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C7B534">
      <w:pPr>
        <w:spacing w:line="360" w:lineRule="auto"/>
        <w:ind w:firstLine="300" w:firstLineChars="50"/>
        <w:rPr>
          <w:rFonts w:hint="eastAsia" w:ascii="宋体" w:hAnsi="宋体"/>
          <w:sz w:val="60"/>
          <w:szCs w:val="60"/>
          <w:highlight w:val="none"/>
        </w:rPr>
      </w:pPr>
    </w:p>
    <w:p w14:paraId="287F5014">
      <w:pPr>
        <w:spacing w:line="360" w:lineRule="auto"/>
        <w:ind w:firstLine="300" w:firstLineChars="50"/>
        <w:rPr>
          <w:rFonts w:hint="eastAsia" w:ascii="宋体" w:hAnsi="宋体"/>
          <w:sz w:val="60"/>
          <w:szCs w:val="60"/>
          <w:highlight w:val="none"/>
        </w:rPr>
      </w:pPr>
    </w:p>
    <w:p w14:paraId="372FCDFB">
      <w:pPr>
        <w:jc w:val="center"/>
        <w:rPr>
          <w:rFonts w:hint="eastAsia" w:ascii="宋体" w:hAnsi="宋体"/>
          <w:b/>
          <w:bCs/>
          <w:sz w:val="60"/>
          <w:szCs w:val="60"/>
          <w:highlight w:val="none"/>
        </w:rPr>
      </w:pPr>
      <w:r>
        <w:rPr>
          <w:rFonts w:ascii="宋体" w:hAnsi="宋体"/>
          <w:b/>
          <w:bCs/>
          <w:sz w:val="60"/>
          <w:szCs w:val="60"/>
          <w:highlight w:val="none"/>
        </w:rPr>
        <w:t>北京市政府采购项目</w:t>
      </w:r>
    </w:p>
    <w:p w14:paraId="3FFDF14C">
      <w:pPr>
        <w:jc w:val="center"/>
        <w:rPr>
          <w:rFonts w:hint="eastAsia" w:ascii="宋体" w:hAnsi="宋体"/>
          <w:b/>
          <w:bCs/>
          <w:sz w:val="60"/>
          <w:szCs w:val="60"/>
          <w:highlight w:val="none"/>
        </w:rPr>
      </w:pPr>
      <w:r>
        <w:rPr>
          <w:rFonts w:ascii="宋体" w:hAnsi="宋体"/>
          <w:b/>
          <w:bCs/>
          <w:sz w:val="60"/>
          <w:szCs w:val="60"/>
          <w:highlight w:val="none"/>
        </w:rPr>
        <w:t>竞争性磋商文件示范文本</w:t>
      </w:r>
    </w:p>
    <w:p w14:paraId="0C1EC5A8">
      <w:pPr>
        <w:jc w:val="center"/>
        <w:rPr>
          <w:rFonts w:hint="eastAsia" w:ascii="宋体" w:hAnsi="宋体"/>
          <w:b/>
          <w:bCs/>
          <w:sz w:val="60"/>
          <w:szCs w:val="60"/>
          <w:highlight w:val="none"/>
        </w:rPr>
      </w:pPr>
      <w:r>
        <w:rPr>
          <w:rFonts w:ascii="宋体" w:hAnsi="宋体"/>
          <w:b/>
          <w:bCs/>
          <w:sz w:val="60"/>
          <w:szCs w:val="60"/>
          <w:highlight w:val="none"/>
        </w:rPr>
        <w:t>（2026年版）</w:t>
      </w:r>
    </w:p>
    <w:p w14:paraId="139177BB">
      <w:pPr>
        <w:spacing w:line="360" w:lineRule="auto"/>
        <w:jc w:val="center"/>
        <w:rPr>
          <w:rFonts w:hint="eastAsia" w:ascii="宋体" w:hAnsi="宋体"/>
          <w:b/>
          <w:bCs/>
          <w:sz w:val="60"/>
          <w:szCs w:val="60"/>
          <w:highlight w:val="none"/>
        </w:rPr>
      </w:pPr>
    </w:p>
    <w:p w14:paraId="4EAAEF2A">
      <w:pPr>
        <w:spacing w:line="360" w:lineRule="auto"/>
        <w:jc w:val="center"/>
        <w:rPr>
          <w:rFonts w:hint="eastAsia" w:ascii="宋体" w:hAnsi="宋体"/>
          <w:b/>
          <w:bCs/>
          <w:sz w:val="60"/>
          <w:szCs w:val="60"/>
          <w:highlight w:val="none"/>
        </w:rPr>
      </w:pPr>
    </w:p>
    <w:p w14:paraId="0EA5FADF">
      <w:pPr>
        <w:tabs>
          <w:tab w:val="left" w:pos="5609"/>
        </w:tabs>
        <w:spacing w:line="360" w:lineRule="auto"/>
        <w:ind w:left="2832" w:leftChars="444" w:hanging="1900" w:hangingChars="528"/>
        <w:jc w:val="left"/>
        <w:rPr>
          <w:rFonts w:hint="eastAsia" w:ascii="宋体" w:hAnsi="宋体"/>
          <w:bCs/>
          <w:sz w:val="36"/>
          <w:szCs w:val="36"/>
          <w:highlight w:val="none"/>
        </w:rPr>
      </w:pPr>
      <w:r>
        <w:rPr>
          <w:rFonts w:ascii="宋体" w:hAnsi="宋体"/>
          <w:bCs/>
          <w:sz w:val="36"/>
          <w:szCs w:val="36"/>
          <w:highlight w:val="none"/>
        </w:rPr>
        <w:t>项目名称：</w:t>
      </w:r>
      <w:r>
        <w:rPr>
          <w:rFonts w:hint="eastAsia" w:ascii="宋体" w:hAnsi="宋体"/>
          <w:bCs/>
          <w:sz w:val="36"/>
          <w:szCs w:val="36"/>
          <w:highlight w:val="none"/>
        </w:rPr>
        <w:t>展览路街道党群服务中心装修改造项目</w:t>
      </w:r>
    </w:p>
    <w:p w14:paraId="109603F9">
      <w:pPr>
        <w:tabs>
          <w:tab w:val="left" w:pos="3240"/>
          <w:tab w:val="left" w:pos="3420"/>
        </w:tabs>
        <w:spacing w:line="360" w:lineRule="auto"/>
        <w:ind w:left="2832" w:leftChars="444" w:hanging="1900" w:hangingChars="528"/>
        <w:jc w:val="left"/>
        <w:rPr>
          <w:rFonts w:hint="eastAsia" w:ascii="宋体" w:hAnsi="宋体"/>
          <w:bCs/>
          <w:sz w:val="36"/>
          <w:szCs w:val="36"/>
          <w:highlight w:val="none"/>
        </w:rPr>
      </w:pPr>
      <w:r>
        <w:rPr>
          <w:rFonts w:ascii="宋体" w:hAnsi="宋体"/>
          <w:bCs/>
          <w:sz w:val="36"/>
          <w:szCs w:val="36"/>
          <w:highlight w:val="none"/>
        </w:rPr>
        <w:t>项目编号/包号：HCZB-2026-ZB</w:t>
      </w:r>
      <w:r>
        <w:rPr>
          <w:rFonts w:hint="eastAsia" w:ascii="宋体" w:hAnsi="宋体"/>
          <w:bCs/>
          <w:sz w:val="36"/>
          <w:szCs w:val="36"/>
          <w:highlight w:val="none"/>
        </w:rPr>
        <w:t>0058</w:t>
      </w:r>
    </w:p>
    <w:p w14:paraId="66231B75">
      <w:pPr>
        <w:tabs>
          <w:tab w:val="left" w:pos="3240"/>
          <w:tab w:val="left" w:pos="3420"/>
        </w:tabs>
        <w:spacing w:line="360" w:lineRule="auto"/>
        <w:ind w:left="2832" w:leftChars="444" w:hanging="1900" w:hangingChars="528"/>
        <w:jc w:val="left"/>
        <w:rPr>
          <w:rFonts w:hint="eastAsia" w:ascii="宋体" w:hAnsi="宋体"/>
          <w:bCs/>
          <w:sz w:val="36"/>
          <w:szCs w:val="36"/>
          <w:highlight w:val="none"/>
        </w:rPr>
      </w:pPr>
      <w:r>
        <w:rPr>
          <w:rFonts w:ascii="宋体" w:hAnsi="宋体"/>
          <w:bCs/>
          <w:sz w:val="36"/>
          <w:szCs w:val="36"/>
          <w:highlight w:val="none"/>
        </w:rPr>
        <w:t>采 购 人：</w:t>
      </w:r>
      <w:r>
        <w:rPr>
          <w:rFonts w:hint="eastAsia" w:ascii="宋体" w:hAnsi="宋体"/>
          <w:bCs/>
          <w:sz w:val="36"/>
          <w:szCs w:val="36"/>
          <w:highlight w:val="none"/>
        </w:rPr>
        <w:t>北京市西城区人民政府展览路街道办事处</w:t>
      </w:r>
    </w:p>
    <w:p w14:paraId="6BE13397">
      <w:pPr>
        <w:tabs>
          <w:tab w:val="left" w:pos="3240"/>
          <w:tab w:val="left" w:pos="3420"/>
        </w:tabs>
        <w:spacing w:line="360" w:lineRule="auto"/>
        <w:ind w:left="2832" w:leftChars="444" w:hanging="1900" w:hangingChars="528"/>
        <w:jc w:val="left"/>
        <w:rPr>
          <w:rFonts w:hint="eastAsia" w:ascii="宋体" w:hAnsi="宋体"/>
          <w:bCs/>
          <w:sz w:val="36"/>
          <w:szCs w:val="36"/>
          <w:highlight w:val="none"/>
        </w:rPr>
      </w:pPr>
      <w:r>
        <w:rPr>
          <w:rFonts w:ascii="宋体" w:hAnsi="宋体"/>
          <w:bCs/>
          <w:sz w:val="36"/>
          <w:szCs w:val="36"/>
          <w:highlight w:val="none"/>
        </w:rPr>
        <w:t>采购代理机构：</w:t>
      </w:r>
      <w:r>
        <w:rPr>
          <w:rFonts w:hint="eastAsia" w:ascii="宋体" w:hAnsi="宋体"/>
          <w:bCs/>
          <w:sz w:val="36"/>
          <w:szCs w:val="36"/>
          <w:highlight w:val="none"/>
        </w:rPr>
        <w:t>华采招标集团有限公司</w:t>
      </w:r>
    </w:p>
    <w:p w14:paraId="39850AC3">
      <w:pPr>
        <w:widowControl/>
        <w:jc w:val="left"/>
        <w:rPr>
          <w:rFonts w:hint="eastAsia" w:ascii="宋体" w:hAnsi="宋体"/>
          <w:highlight w:val="none"/>
        </w:rPr>
        <w:sectPr>
          <w:headerReference r:id="rId3" w:type="default"/>
          <w:type w:val="nextColumn"/>
          <w:pgSz w:w="11906" w:h="16838"/>
          <w:pgMar w:top="1440" w:right="1080" w:bottom="1440" w:left="1080" w:header="851" w:footer="992" w:gutter="0"/>
          <w:cols w:space="425" w:num="1"/>
          <w:docGrid w:linePitch="312" w:charSpace="0"/>
        </w:sectPr>
      </w:pPr>
      <w:r>
        <w:rPr>
          <w:rFonts w:ascii="宋体" w:hAnsi="宋体"/>
          <w:b/>
          <w:bCs/>
          <w:sz w:val="44"/>
          <w:highlight w:val="none"/>
        </w:rPr>
        <w:br w:type="page"/>
      </w:r>
    </w:p>
    <w:p w14:paraId="130B85A2">
      <w:pPr>
        <w:pStyle w:val="157"/>
        <w:spacing w:line="360" w:lineRule="auto"/>
        <w:rPr>
          <w:rFonts w:hint="eastAsia" w:ascii="宋体" w:hAnsi="宋体" w:cs="Times New Roman"/>
          <w:highlight w:val="none"/>
        </w:rPr>
      </w:pPr>
    </w:p>
    <w:p w14:paraId="3C1250DF">
      <w:pPr>
        <w:spacing w:line="360" w:lineRule="auto"/>
        <w:jc w:val="center"/>
        <w:outlineLvl w:val="9"/>
        <w:rPr>
          <w:rFonts w:hint="eastAsia" w:ascii="宋体" w:hAnsi="宋体"/>
          <w:b/>
          <w:sz w:val="36"/>
          <w:szCs w:val="36"/>
          <w:highlight w:val="none"/>
        </w:rPr>
      </w:pPr>
      <w:r>
        <w:rPr>
          <w:rFonts w:ascii="宋体" w:hAnsi="宋体"/>
          <w:b/>
          <w:sz w:val="36"/>
          <w:szCs w:val="36"/>
          <w:highlight w:val="none"/>
        </w:rPr>
        <w:t>目      录</w:t>
      </w:r>
    </w:p>
    <w:p w14:paraId="25B55D9F">
      <w:pPr>
        <w:rPr>
          <w:rFonts w:hint="eastAsia" w:ascii="宋体" w:hAnsi="宋体"/>
          <w:highlight w:val="none"/>
        </w:rPr>
      </w:pPr>
    </w:p>
    <w:p w14:paraId="39D551BD">
      <w:pPr>
        <w:rPr>
          <w:rFonts w:hint="eastAsia" w:ascii="宋体" w:hAnsi="宋体"/>
          <w:highlight w:val="none"/>
        </w:rPr>
      </w:pPr>
    </w:p>
    <w:p w14:paraId="47AD833F">
      <w:pPr>
        <w:rPr>
          <w:rFonts w:hint="eastAsia" w:ascii="宋体" w:hAnsi="宋体"/>
          <w:highlight w:val="none"/>
        </w:rPr>
      </w:pPr>
    </w:p>
    <w:p w14:paraId="6690DB94">
      <w:pPr>
        <w:rPr>
          <w:rFonts w:hint="eastAsia" w:ascii="宋体" w:hAnsi="宋体"/>
          <w:highlight w:val="none"/>
        </w:rPr>
      </w:pPr>
    </w:p>
    <w:p w14:paraId="6408980A">
      <w:pPr>
        <w:pStyle w:val="30"/>
        <w:tabs>
          <w:tab w:val="right" w:leader="dot" w:pos="8307"/>
          <w:tab w:val="clear" w:pos="1050"/>
          <w:tab w:val="clear" w:pos="8937"/>
        </w:tabs>
        <w:spacing w:line="360" w:lineRule="auto"/>
        <w:rPr>
          <w:sz w:val="28"/>
          <w:szCs w:val="28"/>
          <w:highlight w:val="none"/>
        </w:rPr>
      </w:pPr>
      <w:r>
        <w:rPr>
          <w:b w:val="0"/>
          <w:sz w:val="28"/>
          <w:szCs w:val="28"/>
          <w:highlight w:val="none"/>
        </w:rPr>
        <w:fldChar w:fldCharType="begin"/>
      </w:r>
      <w:r>
        <w:rPr>
          <w:b w:val="0"/>
          <w:sz w:val="28"/>
          <w:szCs w:val="28"/>
          <w:highlight w:val="none"/>
        </w:rPr>
        <w:instrText xml:space="preserve"> TOC \o "1-1" \h \z \u </w:instrText>
      </w:r>
      <w:r>
        <w:rPr>
          <w:b w:val="0"/>
          <w:sz w:val="28"/>
          <w:szCs w:val="28"/>
          <w:highlight w:val="none"/>
        </w:rPr>
        <w:fldChar w:fldCharType="separate"/>
      </w:r>
      <w:r>
        <w:rPr>
          <w:sz w:val="28"/>
          <w:szCs w:val="28"/>
          <w:highlight w:val="none"/>
        </w:rPr>
        <w:fldChar w:fldCharType="begin"/>
      </w:r>
      <w:r>
        <w:rPr>
          <w:sz w:val="28"/>
          <w:szCs w:val="28"/>
          <w:highlight w:val="none"/>
        </w:rPr>
        <w:instrText xml:space="preserve"> HYPERLINK \l _Toc28745 </w:instrText>
      </w:r>
      <w:r>
        <w:rPr>
          <w:sz w:val="28"/>
          <w:szCs w:val="28"/>
          <w:highlight w:val="none"/>
        </w:rPr>
        <w:fldChar w:fldCharType="separate"/>
      </w:r>
      <w:r>
        <w:rPr>
          <w:rFonts w:ascii="宋体" w:hAnsi="宋体"/>
          <w:sz w:val="28"/>
          <w:szCs w:val="28"/>
          <w:highlight w:val="none"/>
        </w:rPr>
        <w:t>第一章   采购邀请</w:t>
      </w:r>
      <w:r>
        <w:rPr>
          <w:sz w:val="28"/>
          <w:szCs w:val="28"/>
          <w:highlight w:val="none"/>
        </w:rPr>
        <w:tab/>
      </w:r>
      <w:r>
        <w:rPr>
          <w:sz w:val="28"/>
          <w:szCs w:val="28"/>
          <w:highlight w:val="none"/>
        </w:rPr>
        <w:fldChar w:fldCharType="begin"/>
      </w:r>
      <w:r>
        <w:rPr>
          <w:sz w:val="28"/>
          <w:szCs w:val="28"/>
          <w:highlight w:val="none"/>
        </w:rPr>
        <w:instrText xml:space="preserve"> PAGEREF _Toc28745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354DD806">
      <w:pPr>
        <w:pStyle w:val="30"/>
        <w:tabs>
          <w:tab w:val="right" w:leader="dot" w:pos="8307"/>
          <w:tab w:val="clear" w:pos="1050"/>
          <w:tab w:val="clear" w:pos="8937"/>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_Toc2906 </w:instrText>
      </w:r>
      <w:r>
        <w:rPr>
          <w:sz w:val="28"/>
          <w:szCs w:val="28"/>
          <w:highlight w:val="none"/>
        </w:rPr>
        <w:fldChar w:fldCharType="separate"/>
      </w:r>
      <w:r>
        <w:rPr>
          <w:rFonts w:ascii="宋体" w:hAnsi="宋体"/>
          <w:sz w:val="28"/>
          <w:szCs w:val="28"/>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_Toc2906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44A32ABA">
      <w:pPr>
        <w:pStyle w:val="30"/>
        <w:tabs>
          <w:tab w:val="right" w:leader="dot" w:pos="8307"/>
          <w:tab w:val="clear" w:pos="1050"/>
          <w:tab w:val="clear" w:pos="8937"/>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_Toc959 </w:instrText>
      </w:r>
      <w:r>
        <w:rPr>
          <w:sz w:val="28"/>
          <w:szCs w:val="28"/>
          <w:highlight w:val="none"/>
        </w:rPr>
        <w:fldChar w:fldCharType="separate"/>
      </w:r>
      <w:r>
        <w:rPr>
          <w:rFonts w:ascii="宋体" w:hAnsi="宋体"/>
          <w:sz w:val="28"/>
          <w:szCs w:val="28"/>
          <w:highlight w:val="none"/>
        </w:rPr>
        <w:t>第三章   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_Toc959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2172E321">
      <w:pPr>
        <w:pStyle w:val="30"/>
        <w:tabs>
          <w:tab w:val="right" w:leader="dot" w:pos="8307"/>
          <w:tab w:val="clear" w:pos="1050"/>
          <w:tab w:val="clear" w:pos="8937"/>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_Toc14969 </w:instrText>
      </w:r>
      <w:r>
        <w:rPr>
          <w:sz w:val="28"/>
          <w:szCs w:val="28"/>
          <w:highlight w:val="none"/>
        </w:rPr>
        <w:fldChar w:fldCharType="separate"/>
      </w:r>
      <w:r>
        <w:rPr>
          <w:rFonts w:ascii="宋体" w:hAnsi="宋体"/>
          <w:sz w:val="28"/>
          <w:szCs w:val="28"/>
          <w:highlight w:val="none"/>
        </w:rPr>
        <w:t>第四章   采购需求</w:t>
      </w:r>
      <w:r>
        <w:rPr>
          <w:sz w:val="28"/>
          <w:szCs w:val="28"/>
          <w:highlight w:val="none"/>
        </w:rPr>
        <w:tab/>
      </w:r>
      <w:r>
        <w:rPr>
          <w:sz w:val="28"/>
          <w:szCs w:val="28"/>
          <w:highlight w:val="none"/>
        </w:rPr>
        <w:fldChar w:fldCharType="begin"/>
      </w:r>
      <w:r>
        <w:rPr>
          <w:sz w:val="28"/>
          <w:szCs w:val="28"/>
          <w:highlight w:val="none"/>
        </w:rPr>
        <w:instrText xml:space="preserve"> PAGEREF _Toc14969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4D284B45">
      <w:pPr>
        <w:pStyle w:val="30"/>
        <w:tabs>
          <w:tab w:val="right" w:leader="dot" w:pos="8307"/>
          <w:tab w:val="clear" w:pos="1050"/>
          <w:tab w:val="clear" w:pos="8937"/>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_Toc125 </w:instrText>
      </w:r>
      <w:r>
        <w:rPr>
          <w:sz w:val="28"/>
          <w:szCs w:val="28"/>
          <w:highlight w:val="none"/>
        </w:rPr>
        <w:fldChar w:fldCharType="separate"/>
      </w:r>
      <w:r>
        <w:rPr>
          <w:rFonts w:ascii="宋体" w:hAnsi="宋体"/>
          <w:sz w:val="28"/>
          <w:szCs w:val="28"/>
          <w:highlight w:val="none"/>
        </w:rPr>
        <w:t>第五章   合同草案条款</w:t>
      </w:r>
      <w:r>
        <w:rPr>
          <w:sz w:val="28"/>
          <w:szCs w:val="28"/>
          <w:highlight w:val="none"/>
        </w:rPr>
        <w:tab/>
      </w:r>
      <w:r>
        <w:rPr>
          <w:sz w:val="28"/>
          <w:szCs w:val="28"/>
          <w:highlight w:val="none"/>
        </w:rPr>
        <w:fldChar w:fldCharType="begin"/>
      </w:r>
      <w:r>
        <w:rPr>
          <w:sz w:val="28"/>
          <w:szCs w:val="28"/>
          <w:highlight w:val="none"/>
        </w:rPr>
        <w:instrText xml:space="preserve"> PAGEREF _Toc125 \h </w:instrText>
      </w:r>
      <w:r>
        <w:rPr>
          <w:sz w:val="28"/>
          <w:szCs w:val="28"/>
          <w:highlight w:val="none"/>
        </w:rPr>
        <w:fldChar w:fldCharType="separate"/>
      </w:r>
      <w:r>
        <w:rPr>
          <w:sz w:val="28"/>
          <w:szCs w:val="28"/>
          <w:highlight w:val="none"/>
        </w:rPr>
        <w:t>35</w:t>
      </w:r>
      <w:r>
        <w:rPr>
          <w:sz w:val="28"/>
          <w:szCs w:val="28"/>
          <w:highlight w:val="none"/>
        </w:rPr>
        <w:fldChar w:fldCharType="end"/>
      </w:r>
      <w:r>
        <w:rPr>
          <w:sz w:val="28"/>
          <w:szCs w:val="28"/>
          <w:highlight w:val="none"/>
        </w:rPr>
        <w:fldChar w:fldCharType="end"/>
      </w:r>
    </w:p>
    <w:p w14:paraId="47E33DC1">
      <w:pPr>
        <w:pStyle w:val="30"/>
        <w:tabs>
          <w:tab w:val="right" w:leader="dot" w:pos="8307"/>
          <w:tab w:val="clear" w:pos="1050"/>
          <w:tab w:val="clear" w:pos="8937"/>
        </w:tabs>
        <w:spacing w:line="360" w:lineRule="auto"/>
        <w:rPr>
          <w:sz w:val="28"/>
          <w:szCs w:val="28"/>
          <w:highlight w:val="none"/>
        </w:rPr>
      </w:pPr>
      <w:r>
        <w:rPr>
          <w:sz w:val="28"/>
          <w:szCs w:val="28"/>
          <w:highlight w:val="none"/>
        </w:rPr>
        <w:fldChar w:fldCharType="begin"/>
      </w:r>
      <w:r>
        <w:rPr>
          <w:sz w:val="28"/>
          <w:szCs w:val="28"/>
          <w:highlight w:val="none"/>
        </w:rPr>
        <w:instrText xml:space="preserve"> HYPERLINK \l _Toc21002 </w:instrText>
      </w:r>
      <w:r>
        <w:rPr>
          <w:sz w:val="28"/>
          <w:szCs w:val="28"/>
          <w:highlight w:val="none"/>
        </w:rPr>
        <w:fldChar w:fldCharType="separate"/>
      </w:r>
      <w:r>
        <w:rPr>
          <w:rFonts w:ascii="宋体" w:hAnsi="宋体"/>
          <w:sz w:val="28"/>
          <w:szCs w:val="28"/>
          <w:highlight w:val="none"/>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_Toc21002 \h </w:instrText>
      </w:r>
      <w:r>
        <w:rPr>
          <w:sz w:val="28"/>
          <w:szCs w:val="28"/>
          <w:highlight w:val="none"/>
        </w:rPr>
        <w:fldChar w:fldCharType="separate"/>
      </w:r>
      <w:r>
        <w:rPr>
          <w:sz w:val="28"/>
          <w:szCs w:val="28"/>
          <w:highlight w:val="none"/>
        </w:rPr>
        <w:t>106</w:t>
      </w:r>
      <w:r>
        <w:rPr>
          <w:sz w:val="28"/>
          <w:szCs w:val="28"/>
          <w:highlight w:val="none"/>
        </w:rPr>
        <w:fldChar w:fldCharType="end"/>
      </w:r>
      <w:r>
        <w:rPr>
          <w:sz w:val="28"/>
          <w:szCs w:val="28"/>
          <w:highlight w:val="none"/>
        </w:rPr>
        <w:fldChar w:fldCharType="end"/>
      </w:r>
    </w:p>
    <w:p w14:paraId="1575B3F9">
      <w:pPr>
        <w:pStyle w:val="30"/>
        <w:spacing w:line="360" w:lineRule="auto"/>
        <w:rPr>
          <w:rFonts w:hint="eastAsia"/>
          <w:b w:val="0"/>
          <w:highlight w:val="none"/>
        </w:rPr>
      </w:pPr>
      <w:r>
        <w:rPr>
          <w:sz w:val="28"/>
          <w:szCs w:val="28"/>
          <w:highlight w:val="none"/>
        </w:rPr>
        <w:fldChar w:fldCharType="end"/>
      </w:r>
    </w:p>
    <w:p w14:paraId="5F860F21">
      <w:pPr>
        <w:rPr>
          <w:rFonts w:hint="eastAsia" w:ascii="宋体" w:hAnsi="宋体"/>
          <w:highlight w:val="none"/>
        </w:rPr>
      </w:pPr>
    </w:p>
    <w:p w14:paraId="34FF3D41">
      <w:pPr>
        <w:spacing w:line="360" w:lineRule="auto"/>
        <w:rPr>
          <w:rFonts w:hint="eastAsia" w:ascii="宋体" w:hAnsi="宋体"/>
          <w:sz w:val="24"/>
          <w:highlight w:val="none"/>
        </w:rPr>
      </w:pPr>
      <w:r>
        <w:rPr>
          <w:rFonts w:hint="eastAsia" w:ascii="宋体" w:hAnsi="宋体"/>
          <w:sz w:val="24"/>
          <w:highlight w:val="none"/>
        </w:rPr>
        <w:t>注：采购文件条款中以</w:t>
      </w:r>
      <w:r>
        <w:rPr>
          <w:rFonts w:ascii="宋体" w:hAnsi="宋体"/>
          <w:sz w:val="24"/>
          <w:highlight w:val="none"/>
        </w:rPr>
        <w:t xml:space="preserve"> “■”</w:t>
      </w:r>
      <w:r>
        <w:rPr>
          <w:rFonts w:hint="eastAsia" w:ascii="宋体" w:hAnsi="宋体"/>
          <w:sz w:val="24"/>
          <w:highlight w:val="none"/>
        </w:rPr>
        <w:t>形式标记的内容适用于本项目，以</w:t>
      </w:r>
      <w:r>
        <w:rPr>
          <w:rFonts w:ascii="宋体" w:hAnsi="宋体"/>
          <w:sz w:val="24"/>
          <w:highlight w:val="none"/>
        </w:rPr>
        <w:t>“□”</w:t>
      </w:r>
      <w:r>
        <w:rPr>
          <w:rFonts w:hint="eastAsia" w:ascii="宋体" w:hAnsi="宋体"/>
          <w:sz w:val="24"/>
          <w:highlight w:val="none"/>
        </w:rPr>
        <w:t>形式标记的内容不适用于本项目。</w:t>
      </w:r>
    </w:p>
    <w:p w14:paraId="3EDDBF67">
      <w:pPr>
        <w:pStyle w:val="30"/>
        <w:spacing w:line="360" w:lineRule="auto"/>
        <w:rPr>
          <w:rFonts w:hint="eastAsia"/>
          <w:b w:val="0"/>
          <w:highlight w:val="none"/>
        </w:rPr>
      </w:pPr>
    </w:p>
    <w:p w14:paraId="5C04B59F">
      <w:pPr>
        <w:pStyle w:val="30"/>
        <w:spacing w:line="360" w:lineRule="auto"/>
        <w:rPr>
          <w:rFonts w:hint="eastAsia"/>
          <w:b w:val="0"/>
          <w:sz w:val="36"/>
          <w:szCs w:val="36"/>
          <w:highlight w:val="none"/>
        </w:rPr>
      </w:pPr>
    </w:p>
    <w:p w14:paraId="3BB8817C">
      <w:pPr>
        <w:spacing w:line="360" w:lineRule="auto"/>
        <w:jc w:val="center"/>
        <w:outlineLvl w:val="0"/>
        <w:rPr>
          <w:rFonts w:hint="eastAsia" w:ascii="宋体" w:hAnsi="宋体"/>
          <w:b/>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40" w:right="1800" w:bottom="1440" w:left="1800" w:header="851" w:footer="851" w:gutter="0"/>
          <w:pgNumType w:start="1"/>
          <w:cols w:space="720" w:num="1"/>
          <w:titlePg/>
          <w:docGrid w:linePitch="462" w:charSpace="0"/>
        </w:sectPr>
      </w:pPr>
    </w:p>
    <w:p w14:paraId="304C3B07">
      <w:pPr>
        <w:spacing w:line="360" w:lineRule="auto"/>
        <w:jc w:val="center"/>
        <w:outlineLvl w:val="0"/>
        <w:rPr>
          <w:rFonts w:hint="eastAsia" w:ascii="宋体" w:hAnsi="宋体"/>
          <w:b/>
          <w:sz w:val="36"/>
          <w:szCs w:val="36"/>
          <w:highlight w:val="none"/>
        </w:rPr>
      </w:pPr>
      <w:bookmarkStart w:id="0" w:name="_Toc28745"/>
      <w:r>
        <w:rPr>
          <w:rFonts w:ascii="宋体" w:hAnsi="宋体"/>
          <w:b/>
          <w:sz w:val="36"/>
          <w:szCs w:val="36"/>
          <w:highlight w:val="none"/>
        </w:rPr>
        <w:t>第一章   采购邀请</w:t>
      </w:r>
      <w:bookmarkEnd w:id="0"/>
      <w:bookmarkStart w:id="1" w:name="_Toc35393621"/>
      <w:bookmarkStart w:id="2" w:name="_Toc35393790"/>
      <w:bookmarkStart w:id="3" w:name="_Toc28359079"/>
      <w:bookmarkStart w:id="4" w:name="_Toc28359002"/>
      <w:bookmarkStart w:id="5" w:name="_Hlk24379207"/>
    </w:p>
    <w:p w14:paraId="50D7DA0F">
      <w:pPr>
        <w:bidi w:val="0"/>
        <w:rPr>
          <w:highlight w:val="none"/>
        </w:rPr>
      </w:pPr>
    </w:p>
    <w:p w14:paraId="373CA7B5">
      <w:pPr>
        <w:pStyle w:val="3"/>
        <w:spacing w:before="0" w:line="360" w:lineRule="auto"/>
        <w:jc w:val="left"/>
        <w:rPr>
          <w:rFonts w:hint="eastAsia" w:ascii="宋体" w:hAnsi="宋体" w:eastAsia="宋体"/>
          <w:sz w:val="24"/>
          <w:szCs w:val="24"/>
          <w:highlight w:val="none"/>
        </w:rPr>
      </w:pPr>
      <w:r>
        <w:rPr>
          <w:rFonts w:ascii="宋体" w:hAnsi="宋体" w:eastAsia="宋体"/>
          <w:sz w:val="24"/>
          <w:szCs w:val="24"/>
          <w:highlight w:val="none"/>
        </w:rPr>
        <w:t>一、项目基本情况</w:t>
      </w:r>
      <w:bookmarkEnd w:id="1"/>
      <w:bookmarkEnd w:id="2"/>
      <w:bookmarkEnd w:id="3"/>
      <w:bookmarkEnd w:id="4"/>
    </w:p>
    <w:p w14:paraId="2CFA916A">
      <w:pPr>
        <w:spacing w:line="360" w:lineRule="auto"/>
        <w:ind w:firstLine="480" w:firstLineChars="200"/>
        <w:rPr>
          <w:rFonts w:hint="eastAsia" w:ascii="宋体" w:hAnsi="宋体"/>
          <w:sz w:val="24"/>
          <w:highlight w:val="none"/>
        </w:rPr>
      </w:pPr>
      <w:r>
        <w:rPr>
          <w:rFonts w:ascii="宋体" w:hAnsi="宋体"/>
          <w:sz w:val="24"/>
          <w:highlight w:val="none"/>
        </w:rPr>
        <w:t>1.项目编号：HCZB-2026-ZB</w:t>
      </w:r>
      <w:r>
        <w:rPr>
          <w:rFonts w:hint="eastAsia" w:ascii="宋体" w:hAnsi="宋体"/>
          <w:sz w:val="24"/>
          <w:highlight w:val="none"/>
        </w:rPr>
        <w:t>0058</w:t>
      </w:r>
    </w:p>
    <w:p w14:paraId="23A94E00">
      <w:pPr>
        <w:spacing w:line="360" w:lineRule="auto"/>
        <w:ind w:firstLine="480" w:firstLineChars="200"/>
        <w:rPr>
          <w:rFonts w:hint="eastAsia" w:ascii="宋体" w:hAnsi="宋体"/>
          <w:sz w:val="24"/>
          <w:highlight w:val="none"/>
        </w:rPr>
      </w:pPr>
      <w:r>
        <w:rPr>
          <w:rFonts w:ascii="宋体" w:hAnsi="宋体"/>
          <w:sz w:val="24"/>
          <w:highlight w:val="none"/>
        </w:rPr>
        <w:t>2.项目名称：</w:t>
      </w:r>
      <w:r>
        <w:rPr>
          <w:rFonts w:hint="eastAsia" w:ascii="宋体" w:hAnsi="宋体"/>
          <w:sz w:val="24"/>
          <w:highlight w:val="none"/>
        </w:rPr>
        <w:t>展览路街道党群服务中心装修改造项目</w:t>
      </w:r>
    </w:p>
    <w:p w14:paraId="31221C36">
      <w:pPr>
        <w:spacing w:line="360" w:lineRule="auto"/>
        <w:ind w:firstLine="480" w:firstLineChars="200"/>
        <w:rPr>
          <w:rFonts w:hint="eastAsia" w:ascii="宋体" w:hAnsi="宋体"/>
          <w:sz w:val="24"/>
          <w:highlight w:val="none"/>
        </w:rPr>
      </w:pPr>
      <w:r>
        <w:rPr>
          <w:rFonts w:ascii="宋体" w:hAnsi="宋体"/>
          <w:sz w:val="24"/>
          <w:highlight w:val="none"/>
        </w:rPr>
        <w:t>3.采购方式：竞争性磋商</w:t>
      </w:r>
    </w:p>
    <w:bookmarkEnd w:id="5"/>
    <w:p w14:paraId="04A0FEAA">
      <w:pPr>
        <w:spacing w:line="360" w:lineRule="auto"/>
        <w:ind w:firstLine="480" w:firstLineChars="200"/>
        <w:rPr>
          <w:rFonts w:hint="eastAsia" w:ascii="宋体" w:hAnsi="宋体"/>
          <w:sz w:val="24"/>
          <w:highlight w:val="none"/>
        </w:rPr>
      </w:pPr>
      <w:r>
        <w:rPr>
          <w:rFonts w:ascii="宋体" w:hAnsi="宋体"/>
          <w:sz w:val="24"/>
          <w:highlight w:val="none"/>
        </w:rPr>
        <w:t>4.项目预算金额：项目最高限价：</w:t>
      </w:r>
      <w:r>
        <w:rPr>
          <w:rFonts w:hint="eastAsia" w:ascii="宋体" w:hAnsi="宋体"/>
          <w:sz w:val="24"/>
          <w:highlight w:val="none"/>
        </w:rPr>
        <w:t>136.617901</w:t>
      </w:r>
      <w:r>
        <w:rPr>
          <w:rFonts w:ascii="宋体" w:hAnsi="宋体"/>
          <w:sz w:val="24"/>
          <w:highlight w:val="none"/>
        </w:rPr>
        <w:t>万元</w:t>
      </w:r>
    </w:p>
    <w:p w14:paraId="2F567854">
      <w:pPr>
        <w:spacing w:line="360" w:lineRule="auto"/>
        <w:ind w:firstLine="480" w:firstLineChars="200"/>
        <w:rPr>
          <w:rFonts w:hint="eastAsia" w:ascii="宋体" w:hAnsi="宋体"/>
          <w:sz w:val="24"/>
          <w:highlight w:val="none"/>
        </w:rPr>
      </w:pPr>
      <w:r>
        <w:rPr>
          <w:rFonts w:ascii="宋体" w:hAnsi="宋体"/>
          <w:sz w:val="24"/>
          <w:highlight w:val="none"/>
        </w:rPr>
        <w:t>5.采购需求：</w:t>
      </w:r>
      <w:r>
        <w:rPr>
          <w:rFonts w:hint="eastAsia" w:ascii="宋体" w:hAnsi="宋体"/>
          <w:sz w:val="24"/>
          <w:highlight w:val="none"/>
        </w:rPr>
        <w:t>展览路街道党群服务中心装修改造（详见工程量清单）</w:t>
      </w:r>
    </w:p>
    <w:p w14:paraId="23530DAD">
      <w:pPr>
        <w:spacing w:line="360" w:lineRule="auto"/>
        <w:ind w:firstLine="480" w:firstLineChars="200"/>
        <w:rPr>
          <w:rFonts w:hint="eastAsia" w:ascii="宋体" w:hAnsi="宋体"/>
          <w:sz w:val="24"/>
          <w:highlight w:val="none"/>
        </w:rPr>
      </w:pPr>
      <w:r>
        <w:rPr>
          <w:rFonts w:ascii="宋体" w:hAnsi="宋体"/>
          <w:sz w:val="24"/>
          <w:highlight w:val="none"/>
        </w:rPr>
        <w:t>6.合同履行期限：</w:t>
      </w:r>
      <w:r>
        <w:rPr>
          <w:rFonts w:hint="eastAsia" w:ascii="宋体" w:hAnsi="宋体"/>
          <w:sz w:val="24"/>
          <w:highlight w:val="none"/>
        </w:rPr>
        <w:t>本项目计划工期：74日历天</w:t>
      </w:r>
    </w:p>
    <w:p w14:paraId="4440738C">
      <w:pPr>
        <w:spacing w:line="360" w:lineRule="auto"/>
        <w:ind w:firstLine="480" w:firstLineChars="200"/>
        <w:rPr>
          <w:rFonts w:hint="eastAsia" w:ascii="宋体" w:hAnsi="宋体"/>
          <w:sz w:val="24"/>
          <w:highlight w:val="none"/>
        </w:rPr>
      </w:pPr>
      <w:r>
        <w:rPr>
          <w:rFonts w:ascii="宋体" w:hAnsi="宋体"/>
          <w:sz w:val="24"/>
          <w:highlight w:val="none"/>
        </w:rPr>
        <w:t>7.本项目是否接受联合体：</w:t>
      </w:r>
      <w:r>
        <w:rPr>
          <w:rFonts w:hint="eastAsia" w:ascii="宋体" w:hAnsi="宋体"/>
          <w:highlight w:val="none"/>
        </w:rPr>
        <w:t>□</w:t>
      </w:r>
      <w:r>
        <w:rPr>
          <w:rFonts w:ascii="宋体" w:hAnsi="宋体"/>
          <w:sz w:val="24"/>
          <w:highlight w:val="none"/>
        </w:rPr>
        <w:t xml:space="preserve">是  </w:t>
      </w:r>
      <w:r>
        <w:rPr>
          <w:rFonts w:hint="eastAsia" w:ascii="宋体" w:hAnsi="宋体" w:cs="宋体"/>
          <w:color w:val="auto"/>
          <w:sz w:val="24"/>
          <w:highlight w:val="none"/>
        </w:rPr>
        <w:t>■</w:t>
      </w:r>
      <w:r>
        <w:rPr>
          <w:rFonts w:ascii="宋体" w:hAnsi="宋体"/>
          <w:sz w:val="24"/>
          <w:highlight w:val="none"/>
        </w:rPr>
        <w:t>否。</w:t>
      </w:r>
    </w:p>
    <w:p w14:paraId="767EBBC5">
      <w:pPr>
        <w:pStyle w:val="3"/>
        <w:spacing w:before="0" w:line="360" w:lineRule="auto"/>
        <w:jc w:val="left"/>
        <w:rPr>
          <w:rFonts w:hint="eastAsia" w:ascii="宋体" w:hAnsi="宋体" w:eastAsia="宋体"/>
          <w:sz w:val="24"/>
          <w:szCs w:val="24"/>
          <w:highlight w:val="none"/>
        </w:rPr>
      </w:pPr>
      <w:bookmarkStart w:id="6" w:name="_Toc28359003"/>
      <w:bookmarkStart w:id="7" w:name="_Toc35393622"/>
      <w:bookmarkStart w:id="8" w:name="_Toc35393791"/>
      <w:bookmarkStart w:id="9" w:name="_Toc28359080"/>
      <w:r>
        <w:rPr>
          <w:rFonts w:ascii="宋体" w:hAnsi="宋体" w:eastAsia="宋体"/>
          <w:sz w:val="24"/>
          <w:szCs w:val="24"/>
          <w:highlight w:val="none"/>
        </w:rPr>
        <w:t>二、申请人的资格要求（须同时满足）</w:t>
      </w:r>
      <w:bookmarkEnd w:id="6"/>
      <w:bookmarkEnd w:id="7"/>
      <w:bookmarkEnd w:id="8"/>
      <w:bookmarkEnd w:id="9"/>
    </w:p>
    <w:p w14:paraId="76F67943">
      <w:pPr>
        <w:spacing w:line="360" w:lineRule="auto"/>
        <w:ind w:firstLine="480" w:firstLineChars="200"/>
        <w:rPr>
          <w:rFonts w:hint="eastAsia" w:ascii="宋体" w:hAnsi="宋体"/>
          <w:sz w:val="24"/>
          <w:highlight w:val="none"/>
        </w:rPr>
      </w:pPr>
      <w:r>
        <w:rPr>
          <w:rFonts w:ascii="宋体" w:hAnsi="宋体"/>
          <w:sz w:val="24"/>
          <w:highlight w:val="none"/>
        </w:rPr>
        <w:t>1.满足《中华人民共和国政府采购法》第二十二条规定；</w:t>
      </w:r>
    </w:p>
    <w:p w14:paraId="6896F38D">
      <w:pPr>
        <w:spacing w:line="360" w:lineRule="auto"/>
        <w:ind w:firstLine="480" w:firstLineChars="200"/>
        <w:rPr>
          <w:rFonts w:hint="eastAsia" w:ascii="宋体" w:hAnsi="宋体"/>
          <w:sz w:val="24"/>
          <w:highlight w:val="none"/>
        </w:rPr>
      </w:pPr>
      <w:bookmarkStart w:id="10" w:name="_Toc28359004"/>
      <w:bookmarkStart w:id="11" w:name="_Toc28359081"/>
      <w:r>
        <w:rPr>
          <w:rFonts w:ascii="宋体" w:hAnsi="宋体"/>
          <w:sz w:val="24"/>
          <w:highlight w:val="none"/>
        </w:rPr>
        <w:t>2.落实政府采购政策需满足的资格要求：</w:t>
      </w:r>
    </w:p>
    <w:p w14:paraId="020A5DF0">
      <w:pPr>
        <w:spacing w:line="360" w:lineRule="auto"/>
        <w:ind w:firstLine="480" w:firstLineChars="200"/>
        <w:rPr>
          <w:rFonts w:hint="eastAsia" w:ascii="宋体" w:hAnsi="宋体"/>
          <w:sz w:val="24"/>
          <w:highlight w:val="none"/>
        </w:rPr>
      </w:pPr>
      <w:r>
        <w:rPr>
          <w:rFonts w:ascii="宋体" w:hAnsi="宋体"/>
          <w:sz w:val="24"/>
          <w:highlight w:val="none"/>
        </w:rPr>
        <w:t>2.1 中小企业政策</w:t>
      </w:r>
    </w:p>
    <w:p w14:paraId="62C28160">
      <w:pPr>
        <w:spacing w:line="360" w:lineRule="auto"/>
        <w:ind w:firstLine="420" w:firstLineChars="200"/>
        <w:rPr>
          <w:rFonts w:hint="eastAsia" w:ascii="宋体" w:hAnsi="宋体"/>
          <w:sz w:val="24"/>
          <w:highlight w:val="none"/>
        </w:rPr>
      </w:pPr>
      <w:r>
        <w:rPr>
          <w:rFonts w:ascii="宋体" w:hAnsi="宋体"/>
          <w:highlight w:val="none"/>
        </w:rPr>
        <w:t>□</w:t>
      </w:r>
      <w:r>
        <w:rPr>
          <w:rFonts w:ascii="宋体" w:hAnsi="宋体"/>
          <w:sz w:val="24"/>
          <w:highlight w:val="none"/>
        </w:rPr>
        <w:t>本项目不专门面向中小企业预留采购份额。</w:t>
      </w:r>
    </w:p>
    <w:p w14:paraId="5AEA1AC4">
      <w:pPr>
        <w:spacing w:line="360" w:lineRule="auto"/>
        <w:ind w:firstLine="480" w:firstLineChars="200"/>
        <w:rPr>
          <w:rFonts w:hint="eastAsia" w:ascii="宋体" w:hAnsi="宋体"/>
          <w:sz w:val="24"/>
          <w:highlight w:val="none"/>
        </w:rPr>
      </w:pPr>
      <w:r>
        <w:rPr>
          <w:rFonts w:hint="eastAsia" w:ascii="宋体" w:hAnsi="宋体" w:cs="宋体"/>
          <w:color w:val="auto"/>
          <w:sz w:val="24"/>
          <w:highlight w:val="none"/>
        </w:rPr>
        <w:t>■</w:t>
      </w:r>
      <w:r>
        <w:rPr>
          <w:rFonts w:ascii="宋体" w:hAnsi="宋体"/>
          <w:sz w:val="24"/>
          <w:highlight w:val="none"/>
        </w:rPr>
        <w:t xml:space="preserve">本项目专门面向  </w:t>
      </w:r>
      <w:r>
        <w:rPr>
          <w:rFonts w:ascii="宋体" w:hAnsi="宋体"/>
          <w:highlight w:val="none"/>
        </w:rPr>
        <w:t>□</w:t>
      </w:r>
      <w:r>
        <w:rPr>
          <w:rFonts w:ascii="宋体" w:hAnsi="宋体"/>
          <w:sz w:val="24"/>
          <w:highlight w:val="none"/>
        </w:rPr>
        <w:t xml:space="preserve">中小 </w:t>
      </w:r>
      <w:r>
        <w:rPr>
          <w:rFonts w:hint="eastAsia" w:ascii="宋体" w:hAnsi="宋体" w:cs="宋体"/>
          <w:color w:val="auto"/>
          <w:sz w:val="24"/>
          <w:highlight w:val="none"/>
        </w:rPr>
        <w:t>■</w:t>
      </w:r>
      <w:r>
        <w:rPr>
          <w:rFonts w:ascii="宋体" w:hAnsi="宋体"/>
          <w:sz w:val="24"/>
          <w:highlight w:val="none"/>
        </w:rPr>
        <w:t>小微企业  采购。即：提供的货物全部由符合政策要求的中小/小微企业制造、服务全部由符合政策要求的中小/小微企业承接。</w:t>
      </w:r>
    </w:p>
    <w:p w14:paraId="6211A858">
      <w:pPr>
        <w:spacing w:line="360" w:lineRule="auto"/>
        <w:ind w:firstLine="420" w:firstLineChars="200"/>
        <w:rPr>
          <w:rFonts w:hint="eastAsia" w:ascii="宋体" w:hAnsi="宋体"/>
          <w:sz w:val="24"/>
          <w:highlight w:val="none"/>
        </w:rPr>
      </w:pPr>
      <w:r>
        <w:rPr>
          <w:rFonts w:ascii="宋体" w:hAnsi="宋体"/>
          <w:highlight w:val="none"/>
        </w:rPr>
        <w:t>□</w:t>
      </w:r>
      <w:r>
        <w:rPr>
          <w:rFonts w:ascii="宋体" w:hAnsi="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5A741B53">
      <w:pPr>
        <w:spacing w:line="360" w:lineRule="auto"/>
        <w:ind w:firstLine="480" w:firstLineChars="200"/>
        <w:rPr>
          <w:rFonts w:hint="eastAsia" w:ascii="宋体" w:hAnsi="宋体"/>
          <w:sz w:val="24"/>
          <w:highlight w:val="none"/>
        </w:rPr>
      </w:pPr>
      <w:r>
        <w:rPr>
          <w:rFonts w:ascii="宋体" w:hAnsi="宋体"/>
          <w:sz w:val="24"/>
          <w:highlight w:val="none"/>
        </w:rPr>
        <w:t>2.2 其它落实政府采购政策的资格要求（如有）：</w:t>
      </w:r>
      <w:r>
        <w:rPr>
          <w:rFonts w:hint="eastAsia" w:ascii="宋体" w:hAnsi="宋体"/>
          <w:sz w:val="24"/>
          <w:highlight w:val="none"/>
          <w:u w:val="single"/>
        </w:rPr>
        <w:t>无</w:t>
      </w:r>
      <w:r>
        <w:rPr>
          <w:rFonts w:ascii="宋体" w:hAnsi="宋体"/>
          <w:sz w:val="24"/>
          <w:highlight w:val="none"/>
        </w:rPr>
        <w:t>。</w:t>
      </w:r>
    </w:p>
    <w:p w14:paraId="33491373">
      <w:pPr>
        <w:spacing w:line="360" w:lineRule="auto"/>
        <w:ind w:firstLine="480" w:firstLineChars="200"/>
        <w:rPr>
          <w:rFonts w:hint="eastAsia" w:ascii="宋体" w:hAnsi="宋体"/>
          <w:i/>
          <w:iCs/>
          <w:sz w:val="24"/>
          <w:highlight w:val="none"/>
          <w:u w:val="single"/>
        </w:rPr>
      </w:pPr>
      <w:r>
        <w:rPr>
          <w:rFonts w:ascii="宋体" w:hAnsi="宋体"/>
          <w:sz w:val="24"/>
          <w:highlight w:val="none"/>
        </w:rPr>
        <w:t>3.本项目的特定资格要求：</w:t>
      </w:r>
    </w:p>
    <w:p w14:paraId="157BE385">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3.1本项目是否属于政府购买服务：</w:t>
      </w:r>
    </w:p>
    <w:p w14:paraId="4CD41665">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hint="eastAsia" w:ascii="宋体" w:hAnsi="宋体" w:cs="宋体"/>
          <w:color w:val="auto"/>
          <w:sz w:val="24"/>
          <w:highlight w:val="none"/>
        </w:rPr>
        <w:t>■</w:t>
      </w:r>
      <w:r>
        <w:rPr>
          <w:rFonts w:ascii="宋体" w:hAnsi="宋体"/>
          <w:sz w:val="24"/>
          <w:highlight w:val="none"/>
        </w:rPr>
        <w:t>否</w:t>
      </w:r>
    </w:p>
    <w:p w14:paraId="7F6BF98E">
      <w:pPr>
        <w:tabs>
          <w:tab w:val="left" w:pos="900"/>
          <w:tab w:val="left" w:pos="1134"/>
          <w:tab w:val="left" w:pos="1589"/>
          <w:tab w:val="left" w:pos="5521"/>
        </w:tabs>
        <w:snapToGrid w:val="0"/>
        <w:spacing w:line="360" w:lineRule="auto"/>
        <w:ind w:firstLine="420" w:firstLineChars="200"/>
        <w:rPr>
          <w:rFonts w:hint="eastAsia" w:ascii="宋体" w:hAnsi="宋体"/>
          <w:sz w:val="24"/>
          <w:highlight w:val="none"/>
        </w:rPr>
      </w:pPr>
      <w:r>
        <w:rPr>
          <w:rFonts w:hint="eastAsia" w:ascii="宋体" w:hAnsi="宋体"/>
          <w:highlight w:val="none"/>
        </w:rPr>
        <w:t>□</w:t>
      </w:r>
      <w:r>
        <w:rPr>
          <w:rFonts w:ascii="宋体" w:hAnsi="宋体"/>
          <w:sz w:val="24"/>
          <w:highlight w:val="none"/>
        </w:rPr>
        <w:t>是，公益一类事业单位、使用事业编制且由财政拨款保障的群团组织，不得作为承接主体；</w:t>
      </w:r>
    </w:p>
    <w:p w14:paraId="13774928">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u w:val="single"/>
        </w:rPr>
      </w:pPr>
      <w:r>
        <w:rPr>
          <w:rFonts w:ascii="宋体" w:hAnsi="宋体"/>
          <w:sz w:val="24"/>
          <w:highlight w:val="none"/>
        </w:rPr>
        <w:t>3.2其他特定资格要求：</w:t>
      </w:r>
      <w:r>
        <w:rPr>
          <w:rFonts w:hint="eastAsia" w:ascii="宋体" w:hAnsi="宋体"/>
          <w:sz w:val="24"/>
          <w:highlight w:val="none"/>
          <w:u w:val="single"/>
        </w:rPr>
        <w:t>通过</w:t>
      </w:r>
      <w:r>
        <w:rPr>
          <w:rFonts w:ascii="宋体" w:hAnsi="宋体"/>
          <w:sz w:val="24"/>
          <w:highlight w:val="none"/>
          <w:u w:val="single"/>
        </w:rPr>
        <w:t>“</w:t>
      </w:r>
      <w:r>
        <w:rPr>
          <w:rFonts w:hint="eastAsia" w:ascii="宋体" w:hAnsi="宋体"/>
          <w:sz w:val="24"/>
          <w:highlight w:val="none"/>
          <w:u w:val="single"/>
        </w:rPr>
        <w:t>信用中国</w:t>
      </w:r>
      <w:r>
        <w:rPr>
          <w:rFonts w:ascii="宋体" w:hAnsi="宋体"/>
          <w:sz w:val="24"/>
          <w:highlight w:val="none"/>
          <w:u w:val="single"/>
        </w:rPr>
        <w:t>”</w:t>
      </w:r>
      <w:r>
        <w:rPr>
          <w:rFonts w:hint="eastAsia" w:ascii="宋体" w:hAnsi="宋体"/>
          <w:sz w:val="24"/>
          <w:highlight w:val="none"/>
          <w:u w:val="single"/>
        </w:rPr>
        <w:t>网站（</w:t>
      </w:r>
      <w:r>
        <w:rPr>
          <w:rFonts w:ascii="宋体" w:hAnsi="宋体"/>
          <w:sz w:val="24"/>
          <w:highlight w:val="none"/>
          <w:u w:val="single"/>
        </w:rPr>
        <w:t>www.creditchina.gov.cn</w:t>
      </w:r>
      <w:r>
        <w:rPr>
          <w:rFonts w:hint="eastAsia" w:ascii="宋体" w:hAnsi="宋体"/>
          <w:sz w:val="24"/>
          <w:highlight w:val="none"/>
          <w:u w:val="single"/>
        </w:rPr>
        <w:t>）、中国政府采购网（</w:t>
      </w:r>
      <w:r>
        <w:rPr>
          <w:rFonts w:ascii="宋体" w:hAnsi="宋体"/>
          <w:sz w:val="24"/>
          <w:highlight w:val="none"/>
          <w:u w:val="single"/>
        </w:rPr>
        <w:t>www.ccgp.gov.cn</w:t>
      </w:r>
      <w:r>
        <w:rPr>
          <w:rFonts w:hint="eastAsia" w:ascii="宋体" w:hAnsi="宋体"/>
          <w:sz w:val="24"/>
          <w:highlight w:val="none"/>
          <w:u w:val="single"/>
        </w:rPr>
        <w:t>）等查询信用记录，被列入失信被执行人、重大税收违法案件当事人名单、政府采购严重违法失信行为记录名单的供应商，没有资格参加本项目的政府采购活动。</w:t>
      </w:r>
    </w:p>
    <w:p w14:paraId="623E2D90">
      <w:pPr>
        <w:tabs>
          <w:tab w:val="left" w:pos="900"/>
          <w:tab w:val="left" w:pos="1134"/>
          <w:tab w:val="left" w:pos="1589"/>
          <w:tab w:val="left" w:pos="5521"/>
        </w:tabs>
        <w:snapToGrid w:val="0"/>
        <w:spacing w:line="360" w:lineRule="auto"/>
        <w:rPr>
          <w:rFonts w:hint="eastAsia" w:ascii="宋体" w:hAnsi="宋体"/>
          <w:sz w:val="24"/>
          <w:highlight w:val="none"/>
          <w:u w:val="single"/>
        </w:rPr>
      </w:pPr>
      <w:r>
        <w:rPr>
          <w:rFonts w:hint="eastAsia" w:ascii="宋体" w:hAnsi="宋体"/>
          <w:sz w:val="24"/>
          <w:highlight w:val="none"/>
          <w:u w:val="single"/>
        </w:rPr>
        <w:t xml:space="preserve">1）供应商须具备建设行政主管部门核发的建筑工程施工总承包三级及以上资质； </w:t>
      </w:r>
    </w:p>
    <w:p w14:paraId="0666E9B3">
      <w:pPr>
        <w:tabs>
          <w:tab w:val="left" w:pos="900"/>
          <w:tab w:val="left" w:pos="1134"/>
          <w:tab w:val="left" w:pos="1589"/>
          <w:tab w:val="left" w:pos="5521"/>
        </w:tabs>
        <w:snapToGrid w:val="0"/>
        <w:spacing w:line="360" w:lineRule="auto"/>
        <w:rPr>
          <w:rFonts w:hint="eastAsia" w:ascii="宋体" w:hAnsi="宋体"/>
          <w:sz w:val="24"/>
          <w:highlight w:val="none"/>
          <w:u w:val="single"/>
        </w:rPr>
      </w:pPr>
      <w:r>
        <w:rPr>
          <w:rFonts w:hint="eastAsia" w:ascii="宋体" w:hAnsi="宋体"/>
          <w:sz w:val="24"/>
          <w:highlight w:val="none"/>
          <w:u w:val="single"/>
        </w:rPr>
        <w:t xml:space="preserve">2）供应商具有有效的安全生产许可证； </w:t>
      </w:r>
    </w:p>
    <w:p w14:paraId="35201939">
      <w:pPr>
        <w:tabs>
          <w:tab w:val="left" w:pos="900"/>
          <w:tab w:val="left" w:pos="1134"/>
          <w:tab w:val="left" w:pos="1589"/>
          <w:tab w:val="left" w:pos="5521"/>
        </w:tabs>
        <w:snapToGrid w:val="0"/>
        <w:spacing w:line="360" w:lineRule="auto"/>
        <w:rPr>
          <w:rFonts w:hint="eastAsia" w:ascii="宋体" w:hAnsi="宋体"/>
          <w:sz w:val="24"/>
          <w:highlight w:val="none"/>
          <w:u w:val="single"/>
        </w:rPr>
      </w:pPr>
      <w:r>
        <w:rPr>
          <w:rFonts w:hint="eastAsia" w:ascii="宋体" w:hAnsi="宋体"/>
          <w:sz w:val="24"/>
          <w:highlight w:val="none"/>
          <w:u w:val="single"/>
        </w:rPr>
        <w:t>3）供应商拟派项目经理须具备建筑工程专业二级（含）以上的注册建造师执业资格，且注册证书在有效期内的人员，具备有效的安全生产考核合格证书（B 本）</w:t>
      </w:r>
      <w:r>
        <w:rPr>
          <w:rFonts w:hint="eastAsia" w:ascii="宋体" w:hAnsi="宋体"/>
          <w:sz w:val="24"/>
          <w:highlight w:val="none"/>
          <w:u w:val="single"/>
          <w:lang w:eastAsia="zh-CN"/>
        </w:rPr>
        <w:t>，</w:t>
      </w:r>
      <w:r>
        <w:rPr>
          <w:rFonts w:hint="eastAsia" w:ascii="宋体" w:hAnsi="宋体" w:cstheme="minorEastAsia"/>
          <w:sz w:val="24"/>
          <w:highlight w:val="none"/>
          <w:u w:val="single"/>
          <w:shd w:val="clear" w:color="auto" w:fill="FFFFFF"/>
        </w:rPr>
        <w:t>且未担任其他在施建设工程项目的项目经理</w:t>
      </w:r>
      <w:r>
        <w:rPr>
          <w:rFonts w:hint="eastAsia" w:ascii="宋体" w:hAnsi="宋体"/>
          <w:sz w:val="24"/>
          <w:highlight w:val="none"/>
          <w:u w:val="single"/>
        </w:rPr>
        <w:t>；</w:t>
      </w:r>
    </w:p>
    <w:p w14:paraId="2B746518">
      <w:pPr>
        <w:numPr>
          <w:ilvl w:val="0"/>
          <w:numId w:val="8"/>
        </w:numPr>
        <w:tabs>
          <w:tab w:val="left" w:pos="900"/>
          <w:tab w:val="left" w:pos="1134"/>
          <w:tab w:val="left" w:pos="1589"/>
          <w:tab w:val="left" w:pos="5521"/>
        </w:tabs>
        <w:snapToGrid w:val="0"/>
        <w:spacing w:line="360" w:lineRule="auto"/>
        <w:rPr>
          <w:rFonts w:hint="eastAsia" w:ascii="宋体" w:hAnsi="宋体"/>
          <w:sz w:val="24"/>
          <w:highlight w:val="none"/>
          <w:u w:val="single"/>
        </w:rPr>
      </w:pPr>
      <w:r>
        <w:rPr>
          <w:rFonts w:hint="eastAsia" w:ascii="宋体" w:hAnsi="宋体"/>
          <w:sz w:val="24"/>
          <w:highlight w:val="none"/>
          <w:u w:val="single"/>
        </w:rPr>
        <w:t>外地企业参与本项目投标需提交有效的外省市建筑企业来京施工备案证明，外地来京建筑企业在办理进京备案时，应当一并办理注册建造师备案手续，已办理备案的外地来京建筑企业注册建造师方可在本市行政区域内开展执业活动；</w:t>
      </w:r>
    </w:p>
    <w:p w14:paraId="2B5704D7">
      <w:pPr>
        <w:numPr>
          <w:ilvl w:val="0"/>
          <w:numId w:val="8"/>
        </w:numPr>
        <w:tabs>
          <w:tab w:val="left" w:pos="900"/>
          <w:tab w:val="left" w:pos="1134"/>
          <w:tab w:val="left" w:pos="1589"/>
          <w:tab w:val="left" w:pos="5521"/>
        </w:tabs>
        <w:snapToGrid w:val="0"/>
        <w:spacing w:line="360" w:lineRule="auto"/>
        <w:rPr>
          <w:rFonts w:hint="eastAsia" w:ascii="宋体" w:hAnsi="宋体"/>
          <w:sz w:val="24"/>
          <w:highlight w:val="none"/>
          <w:u w:val="single"/>
        </w:rPr>
      </w:pPr>
      <w:r>
        <w:rPr>
          <w:rFonts w:hint="eastAsia" w:ascii="宋体" w:hAnsi="宋体"/>
          <w:sz w:val="24"/>
          <w:highlight w:val="none"/>
          <w:u w:val="single"/>
        </w:rPr>
        <w:t>凡受托为本项目提供整体设计、规范编制或者项目管理、监理、检测等服务的投标人，不得参加投标。</w:t>
      </w:r>
    </w:p>
    <w:bookmarkEnd w:id="10"/>
    <w:bookmarkEnd w:id="11"/>
    <w:p w14:paraId="686B73FA">
      <w:pPr>
        <w:pStyle w:val="3"/>
        <w:widowControl/>
        <w:spacing w:before="0" w:line="360" w:lineRule="auto"/>
        <w:jc w:val="left"/>
        <w:rPr>
          <w:rFonts w:hint="eastAsia" w:ascii="宋体" w:hAnsi="宋体" w:eastAsia="宋体"/>
          <w:sz w:val="24"/>
          <w:szCs w:val="24"/>
          <w:highlight w:val="none"/>
        </w:rPr>
      </w:pPr>
      <w:bookmarkStart w:id="12" w:name="_Toc35393792"/>
      <w:bookmarkStart w:id="13" w:name="_Toc35393623"/>
      <w:r>
        <w:rPr>
          <w:rFonts w:ascii="宋体" w:hAnsi="宋体" w:eastAsia="宋体"/>
          <w:sz w:val="24"/>
          <w:szCs w:val="24"/>
          <w:highlight w:val="none"/>
        </w:rPr>
        <w:t>三、获取采购文件</w:t>
      </w:r>
      <w:bookmarkEnd w:id="12"/>
      <w:bookmarkEnd w:id="13"/>
    </w:p>
    <w:p w14:paraId="7D4D3241">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1.时间：</w:t>
      </w:r>
      <w:r>
        <w:rPr>
          <w:rFonts w:hint="eastAsia" w:ascii="宋体" w:hAnsi="宋体"/>
          <w:sz w:val="24"/>
          <w:highlight w:val="none"/>
        </w:rPr>
        <w:t>2026</w:t>
      </w:r>
      <w:r>
        <w:rPr>
          <w:rFonts w:ascii="宋体" w:hAnsi="宋体"/>
          <w:sz w:val="24"/>
          <w:highlight w:val="none"/>
          <w:lang w:bidi="ar"/>
        </w:rPr>
        <w:t>年</w:t>
      </w:r>
      <w:r>
        <w:rPr>
          <w:rFonts w:hint="eastAsia" w:ascii="宋体" w:hAnsi="宋体"/>
          <w:sz w:val="24"/>
          <w:highlight w:val="none"/>
          <w:lang w:val="en-US" w:eastAsia="zh-CN"/>
        </w:rPr>
        <w:t>4</w:t>
      </w:r>
      <w:r>
        <w:rPr>
          <w:rFonts w:ascii="宋体" w:hAnsi="宋体"/>
          <w:sz w:val="24"/>
          <w:highlight w:val="none"/>
          <w:lang w:bidi="ar"/>
        </w:rPr>
        <w:t>月</w:t>
      </w:r>
      <w:r>
        <w:rPr>
          <w:rFonts w:hint="eastAsia" w:ascii="宋体" w:hAnsi="宋体"/>
          <w:sz w:val="24"/>
          <w:highlight w:val="none"/>
          <w:lang w:val="en-US" w:eastAsia="zh-CN"/>
        </w:rPr>
        <w:t>20</w:t>
      </w:r>
      <w:r>
        <w:rPr>
          <w:rFonts w:ascii="宋体" w:hAnsi="宋体"/>
          <w:sz w:val="24"/>
          <w:highlight w:val="none"/>
          <w:lang w:bidi="ar"/>
        </w:rPr>
        <w:t>日至</w:t>
      </w:r>
      <w:r>
        <w:rPr>
          <w:rFonts w:hint="eastAsia" w:ascii="宋体" w:hAnsi="宋体"/>
          <w:sz w:val="24"/>
          <w:highlight w:val="none"/>
        </w:rPr>
        <w:t>2026</w:t>
      </w:r>
      <w:r>
        <w:rPr>
          <w:rFonts w:ascii="宋体" w:hAnsi="宋体"/>
          <w:sz w:val="24"/>
          <w:highlight w:val="none"/>
          <w:lang w:bidi="ar"/>
        </w:rPr>
        <w:t>年</w:t>
      </w:r>
      <w:r>
        <w:rPr>
          <w:rFonts w:hint="eastAsia" w:ascii="宋体" w:hAnsi="宋体"/>
          <w:sz w:val="24"/>
          <w:highlight w:val="none"/>
        </w:rPr>
        <w:t>4</w:t>
      </w:r>
      <w:r>
        <w:rPr>
          <w:rFonts w:ascii="宋体" w:hAnsi="宋体"/>
          <w:sz w:val="24"/>
          <w:highlight w:val="none"/>
          <w:lang w:bidi="ar"/>
        </w:rPr>
        <w:t>月</w:t>
      </w:r>
      <w:r>
        <w:rPr>
          <w:rFonts w:hint="eastAsia" w:ascii="宋体" w:hAnsi="宋体"/>
          <w:sz w:val="24"/>
          <w:highlight w:val="none"/>
          <w:lang w:val="en-US" w:eastAsia="zh-CN"/>
        </w:rPr>
        <w:t>27</w:t>
      </w:r>
      <w:r>
        <w:rPr>
          <w:rFonts w:ascii="宋体" w:hAnsi="宋体"/>
          <w:sz w:val="24"/>
          <w:highlight w:val="none"/>
          <w:lang w:bidi="ar"/>
        </w:rPr>
        <w:t>日，每天上午</w:t>
      </w:r>
      <w:r>
        <w:rPr>
          <w:rFonts w:hint="eastAsia" w:ascii="宋体" w:hAnsi="宋体"/>
          <w:sz w:val="24"/>
          <w:highlight w:val="none"/>
          <w:lang w:bidi="ar"/>
        </w:rPr>
        <w:t>9:00</w:t>
      </w:r>
      <w:r>
        <w:rPr>
          <w:rFonts w:ascii="宋体" w:hAnsi="宋体"/>
          <w:sz w:val="24"/>
          <w:highlight w:val="none"/>
          <w:lang w:bidi="ar"/>
        </w:rPr>
        <w:t>至</w:t>
      </w:r>
      <w:r>
        <w:rPr>
          <w:rFonts w:hint="eastAsia" w:ascii="宋体" w:hAnsi="宋体"/>
          <w:sz w:val="24"/>
          <w:highlight w:val="none"/>
          <w:lang w:bidi="ar"/>
        </w:rPr>
        <w:t>12:00</w:t>
      </w:r>
      <w:r>
        <w:rPr>
          <w:rFonts w:ascii="宋体" w:hAnsi="宋体"/>
          <w:sz w:val="24"/>
          <w:highlight w:val="none"/>
          <w:lang w:bidi="ar"/>
        </w:rPr>
        <w:t>，下午</w:t>
      </w:r>
      <w:r>
        <w:rPr>
          <w:rFonts w:hint="eastAsia" w:ascii="宋体" w:hAnsi="宋体"/>
          <w:sz w:val="24"/>
          <w:highlight w:val="none"/>
          <w:lang w:bidi="ar"/>
        </w:rPr>
        <w:t>13:00</w:t>
      </w:r>
      <w:r>
        <w:rPr>
          <w:rFonts w:ascii="宋体" w:hAnsi="宋体"/>
          <w:sz w:val="24"/>
          <w:highlight w:val="none"/>
          <w:lang w:bidi="ar"/>
        </w:rPr>
        <w:t>至</w:t>
      </w:r>
      <w:r>
        <w:rPr>
          <w:rFonts w:hint="eastAsia" w:ascii="宋体" w:hAnsi="宋体"/>
          <w:sz w:val="24"/>
          <w:highlight w:val="none"/>
          <w:lang w:bidi="ar"/>
        </w:rPr>
        <w:t>1</w:t>
      </w:r>
      <w:r>
        <w:rPr>
          <w:rFonts w:hint="eastAsia" w:ascii="宋体" w:hAnsi="宋体"/>
          <w:sz w:val="24"/>
          <w:highlight w:val="none"/>
          <w:lang w:val="en-US" w:eastAsia="zh-CN" w:bidi="ar"/>
        </w:rPr>
        <w:t>8</w:t>
      </w:r>
      <w:r>
        <w:rPr>
          <w:rFonts w:hint="eastAsia" w:ascii="宋体" w:hAnsi="宋体"/>
          <w:sz w:val="24"/>
          <w:highlight w:val="none"/>
          <w:lang w:bidi="ar"/>
        </w:rPr>
        <w:t>:00</w:t>
      </w:r>
      <w:r>
        <w:rPr>
          <w:rFonts w:ascii="宋体" w:hAnsi="宋体"/>
          <w:sz w:val="24"/>
          <w:highlight w:val="none"/>
          <w:lang w:bidi="ar"/>
        </w:rPr>
        <w:t>（北京时间，法定节假日除外）。</w:t>
      </w:r>
    </w:p>
    <w:p w14:paraId="158DF229">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2.地点：北京市政府采购电子交易平台</w:t>
      </w:r>
    </w:p>
    <w:p w14:paraId="018FBCD4">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3.方式：供应商使用</w:t>
      </w:r>
      <w:bookmarkStart w:id="2523" w:name="_GoBack"/>
      <w:bookmarkEnd w:id="2523"/>
      <w:r>
        <w:rPr>
          <w:rFonts w:ascii="宋体" w:hAnsi="宋体"/>
          <w:sz w:val="24"/>
          <w:highlight w:val="none"/>
          <w:lang w:bidi="ar"/>
        </w:rPr>
        <w:t>CA数字证书或电子营业执照登录北京市政府采购电子交易平台（http://zbcg-bjzc.zhongcy.com/bjczj-portal-site/index.html#/home）获取电子版竞争性磋商文件。</w:t>
      </w:r>
    </w:p>
    <w:p w14:paraId="024BD1C2">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4.售价：0元。</w:t>
      </w:r>
    </w:p>
    <w:p w14:paraId="62141BF3">
      <w:pPr>
        <w:pStyle w:val="3"/>
        <w:widowControl/>
        <w:spacing w:before="0" w:line="360" w:lineRule="auto"/>
        <w:jc w:val="left"/>
        <w:rPr>
          <w:rFonts w:hint="eastAsia" w:ascii="宋体" w:hAnsi="宋体" w:eastAsia="宋体"/>
          <w:sz w:val="24"/>
          <w:szCs w:val="24"/>
          <w:highlight w:val="none"/>
        </w:rPr>
      </w:pPr>
      <w:bookmarkStart w:id="14" w:name="_Toc35393624"/>
      <w:bookmarkStart w:id="15" w:name="_Toc28359082"/>
      <w:bookmarkStart w:id="16" w:name="_Toc28359005"/>
      <w:bookmarkStart w:id="17" w:name="_Toc35393793"/>
      <w:r>
        <w:rPr>
          <w:rFonts w:ascii="宋体" w:hAnsi="宋体" w:eastAsia="宋体"/>
          <w:sz w:val="24"/>
          <w:szCs w:val="24"/>
          <w:highlight w:val="none"/>
        </w:rPr>
        <w:t>四、</w:t>
      </w:r>
      <w:bookmarkEnd w:id="14"/>
      <w:bookmarkEnd w:id="15"/>
      <w:bookmarkEnd w:id="16"/>
      <w:bookmarkEnd w:id="17"/>
      <w:r>
        <w:rPr>
          <w:rFonts w:ascii="宋体" w:hAnsi="宋体" w:eastAsia="宋体"/>
          <w:sz w:val="24"/>
          <w:szCs w:val="24"/>
          <w:highlight w:val="none"/>
        </w:rPr>
        <w:t>响应文件提交</w:t>
      </w:r>
    </w:p>
    <w:p w14:paraId="38811B19">
      <w:pPr>
        <w:spacing w:line="360" w:lineRule="auto"/>
        <w:ind w:firstLine="480" w:firstLineChars="200"/>
        <w:rPr>
          <w:rFonts w:hint="eastAsia" w:ascii="宋体" w:hAnsi="宋体"/>
          <w:bCs/>
          <w:sz w:val="24"/>
          <w:highlight w:val="none"/>
          <w:u w:val="single"/>
        </w:rPr>
      </w:pPr>
      <w:r>
        <w:rPr>
          <w:rFonts w:ascii="宋体" w:hAnsi="宋体"/>
          <w:sz w:val="24"/>
          <w:highlight w:val="none"/>
          <w:lang w:bidi="ar"/>
        </w:rPr>
        <w:t>截止时间：</w:t>
      </w:r>
      <w:r>
        <w:rPr>
          <w:rFonts w:hint="eastAsia" w:ascii="宋体" w:hAnsi="宋体"/>
          <w:sz w:val="24"/>
          <w:highlight w:val="none"/>
        </w:rPr>
        <w:t>2026</w:t>
      </w:r>
      <w:r>
        <w:rPr>
          <w:rFonts w:ascii="宋体" w:hAnsi="宋体"/>
          <w:sz w:val="24"/>
          <w:highlight w:val="none"/>
          <w:lang w:bidi="ar"/>
        </w:rPr>
        <w:t>年</w:t>
      </w:r>
      <w:r>
        <w:rPr>
          <w:rFonts w:hint="eastAsia" w:ascii="宋体" w:hAnsi="宋体"/>
          <w:sz w:val="24"/>
          <w:highlight w:val="none"/>
          <w:lang w:val="en-US" w:eastAsia="zh-CN"/>
        </w:rPr>
        <w:t>5</w:t>
      </w:r>
      <w:r>
        <w:rPr>
          <w:rFonts w:ascii="宋体" w:hAnsi="宋体"/>
          <w:sz w:val="24"/>
          <w:highlight w:val="none"/>
          <w:lang w:bidi="ar"/>
        </w:rPr>
        <w:t>月</w:t>
      </w:r>
      <w:r>
        <w:rPr>
          <w:rFonts w:hint="eastAsia" w:ascii="宋体" w:hAnsi="宋体"/>
          <w:sz w:val="24"/>
          <w:highlight w:val="none"/>
          <w:lang w:val="en-US" w:eastAsia="zh-CN"/>
        </w:rPr>
        <w:t>7</w:t>
      </w:r>
      <w:r>
        <w:rPr>
          <w:rFonts w:ascii="宋体" w:hAnsi="宋体"/>
          <w:sz w:val="24"/>
          <w:highlight w:val="none"/>
          <w:lang w:bidi="ar"/>
        </w:rPr>
        <w:t>日</w:t>
      </w:r>
      <w:r>
        <w:rPr>
          <w:rFonts w:hint="eastAsia" w:ascii="宋体" w:hAnsi="宋体"/>
          <w:sz w:val="24"/>
          <w:highlight w:val="none"/>
          <w:lang w:val="en-US" w:eastAsia="zh-CN"/>
        </w:rPr>
        <w:t>14</w:t>
      </w:r>
      <w:r>
        <w:rPr>
          <w:rFonts w:ascii="宋体" w:hAnsi="宋体"/>
          <w:sz w:val="24"/>
          <w:highlight w:val="none"/>
          <w:lang w:bidi="ar"/>
        </w:rPr>
        <w:t>点</w:t>
      </w:r>
      <w:r>
        <w:rPr>
          <w:rFonts w:hint="eastAsia" w:ascii="宋体" w:hAnsi="宋体"/>
          <w:sz w:val="24"/>
          <w:highlight w:val="none"/>
          <w:lang w:val="en-US" w:eastAsia="zh-CN"/>
        </w:rPr>
        <w:t>30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4BF959C2">
      <w:pPr>
        <w:spacing w:line="360" w:lineRule="auto"/>
        <w:ind w:firstLine="480" w:firstLineChars="200"/>
        <w:rPr>
          <w:rFonts w:hint="eastAsia"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lang w:bidi="ar"/>
        </w:rPr>
        <w:t>北京市政府采购电子交易平台</w:t>
      </w:r>
      <w:r>
        <w:rPr>
          <w:rFonts w:ascii="宋体" w:hAnsi="宋体"/>
          <w:sz w:val="24"/>
          <w:highlight w:val="none"/>
          <w:lang w:val="zh-TW" w:bidi="ar"/>
        </w:rPr>
        <w:t>。</w:t>
      </w:r>
    </w:p>
    <w:p w14:paraId="597833D6">
      <w:pPr>
        <w:pStyle w:val="3"/>
        <w:spacing w:before="0" w:line="360" w:lineRule="auto"/>
        <w:jc w:val="left"/>
        <w:rPr>
          <w:rFonts w:hint="eastAsia" w:ascii="宋体" w:hAnsi="宋体" w:eastAsia="宋体"/>
          <w:sz w:val="24"/>
          <w:szCs w:val="24"/>
          <w:highlight w:val="none"/>
        </w:rPr>
      </w:pPr>
      <w:r>
        <w:rPr>
          <w:rFonts w:ascii="宋体" w:hAnsi="宋体" w:eastAsia="宋体"/>
          <w:sz w:val="24"/>
          <w:szCs w:val="24"/>
          <w:highlight w:val="none"/>
        </w:rPr>
        <w:t>五、开启</w:t>
      </w:r>
    </w:p>
    <w:p w14:paraId="73696CE2">
      <w:pPr>
        <w:spacing w:line="360" w:lineRule="auto"/>
        <w:ind w:firstLine="480" w:firstLineChars="200"/>
        <w:rPr>
          <w:rFonts w:hint="eastAsia" w:ascii="宋体" w:hAnsi="宋体"/>
          <w:bCs/>
          <w:sz w:val="24"/>
          <w:highlight w:val="none"/>
          <w:u w:val="single"/>
        </w:rPr>
      </w:pPr>
      <w:r>
        <w:rPr>
          <w:rFonts w:ascii="宋体" w:hAnsi="宋体"/>
          <w:sz w:val="24"/>
          <w:highlight w:val="none"/>
          <w:lang w:bidi="ar"/>
        </w:rPr>
        <w:t>时间：</w:t>
      </w:r>
      <w:r>
        <w:rPr>
          <w:rFonts w:hint="eastAsia" w:ascii="宋体" w:hAnsi="宋体"/>
          <w:sz w:val="24"/>
          <w:highlight w:val="none"/>
        </w:rPr>
        <w:t>2026</w:t>
      </w:r>
      <w:r>
        <w:rPr>
          <w:rFonts w:ascii="宋体" w:hAnsi="宋体"/>
          <w:sz w:val="24"/>
          <w:highlight w:val="none"/>
          <w:lang w:bidi="ar"/>
        </w:rPr>
        <w:t>年</w:t>
      </w:r>
      <w:r>
        <w:rPr>
          <w:rFonts w:hint="eastAsia" w:ascii="宋体" w:hAnsi="宋体"/>
          <w:sz w:val="24"/>
          <w:highlight w:val="none"/>
          <w:lang w:val="en-US" w:eastAsia="zh-CN"/>
        </w:rPr>
        <w:t>5</w:t>
      </w:r>
      <w:r>
        <w:rPr>
          <w:rFonts w:ascii="宋体" w:hAnsi="宋体"/>
          <w:sz w:val="24"/>
          <w:highlight w:val="none"/>
          <w:lang w:bidi="ar"/>
        </w:rPr>
        <w:t>月</w:t>
      </w:r>
      <w:r>
        <w:rPr>
          <w:rFonts w:hint="eastAsia" w:ascii="宋体" w:hAnsi="宋体"/>
          <w:sz w:val="24"/>
          <w:highlight w:val="none"/>
          <w:lang w:val="en-US" w:eastAsia="zh-CN"/>
        </w:rPr>
        <w:t>7</w:t>
      </w:r>
      <w:r>
        <w:rPr>
          <w:rFonts w:ascii="宋体" w:hAnsi="宋体"/>
          <w:sz w:val="24"/>
          <w:highlight w:val="none"/>
          <w:lang w:bidi="ar"/>
        </w:rPr>
        <w:t>日</w:t>
      </w:r>
      <w:r>
        <w:rPr>
          <w:rFonts w:hint="eastAsia" w:ascii="宋体" w:hAnsi="宋体"/>
          <w:sz w:val="24"/>
          <w:highlight w:val="none"/>
          <w:lang w:val="en-US" w:eastAsia="zh-CN"/>
        </w:rPr>
        <w:t>14</w:t>
      </w:r>
      <w:r>
        <w:rPr>
          <w:rFonts w:ascii="宋体" w:hAnsi="宋体"/>
          <w:sz w:val="24"/>
          <w:highlight w:val="none"/>
          <w:lang w:bidi="ar"/>
        </w:rPr>
        <w:t>点</w:t>
      </w:r>
      <w:r>
        <w:rPr>
          <w:rFonts w:hint="eastAsia" w:ascii="宋体" w:hAnsi="宋体"/>
          <w:sz w:val="24"/>
          <w:highlight w:val="none"/>
          <w:lang w:val="en-US" w:eastAsia="zh-CN"/>
        </w:rPr>
        <w:t>30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2E8319A2">
      <w:pPr>
        <w:spacing w:line="360" w:lineRule="auto"/>
        <w:ind w:firstLine="480" w:firstLineChars="200"/>
        <w:rPr>
          <w:rFonts w:hint="eastAsia"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lang w:bidi="ar"/>
        </w:rPr>
        <w:t>北京市政府采购电子交易平台</w:t>
      </w:r>
      <w:r>
        <w:rPr>
          <w:rFonts w:ascii="宋体" w:hAnsi="宋体"/>
          <w:sz w:val="24"/>
          <w:highlight w:val="none"/>
          <w:lang w:val="zh-TW" w:bidi="ar"/>
        </w:rPr>
        <w:t>。</w:t>
      </w:r>
    </w:p>
    <w:p w14:paraId="767B1552">
      <w:pPr>
        <w:pStyle w:val="3"/>
        <w:spacing w:before="0" w:line="360" w:lineRule="auto"/>
        <w:jc w:val="left"/>
        <w:rPr>
          <w:rFonts w:hint="eastAsia" w:ascii="宋体" w:hAnsi="宋体" w:eastAsia="宋体"/>
          <w:sz w:val="24"/>
          <w:szCs w:val="24"/>
          <w:highlight w:val="none"/>
        </w:rPr>
      </w:pPr>
      <w:bookmarkStart w:id="18" w:name="_Toc35393794"/>
      <w:bookmarkStart w:id="19" w:name="_Toc35393625"/>
      <w:bookmarkStart w:id="20" w:name="_Toc28359084"/>
      <w:bookmarkStart w:id="21" w:name="_Toc28359007"/>
      <w:r>
        <w:rPr>
          <w:rFonts w:ascii="宋体" w:hAnsi="宋体" w:eastAsia="宋体"/>
          <w:sz w:val="24"/>
          <w:szCs w:val="24"/>
          <w:highlight w:val="none"/>
        </w:rPr>
        <w:t>六、公告期限</w:t>
      </w:r>
      <w:bookmarkEnd w:id="18"/>
      <w:bookmarkEnd w:id="19"/>
      <w:bookmarkEnd w:id="20"/>
      <w:bookmarkEnd w:id="21"/>
    </w:p>
    <w:p w14:paraId="6AEDD0D7">
      <w:pPr>
        <w:spacing w:line="360" w:lineRule="auto"/>
        <w:ind w:firstLine="480" w:firstLineChars="200"/>
        <w:rPr>
          <w:rFonts w:hint="eastAsia" w:ascii="宋体" w:hAnsi="宋体"/>
          <w:kern w:val="0"/>
          <w:sz w:val="24"/>
          <w:highlight w:val="none"/>
        </w:rPr>
      </w:pPr>
      <w:r>
        <w:rPr>
          <w:rFonts w:ascii="宋体" w:hAnsi="宋体"/>
          <w:kern w:val="0"/>
          <w:sz w:val="24"/>
          <w:highlight w:val="none"/>
        </w:rPr>
        <w:t>自本公告发布之日起3个工作日。</w:t>
      </w:r>
    </w:p>
    <w:p w14:paraId="64A8F847">
      <w:pPr>
        <w:pStyle w:val="3"/>
        <w:spacing w:before="0" w:line="360" w:lineRule="auto"/>
        <w:jc w:val="left"/>
        <w:rPr>
          <w:rFonts w:hint="eastAsia" w:ascii="宋体" w:hAnsi="宋体" w:eastAsia="宋体"/>
          <w:sz w:val="24"/>
          <w:szCs w:val="24"/>
          <w:highlight w:val="none"/>
        </w:rPr>
      </w:pPr>
      <w:bookmarkStart w:id="22" w:name="_Toc35393795"/>
      <w:bookmarkStart w:id="23" w:name="_Toc35393626"/>
      <w:r>
        <w:rPr>
          <w:rFonts w:ascii="宋体" w:hAnsi="宋体" w:eastAsia="宋体"/>
          <w:sz w:val="24"/>
          <w:szCs w:val="24"/>
          <w:highlight w:val="none"/>
        </w:rPr>
        <w:t>七、其他补充事宜</w:t>
      </w:r>
      <w:bookmarkEnd w:id="22"/>
      <w:bookmarkEnd w:id="23"/>
    </w:p>
    <w:p w14:paraId="41499F73">
      <w:pPr>
        <w:spacing w:line="360" w:lineRule="auto"/>
        <w:ind w:firstLine="480" w:firstLineChars="200"/>
        <w:rPr>
          <w:rFonts w:hint="eastAsia" w:ascii="宋体" w:hAnsi="宋体"/>
          <w:sz w:val="24"/>
          <w:highlight w:val="none"/>
          <w:lang w:bidi="ar"/>
        </w:rPr>
      </w:pPr>
      <w:r>
        <w:rPr>
          <w:rFonts w:ascii="宋体" w:hAnsi="宋体"/>
          <w:sz w:val="24"/>
          <w:highlight w:val="none"/>
        </w:rPr>
        <w:t>1.本项目需要落实的政府采购政策：</w:t>
      </w:r>
      <w:r>
        <w:rPr>
          <w:rFonts w:hint="eastAsia" w:ascii="宋体" w:hAnsi="宋体"/>
          <w:sz w:val="24"/>
          <w:highlight w:val="none"/>
          <w:lang w:bidi="ar"/>
        </w:rPr>
        <w:t>节能产品强制采购；节能产品、环境标志产品优先采购；政府采购促进中小企业发展；政府采购支持监狱企业、戒毒企业发展；政府采购促进残疾人就业；政府采购信用担保。</w:t>
      </w:r>
    </w:p>
    <w:p w14:paraId="4076C895">
      <w:pPr>
        <w:widowControl/>
        <w:adjustRightInd w:val="0"/>
        <w:snapToGrid w:val="0"/>
        <w:spacing w:line="360" w:lineRule="auto"/>
        <w:ind w:firstLine="480" w:firstLineChars="200"/>
        <w:jc w:val="left"/>
        <w:rPr>
          <w:rFonts w:hint="eastAsia" w:ascii="宋体" w:hAnsi="宋体"/>
          <w:bCs/>
          <w:sz w:val="24"/>
          <w:highlight w:val="none"/>
          <w:lang w:bidi="ar"/>
        </w:rPr>
      </w:pPr>
      <w:r>
        <w:rPr>
          <w:rFonts w:ascii="宋体" w:hAnsi="宋体"/>
          <w:sz w:val="24"/>
          <w:highlight w:val="none"/>
        </w:rPr>
        <w:t>2.</w:t>
      </w:r>
      <w:r>
        <w:rPr>
          <w:rFonts w:ascii="宋体" w:hAnsi="宋体"/>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bCs/>
          <w:sz w:val="24"/>
          <w:highlight w:val="none"/>
          <w:lang w:bidi="ar"/>
        </w:rPr>
        <w:t>CA数字证书</w:t>
      </w:r>
      <w:r>
        <w:rPr>
          <w:rFonts w:ascii="宋体" w:hAnsi="宋体"/>
          <w:sz w:val="24"/>
          <w:highlight w:val="none"/>
          <w:lang w:bidi="ar"/>
        </w:rPr>
        <w:t>或电子营业执照</w:t>
      </w:r>
      <w:r>
        <w:rPr>
          <w:rFonts w:ascii="宋体" w:hAnsi="宋体"/>
          <w:bCs/>
          <w:sz w:val="24"/>
          <w:highlight w:val="none"/>
          <w:lang w:bidi="ar"/>
        </w:rPr>
        <w:t>情况确认是否符合本项目电子化采购流程要求。</w:t>
      </w:r>
    </w:p>
    <w:p w14:paraId="27F9D2BF">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CA数字证书服务热线 010-58511086</w:t>
      </w:r>
    </w:p>
    <w:p w14:paraId="3616C254">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电子营业执照服务热线 400-699-7000</w:t>
      </w:r>
    </w:p>
    <w:p w14:paraId="2229DB4C">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 xml:space="preserve">技术支持服务热线    010-86483801    </w:t>
      </w:r>
    </w:p>
    <w:p w14:paraId="3ACEB0BA">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3.1办理CA数字证书或电子营业执照</w:t>
      </w:r>
    </w:p>
    <w:p w14:paraId="265E994D">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供应商登录北京市政府采购电子交易平台查阅 “用户指南”—“操作指南”—“市场主体CA办理操作流程指引” /“电子营业执照使用指南”，按照程序要求办理。</w:t>
      </w:r>
    </w:p>
    <w:p w14:paraId="162BEEA0">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3.2注册</w:t>
      </w:r>
    </w:p>
    <w:p w14:paraId="2E6E26D3">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供应商登录北京市政府采购电子交易平台“用户指南”—“操作指南”—“市场主体注册入库操作流程指引”进行自助注册绑定。</w:t>
      </w:r>
    </w:p>
    <w:p w14:paraId="52D4370E">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3.3驱动、客户端下载</w:t>
      </w:r>
    </w:p>
    <w:p w14:paraId="3250FC16">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供应商登录北京市政府采购电子交易平台“用户指南”—“工具下载”—“招标采购系统文件驱动安装包”下载相关驱动。</w:t>
      </w:r>
    </w:p>
    <w:p w14:paraId="67E3B653">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供应商登录北京市政府采购电子交易平台“用户指南”—“工具下载”—“投标文件编制工具”下载相关客户端。</w:t>
      </w:r>
    </w:p>
    <w:p w14:paraId="25D6824B">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3.4 获取电子竞争性磋商文件</w:t>
      </w:r>
    </w:p>
    <w:p w14:paraId="31513F8E">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供应商使用CA数字证书或电子营业执照登录北京市政府采购电子交易平台获取电子竞争性磋商文件。</w:t>
      </w:r>
    </w:p>
    <w:p w14:paraId="14FFE8EE">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897AABC">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3.5编制电子响应文件</w:t>
      </w:r>
    </w:p>
    <w:p w14:paraId="2D7DB195">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供应商应使用电子投标客户端编制电子响应文件并进行线上响应，供应商电子响应文件需要加密并加盖电子签章</w:t>
      </w:r>
      <w:r>
        <w:rPr>
          <w:rFonts w:ascii="宋体" w:hAnsi="宋体"/>
          <w:bCs/>
          <w:sz w:val="24"/>
          <w:highlight w:val="none"/>
          <w:lang w:bidi="ar"/>
        </w:rPr>
        <w:t>，如无法按照要求在电子响应文件中加盖电子签章和加密，请及时通过技术支持服务热线联系技术人员</w:t>
      </w:r>
      <w:r>
        <w:rPr>
          <w:rFonts w:ascii="宋体" w:hAnsi="宋体"/>
          <w:sz w:val="24"/>
          <w:highlight w:val="none"/>
          <w:lang w:bidi="ar"/>
        </w:rPr>
        <w:t>。</w:t>
      </w:r>
    </w:p>
    <w:p w14:paraId="4A127F50">
      <w:pPr>
        <w:widowControl/>
        <w:spacing w:line="360" w:lineRule="auto"/>
        <w:ind w:firstLine="480" w:firstLineChars="200"/>
        <w:jc w:val="left"/>
        <w:rPr>
          <w:rFonts w:hint="eastAsia" w:ascii="宋体" w:hAnsi="宋体"/>
          <w:sz w:val="24"/>
          <w:highlight w:val="none"/>
          <w:lang w:val="zh-TW" w:bidi="ar"/>
        </w:rPr>
      </w:pPr>
      <w:r>
        <w:rPr>
          <w:rFonts w:ascii="宋体" w:hAnsi="宋体"/>
          <w:sz w:val="24"/>
          <w:highlight w:val="none"/>
          <w:lang w:val="zh-TW" w:eastAsia="zh-TW" w:bidi="ar"/>
        </w:rPr>
        <w:t>3.6</w:t>
      </w:r>
      <w:r>
        <w:rPr>
          <w:rFonts w:ascii="宋体" w:hAnsi="宋体"/>
          <w:sz w:val="24"/>
          <w:highlight w:val="none"/>
          <w:lang w:val="zh-TW" w:bidi="ar"/>
        </w:rPr>
        <w:t>提交电子响应文件</w:t>
      </w:r>
    </w:p>
    <w:p w14:paraId="42AB0644">
      <w:pPr>
        <w:widowControl/>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供应商应于</w:t>
      </w:r>
      <w:r>
        <w:rPr>
          <w:rFonts w:ascii="宋体" w:hAnsi="宋体"/>
          <w:sz w:val="24"/>
          <w:highlight w:val="none"/>
        </w:rPr>
        <w:t>响应文件提交</w:t>
      </w:r>
      <w:r>
        <w:rPr>
          <w:rFonts w:ascii="宋体" w:hAnsi="宋体"/>
          <w:sz w:val="24"/>
          <w:highlight w:val="none"/>
          <w:lang w:bidi="ar"/>
        </w:rPr>
        <w:t>截止时间前在北京市政府采购电子交易平台提交电子响应文件，上传电子响应文件过程中请保持与互联网的连接畅通。</w:t>
      </w:r>
    </w:p>
    <w:p w14:paraId="361C2F41">
      <w:pPr>
        <w:spacing w:line="360" w:lineRule="auto"/>
        <w:ind w:firstLine="480" w:firstLineChars="200"/>
        <w:rPr>
          <w:rFonts w:hint="eastAsia" w:ascii="宋体" w:hAnsi="宋体"/>
          <w:sz w:val="24"/>
          <w:highlight w:val="none"/>
          <w:lang w:eastAsia="zh-TW"/>
        </w:rPr>
      </w:pPr>
      <w:r>
        <w:rPr>
          <w:rFonts w:ascii="宋体" w:hAnsi="宋体"/>
          <w:sz w:val="24"/>
          <w:highlight w:val="none"/>
          <w:lang w:val="zh-TW" w:bidi="ar"/>
        </w:rPr>
        <w:t>3.</w:t>
      </w:r>
      <w:r>
        <w:rPr>
          <w:rFonts w:ascii="宋体" w:hAnsi="宋体"/>
          <w:sz w:val="24"/>
          <w:highlight w:val="none"/>
          <w:lang w:val="zh-TW" w:eastAsia="zh-TW" w:bidi="ar"/>
        </w:rPr>
        <w:t xml:space="preserve">7 </w:t>
      </w:r>
      <w:r>
        <w:rPr>
          <w:rFonts w:ascii="宋体" w:hAnsi="宋体"/>
          <w:sz w:val="24"/>
          <w:highlight w:val="none"/>
          <w:lang w:val="zh-TW" w:bidi="ar"/>
        </w:rPr>
        <w:t>开启响应文件</w:t>
      </w:r>
    </w:p>
    <w:p w14:paraId="724D8E34">
      <w:pPr>
        <w:spacing w:line="360" w:lineRule="auto"/>
        <w:ind w:firstLine="480" w:firstLineChars="200"/>
        <w:rPr>
          <w:rFonts w:hint="eastAsia" w:ascii="宋体" w:hAnsi="宋体"/>
          <w:sz w:val="24"/>
          <w:highlight w:val="none"/>
          <w:lang w:bidi="ar"/>
        </w:rPr>
      </w:pPr>
      <w:r>
        <w:rPr>
          <w:rFonts w:ascii="宋体" w:hAnsi="宋体"/>
          <w:sz w:val="24"/>
          <w:highlight w:val="none"/>
        </w:rPr>
        <w:t>供应商于</w:t>
      </w:r>
      <w:r>
        <w:rPr>
          <w:rFonts w:ascii="宋体" w:hAnsi="宋体"/>
          <w:sz w:val="24"/>
          <w:highlight w:val="none"/>
          <w:lang w:val="zh-TW" w:bidi="ar"/>
        </w:rPr>
        <w:t>磋商文件规定的开启时间、在开启地点使用</w:t>
      </w:r>
      <w:r>
        <w:rPr>
          <w:rFonts w:ascii="宋体" w:hAnsi="宋体"/>
          <w:sz w:val="24"/>
          <w:highlight w:val="none"/>
          <w:lang w:bidi="ar"/>
        </w:rPr>
        <w:t>CA数字证书或电子营业执照</w:t>
      </w:r>
      <w:r>
        <w:rPr>
          <w:rFonts w:ascii="宋体" w:hAnsi="宋体"/>
          <w:sz w:val="24"/>
          <w:highlight w:val="none"/>
          <w:lang w:val="zh-TW" w:bidi="ar"/>
        </w:rPr>
        <w:t>登录</w:t>
      </w:r>
      <w:r>
        <w:rPr>
          <w:rFonts w:ascii="宋体" w:hAnsi="宋体"/>
          <w:sz w:val="24"/>
          <w:highlight w:val="none"/>
          <w:lang w:bidi="ar"/>
        </w:rPr>
        <w:t>北京市政府采购电子交易平台解密并开启响应文件。如因供应商问题，解密不成功，则</w:t>
      </w:r>
      <w:r>
        <w:rPr>
          <w:rFonts w:ascii="宋体" w:hAnsi="宋体"/>
          <w:b/>
          <w:sz w:val="24"/>
          <w:highlight w:val="none"/>
          <w:lang w:bidi="ar"/>
        </w:rPr>
        <w:t>响应无效</w:t>
      </w:r>
      <w:r>
        <w:rPr>
          <w:rFonts w:ascii="宋体" w:hAnsi="宋体"/>
          <w:sz w:val="24"/>
          <w:highlight w:val="none"/>
          <w:lang w:bidi="ar"/>
        </w:rPr>
        <w:t>。</w:t>
      </w:r>
    </w:p>
    <w:p w14:paraId="7681153E">
      <w:pPr>
        <w:pStyle w:val="3"/>
        <w:spacing w:before="0" w:line="360" w:lineRule="auto"/>
        <w:jc w:val="left"/>
        <w:rPr>
          <w:rFonts w:hint="eastAsia" w:ascii="宋体" w:hAnsi="宋体" w:eastAsia="宋体"/>
          <w:sz w:val="24"/>
          <w:szCs w:val="24"/>
          <w:highlight w:val="none"/>
        </w:rPr>
      </w:pPr>
      <w:bookmarkStart w:id="24" w:name="_Toc28359085"/>
      <w:bookmarkStart w:id="25" w:name="_Toc35393796"/>
      <w:bookmarkStart w:id="26" w:name="_Toc28359008"/>
      <w:bookmarkStart w:id="27" w:name="_Toc35393627"/>
      <w:r>
        <w:rPr>
          <w:rFonts w:ascii="宋体" w:hAnsi="宋体" w:eastAsia="宋体"/>
          <w:sz w:val="24"/>
          <w:szCs w:val="24"/>
          <w:highlight w:val="none"/>
        </w:rPr>
        <w:t>八、对本次采购提出询问，请按以下方式联系。</w:t>
      </w:r>
      <w:bookmarkEnd w:id="24"/>
      <w:bookmarkEnd w:id="25"/>
      <w:bookmarkEnd w:id="26"/>
      <w:bookmarkEnd w:id="27"/>
    </w:p>
    <w:p w14:paraId="5118F34B">
      <w:pPr>
        <w:widowControl/>
        <w:spacing w:line="360" w:lineRule="auto"/>
        <w:jc w:val="left"/>
        <w:rPr>
          <w:rFonts w:hint="eastAsia" w:ascii="宋体" w:hAnsi="宋体"/>
          <w:b/>
          <w:sz w:val="24"/>
          <w:highlight w:val="none"/>
        </w:rPr>
      </w:pPr>
      <w:r>
        <w:rPr>
          <w:rFonts w:ascii="宋体" w:hAnsi="宋体"/>
          <w:sz w:val="24"/>
          <w:highlight w:val="none"/>
        </w:rPr>
        <w:t>　　　</w:t>
      </w:r>
      <w:r>
        <w:rPr>
          <w:rFonts w:ascii="宋体" w:hAnsi="宋体"/>
          <w:b/>
          <w:sz w:val="24"/>
          <w:highlight w:val="none"/>
        </w:rPr>
        <w:t>1.采购人信息</w:t>
      </w:r>
    </w:p>
    <w:p w14:paraId="453A632E">
      <w:pPr>
        <w:spacing w:line="360" w:lineRule="auto"/>
        <w:ind w:left="1079" w:leftChars="371" w:hanging="300" w:hangingChars="125"/>
        <w:jc w:val="left"/>
        <w:rPr>
          <w:rFonts w:hint="eastAsia" w:ascii="宋体" w:hAnsi="宋体"/>
          <w:sz w:val="24"/>
          <w:highlight w:val="none"/>
        </w:rPr>
      </w:pPr>
      <w:bookmarkStart w:id="28" w:name="_Toc28359086"/>
      <w:bookmarkStart w:id="29" w:name="_Toc28359009"/>
      <w:r>
        <w:rPr>
          <w:rFonts w:ascii="宋体" w:hAnsi="宋体"/>
          <w:sz w:val="24"/>
          <w:highlight w:val="none"/>
        </w:rPr>
        <w:t>名    称：</w:t>
      </w:r>
      <w:r>
        <w:rPr>
          <w:rFonts w:hint="eastAsia" w:ascii="宋体" w:hAnsi="宋体"/>
          <w:sz w:val="24"/>
          <w:highlight w:val="none"/>
        </w:rPr>
        <w:t>北京市西城区人民政府展览路街道办事处</w:t>
      </w:r>
    </w:p>
    <w:p w14:paraId="6BFBBADE">
      <w:pPr>
        <w:spacing w:line="360" w:lineRule="auto"/>
        <w:ind w:left="1079" w:leftChars="371" w:hanging="300" w:hangingChars="125"/>
        <w:jc w:val="left"/>
        <w:rPr>
          <w:rFonts w:hint="eastAsia" w:ascii="宋体" w:hAnsi="宋体"/>
          <w:sz w:val="24"/>
          <w:highlight w:val="none"/>
        </w:rPr>
      </w:pPr>
      <w:r>
        <w:rPr>
          <w:rFonts w:ascii="宋体" w:hAnsi="宋体"/>
          <w:sz w:val="24"/>
          <w:highlight w:val="none"/>
        </w:rPr>
        <w:t>地    址：</w:t>
      </w:r>
      <w:r>
        <w:rPr>
          <w:rFonts w:hint="eastAsia" w:ascii="宋体" w:hAnsi="宋体"/>
          <w:sz w:val="24"/>
          <w:highlight w:val="none"/>
        </w:rPr>
        <w:t>北京市西城区车公庄大街</w:t>
      </w:r>
      <w:r>
        <w:rPr>
          <w:rFonts w:ascii="宋体" w:hAnsi="宋体"/>
          <w:sz w:val="24"/>
          <w:highlight w:val="none"/>
        </w:rPr>
        <w:t>13</w:t>
      </w:r>
      <w:r>
        <w:rPr>
          <w:rFonts w:hint="eastAsia" w:ascii="宋体" w:hAnsi="宋体"/>
          <w:sz w:val="24"/>
          <w:highlight w:val="none"/>
        </w:rPr>
        <w:t>号</w:t>
      </w:r>
    </w:p>
    <w:p w14:paraId="333CCAB7">
      <w:pPr>
        <w:spacing w:line="360" w:lineRule="auto"/>
        <w:ind w:left="1079" w:leftChars="371" w:hanging="300" w:hangingChars="125"/>
        <w:jc w:val="left"/>
        <w:rPr>
          <w:rFonts w:hint="eastAsia" w:ascii="宋体" w:hAnsi="宋体"/>
          <w:sz w:val="24"/>
          <w:highlight w:val="none"/>
          <w:u w:val="single"/>
        </w:rPr>
      </w:pPr>
      <w:r>
        <w:rPr>
          <w:rFonts w:ascii="宋体" w:hAnsi="宋体"/>
          <w:sz w:val="24"/>
          <w:highlight w:val="none"/>
        </w:rPr>
        <w:t>联系方式：</w:t>
      </w:r>
      <w:r>
        <w:rPr>
          <w:rFonts w:hint="eastAsia" w:ascii="宋体" w:hAnsi="宋体"/>
          <w:sz w:val="24"/>
          <w:highlight w:val="none"/>
        </w:rPr>
        <w:t xml:space="preserve">王老师 </w:t>
      </w:r>
      <w:r>
        <w:rPr>
          <w:rFonts w:ascii="宋体" w:hAnsi="宋体"/>
          <w:sz w:val="24"/>
          <w:highlight w:val="none"/>
        </w:rPr>
        <w:t>010-68314941</w:t>
      </w:r>
      <w:r>
        <w:rPr>
          <w:rFonts w:hint="eastAsia" w:ascii="宋体" w:hAnsi="宋体"/>
          <w:sz w:val="24"/>
          <w:highlight w:val="none"/>
        </w:rPr>
        <w:t xml:space="preserve"> </w:t>
      </w:r>
    </w:p>
    <w:p w14:paraId="3E398FE5">
      <w:pPr>
        <w:spacing w:line="360" w:lineRule="auto"/>
        <w:ind w:left="1078" w:leftChars="371" w:hanging="299" w:hangingChars="124"/>
        <w:jc w:val="left"/>
        <w:rPr>
          <w:rFonts w:hint="eastAsia" w:ascii="宋体" w:hAnsi="宋体"/>
          <w:b/>
          <w:sz w:val="24"/>
          <w:highlight w:val="none"/>
        </w:rPr>
      </w:pPr>
      <w:r>
        <w:rPr>
          <w:rFonts w:ascii="宋体" w:hAnsi="宋体"/>
          <w:b/>
          <w:sz w:val="24"/>
          <w:highlight w:val="none"/>
        </w:rPr>
        <w:t>2.采购代理机构信息</w:t>
      </w:r>
      <w:bookmarkEnd w:id="28"/>
      <w:bookmarkEnd w:id="29"/>
    </w:p>
    <w:p w14:paraId="41520D9F">
      <w:pPr>
        <w:spacing w:line="360" w:lineRule="auto"/>
        <w:ind w:left="1076" w:leftChars="371" w:hanging="297" w:hangingChars="124"/>
        <w:jc w:val="left"/>
        <w:rPr>
          <w:rFonts w:hint="eastAsia" w:ascii="宋体" w:hAnsi="宋体"/>
          <w:sz w:val="24"/>
          <w:highlight w:val="none"/>
        </w:rPr>
      </w:pPr>
      <w:bookmarkStart w:id="30" w:name="_Toc28359087"/>
      <w:bookmarkStart w:id="31" w:name="_Toc28359010"/>
      <w:r>
        <w:rPr>
          <w:rFonts w:ascii="宋体" w:hAnsi="宋体"/>
          <w:sz w:val="24"/>
          <w:highlight w:val="none"/>
        </w:rPr>
        <w:t>名    称：</w:t>
      </w:r>
      <w:r>
        <w:rPr>
          <w:rFonts w:hint="eastAsia" w:ascii="宋体" w:hAnsi="宋体"/>
          <w:sz w:val="24"/>
          <w:highlight w:val="none"/>
        </w:rPr>
        <w:t>华采招标集团有限公司</w:t>
      </w:r>
    </w:p>
    <w:p w14:paraId="03E166E8">
      <w:pPr>
        <w:spacing w:line="360" w:lineRule="auto"/>
        <w:ind w:left="1076" w:leftChars="371" w:hanging="297" w:hangingChars="124"/>
        <w:jc w:val="left"/>
        <w:rPr>
          <w:rFonts w:hint="eastAsia" w:ascii="宋体" w:hAnsi="宋体"/>
          <w:sz w:val="24"/>
          <w:highlight w:val="none"/>
        </w:rPr>
      </w:pPr>
      <w:r>
        <w:rPr>
          <w:rFonts w:ascii="宋体" w:hAnsi="宋体"/>
          <w:sz w:val="24"/>
          <w:highlight w:val="none"/>
        </w:rPr>
        <w:t>地    址：</w:t>
      </w:r>
      <w:r>
        <w:rPr>
          <w:rFonts w:hint="eastAsia" w:ascii="宋体" w:hAnsi="宋体"/>
          <w:sz w:val="24"/>
          <w:highlight w:val="none"/>
        </w:rPr>
        <w:t>北京市丰台区广安路9号国投财富广场6号楼1601室</w:t>
      </w:r>
    </w:p>
    <w:p w14:paraId="79357319">
      <w:pPr>
        <w:spacing w:line="360" w:lineRule="auto"/>
        <w:ind w:left="2034" w:leftChars="371" w:hanging="1255" w:hangingChars="523"/>
        <w:jc w:val="left"/>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rPr>
        <w:t>贾东敏、谭仕宝、侯京松、崔丽洁、姚冲、金珊、刘金秀、赵娜、马凯、白敏娜、闫淑娟18612287807/7813</w:t>
      </w:r>
    </w:p>
    <w:p w14:paraId="128D755B">
      <w:pPr>
        <w:spacing w:line="360" w:lineRule="auto"/>
        <w:ind w:left="1078" w:leftChars="371" w:hanging="299" w:hangingChars="124"/>
        <w:rPr>
          <w:rFonts w:hint="eastAsia" w:ascii="宋体" w:hAnsi="宋体"/>
          <w:b/>
          <w:sz w:val="24"/>
          <w:highlight w:val="none"/>
          <w:u w:val="single"/>
        </w:rPr>
      </w:pPr>
      <w:r>
        <w:rPr>
          <w:rFonts w:ascii="宋体" w:hAnsi="宋体"/>
          <w:b/>
          <w:sz w:val="24"/>
          <w:highlight w:val="none"/>
        </w:rPr>
        <w:t>3.项目联系方式</w:t>
      </w:r>
      <w:bookmarkEnd w:id="30"/>
      <w:bookmarkEnd w:id="31"/>
    </w:p>
    <w:p w14:paraId="57DBCD7E">
      <w:pPr>
        <w:adjustRightInd w:val="0"/>
        <w:snapToGrid w:val="0"/>
        <w:spacing w:line="360" w:lineRule="auto"/>
        <w:ind w:left="2158" w:leftChars="342" w:hanging="1440" w:hangingChars="600"/>
        <w:rPr>
          <w:rFonts w:hint="eastAsia" w:ascii="宋体" w:hAnsi="宋体"/>
          <w:sz w:val="24"/>
          <w:highlight w:val="none"/>
        </w:rPr>
      </w:pPr>
      <w:r>
        <w:rPr>
          <w:rFonts w:ascii="宋体" w:hAnsi="宋体"/>
          <w:sz w:val="24"/>
          <w:highlight w:val="none"/>
        </w:rPr>
        <w:t>项目联系人：贾东敏、谭仕宝、侯京松、崔丽洁、姚冲、金珊、刘金秀、赵娜、马凯、白敏娜、闫淑娟</w:t>
      </w:r>
    </w:p>
    <w:p w14:paraId="266745C6">
      <w:pPr>
        <w:adjustRightInd w:val="0"/>
        <w:snapToGrid w:val="0"/>
        <w:spacing w:line="360" w:lineRule="auto"/>
        <w:ind w:left="1918" w:leftChars="342" w:hanging="1200" w:hangingChars="500"/>
        <w:rPr>
          <w:rFonts w:hint="eastAsia" w:ascii="宋体" w:hAnsi="宋体"/>
          <w:sz w:val="24"/>
          <w:highlight w:val="none"/>
        </w:rPr>
      </w:pPr>
      <w:r>
        <w:rPr>
          <w:rFonts w:ascii="宋体" w:hAnsi="宋体"/>
          <w:sz w:val="24"/>
          <w:highlight w:val="none"/>
        </w:rPr>
        <w:t>电      话：</w:t>
      </w:r>
      <w:r>
        <w:rPr>
          <w:rFonts w:hint="eastAsia" w:ascii="宋体" w:hAnsi="宋体"/>
          <w:sz w:val="24"/>
          <w:highlight w:val="none"/>
        </w:rPr>
        <w:t>18612287807/7813</w:t>
      </w:r>
    </w:p>
    <w:p w14:paraId="795AEFEC">
      <w:pPr>
        <w:rPr>
          <w:rFonts w:ascii="宋体" w:hAnsi="宋体"/>
          <w:b/>
          <w:sz w:val="36"/>
          <w:szCs w:val="36"/>
          <w:highlight w:val="none"/>
        </w:rPr>
      </w:pPr>
      <w:bookmarkStart w:id="32" w:name="_Toc305158928"/>
      <w:bookmarkStart w:id="33" w:name="_Toc353825548"/>
      <w:bookmarkStart w:id="34" w:name="_Toc305158854"/>
      <w:bookmarkStart w:id="35" w:name="_Toc226965856"/>
      <w:bookmarkStart w:id="36" w:name="_Toc353873938"/>
      <w:bookmarkStart w:id="37" w:name="_Toc512937850"/>
      <w:bookmarkStart w:id="38" w:name="_Toc264969275"/>
      <w:bookmarkStart w:id="39" w:name="_Toc127161488"/>
      <w:bookmarkStart w:id="40" w:name="_Toc127151777"/>
      <w:bookmarkStart w:id="41" w:name="_Toc265228423"/>
      <w:bookmarkStart w:id="42" w:name="_Toc150774783"/>
      <w:bookmarkStart w:id="43" w:name="_Toc195842950"/>
      <w:r>
        <w:rPr>
          <w:rFonts w:ascii="宋体" w:hAnsi="宋体"/>
          <w:b/>
          <w:sz w:val="36"/>
          <w:szCs w:val="36"/>
          <w:highlight w:val="none"/>
        </w:rPr>
        <w:br w:type="page"/>
      </w:r>
    </w:p>
    <w:p w14:paraId="62EC7F17">
      <w:pPr>
        <w:spacing w:line="360" w:lineRule="auto"/>
        <w:jc w:val="center"/>
        <w:outlineLvl w:val="0"/>
        <w:rPr>
          <w:rFonts w:hint="eastAsia" w:ascii="宋体" w:hAnsi="宋体"/>
          <w:b/>
          <w:sz w:val="32"/>
          <w:szCs w:val="32"/>
          <w:highlight w:val="none"/>
        </w:rPr>
      </w:pPr>
      <w:bookmarkStart w:id="44" w:name="_Toc2906"/>
      <w:r>
        <w:rPr>
          <w:rFonts w:ascii="宋体" w:hAnsi="宋体"/>
          <w:b/>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25D47E1B">
      <w:pPr>
        <w:pStyle w:val="3"/>
        <w:tabs>
          <w:tab w:val="center" w:pos="4592"/>
          <w:tab w:val="left" w:pos="7860"/>
        </w:tabs>
        <w:spacing w:before="0" w:line="360" w:lineRule="auto"/>
        <w:rPr>
          <w:rFonts w:hint="eastAsia" w:ascii="宋体" w:hAnsi="宋体" w:eastAsia="宋体"/>
          <w:b w:val="0"/>
          <w:sz w:val="28"/>
          <w:highlight w:val="none"/>
        </w:rPr>
      </w:pPr>
      <w:bookmarkStart w:id="45" w:name="_Toc226965792"/>
      <w:bookmarkStart w:id="46" w:name="_Toc195842884"/>
      <w:bookmarkStart w:id="47" w:name="_Toc142311021"/>
      <w:bookmarkStart w:id="48" w:name="_Toc127151519"/>
      <w:bookmarkStart w:id="49" w:name="_Toc151193689"/>
      <w:bookmarkStart w:id="50" w:name="_Toc226309763"/>
      <w:bookmarkStart w:id="51" w:name="_Toc226965709"/>
      <w:bookmarkStart w:id="52" w:name="_Toc127151720"/>
      <w:bookmarkStart w:id="53" w:name="_Toc151193761"/>
      <w:bookmarkStart w:id="54" w:name="_Toc150774724"/>
      <w:bookmarkStart w:id="55" w:name="_Toc150774619"/>
      <w:bookmarkStart w:id="56" w:name="_Toc150480757"/>
      <w:bookmarkStart w:id="57" w:name="_Toc151190146"/>
      <w:bookmarkStart w:id="58" w:name="_Toc164229214"/>
      <w:bookmarkStart w:id="59" w:name="_Toc164608788"/>
      <w:bookmarkStart w:id="60" w:name="_Toc149720812"/>
      <w:bookmarkStart w:id="61" w:name="_Toc151193617"/>
      <w:bookmarkStart w:id="62" w:name="_Toc520356144"/>
      <w:bookmarkStart w:id="63" w:name="_Toc150509270"/>
      <w:bookmarkStart w:id="64" w:name="_Toc164608633"/>
      <w:bookmarkStart w:id="65" w:name="_Toc164351613"/>
      <w:bookmarkStart w:id="66" w:name="_Toc164229360"/>
      <w:bookmarkStart w:id="67" w:name="_Toc151193907"/>
      <w:bookmarkStart w:id="68" w:name="_Toc127161433"/>
      <w:bookmarkStart w:id="69" w:name="_Toc226337215"/>
      <w:bookmarkStart w:id="70" w:name="_Toc151193833"/>
      <w:r>
        <w:rPr>
          <w:rFonts w:ascii="宋体" w:hAnsi="宋体" w:eastAsia="宋体"/>
          <w:sz w:val="28"/>
          <w:highlight w:val="none"/>
        </w:rPr>
        <w:t>供应商须知资料表</w:t>
      </w:r>
    </w:p>
    <w:p w14:paraId="63F6A919">
      <w:pPr>
        <w:jc w:val="center"/>
        <w:rPr>
          <w:rFonts w:hint="eastAsia" w:ascii="宋体" w:hAnsi="宋体"/>
          <w:b/>
          <w:sz w:val="28"/>
          <w:szCs w:val="28"/>
          <w:highlight w:val="none"/>
        </w:rPr>
      </w:pPr>
    </w:p>
    <w:p w14:paraId="08C21561">
      <w:pPr>
        <w:spacing w:line="360" w:lineRule="auto"/>
        <w:ind w:firstLine="480"/>
        <w:rPr>
          <w:rFonts w:hint="eastAsia" w:ascii="宋体" w:hAnsi="宋体"/>
          <w:sz w:val="24"/>
          <w:highlight w:val="none"/>
        </w:rPr>
      </w:pPr>
      <w:r>
        <w:rPr>
          <w:rFonts w:ascii="宋体" w:hAnsi="宋体"/>
          <w:sz w:val="24"/>
          <w:highlight w:val="none"/>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205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8BACFEE">
            <w:pPr>
              <w:jc w:val="center"/>
              <w:rPr>
                <w:rFonts w:hint="eastAsia" w:ascii="宋体" w:hAnsi="宋体"/>
                <w:b/>
                <w:bCs/>
                <w:sz w:val="24"/>
                <w:highlight w:val="none"/>
              </w:rPr>
            </w:pPr>
            <w:r>
              <w:rPr>
                <w:rFonts w:ascii="宋体" w:hAnsi="宋体"/>
                <w:b/>
                <w:sz w:val="24"/>
                <w:highlight w:val="none"/>
              </w:rPr>
              <w:t>条款号</w:t>
            </w:r>
          </w:p>
        </w:tc>
        <w:tc>
          <w:tcPr>
            <w:tcW w:w="1701" w:type="dxa"/>
            <w:vAlign w:val="center"/>
          </w:tcPr>
          <w:p w14:paraId="51C79EF3">
            <w:pPr>
              <w:jc w:val="center"/>
              <w:rPr>
                <w:rFonts w:hint="eastAsia" w:ascii="宋体" w:hAnsi="宋体"/>
                <w:b/>
                <w:bCs/>
                <w:sz w:val="24"/>
                <w:highlight w:val="none"/>
              </w:rPr>
            </w:pPr>
            <w:r>
              <w:rPr>
                <w:rFonts w:ascii="宋体" w:hAnsi="宋体"/>
                <w:b/>
                <w:bCs/>
                <w:sz w:val="24"/>
                <w:highlight w:val="none"/>
              </w:rPr>
              <w:t>条目</w:t>
            </w:r>
          </w:p>
        </w:tc>
        <w:tc>
          <w:tcPr>
            <w:tcW w:w="7253" w:type="dxa"/>
            <w:vAlign w:val="center"/>
          </w:tcPr>
          <w:p w14:paraId="7229A0AC">
            <w:pPr>
              <w:jc w:val="center"/>
              <w:rPr>
                <w:rFonts w:hint="eastAsia" w:ascii="宋体" w:hAnsi="宋体"/>
                <w:b/>
                <w:bCs/>
                <w:sz w:val="24"/>
                <w:highlight w:val="none"/>
              </w:rPr>
            </w:pPr>
            <w:r>
              <w:rPr>
                <w:rFonts w:ascii="宋体" w:hAnsi="宋体"/>
                <w:b/>
                <w:bCs/>
                <w:sz w:val="24"/>
                <w:highlight w:val="none"/>
              </w:rPr>
              <w:t>内容</w:t>
            </w:r>
          </w:p>
        </w:tc>
      </w:tr>
      <w:tr w14:paraId="144B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DD2634">
            <w:pPr>
              <w:pStyle w:val="23"/>
              <w:adjustRightInd w:val="0"/>
              <w:snapToGrid w:val="0"/>
              <w:jc w:val="center"/>
              <w:rPr>
                <w:rFonts w:hAnsi="宋体"/>
                <w:sz w:val="24"/>
                <w:szCs w:val="24"/>
                <w:highlight w:val="none"/>
              </w:rPr>
            </w:pPr>
            <w:r>
              <w:rPr>
                <w:rFonts w:hint="default" w:hAnsi="宋体"/>
                <w:sz w:val="24"/>
                <w:szCs w:val="24"/>
                <w:highlight w:val="none"/>
              </w:rPr>
              <w:t>2.2</w:t>
            </w:r>
          </w:p>
        </w:tc>
        <w:tc>
          <w:tcPr>
            <w:tcW w:w="1701" w:type="dxa"/>
            <w:vAlign w:val="center"/>
          </w:tcPr>
          <w:p w14:paraId="1D0F84A4">
            <w:pPr>
              <w:jc w:val="center"/>
              <w:rPr>
                <w:rFonts w:hint="eastAsia" w:ascii="宋体" w:hAnsi="宋体"/>
                <w:sz w:val="24"/>
                <w:highlight w:val="none"/>
              </w:rPr>
            </w:pPr>
            <w:r>
              <w:rPr>
                <w:rFonts w:ascii="宋体" w:hAnsi="宋体"/>
                <w:sz w:val="24"/>
                <w:highlight w:val="none"/>
              </w:rPr>
              <w:t>项目属性</w:t>
            </w:r>
          </w:p>
        </w:tc>
        <w:tc>
          <w:tcPr>
            <w:tcW w:w="7253" w:type="dxa"/>
            <w:vAlign w:val="center"/>
          </w:tcPr>
          <w:p w14:paraId="776042D8">
            <w:pPr>
              <w:jc w:val="left"/>
              <w:rPr>
                <w:rFonts w:hint="eastAsia" w:ascii="宋体" w:hAnsi="宋体"/>
                <w:sz w:val="24"/>
                <w:highlight w:val="none"/>
              </w:rPr>
            </w:pPr>
            <w:r>
              <w:rPr>
                <w:rFonts w:ascii="宋体" w:hAnsi="宋体"/>
                <w:sz w:val="24"/>
                <w:highlight w:val="none"/>
              </w:rPr>
              <w:t>项目属性：</w:t>
            </w:r>
          </w:p>
          <w:p w14:paraId="42F14C4F">
            <w:pPr>
              <w:jc w:val="left"/>
              <w:rPr>
                <w:rFonts w:hint="eastAsia" w:ascii="宋体" w:hAnsi="宋体"/>
                <w:sz w:val="24"/>
                <w:highlight w:val="none"/>
              </w:rPr>
            </w:pPr>
            <w:r>
              <w:rPr>
                <w:rFonts w:hint="eastAsia" w:ascii="宋体" w:hAnsi="宋体"/>
                <w:highlight w:val="none"/>
              </w:rPr>
              <w:t>□</w:t>
            </w:r>
            <w:r>
              <w:rPr>
                <w:rFonts w:ascii="宋体" w:hAnsi="宋体"/>
                <w:sz w:val="24"/>
                <w:highlight w:val="none"/>
              </w:rPr>
              <w:t>服务</w:t>
            </w:r>
          </w:p>
          <w:p w14:paraId="3E0945A5">
            <w:pPr>
              <w:jc w:val="left"/>
              <w:rPr>
                <w:rFonts w:hint="eastAsia" w:ascii="宋体" w:hAnsi="宋体"/>
                <w:sz w:val="24"/>
                <w:highlight w:val="none"/>
              </w:rPr>
            </w:pPr>
            <w:r>
              <w:rPr>
                <w:rFonts w:hint="eastAsia" w:ascii="宋体" w:hAnsi="宋体"/>
                <w:highlight w:val="none"/>
              </w:rPr>
              <w:t>□</w:t>
            </w:r>
            <w:r>
              <w:rPr>
                <w:rFonts w:ascii="宋体" w:hAnsi="宋体"/>
                <w:sz w:val="24"/>
                <w:highlight w:val="none"/>
              </w:rPr>
              <w:t>货物</w:t>
            </w:r>
          </w:p>
          <w:p w14:paraId="04C1A7B5">
            <w:pPr>
              <w:jc w:val="left"/>
              <w:rPr>
                <w:rFonts w:hint="eastAsia" w:ascii="宋体" w:hAnsi="宋体"/>
                <w:sz w:val="24"/>
                <w:highlight w:val="none"/>
              </w:rPr>
            </w:pPr>
            <w:r>
              <w:rPr>
                <w:rFonts w:ascii="Segoe UI Symbol" w:hAnsi="Segoe UI Symbol" w:cs="Segoe UI Symbol"/>
                <w:sz w:val="24"/>
                <w:highlight w:val="none"/>
              </w:rPr>
              <w:t>☑</w:t>
            </w:r>
            <w:r>
              <w:rPr>
                <w:rFonts w:ascii="宋体" w:hAnsi="宋体"/>
                <w:sz w:val="24"/>
                <w:highlight w:val="none"/>
              </w:rPr>
              <w:t>工程</w:t>
            </w:r>
          </w:p>
        </w:tc>
      </w:tr>
      <w:tr w14:paraId="5B0F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8B7A4">
            <w:pPr>
              <w:pStyle w:val="23"/>
              <w:adjustRightInd w:val="0"/>
              <w:snapToGrid w:val="0"/>
              <w:jc w:val="center"/>
              <w:rPr>
                <w:rFonts w:hAnsi="宋体"/>
                <w:sz w:val="24"/>
                <w:szCs w:val="24"/>
                <w:highlight w:val="none"/>
              </w:rPr>
            </w:pPr>
            <w:r>
              <w:rPr>
                <w:rFonts w:hint="default" w:hAnsi="宋体"/>
                <w:sz w:val="24"/>
                <w:szCs w:val="24"/>
                <w:highlight w:val="none"/>
              </w:rPr>
              <w:t>2.3</w:t>
            </w:r>
          </w:p>
        </w:tc>
        <w:tc>
          <w:tcPr>
            <w:tcW w:w="1701" w:type="dxa"/>
            <w:vAlign w:val="center"/>
          </w:tcPr>
          <w:p w14:paraId="6829EB6A">
            <w:pPr>
              <w:jc w:val="center"/>
              <w:rPr>
                <w:rFonts w:hint="eastAsia" w:ascii="宋体" w:hAnsi="宋体"/>
                <w:sz w:val="24"/>
                <w:highlight w:val="none"/>
              </w:rPr>
            </w:pPr>
            <w:r>
              <w:rPr>
                <w:rFonts w:ascii="宋体" w:hAnsi="宋体"/>
                <w:sz w:val="24"/>
                <w:highlight w:val="none"/>
              </w:rPr>
              <w:t>科研仪器设备</w:t>
            </w:r>
          </w:p>
        </w:tc>
        <w:tc>
          <w:tcPr>
            <w:tcW w:w="7253" w:type="dxa"/>
            <w:vAlign w:val="center"/>
          </w:tcPr>
          <w:p w14:paraId="2B391D5F">
            <w:pPr>
              <w:jc w:val="left"/>
              <w:rPr>
                <w:rFonts w:hint="eastAsia" w:ascii="宋体" w:hAnsi="宋体"/>
                <w:sz w:val="24"/>
                <w:highlight w:val="none"/>
              </w:rPr>
            </w:pPr>
            <w:r>
              <w:rPr>
                <w:rFonts w:ascii="宋体" w:hAnsi="宋体"/>
                <w:sz w:val="24"/>
                <w:highlight w:val="none"/>
              </w:rPr>
              <w:t>是否属于科研仪器设备采购项目：</w:t>
            </w:r>
          </w:p>
          <w:p w14:paraId="49289383">
            <w:pPr>
              <w:jc w:val="left"/>
              <w:rPr>
                <w:rFonts w:hint="eastAsia" w:ascii="宋体" w:hAnsi="宋体"/>
                <w:sz w:val="24"/>
                <w:highlight w:val="none"/>
              </w:rPr>
            </w:pPr>
            <w:r>
              <w:rPr>
                <w:rFonts w:hint="eastAsia" w:ascii="宋体" w:hAnsi="宋体"/>
                <w:highlight w:val="none"/>
              </w:rPr>
              <w:t>□</w:t>
            </w:r>
            <w:r>
              <w:rPr>
                <w:rFonts w:ascii="宋体" w:hAnsi="宋体"/>
                <w:sz w:val="24"/>
                <w:highlight w:val="none"/>
              </w:rPr>
              <w:t>是</w:t>
            </w:r>
          </w:p>
          <w:p w14:paraId="34AFE5CD">
            <w:pPr>
              <w:jc w:val="left"/>
              <w:rPr>
                <w:rFonts w:hint="eastAsia" w:ascii="宋体" w:hAnsi="宋体"/>
                <w:sz w:val="24"/>
                <w:highlight w:val="none"/>
              </w:rPr>
            </w:pPr>
            <w:r>
              <w:rPr>
                <w:rFonts w:ascii="Segoe UI Symbol" w:hAnsi="Segoe UI Symbol" w:cs="Segoe UI Symbol"/>
                <w:highlight w:val="none"/>
              </w:rPr>
              <w:t>☑</w:t>
            </w:r>
            <w:r>
              <w:rPr>
                <w:rFonts w:ascii="宋体" w:hAnsi="宋体"/>
                <w:sz w:val="24"/>
                <w:highlight w:val="none"/>
              </w:rPr>
              <w:t>否</w:t>
            </w:r>
          </w:p>
        </w:tc>
      </w:tr>
      <w:tr w14:paraId="79FF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68B2853">
            <w:pPr>
              <w:pStyle w:val="23"/>
              <w:adjustRightInd w:val="0"/>
              <w:snapToGrid w:val="0"/>
              <w:jc w:val="center"/>
              <w:rPr>
                <w:rFonts w:hAnsi="宋体"/>
                <w:sz w:val="24"/>
                <w:szCs w:val="24"/>
                <w:highlight w:val="none"/>
              </w:rPr>
            </w:pPr>
            <w:r>
              <w:rPr>
                <w:rFonts w:hint="default" w:hAnsi="宋体"/>
                <w:sz w:val="24"/>
                <w:szCs w:val="24"/>
                <w:highlight w:val="none"/>
              </w:rPr>
              <w:t>3.1</w:t>
            </w:r>
          </w:p>
        </w:tc>
        <w:tc>
          <w:tcPr>
            <w:tcW w:w="1701" w:type="dxa"/>
            <w:vAlign w:val="center"/>
          </w:tcPr>
          <w:p w14:paraId="2396B0E0">
            <w:pPr>
              <w:jc w:val="center"/>
              <w:rPr>
                <w:rFonts w:hint="eastAsia" w:ascii="宋体" w:hAnsi="宋体"/>
                <w:sz w:val="24"/>
                <w:highlight w:val="none"/>
              </w:rPr>
            </w:pPr>
            <w:r>
              <w:rPr>
                <w:rFonts w:ascii="宋体" w:hAnsi="宋体"/>
                <w:sz w:val="24"/>
                <w:highlight w:val="none"/>
              </w:rPr>
              <w:t>现场考察</w:t>
            </w:r>
          </w:p>
        </w:tc>
        <w:tc>
          <w:tcPr>
            <w:tcW w:w="7253" w:type="dxa"/>
            <w:vAlign w:val="center"/>
          </w:tcPr>
          <w:p w14:paraId="670C481B">
            <w:pPr>
              <w:jc w:val="left"/>
              <w:rPr>
                <w:rFonts w:hint="eastAsia" w:ascii="宋体" w:hAnsi="宋体"/>
                <w:sz w:val="24"/>
                <w:highlight w:val="none"/>
              </w:rPr>
            </w:pPr>
            <w:r>
              <w:rPr>
                <w:rFonts w:ascii="Segoe UI Symbol" w:hAnsi="Segoe UI Symbol" w:cs="Segoe UI Symbol"/>
                <w:highlight w:val="none"/>
              </w:rPr>
              <w:t>☑</w:t>
            </w:r>
            <w:r>
              <w:rPr>
                <w:rFonts w:ascii="宋体" w:hAnsi="宋体"/>
                <w:sz w:val="24"/>
                <w:highlight w:val="none"/>
              </w:rPr>
              <w:t>不组织</w:t>
            </w:r>
          </w:p>
          <w:p w14:paraId="5D371FA1">
            <w:pPr>
              <w:jc w:val="left"/>
              <w:rPr>
                <w:rFonts w:hint="eastAsia" w:ascii="宋体" w:hAnsi="宋体"/>
                <w:bCs/>
                <w:sz w:val="24"/>
                <w:highlight w:val="none"/>
              </w:rPr>
            </w:pPr>
            <w:r>
              <w:rPr>
                <w:rFonts w:hint="eastAsia" w:ascii="宋体" w:hAnsi="宋体"/>
                <w:highlight w:val="none"/>
              </w:rPr>
              <w:t>□</w:t>
            </w:r>
            <w:r>
              <w:rPr>
                <w:rFonts w:ascii="宋体" w:hAnsi="宋体"/>
                <w:sz w:val="24"/>
                <w:highlight w:val="none"/>
              </w:rPr>
              <w:t>组织，考察时间：___</w:t>
            </w:r>
            <w:r>
              <w:rPr>
                <w:rFonts w:ascii="宋体" w:hAnsi="宋体"/>
                <w:sz w:val="24"/>
                <w:highlight w:val="none"/>
                <w:lang w:bidi="ar"/>
              </w:rPr>
              <w:t>年</w:t>
            </w:r>
            <w:r>
              <w:rPr>
                <w:rFonts w:ascii="宋体" w:hAnsi="宋体"/>
                <w:sz w:val="24"/>
                <w:highlight w:val="none"/>
              </w:rPr>
              <w:t>___</w:t>
            </w:r>
            <w:r>
              <w:rPr>
                <w:rFonts w:ascii="宋体" w:hAnsi="宋体"/>
                <w:sz w:val="24"/>
                <w:highlight w:val="none"/>
                <w:lang w:bidi="ar"/>
              </w:rPr>
              <w:t>月</w:t>
            </w:r>
            <w:r>
              <w:rPr>
                <w:rFonts w:ascii="宋体" w:hAnsi="宋体"/>
                <w:sz w:val="24"/>
                <w:highlight w:val="none"/>
              </w:rPr>
              <w:t>___</w:t>
            </w:r>
            <w:r>
              <w:rPr>
                <w:rFonts w:ascii="宋体" w:hAnsi="宋体"/>
                <w:sz w:val="24"/>
                <w:highlight w:val="none"/>
                <w:lang w:bidi="ar"/>
              </w:rPr>
              <w:t>日</w:t>
            </w:r>
            <w:r>
              <w:rPr>
                <w:rFonts w:ascii="宋体" w:hAnsi="宋体"/>
                <w:sz w:val="24"/>
                <w:highlight w:val="none"/>
              </w:rPr>
              <w:t>___</w:t>
            </w:r>
            <w:r>
              <w:rPr>
                <w:rFonts w:ascii="宋体" w:hAnsi="宋体"/>
                <w:sz w:val="24"/>
                <w:highlight w:val="none"/>
                <w:lang w:bidi="ar"/>
              </w:rPr>
              <w:t>点</w:t>
            </w:r>
            <w:r>
              <w:rPr>
                <w:rFonts w:ascii="宋体" w:hAnsi="宋体"/>
                <w:sz w:val="24"/>
                <w:highlight w:val="none"/>
              </w:rPr>
              <w:t>___</w:t>
            </w:r>
            <w:r>
              <w:rPr>
                <w:rFonts w:ascii="宋体" w:hAnsi="宋体"/>
                <w:sz w:val="24"/>
                <w:highlight w:val="none"/>
                <w:lang w:bidi="ar"/>
              </w:rPr>
              <w:t>分</w:t>
            </w:r>
          </w:p>
          <w:p w14:paraId="26C54BF1">
            <w:pPr>
              <w:pStyle w:val="23"/>
              <w:adjustRightInd w:val="0"/>
              <w:snapToGrid w:val="0"/>
              <w:rPr>
                <w:rFonts w:hAnsi="宋体"/>
                <w:sz w:val="24"/>
                <w:highlight w:val="none"/>
              </w:rPr>
            </w:pPr>
            <w:r>
              <w:rPr>
                <w:rFonts w:hint="default" w:hAnsi="宋体"/>
                <w:sz w:val="24"/>
                <w:highlight w:val="none"/>
              </w:rPr>
              <w:t>考察地点：___________。</w:t>
            </w:r>
          </w:p>
        </w:tc>
      </w:tr>
      <w:tr w14:paraId="30FB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A476082">
            <w:pPr>
              <w:pStyle w:val="23"/>
              <w:adjustRightInd w:val="0"/>
              <w:snapToGrid w:val="0"/>
              <w:jc w:val="center"/>
              <w:rPr>
                <w:rFonts w:hAnsi="宋体"/>
                <w:sz w:val="24"/>
                <w:szCs w:val="24"/>
                <w:highlight w:val="none"/>
              </w:rPr>
            </w:pPr>
          </w:p>
        </w:tc>
        <w:tc>
          <w:tcPr>
            <w:tcW w:w="1701" w:type="dxa"/>
            <w:vAlign w:val="center"/>
          </w:tcPr>
          <w:p w14:paraId="2F4E25C8">
            <w:pPr>
              <w:jc w:val="center"/>
              <w:rPr>
                <w:rFonts w:hint="eastAsia" w:ascii="宋体" w:hAnsi="宋体"/>
                <w:sz w:val="24"/>
                <w:highlight w:val="none"/>
              </w:rPr>
            </w:pPr>
            <w:r>
              <w:rPr>
                <w:rFonts w:ascii="宋体" w:hAnsi="宋体"/>
                <w:sz w:val="24"/>
                <w:highlight w:val="none"/>
              </w:rPr>
              <w:t>磋商前答疑会</w:t>
            </w:r>
          </w:p>
        </w:tc>
        <w:tc>
          <w:tcPr>
            <w:tcW w:w="7253" w:type="dxa"/>
            <w:vAlign w:val="center"/>
          </w:tcPr>
          <w:p w14:paraId="640C393A">
            <w:pPr>
              <w:jc w:val="left"/>
              <w:rPr>
                <w:rFonts w:hint="eastAsia" w:ascii="宋体" w:hAnsi="宋体"/>
                <w:sz w:val="24"/>
                <w:highlight w:val="none"/>
              </w:rPr>
            </w:pPr>
            <w:r>
              <w:rPr>
                <w:rFonts w:ascii="Segoe UI Symbol" w:hAnsi="Segoe UI Symbol" w:cs="Segoe UI Symbol"/>
                <w:highlight w:val="none"/>
              </w:rPr>
              <w:t>☑</w:t>
            </w:r>
            <w:r>
              <w:rPr>
                <w:rFonts w:ascii="宋体" w:hAnsi="宋体"/>
                <w:sz w:val="24"/>
                <w:highlight w:val="none"/>
              </w:rPr>
              <w:t>不召开</w:t>
            </w:r>
          </w:p>
          <w:p w14:paraId="43FC6287">
            <w:pPr>
              <w:jc w:val="left"/>
              <w:rPr>
                <w:rFonts w:hint="eastAsia" w:ascii="宋体" w:hAnsi="宋体"/>
                <w:sz w:val="24"/>
                <w:highlight w:val="none"/>
              </w:rPr>
            </w:pPr>
            <w:r>
              <w:rPr>
                <w:rFonts w:hint="eastAsia" w:ascii="宋体" w:hAnsi="宋体"/>
                <w:highlight w:val="none"/>
              </w:rPr>
              <w:t>□</w:t>
            </w:r>
            <w:r>
              <w:rPr>
                <w:rFonts w:ascii="宋体" w:hAnsi="宋体"/>
                <w:sz w:val="24"/>
                <w:highlight w:val="none"/>
              </w:rPr>
              <w:t>召开，召开时间：___</w:t>
            </w:r>
            <w:r>
              <w:rPr>
                <w:rFonts w:ascii="宋体" w:hAnsi="宋体"/>
                <w:sz w:val="24"/>
                <w:highlight w:val="none"/>
                <w:lang w:bidi="ar"/>
              </w:rPr>
              <w:t>年</w:t>
            </w:r>
            <w:r>
              <w:rPr>
                <w:rFonts w:ascii="宋体" w:hAnsi="宋体"/>
                <w:sz w:val="24"/>
                <w:highlight w:val="none"/>
              </w:rPr>
              <w:t>___</w:t>
            </w:r>
            <w:r>
              <w:rPr>
                <w:rFonts w:ascii="宋体" w:hAnsi="宋体"/>
                <w:sz w:val="24"/>
                <w:highlight w:val="none"/>
                <w:lang w:bidi="ar"/>
              </w:rPr>
              <w:t>月</w:t>
            </w:r>
            <w:r>
              <w:rPr>
                <w:rFonts w:ascii="宋体" w:hAnsi="宋体"/>
                <w:sz w:val="24"/>
                <w:highlight w:val="none"/>
              </w:rPr>
              <w:t>___</w:t>
            </w:r>
            <w:r>
              <w:rPr>
                <w:rFonts w:ascii="宋体" w:hAnsi="宋体"/>
                <w:sz w:val="24"/>
                <w:highlight w:val="none"/>
                <w:lang w:bidi="ar"/>
              </w:rPr>
              <w:t>日</w:t>
            </w:r>
            <w:r>
              <w:rPr>
                <w:rFonts w:ascii="宋体" w:hAnsi="宋体"/>
                <w:sz w:val="24"/>
                <w:highlight w:val="none"/>
              </w:rPr>
              <w:t>___</w:t>
            </w:r>
            <w:r>
              <w:rPr>
                <w:rFonts w:ascii="宋体" w:hAnsi="宋体"/>
                <w:sz w:val="24"/>
                <w:highlight w:val="none"/>
                <w:lang w:bidi="ar"/>
              </w:rPr>
              <w:t>点</w:t>
            </w:r>
            <w:r>
              <w:rPr>
                <w:rFonts w:ascii="宋体" w:hAnsi="宋体"/>
                <w:sz w:val="24"/>
                <w:highlight w:val="none"/>
              </w:rPr>
              <w:t>___</w:t>
            </w:r>
            <w:r>
              <w:rPr>
                <w:rFonts w:ascii="宋体" w:hAnsi="宋体"/>
                <w:sz w:val="24"/>
                <w:highlight w:val="none"/>
                <w:lang w:bidi="ar"/>
              </w:rPr>
              <w:t>分</w:t>
            </w:r>
          </w:p>
          <w:p w14:paraId="445CA391">
            <w:pPr>
              <w:jc w:val="left"/>
              <w:rPr>
                <w:rFonts w:hint="eastAsia" w:ascii="宋体" w:hAnsi="宋体"/>
                <w:sz w:val="24"/>
                <w:highlight w:val="none"/>
              </w:rPr>
            </w:pPr>
            <w:r>
              <w:rPr>
                <w:rFonts w:ascii="宋体" w:hAnsi="宋体"/>
                <w:sz w:val="24"/>
                <w:highlight w:val="none"/>
              </w:rPr>
              <w:t>召开地点：___________。</w:t>
            </w:r>
          </w:p>
        </w:tc>
      </w:tr>
      <w:tr w14:paraId="7DD4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8CC40D4">
            <w:pPr>
              <w:pStyle w:val="23"/>
              <w:adjustRightInd w:val="0"/>
              <w:snapToGrid w:val="0"/>
              <w:jc w:val="center"/>
              <w:rPr>
                <w:rFonts w:hAnsi="宋体"/>
                <w:sz w:val="24"/>
                <w:szCs w:val="24"/>
                <w:highlight w:val="none"/>
              </w:rPr>
            </w:pPr>
            <w:r>
              <w:rPr>
                <w:rFonts w:hint="default" w:hAnsi="宋体"/>
                <w:sz w:val="24"/>
                <w:szCs w:val="24"/>
                <w:highlight w:val="none"/>
              </w:rPr>
              <w:t>4.3.5</w:t>
            </w:r>
          </w:p>
        </w:tc>
        <w:tc>
          <w:tcPr>
            <w:tcW w:w="1701" w:type="dxa"/>
            <w:vAlign w:val="center"/>
          </w:tcPr>
          <w:p w14:paraId="5EDFE765">
            <w:pPr>
              <w:jc w:val="center"/>
              <w:rPr>
                <w:rFonts w:hint="eastAsia" w:ascii="宋体" w:hAnsi="宋体"/>
                <w:sz w:val="24"/>
                <w:highlight w:val="none"/>
              </w:rPr>
            </w:pPr>
            <w:r>
              <w:rPr>
                <w:rFonts w:ascii="宋体" w:hAnsi="宋体"/>
                <w:sz w:val="24"/>
                <w:highlight w:val="none"/>
              </w:rPr>
              <w:t>标的所属行业</w:t>
            </w:r>
          </w:p>
        </w:tc>
        <w:tc>
          <w:tcPr>
            <w:tcW w:w="7253" w:type="dxa"/>
            <w:vAlign w:val="center"/>
          </w:tcPr>
          <w:p w14:paraId="4EBCFA7D">
            <w:pPr>
              <w:jc w:val="left"/>
              <w:rPr>
                <w:rFonts w:hint="eastAsia" w:ascii="宋体" w:hAnsi="宋体"/>
                <w:sz w:val="24"/>
                <w:highlight w:val="none"/>
              </w:rPr>
            </w:pPr>
            <w:r>
              <w:rPr>
                <w:rFonts w:ascii="宋体" w:hAnsi="宋体"/>
                <w:sz w:val="24"/>
                <w:highlight w:val="none"/>
              </w:rPr>
              <w:t>本项目采购标的对应的中小企业划分标准所属行业：</w:t>
            </w:r>
          </w:p>
          <w:tbl>
            <w:tblPr>
              <w:tblStyle w:val="42"/>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3366"/>
              <w:gridCol w:w="3117"/>
            </w:tblGrid>
            <w:tr w14:paraId="6BA9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 w:type="pct"/>
                  <w:tcBorders>
                    <w:top w:val="single" w:color="auto" w:sz="4" w:space="0"/>
                    <w:left w:val="single" w:color="auto" w:sz="4" w:space="0"/>
                    <w:bottom w:val="single" w:color="auto" w:sz="4" w:space="0"/>
                    <w:right w:val="single" w:color="auto" w:sz="4" w:space="0"/>
                  </w:tcBorders>
                  <w:vAlign w:val="center"/>
                </w:tcPr>
                <w:p w14:paraId="42E25D5C">
                  <w:pPr>
                    <w:jc w:val="center"/>
                    <w:rPr>
                      <w:rFonts w:hint="eastAsia" w:ascii="宋体" w:hAnsi="宋体"/>
                      <w:bCs/>
                      <w:sz w:val="24"/>
                      <w:highlight w:val="none"/>
                    </w:rPr>
                  </w:pPr>
                  <w:r>
                    <w:rPr>
                      <w:rFonts w:ascii="宋体" w:hAnsi="宋体"/>
                      <w:bCs/>
                      <w:sz w:val="24"/>
                      <w:highlight w:val="none"/>
                    </w:rPr>
                    <w:t>包号</w:t>
                  </w:r>
                </w:p>
              </w:tc>
              <w:tc>
                <w:tcPr>
                  <w:tcW w:w="2417" w:type="pct"/>
                  <w:tcBorders>
                    <w:top w:val="single" w:color="auto" w:sz="4" w:space="0"/>
                    <w:left w:val="single" w:color="auto" w:sz="4" w:space="0"/>
                    <w:bottom w:val="single" w:color="auto" w:sz="4" w:space="0"/>
                    <w:right w:val="single" w:color="auto" w:sz="4" w:space="0"/>
                  </w:tcBorders>
                  <w:vAlign w:val="center"/>
                </w:tcPr>
                <w:p w14:paraId="012464FF">
                  <w:pPr>
                    <w:jc w:val="center"/>
                    <w:rPr>
                      <w:rFonts w:hint="eastAsia" w:ascii="宋体" w:hAnsi="宋体"/>
                      <w:bCs/>
                      <w:sz w:val="24"/>
                      <w:highlight w:val="none"/>
                    </w:rPr>
                  </w:pPr>
                  <w:r>
                    <w:rPr>
                      <w:rFonts w:ascii="宋体" w:hAnsi="宋体"/>
                      <w:bCs/>
                      <w:sz w:val="24"/>
                      <w:highlight w:val="none"/>
                    </w:rPr>
                    <w:t>标的名称</w:t>
                  </w:r>
                </w:p>
              </w:tc>
              <w:tc>
                <w:tcPr>
                  <w:tcW w:w="2238" w:type="pct"/>
                  <w:tcBorders>
                    <w:top w:val="single" w:color="auto" w:sz="4" w:space="0"/>
                    <w:left w:val="single" w:color="auto" w:sz="4" w:space="0"/>
                    <w:bottom w:val="single" w:color="auto" w:sz="4" w:space="0"/>
                    <w:right w:val="single" w:color="auto" w:sz="4" w:space="0"/>
                  </w:tcBorders>
                  <w:vAlign w:val="center"/>
                </w:tcPr>
                <w:p w14:paraId="6C43448E">
                  <w:pPr>
                    <w:jc w:val="center"/>
                    <w:rPr>
                      <w:rFonts w:hint="eastAsia" w:ascii="宋体" w:hAnsi="宋体"/>
                      <w:sz w:val="24"/>
                      <w:highlight w:val="none"/>
                    </w:rPr>
                  </w:pPr>
                  <w:r>
                    <w:rPr>
                      <w:rFonts w:ascii="宋体" w:hAnsi="宋体"/>
                      <w:sz w:val="24"/>
                      <w:highlight w:val="none"/>
                    </w:rPr>
                    <w:t>中小企业划分标准所属行业</w:t>
                  </w:r>
                </w:p>
              </w:tc>
            </w:tr>
            <w:tr w14:paraId="4A7B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 w:type="pct"/>
                  <w:tcBorders>
                    <w:top w:val="single" w:color="auto" w:sz="4" w:space="0"/>
                    <w:left w:val="single" w:color="auto" w:sz="4" w:space="0"/>
                    <w:bottom w:val="single" w:color="auto" w:sz="4" w:space="0"/>
                    <w:right w:val="single" w:color="auto" w:sz="4" w:space="0"/>
                  </w:tcBorders>
                  <w:vAlign w:val="center"/>
                </w:tcPr>
                <w:p w14:paraId="6FC658C7">
                  <w:pPr>
                    <w:jc w:val="center"/>
                    <w:rPr>
                      <w:rFonts w:hint="eastAsia" w:ascii="宋体" w:hAnsi="宋体"/>
                      <w:bCs/>
                      <w:sz w:val="24"/>
                      <w:highlight w:val="none"/>
                    </w:rPr>
                  </w:pPr>
                  <w:r>
                    <w:rPr>
                      <w:rFonts w:hint="eastAsia" w:ascii="宋体" w:hAnsi="宋体"/>
                      <w:bCs/>
                      <w:sz w:val="24"/>
                      <w:highlight w:val="none"/>
                    </w:rPr>
                    <w:t>/</w:t>
                  </w:r>
                </w:p>
              </w:tc>
              <w:tc>
                <w:tcPr>
                  <w:tcW w:w="2417" w:type="pct"/>
                  <w:tcBorders>
                    <w:top w:val="single" w:color="auto" w:sz="4" w:space="0"/>
                    <w:left w:val="single" w:color="auto" w:sz="4" w:space="0"/>
                    <w:bottom w:val="single" w:color="auto" w:sz="4" w:space="0"/>
                    <w:right w:val="single" w:color="auto" w:sz="4" w:space="0"/>
                  </w:tcBorders>
                  <w:vAlign w:val="center"/>
                </w:tcPr>
                <w:p w14:paraId="2748B7C4">
                  <w:pPr>
                    <w:jc w:val="center"/>
                    <w:rPr>
                      <w:rFonts w:hint="eastAsia" w:ascii="宋体" w:hAnsi="宋体"/>
                      <w:bCs/>
                      <w:sz w:val="24"/>
                      <w:highlight w:val="none"/>
                    </w:rPr>
                  </w:pPr>
                  <w:r>
                    <w:rPr>
                      <w:rFonts w:hint="eastAsia" w:ascii="宋体" w:hAnsi="宋体"/>
                      <w:bCs/>
                      <w:sz w:val="24"/>
                      <w:highlight w:val="none"/>
                    </w:rPr>
                    <w:t>展览路街道党群服务中心装修改造项目</w:t>
                  </w:r>
                </w:p>
              </w:tc>
              <w:tc>
                <w:tcPr>
                  <w:tcW w:w="2238" w:type="pct"/>
                  <w:tcBorders>
                    <w:top w:val="single" w:color="auto" w:sz="4" w:space="0"/>
                    <w:left w:val="single" w:color="auto" w:sz="4" w:space="0"/>
                    <w:bottom w:val="single" w:color="auto" w:sz="4" w:space="0"/>
                    <w:right w:val="single" w:color="auto" w:sz="4" w:space="0"/>
                  </w:tcBorders>
                  <w:vAlign w:val="center"/>
                </w:tcPr>
                <w:p w14:paraId="2BBE9C37">
                  <w:pPr>
                    <w:jc w:val="center"/>
                    <w:rPr>
                      <w:rFonts w:hint="eastAsia" w:ascii="宋体" w:hAnsi="宋体"/>
                      <w:kern w:val="0"/>
                      <w:sz w:val="24"/>
                      <w:highlight w:val="none"/>
                    </w:rPr>
                  </w:pPr>
                  <w:r>
                    <w:rPr>
                      <w:rFonts w:hint="eastAsia" w:ascii="宋体" w:hAnsi="宋体"/>
                      <w:kern w:val="0"/>
                      <w:sz w:val="24"/>
                      <w:highlight w:val="none"/>
                    </w:rPr>
                    <w:t>建筑业</w:t>
                  </w:r>
                </w:p>
              </w:tc>
            </w:tr>
          </w:tbl>
          <w:p w14:paraId="09397F49">
            <w:pPr>
              <w:jc w:val="left"/>
              <w:rPr>
                <w:rFonts w:hint="eastAsia" w:ascii="宋体" w:hAnsi="宋体"/>
                <w:sz w:val="24"/>
                <w:highlight w:val="none"/>
              </w:rPr>
            </w:pPr>
          </w:p>
        </w:tc>
      </w:tr>
      <w:tr w14:paraId="7874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48A3156">
            <w:pPr>
              <w:pStyle w:val="23"/>
              <w:adjustRightInd w:val="0"/>
              <w:snapToGrid w:val="0"/>
              <w:jc w:val="center"/>
              <w:rPr>
                <w:rFonts w:hAnsi="宋体"/>
                <w:sz w:val="24"/>
                <w:szCs w:val="24"/>
                <w:highlight w:val="none"/>
              </w:rPr>
            </w:pPr>
            <w:r>
              <w:rPr>
                <w:rFonts w:hint="default" w:hAnsi="宋体"/>
                <w:sz w:val="24"/>
                <w:szCs w:val="24"/>
                <w:highlight w:val="none"/>
              </w:rPr>
              <w:t>10.2</w:t>
            </w:r>
          </w:p>
        </w:tc>
        <w:tc>
          <w:tcPr>
            <w:tcW w:w="1701" w:type="dxa"/>
            <w:vAlign w:val="center"/>
          </w:tcPr>
          <w:p w14:paraId="24939B04">
            <w:pPr>
              <w:jc w:val="center"/>
              <w:rPr>
                <w:rFonts w:hint="eastAsia" w:ascii="宋体" w:hAnsi="宋体"/>
                <w:sz w:val="24"/>
                <w:highlight w:val="none"/>
              </w:rPr>
            </w:pPr>
            <w:r>
              <w:rPr>
                <w:rFonts w:ascii="宋体" w:hAnsi="宋体"/>
                <w:sz w:val="24"/>
                <w:highlight w:val="none"/>
              </w:rPr>
              <w:t>报价</w:t>
            </w:r>
          </w:p>
        </w:tc>
        <w:tc>
          <w:tcPr>
            <w:tcW w:w="7253" w:type="dxa"/>
            <w:vAlign w:val="center"/>
          </w:tcPr>
          <w:p w14:paraId="4DAEBC13">
            <w:pPr>
              <w:jc w:val="left"/>
              <w:rPr>
                <w:rFonts w:hint="eastAsia" w:ascii="宋体" w:hAnsi="宋体"/>
                <w:sz w:val="24"/>
                <w:highlight w:val="none"/>
              </w:rPr>
            </w:pPr>
            <w:r>
              <w:rPr>
                <w:rFonts w:ascii="宋体" w:hAnsi="宋体"/>
                <w:sz w:val="24"/>
                <w:highlight w:val="none"/>
              </w:rPr>
              <w:t>报价的特殊规定：</w:t>
            </w:r>
          </w:p>
          <w:p w14:paraId="4371F3A7">
            <w:pPr>
              <w:jc w:val="left"/>
              <w:rPr>
                <w:rFonts w:hint="eastAsia" w:ascii="宋体" w:hAnsi="宋体"/>
                <w:sz w:val="24"/>
                <w:highlight w:val="none"/>
              </w:rPr>
            </w:pPr>
            <w:r>
              <w:rPr>
                <w:rFonts w:ascii="Segoe UI Symbol" w:hAnsi="Segoe UI Symbol" w:cs="Segoe UI Symbol"/>
                <w:highlight w:val="none"/>
              </w:rPr>
              <w:t>☑</w:t>
            </w:r>
            <w:r>
              <w:rPr>
                <w:rFonts w:ascii="宋体" w:hAnsi="宋体"/>
                <w:sz w:val="24"/>
                <w:highlight w:val="none"/>
              </w:rPr>
              <w:t>无</w:t>
            </w:r>
          </w:p>
          <w:p w14:paraId="059D23D7">
            <w:pPr>
              <w:jc w:val="left"/>
              <w:rPr>
                <w:rFonts w:hint="eastAsia" w:ascii="宋体" w:hAnsi="宋体"/>
                <w:sz w:val="24"/>
                <w:highlight w:val="none"/>
              </w:rPr>
            </w:pPr>
            <w:r>
              <w:rPr>
                <w:rFonts w:hint="eastAsia" w:ascii="宋体" w:hAnsi="宋体"/>
                <w:highlight w:val="none"/>
              </w:rPr>
              <w:t>□</w:t>
            </w:r>
            <w:r>
              <w:rPr>
                <w:rFonts w:ascii="宋体" w:hAnsi="宋体"/>
                <w:sz w:val="24"/>
                <w:highlight w:val="none"/>
              </w:rPr>
              <w:t>有，具体情形：___________。</w:t>
            </w:r>
          </w:p>
        </w:tc>
      </w:tr>
      <w:tr w14:paraId="77D6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7474E">
            <w:pPr>
              <w:pStyle w:val="23"/>
              <w:adjustRightInd w:val="0"/>
              <w:snapToGrid w:val="0"/>
              <w:jc w:val="center"/>
              <w:rPr>
                <w:rFonts w:hAnsi="宋体"/>
                <w:sz w:val="24"/>
                <w:szCs w:val="24"/>
                <w:highlight w:val="none"/>
              </w:rPr>
            </w:pPr>
            <w:r>
              <w:rPr>
                <w:rFonts w:hint="default" w:hAnsi="宋体"/>
                <w:sz w:val="24"/>
                <w:szCs w:val="24"/>
                <w:highlight w:val="none"/>
              </w:rPr>
              <w:t>11.1</w:t>
            </w:r>
          </w:p>
        </w:tc>
        <w:tc>
          <w:tcPr>
            <w:tcW w:w="1701" w:type="dxa"/>
            <w:vMerge w:val="restart"/>
            <w:vAlign w:val="center"/>
          </w:tcPr>
          <w:p w14:paraId="3FA73734">
            <w:pPr>
              <w:jc w:val="center"/>
              <w:rPr>
                <w:rFonts w:hint="eastAsia" w:ascii="宋体" w:hAnsi="宋体"/>
                <w:sz w:val="24"/>
                <w:highlight w:val="none"/>
              </w:rPr>
            </w:pPr>
            <w:r>
              <w:rPr>
                <w:rFonts w:ascii="宋体" w:hAnsi="宋体"/>
                <w:sz w:val="24"/>
                <w:highlight w:val="none"/>
              </w:rPr>
              <w:t>磋商保证金</w:t>
            </w:r>
          </w:p>
        </w:tc>
        <w:tc>
          <w:tcPr>
            <w:tcW w:w="7253" w:type="dxa"/>
            <w:vAlign w:val="center"/>
          </w:tcPr>
          <w:p w14:paraId="0CFDA4C1">
            <w:pPr>
              <w:pStyle w:val="23"/>
              <w:adjustRightInd w:val="0"/>
              <w:snapToGrid w:val="0"/>
              <w:rPr>
                <w:rFonts w:hAnsi="宋体"/>
                <w:sz w:val="24"/>
                <w:szCs w:val="24"/>
                <w:highlight w:val="none"/>
              </w:rPr>
            </w:pPr>
            <w:r>
              <w:rPr>
                <w:rFonts w:hint="default" w:hAnsi="宋体"/>
                <w:sz w:val="24"/>
                <w:szCs w:val="24"/>
                <w:highlight w:val="none"/>
              </w:rPr>
              <w:t>磋商保证金金额：</w:t>
            </w:r>
            <w:r>
              <w:rPr>
                <w:rFonts w:hAnsi="宋体"/>
                <w:sz w:val="24"/>
                <w:szCs w:val="24"/>
                <w:highlight w:val="none"/>
              </w:rPr>
              <w:t>0</w:t>
            </w:r>
          </w:p>
          <w:p w14:paraId="79A631F0">
            <w:pPr>
              <w:jc w:val="left"/>
              <w:rPr>
                <w:rFonts w:hint="eastAsia" w:ascii="宋体" w:hAnsi="宋体"/>
                <w:sz w:val="24"/>
                <w:highlight w:val="none"/>
              </w:rPr>
            </w:pPr>
            <w:r>
              <w:rPr>
                <w:rFonts w:ascii="宋体" w:hAnsi="宋体"/>
                <w:sz w:val="24"/>
                <w:highlight w:val="none"/>
              </w:rPr>
              <w:t>磋商保证金收受人信息：___________。</w:t>
            </w:r>
          </w:p>
        </w:tc>
      </w:tr>
      <w:tr w14:paraId="2C45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056FD8">
            <w:pPr>
              <w:pStyle w:val="23"/>
              <w:adjustRightInd w:val="0"/>
              <w:snapToGrid w:val="0"/>
              <w:jc w:val="center"/>
              <w:rPr>
                <w:rFonts w:hAnsi="宋体"/>
                <w:sz w:val="24"/>
                <w:szCs w:val="24"/>
                <w:highlight w:val="none"/>
              </w:rPr>
            </w:pPr>
            <w:r>
              <w:rPr>
                <w:rFonts w:hint="default" w:hAnsi="宋体"/>
                <w:sz w:val="24"/>
                <w:szCs w:val="24"/>
                <w:highlight w:val="none"/>
              </w:rPr>
              <w:t>11.</w:t>
            </w:r>
            <w:r>
              <w:rPr>
                <w:rFonts w:hAnsi="宋体"/>
                <w:sz w:val="24"/>
                <w:szCs w:val="24"/>
                <w:highlight w:val="none"/>
              </w:rPr>
              <w:t>8</w:t>
            </w:r>
            <w:r>
              <w:rPr>
                <w:rFonts w:hint="default" w:hAnsi="宋体"/>
                <w:sz w:val="24"/>
                <w:szCs w:val="24"/>
                <w:highlight w:val="none"/>
              </w:rPr>
              <w:t>.5</w:t>
            </w:r>
          </w:p>
        </w:tc>
        <w:tc>
          <w:tcPr>
            <w:tcW w:w="1701" w:type="dxa"/>
            <w:vMerge w:val="continue"/>
            <w:vAlign w:val="center"/>
          </w:tcPr>
          <w:p w14:paraId="5FA05129">
            <w:pPr>
              <w:jc w:val="center"/>
              <w:rPr>
                <w:rFonts w:hint="eastAsia" w:ascii="宋体" w:hAnsi="宋体"/>
                <w:sz w:val="24"/>
                <w:highlight w:val="none"/>
              </w:rPr>
            </w:pPr>
          </w:p>
        </w:tc>
        <w:tc>
          <w:tcPr>
            <w:tcW w:w="7253" w:type="dxa"/>
            <w:vAlign w:val="center"/>
          </w:tcPr>
          <w:p w14:paraId="24568BBB">
            <w:pPr>
              <w:jc w:val="left"/>
              <w:rPr>
                <w:rFonts w:hint="eastAsia" w:ascii="宋体" w:hAnsi="宋体"/>
                <w:sz w:val="24"/>
                <w:highlight w:val="none"/>
              </w:rPr>
            </w:pPr>
            <w:r>
              <w:rPr>
                <w:rFonts w:ascii="宋体" w:hAnsi="宋体"/>
                <w:sz w:val="24"/>
                <w:highlight w:val="none"/>
              </w:rPr>
              <w:t>磋商保证金不予退还的其他情形：</w:t>
            </w:r>
          </w:p>
          <w:p w14:paraId="273B45C0">
            <w:pPr>
              <w:jc w:val="left"/>
              <w:rPr>
                <w:rFonts w:hint="eastAsia" w:ascii="宋体" w:hAnsi="宋体"/>
                <w:sz w:val="24"/>
                <w:highlight w:val="none"/>
              </w:rPr>
            </w:pPr>
            <w:r>
              <w:rPr>
                <w:rFonts w:ascii="Segoe UI Symbol" w:hAnsi="Segoe UI Symbol" w:cs="Segoe UI Symbol"/>
                <w:highlight w:val="none"/>
              </w:rPr>
              <w:t>☑</w:t>
            </w:r>
            <w:r>
              <w:rPr>
                <w:rFonts w:ascii="宋体" w:hAnsi="宋体"/>
                <w:sz w:val="24"/>
                <w:highlight w:val="none"/>
              </w:rPr>
              <w:t>无</w:t>
            </w:r>
          </w:p>
          <w:p w14:paraId="27EF8ECC">
            <w:pPr>
              <w:pStyle w:val="23"/>
              <w:adjustRightInd w:val="0"/>
              <w:snapToGrid w:val="0"/>
              <w:rPr>
                <w:rFonts w:hAnsi="宋体"/>
                <w:sz w:val="24"/>
                <w:szCs w:val="24"/>
                <w:highlight w:val="none"/>
              </w:rPr>
            </w:pPr>
            <w:r>
              <w:rPr>
                <w:rFonts w:hAnsi="宋体"/>
                <w:highlight w:val="none"/>
              </w:rPr>
              <w:t>□</w:t>
            </w:r>
            <w:r>
              <w:rPr>
                <w:rFonts w:hint="default" w:hAnsi="宋体"/>
                <w:sz w:val="24"/>
                <w:highlight w:val="none"/>
              </w:rPr>
              <w:t>有，具体情形：___________。</w:t>
            </w:r>
          </w:p>
        </w:tc>
      </w:tr>
      <w:tr w14:paraId="2D6B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0221BF">
            <w:pPr>
              <w:pStyle w:val="23"/>
              <w:adjustRightInd w:val="0"/>
              <w:snapToGrid w:val="0"/>
              <w:jc w:val="center"/>
              <w:rPr>
                <w:rFonts w:hAnsi="宋体"/>
                <w:sz w:val="24"/>
                <w:szCs w:val="24"/>
                <w:highlight w:val="none"/>
              </w:rPr>
            </w:pPr>
            <w:r>
              <w:rPr>
                <w:rFonts w:hint="default" w:hAnsi="宋体"/>
                <w:sz w:val="24"/>
                <w:szCs w:val="24"/>
                <w:highlight w:val="none"/>
              </w:rPr>
              <w:t>12.1</w:t>
            </w:r>
          </w:p>
        </w:tc>
        <w:tc>
          <w:tcPr>
            <w:tcW w:w="1701" w:type="dxa"/>
            <w:vAlign w:val="center"/>
          </w:tcPr>
          <w:p w14:paraId="30D55B1A">
            <w:pPr>
              <w:jc w:val="center"/>
              <w:rPr>
                <w:rFonts w:hint="eastAsia" w:ascii="宋体" w:hAnsi="宋体"/>
                <w:sz w:val="24"/>
                <w:highlight w:val="none"/>
              </w:rPr>
            </w:pPr>
            <w:r>
              <w:rPr>
                <w:rFonts w:ascii="宋体" w:hAnsi="宋体"/>
                <w:sz w:val="24"/>
                <w:highlight w:val="none"/>
              </w:rPr>
              <w:t>响应有效期</w:t>
            </w:r>
          </w:p>
        </w:tc>
        <w:tc>
          <w:tcPr>
            <w:tcW w:w="7253" w:type="dxa"/>
            <w:vAlign w:val="center"/>
          </w:tcPr>
          <w:p w14:paraId="0414CF90">
            <w:pPr>
              <w:jc w:val="left"/>
              <w:rPr>
                <w:rFonts w:hint="eastAsia" w:ascii="宋体" w:hAnsi="宋体"/>
                <w:sz w:val="24"/>
                <w:highlight w:val="none"/>
              </w:rPr>
            </w:pPr>
            <w:r>
              <w:rPr>
                <w:rFonts w:ascii="宋体" w:hAnsi="宋体"/>
                <w:sz w:val="24"/>
                <w:highlight w:val="none"/>
              </w:rPr>
              <w:t>自响应文件提交截止之日起算</w:t>
            </w:r>
            <w:r>
              <w:rPr>
                <w:rFonts w:hint="eastAsia" w:ascii="宋体" w:hAnsi="宋体"/>
                <w:sz w:val="24"/>
                <w:highlight w:val="none"/>
              </w:rPr>
              <w:t>90</w:t>
            </w:r>
            <w:r>
              <w:rPr>
                <w:rFonts w:ascii="宋体" w:hAnsi="宋体"/>
                <w:sz w:val="24"/>
                <w:highlight w:val="none"/>
              </w:rPr>
              <w:t>日历天。</w:t>
            </w:r>
          </w:p>
        </w:tc>
      </w:tr>
      <w:tr w14:paraId="7984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9A7156">
            <w:pPr>
              <w:pStyle w:val="23"/>
              <w:adjustRightInd w:val="0"/>
              <w:snapToGrid w:val="0"/>
              <w:jc w:val="center"/>
              <w:rPr>
                <w:rFonts w:hAnsi="宋体"/>
                <w:sz w:val="24"/>
                <w:szCs w:val="24"/>
                <w:highlight w:val="none"/>
              </w:rPr>
            </w:pPr>
            <w:r>
              <w:rPr>
                <w:rFonts w:hAnsi="宋体"/>
                <w:sz w:val="24"/>
                <w:szCs w:val="24"/>
                <w:highlight w:val="none"/>
              </w:rPr>
              <w:t>17.2</w:t>
            </w:r>
          </w:p>
        </w:tc>
        <w:tc>
          <w:tcPr>
            <w:tcW w:w="1701" w:type="dxa"/>
            <w:vAlign w:val="center"/>
          </w:tcPr>
          <w:p w14:paraId="55FA9E79">
            <w:pPr>
              <w:jc w:val="center"/>
              <w:rPr>
                <w:rFonts w:hint="eastAsia" w:ascii="宋体" w:hAnsi="宋体"/>
                <w:sz w:val="24"/>
                <w:highlight w:val="none"/>
              </w:rPr>
            </w:pPr>
            <w:r>
              <w:rPr>
                <w:rFonts w:hint="eastAsia" w:ascii="宋体" w:hAnsi="宋体"/>
                <w:sz w:val="24"/>
                <w:highlight w:val="none"/>
              </w:rPr>
              <w:t>解密时间</w:t>
            </w:r>
          </w:p>
        </w:tc>
        <w:tc>
          <w:tcPr>
            <w:tcW w:w="7253" w:type="dxa"/>
            <w:vAlign w:val="center"/>
          </w:tcPr>
          <w:p w14:paraId="0A9E6492">
            <w:pPr>
              <w:jc w:val="left"/>
              <w:rPr>
                <w:rFonts w:hint="eastAsia" w:ascii="宋体" w:hAnsi="宋体"/>
                <w:sz w:val="24"/>
                <w:highlight w:val="none"/>
              </w:rPr>
            </w:pPr>
            <w:r>
              <w:rPr>
                <w:rFonts w:hint="eastAsia" w:ascii="宋体" w:hAnsi="宋体"/>
                <w:sz w:val="24"/>
                <w:highlight w:val="none"/>
              </w:rPr>
              <w:t>解密时间：</w:t>
            </w:r>
            <w:r>
              <w:rPr>
                <w:rFonts w:hint="eastAsia" w:ascii="宋体" w:hAnsi="宋体"/>
                <w:sz w:val="24"/>
                <w:highlight w:val="none"/>
                <w:u w:val="single"/>
              </w:rPr>
              <w:t>30</w:t>
            </w:r>
            <w:r>
              <w:rPr>
                <w:rFonts w:hint="eastAsia" w:ascii="宋体" w:hAnsi="宋体"/>
                <w:sz w:val="24"/>
                <w:highlight w:val="none"/>
              </w:rPr>
              <w:t>分钟</w:t>
            </w:r>
          </w:p>
        </w:tc>
      </w:tr>
      <w:tr w14:paraId="123D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C43FFF">
            <w:pPr>
              <w:pStyle w:val="23"/>
              <w:adjustRightInd w:val="0"/>
              <w:snapToGrid w:val="0"/>
              <w:jc w:val="center"/>
              <w:rPr>
                <w:rFonts w:hAnsi="宋体"/>
                <w:sz w:val="24"/>
                <w:szCs w:val="24"/>
                <w:highlight w:val="none"/>
              </w:rPr>
            </w:pPr>
            <w:r>
              <w:rPr>
                <w:rFonts w:hint="default" w:hAnsi="宋体"/>
                <w:sz w:val="24"/>
                <w:szCs w:val="24"/>
                <w:highlight w:val="none"/>
              </w:rPr>
              <w:t>20.1</w:t>
            </w:r>
          </w:p>
        </w:tc>
        <w:tc>
          <w:tcPr>
            <w:tcW w:w="1701" w:type="dxa"/>
            <w:vAlign w:val="center"/>
          </w:tcPr>
          <w:p w14:paraId="6CD81C3C">
            <w:pPr>
              <w:jc w:val="center"/>
              <w:rPr>
                <w:rFonts w:hint="eastAsia" w:ascii="宋体" w:hAnsi="宋体"/>
                <w:sz w:val="24"/>
                <w:highlight w:val="none"/>
              </w:rPr>
            </w:pPr>
            <w:r>
              <w:rPr>
                <w:rFonts w:ascii="宋体" w:hAnsi="宋体"/>
                <w:sz w:val="24"/>
                <w:highlight w:val="none"/>
              </w:rPr>
              <w:t>确定成交供应商</w:t>
            </w:r>
          </w:p>
        </w:tc>
        <w:tc>
          <w:tcPr>
            <w:tcW w:w="7253" w:type="dxa"/>
            <w:vAlign w:val="center"/>
          </w:tcPr>
          <w:p w14:paraId="39C01AB7">
            <w:pPr>
              <w:pStyle w:val="23"/>
              <w:adjustRightInd w:val="0"/>
              <w:snapToGrid w:val="0"/>
              <w:rPr>
                <w:rFonts w:hAnsi="宋体"/>
                <w:sz w:val="24"/>
                <w:highlight w:val="none"/>
              </w:rPr>
            </w:pPr>
            <w:r>
              <w:rPr>
                <w:rFonts w:hint="default" w:hAnsi="宋体"/>
                <w:sz w:val="24"/>
                <w:highlight w:val="none"/>
              </w:rPr>
              <w:t>采购人是否</w:t>
            </w:r>
            <w:r>
              <w:rPr>
                <w:rFonts w:hint="default" w:hAnsi="宋体"/>
                <w:color w:val="000000"/>
                <w:sz w:val="24"/>
                <w:highlight w:val="none"/>
              </w:rPr>
              <w:t>授权磋商小组直接确定成交供应商</w:t>
            </w:r>
            <w:r>
              <w:rPr>
                <w:rFonts w:hint="default" w:hAnsi="宋体"/>
                <w:sz w:val="24"/>
                <w:highlight w:val="none"/>
              </w:rPr>
              <w:t>：</w:t>
            </w:r>
          </w:p>
          <w:p w14:paraId="19CDAE22">
            <w:pPr>
              <w:pStyle w:val="23"/>
              <w:adjustRightInd w:val="0"/>
              <w:snapToGrid w:val="0"/>
              <w:rPr>
                <w:rFonts w:hAnsi="宋体"/>
                <w:sz w:val="24"/>
                <w:highlight w:val="none"/>
              </w:rPr>
            </w:pPr>
            <w:r>
              <w:rPr>
                <w:rFonts w:hint="default" w:ascii="Segoe UI Symbol" w:hAnsi="Segoe UI Symbol" w:cs="Segoe UI Symbol"/>
                <w:highlight w:val="none"/>
              </w:rPr>
              <w:t>☑</w:t>
            </w:r>
            <w:r>
              <w:rPr>
                <w:rFonts w:hint="default" w:hAnsi="宋体"/>
                <w:sz w:val="24"/>
                <w:highlight w:val="none"/>
              </w:rPr>
              <w:t>否</w:t>
            </w:r>
          </w:p>
          <w:p w14:paraId="029E050E">
            <w:pPr>
              <w:jc w:val="left"/>
              <w:rPr>
                <w:rFonts w:hint="eastAsia" w:ascii="宋体" w:hAnsi="宋体"/>
                <w:sz w:val="24"/>
                <w:highlight w:val="none"/>
              </w:rPr>
            </w:pPr>
            <w:r>
              <w:rPr>
                <w:rFonts w:hint="eastAsia" w:ascii="宋体" w:hAnsi="宋体"/>
                <w:highlight w:val="none"/>
              </w:rPr>
              <w:t>□</w:t>
            </w:r>
            <w:r>
              <w:rPr>
                <w:rFonts w:ascii="宋体" w:hAnsi="宋体"/>
                <w:sz w:val="24"/>
                <w:highlight w:val="none"/>
              </w:rPr>
              <w:t>是</w:t>
            </w:r>
          </w:p>
          <w:p w14:paraId="03348E21">
            <w:pPr>
              <w:jc w:val="left"/>
              <w:rPr>
                <w:rFonts w:hint="eastAsia" w:ascii="宋体" w:hAnsi="宋体"/>
                <w:sz w:val="24"/>
                <w:highlight w:val="none"/>
                <w:u w:val="single"/>
              </w:rPr>
            </w:pPr>
            <w:r>
              <w:rPr>
                <w:rFonts w:ascii="宋体" w:hAnsi="宋体"/>
                <w:sz w:val="24"/>
                <w:highlight w:val="none"/>
              </w:rPr>
              <w:t>成交候选人并列的，按照以下方式确定成交供应商：_______。</w:t>
            </w:r>
          </w:p>
        </w:tc>
      </w:tr>
      <w:tr w14:paraId="5D29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3E7475">
            <w:pPr>
              <w:pStyle w:val="23"/>
              <w:adjustRightInd w:val="0"/>
              <w:snapToGrid w:val="0"/>
              <w:jc w:val="center"/>
              <w:rPr>
                <w:rFonts w:hAnsi="宋体"/>
                <w:sz w:val="24"/>
                <w:szCs w:val="24"/>
                <w:highlight w:val="none"/>
              </w:rPr>
            </w:pPr>
            <w:r>
              <w:rPr>
                <w:rFonts w:hint="default" w:hAnsi="宋体"/>
                <w:sz w:val="24"/>
                <w:szCs w:val="24"/>
                <w:highlight w:val="none"/>
              </w:rPr>
              <w:t>23.5</w:t>
            </w:r>
          </w:p>
        </w:tc>
        <w:tc>
          <w:tcPr>
            <w:tcW w:w="1701" w:type="dxa"/>
            <w:vAlign w:val="center"/>
          </w:tcPr>
          <w:p w14:paraId="7B068FF3">
            <w:pPr>
              <w:jc w:val="center"/>
              <w:rPr>
                <w:rFonts w:hint="eastAsia" w:ascii="宋体" w:hAnsi="宋体"/>
                <w:sz w:val="24"/>
                <w:highlight w:val="none"/>
              </w:rPr>
            </w:pPr>
            <w:r>
              <w:rPr>
                <w:rFonts w:ascii="宋体" w:hAnsi="宋体"/>
                <w:sz w:val="24"/>
                <w:highlight w:val="none"/>
              </w:rPr>
              <w:t>分包</w:t>
            </w:r>
          </w:p>
        </w:tc>
        <w:tc>
          <w:tcPr>
            <w:tcW w:w="7253" w:type="dxa"/>
            <w:vAlign w:val="center"/>
          </w:tcPr>
          <w:p w14:paraId="45CD5709">
            <w:pPr>
              <w:jc w:val="left"/>
              <w:rPr>
                <w:rFonts w:hint="eastAsia" w:ascii="宋体" w:hAnsi="宋体"/>
                <w:sz w:val="24"/>
                <w:highlight w:val="none"/>
              </w:rPr>
            </w:pPr>
            <w:r>
              <w:rPr>
                <w:rFonts w:ascii="宋体" w:hAnsi="宋体"/>
                <w:sz w:val="24"/>
                <w:highlight w:val="none"/>
              </w:rPr>
              <w:t xml:space="preserve">本项目是否允许分包： </w:t>
            </w:r>
          </w:p>
          <w:p w14:paraId="7190D48D">
            <w:pPr>
              <w:jc w:val="left"/>
              <w:rPr>
                <w:rFonts w:hint="eastAsia" w:ascii="宋体" w:hAnsi="宋体"/>
                <w:sz w:val="24"/>
                <w:highlight w:val="none"/>
              </w:rPr>
            </w:pPr>
            <w:r>
              <w:rPr>
                <w:rFonts w:ascii="Segoe UI Symbol" w:hAnsi="Segoe UI Symbol" w:cs="Segoe UI Symbol"/>
                <w:highlight w:val="none"/>
              </w:rPr>
              <w:t>☑</w:t>
            </w:r>
            <w:r>
              <w:rPr>
                <w:rFonts w:ascii="宋体" w:hAnsi="宋体"/>
                <w:sz w:val="24"/>
                <w:highlight w:val="none"/>
              </w:rPr>
              <w:t>不允许</w:t>
            </w:r>
          </w:p>
          <w:p w14:paraId="5C370EB8">
            <w:pPr>
              <w:jc w:val="left"/>
              <w:rPr>
                <w:rFonts w:hint="eastAsia" w:ascii="宋体" w:hAnsi="宋体"/>
                <w:sz w:val="24"/>
                <w:highlight w:val="none"/>
              </w:rPr>
            </w:pPr>
            <w:r>
              <w:rPr>
                <w:rFonts w:ascii="宋体" w:hAnsi="宋体"/>
                <w:highlight w:val="none"/>
              </w:rPr>
              <w:t>□</w:t>
            </w:r>
            <w:r>
              <w:rPr>
                <w:rFonts w:ascii="宋体" w:hAnsi="宋体"/>
                <w:sz w:val="24"/>
                <w:highlight w:val="none"/>
              </w:rPr>
              <w:t>允许，具体要求：_______。</w:t>
            </w:r>
          </w:p>
          <w:p w14:paraId="473C9F75">
            <w:pPr>
              <w:jc w:val="left"/>
              <w:rPr>
                <w:rFonts w:hint="eastAsia" w:ascii="宋体" w:hAnsi="宋体"/>
                <w:sz w:val="24"/>
                <w:highlight w:val="none"/>
              </w:rPr>
            </w:pPr>
            <w:r>
              <w:rPr>
                <w:rFonts w:ascii="宋体" w:hAnsi="宋体"/>
                <w:sz w:val="24"/>
                <w:highlight w:val="none"/>
              </w:rPr>
              <w:t>（1）可以分包履行的具体内容：_______；</w:t>
            </w:r>
          </w:p>
          <w:p w14:paraId="7BBE1395">
            <w:pPr>
              <w:jc w:val="left"/>
              <w:rPr>
                <w:rFonts w:hint="eastAsia" w:ascii="宋体" w:hAnsi="宋体"/>
                <w:sz w:val="24"/>
                <w:highlight w:val="none"/>
              </w:rPr>
            </w:pPr>
            <w:r>
              <w:rPr>
                <w:rFonts w:ascii="宋体" w:hAnsi="宋体"/>
                <w:sz w:val="24"/>
                <w:highlight w:val="none"/>
              </w:rPr>
              <w:t>（2）允许分包的金额或者比例：_______；</w:t>
            </w:r>
          </w:p>
          <w:p w14:paraId="4602314A">
            <w:pPr>
              <w:jc w:val="left"/>
              <w:rPr>
                <w:rFonts w:hint="eastAsia" w:ascii="宋体" w:hAnsi="宋体"/>
                <w:sz w:val="24"/>
                <w:highlight w:val="none"/>
                <w:u w:val="single"/>
              </w:rPr>
            </w:pPr>
            <w:r>
              <w:rPr>
                <w:rFonts w:ascii="宋体" w:hAnsi="宋体"/>
                <w:sz w:val="24"/>
                <w:highlight w:val="none"/>
              </w:rPr>
              <w:t>（3）其他要求：_______。</w:t>
            </w:r>
          </w:p>
        </w:tc>
      </w:tr>
      <w:tr w14:paraId="5ADF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F55623">
            <w:pPr>
              <w:pStyle w:val="23"/>
              <w:adjustRightInd w:val="0"/>
              <w:snapToGrid w:val="0"/>
              <w:jc w:val="center"/>
              <w:rPr>
                <w:rFonts w:hAnsi="宋体"/>
                <w:sz w:val="24"/>
                <w:szCs w:val="24"/>
                <w:highlight w:val="none"/>
              </w:rPr>
            </w:pPr>
            <w:r>
              <w:rPr>
                <w:rFonts w:hAnsi="宋体"/>
                <w:sz w:val="24"/>
                <w:szCs w:val="24"/>
                <w:highlight w:val="none"/>
              </w:rPr>
              <w:t>2</w:t>
            </w:r>
            <w:r>
              <w:rPr>
                <w:rFonts w:hint="default" w:hAnsi="宋体"/>
                <w:sz w:val="24"/>
                <w:szCs w:val="24"/>
                <w:highlight w:val="none"/>
              </w:rPr>
              <w:t>3</w:t>
            </w:r>
            <w:r>
              <w:rPr>
                <w:rFonts w:hAnsi="宋体"/>
                <w:sz w:val="24"/>
                <w:szCs w:val="24"/>
                <w:highlight w:val="none"/>
              </w:rPr>
              <w:t>.6</w:t>
            </w:r>
          </w:p>
        </w:tc>
        <w:tc>
          <w:tcPr>
            <w:tcW w:w="1701" w:type="dxa"/>
            <w:vAlign w:val="center"/>
          </w:tcPr>
          <w:p w14:paraId="09F63AFC">
            <w:pPr>
              <w:jc w:val="center"/>
              <w:rPr>
                <w:rFonts w:hint="eastAsia" w:ascii="宋体" w:hAnsi="宋体"/>
                <w:sz w:val="24"/>
                <w:highlight w:val="none"/>
              </w:rPr>
            </w:pPr>
            <w:r>
              <w:rPr>
                <w:rFonts w:hint="eastAsia" w:ascii="宋体" w:hAnsi="宋体"/>
                <w:sz w:val="24"/>
                <w:highlight w:val="none"/>
              </w:rPr>
              <w:t>政采贷</w:t>
            </w:r>
          </w:p>
        </w:tc>
        <w:tc>
          <w:tcPr>
            <w:tcW w:w="7253" w:type="dxa"/>
            <w:vAlign w:val="center"/>
          </w:tcPr>
          <w:p w14:paraId="464186DA">
            <w:pPr>
              <w:jc w:val="left"/>
              <w:rPr>
                <w:rFonts w:hint="eastAsia" w:ascii="宋体" w:hAnsi="宋体"/>
                <w:sz w:val="24"/>
                <w:highlight w:val="none"/>
              </w:rPr>
            </w:pPr>
            <w:r>
              <w:rPr>
                <w:rFonts w:ascii="宋体" w:hAnsi="宋体"/>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D26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F291C2">
            <w:pPr>
              <w:pStyle w:val="23"/>
              <w:adjustRightInd w:val="0"/>
              <w:snapToGrid w:val="0"/>
              <w:jc w:val="center"/>
              <w:rPr>
                <w:rFonts w:hAnsi="宋体"/>
                <w:sz w:val="24"/>
                <w:szCs w:val="24"/>
                <w:highlight w:val="none"/>
              </w:rPr>
            </w:pPr>
            <w:r>
              <w:rPr>
                <w:rFonts w:hint="default" w:hAnsi="宋体"/>
                <w:sz w:val="24"/>
                <w:szCs w:val="24"/>
                <w:highlight w:val="none"/>
              </w:rPr>
              <w:t>24.1.1</w:t>
            </w:r>
          </w:p>
        </w:tc>
        <w:tc>
          <w:tcPr>
            <w:tcW w:w="1701" w:type="dxa"/>
            <w:vAlign w:val="center"/>
          </w:tcPr>
          <w:p w14:paraId="40CE82D6">
            <w:pPr>
              <w:jc w:val="center"/>
              <w:rPr>
                <w:rFonts w:hint="eastAsia" w:ascii="宋体" w:hAnsi="宋体"/>
                <w:sz w:val="24"/>
                <w:highlight w:val="none"/>
              </w:rPr>
            </w:pPr>
            <w:r>
              <w:rPr>
                <w:rFonts w:ascii="宋体" w:hAnsi="宋体"/>
                <w:sz w:val="24"/>
                <w:highlight w:val="none"/>
              </w:rPr>
              <w:t>询问</w:t>
            </w:r>
          </w:p>
        </w:tc>
        <w:tc>
          <w:tcPr>
            <w:tcW w:w="7253" w:type="dxa"/>
            <w:vAlign w:val="center"/>
          </w:tcPr>
          <w:p w14:paraId="4D7E30E5">
            <w:pPr>
              <w:jc w:val="left"/>
              <w:rPr>
                <w:rFonts w:hint="eastAsia" w:ascii="宋体" w:hAnsi="宋体"/>
                <w:sz w:val="24"/>
                <w:highlight w:val="none"/>
              </w:rPr>
            </w:pPr>
            <w:r>
              <w:rPr>
                <w:rFonts w:ascii="宋体" w:hAnsi="宋体"/>
                <w:sz w:val="24"/>
                <w:highlight w:val="none"/>
              </w:rPr>
              <w:t>询问</w:t>
            </w:r>
            <w:r>
              <w:rPr>
                <w:rFonts w:hint="eastAsia" w:ascii="宋体" w:hAnsi="宋体"/>
                <w:sz w:val="24"/>
                <w:highlight w:val="none"/>
              </w:rPr>
              <w:t>提出</w:t>
            </w:r>
            <w:r>
              <w:rPr>
                <w:rFonts w:ascii="宋体" w:hAnsi="宋体"/>
                <w:sz w:val="24"/>
                <w:highlight w:val="none"/>
              </w:rPr>
              <w:t>形式：</w:t>
            </w:r>
            <w:r>
              <w:rPr>
                <w:rFonts w:hint="eastAsia" w:ascii="宋体" w:hAnsi="宋体"/>
                <w:sz w:val="24"/>
                <w:highlight w:val="none"/>
              </w:rPr>
              <w:t>请与华采招标集团有限公司联系（质疑函请采用政府采购供应商质疑函范本格式，以书面形式在法定质疑期内一次性提出针对同一采购程序环节的质疑）。</w:t>
            </w:r>
          </w:p>
        </w:tc>
      </w:tr>
      <w:tr w14:paraId="14AE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52855A">
            <w:pPr>
              <w:pStyle w:val="23"/>
              <w:adjustRightInd w:val="0"/>
              <w:snapToGrid w:val="0"/>
              <w:jc w:val="center"/>
              <w:rPr>
                <w:rFonts w:hAnsi="宋体"/>
                <w:sz w:val="24"/>
                <w:szCs w:val="24"/>
                <w:highlight w:val="none"/>
              </w:rPr>
            </w:pPr>
            <w:r>
              <w:rPr>
                <w:rFonts w:hint="default" w:hAnsi="宋体"/>
                <w:sz w:val="24"/>
                <w:szCs w:val="24"/>
                <w:highlight w:val="none"/>
              </w:rPr>
              <w:t>24.3</w:t>
            </w:r>
          </w:p>
        </w:tc>
        <w:tc>
          <w:tcPr>
            <w:tcW w:w="1701" w:type="dxa"/>
            <w:vAlign w:val="center"/>
          </w:tcPr>
          <w:p w14:paraId="4ED2AE21">
            <w:pPr>
              <w:jc w:val="center"/>
              <w:rPr>
                <w:rFonts w:hint="eastAsia" w:ascii="宋体" w:hAnsi="宋体"/>
                <w:sz w:val="24"/>
                <w:highlight w:val="none"/>
              </w:rPr>
            </w:pPr>
            <w:r>
              <w:rPr>
                <w:rFonts w:ascii="宋体" w:hAnsi="宋体"/>
                <w:sz w:val="24"/>
                <w:highlight w:val="none"/>
              </w:rPr>
              <w:t>联系方式</w:t>
            </w:r>
          </w:p>
        </w:tc>
        <w:tc>
          <w:tcPr>
            <w:tcW w:w="7253" w:type="dxa"/>
            <w:vAlign w:val="center"/>
          </w:tcPr>
          <w:p w14:paraId="036EF911">
            <w:pPr>
              <w:jc w:val="left"/>
              <w:rPr>
                <w:rFonts w:hint="eastAsia" w:ascii="宋体" w:hAnsi="宋体"/>
                <w:sz w:val="24"/>
                <w:highlight w:val="none"/>
              </w:rPr>
            </w:pPr>
            <w:r>
              <w:rPr>
                <w:rFonts w:ascii="宋体" w:hAnsi="宋体"/>
                <w:sz w:val="24"/>
                <w:highlight w:val="none"/>
              </w:rPr>
              <w:t>接收询问和质疑的联系方式</w:t>
            </w:r>
          </w:p>
          <w:p w14:paraId="5355A2D1">
            <w:pPr>
              <w:jc w:val="left"/>
              <w:rPr>
                <w:rFonts w:hint="eastAsia" w:ascii="宋体" w:hAnsi="宋体"/>
                <w:sz w:val="24"/>
                <w:highlight w:val="none"/>
              </w:rPr>
            </w:pPr>
            <w:r>
              <w:rPr>
                <w:rFonts w:ascii="宋体" w:hAnsi="宋体"/>
                <w:sz w:val="24"/>
                <w:highlight w:val="none"/>
              </w:rPr>
              <w:t>联系部门：</w:t>
            </w:r>
            <w:r>
              <w:rPr>
                <w:rFonts w:hint="eastAsia" w:ascii="宋体" w:hAnsi="宋体"/>
                <w:sz w:val="24"/>
                <w:highlight w:val="none"/>
                <w:u w:val="single"/>
              </w:rPr>
              <w:t>华采招标集团有限公司-南区招标事业部</w:t>
            </w:r>
            <w:r>
              <w:rPr>
                <w:rFonts w:ascii="宋体" w:hAnsi="宋体"/>
                <w:sz w:val="24"/>
                <w:highlight w:val="none"/>
              </w:rPr>
              <w:t>；</w:t>
            </w:r>
          </w:p>
          <w:p w14:paraId="17541B1F">
            <w:pPr>
              <w:jc w:val="left"/>
              <w:rPr>
                <w:rFonts w:hint="eastAsia" w:ascii="宋体" w:hAnsi="宋体"/>
                <w:sz w:val="24"/>
                <w:highlight w:val="none"/>
              </w:rPr>
            </w:pPr>
            <w:r>
              <w:rPr>
                <w:rFonts w:ascii="宋体" w:hAnsi="宋体"/>
                <w:sz w:val="24"/>
                <w:highlight w:val="none"/>
              </w:rPr>
              <w:t>联系电话：</w:t>
            </w:r>
            <w:r>
              <w:rPr>
                <w:rFonts w:hint="eastAsia" w:ascii="宋体" w:hAnsi="宋体"/>
                <w:sz w:val="24"/>
                <w:highlight w:val="none"/>
                <w:u w:val="single"/>
              </w:rPr>
              <w:t>18612287807/7813</w:t>
            </w:r>
            <w:r>
              <w:rPr>
                <w:rFonts w:ascii="宋体" w:hAnsi="宋体"/>
                <w:sz w:val="24"/>
                <w:highlight w:val="none"/>
                <w:u w:val="single"/>
              </w:rPr>
              <w:t>；</w:t>
            </w:r>
          </w:p>
          <w:p w14:paraId="10A13D05">
            <w:pPr>
              <w:jc w:val="left"/>
              <w:rPr>
                <w:rFonts w:hint="eastAsia" w:ascii="宋体" w:hAnsi="宋体"/>
                <w:sz w:val="24"/>
                <w:highlight w:val="none"/>
              </w:rPr>
            </w:pPr>
            <w:r>
              <w:rPr>
                <w:rFonts w:ascii="宋体" w:hAnsi="宋体"/>
                <w:sz w:val="24"/>
                <w:highlight w:val="none"/>
              </w:rPr>
              <w:t>通讯地址：</w:t>
            </w:r>
            <w:r>
              <w:rPr>
                <w:rFonts w:hint="eastAsia" w:ascii="宋体" w:hAnsi="宋体"/>
                <w:sz w:val="24"/>
                <w:highlight w:val="none"/>
                <w:u w:val="single"/>
              </w:rPr>
              <w:t>北京市丰台区广安路9号国投财富广场6号楼1601室。</w:t>
            </w:r>
          </w:p>
        </w:tc>
      </w:tr>
      <w:tr w14:paraId="6831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D3C238">
            <w:pPr>
              <w:pStyle w:val="23"/>
              <w:adjustRightInd w:val="0"/>
              <w:snapToGrid w:val="0"/>
              <w:jc w:val="center"/>
              <w:rPr>
                <w:rFonts w:hAnsi="宋体"/>
                <w:sz w:val="24"/>
                <w:szCs w:val="24"/>
                <w:highlight w:val="none"/>
              </w:rPr>
            </w:pPr>
            <w:r>
              <w:rPr>
                <w:rFonts w:hint="default" w:hAnsi="宋体"/>
                <w:sz w:val="24"/>
                <w:szCs w:val="24"/>
                <w:highlight w:val="none"/>
              </w:rPr>
              <w:t>25</w:t>
            </w:r>
          </w:p>
        </w:tc>
        <w:tc>
          <w:tcPr>
            <w:tcW w:w="1701" w:type="dxa"/>
            <w:vAlign w:val="center"/>
          </w:tcPr>
          <w:p w14:paraId="55CEA3E0">
            <w:pPr>
              <w:jc w:val="center"/>
              <w:rPr>
                <w:rFonts w:hint="eastAsia" w:ascii="宋体" w:hAnsi="宋体"/>
                <w:sz w:val="24"/>
                <w:highlight w:val="none"/>
              </w:rPr>
            </w:pPr>
            <w:r>
              <w:rPr>
                <w:rFonts w:ascii="宋体" w:hAnsi="宋体"/>
                <w:sz w:val="24"/>
                <w:highlight w:val="none"/>
              </w:rPr>
              <w:t>代理费</w:t>
            </w:r>
          </w:p>
        </w:tc>
        <w:tc>
          <w:tcPr>
            <w:tcW w:w="7253" w:type="dxa"/>
            <w:vAlign w:val="center"/>
          </w:tcPr>
          <w:p w14:paraId="7371B7CA">
            <w:pPr>
              <w:jc w:val="left"/>
              <w:rPr>
                <w:rFonts w:hint="eastAsia" w:ascii="宋体" w:hAnsi="宋体"/>
                <w:sz w:val="24"/>
                <w:highlight w:val="none"/>
              </w:rPr>
            </w:pPr>
            <w:r>
              <w:rPr>
                <w:rFonts w:ascii="宋体" w:hAnsi="宋体"/>
                <w:sz w:val="24"/>
                <w:highlight w:val="none"/>
              </w:rPr>
              <w:t>收费对象：</w:t>
            </w:r>
          </w:p>
          <w:p w14:paraId="6CA4C467">
            <w:pPr>
              <w:jc w:val="left"/>
              <w:rPr>
                <w:rFonts w:hint="eastAsia" w:ascii="宋体" w:hAnsi="宋体"/>
                <w:sz w:val="24"/>
                <w:highlight w:val="none"/>
              </w:rPr>
            </w:pPr>
            <w:r>
              <w:rPr>
                <w:rFonts w:ascii="宋体" w:hAnsi="宋体"/>
                <w:highlight w:val="none"/>
              </w:rPr>
              <w:t>□</w:t>
            </w:r>
            <w:r>
              <w:rPr>
                <w:rFonts w:ascii="宋体" w:hAnsi="宋体"/>
                <w:sz w:val="24"/>
                <w:highlight w:val="none"/>
              </w:rPr>
              <w:t>采购人</w:t>
            </w:r>
          </w:p>
          <w:p w14:paraId="080FA5B9">
            <w:pPr>
              <w:jc w:val="left"/>
              <w:rPr>
                <w:rFonts w:hint="eastAsia" w:ascii="宋体" w:hAnsi="宋体"/>
                <w:sz w:val="24"/>
                <w:highlight w:val="none"/>
              </w:rPr>
            </w:pPr>
            <w:r>
              <w:rPr>
                <w:rFonts w:ascii="Segoe UI Symbol" w:hAnsi="Segoe UI Symbol" w:cs="Segoe UI Symbol"/>
                <w:highlight w:val="none"/>
              </w:rPr>
              <w:t>☑</w:t>
            </w:r>
            <w:r>
              <w:rPr>
                <w:rFonts w:ascii="宋体" w:hAnsi="宋体"/>
                <w:sz w:val="24"/>
                <w:highlight w:val="none"/>
              </w:rPr>
              <w:t>成交供应商</w:t>
            </w:r>
          </w:p>
          <w:p w14:paraId="5B5558E3">
            <w:pPr>
              <w:jc w:val="left"/>
              <w:rPr>
                <w:rFonts w:hint="eastAsia" w:ascii="宋体" w:hAnsi="宋体"/>
                <w:sz w:val="24"/>
                <w:highlight w:val="none"/>
              </w:rPr>
            </w:pPr>
            <w:r>
              <w:rPr>
                <w:rFonts w:ascii="宋体" w:hAnsi="宋体"/>
                <w:sz w:val="24"/>
                <w:highlight w:val="none"/>
              </w:rPr>
              <w:t>收费标准：</w:t>
            </w:r>
            <w:r>
              <w:rPr>
                <w:rFonts w:hint="eastAsia" w:ascii="宋体" w:hAnsi="宋体"/>
                <w:sz w:val="24"/>
                <w:highlight w:val="none"/>
              </w:rPr>
              <w:t>以中标价为基数计取，参照《国家计委关于印发</w:t>
            </w:r>
            <w:r>
              <w:rPr>
                <w:rFonts w:ascii="宋体" w:hAnsi="宋体"/>
                <w:sz w:val="24"/>
                <w:highlight w:val="none"/>
              </w:rPr>
              <w:t>&lt;</w:t>
            </w:r>
            <w:r>
              <w:rPr>
                <w:rFonts w:hint="eastAsia" w:ascii="宋体" w:hAnsi="宋体"/>
                <w:sz w:val="24"/>
                <w:highlight w:val="none"/>
              </w:rPr>
              <w:t>招标代理服务收费管理暂行办法</w:t>
            </w:r>
            <w:r>
              <w:rPr>
                <w:rFonts w:ascii="宋体" w:hAnsi="宋体"/>
                <w:sz w:val="24"/>
                <w:highlight w:val="none"/>
              </w:rPr>
              <w:t>&gt;</w:t>
            </w:r>
            <w:r>
              <w:rPr>
                <w:rFonts w:hint="eastAsia" w:ascii="宋体" w:hAnsi="宋体"/>
                <w:sz w:val="24"/>
                <w:highlight w:val="none"/>
              </w:rPr>
              <w:t>的通知》（计价格</w:t>
            </w:r>
            <w:r>
              <w:rPr>
                <w:rFonts w:ascii="宋体" w:hAnsi="宋体"/>
                <w:sz w:val="24"/>
                <w:highlight w:val="none"/>
              </w:rPr>
              <w:t>[2002]1980</w:t>
            </w:r>
            <w:r>
              <w:rPr>
                <w:rFonts w:hint="eastAsia" w:ascii="宋体" w:hAnsi="宋体"/>
                <w:sz w:val="24"/>
                <w:highlight w:val="none"/>
              </w:rPr>
              <w:t>号）中对应的服务内容及费率进行收费。招标代理服务费以实际中标价为基数计算最终代理服务费</w:t>
            </w:r>
            <w:r>
              <w:rPr>
                <w:rFonts w:ascii="宋体" w:hAnsi="宋体"/>
                <w:sz w:val="24"/>
                <w:highlight w:val="none"/>
              </w:rPr>
              <w:t>；</w:t>
            </w:r>
          </w:p>
          <w:p w14:paraId="743FDC85">
            <w:pPr>
              <w:jc w:val="left"/>
              <w:rPr>
                <w:rFonts w:hint="eastAsia" w:ascii="宋体" w:hAnsi="宋体"/>
                <w:sz w:val="24"/>
                <w:highlight w:val="none"/>
              </w:rPr>
            </w:pPr>
            <w:r>
              <w:rPr>
                <w:rFonts w:ascii="宋体" w:hAnsi="宋体"/>
                <w:highlight w:val="none"/>
              </w:rPr>
              <w:drawing>
                <wp:inline distT="0" distB="0" distL="114300" distR="114300">
                  <wp:extent cx="3540760" cy="298132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3540760" cy="2981325"/>
                          </a:xfrm>
                          <a:prstGeom prst="rect">
                            <a:avLst/>
                          </a:prstGeom>
                          <a:noFill/>
                          <a:ln>
                            <a:noFill/>
                          </a:ln>
                        </pic:spPr>
                      </pic:pic>
                    </a:graphicData>
                  </a:graphic>
                </wp:inline>
              </w:drawing>
            </w:r>
          </w:p>
          <w:p w14:paraId="50FBD546">
            <w:pPr>
              <w:jc w:val="left"/>
              <w:rPr>
                <w:rFonts w:hint="eastAsia" w:ascii="宋体" w:hAnsi="宋体"/>
                <w:sz w:val="24"/>
                <w:highlight w:val="none"/>
              </w:rPr>
            </w:pPr>
            <w:r>
              <w:rPr>
                <w:rFonts w:ascii="宋体" w:hAnsi="宋体"/>
                <w:sz w:val="24"/>
                <w:highlight w:val="none"/>
              </w:rPr>
              <w:t>缴纳时间：</w:t>
            </w:r>
            <w:r>
              <w:rPr>
                <w:rFonts w:hint="eastAsia" w:ascii="宋体" w:hAnsi="宋体"/>
                <w:sz w:val="24"/>
                <w:highlight w:val="none"/>
              </w:rPr>
              <w:t>招标完成后，一次性付清</w:t>
            </w:r>
            <w:r>
              <w:rPr>
                <w:rFonts w:ascii="宋体" w:hAnsi="宋体"/>
                <w:sz w:val="24"/>
                <w:highlight w:val="none"/>
              </w:rPr>
              <w:t>。</w:t>
            </w:r>
          </w:p>
        </w:tc>
      </w:tr>
    </w:tbl>
    <w:p w14:paraId="56E43BD3">
      <w:pPr>
        <w:tabs>
          <w:tab w:val="left" w:pos="5580"/>
        </w:tabs>
        <w:adjustRightInd w:val="0"/>
        <w:spacing w:line="360" w:lineRule="auto"/>
        <w:jc w:val="distribute"/>
        <w:rPr>
          <w:rFonts w:hint="eastAsia" w:ascii="宋体" w:hAnsi="宋体"/>
          <w:sz w:val="24"/>
          <w:highlight w:val="none"/>
        </w:rPr>
        <w:sectPr>
          <w:footerReference r:id="rId10" w:type="first"/>
          <w:footerReference r:id="rId9" w:type="default"/>
          <w:pgSz w:w="11907" w:h="16840"/>
          <w:pgMar w:top="1440" w:right="1800" w:bottom="1440" w:left="1800" w:header="851" w:footer="851" w:gutter="0"/>
          <w:pgNumType w:start="1"/>
          <w:cols w:space="720" w:num="1"/>
          <w:titlePg/>
          <w:docGrid w:linePitch="462" w:charSpace="0"/>
        </w:sectPr>
      </w:pPr>
    </w:p>
    <w:p w14:paraId="0CD7E3E6">
      <w:pPr>
        <w:spacing w:before="240" w:beforeLines="100" w:after="240" w:afterLines="100"/>
        <w:jc w:val="center"/>
        <w:rPr>
          <w:rFonts w:hint="eastAsia" w:ascii="宋体" w:hAnsi="宋体"/>
          <w:b/>
          <w:sz w:val="28"/>
          <w:szCs w:val="28"/>
          <w:highlight w:val="none"/>
        </w:rPr>
      </w:pPr>
      <w:r>
        <w:rPr>
          <w:rFonts w:ascii="宋体" w:hAnsi="宋体"/>
          <w:b/>
          <w:sz w:val="28"/>
          <w:szCs w:val="28"/>
          <w:highlight w:val="none"/>
        </w:rPr>
        <w:t>供应商须知</w:t>
      </w:r>
    </w:p>
    <w:p w14:paraId="514EA4A7">
      <w:pPr>
        <w:pStyle w:val="3"/>
        <w:tabs>
          <w:tab w:val="center" w:pos="4592"/>
          <w:tab w:val="left" w:pos="7860"/>
        </w:tabs>
        <w:spacing w:before="0" w:line="360" w:lineRule="auto"/>
        <w:jc w:val="left"/>
        <w:rPr>
          <w:rFonts w:hint="eastAsia" w:ascii="宋体" w:hAnsi="宋体" w:eastAsia="宋体"/>
          <w:sz w:val="28"/>
          <w:highlight w:val="none"/>
        </w:rPr>
      </w:pPr>
      <w:bookmarkStart w:id="71" w:name="_Toc127151518"/>
      <w:bookmarkStart w:id="72" w:name="_Toc520356143"/>
      <w:r>
        <w:rPr>
          <w:rFonts w:ascii="宋体" w:hAnsi="宋体" w:eastAsia="宋体"/>
          <w:sz w:val="28"/>
          <w:highlight w:val="none"/>
        </w:rPr>
        <w:tab/>
      </w:r>
      <w:bookmarkStart w:id="73" w:name="_Toc150774723"/>
      <w:bookmarkStart w:id="74" w:name="_Toc195842883"/>
      <w:bookmarkStart w:id="75" w:name="_Toc226309762"/>
      <w:bookmarkStart w:id="76" w:name="_Toc151193616"/>
      <w:bookmarkStart w:id="77" w:name="_Toc305158786"/>
      <w:bookmarkStart w:id="78" w:name="_Toc151193760"/>
      <w:bookmarkStart w:id="79" w:name="_Toc150774618"/>
      <w:bookmarkStart w:id="80" w:name="_Toc265228356"/>
      <w:bookmarkStart w:id="81" w:name="_Toc150480756"/>
      <w:bookmarkStart w:id="82" w:name="_Toc151193906"/>
      <w:bookmarkStart w:id="83" w:name="_Toc226965708"/>
      <w:bookmarkStart w:id="84" w:name="_Toc142311020"/>
      <w:bookmarkStart w:id="85" w:name="_Toc151190145"/>
      <w:bookmarkStart w:id="86" w:name="_Toc226965791"/>
      <w:bookmarkStart w:id="87" w:name="_Toc305158860"/>
      <w:bookmarkStart w:id="88" w:name="_Toc150509269"/>
      <w:bookmarkStart w:id="89" w:name="_Toc264969208"/>
      <w:bookmarkStart w:id="90" w:name="_Toc151193688"/>
      <w:bookmarkStart w:id="91" w:name="_Toc226337214"/>
      <w:bookmarkStart w:id="92" w:name="_Toc151193832"/>
      <w:r>
        <w:rPr>
          <w:rFonts w:ascii="宋体" w:hAnsi="宋体" w:eastAsia="宋体"/>
          <w:sz w:val="28"/>
          <w:highlight w:val="none"/>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宋体" w:hAnsi="宋体" w:eastAsia="宋体"/>
          <w:sz w:val="28"/>
          <w:highlight w:val="none"/>
        </w:rPr>
        <w:tab/>
      </w:r>
    </w:p>
    <w:p w14:paraId="510F7A0D">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bookmarkStart w:id="93" w:name="_Toc264969209"/>
      <w:bookmarkStart w:id="94" w:name="_Toc305158787"/>
      <w:bookmarkStart w:id="95" w:name="_Toc265228357"/>
      <w:bookmarkStart w:id="96" w:name="_Toc305158861"/>
      <w:r>
        <w:rPr>
          <w:rFonts w:ascii="宋体" w:hAnsi="宋体"/>
          <w:sz w:val="24"/>
          <w:highlight w:val="none"/>
        </w:rPr>
        <w:t>采购人、采购代理机构、供应商</w:t>
      </w:r>
      <w:bookmarkEnd w:id="93"/>
      <w:bookmarkEnd w:id="94"/>
      <w:bookmarkEnd w:id="95"/>
      <w:bookmarkEnd w:id="96"/>
      <w:r>
        <w:rPr>
          <w:rFonts w:ascii="宋体" w:hAnsi="宋体"/>
          <w:sz w:val="24"/>
          <w:highlight w:val="none"/>
        </w:rPr>
        <w:t>、联合体</w:t>
      </w:r>
    </w:p>
    <w:p w14:paraId="59CA2754">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采购人、采购代理机构：指依法进行政府采购的国家机关、事业单位、团体组织，及其委托的采购代理机构。本项目采购人、采购代理机构见第一章《采购邀请》。</w:t>
      </w:r>
    </w:p>
    <w:p w14:paraId="3B539CDB">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供应商（也称“申请人”）：指向采购人提供货物、工程或者服务的法人、其他组织或者自然人。</w:t>
      </w:r>
    </w:p>
    <w:p w14:paraId="11B54126">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联合体：指两个以上的自然人、法人或者其他组织组成一个联合体，以一个供应商的身份共同参加政府采购。</w:t>
      </w:r>
    </w:p>
    <w:p w14:paraId="7190FC22">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bookmarkStart w:id="97" w:name="_Toc164229215"/>
      <w:bookmarkStart w:id="98" w:name="_Toc305158788"/>
      <w:bookmarkStart w:id="99" w:name="_Toc127151721"/>
      <w:bookmarkStart w:id="100" w:name="_Toc151193618"/>
      <w:bookmarkStart w:id="101" w:name="_Toc151193690"/>
      <w:bookmarkStart w:id="102" w:name="_Toc127161434"/>
      <w:bookmarkStart w:id="103" w:name="_Toc226309764"/>
      <w:bookmarkStart w:id="104" w:name="_Toc264969210"/>
      <w:bookmarkStart w:id="105" w:name="_Toc150774620"/>
      <w:bookmarkStart w:id="106" w:name="_Toc150774725"/>
      <w:bookmarkStart w:id="107" w:name="_Toc164351614"/>
      <w:bookmarkStart w:id="108" w:name="_Toc265228358"/>
      <w:bookmarkStart w:id="109" w:name="_Toc164608789"/>
      <w:bookmarkStart w:id="110" w:name="_Toc164229361"/>
      <w:bookmarkStart w:id="111" w:name="_Toc226965710"/>
      <w:bookmarkStart w:id="112" w:name="_Toc150480758"/>
      <w:bookmarkStart w:id="113" w:name="_Toc151190147"/>
      <w:bookmarkStart w:id="114" w:name="_Toc151193834"/>
      <w:bookmarkStart w:id="115" w:name="_Toc151193908"/>
      <w:bookmarkStart w:id="116" w:name="_Toc226965793"/>
      <w:bookmarkStart w:id="117" w:name="_Toc150509271"/>
      <w:bookmarkStart w:id="118" w:name="_Toc164608634"/>
      <w:bookmarkStart w:id="119" w:name="_Toc149720813"/>
      <w:bookmarkStart w:id="120" w:name="_Toc127151520"/>
      <w:bookmarkStart w:id="121" w:name="_Toc226337216"/>
      <w:bookmarkStart w:id="122" w:name="_Toc195842885"/>
      <w:bookmarkStart w:id="123" w:name="_Toc151193762"/>
      <w:bookmarkStart w:id="124" w:name="_Toc142311022"/>
      <w:bookmarkStart w:id="125" w:name="_Toc305158862"/>
      <w:r>
        <w:rPr>
          <w:rFonts w:ascii="宋体" w:hAnsi="宋体"/>
          <w:sz w:val="24"/>
          <w:highlight w:val="none"/>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宋体" w:hAnsi="宋体"/>
          <w:sz w:val="24"/>
          <w:highlight w:val="none"/>
        </w:rPr>
        <w:t>、项目属性、科研仪器设备采购</w:t>
      </w:r>
    </w:p>
    <w:p w14:paraId="6225A06E">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资金来源为财政性资金和/或本项目采购中无法与财政性资金分割的非财政性资金。</w:t>
      </w:r>
    </w:p>
    <w:p w14:paraId="5888945F">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项目属性见《供应商须知资料表》。</w:t>
      </w:r>
    </w:p>
    <w:p w14:paraId="0AB0D662">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是否属于科研仪器设备采购见《供应商须知资料表》。</w:t>
      </w:r>
    </w:p>
    <w:p w14:paraId="3D1D2739">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现场考察、磋商前答疑会</w:t>
      </w:r>
    </w:p>
    <w:p w14:paraId="22768356">
      <w:pPr>
        <w:numPr>
          <w:ilvl w:val="1"/>
          <w:numId w:val="9"/>
        </w:numPr>
        <w:tabs>
          <w:tab w:val="left" w:pos="1080"/>
          <w:tab w:val="left" w:pos="2014"/>
        </w:tabs>
        <w:snapToGrid w:val="0"/>
        <w:spacing w:line="360" w:lineRule="auto"/>
        <w:ind w:left="1080" w:hanging="720"/>
        <w:rPr>
          <w:rFonts w:hint="eastAsia" w:ascii="宋体" w:hAnsi="宋体"/>
          <w:sz w:val="28"/>
          <w:highlight w:val="none"/>
        </w:rPr>
      </w:pPr>
      <w:r>
        <w:rPr>
          <w:rFonts w:ascii="宋体" w:hAnsi="宋体"/>
          <w:sz w:val="24"/>
          <w:highlight w:val="none"/>
        </w:rPr>
        <w:t>若《供应商须知资料表》中规定了组织现场考察、召开磋商前答疑会，则供应商应按要求在规定的时间和地点参加。</w:t>
      </w:r>
      <w:bookmarkStart w:id="126" w:name="_Toc264969212"/>
      <w:bookmarkStart w:id="127" w:name="_Toc150774727"/>
      <w:bookmarkStart w:id="128" w:name="_Toc226965795"/>
      <w:bookmarkStart w:id="129" w:name="_Toc150509273"/>
      <w:bookmarkStart w:id="130" w:name="_Toc151193910"/>
      <w:bookmarkStart w:id="131" w:name="_Toc151193620"/>
      <w:bookmarkStart w:id="132" w:name="_Toc305158790"/>
      <w:bookmarkStart w:id="133" w:name="_Toc195842887"/>
      <w:bookmarkStart w:id="134" w:name="_Toc226965712"/>
      <w:bookmarkStart w:id="135" w:name="_Toc150480760"/>
      <w:bookmarkStart w:id="136" w:name="_Toc142311024"/>
      <w:bookmarkStart w:id="137" w:name="_Toc226337218"/>
      <w:bookmarkStart w:id="138" w:name="_Toc520356146"/>
      <w:bookmarkStart w:id="139" w:name="_Toc151193836"/>
      <w:bookmarkStart w:id="140" w:name="_Toc305158864"/>
      <w:bookmarkStart w:id="141" w:name="_Toc150774622"/>
      <w:bookmarkStart w:id="142" w:name="_Toc151193764"/>
      <w:bookmarkStart w:id="143" w:name="_Toc151193692"/>
      <w:bookmarkStart w:id="144" w:name="_Toc265228360"/>
      <w:bookmarkStart w:id="145" w:name="_Toc151190149"/>
      <w:bookmarkStart w:id="146" w:name="_Toc226309766"/>
      <w:bookmarkStart w:id="147" w:name="_Toc127151522"/>
    </w:p>
    <w:p w14:paraId="3799349D">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由于未参加现场考察或磋商前答疑会而导致对项目实际情况不了解，影响响应文件编制、报价准确性、综合因素响应不全面等问题的，由供应商自行承担不利评审后果。</w:t>
      </w:r>
    </w:p>
    <w:p w14:paraId="0B84319F">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r>
        <w:rPr>
          <w:rFonts w:ascii="宋体" w:hAnsi="宋体"/>
          <w:sz w:val="24"/>
          <w:highlight w:val="none"/>
        </w:rPr>
        <w:t>政府采购政策（包括但不限于下列具体政策要求）</w:t>
      </w:r>
    </w:p>
    <w:p w14:paraId="69705848">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采购本国货物、工程和服务</w:t>
      </w:r>
    </w:p>
    <w:p w14:paraId="15F7B2DA">
      <w:pPr>
        <w:numPr>
          <w:ilvl w:val="2"/>
          <w:numId w:val="9"/>
        </w:numPr>
        <w:tabs>
          <w:tab w:val="left" w:pos="2014"/>
        </w:tabs>
        <w:snapToGrid w:val="0"/>
        <w:spacing w:line="360" w:lineRule="auto"/>
        <w:rPr>
          <w:rFonts w:hint="eastAsia" w:ascii="宋体" w:hAnsi="宋体"/>
          <w:sz w:val="24"/>
          <w:highlight w:val="none"/>
        </w:rPr>
      </w:pPr>
      <w:r>
        <w:rPr>
          <w:rFonts w:ascii="宋体" w:hAnsi="宋体"/>
          <w:kern w:val="0"/>
          <w:sz w:val="24"/>
          <w:highlight w:val="none"/>
        </w:rPr>
        <w:t>政府采购应当采购本国货物、工程和服务。但有《</w:t>
      </w:r>
      <w:r>
        <w:rPr>
          <w:rFonts w:ascii="宋体" w:hAnsi="宋体"/>
          <w:b/>
          <w:kern w:val="0"/>
          <w:sz w:val="24"/>
          <w:highlight w:val="none"/>
        </w:rPr>
        <w:t>中华人民共和国政府采购法</w:t>
      </w:r>
      <w:r>
        <w:rPr>
          <w:rFonts w:ascii="宋体" w:hAnsi="宋体"/>
          <w:kern w:val="0"/>
          <w:sz w:val="24"/>
          <w:highlight w:val="none"/>
        </w:rPr>
        <w:t>》第十条规定情形的除外。</w:t>
      </w:r>
    </w:p>
    <w:p w14:paraId="5A950FDD">
      <w:pPr>
        <w:numPr>
          <w:ilvl w:val="2"/>
          <w:numId w:val="9"/>
        </w:numPr>
        <w:tabs>
          <w:tab w:val="left" w:pos="2014"/>
        </w:tabs>
        <w:snapToGrid w:val="0"/>
        <w:spacing w:line="360" w:lineRule="auto"/>
        <w:rPr>
          <w:rFonts w:hint="eastAsia" w:ascii="宋体" w:hAnsi="宋体"/>
          <w:sz w:val="24"/>
          <w:highlight w:val="none"/>
        </w:rPr>
      </w:pPr>
      <w:r>
        <w:rPr>
          <w:rFonts w:ascii="宋体" w:hAnsi="宋体"/>
          <w:sz w:val="24"/>
          <w:highlight w:val="none"/>
        </w:rPr>
        <w:t>本项目如接受非本国货物、工程、服务参与</w:t>
      </w:r>
      <w:r>
        <w:rPr>
          <w:rFonts w:hint="eastAsia" w:ascii="宋体" w:hAnsi="宋体"/>
          <w:sz w:val="24"/>
          <w:highlight w:val="none"/>
        </w:rPr>
        <w:t>响应</w:t>
      </w:r>
      <w:r>
        <w:rPr>
          <w:rFonts w:ascii="宋体" w:hAnsi="宋体"/>
          <w:sz w:val="24"/>
          <w:highlight w:val="none"/>
        </w:rPr>
        <w:t>，则具体要求见第四章《采购需求》。</w:t>
      </w:r>
    </w:p>
    <w:p w14:paraId="238E73BE">
      <w:pPr>
        <w:numPr>
          <w:ilvl w:val="2"/>
          <w:numId w:val="9"/>
        </w:numPr>
        <w:tabs>
          <w:tab w:val="left" w:pos="2014"/>
        </w:tabs>
        <w:snapToGrid w:val="0"/>
        <w:spacing w:line="360" w:lineRule="auto"/>
        <w:rPr>
          <w:rFonts w:hint="eastAsia" w:ascii="宋体" w:hAnsi="宋体"/>
          <w:sz w:val="24"/>
          <w:highlight w:val="none"/>
        </w:rPr>
      </w:pPr>
      <w:r>
        <w:rPr>
          <w:rFonts w:ascii="宋体" w:hAnsi="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AFB0D6D">
      <w:pPr>
        <w:numPr>
          <w:ilvl w:val="1"/>
          <w:numId w:val="9"/>
        </w:numPr>
        <w:tabs>
          <w:tab w:val="left" w:pos="1080"/>
        </w:tabs>
        <w:snapToGrid w:val="0"/>
        <w:spacing w:line="360" w:lineRule="auto"/>
        <w:rPr>
          <w:rFonts w:hint="eastAsia" w:ascii="宋体" w:hAnsi="宋体"/>
          <w:sz w:val="24"/>
          <w:highlight w:val="none"/>
        </w:rPr>
      </w:pPr>
      <w:r>
        <w:rPr>
          <w:rFonts w:hint="eastAsia" w:ascii="宋体" w:hAnsi="宋体"/>
          <w:sz w:val="24"/>
          <w:highlight w:val="none"/>
        </w:rPr>
        <w:t>本国产品</w:t>
      </w:r>
    </w:p>
    <w:p w14:paraId="7C3EDA6C">
      <w:pPr>
        <w:tabs>
          <w:tab w:val="left" w:pos="1080"/>
          <w:tab w:val="left" w:pos="2014"/>
        </w:tabs>
        <w:snapToGrid w:val="0"/>
        <w:spacing w:line="360" w:lineRule="auto"/>
        <w:ind w:left="1080"/>
        <w:rPr>
          <w:rFonts w:hint="eastAsia" w:ascii="宋体" w:hAnsi="宋体"/>
          <w:sz w:val="24"/>
          <w:highlight w:val="none"/>
        </w:rPr>
      </w:pPr>
      <w:r>
        <w:rPr>
          <w:rFonts w:hint="eastAsia" w:ascii="宋体" w:hAnsi="宋体"/>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124E5A8C">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中小企业、监狱企业及残疾人福利性单位</w:t>
      </w:r>
    </w:p>
    <w:p w14:paraId="62F46355">
      <w:pPr>
        <w:numPr>
          <w:ilvl w:val="2"/>
          <w:numId w:val="9"/>
        </w:numPr>
        <w:snapToGrid w:val="0"/>
        <w:spacing w:line="360" w:lineRule="auto"/>
        <w:rPr>
          <w:rFonts w:hint="eastAsia" w:ascii="宋体" w:hAnsi="宋体"/>
          <w:sz w:val="24"/>
          <w:highlight w:val="none"/>
        </w:rPr>
      </w:pPr>
      <w:r>
        <w:rPr>
          <w:rFonts w:ascii="宋体" w:hAnsi="宋体"/>
          <w:sz w:val="24"/>
          <w:highlight w:val="none"/>
        </w:rPr>
        <w:t>中小企业定义：</w:t>
      </w:r>
    </w:p>
    <w:p w14:paraId="54938FBD">
      <w:pPr>
        <w:pStyle w:val="72"/>
        <w:numPr>
          <w:ilvl w:val="0"/>
          <w:numId w:val="10"/>
        </w:numPr>
        <w:tabs>
          <w:tab w:val="left" w:pos="1589"/>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3BFE3A06">
      <w:pPr>
        <w:pStyle w:val="72"/>
        <w:numPr>
          <w:ilvl w:val="0"/>
          <w:numId w:val="10"/>
        </w:numPr>
        <w:tabs>
          <w:tab w:val="left" w:pos="1589"/>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2304D564">
      <w:pPr>
        <w:pStyle w:val="72"/>
        <w:numPr>
          <w:ilvl w:val="0"/>
          <w:numId w:val="10"/>
        </w:numPr>
        <w:tabs>
          <w:tab w:val="left" w:pos="1589"/>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0B7B35AC">
      <w:pPr>
        <w:pStyle w:val="72"/>
        <w:numPr>
          <w:ilvl w:val="0"/>
          <w:numId w:val="10"/>
        </w:numPr>
        <w:tabs>
          <w:tab w:val="left" w:pos="1589"/>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10C6C0E2">
      <w:pPr>
        <w:pStyle w:val="72"/>
        <w:numPr>
          <w:ilvl w:val="1"/>
          <w:numId w:val="10"/>
        </w:numPr>
        <w:tabs>
          <w:tab w:val="left" w:pos="900"/>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33E256D3">
      <w:pPr>
        <w:pStyle w:val="72"/>
        <w:numPr>
          <w:ilvl w:val="1"/>
          <w:numId w:val="10"/>
        </w:numPr>
        <w:tabs>
          <w:tab w:val="left" w:pos="900"/>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0D29A363">
      <w:pPr>
        <w:pStyle w:val="72"/>
        <w:numPr>
          <w:ilvl w:val="1"/>
          <w:numId w:val="10"/>
        </w:numPr>
        <w:tabs>
          <w:tab w:val="left" w:pos="900"/>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116DD26D">
      <w:pPr>
        <w:pStyle w:val="72"/>
        <w:numPr>
          <w:ilvl w:val="2"/>
          <w:numId w:val="10"/>
        </w:numPr>
        <w:tabs>
          <w:tab w:val="left" w:pos="900"/>
          <w:tab w:val="left" w:pos="1589"/>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3D2E61AF">
      <w:pPr>
        <w:numPr>
          <w:ilvl w:val="3"/>
          <w:numId w:val="10"/>
        </w:numPr>
        <w:tabs>
          <w:tab w:val="left" w:pos="1589"/>
          <w:tab w:val="left" w:pos="1988"/>
          <w:tab w:val="left" w:pos="2035"/>
          <w:tab w:val="left" w:pos="2977"/>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宋体" w:hAnsi="宋体"/>
          <w:color w:val="000000" w:themeColor="text1"/>
          <w:sz w:val="24"/>
          <w:highlight w:val="none"/>
          <w14:textFill>
            <w14:solidFill>
              <w14:schemeClr w14:val="tx1"/>
            </w14:solidFill>
          </w14:textFill>
        </w:rPr>
        <w:t>判定</w:t>
      </w:r>
      <w:r>
        <w:rPr>
          <w:rFonts w:ascii="宋体" w:hAnsi="宋体"/>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宋体" w:hAnsi="宋体"/>
          <w:color w:val="000000" w:themeColor="text1"/>
          <w:sz w:val="24"/>
          <w:highlight w:val="none"/>
          <w14:textFill>
            <w14:solidFill>
              <w14:schemeClr w14:val="tx1"/>
            </w14:solidFill>
          </w14:textFill>
        </w:rPr>
        <w:t>、《金融业企业划型标准规定》（银发〔</w:t>
      </w:r>
      <w:r>
        <w:rPr>
          <w:rFonts w:ascii="宋体" w:hAnsi="宋体"/>
          <w:color w:val="000000" w:themeColor="text1"/>
          <w:sz w:val="24"/>
          <w:highlight w:val="none"/>
          <w14:textFill>
            <w14:solidFill>
              <w14:schemeClr w14:val="tx1"/>
            </w14:solidFill>
          </w14:textFill>
        </w:rPr>
        <w:t>2015</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309 </w:t>
      </w:r>
      <w:r>
        <w:rPr>
          <w:rFonts w:hint="eastAsia" w:ascii="宋体" w:hAnsi="宋体"/>
          <w:color w:val="000000" w:themeColor="text1"/>
          <w:sz w:val="24"/>
          <w:highlight w:val="none"/>
          <w14:textFill>
            <w14:solidFill>
              <w14:schemeClr w14:val="tx1"/>
            </w14:solidFill>
          </w14:textFill>
        </w:rPr>
        <w:t>号）等国务院批准的中小企业划分标准执行</w:t>
      </w:r>
      <w:r>
        <w:rPr>
          <w:rFonts w:ascii="宋体" w:hAnsi="宋体"/>
          <w:color w:val="000000" w:themeColor="text1"/>
          <w:sz w:val="24"/>
          <w:highlight w:val="none"/>
          <w14:textFill>
            <w14:solidFill>
              <w14:schemeClr w14:val="tx1"/>
            </w14:solidFill>
          </w14:textFill>
        </w:rPr>
        <w:t>。</w:t>
      </w:r>
    </w:p>
    <w:p w14:paraId="3766585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sz w:val="24"/>
          <w:highlight w:val="none"/>
        </w:rPr>
        <w:t>供应商提供的货物、工程或者服务符合下列情形的，享受中小企业扶持政策：</w:t>
      </w:r>
    </w:p>
    <w:p w14:paraId="6C587678">
      <w:pPr>
        <w:tabs>
          <w:tab w:val="left" w:pos="1980"/>
        </w:tabs>
        <w:snapToGrid w:val="0"/>
        <w:spacing w:line="360" w:lineRule="auto"/>
        <w:ind w:left="2835" w:leftChars="13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18C5CA83">
      <w:pPr>
        <w:tabs>
          <w:tab w:val="left" w:pos="1980"/>
        </w:tabs>
        <w:snapToGrid w:val="0"/>
        <w:spacing w:line="360" w:lineRule="auto"/>
        <w:ind w:left="2835" w:leftChars="13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（2）在工程采购项目中，工程由中小企业承建，即工程施工单位为中小企业；</w:t>
      </w:r>
    </w:p>
    <w:p w14:paraId="76F6D33C">
      <w:pPr>
        <w:tabs>
          <w:tab w:val="left" w:pos="1980"/>
        </w:tabs>
        <w:snapToGrid w:val="0"/>
        <w:spacing w:line="360" w:lineRule="auto"/>
        <w:ind w:left="2835" w:leftChars="13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7612A838">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sz w:val="24"/>
          <w:highlight w:val="none"/>
        </w:rPr>
        <w:t>在货物采购项目中，供应商提供的货物既有中小企业制造货物，也有大型企业制造货物的，不享受中小企业扶持政策。</w:t>
      </w:r>
    </w:p>
    <w:p w14:paraId="44CC5D43">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highlight w:val="none"/>
        </w:rPr>
      </w:pPr>
      <w:r>
        <w:rPr>
          <w:rFonts w:ascii="宋体" w:hAnsi="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F22A2FC">
      <w:pPr>
        <w:numPr>
          <w:ilvl w:val="2"/>
          <w:numId w:val="9"/>
        </w:numPr>
        <w:snapToGrid w:val="0"/>
        <w:spacing w:line="360" w:lineRule="auto"/>
        <w:rPr>
          <w:rFonts w:hint="eastAsia" w:ascii="宋体" w:hAnsi="宋体"/>
          <w:sz w:val="24"/>
          <w:highlight w:val="none"/>
        </w:rPr>
      </w:pPr>
      <w:r>
        <w:rPr>
          <w:rFonts w:ascii="宋体" w:hAnsi="宋体"/>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D3A0F9">
      <w:pPr>
        <w:numPr>
          <w:ilvl w:val="2"/>
          <w:numId w:val="9"/>
        </w:numPr>
        <w:snapToGrid w:val="0"/>
        <w:spacing w:line="360" w:lineRule="auto"/>
        <w:rPr>
          <w:rFonts w:hint="eastAsia" w:ascii="宋体" w:hAnsi="宋体"/>
          <w:sz w:val="24"/>
          <w:highlight w:val="none"/>
        </w:rPr>
      </w:pPr>
      <w:r>
        <w:rPr>
          <w:rFonts w:ascii="宋体" w:hAnsi="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D33B03">
      <w:pPr>
        <w:pStyle w:val="72"/>
        <w:numPr>
          <w:ilvl w:val="2"/>
          <w:numId w:val="10"/>
        </w:numPr>
        <w:tabs>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3D8BB1AA">
      <w:pPr>
        <w:pStyle w:val="72"/>
        <w:numPr>
          <w:ilvl w:val="2"/>
          <w:numId w:val="10"/>
        </w:numPr>
        <w:tabs>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332B9CDA">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2B2D25B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sz w:val="24"/>
          <w:highlight w:val="none"/>
        </w:rPr>
        <w:t>依法与安置的每位残疾人签订了一年以上（含一年）的劳动合同或服务协议；</w:t>
      </w:r>
    </w:p>
    <w:p w14:paraId="7E0CEB77">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sz w:val="24"/>
          <w:highlight w:val="none"/>
        </w:rPr>
        <w:t>为安置的每位残疾人按月足额缴纳了基本养老保险、基本医疗保险、失业保险、工伤保险和生育保险等社会保险费；</w:t>
      </w:r>
    </w:p>
    <w:p w14:paraId="50B23C73">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sz w:val="24"/>
          <w:highlight w:val="none"/>
        </w:rPr>
        <w:t>通过银行等金融机构向安置的每位残疾人，按月支付了不低于单位所在区县适用的经省级人民政府批准的月最低工资标准的工资；</w:t>
      </w:r>
    </w:p>
    <w:p w14:paraId="60C5EA4E">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sz w:val="24"/>
          <w:highlight w:val="none"/>
        </w:rPr>
        <w:t>提供本单位制造的货物、承担的工程或者服务（以下简称产品），或者提供其他残疾人福利性单位制造的货物（不包括使用非残疾人福利性单位注册商标的货物）；</w:t>
      </w:r>
    </w:p>
    <w:p w14:paraId="23BAAD12">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B8E533F">
      <w:pPr>
        <w:numPr>
          <w:ilvl w:val="2"/>
          <w:numId w:val="9"/>
        </w:numPr>
        <w:snapToGrid w:val="0"/>
        <w:spacing w:line="360" w:lineRule="auto"/>
        <w:rPr>
          <w:rFonts w:hint="eastAsia" w:ascii="宋体" w:hAnsi="宋体"/>
          <w:sz w:val="24"/>
          <w:highlight w:val="none"/>
        </w:rPr>
      </w:pPr>
      <w:r>
        <w:rPr>
          <w:rFonts w:ascii="宋体" w:hAnsi="宋体"/>
          <w:sz w:val="24"/>
          <w:highlight w:val="none"/>
        </w:rPr>
        <w:t>本项目是否专门面向中小企业预留采购份额见第一章《采购邀请》。</w:t>
      </w:r>
    </w:p>
    <w:p w14:paraId="2E1C6B35">
      <w:pPr>
        <w:numPr>
          <w:ilvl w:val="2"/>
          <w:numId w:val="9"/>
        </w:numPr>
        <w:snapToGrid w:val="0"/>
        <w:spacing w:line="360" w:lineRule="auto"/>
        <w:rPr>
          <w:rFonts w:hint="eastAsia" w:ascii="宋体" w:hAnsi="宋体"/>
          <w:sz w:val="24"/>
          <w:highlight w:val="none"/>
        </w:rPr>
      </w:pPr>
      <w:r>
        <w:rPr>
          <w:rFonts w:ascii="宋体" w:hAnsi="宋体"/>
          <w:sz w:val="24"/>
          <w:highlight w:val="none"/>
        </w:rPr>
        <w:t>采购标的对应的中小企业划分标准所属行业见《供应商须知资料表》。</w:t>
      </w:r>
    </w:p>
    <w:p w14:paraId="1349A97F">
      <w:pPr>
        <w:numPr>
          <w:ilvl w:val="2"/>
          <w:numId w:val="9"/>
        </w:numPr>
        <w:snapToGrid w:val="0"/>
        <w:spacing w:line="360" w:lineRule="auto"/>
        <w:rPr>
          <w:rFonts w:hint="eastAsia" w:ascii="宋体" w:hAnsi="宋体"/>
          <w:sz w:val="24"/>
          <w:highlight w:val="none"/>
        </w:rPr>
      </w:pPr>
      <w:r>
        <w:rPr>
          <w:rFonts w:ascii="宋体" w:hAnsi="宋体"/>
          <w:sz w:val="24"/>
          <w:highlight w:val="none"/>
        </w:rPr>
        <w:t>小微企业价格评审优惠的政策调整：见第三章《评审方法和评审标准》。</w:t>
      </w:r>
    </w:p>
    <w:p w14:paraId="0BF82D6E">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政府采购节能产品、环境标志产品</w:t>
      </w:r>
    </w:p>
    <w:p w14:paraId="4AF38298">
      <w:pPr>
        <w:numPr>
          <w:ilvl w:val="2"/>
          <w:numId w:val="9"/>
        </w:numPr>
        <w:snapToGrid w:val="0"/>
        <w:spacing w:line="360" w:lineRule="auto"/>
        <w:rPr>
          <w:rFonts w:hint="eastAsia" w:ascii="宋体" w:hAnsi="宋体"/>
          <w:sz w:val="24"/>
          <w:highlight w:val="none"/>
        </w:rPr>
      </w:pPr>
      <w:r>
        <w:rPr>
          <w:rFonts w:ascii="宋体" w:hAnsi="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E5CC72">
      <w:pPr>
        <w:numPr>
          <w:ilvl w:val="2"/>
          <w:numId w:val="9"/>
        </w:numPr>
        <w:snapToGrid w:val="0"/>
        <w:spacing w:line="360" w:lineRule="auto"/>
        <w:rPr>
          <w:rFonts w:hint="eastAsia" w:ascii="宋体" w:hAnsi="宋体"/>
          <w:sz w:val="24"/>
          <w:highlight w:val="none"/>
        </w:rPr>
      </w:pPr>
      <w:r>
        <w:rPr>
          <w:rFonts w:ascii="宋体" w:hAnsi="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CE11957">
      <w:pPr>
        <w:numPr>
          <w:ilvl w:val="2"/>
          <w:numId w:val="9"/>
        </w:numPr>
        <w:snapToGrid w:val="0"/>
        <w:spacing w:line="360" w:lineRule="auto"/>
        <w:rPr>
          <w:rFonts w:hint="eastAsia" w:ascii="宋体" w:hAnsi="宋体"/>
          <w:sz w:val="24"/>
          <w:highlight w:val="none"/>
        </w:rPr>
      </w:pPr>
      <w:r>
        <w:rPr>
          <w:rFonts w:ascii="宋体" w:hAnsi="宋体"/>
          <w:sz w:val="24"/>
          <w:highlight w:val="none"/>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highlight w:val="none"/>
        </w:rPr>
        <w:t>否则</w:t>
      </w:r>
      <w:r>
        <w:rPr>
          <w:rFonts w:ascii="宋体" w:hAnsi="宋体"/>
          <w:b/>
          <w:kern w:val="0"/>
          <w:sz w:val="24"/>
          <w:highlight w:val="none"/>
        </w:rPr>
        <w:t>响应无效</w:t>
      </w:r>
      <w:r>
        <w:rPr>
          <w:rFonts w:ascii="宋体" w:hAnsi="宋体"/>
          <w:sz w:val="24"/>
          <w:highlight w:val="none"/>
        </w:rPr>
        <w:t>；</w:t>
      </w:r>
    </w:p>
    <w:p w14:paraId="4295F60C">
      <w:pPr>
        <w:numPr>
          <w:ilvl w:val="2"/>
          <w:numId w:val="9"/>
        </w:numPr>
        <w:snapToGrid w:val="0"/>
        <w:spacing w:line="360" w:lineRule="auto"/>
        <w:rPr>
          <w:rFonts w:hint="eastAsia"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非政府强制采购的节能产品或环境标志产品，依据品目清单和认证证书实施政府优先采购。优先采购的具体规定见第三章《评审方法和评审标准》（如涉及）。</w:t>
      </w:r>
    </w:p>
    <w:p w14:paraId="0E0D033A">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正版软件</w:t>
      </w:r>
    </w:p>
    <w:p w14:paraId="24418BE2">
      <w:pPr>
        <w:numPr>
          <w:ilvl w:val="2"/>
          <w:numId w:val="9"/>
        </w:numPr>
        <w:snapToGrid w:val="0"/>
        <w:spacing w:line="360" w:lineRule="auto"/>
        <w:rPr>
          <w:rFonts w:hint="eastAsia" w:ascii="宋体" w:hAnsi="宋体"/>
          <w:sz w:val="24"/>
          <w:highlight w:val="none"/>
        </w:rPr>
      </w:pPr>
      <w:r>
        <w:rPr>
          <w:rFonts w:ascii="宋体" w:hAnsi="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1A01F58">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网络安全专用产品</w:t>
      </w:r>
    </w:p>
    <w:p w14:paraId="76DF15F5">
      <w:pPr>
        <w:numPr>
          <w:ilvl w:val="2"/>
          <w:numId w:val="9"/>
        </w:numPr>
        <w:tabs>
          <w:tab w:val="left" w:pos="900"/>
          <w:tab w:val="left" w:pos="2014"/>
        </w:tabs>
        <w:snapToGrid w:val="0"/>
        <w:spacing w:line="360" w:lineRule="auto"/>
        <w:rPr>
          <w:rFonts w:hint="eastAsia" w:ascii="宋体" w:hAnsi="宋体"/>
          <w:sz w:val="24"/>
          <w:highlight w:val="none"/>
        </w:rPr>
      </w:pPr>
      <w:r>
        <w:rPr>
          <w:rFonts w:hint="eastAsia" w:ascii="宋体" w:hAnsi="宋体"/>
          <w:sz w:val="24"/>
          <w:highlight w:val="none"/>
        </w:rPr>
        <w:t>根据《关于调整网络安全专用产品安全管理有关事项的公告》（2023年第1号），</w:t>
      </w:r>
      <w:r>
        <w:rPr>
          <w:rFonts w:ascii="宋体" w:hAnsi="宋体"/>
          <w:sz w:val="24"/>
          <w:highlight w:val="none"/>
        </w:rPr>
        <w:t>所</w:t>
      </w:r>
      <w:r>
        <w:rPr>
          <w:rFonts w:hint="eastAsia" w:ascii="宋体" w:hAnsi="宋体"/>
          <w:sz w:val="24"/>
          <w:highlight w:val="none"/>
        </w:rPr>
        <w:t>提供</w:t>
      </w:r>
      <w:r>
        <w:rPr>
          <w:rFonts w:ascii="宋体" w:hAnsi="宋体"/>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sz w:val="24"/>
          <w:highlight w:val="none"/>
        </w:rPr>
        <w:t>。</w:t>
      </w:r>
    </w:p>
    <w:p w14:paraId="675A5189">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推广使用低挥发性有机化合物（VOCs）</w:t>
      </w:r>
    </w:p>
    <w:p w14:paraId="0EF6F1FA">
      <w:pPr>
        <w:numPr>
          <w:ilvl w:val="2"/>
          <w:numId w:val="9"/>
        </w:numPr>
        <w:snapToGrid w:val="0"/>
        <w:spacing w:line="360" w:lineRule="auto"/>
        <w:rPr>
          <w:rFonts w:hint="eastAsia" w:ascii="宋体" w:hAnsi="宋体"/>
          <w:sz w:val="24"/>
          <w:highlight w:val="none"/>
        </w:rPr>
      </w:pPr>
      <w:r>
        <w:rPr>
          <w:rFonts w:ascii="宋体" w:hAnsi="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highlight w:val="none"/>
        </w:rPr>
        <w:t>否则</w:t>
      </w:r>
      <w:r>
        <w:rPr>
          <w:rFonts w:ascii="宋体" w:hAnsi="宋体"/>
          <w:b/>
          <w:kern w:val="0"/>
          <w:sz w:val="24"/>
          <w:highlight w:val="none"/>
        </w:rPr>
        <w:t>响应无效</w:t>
      </w:r>
      <w:r>
        <w:rPr>
          <w:rFonts w:ascii="宋体" w:hAnsi="宋体"/>
          <w:sz w:val="24"/>
          <w:highlight w:val="none"/>
        </w:rPr>
        <w:t>；属于推荐性标准的，优先采购，具体见第三章《评审方法和评审标准》。</w:t>
      </w:r>
    </w:p>
    <w:p w14:paraId="32ADCB4E">
      <w:pPr>
        <w:numPr>
          <w:ilvl w:val="1"/>
          <w:numId w:val="9"/>
        </w:numPr>
        <w:tabs>
          <w:tab w:val="left" w:pos="1080"/>
        </w:tabs>
        <w:snapToGrid w:val="0"/>
        <w:spacing w:line="360" w:lineRule="auto"/>
        <w:rPr>
          <w:rFonts w:hint="eastAsia" w:ascii="宋体" w:hAnsi="宋体"/>
          <w:sz w:val="24"/>
          <w:highlight w:val="none"/>
        </w:rPr>
      </w:pPr>
      <w:r>
        <w:rPr>
          <w:rFonts w:ascii="宋体" w:hAnsi="宋体"/>
          <w:sz w:val="24"/>
          <w:highlight w:val="none"/>
        </w:rPr>
        <w:t>采购需求标准</w:t>
      </w:r>
    </w:p>
    <w:p w14:paraId="505D2DC0">
      <w:pPr>
        <w:numPr>
          <w:ilvl w:val="2"/>
          <w:numId w:val="9"/>
        </w:numPr>
        <w:snapToGrid w:val="0"/>
        <w:spacing w:line="360" w:lineRule="auto"/>
        <w:rPr>
          <w:rFonts w:hint="eastAsia" w:ascii="宋体" w:hAnsi="宋体"/>
          <w:sz w:val="24"/>
          <w:highlight w:val="none"/>
        </w:rPr>
      </w:pPr>
      <w:r>
        <w:rPr>
          <w:rFonts w:ascii="宋体" w:hAnsi="宋体"/>
          <w:sz w:val="24"/>
          <w:highlight w:val="none"/>
        </w:rPr>
        <w:t>商品包装、快递包装政府采购需求标准（试行）</w:t>
      </w:r>
    </w:p>
    <w:p w14:paraId="21B1045B">
      <w:pPr>
        <w:tabs>
          <w:tab w:val="left" w:pos="900"/>
          <w:tab w:val="left" w:pos="1980"/>
        </w:tabs>
        <w:snapToGrid w:val="0"/>
        <w:spacing w:line="360" w:lineRule="auto"/>
        <w:ind w:left="1985"/>
        <w:rPr>
          <w:rFonts w:hint="eastAsia" w:ascii="宋体" w:hAnsi="宋体"/>
          <w:sz w:val="24"/>
          <w:highlight w:val="none"/>
        </w:rPr>
      </w:pPr>
      <w:r>
        <w:rPr>
          <w:rFonts w:ascii="宋体" w:hAnsi="宋体"/>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F00D63A">
      <w:pPr>
        <w:numPr>
          <w:ilvl w:val="2"/>
          <w:numId w:val="9"/>
        </w:numPr>
        <w:tabs>
          <w:tab w:val="left" w:pos="2014"/>
        </w:tabs>
        <w:snapToGrid w:val="0"/>
        <w:spacing w:line="360" w:lineRule="auto"/>
        <w:rPr>
          <w:rFonts w:hint="eastAsia" w:ascii="宋体" w:hAnsi="宋体"/>
          <w:sz w:val="24"/>
          <w:highlight w:val="none"/>
        </w:rPr>
      </w:pPr>
      <w:r>
        <w:rPr>
          <w:rFonts w:hint="eastAsia" w:ascii="宋体" w:hAnsi="宋体"/>
          <w:sz w:val="24"/>
          <w:highlight w:val="none"/>
        </w:rPr>
        <w:t>其他</w:t>
      </w:r>
      <w:r>
        <w:rPr>
          <w:rFonts w:ascii="宋体" w:hAnsi="宋体"/>
          <w:sz w:val="24"/>
          <w:highlight w:val="none"/>
        </w:rPr>
        <w:t>政府采购需求标准</w:t>
      </w:r>
      <w:r>
        <w:rPr>
          <w:rFonts w:hint="eastAsia" w:ascii="宋体" w:hAnsi="宋体"/>
          <w:sz w:val="24"/>
          <w:highlight w:val="none"/>
        </w:rPr>
        <w:t xml:space="preserve"> </w:t>
      </w:r>
    </w:p>
    <w:p w14:paraId="7E272743">
      <w:pPr>
        <w:tabs>
          <w:tab w:val="left" w:pos="900"/>
          <w:tab w:val="left" w:pos="1980"/>
        </w:tabs>
        <w:snapToGrid w:val="0"/>
        <w:spacing w:line="360" w:lineRule="auto"/>
        <w:ind w:left="1980"/>
        <w:rPr>
          <w:rFonts w:hint="eastAsia" w:ascii="宋体" w:hAnsi="宋体"/>
          <w:sz w:val="24"/>
          <w:highlight w:val="none"/>
        </w:rPr>
      </w:pPr>
      <w:r>
        <w:rPr>
          <w:rFonts w:hint="eastAsia" w:ascii="宋体" w:hAnsi="宋体"/>
          <w:sz w:val="24"/>
          <w:highlight w:val="none"/>
        </w:rPr>
        <w:t>为贯彻落实《深化政府采购制度改革方案》有关要求，推动政府采购需求标准建设，</w:t>
      </w:r>
      <w:bookmarkStart w:id="148" w:name="_Hlk168431650"/>
      <w:r>
        <w:rPr>
          <w:rFonts w:hint="eastAsia" w:ascii="宋体" w:hAnsi="宋体"/>
          <w:sz w:val="24"/>
          <w:highlight w:val="none"/>
        </w:rPr>
        <w:t>财政部门会同有关部门制定发布的</w:t>
      </w:r>
      <w:bookmarkEnd w:id="148"/>
      <w:r>
        <w:rPr>
          <w:rFonts w:hint="eastAsia" w:ascii="宋体" w:hAnsi="宋体"/>
          <w:sz w:val="24"/>
          <w:highlight w:val="none"/>
        </w:rPr>
        <w:t>其他政府采购需求标准，</w:t>
      </w:r>
      <w:r>
        <w:rPr>
          <w:rFonts w:ascii="宋体" w:hAnsi="宋体"/>
          <w:sz w:val="24"/>
          <w:highlight w:val="none"/>
        </w:rPr>
        <w:t>本项目如涉及，则具体要求见第四章《采购需求》。</w:t>
      </w:r>
    </w:p>
    <w:p w14:paraId="3F1A3E62">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响应费用</w:t>
      </w:r>
    </w:p>
    <w:p w14:paraId="6CD817FB">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供应商应自行承担所有与准备和参加磋商有关的费用，无论磋商的结果如何，采购人或采购代理机构在任何情况下均无承担这些费用的义务和责任。</w:t>
      </w:r>
    </w:p>
    <w:p w14:paraId="391CE4FB">
      <w:pPr>
        <w:tabs>
          <w:tab w:val="left" w:pos="1080"/>
        </w:tabs>
        <w:snapToGrid w:val="0"/>
        <w:spacing w:line="360" w:lineRule="auto"/>
        <w:ind w:left="1080"/>
        <w:rPr>
          <w:rFonts w:hint="eastAsia" w:ascii="宋体" w:hAnsi="宋体"/>
          <w:sz w:val="28"/>
          <w:highlight w:val="none"/>
        </w:rPr>
      </w:pPr>
      <w:bookmarkStart w:id="149" w:name="_1.8_计量单位"/>
      <w:bookmarkEnd w:id="149"/>
    </w:p>
    <w:p w14:paraId="24894122">
      <w:pPr>
        <w:pStyle w:val="3"/>
        <w:spacing w:before="0" w:line="360" w:lineRule="auto"/>
        <w:rPr>
          <w:rFonts w:hint="eastAsia" w:ascii="宋体" w:hAnsi="宋体" w:eastAsia="宋体"/>
          <w:sz w:val="28"/>
          <w:highlight w:val="none"/>
        </w:rPr>
      </w:pPr>
      <w:r>
        <w:rPr>
          <w:rFonts w:ascii="宋体" w:hAnsi="宋体" w:eastAsia="宋体"/>
          <w:sz w:val="28"/>
          <w:highlight w:val="none"/>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09487EC">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150" w:name="_Toc226965796"/>
      <w:bookmarkStart w:id="151" w:name="_Toc520356147"/>
      <w:bookmarkStart w:id="152" w:name="_Toc164229364"/>
      <w:bookmarkStart w:id="153" w:name="_Toc127151523"/>
      <w:bookmarkStart w:id="154" w:name="_Toc164608637"/>
      <w:bookmarkStart w:id="155" w:name="_Toc151193837"/>
      <w:bookmarkStart w:id="156" w:name="_Toc226337219"/>
      <w:bookmarkStart w:id="157" w:name="_Toc264969213"/>
      <w:bookmarkStart w:id="158" w:name="_Toc164229218"/>
      <w:bookmarkStart w:id="159" w:name="_Toc127151724"/>
      <w:bookmarkStart w:id="160" w:name="_Toc151193911"/>
      <w:bookmarkStart w:id="161" w:name="_Toc305158865"/>
      <w:bookmarkStart w:id="162" w:name="_Toc150480761"/>
      <w:bookmarkStart w:id="163" w:name="_Toc265228361"/>
      <w:bookmarkStart w:id="164" w:name="_Toc142311025"/>
      <w:bookmarkStart w:id="165" w:name="_Toc150774623"/>
      <w:bookmarkStart w:id="166" w:name="_Toc164351617"/>
      <w:bookmarkStart w:id="167" w:name="_Toc151193765"/>
      <w:bookmarkStart w:id="168" w:name="_Toc149720816"/>
      <w:bookmarkStart w:id="169" w:name="_Toc226309767"/>
      <w:bookmarkStart w:id="170" w:name="_Toc151190150"/>
      <w:bookmarkStart w:id="171" w:name="_Toc151193621"/>
      <w:bookmarkStart w:id="172" w:name="_Toc151193693"/>
      <w:bookmarkStart w:id="173" w:name="_Toc164608792"/>
      <w:bookmarkStart w:id="174" w:name="_Toc127161437"/>
      <w:bookmarkStart w:id="175" w:name="_Toc195842888"/>
      <w:bookmarkStart w:id="176" w:name="_Toc150509274"/>
      <w:bookmarkStart w:id="177" w:name="_Toc150774728"/>
      <w:bookmarkStart w:id="178" w:name="_Toc305158791"/>
      <w:bookmarkStart w:id="179" w:name="_Toc226965713"/>
      <w:r>
        <w:rPr>
          <w:rFonts w:ascii="宋体" w:hAnsi="宋体"/>
          <w:sz w:val="24"/>
          <w:highlight w:val="none"/>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highlight w:val="none"/>
        </w:rPr>
        <w:t>成</w:t>
      </w:r>
    </w:p>
    <w:p w14:paraId="1D2F4905">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竞争性磋商文件包括以下部分：</w:t>
      </w:r>
    </w:p>
    <w:p w14:paraId="3A1107F4">
      <w:pPr>
        <w:numPr>
          <w:ilvl w:val="0"/>
          <w:numId w:val="11"/>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采购邀请</w:t>
      </w:r>
    </w:p>
    <w:p w14:paraId="3A6AEBE4">
      <w:pPr>
        <w:numPr>
          <w:ilvl w:val="0"/>
          <w:numId w:val="11"/>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供应商须知</w:t>
      </w:r>
    </w:p>
    <w:p w14:paraId="32E851E9">
      <w:pPr>
        <w:numPr>
          <w:ilvl w:val="0"/>
          <w:numId w:val="11"/>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评审方法和评审标准</w:t>
      </w:r>
    </w:p>
    <w:p w14:paraId="159B2772">
      <w:pPr>
        <w:numPr>
          <w:ilvl w:val="0"/>
          <w:numId w:val="11"/>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采购需求</w:t>
      </w:r>
    </w:p>
    <w:p w14:paraId="7C45050C">
      <w:pPr>
        <w:numPr>
          <w:ilvl w:val="0"/>
          <w:numId w:val="11"/>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合同草案条款</w:t>
      </w:r>
    </w:p>
    <w:p w14:paraId="7EDF85E1">
      <w:pPr>
        <w:numPr>
          <w:ilvl w:val="0"/>
          <w:numId w:val="11"/>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响应文件格式</w:t>
      </w:r>
    </w:p>
    <w:p w14:paraId="602017ED">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highlight w:val="none"/>
        </w:rPr>
        <w:t>响应无效</w:t>
      </w:r>
      <w:r>
        <w:rPr>
          <w:rFonts w:ascii="宋体" w:hAnsi="宋体"/>
          <w:sz w:val="24"/>
          <w:highlight w:val="none"/>
        </w:rPr>
        <w:t>。</w:t>
      </w:r>
    </w:p>
    <w:p w14:paraId="4A42BD6F">
      <w:pPr>
        <w:numPr>
          <w:ilvl w:val="0"/>
          <w:numId w:val="9"/>
        </w:numPr>
        <w:tabs>
          <w:tab w:val="left" w:pos="1080"/>
          <w:tab w:val="left" w:pos="2014"/>
        </w:tabs>
        <w:snapToGrid w:val="0"/>
        <w:spacing w:line="360" w:lineRule="auto"/>
        <w:ind w:left="357" w:hanging="357"/>
        <w:outlineLvl w:val="1"/>
        <w:rPr>
          <w:rFonts w:hint="eastAsia" w:ascii="宋体" w:hAnsi="宋体"/>
          <w:sz w:val="24"/>
          <w:highlight w:val="none"/>
        </w:rPr>
      </w:pPr>
      <w:r>
        <w:rPr>
          <w:rFonts w:ascii="宋体" w:hAnsi="宋体"/>
          <w:sz w:val="24"/>
          <w:highlight w:val="none"/>
        </w:rPr>
        <w:t>对竞争性磋商文件的澄清或修改</w:t>
      </w:r>
    </w:p>
    <w:p w14:paraId="7D6A1919">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A51C2C0">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上述书面通知，按照获取竞争性磋商文件的潜在供应商提供的联系方式发出，因提供的信息有误导致通知延迟或无法通知的，采购人或采购代理机构不承担责任。</w:t>
      </w:r>
    </w:p>
    <w:p w14:paraId="5DA92487">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highlight w:val="none"/>
        </w:rPr>
        <w:t>以书面形式通知所有获取磋商文件的供应商</w:t>
      </w:r>
      <w:r>
        <w:rPr>
          <w:rFonts w:ascii="宋体" w:hAnsi="宋体"/>
          <w:sz w:val="24"/>
          <w:highlight w:val="none"/>
        </w:rPr>
        <w:t>；不足上述时间的，将顺延提交</w:t>
      </w:r>
      <w:r>
        <w:rPr>
          <w:rFonts w:hint="eastAsia" w:ascii="宋体" w:hAnsi="宋体"/>
          <w:sz w:val="24"/>
          <w:highlight w:val="none"/>
        </w:rPr>
        <w:t>首次</w:t>
      </w:r>
      <w:r>
        <w:rPr>
          <w:rFonts w:ascii="宋体" w:hAnsi="宋体"/>
          <w:sz w:val="24"/>
          <w:highlight w:val="none"/>
        </w:rPr>
        <w:t>响应文件截止时间。</w:t>
      </w:r>
    </w:p>
    <w:p w14:paraId="3CEB34A5">
      <w:pPr>
        <w:tabs>
          <w:tab w:val="left" w:pos="1080"/>
          <w:tab w:val="left" w:pos="1561"/>
        </w:tabs>
        <w:snapToGrid w:val="0"/>
        <w:spacing w:line="360" w:lineRule="auto"/>
        <w:ind w:left="1080"/>
        <w:rPr>
          <w:rFonts w:hint="eastAsia" w:ascii="宋体" w:hAnsi="宋体"/>
          <w:sz w:val="28"/>
          <w:highlight w:val="none"/>
        </w:rPr>
      </w:pPr>
      <w:bookmarkStart w:id="180" w:name="_Toc516367020"/>
      <w:bookmarkStart w:id="181" w:name="_Toc150480764"/>
      <w:bookmarkStart w:id="182" w:name="_Toc142311028"/>
      <w:bookmarkStart w:id="183" w:name="_Toc127151526"/>
      <w:bookmarkStart w:id="184" w:name="_Toc151190153"/>
      <w:bookmarkStart w:id="185" w:name="_Toc226965716"/>
      <w:bookmarkStart w:id="186" w:name="_Toc151193768"/>
      <w:bookmarkStart w:id="187" w:name="_Toc151193696"/>
      <w:bookmarkStart w:id="188" w:name="_Toc520356150"/>
      <w:bookmarkStart w:id="189" w:name="_Toc195842891"/>
      <w:bookmarkStart w:id="190" w:name="_Toc150509277"/>
      <w:bookmarkStart w:id="191" w:name="_Toc305158794"/>
      <w:bookmarkStart w:id="192" w:name="_Toc264969216"/>
      <w:bookmarkStart w:id="193" w:name="_Toc151193914"/>
      <w:bookmarkStart w:id="194" w:name="_Toc265228364"/>
      <w:bookmarkStart w:id="195" w:name="_Toc305158868"/>
      <w:bookmarkStart w:id="196" w:name="_Toc226309770"/>
      <w:bookmarkStart w:id="197" w:name="_Toc226337222"/>
      <w:bookmarkStart w:id="198" w:name="_Toc226965799"/>
      <w:bookmarkStart w:id="199" w:name="_Toc150774731"/>
      <w:bookmarkStart w:id="200" w:name="_Toc151193840"/>
      <w:bookmarkStart w:id="201" w:name="_Toc150774626"/>
      <w:bookmarkStart w:id="202" w:name="_Toc151193624"/>
    </w:p>
    <w:p w14:paraId="264F8379">
      <w:pPr>
        <w:pStyle w:val="3"/>
        <w:spacing w:before="0" w:line="360" w:lineRule="auto"/>
        <w:rPr>
          <w:rFonts w:hint="eastAsia" w:ascii="宋体" w:hAnsi="宋体" w:eastAsia="宋体"/>
          <w:sz w:val="28"/>
          <w:highlight w:val="none"/>
        </w:rPr>
      </w:pPr>
      <w:r>
        <w:rPr>
          <w:rFonts w:ascii="宋体" w:hAnsi="宋体" w:eastAsia="宋体"/>
          <w:sz w:val="28"/>
          <w:highlight w:val="none"/>
        </w:rPr>
        <w:t>三   响应文件</w:t>
      </w:r>
      <w:bookmarkEnd w:id="180"/>
      <w:r>
        <w:rPr>
          <w:rFonts w:ascii="宋体" w:hAnsi="宋体" w:eastAsia="宋体"/>
          <w:sz w:val="28"/>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3737127">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03" w:name="_Toc150480765"/>
      <w:bookmarkStart w:id="204" w:name="_Toc305158795"/>
      <w:bookmarkStart w:id="205" w:name="_Toc164229368"/>
      <w:bookmarkStart w:id="206" w:name="_Toc127151527"/>
      <w:bookmarkStart w:id="207" w:name="_Toc305158869"/>
      <w:bookmarkStart w:id="208" w:name="_Toc520356151"/>
      <w:bookmarkStart w:id="209" w:name="_Toc151193769"/>
      <w:bookmarkStart w:id="210" w:name="_Toc151193841"/>
      <w:bookmarkStart w:id="211" w:name="_Toc164608641"/>
      <w:bookmarkStart w:id="212" w:name="_Toc151190154"/>
      <w:bookmarkStart w:id="213" w:name="_Toc164608796"/>
      <w:bookmarkStart w:id="214" w:name="_Toc142311029"/>
      <w:bookmarkStart w:id="215" w:name="_Toc164229222"/>
      <w:bookmarkStart w:id="216" w:name="_Toc149720820"/>
      <w:bookmarkStart w:id="217" w:name="_Toc265228365"/>
      <w:bookmarkStart w:id="218" w:name="_Toc164351621"/>
      <w:bookmarkStart w:id="219" w:name="_Toc150774732"/>
      <w:bookmarkStart w:id="220" w:name="_Toc226337223"/>
      <w:bookmarkStart w:id="221" w:name="_Toc516367021"/>
      <w:bookmarkStart w:id="222" w:name="_Toc151193915"/>
      <w:bookmarkStart w:id="223" w:name="_Toc226309771"/>
      <w:bookmarkStart w:id="224" w:name="_Toc127151728"/>
      <w:bookmarkStart w:id="225" w:name="_Toc195842892"/>
      <w:bookmarkStart w:id="226" w:name="_Toc151193697"/>
      <w:bookmarkStart w:id="227" w:name="_Toc264969217"/>
      <w:bookmarkStart w:id="228" w:name="_Toc226965800"/>
      <w:bookmarkStart w:id="229" w:name="_Toc226965717"/>
      <w:bookmarkStart w:id="230" w:name="_Toc151193625"/>
      <w:bookmarkStart w:id="231" w:name="_Toc150774627"/>
      <w:bookmarkStart w:id="232" w:name="_Toc150509278"/>
      <w:bookmarkStart w:id="233" w:name="_Toc127161441"/>
      <w:r>
        <w:rPr>
          <w:rFonts w:ascii="宋体" w:hAnsi="宋体"/>
          <w:sz w:val="24"/>
          <w:highlight w:val="none"/>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highlight w:val="none"/>
        </w:rPr>
        <w:t>及磋商语言</w:t>
      </w:r>
    </w:p>
    <w:p w14:paraId="0EC8C7DA">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sz w:val="24"/>
          <w:highlight w:val="none"/>
        </w:rPr>
        <w:t>无效响应</w:t>
      </w:r>
      <w:r>
        <w:rPr>
          <w:rFonts w:ascii="宋体" w:hAnsi="宋体"/>
          <w:sz w:val="24"/>
          <w:highlight w:val="none"/>
        </w:rPr>
        <w:t>。</w:t>
      </w:r>
    </w:p>
    <w:p w14:paraId="47A7B223">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除竞争性磋商文件有特殊要求外，本项目磋商所使用的计量单位，应采用中华人民共和国法定计量单位。</w:t>
      </w:r>
    </w:p>
    <w:p w14:paraId="0769CE8C">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1257E92">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34" w:name="_Ref467306195"/>
      <w:bookmarkStart w:id="235" w:name="_Toc516367022"/>
      <w:bookmarkStart w:id="236" w:name="_Ref467306676"/>
      <w:bookmarkStart w:id="237" w:name="_Toc164229369"/>
      <w:bookmarkStart w:id="238" w:name="_Toc226965718"/>
      <w:bookmarkStart w:id="239" w:name="_Toc226965801"/>
      <w:bookmarkStart w:id="240" w:name="_Toc151193698"/>
      <w:bookmarkStart w:id="241" w:name="_Toc150480766"/>
      <w:bookmarkStart w:id="242" w:name="_Toc142311030"/>
      <w:bookmarkStart w:id="243" w:name="_Toc149720821"/>
      <w:bookmarkStart w:id="244" w:name="_Toc226309772"/>
      <w:bookmarkStart w:id="245" w:name="_Toc164351622"/>
      <w:bookmarkStart w:id="246" w:name="_Toc151193626"/>
      <w:bookmarkStart w:id="247" w:name="_Toc151193916"/>
      <w:bookmarkStart w:id="248" w:name="_Toc226337224"/>
      <w:bookmarkStart w:id="249" w:name="_Toc164608797"/>
      <w:bookmarkStart w:id="250" w:name="_Toc127161442"/>
      <w:bookmarkStart w:id="251" w:name="_Toc264969218"/>
      <w:bookmarkStart w:id="252" w:name="_Toc151190155"/>
      <w:bookmarkStart w:id="253" w:name="_Toc127151729"/>
      <w:bookmarkStart w:id="254" w:name="_Toc151193842"/>
      <w:bookmarkStart w:id="255" w:name="_Toc520356152"/>
      <w:bookmarkStart w:id="256" w:name="_Toc305158870"/>
      <w:bookmarkStart w:id="257" w:name="_Toc305158796"/>
      <w:bookmarkStart w:id="258" w:name="_Toc151193770"/>
      <w:bookmarkStart w:id="259" w:name="_Toc195842893"/>
      <w:bookmarkStart w:id="260" w:name="_Toc150509279"/>
      <w:bookmarkStart w:id="261" w:name="_Toc164229223"/>
      <w:bookmarkStart w:id="262" w:name="_Toc150774733"/>
      <w:bookmarkStart w:id="263" w:name="_Toc150774628"/>
      <w:bookmarkStart w:id="264" w:name="_Toc265228366"/>
      <w:bookmarkStart w:id="265" w:name="_Toc164608642"/>
      <w:bookmarkStart w:id="266" w:name="_Toc127151528"/>
      <w:r>
        <w:rPr>
          <w:rFonts w:ascii="宋体" w:hAnsi="宋体"/>
          <w:sz w:val="24"/>
          <w:highlight w:val="none"/>
        </w:rPr>
        <w:t>响应文件</w:t>
      </w:r>
      <w:bookmarkEnd w:id="234"/>
      <w:bookmarkEnd w:id="235"/>
      <w:bookmarkEnd w:id="236"/>
      <w:r>
        <w:rPr>
          <w:rFonts w:ascii="宋体" w:hAnsi="宋体"/>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67552E0">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267" w:name="_Ref467052588"/>
      <w:r>
        <w:rPr>
          <w:rFonts w:ascii="宋体" w:hAnsi="宋体"/>
          <w:sz w:val="24"/>
          <w:highlight w:val="none"/>
        </w:rPr>
        <w:t>供应商应当按照竞争性磋商文件的要求编制响应文件，</w:t>
      </w:r>
      <w:r>
        <w:rPr>
          <w:rFonts w:ascii="宋体" w:hAnsi="宋体"/>
          <w:kern w:val="0"/>
          <w:sz w:val="24"/>
          <w:highlight w:val="none"/>
        </w:rPr>
        <w:t>并对其提交的响应文件的真实性、合法性承担法律责任</w:t>
      </w:r>
      <w:r>
        <w:rPr>
          <w:rFonts w:ascii="宋体" w:hAnsi="宋体"/>
          <w:sz w:val="24"/>
          <w:highlight w:val="none"/>
        </w:rPr>
        <w:t>。响应文件的部分格式要求，见第六章《响应文件格式》。</w:t>
      </w:r>
    </w:p>
    <w:p w14:paraId="2DF918D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kern w:val="0"/>
          <w:sz w:val="24"/>
          <w:highlight w:val="none"/>
        </w:rPr>
        <w:t>对于竞争性磋商文件中标记了“实质性格式”文件的，</w:t>
      </w:r>
      <w:r>
        <w:rPr>
          <w:rFonts w:ascii="宋体" w:hAnsi="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highlight w:val="none"/>
        </w:rPr>
        <w:t>否则响应无效</w:t>
      </w:r>
      <w:r>
        <w:rPr>
          <w:rFonts w:ascii="宋体" w:hAnsi="宋体"/>
          <w:kern w:val="0"/>
          <w:sz w:val="24"/>
          <w:highlight w:val="none"/>
        </w:rPr>
        <w:t>。未标记“实质性格式”的文件和竞争性磋商文件未提供格式的内容，可由供应商自行编写。</w:t>
      </w:r>
    </w:p>
    <w:p w14:paraId="4839ED2B">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第三章《评审方法和评审标准》中涉及的证明文件。</w:t>
      </w:r>
    </w:p>
    <w:p w14:paraId="714C67A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B30FF0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供应商认为应附的其他材料。</w:t>
      </w:r>
      <w:bookmarkEnd w:id="267"/>
    </w:p>
    <w:p w14:paraId="41B3B017">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68" w:name="_Toc150480768"/>
      <w:bookmarkStart w:id="269" w:name="_Toc127161444"/>
      <w:bookmarkStart w:id="270" w:name="_Toc150774630"/>
      <w:bookmarkStart w:id="271" w:name="_Toc164351624"/>
      <w:bookmarkStart w:id="272" w:name="_Toc164229225"/>
      <w:bookmarkStart w:id="273" w:name="_Toc520356155"/>
      <w:bookmarkStart w:id="274" w:name="_Toc151193772"/>
      <w:bookmarkStart w:id="275" w:name="_Toc151193918"/>
      <w:bookmarkStart w:id="276" w:name="_Toc164608644"/>
      <w:bookmarkStart w:id="277" w:name="_Toc127151530"/>
      <w:bookmarkStart w:id="278" w:name="_Toc164608799"/>
      <w:bookmarkStart w:id="279" w:name="_Toc142311032"/>
      <w:bookmarkStart w:id="280" w:name="_Toc151193628"/>
      <w:bookmarkStart w:id="281" w:name="_Toc150774735"/>
      <w:bookmarkStart w:id="282" w:name="_Toc151193844"/>
      <w:bookmarkStart w:id="283" w:name="_Toc150509281"/>
      <w:bookmarkStart w:id="284" w:name="_Toc195842895"/>
      <w:bookmarkStart w:id="285" w:name="_Toc151193700"/>
      <w:bookmarkStart w:id="286" w:name="_Toc151190157"/>
      <w:bookmarkStart w:id="287" w:name="_Toc149720823"/>
      <w:bookmarkStart w:id="288" w:name="_Toc127151731"/>
      <w:bookmarkStart w:id="289" w:name="_Toc164229371"/>
      <w:r>
        <w:rPr>
          <w:rFonts w:ascii="宋体" w:hAnsi="宋体"/>
          <w:sz w:val="24"/>
          <w:highlight w:val="none"/>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5773D5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所有响应均以人民币</w:t>
      </w:r>
      <w:r>
        <w:rPr>
          <w:rFonts w:hint="eastAsia" w:ascii="宋体" w:hAnsi="宋体"/>
          <w:sz w:val="24"/>
          <w:highlight w:val="none"/>
        </w:rPr>
        <w:t>为计价货币</w:t>
      </w:r>
      <w:r>
        <w:rPr>
          <w:rFonts w:ascii="宋体" w:hAnsi="宋体"/>
          <w:sz w:val="24"/>
          <w:highlight w:val="none"/>
        </w:rPr>
        <w:t>。</w:t>
      </w:r>
    </w:p>
    <w:p w14:paraId="6A7839E5">
      <w:pPr>
        <w:numPr>
          <w:ilvl w:val="1"/>
          <w:numId w:val="9"/>
        </w:numPr>
        <w:tabs>
          <w:tab w:val="left" w:pos="1080"/>
        </w:tabs>
        <w:snapToGrid w:val="0"/>
        <w:spacing w:line="360" w:lineRule="auto"/>
        <w:rPr>
          <w:rFonts w:hint="eastAsia" w:ascii="宋体" w:hAnsi="宋体"/>
          <w:sz w:val="24"/>
          <w:highlight w:val="none"/>
        </w:rPr>
      </w:pPr>
      <w:r>
        <w:rPr>
          <w:rFonts w:ascii="宋体" w:hAnsi="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2151EE7E">
      <w:pPr>
        <w:numPr>
          <w:ilvl w:val="2"/>
          <w:numId w:val="9"/>
        </w:numPr>
        <w:snapToGrid w:val="0"/>
        <w:spacing w:line="360" w:lineRule="auto"/>
        <w:rPr>
          <w:rFonts w:hint="eastAsia" w:ascii="宋体" w:hAnsi="宋体"/>
          <w:sz w:val="24"/>
          <w:highlight w:val="none"/>
        </w:rPr>
      </w:pPr>
      <w:r>
        <w:rPr>
          <w:rFonts w:ascii="宋体" w:hAnsi="宋体"/>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F372B9E">
      <w:pPr>
        <w:numPr>
          <w:ilvl w:val="2"/>
          <w:numId w:val="9"/>
        </w:numPr>
        <w:snapToGrid w:val="0"/>
        <w:spacing w:line="360" w:lineRule="auto"/>
        <w:rPr>
          <w:rFonts w:hint="eastAsia" w:ascii="宋体" w:hAnsi="宋体"/>
          <w:sz w:val="24"/>
          <w:highlight w:val="none"/>
        </w:rPr>
      </w:pPr>
      <w:r>
        <w:rPr>
          <w:rFonts w:ascii="宋体" w:hAnsi="宋体"/>
          <w:sz w:val="24"/>
          <w:highlight w:val="none"/>
        </w:rPr>
        <w:t>按照竞争性磋商文件要求完成本项目的全部相关费用。</w:t>
      </w:r>
    </w:p>
    <w:p w14:paraId="6291300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采购人不得向供应商索要或者接受其给予的赠品、回扣或者与采购无关的其他商品、服务。</w:t>
      </w:r>
    </w:p>
    <w:p w14:paraId="76ED52E3">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供应商不能提供任何有选择性或可调整的最后报价（</w:t>
      </w:r>
      <w:r>
        <w:rPr>
          <w:rFonts w:ascii="宋体" w:hAnsi="宋体"/>
          <w:color w:val="000000"/>
          <w:kern w:val="0"/>
          <w:sz w:val="24"/>
          <w:highlight w:val="none"/>
        </w:rPr>
        <w:t>竞争性磋商文件</w:t>
      </w:r>
      <w:r>
        <w:rPr>
          <w:rFonts w:ascii="宋体" w:hAnsi="宋体"/>
          <w:sz w:val="24"/>
          <w:highlight w:val="none"/>
        </w:rPr>
        <w:t>另有规定的除外），否则其</w:t>
      </w:r>
      <w:r>
        <w:rPr>
          <w:rFonts w:ascii="宋体" w:hAnsi="宋体"/>
          <w:b/>
          <w:sz w:val="24"/>
          <w:highlight w:val="none"/>
        </w:rPr>
        <w:t>响应无效</w:t>
      </w:r>
      <w:r>
        <w:rPr>
          <w:rFonts w:ascii="宋体" w:hAnsi="宋体"/>
          <w:sz w:val="24"/>
          <w:highlight w:val="none"/>
        </w:rPr>
        <w:t>。</w:t>
      </w:r>
    </w:p>
    <w:p w14:paraId="0991CB73">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磋商保证金</w:t>
      </w:r>
    </w:p>
    <w:p w14:paraId="3936AD5B">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290" w:name="_Ref467306302"/>
      <w:r>
        <w:rPr>
          <w:rFonts w:ascii="宋体" w:hAnsi="宋体"/>
          <w:sz w:val="24"/>
          <w:highlight w:val="none"/>
        </w:rPr>
        <w:t>供应商应按《供应商须知资料表》中规定的金额及要求交纳磋商保证金</w:t>
      </w:r>
      <w:bookmarkEnd w:id="290"/>
      <w:r>
        <w:rPr>
          <w:rFonts w:ascii="宋体" w:hAnsi="宋体"/>
          <w:sz w:val="24"/>
          <w:highlight w:val="none"/>
        </w:rPr>
        <w:t>。</w:t>
      </w:r>
      <w:r>
        <w:rPr>
          <w:rFonts w:hint="eastAsia" w:ascii="宋体" w:hAnsi="宋体"/>
          <w:sz w:val="24"/>
          <w:highlight w:val="none"/>
        </w:rPr>
        <w:t>供应商自愿超额缴纳磋商保证金的，响应文件不做无效处理。</w:t>
      </w:r>
    </w:p>
    <w:p w14:paraId="01A546D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交纳磋商保证金可采用的形式：政府采购法律法规接受的支票、汇票、本票、网上银行支付或者金融机构、担保机构出具的保函等非现金形式。</w:t>
      </w:r>
    </w:p>
    <w:p w14:paraId="3C9B6439">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ascii="宋体" w:hAnsi="宋体"/>
          <w:sz w:val="24"/>
          <w:highlight w:val="none"/>
        </w:rPr>
        <w:t>纸质</w:t>
      </w:r>
      <w:r>
        <w:rPr>
          <w:rFonts w:ascii="宋体" w:hAnsi="宋体"/>
          <w:sz w:val="24"/>
          <w:highlight w:val="none"/>
        </w:rPr>
        <w:t>保函等形式提交磋商保证金的，应在首次响应文件提交截止时间前将原件提交至采购代理机构；</w:t>
      </w:r>
      <w:bookmarkStart w:id="291" w:name="_Hlk164959831"/>
      <w:r>
        <w:rPr>
          <w:rFonts w:hint="eastAsia" w:ascii="宋体" w:hAnsi="宋体"/>
          <w:sz w:val="24"/>
          <w:highlight w:val="none"/>
        </w:rPr>
        <w:t>以电子保函形式提交磋商保证金的，应在</w:t>
      </w:r>
      <w:r>
        <w:rPr>
          <w:rFonts w:ascii="宋体" w:hAnsi="宋体"/>
          <w:sz w:val="24"/>
          <w:highlight w:val="none"/>
        </w:rPr>
        <w:t>首次响应文件提交截止时间前</w:t>
      </w:r>
      <w:r>
        <w:rPr>
          <w:rFonts w:hint="eastAsia" w:ascii="宋体" w:hAnsi="宋体"/>
          <w:sz w:val="24"/>
          <w:highlight w:val="none"/>
        </w:rPr>
        <w:t>通过</w:t>
      </w:r>
      <w:r>
        <w:rPr>
          <w:rFonts w:ascii="宋体" w:hAnsi="宋体"/>
          <w:sz w:val="24"/>
          <w:highlight w:val="none"/>
          <w:lang w:bidi="ar"/>
        </w:rPr>
        <w:t>北京市政府采购电子交易平台</w:t>
      </w:r>
      <w:r>
        <w:rPr>
          <w:rFonts w:hint="eastAsia" w:ascii="宋体" w:hAnsi="宋体"/>
          <w:sz w:val="24"/>
          <w:highlight w:val="none"/>
          <w:lang w:bidi="ar"/>
        </w:rPr>
        <w:t>完成电子保函在线办理。</w:t>
      </w:r>
      <w:bookmarkEnd w:id="291"/>
      <w:r>
        <w:rPr>
          <w:rFonts w:hint="eastAsia" w:ascii="宋体" w:hAnsi="宋体"/>
          <w:sz w:val="24"/>
          <w:highlight w:val="none"/>
        </w:rPr>
        <w:t>未按上述要求缴纳保证金的</w:t>
      </w:r>
      <w:r>
        <w:rPr>
          <w:rFonts w:ascii="宋体" w:hAnsi="宋体"/>
          <w:sz w:val="24"/>
          <w:highlight w:val="none"/>
        </w:rPr>
        <w:t>，其</w:t>
      </w:r>
      <w:r>
        <w:rPr>
          <w:rFonts w:ascii="宋体" w:hAnsi="宋体"/>
          <w:b/>
          <w:sz w:val="24"/>
          <w:highlight w:val="none"/>
        </w:rPr>
        <w:t>响应无效</w:t>
      </w:r>
      <w:r>
        <w:rPr>
          <w:rFonts w:ascii="宋体" w:hAnsi="宋体"/>
          <w:sz w:val="24"/>
          <w:highlight w:val="none"/>
        </w:rPr>
        <w:t>。</w:t>
      </w:r>
    </w:p>
    <w:p w14:paraId="3060A870">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292" w:name="_Hlk168432698"/>
      <w:r>
        <w:rPr>
          <w:rFonts w:hint="eastAsia" w:ascii="宋体" w:hAnsi="宋体"/>
          <w:sz w:val="24"/>
          <w:highlight w:val="none"/>
        </w:rPr>
        <w:t>供应商</w:t>
      </w:r>
      <w:r>
        <w:rPr>
          <w:rFonts w:ascii="宋体" w:hAnsi="宋体"/>
          <w:color w:val="000000"/>
          <w:sz w:val="24"/>
          <w:highlight w:val="none"/>
        </w:rPr>
        <w:t>除</w:t>
      </w:r>
      <w:r>
        <w:rPr>
          <w:rFonts w:hint="eastAsia" w:ascii="宋体" w:hAnsi="宋体"/>
          <w:color w:val="000000"/>
          <w:sz w:val="24"/>
          <w:highlight w:val="none"/>
        </w:rPr>
        <w:t>需在响应</w:t>
      </w:r>
      <w:r>
        <w:rPr>
          <w:rFonts w:ascii="宋体" w:hAnsi="宋体"/>
          <w:color w:val="000000"/>
          <w:sz w:val="24"/>
          <w:highlight w:val="none"/>
        </w:rPr>
        <w:t>文件中</w:t>
      </w:r>
      <w:r>
        <w:rPr>
          <w:rFonts w:hint="eastAsia" w:ascii="宋体" w:hAnsi="宋体"/>
          <w:color w:val="000000"/>
          <w:sz w:val="24"/>
          <w:highlight w:val="none"/>
        </w:rPr>
        <w:t>提供“</w:t>
      </w:r>
      <w:r>
        <w:rPr>
          <w:rFonts w:hint="eastAsia" w:ascii="宋体" w:hAnsi="宋体"/>
          <w:color w:val="000000"/>
          <w:sz w:val="24"/>
          <w:szCs w:val="20"/>
          <w:highlight w:val="none"/>
        </w:rPr>
        <w:t>磋商</w:t>
      </w:r>
      <w:r>
        <w:rPr>
          <w:rFonts w:ascii="宋体" w:hAnsi="宋体"/>
          <w:color w:val="000000"/>
          <w:sz w:val="24"/>
          <w:szCs w:val="20"/>
          <w:highlight w:val="none"/>
        </w:rPr>
        <w:t>保证金凭证/交款单据电子件</w:t>
      </w:r>
      <w:r>
        <w:rPr>
          <w:rFonts w:hint="eastAsia" w:ascii="宋体" w:hAnsi="宋体"/>
          <w:color w:val="000000"/>
          <w:sz w:val="24"/>
          <w:highlight w:val="none"/>
        </w:rPr>
        <w:t>”</w:t>
      </w:r>
      <w:r>
        <w:rPr>
          <w:rFonts w:ascii="宋体" w:hAnsi="宋体"/>
          <w:color w:val="000000"/>
          <w:sz w:val="24"/>
          <w:highlight w:val="none"/>
        </w:rPr>
        <w:t>，</w:t>
      </w:r>
      <w:r>
        <w:rPr>
          <w:rFonts w:hint="eastAsia" w:ascii="宋体" w:hAnsi="宋体"/>
          <w:sz w:val="24"/>
          <w:highlight w:val="none"/>
        </w:rPr>
        <w:t>还需在</w:t>
      </w:r>
      <w:r>
        <w:rPr>
          <w:rFonts w:ascii="宋体" w:hAnsi="宋体"/>
          <w:sz w:val="24"/>
          <w:highlight w:val="none"/>
        </w:rPr>
        <w:t>首次响应文件提交截止时间</w:t>
      </w:r>
      <w:r>
        <w:rPr>
          <w:rFonts w:hint="eastAsia" w:ascii="宋体" w:hAnsi="宋体"/>
          <w:sz w:val="24"/>
          <w:highlight w:val="none"/>
        </w:rPr>
        <w:t>前，通过电子交易平台上传“</w:t>
      </w:r>
      <w:r>
        <w:rPr>
          <w:rFonts w:hint="eastAsia" w:ascii="宋体" w:hAnsi="宋体"/>
          <w:color w:val="000000"/>
          <w:sz w:val="24"/>
          <w:szCs w:val="20"/>
          <w:highlight w:val="none"/>
        </w:rPr>
        <w:t>磋商</w:t>
      </w:r>
      <w:r>
        <w:rPr>
          <w:rFonts w:ascii="宋体" w:hAnsi="宋体"/>
          <w:color w:val="000000"/>
          <w:sz w:val="24"/>
          <w:szCs w:val="20"/>
          <w:highlight w:val="none"/>
        </w:rPr>
        <w:t>保证金凭证/交款单据电子件</w:t>
      </w:r>
      <w:r>
        <w:rPr>
          <w:rFonts w:hint="eastAsia" w:ascii="宋体" w:hAnsi="宋体"/>
          <w:sz w:val="24"/>
          <w:highlight w:val="none"/>
        </w:rPr>
        <w:t>”。</w:t>
      </w:r>
    </w:p>
    <w:bookmarkEnd w:id="292"/>
    <w:p w14:paraId="072AABC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磋商保证金有效期同响应有效期。</w:t>
      </w:r>
    </w:p>
    <w:p w14:paraId="0B0DAC8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供应商为联合体的，可以由联合体中的一方或者多方共同交纳磋商保证金，其交纳的保证金对联合体各方均具有约束力。</w:t>
      </w:r>
    </w:p>
    <w:p w14:paraId="26A02403">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8925BAF">
      <w:pPr>
        <w:numPr>
          <w:ilvl w:val="2"/>
          <w:numId w:val="9"/>
        </w:numPr>
        <w:snapToGrid w:val="0"/>
        <w:spacing w:line="360" w:lineRule="auto"/>
        <w:rPr>
          <w:rFonts w:hint="eastAsia" w:ascii="宋体" w:hAnsi="宋体"/>
          <w:sz w:val="24"/>
          <w:highlight w:val="none"/>
        </w:rPr>
      </w:pPr>
      <w:r>
        <w:rPr>
          <w:rFonts w:ascii="宋体" w:hAnsi="宋体"/>
          <w:snapToGrid w:val="0"/>
          <w:kern w:val="0"/>
          <w:sz w:val="24"/>
          <w:highlight w:val="none"/>
        </w:rPr>
        <w:t>已提交响应文件的供应商，在提交最后报价之前，可以根据磋商情况退出磋商。采购人、采购代理机构将退还退出磋商的供应商的磋商保证金；</w:t>
      </w:r>
    </w:p>
    <w:p w14:paraId="51D4252F">
      <w:pPr>
        <w:numPr>
          <w:ilvl w:val="2"/>
          <w:numId w:val="9"/>
        </w:numPr>
        <w:snapToGrid w:val="0"/>
        <w:spacing w:line="360" w:lineRule="auto"/>
        <w:rPr>
          <w:rFonts w:hint="eastAsia" w:ascii="宋体" w:hAnsi="宋体"/>
          <w:sz w:val="24"/>
          <w:highlight w:val="none"/>
        </w:rPr>
      </w:pPr>
      <w:r>
        <w:rPr>
          <w:rFonts w:ascii="宋体" w:hAnsi="宋体"/>
          <w:sz w:val="24"/>
          <w:highlight w:val="none"/>
        </w:rPr>
        <w:t>成交供应商的磋商保证金，在采购合同签订后5个工作日内退还成交供应商；</w:t>
      </w:r>
    </w:p>
    <w:p w14:paraId="52A36965">
      <w:pPr>
        <w:numPr>
          <w:ilvl w:val="2"/>
          <w:numId w:val="9"/>
        </w:numPr>
        <w:snapToGrid w:val="0"/>
        <w:spacing w:line="360" w:lineRule="auto"/>
        <w:rPr>
          <w:rFonts w:hint="eastAsia" w:ascii="宋体" w:hAnsi="宋体"/>
          <w:sz w:val="24"/>
          <w:highlight w:val="none"/>
        </w:rPr>
      </w:pPr>
      <w:r>
        <w:rPr>
          <w:rFonts w:ascii="宋体" w:hAnsi="宋体"/>
          <w:sz w:val="24"/>
          <w:highlight w:val="none"/>
        </w:rPr>
        <w:t>未成交供应商的磋商保证金，在成交通知书发出后5个工作日内退还。</w:t>
      </w:r>
    </w:p>
    <w:p w14:paraId="620F220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有下列情形之一的，采购人或采购代理机构不予退还磋商保证金：</w:t>
      </w:r>
    </w:p>
    <w:p w14:paraId="799A4F2B">
      <w:pPr>
        <w:numPr>
          <w:ilvl w:val="2"/>
          <w:numId w:val="9"/>
        </w:numPr>
        <w:snapToGrid w:val="0"/>
        <w:spacing w:line="360" w:lineRule="auto"/>
        <w:rPr>
          <w:rFonts w:hint="eastAsia" w:ascii="宋体" w:hAnsi="宋体"/>
          <w:sz w:val="24"/>
          <w:highlight w:val="none"/>
        </w:rPr>
      </w:pPr>
      <w:r>
        <w:rPr>
          <w:rFonts w:ascii="宋体" w:hAnsi="宋体"/>
          <w:sz w:val="24"/>
          <w:highlight w:val="none"/>
        </w:rPr>
        <w:t>供应商在响应文件提交截止时间后撤回响应文件的；</w:t>
      </w:r>
    </w:p>
    <w:p w14:paraId="2FDC2DE4">
      <w:pPr>
        <w:numPr>
          <w:ilvl w:val="2"/>
          <w:numId w:val="9"/>
        </w:numPr>
        <w:snapToGrid w:val="0"/>
        <w:spacing w:line="360" w:lineRule="auto"/>
        <w:rPr>
          <w:rFonts w:hint="eastAsia" w:ascii="宋体" w:hAnsi="宋体"/>
          <w:sz w:val="24"/>
          <w:highlight w:val="none"/>
        </w:rPr>
      </w:pPr>
      <w:r>
        <w:rPr>
          <w:rFonts w:ascii="宋体" w:hAnsi="宋体"/>
          <w:sz w:val="24"/>
          <w:highlight w:val="none"/>
        </w:rPr>
        <w:t>供应商在响应文件中提供虚假材料的；</w:t>
      </w:r>
    </w:p>
    <w:p w14:paraId="2CD954AD">
      <w:pPr>
        <w:numPr>
          <w:ilvl w:val="2"/>
          <w:numId w:val="9"/>
        </w:numPr>
        <w:snapToGrid w:val="0"/>
        <w:spacing w:line="360" w:lineRule="auto"/>
        <w:rPr>
          <w:rFonts w:hint="eastAsia" w:ascii="宋体" w:hAnsi="宋体"/>
          <w:sz w:val="24"/>
          <w:highlight w:val="none"/>
        </w:rPr>
      </w:pPr>
      <w:r>
        <w:rPr>
          <w:rFonts w:ascii="宋体" w:hAnsi="宋体"/>
          <w:sz w:val="24"/>
          <w:highlight w:val="none"/>
        </w:rPr>
        <w:t>除因不可抗力或磋商文件认可的情形以外，成交供应商不与采购人签订合同的；</w:t>
      </w:r>
    </w:p>
    <w:p w14:paraId="28924A50">
      <w:pPr>
        <w:numPr>
          <w:ilvl w:val="2"/>
          <w:numId w:val="9"/>
        </w:numPr>
        <w:snapToGrid w:val="0"/>
        <w:spacing w:line="360" w:lineRule="auto"/>
        <w:rPr>
          <w:rFonts w:hint="eastAsia" w:ascii="宋体" w:hAnsi="宋体"/>
          <w:sz w:val="24"/>
          <w:highlight w:val="none"/>
        </w:rPr>
      </w:pPr>
      <w:r>
        <w:rPr>
          <w:rFonts w:ascii="宋体" w:hAnsi="宋体"/>
          <w:sz w:val="24"/>
          <w:highlight w:val="none"/>
        </w:rPr>
        <w:t>供应商与采购人、其他供应商或者采购代理机构恶意串通的；</w:t>
      </w:r>
    </w:p>
    <w:p w14:paraId="0F39B442">
      <w:pPr>
        <w:numPr>
          <w:ilvl w:val="2"/>
          <w:numId w:val="9"/>
        </w:numPr>
        <w:snapToGrid w:val="0"/>
        <w:spacing w:line="360" w:lineRule="auto"/>
        <w:rPr>
          <w:rFonts w:hint="eastAsia" w:ascii="宋体" w:hAnsi="宋体"/>
          <w:sz w:val="24"/>
          <w:highlight w:val="none"/>
        </w:rPr>
      </w:pPr>
      <w:r>
        <w:rPr>
          <w:rFonts w:ascii="宋体" w:hAnsi="宋体"/>
          <w:sz w:val="24"/>
          <w:highlight w:val="none"/>
        </w:rPr>
        <w:t>《供应商须知资料表》规定的其他情形。</w:t>
      </w:r>
    </w:p>
    <w:p w14:paraId="33C50F9C">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响应有效期</w:t>
      </w:r>
    </w:p>
    <w:p w14:paraId="29F4A00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响应文件应在本竞争性磋商文件《供应商须知资料表》中规定的响应有效期内保持有效，响应有效期少于竞争性磋商文件规定期限的，其</w:t>
      </w:r>
      <w:r>
        <w:rPr>
          <w:rFonts w:ascii="宋体" w:hAnsi="宋体"/>
          <w:b/>
          <w:sz w:val="24"/>
          <w:highlight w:val="none"/>
        </w:rPr>
        <w:t>响应无效</w:t>
      </w:r>
      <w:r>
        <w:rPr>
          <w:rFonts w:ascii="宋体" w:hAnsi="宋体"/>
          <w:sz w:val="24"/>
          <w:highlight w:val="none"/>
        </w:rPr>
        <w:t>。</w:t>
      </w:r>
    </w:p>
    <w:p w14:paraId="28ABE38B">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93" w:name="_Toc150480771"/>
      <w:bookmarkStart w:id="294" w:name="_Toc226309777"/>
      <w:bookmarkStart w:id="295" w:name="_Toc151193703"/>
      <w:bookmarkStart w:id="296" w:name="_Toc142311035"/>
      <w:bookmarkStart w:id="297" w:name="_Toc164608647"/>
      <w:bookmarkStart w:id="298" w:name="_Toc149720826"/>
      <w:bookmarkStart w:id="299" w:name="_Toc127161447"/>
      <w:bookmarkStart w:id="300" w:name="_Toc265228371"/>
      <w:bookmarkStart w:id="301" w:name="_Toc151193921"/>
      <w:bookmarkStart w:id="302" w:name="_Toc150774633"/>
      <w:bookmarkStart w:id="303" w:name="_Toc305158875"/>
      <w:bookmarkStart w:id="304" w:name="_Toc226337229"/>
      <w:bookmarkStart w:id="305" w:name="_Toc164229228"/>
      <w:bookmarkStart w:id="306" w:name="_Toc264969223"/>
      <w:bookmarkStart w:id="307" w:name="_Toc195842898"/>
      <w:bookmarkStart w:id="308" w:name="_Toc150774738"/>
      <w:bookmarkStart w:id="309" w:name="_Toc151193631"/>
      <w:bookmarkStart w:id="310" w:name="_Toc164351627"/>
      <w:bookmarkStart w:id="311" w:name="_Toc305158801"/>
      <w:bookmarkStart w:id="312" w:name="_Toc226965723"/>
      <w:bookmarkStart w:id="313" w:name="_Toc520356158"/>
      <w:bookmarkStart w:id="314" w:name="_Toc151190160"/>
      <w:bookmarkStart w:id="315" w:name="_Toc151193847"/>
      <w:bookmarkStart w:id="316" w:name="_Toc164608802"/>
      <w:bookmarkStart w:id="317" w:name="_Toc226965806"/>
      <w:bookmarkStart w:id="318" w:name="_Toc151193775"/>
      <w:bookmarkStart w:id="319" w:name="_Toc127151533"/>
      <w:bookmarkStart w:id="320" w:name="_Toc127151734"/>
      <w:bookmarkStart w:id="321" w:name="_Toc164229374"/>
      <w:bookmarkStart w:id="322" w:name="_Toc150509284"/>
      <w:r>
        <w:rPr>
          <w:rFonts w:ascii="宋体" w:hAnsi="宋体"/>
          <w:sz w:val="24"/>
          <w:highlight w:val="none"/>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宋体" w:hAnsi="宋体"/>
          <w:sz w:val="24"/>
          <w:highlight w:val="none"/>
        </w:rPr>
        <w:t>、盖章</w:t>
      </w:r>
    </w:p>
    <w:p w14:paraId="65450B68">
      <w:pPr>
        <w:numPr>
          <w:ilvl w:val="1"/>
          <w:numId w:val="9"/>
        </w:numPr>
        <w:tabs>
          <w:tab w:val="left" w:pos="1080"/>
        </w:tabs>
        <w:snapToGrid w:val="0"/>
        <w:spacing w:line="360" w:lineRule="auto"/>
        <w:rPr>
          <w:rFonts w:hint="eastAsia" w:ascii="宋体" w:hAnsi="宋体"/>
          <w:sz w:val="24"/>
          <w:highlight w:val="none"/>
        </w:rPr>
      </w:pPr>
      <w:bookmarkStart w:id="323" w:name="_Toc151193776"/>
      <w:bookmarkStart w:id="324" w:name="_Toc150774634"/>
      <w:bookmarkStart w:id="325" w:name="_Toc142311036"/>
      <w:bookmarkStart w:id="326" w:name="_Toc151193848"/>
      <w:bookmarkStart w:id="327" w:name="_Toc226965724"/>
      <w:bookmarkStart w:id="328" w:name="_Toc150774739"/>
      <w:bookmarkStart w:id="329" w:name="_Toc520356159"/>
      <w:bookmarkStart w:id="330" w:name="_Toc226309778"/>
      <w:bookmarkStart w:id="331" w:name="_Toc305158876"/>
      <w:bookmarkStart w:id="332" w:name="_Toc150509285"/>
      <w:bookmarkStart w:id="333" w:name="_Toc265228372"/>
      <w:bookmarkStart w:id="334" w:name="_Toc151193632"/>
      <w:bookmarkStart w:id="335" w:name="_Toc264969224"/>
      <w:bookmarkStart w:id="336" w:name="_Toc151193704"/>
      <w:bookmarkStart w:id="337" w:name="_Toc226965807"/>
      <w:bookmarkStart w:id="338" w:name="_Toc150480772"/>
      <w:bookmarkStart w:id="339" w:name="_Toc151190161"/>
      <w:bookmarkStart w:id="340" w:name="_Toc195842899"/>
      <w:bookmarkStart w:id="341" w:name="_Toc151193922"/>
      <w:bookmarkStart w:id="342" w:name="_Toc305158802"/>
      <w:bookmarkStart w:id="343" w:name="_Toc127151534"/>
      <w:bookmarkStart w:id="344" w:name="_Toc226337230"/>
      <w:r>
        <w:rPr>
          <w:rFonts w:ascii="宋体" w:hAnsi="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4D392AA">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竞争性磋商文件要求盖章的内容，一般通过投标文件编制工具加盖电子签章。</w:t>
      </w:r>
    </w:p>
    <w:p w14:paraId="63AE3D3A">
      <w:pPr>
        <w:tabs>
          <w:tab w:val="left" w:pos="900"/>
          <w:tab w:val="left" w:pos="1080"/>
        </w:tabs>
        <w:snapToGrid w:val="0"/>
        <w:spacing w:line="360" w:lineRule="auto"/>
        <w:ind w:left="357"/>
        <w:rPr>
          <w:rFonts w:hint="eastAsia" w:ascii="宋体" w:hAnsi="宋体"/>
          <w:highlight w:val="none"/>
        </w:rPr>
      </w:pPr>
    </w:p>
    <w:p w14:paraId="2E6FC020">
      <w:pPr>
        <w:pStyle w:val="3"/>
        <w:spacing w:before="0" w:line="360" w:lineRule="auto"/>
        <w:rPr>
          <w:rFonts w:hint="eastAsia" w:ascii="宋体" w:hAnsi="宋体" w:eastAsia="宋体"/>
          <w:sz w:val="28"/>
          <w:highlight w:val="none"/>
        </w:rPr>
      </w:pPr>
      <w:r>
        <w:rPr>
          <w:rFonts w:ascii="宋体" w:hAnsi="宋体" w:eastAsia="宋体"/>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102A4E3D">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45" w:name="_Toc226309779"/>
      <w:bookmarkStart w:id="346" w:name="_Toc226965725"/>
      <w:bookmarkStart w:id="347" w:name="_Toc149720828"/>
      <w:bookmarkStart w:id="348" w:name="_Toc127161449"/>
      <w:bookmarkStart w:id="349" w:name="_Toc195842900"/>
      <w:bookmarkStart w:id="350" w:name="_Toc265228373"/>
      <w:bookmarkStart w:id="351" w:name="_Toc164229230"/>
      <w:bookmarkStart w:id="352" w:name="_Toc226337231"/>
      <w:bookmarkStart w:id="353" w:name="_Toc127151736"/>
      <w:bookmarkStart w:id="354" w:name="_Toc150774740"/>
      <w:bookmarkStart w:id="355" w:name="_Toc151190162"/>
      <w:bookmarkStart w:id="356" w:name="_Toc164608804"/>
      <w:bookmarkStart w:id="357" w:name="_Toc151193923"/>
      <w:bookmarkStart w:id="358" w:name="_Toc151193705"/>
      <w:bookmarkStart w:id="359" w:name="_Toc151193633"/>
      <w:bookmarkStart w:id="360" w:name="_Toc164351629"/>
      <w:bookmarkStart w:id="361" w:name="_Toc127151535"/>
      <w:bookmarkStart w:id="362" w:name="_Toc150480773"/>
      <w:bookmarkStart w:id="363" w:name="_Toc305158803"/>
      <w:bookmarkStart w:id="364" w:name="_Toc151193849"/>
      <w:bookmarkStart w:id="365" w:name="_Toc151193777"/>
      <w:bookmarkStart w:id="366" w:name="_Toc142311037"/>
      <w:bookmarkStart w:id="367" w:name="_Toc150509286"/>
      <w:bookmarkStart w:id="368" w:name="_Toc520356160"/>
      <w:bookmarkStart w:id="369" w:name="_Toc164608649"/>
      <w:bookmarkStart w:id="370" w:name="_Toc164229376"/>
      <w:bookmarkStart w:id="371" w:name="_Toc305158877"/>
      <w:bookmarkStart w:id="372" w:name="_Toc264969225"/>
      <w:bookmarkStart w:id="373" w:name="_Toc226965808"/>
      <w:bookmarkStart w:id="374" w:name="_Toc150774635"/>
      <w:r>
        <w:rPr>
          <w:rFonts w:ascii="宋体" w:hAnsi="宋体"/>
          <w:sz w:val="24"/>
          <w:highlight w:val="none"/>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宋体"/>
          <w:sz w:val="24"/>
          <w:highlight w:val="none"/>
        </w:rPr>
        <w:t>提交</w:t>
      </w:r>
    </w:p>
    <w:p w14:paraId="42083FF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本项目使用北京市政府采购电子交易平台。供应商根据竞争性磋商文件及电子交易平台供应商操作手册要求编制、生成并提交电子响应文件。</w:t>
      </w:r>
    </w:p>
    <w:p w14:paraId="518BD833">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采购人及采购代理机构拒绝接受通过电子交易平台以外任何形式提交的</w:t>
      </w:r>
      <w:r>
        <w:rPr>
          <w:rFonts w:hint="eastAsia" w:ascii="宋体" w:hAnsi="宋体"/>
          <w:sz w:val="24"/>
          <w:highlight w:val="none"/>
        </w:rPr>
        <w:t>首次</w:t>
      </w:r>
      <w:r>
        <w:rPr>
          <w:rFonts w:ascii="宋体" w:hAnsi="宋体"/>
          <w:sz w:val="24"/>
          <w:highlight w:val="none"/>
        </w:rPr>
        <w:t>响应文件，磋商保证金除外。</w:t>
      </w:r>
    </w:p>
    <w:p w14:paraId="7CF21010">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75" w:name="_Toc127161450"/>
      <w:bookmarkStart w:id="376" w:name="_Toc127151536"/>
      <w:bookmarkStart w:id="377" w:name="_Toc150774636"/>
      <w:bookmarkStart w:id="378" w:name="_Toc264969226"/>
      <w:bookmarkStart w:id="379" w:name="_Toc226337232"/>
      <w:bookmarkStart w:id="380" w:name="_Toc142311038"/>
      <w:bookmarkStart w:id="381" w:name="_Toc520356161"/>
      <w:bookmarkStart w:id="382" w:name="_Toc164608805"/>
      <w:bookmarkStart w:id="383" w:name="_Toc149720829"/>
      <w:bookmarkStart w:id="384" w:name="_Toc265228374"/>
      <w:bookmarkStart w:id="385" w:name="_Toc150509287"/>
      <w:bookmarkStart w:id="386" w:name="_Toc305158804"/>
      <w:bookmarkStart w:id="387" w:name="_Toc305158878"/>
      <w:bookmarkStart w:id="388" w:name="_Toc151193850"/>
      <w:bookmarkStart w:id="389" w:name="_Toc164229231"/>
      <w:bookmarkStart w:id="390" w:name="_Toc151193634"/>
      <w:bookmarkStart w:id="391" w:name="_Toc164608650"/>
      <w:bookmarkStart w:id="392" w:name="_Toc150480774"/>
      <w:bookmarkStart w:id="393" w:name="_Toc151193706"/>
      <w:bookmarkStart w:id="394" w:name="_Toc151193778"/>
      <w:bookmarkStart w:id="395" w:name="_Toc151193924"/>
      <w:bookmarkStart w:id="396" w:name="_Toc151190163"/>
      <w:bookmarkStart w:id="397" w:name="_Toc164229377"/>
      <w:bookmarkStart w:id="398" w:name="_Toc226965809"/>
      <w:bookmarkStart w:id="399" w:name="_Toc226965726"/>
      <w:bookmarkStart w:id="400" w:name="_Toc164351630"/>
      <w:bookmarkStart w:id="401" w:name="_Toc226309780"/>
      <w:bookmarkStart w:id="402" w:name="_Toc127151737"/>
      <w:bookmarkStart w:id="403" w:name="_Toc150774741"/>
      <w:bookmarkStart w:id="404" w:name="_Toc195842901"/>
      <w:r>
        <w:rPr>
          <w:rFonts w:ascii="宋体" w:hAnsi="宋体"/>
          <w:sz w:val="24"/>
          <w:highlight w:val="none"/>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宋体" w:hAnsi="宋体"/>
          <w:sz w:val="24"/>
          <w:highlight w:val="none"/>
        </w:rPr>
        <w:t>时间</w:t>
      </w:r>
    </w:p>
    <w:p w14:paraId="6D5F3976">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供应商应在竞争性磋商文件要求响应文件提交截止时间前，将电子响应文件提交至电子交易平台。</w:t>
      </w:r>
    </w:p>
    <w:p w14:paraId="792C433F">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05" w:name="_Toc151193851"/>
      <w:bookmarkStart w:id="406" w:name="_Toc305158805"/>
      <w:bookmarkStart w:id="407" w:name="_Toc520356162"/>
      <w:bookmarkStart w:id="408" w:name="_Toc226965810"/>
      <w:bookmarkStart w:id="409" w:name="_Toc265228375"/>
      <w:bookmarkStart w:id="410" w:name="_Toc164229378"/>
      <w:bookmarkStart w:id="411" w:name="_Toc151190164"/>
      <w:bookmarkStart w:id="412" w:name="_Toc127151738"/>
      <w:bookmarkStart w:id="413" w:name="_Toc142311039"/>
      <w:bookmarkStart w:id="414" w:name="_Toc164608651"/>
      <w:bookmarkStart w:id="415" w:name="_Toc150509288"/>
      <w:bookmarkStart w:id="416" w:name="_Toc127161451"/>
      <w:bookmarkStart w:id="417" w:name="_Toc127151537"/>
      <w:bookmarkStart w:id="418" w:name="_Toc226965727"/>
      <w:bookmarkStart w:id="419" w:name="_Toc226309781"/>
      <w:bookmarkStart w:id="420" w:name="_Toc164229232"/>
      <w:bookmarkStart w:id="421" w:name="_Toc226337233"/>
      <w:bookmarkStart w:id="422" w:name="_Toc151193707"/>
      <w:bookmarkStart w:id="423" w:name="_Toc150480775"/>
      <w:bookmarkStart w:id="424" w:name="_Toc164608806"/>
      <w:bookmarkStart w:id="425" w:name="_Toc305158879"/>
      <w:bookmarkStart w:id="426" w:name="_Toc150774637"/>
      <w:bookmarkStart w:id="427" w:name="_Toc195842902"/>
      <w:bookmarkStart w:id="428" w:name="_Toc151193779"/>
      <w:bookmarkStart w:id="429" w:name="_Toc151193635"/>
      <w:bookmarkStart w:id="430" w:name="_Toc264969227"/>
      <w:bookmarkStart w:id="431" w:name="_Toc150774742"/>
      <w:bookmarkStart w:id="432" w:name="_Toc151193925"/>
      <w:bookmarkStart w:id="433" w:name="_Toc149720830"/>
      <w:bookmarkStart w:id="434" w:name="_Toc164351631"/>
      <w:r>
        <w:rPr>
          <w:rFonts w:ascii="宋体" w:hAnsi="宋体"/>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21CD0E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响应文件提交截止时间前，供应商可以通过电子交易平台对所提交的响应文件进行补充、修改或者撤回。</w:t>
      </w:r>
      <w:r>
        <w:rPr>
          <w:rFonts w:ascii="宋体" w:hAnsi="宋体"/>
          <w:color w:val="000000"/>
          <w:sz w:val="24"/>
          <w:highlight w:val="none"/>
        </w:rPr>
        <w:t>磋商保证金的补充、修改或者撤回</w:t>
      </w:r>
      <w:r>
        <w:rPr>
          <w:rFonts w:ascii="宋体" w:hAnsi="宋体"/>
          <w:sz w:val="24"/>
          <w:highlight w:val="none"/>
        </w:rPr>
        <w:t>无需通过电子交易平台，但应就其补充、修改或者撤回通知采购人或采购代理机构</w:t>
      </w:r>
      <w:r>
        <w:rPr>
          <w:rFonts w:ascii="宋体" w:hAnsi="宋体"/>
          <w:color w:val="000000"/>
          <w:sz w:val="24"/>
          <w:highlight w:val="none"/>
        </w:rPr>
        <w:t>。</w:t>
      </w:r>
    </w:p>
    <w:p w14:paraId="16881CD8">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供应商对响应文件的补充、修改的内容应当按照竞争性磋商文件要求签署、盖章，作为响应文件的组成部分。</w:t>
      </w:r>
      <w:r>
        <w:rPr>
          <w:rFonts w:ascii="宋体" w:hAnsi="宋体"/>
          <w:kern w:val="0"/>
          <w:sz w:val="24"/>
          <w:highlight w:val="none"/>
        </w:rPr>
        <w:t>补充、修改的内容与响应文件不一致的，以补充、修改的内容为准。</w:t>
      </w:r>
    </w:p>
    <w:p w14:paraId="7EC750E6">
      <w:pPr>
        <w:tabs>
          <w:tab w:val="left" w:pos="900"/>
          <w:tab w:val="left" w:pos="1080"/>
          <w:tab w:val="left" w:pos="1589"/>
        </w:tabs>
        <w:snapToGrid w:val="0"/>
        <w:spacing w:line="360" w:lineRule="auto"/>
        <w:ind w:left="357"/>
        <w:rPr>
          <w:rFonts w:hint="eastAsia" w:ascii="宋体" w:hAnsi="宋体"/>
          <w:sz w:val="24"/>
          <w:highlight w:val="none"/>
        </w:rPr>
      </w:pPr>
    </w:p>
    <w:p w14:paraId="3F777DDE">
      <w:pPr>
        <w:pStyle w:val="3"/>
        <w:spacing w:before="0" w:line="360" w:lineRule="auto"/>
        <w:rPr>
          <w:rFonts w:hint="eastAsia" w:ascii="宋体" w:hAnsi="宋体" w:eastAsia="宋体"/>
          <w:sz w:val="28"/>
          <w:highlight w:val="none"/>
        </w:rPr>
      </w:pPr>
      <w:bookmarkStart w:id="435" w:name="_Toc150774743"/>
      <w:bookmarkStart w:id="436" w:name="_Toc151193852"/>
      <w:bookmarkStart w:id="437" w:name="_Toc226309782"/>
      <w:bookmarkStart w:id="438" w:name="_Toc151193926"/>
      <w:bookmarkStart w:id="439" w:name="_Toc226337234"/>
      <w:bookmarkStart w:id="440" w:name="_Toc127151538"/>
      <w:bookmarkStart w:id="441" w:name="_Toc151193708"/>
      <w:bookmarkStart w:id="442" w:name="_Toc150480776"/>
      <w:bookmarkStart w:id="443" w:name="_Toc264969228"/>
      <w:bookmarkStart w:id="444" w:name="_Toc150509289"/>
      <w:bookmarkStart w:id="445" w:name="_Toc305158880"/>
      <w:bookmarkStart w:id="446" w:name="_Toc226965811"/>
      <w:bookmarkStart w:id="447" w:name="_Toc195842903"/>
      <w:bookmarkStart w:id="448" w:name="_Toc226965728"/>
      <w:bookmarkStart w:id="449" w:name="_Toc151190165"/>
      <w:bookmarkStart w:id="450" w:name="_Toc150774638"/>
      <w:bookmarkStart w:id="451" w:name="_Toc142311040"/>
      <w:bookmarkStart w:id="452" w:name="_Toc520356163"/>
      <w:bookmarkStart w:id="453" w:name="_Toc151193636"/>
      <w:bookmarkStart w:id="454" w:name="_Toc265228376"/>
      <w:bookmarkStart w:id="455" w:name="_Toc305158806"/>
      <w:bookmarkStart w:id="456" w:name="_Toc151193780"/>
      <w:r>
        <w:rPr>
          <w:rFonts w:ascii="宋体" w:hAnsi="宋体" w:eastAsia="宋体"/>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宋体" w:hAnsi="宋体" w:eastAsia="宋体"/>
          <w:sz w:val="28"/>
          <w:highlight w:val="none"/>
        </w:rPr>
        <w:t>评审</w:t>
      </w:r>
    </w:p>
    <w:p w14:paraId="6624804B">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响应文件的解密与开启</w:t>
      </w:r>
    </w:p>
    <w:p w14:paraId="215AA48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采购人或采购代理机构将按竞争性磋商文件的规定，在响应文件提交截止时间的同一时间和竞争性磋商文件预先确定的地点开启响应文件。</w:t>
      </w:r>
    </w:p>
    <w:p w14:paraId="2D65818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本项目解密使用北京市政府采购电子交易平台。供应商应在《供应商须知资料表》规定的时间内对响应文件进行解密，因非系统原因导致的解密失败，视为</w:t>
      </w:r>
      <w:r>
        <w:rPr>
          <w:rFonts w:ascii="宋体" w:hAnsi="宋体"/>
          <w:b/>
          <w:sz w:val="24"/>
          <w:highlight w:val="none"/>
        </w:rPr>
        <w:t>无效响应</w:t>
      </w:r>
      <w:r>
        <w:rPr>
          <w:rFonts w:ascii="宋体" w:hAnsi="宋体"/>
          <w:sz w:val="24"/>
          <w:highlight w:val="none"/>
        </w:rPr>
        <w:t>。</w:t>
      </w:r>
    </w:p>
    <w:p w14:paraId="2A26759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079735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供应商不足3家的，不予解密。</w:t>
      </w:r>
    </w:p>
    <w:p w14:paraId="6E4A18B5">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457" w:name="_Toc520356165"/>
      <w:r>
        <w:rPr>
          <w:rFonts w:ascii="宋体" w:hAnsi="宋体"/>
          <w:sz w:val="24"/>
          <w:highlight w:val="none"/>
        </w:rPr>
        <w:t>本项目不公开报价。</w:t>
      </w:r>
    </w:p>
    <w:bookmarkEnd w:id="457"/>
    <w:p w14:paraId="2BA2C4A0">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磋商小组</w:t>
      </w:r>
    </w:p>
    <w:p w14:paraId="1E5E051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磋商小组根据政府采购有关规定和本次采购项目的特点进行组建，并负责具体评审</w:t>
      </w:r>
      <w:r>
        <w:rPr>
          <w:rFonts w:hint="eastAsia" w:ascii="宋体" w:hAnsi="宋体"/>
          <w:sz w:val="24"/>
          <w:highlight w:val="none"/>
        </w:rPr>
        <w:t>与磋商</w:t>
      </w:r>
      <w:r>
        <w:rPr>
          <w:rFonts w:ascii="宋体" w:hAnsi="宋体"/>
          <w:sz w:val="24"/>
          <w:highlight w:val="none"/>
        </w:rPr>
        <w:t>事务，独立履行职责。</w:t>
      </w:r>
      <w:bookmarkStart w:id="458" w:name="_Toc520356166"/>
    </w:p>
    <w:p w14:paraId="17F7255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7F5F70F5">
      <w:pPr>
        <w:numPr>
          <w:ilvl w:val="0"/>
          <w:numId w:val="9"/>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评审方法和评审标准</w:t>
      </w:r>
    </w:p>
    <w:p w14:paraId="0B7D73B9">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见第三章《评审方法和评审标准》。</w:t>
      </w:r>
    </w:p>
    <w:p w14:paraId="66CD387A">
      <w:pPr>
        <w:tabs>
          <w:tab w:val="left" w:pos="360"/>
          <w:tab w:val="left" w:pos="1080"/>
        </w:tabs>
        <w:snapToGrid w:val="0"/>
        <w:spacing w:line="360" w:lineRule="auto"/>
        <w:ind w:left="1080"/>
        <w:rPr>
          <w:rFonts w:hint="eastAsia" w:ascii="宋体" w:hAnsi="宋体"/>
          <w:sz w:val="24"/>
          <w:highlight w:val="none"/>
        </w:rPr>
      </w:pPr>
    </w:p>
    <w:p w14:paraId="69FC89F8">
      <w:pPr>
        <w:pStyle w:val="3"/>
        <w:spacing w:before="0" w:line="360" w:lineRule="auto"/>
        <w:rPr>
          <w:rFonts w:hint="eastAsia" w:ascii="宋体" w:hAnsi="宋体" w:eastAsia="宋体"/>
          <w:sz w:val="28"/>
          <w:highlight w:val="none"/>
        </w:rPr>
      </w:pPr>
      <w:bookmarkStart w:id="460" w:name="_Toc151190172"/>
      <w:bookmarkStart w:id="461" w:name="_Toc127151545"/>
      <w:bookmarkStart w:id="462" w:name="_Toc151193715"/>
      <w:bookmarkStart w:id="463" w:name="_Toc142311047"/>
      <w:bookmarkStart w:id="464" w:name="_Toc150480783"/>
      <w:bookmarkStart w:id="465" w:name="_Toc226965735"/>
      <w:bookmarkStart w:id="466" w:name="_Toc151193643"/>
      <w:bookmarkStart w:id="467" w:name="_Toc305158887"/>
      <w:bookmarkStart w:id="468" w:name="_Toc264969235"/>
      <w:bookmarkStart w:id="469" w:name="_Toc195842910"/>
      <w:bookmarkStart w:id="470" w:name="_Toc226337241"/>
      <w:bookmarkStart w:id="471" w:name="_Toc151193859"/>
      <w:bookmarkStart w:id="472" w:name="_Toc265228383"/>
      <w:bookmarkStart w:id="473" w:name="_Toc150774750"/>
      <w:bookmarkStart w:id="474" w:name="_Toc151193787"/>
      <w:bookmarkStart w:id="475" w:name="_Toc305158813"/>
      <w:bookmarkStart w:id="476" w:name="_Toc150774645"/>
      <w:bookmarkStart w:id="477" w:name="_Toc226965818"/>
      <w:bookmarkStart w:id="478" w:name="_Toc150509296"/>
      <w:bookmarkStart w:id="479" w:name="_Toc151193933"/>
      <w:bookmarkStart w:id="480" w:name="_Toc226309789"/>
      <w:r>
        <w:rPr>
          <w:rFonts w:ascii="宋体" w:hAnsi="宋体" w:eastAsia="宋体"/>
          <w:sz w:val="28"/>
          <w:highlight w:val="none"/>
        </w:rPr>
        <w:t xml:space="preserve">六   </w:t>
      </w:r>
      <w:bookmarkEnd w:id="459"/>
      <w:r>
        <w:rPr>
          <w:rFonts w:ascii="宋体" w:hAnsi="宋体" w:eastAsia="宋体"/>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宋体" w:hAnsi="宋体" w:eastAsia="宋体"/>
          <w:sz w:val="28"/>
          <w:highlight w:val="none"/>
        </w:rPr>
        <w:t>成交</w:t>
      </w:r>
    </w:p>
    <w:p w14:paraId="1845CD48">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81" w:name="_Toc127151547"/>
      <w:bookmarkStart w:id="482" w:name="_Toc264969237"/>
      <w:bookmarkStart w:id="483" w:name="_Toc226337243"/>
      <w:bookmarkStart w:id="484" w:name="_Toc164351641"/>
      <w:bookmarkStart w:id="485" w:name="_Toc305158889"/>
      <w:bookmarkStart w:id="486" w:name="_Toc164229388"/>
      <w:bookmarkStart w:id="487" w:name="_Toc151190174"/>
      <w:bookmarkStart w:id="488" w:name="_Toc142311049"/>
      <w:bookmarkStart w:id="489" w:name="_Toc164608816"/>
      <w:bookmarkStart w:id="490" w:name="_Toc127151748"/>
      <w:bookmarkStart w:id="491" w:name="_Toc150774647"/>
      <w:bookmarkStart w:id="492" w:name="_Toc164229242"/>
      <w:bookmarkStart w:id="493" w:name="_Toc151193789"/>
      <w:bookmarkStart w:id="494" w:name="_Toc151193935"/>
      <w:bookmarkStart w:id="495" w:name="_Toc226309791"/>
      <w:bookmarkStart w:id="496" w:name="_Toc150509298"/>
      <w:bookmarkStart w:id="497" w:name="_Toc164608661"/>
      <w:bookmarkStart w:id="498" w:name="_Toc127161461"/>
      <w:bookmarkStart w:id="499" w:name="_Toc151193645"/>
      <w:bookmarkStart w:id="500" w:name="_Toc150774752"/>
      <w:bookmarkStart w:id="501" w:name="_Toc150480785"/>
      <w:bookmarkStart w:id="502" w:name="_Toc149720840"/>
      <w:bookmarkStart w:id="503" w:name="_Toc226965820"/>
      <w:bookmarkStart w:id="504" w:name="_Toc195842912"/>
      <w:bookmarkStart w:id="505" w:name="_Toc151193861"/>
      <w:bookmarkStart w:id="506" w:name="_Toc151193717"/>
      <w:bookmarkStart w:id="507" w:name="_Toc265228385"/>
      <w:bookmarkStart w:id="508" w:name="_Toc305158815"/>
      <w:bookmarkStart w:id="509" w:name="_Toc226965737"/>
      <w:r>
        <w:rPr>
          <w:rFonts w:ascii="宋体" w:hAnsi="宋体"/>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8E102F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B3CC12E">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510" w:name="_Toc305158817"/>
      <w:bookmarkStart w:id="511" w:name="_Toc305158891"/>
      <w:bookmarkStart w:id="512" w:name="_Toc226309793"/>
      <w:bookmarkStart w:id="513" w:name="_Toc150774649"/>
      <w:bookmarkStart w:id="514" w:name="_Toc151193719"/>
      <w:bookmarkStart w:id="515" w:name="_Toc164229244"/>
      <w:bookmarkStart w:id="516" w:name="_Toc164608663"/>
      <w:bookmarkStart w:id="517" w:name="_Toc164608818"/>
      <w:bookmarkStart w:id="518" w:name="_Toc226337245"/>
      <w:bookmarkStart w:id="519" w:name="_Toc151193647"/>
      <w:bookmarkStart w:id="520" w:name="_Toc150480787"/>
      <w:bookmarkStart w:id="521" w:name="_Toc151193937"/>
      <w:bookmarkStart w:id="522" w:name="_Toc151193791"/>
      <w:bookmarkStart w:id="523" w:name="_Toc142311051"/>
      <w:bookmarkStart w:id="524" w:name="_Toc151190176"/>
      <w:bookmarkStart w:id="525" w:name="_Toc127151750"/>
      <w:bookmarkStart w:id="526" w:name="_Toc226965822"/>
      <w:bookmarkStart w:id="527" w:name="_Toc150774754"/>
      <w:bookmarkStart w:id="528" w:name="_Toc164351643"/>
      <w:bookmarkStart w:id="529" w:name="_Toc195842914"/>
      <w:bookmarkStart w:id="530" w:name="_Toc265228387"/>
      <w:bookmarkStart w:id="531" w:name="_Toc264969239"/>
      <w:bookmarkStart w:id="532" w:name="_Toc164229390"/>
      <w:bookmarkStart w:id="533" w:name="_Toc151193863"/>
      <w:bookmarkStart w:id="534" w:name="_Toc127161463"/>
      <w:bookmarkStart w:id="535" w:name="_Toc226965739"/>
      <w:bookmarkStart w:id="536" w:name="_Toc149720842"/>
      <w:bookmarkStart w:id="537" w:name="_Toc150509300"/>
      <w:bookmarkStart w:id="538" w:name="_Toc127151549"/>
      <w:bookmarkStart w:id="539" w:name="_Ref467306425"/>
      <w:bookmarkStart w:id="540" w:name="_Toc520356176"/>
      <w:bookmarkStart w:id="541" w:name="_Ref467307090"/>
      <w:r>
        <w:rPr>
          <w:rFonts w:ascii="宋体" w:hAnsi="宋体"/>
          <w:sz w:val="24"/>
          <w:highlight w:val="none"/>
        </w:rPr>
        <w:t>成交公告与成交通知书</w:t>
      </w:r>
      <w:bookmarkEnd w:id="510"/>
      <w:bookmarkEnd w:id="511"/>
    </w:p>
    <w:p w14:paraId="64CC0C0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采购人或采购代理机构将</w:t>
      </w:r>
      <w:r>
        <w:rPr>
          <w:rFonts w:ascii="宋体" w:hAnsi="宋体"/>
          <w:kern w:val="0"/>
          <w:sz w:val="24"/>
          <w:highlight w:val="none"/>
        </w:rPr>
        <w:t>在成交供应商确定后2个工作日内，在</w:t>
      </w:r>
      <w:r>
        <w:rPr>
          <w:rFonts w:ascii="宋体" w:hAnsi="宋体"/>
          <w:sz w:val="24"/>
          <w:highlight w:val="none"/>
        </w:rPr>
        <w:t>北京市政府采购网</w:t>
      </w:r>
      <w:r>
        <w:rPr>
          <w:rFonts w:ascii="宋体" w:hAnsi="宋体"/>
          <w:kern w:val="0"/>
          <w:sz w:val="24"/>
          <w:highlight w:val="none"/>
        </w:rPr>
        <w:t>公告成交结果，同时向成交供应商发出成交通知书，</w:t>
      </w:r>
      <w:r>
        <w:rPr>
          <w:rFonts w:ascii="宋体" w:hAnsi="宋体"/>
          <w:sz w:val="24"/>
          <w:highlight w:val="none"/>
        </w:rPr>
        <w:t>成交公告期限为1个工作日。</w:t>
      </w:r>
    </w:p>
    <w:p w14:paraId="02F64E60">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成交通知书对采购人和成交供应商均具有法律效力。成交通知书发出后，采购人改变成交结果的，或者成交供应商放弃成交项目的，应当依法承担法律责任。</w:t>
      </w:r>
    </w:p>
    <w:p w14:paraId="3E296695">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终止</w:t>
      </w:r>
    </w:p>
    <w:p w14:paraId="5551345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出现下列情形之一的，采购人或采购代理机构将终止竞争性磋商采购活动，发布项目终止公告并说明原因，重新开展采购活动：</w:t>
      </w:r>
    </w:p>
    <w:p w14:paraId="27514EF6">
      <w:pPr>
        <w:numPr>
          <w:ilvl w:val="2"/>
          <w:numId w:val="9"/>
        </w:numPr>
        <w:snapToGrid w:val="0"/>
        <w:spacing w:line="360" w:lineRule="auto"/>
        <w:rPr>
          <w:rFonts w:hint="eastAsia" w:ascii="宋体" w:hAnsi="宋体"/>
          <w:sz w:val="24"/>
          <w:highlight w:val="none"/>
        </w:rPr>
      </w:pPr>
      <w:r>
        <w:rPr>
          <w:rFonts w:ascii="宋体" w:hAnsi="宋体"/>
          <w:sz w:val="24"/>
          <w:highlight w:val="none"/>
        </w:rPr>
        <w:t>因情况变化，不再符合规定的竞争性磋商采购方式适用情形的；</w:t>
      </w:r>
    </w:p>
    <w:p w14:paraId="754F020A">
      <w:pPr>
        <w:numPr>
          <w:ilvl w:val="2"/>
          <w:numId w:val="9"/>
        </w:numPr>
        <w:snapToGrid w:val="0"/>
        <w:spacing w:line="360" w:lineRule="auto"/>
        <w:rPr>
          <w:rFonts w:hint="eastAsia" w:ascii="宋体" w:hAnsi="宋体"/>
          <w:sz w:val="24"/>
          <w:highlight w:val="none"/>
        </w:rPr>
      </w:pPr>
      <w:r>
        <w:rPr>
          <w:rFonts w:ascii="宋体" w:hAnsi="宋体"/>
          <w:sz w:val="24"/>
          <w:highlight w:val="none"/>
        </w:rPr>
        <w:t>出现影响采购公正的违法、违规行为的；</w:t>
      </w:r>
    </w:p>
    <w:p w14:paraId="730E2F31">
      <w:pPr>
        <w:numPr>
          <w:ilvl w:val="2"/>
          <w:numId w:val="9"/>
        </w:numPr>
        <w:snapToGrid w:val="0"/>
        <w:spacing w:line="360" w:lineRule="auto"/>
        <w:rPr>
          <w:rFonts w:hint="eastAsia" w:ascii="宋体" w:hAnsi="宋体"/>
          <w:sz w:val="24"/>
          <w:highlight w:val="none"/>
        </w:rPr>
      </w:pPr>
      <w:r>
        <w:rPr>
          <w:rFonts w:ascii="宋体" w:hAnsi="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02356ADB">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542" w:name="_Toc226965740"/>
      <w:bookmarkStart w:id="543" w:name="_Toc226965823"/>
      <w:bookmarkStart w:id="544" w:name="_Toc305158892"/>
      <w:bookmarkStart w:id="545" w:name="_Toc226337246"/>
      <w:bookmarkStart w:id="546" w:name="_Toc151193792"/>
      <w:bookmarkStart w:id="547" w:name="_Toc226309794"/>
      <w:bookmarkStart w:id="548" w:name="_Toc149720843"/>
      <w:bookmarkStart w:id="549" w:name="_Toc142311052"/>
      <w:bookmarkStart w:id="550" w:name="_Toc150774650"/>
      <w:bookmarkStart w:id="551" w:name="_Toc127161464"/>
      <w:bookmarkStart w:id="552" w:name="_Toc305158818"/>
      <w:bookmarkStart w:id="553" w:name="_Toc151193720"/>
      <w:bookmarkStart w:id="554" w:name="_Toc265228388"/>
      <w:bookmarkStart w:id="555" w:name="_Toc164351644"/>
      <w:bookmarkStart w:id="556" w:name="_Toc150480788"/>
      <w:bookmarkStart w:id="557" w:name="_Ref467307062"/>
      <w:bookmarkStart w:id="558" w:name="_Toc151193648"/>
      <w:bookmarkStart w:id="559" w:name="_Ref467306377"/>
      <w:bookmarkStart w:id="560" w:name="_Toc151190177"/>
      <w:bookmarkStart w:id="561" w:name="_Toc150509301"/>
      <w:bookmarkStart w:id="562" w:name="_Toc520356175"/>
      <w:bookmarkStart w:id="563" w:name="_Toc127151550"/>
      <w:bookmarkStart w:id="564" w:name="_Toc164229245"/>
      <w:bookmarkStart w:id="565" w:name="_Toc151193938"/>
      <w:bookmarkStart w:id="566" w:name="_Ref467307204"/>
      <w:bookmarkStart w:id="567" w:name="_Toc151193864"/>
      <w:bookmarkStart w:id="568" w:name="_Toc195842915"/>
      <w:bookmarkStart w:id="569" w:name="_Toc127151751"/>
      <w:bookmarkStart w:id="570" w:name="_Toc164229391"/>
      <w:bookmarkStart w:id="571" w:name="_Toc164608664"/>
      <w:bookmarkStart w:id="572" w:name="_Toc264969240"/>
      <w:bookmarkStart w:id="573" w:name="_Ref467306978"/>
      <w:bookmarkStart w:id="574" w:name="_Toc164608819"/>
      <w:bookmarkStart w:id="575" w:name="_Toc150774755"/>
      <w:r>
        <w:rPr>
          <w:rFonts w:ascii="宋体" w:hAnsi="宋体"/>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651175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7FFA59B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251FB1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联合体成交的，联合体各方应当共同与采购人签订合同，就采购合同约定的事项向采购人承担连带责任。</w:t>
      </w:r>
    </w:p>
    <w:p w14:paraId="5E1B2B6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政府采购合同不能转包。</w:t>
      </w:r>
    </w:p>
    <w:p w14:paraId="535DCEA9">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b/>
          <w:sz w:val="24"/>
          <w:highlight w:val="none"/>
        </w:rPr>
        <w:t>否则响应无效</w:t>
      </w:r>
      <w:r>
        <w:rPr>
          <w:rFonts w:ascii="宋体" w:hAnsi="宋体"/>
          <w:sz w:val="24"/>
          <w:highlight w:val="none"/>
        </w:rPr>
        <w:t>。成交供应商就采购项目和分包项目向采购人负责，分包供应商就分包项目承担责任。</w:t>
      </w:r>
    </w:p>
    <w:p w14:paraId="50CE0FF8">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hint="eastAsia" w:ascii="宋体" w:hAnsi="宋体"/>
          <w:sz w:val="24"/>
          <w:highlight w:val="none"/>
        </w:rPr>
        <w:t>“政采贷”融资指引：详见</w:t>
      </w:r>
      <w:r>
        <w:rPr>
          <w:rFonts w:ascii="宋体" w:hAnsi="宋体"/>
          <w:sz w:val="24"/>
          <w:highlight w:val="none"/>
        </w:rPr>
        <w:t>《</w:t>
      </w:r>
      <w:r>
        <w:rPr>
          <w:rFonts w:hint="eastAsia" w:ascii="宋体" w:hAnsi="宋体"/>
          <w:sz w:val="24"/>
          <w:highlight w:val="none"/>
        </w:rPr>
        <w:t>供应商</w:t>
      </w:r>
      <w:r>
        <w:rPr>
          <w:rFonts w:ascii="宋体" w:hAnsi="宋体"/>
          <w:sz w:val="24"/>
          <w:highlight w:val="none"/>
        </w:rPr>
        <w:t>须知资料表》</w:t>
      </w:r>
      <w:r>
        <w:rPr>
          <w:rFonts w:hint="eastAsia" w:ascii="宋体" w:hAnsi="宋体"/>
          <w:sz w:val="24"/>
          <w:highlight w:val="none"/>
        </w:rPr>
        <w:t>。</w:t>
      </w:r>
    </w:p>
    <w:bookmarkEnd w:id="539"/>
    <w:bookmarkEnd w:id="540"/>
    <w:bookmarkEnd w:id="541"/>
    <w:p w14:paraId="0C47907D">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询问与质疑</w:t>
      </w:r>
    </w:p>
    <w:p w14:paraId="307EB466">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询问</w:t>
      </w:r>
    </w:p>
    <w:p w14:paraId="07DB6E3F">
      <w:pPr>
        <w:numPr>
          <w:ilvl w:val="2"/>
          <w:numId w:val="9"/>
        </w:numPr>
        <w:snapToGrid w:val="0"/>
        <w:spacing w:line="360" w:lineRule="auto"/>
        <w:rPr>
          <w:rFonts w:hint="eastAsia" w:ascii="宋体" w:hAnsi="宋体"/>
          <w:sz w:val="24"/>
          <w:highlight w:val="none"/>
        </w:rPr>
      </w:pPr>
      <w:bookmarkStart w:id="576" w:name="_Hlk179293422"/>
      <w:r>
        <w:rPr>
          <w:rFonts w:ascii="宋体" w:hAnsi="宋体"/>
          <w:sz w:val="24"/>
          <w:highlight w:val="none"/>
        </w:rPr>
        <w:t>供应商对政府采购活动事项有疑问的，可依法</w:t>
      </w:r>
      <w:r>
        <w:rPr>
          <w:rFonts w:hint="eastAsia" w:ascii="宋体" w:hAnsi="宋体"/>
          <w:sz w:val="24"/>
          <w:highlight w:val="none"/>
        </w:rPr>
        <w:t>向采购人或采购代理机构</w:t>
      </w:r>
      <w:r>
        <w:rPr>
          <w:rFonts w:ascii="宋体" w:hAnsi="宋体"/>
          <w:sz w:val="24"/>
          <w:highlight w:val="none"/>
        </w:rPr>
        <w:t>提出询问，</w:t>
      </w:r>
      <w:r>
        <w:rPr>
          <w:rFonts w:hint="eastAsia" w:ascii="宋体" w:hAnsi="宋体"/>
          <w:sz w:val="24"/>
          <w:highlight w:val="none"/>
        </w:rPr>
        <w:t>提出形式见</w:t>
      </w:r>
      <w:r>
        <w:rPr>
          <w:rFonts w:ascii="宋体" w:hAnsi="宋体"/>
          <w:sz w:val="24"/>
          <w:highlight w:val="none"/>
        </w:rPr>
        <w:t>《</w:t>
      </w:r>
      <w:r>
        <w:rPr>
          <w:rFonts w:hint="eastAsia" w:ascii="宋体" w:hAnsi="宋体"/>
          <w:sz w:val="24"/>
          <w:highlight w:val="none"/>
        </w:rPr>
        <w:t>供应商</w:t>
      </w:r>
      <w:r>
        <w:rPr>
          <w:rFonts w:ascii="宋体" w:hAnsi="宋体"/>
          <w:sz w:val="24"/>
          <w:highlight w:val="none"/>
        </w:rPr>
        <w:t>须知资料表》。</w:t>
      </w:r>
      <w:bookmarkEnd w:id="576"/>
    </w:p>
    <w:p w14:paraId="08211B6A">
      <w:pPr>
        <w:numPr>
          <w:ilvl w:val="2"/>
          <w:numId w:val="9"/>
        </w:numPr>
        <w:snapToGrid w:val="0"/>
        <w:spacing w:line="360" w:lineRule="auto"/>
        <w:rPr>
          <w:rFonts w:hint="eastAsia" w:ascii="宋体" w:hAnsi="宋体"/>
          <w:sz w:val="24"/>
          <w:highlight w:val="none"/>
        </w:rPr>
      </w:pPr>
      <w:r>
        <w:rPr>
          <w:rFonts w:ascii="宋体" w:hAnsi="宋体"/>
          <w:sz w:val="24"/>
          <w:highlight w:val="none"/>
        </w:rPr>
        <w:t>采购人或采购代理机构对供应商依法提出的询问，在3个工作日内作出答复，但答复的内容不得涉及商业秘密。</w:t>
      </w:r>
    </w:p>
    <w:p w14:paraId="792571A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质疑</w:t>
      </w:r>
    </w:p>
    <w:p w14:paraId="2C85B35D">
      <w:pPr>
        <w:numPr>
          <w:ilvl w:val="2"/>
          <w:numId w:val="9"/>
        </w:numPr>
        <w:snapToGrid w:val="0"/>
        <w:spacing w:line="360" w:lineRule="auto"/>
        <w:rPr>
          <w:rFonts w:hint="eastAsia" w:ascii="宋体" w:hAnsi="宋体"/>
          <w:sz w:val="24"/>
          <w:highlight w:val="none"/>
        </w:rPr>
      </w:pPr>
      <w:r>
        <w:rPr>
          <w:rFonts w:ascii="宋体" w:hAnsi="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03ECA55">
      <w:pPr>
        <w:numPr>
          <w:ilvl w:val="2"/>
          <w:numId w:val="9"/>
        </w:numPr>
        <w:snapToGrid w:val="0"/>
        <w:spacing w:line="360" w:lineRule="auto"/>
        <w:rPr>
          <w:rFonts w:hint="eastAsia" w:ascii="宋体" w:hAnsi="宋体"/>
          <w:sz w:val="24"/>
          <w:highlight w:val="none"/>
        </w:rPr>
      </w:pPr>
      <w:r>
        <w:rPr>
          <w:rFonts w:ascii="宋体" w:hAnsi="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23E4E6AA">
      <w:pPr>
        <w:numPr>
          <w:ilvl w:val="2"/>
          <w:numId w:val="9"/>
        </w:numPr>
        <w:snapToGrid w:val="0"/>
        <w:spacing w:line="360" w:lineRule="auto"/>
        <w:rPr>
          <w:rFonts w:hint="eastAsia" w:ascii="宋体" w:hAnsi="宋体"/>
          <w:sz w:val="24"/>
          <w:highlight w:val="none"/>
        </w:rPr>
      </w:pPr>
      <w:r>
        <w:rPr>
          <w:rFonts w:ascii="宋体" w:hAnsi="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F71BBAF">
      <w:pPr>
        <w:numPr>
          <w:ilvl w:val="2"/>
          <w:numId w:val="9"/>
        </w:numPr>
        <w:snapToGrid w:val="0"/>
        <w:spacing w:line="360" w:lineRule="auto"/>
        <w:rPr>
          <w:rFonts w:hint="eastAsia" w:ascii="宋体" w:hAnsi="宋体"/>
          <w:sz w:val="24"/>
          <w:highlight w:val="none"/>
        </w:rPr>
      </w:pPr>
      <w:r>
        <w:rPr>
          <w:rFonts w:ascii="宋体" w:hAnsi="宋体"/>
          <w:sz w:val="24"/>
          <w:highlight w:val="none"/>
        </w:rPr>
        <w:t>供应商应在法定质疑期内一次性提出针对同一采购程序环节的质疑，法定质疑期内针对同一采购程序环节再次提出的质疑，采购人、采购代理机构有权不予答复。</w:t>
      </w:r>
    </w:p>
    <w:p w14:paraId="6939FDB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接收询问和质疑的联系部门、联系电话和通讯地址见《供应商须知资料表》。</w:t>
      </w:r>
    </w:p>
    <w:p w14:paraId="70C65653">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代理费</w:t>
      </w:r>
    </w:p>
    <w:p w14:paraId="03EAA4F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收费对象、收费标准及缴纳时间见《供应商须知资料表》。由成交供应商支付的，成交供应商须一次性向采购代理机构缴纳代理费，报价应包含代理费用。</w:t>
      </w:r>
    </w:p>
    <w:p w14:paraId="5BC85B0B">
      <w:pPr>
        <w:tabs>
          <w:tab w:val="left" w:pos="360"/>
          <w:tab w:val="left" w:pos="1080"/>
        </w:tabs>
        <w:snapToGrid w:val="0"/>
        <w:spacing w:line="360" w:lineRule="auto"/>
        <w:ind w:left="360"/>
        <w:rPr>
          <w:rFonts w:hint="eastAsia" w:ascii="宋体" w:hAnsi="宋体"/>
          <w:sz w:val="24"/>
          <w:highlight w:val="none"/>
        </w:rPr>
      </w:pPr>
    </w:p>
    <w:p w14:paraId="3059ACBC">
      <w:pPr>
        <w:spacing w:line="360" w:lineRule="auto"/>
        <w:jc w:val="center"/>
        <w:outlineLvl w:val="0"/>
        <w:rPr>
          <w:rFonts w:hint="eastAsia" w:ascii="宋体" w:hAnsi="宋体"/>
          <w:b/>
          <w:sz w:val="36"/>
          <w:szCs w:val="36"/>
          <w:highlight w:val="none"/>
        </w:rPr>
      </w:pPr>
      <w:bookmarkStart w:id="577" w:name="_Toc353873934"/>
      <w:bookmarkStart w:id="578" w:name="_Toc265228392"/>
      <w:bookmarkStart w:id="579" w:name="_Toc305158896"/>
      <w:bookmarkStart w:id="580" w:name="_Toc264969244"/>
      <w:bookmarkStart w:id="581" w:name="_Toc305158822"/>
      <w:bookmarkStart w:id="582" w:name="_Toc127151554"/>
      <w:bookmarkStart w:id="583" w:name="_Toc142311056"/>
      <w:bookmarkStart w:id="584" w:name="_Toc226337250"/>
      <w:bookmarkStart w:id="585" w:name="_Toc353825544"/>
      <w:bookmarkStart w:id="586" w:name="_Toc150480792"/>
      <w:bookmarkStart w:id="587" w:name="_Toc353873664"/>
      <w:bookmarkStart w:id="588" w:name="_Toc150774759"/>
      <w:bookmarkStart w:id="589" w:name="_Toc226965827"/>
      <w:r>
        <w:rPr>
          <w:rFonts w:ascii="宋体" w:hAnsi="宋体"/>
          <w:sz w:val="24"/>
          <w:highlight w:val="none"/>
        </w:rPr>
        <w:br w:type="page"/>
      </w:r>
      <w:bookmarkStart w:id="590" w:name="_Toc959"/>
      <w:r>
        <w:rPr>
          <w:rFonts w:ascii="宋体" w:hAnsi="宋体"/>
          <w:b/>
          <w:sz w:val="36"/>
          <w:szCs w:val="36"/>
          <w:highlight w:val="none"/>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ascii="宋体" w:hAnsi="宋体"/>
          <w:b/>
          <w:sz w:val="36"/>
          <w:szCs w:val="36"/>
          <w:highlight w:val="none"/>
        </w:rPr>
        <w:t>评审方法和评审标准</w:t>
      </w:r>
      <w:bookmarkEnd w:id="590"/>
      <w:bookmarkStart w:id="591" w:name="_Toc487900382"/>
    </w:p>
    <w:p w14:paraId="7B4465CF">
      <w:pPr>
        <w:pStyle w:val="3"/>
        <w:spacing w:before="0" w:line="360" w:lineRule="auto"/>
        <w:rPr>
          <w:rFonts w:hint="eastAsia" w:ascii="宋体" w:hAnsi="宋体" w:eastAsia="宋体"/>
          <w:sz w:val="24"/>
          <w:szCs w:val="24"/>
          <w:highlight w:val="none"/>
        </w:rPr>
      </w:pPr>
      <w:r>
        <w:rPr>
          <w:rFonts w:ascii="宋体" w:hAnsi="宋体" w:eastAsia="宋体"/>
          <w:sz w:val="24"/>
          <w:szCs w:val="24"/>
          <w:highlight w:val="none"/>
        </w:rPr>
        <w:t>一、</w:t>
      </w:r>
      <w:r>
        <w:rPr>
          <w:rFonts w:hint="eastAsia" w:ascii="宋体" w:hAnsi="宋体" w:eastAsia="宋体"/>
          <w:sz w:val="24"/>
          <w:szCs w:val="24"/>
          <w:highlight w:val="none"/>
        </w:rPr>
        <w:t>评审程序和方法</w:t>
      </w:r>
    </w:p>
    <w:p w14:paraId="0A02BB47">
      <w:pPr>
        <w:tabs>
          <w:tab w:val="left" w:pos="1080"/>
        </w:tabs>
        <w:snapToGrid w:val="0"/>
        <w:jc w:val="left"/>
        <w:rPr>
          <w:rFonts w:hint="eastAsia" w:ascii="宋体" w:hAnsi="宋体"/>
          <w:b/>
          <w:sz w:val="24"/>
          <w:highlight w:val="none"/>
        </w:rPr>
      </w:pPr>
      <w:r>
        <w:rPr>
          <w:rFonts w:ascii="宋体" w:hAnsi="宋体"/>
          <w:b/>
          <w:sz w:val="24"/>
          <w:highlight w:val="none"/>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25D736B0">
      <w:pPr>
        <w:numPr>
          <w:ilvl w:val="0"/>
          <w:numId w:val="12"/>
        </w:numPr>
        <w:tabs>
          <w:tab w:val="left" w:pos="360"/>
        </w:tabs>
        <w:snapToGrid w:val="0"/>
        <w:spacing w:line="360" w:lineRule="auto"/>
        <w:outlineLvl w:val="1"/>
        <w:rPr>
          <w:rFonts w:hint="eastAsia" w:ascii="宋体" w:hAnsi="宋体"/>
          <w:sz w:val="24"/>
          <w:highlight w:val="none"/>
        </w:rPr>
      </w:pPr>
      <w:bookmarkStart w:id="592" w:name="_Toc150774641"/>
      <w:bookmarkStart w:id="593" w:name="_Toc226309785"/>
      <w:bookmarkStart w:id="594" w:name="_Toc142311043"/>
      <w:bookmarkStart w:id="595" w:name="_Toc151193783"/>
      <w:bookmarkStart w:id="596" w:name="_Toc164608810"/>
      <w:bookmarkStart w:id="597" w:name="_Toc150509292"/>
      <w:bookmarkStart w:id="598" w:name="_Toc305158809"/>
      <w:bookmarkStart w:id="599" w:name="_Toc127151742"/>
      <w:bookmarkStart w:id="600" w:name="_Toc164229382"/>
      <w:bookmarkStart w:id="601" w:name="_Toc151193711"/>
      <w:bookmarkStart w:id="602" w:name="_Toc226965814"/>
      <w:bookmarkStart w:id="603" w:name="_Toc149720834"/>
      <w:bookmarkStart w:id="604" w:name="_Toc265228379"/>
      <w:bookmarkStart w:id="605" w:name="_Toc164608655"/>
      <w:bookmarkStart w:id="606" w:name="_Toc150774746"/>
      <w:bookmarkStart w:id="607" w:name="_Toc305158883"/>
      <w:bookmarkStart w:id="608" w:name="_Toc151193929"/>
      <w:bookmarkStart w:id="609" w:name="_Toc226337237"/>
      <w:bookmarkStart w:id="610" w:name="_Toc151193855"/>
      <w:bookmarkStart w:id="611" w:name="_Toc127151541"/>
      <w:bookmarkStart w:id="612" w:name="_Toc151193639"/>
      <w:bookmarkStart w:id="613" w:name="_Toc164229236"/>
      <w:bookmarkStart w:id="614" w:name="_Toc127161455"/>
      <w:bookmarkStart w:id="615" w:name="_Toc150480779"/>
      <w:bookmarkStart w:id="616" w:name="_Toc264969231"/>
      <w:bookmarkStart w:id="617" w:name="_Toc151190168"/>
      <w:bookmarkStart w:id="618" w:name="_Toc195842906"/>
      <w:bookmarkStart w:id="619" w:name="_Toc226965731"/>
      <w:bookmarkStart w:id="620" w:name="_Toc164351635"/>
      <w:bookmarkStart w:id="621" w:name="_Toc353825551"/>
      <w:bookmarkStart w:id="622" w:name="_Toc353873941"/>
      <w:bookmarkStart w:id="623" w:name="_Toc264969245"/>
      <w:bookmarkStart w:id="624" w:name="_Toc150774760"/>
      <w:bookmarkStart w:id="625" w:name="_Toc353873935"/>
      <w:bookmarkStart w:id="626" w:name="_Toc195842920"/>
      <w:bookmarkStart w:id="627" w:name="_Toc305158897"/>
      <w:bookmarkStart w:id="628" w:name="_Toc305158823"/>
      <w:bookmarkStart w:id="629" w:name="_Toc353825545"/>
      <w:bookmarkStart w:id="630" w:name="_Toc226965828"/>
      <w:bookmarkStart w:id="631" w:name="_Toc353873665"/>
      <w:bookmarkStart w:id="632" w:name="_Toc265228393"/>
      <w:bookmarkStart w:id="633" w:name="_Toc142311057"/>
      <w:bookmarkStart w:id="634" w:name="_Toc127151555"/>
      <w:bookmarkStart w:id="635" w:name="_Toc226337251"/>
      <w:bookmarkStart w:id="636" w:name="_Toc150480793"/>
      <w:r>
        <w:rPr>
          <w:rFonts w:ascii="宋体" w:hAnsi="宋体"/>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ascii="宋体" w:hAnsi="宋体"/>
          <w:sz w:val="24"/>
          <w:highlight w:val="none"/>
        </w:rPr>
        <w:t>资格审查和符合性审查</w:t>
      </w:r>
    </w:p>
    <w:p w14:paraId="4C59B1A3">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highlight w:val="none"/>
        </w:rPr>
        <w:t>无效响应</w:t>
      </w:r>
      <w:r>
        <w:rPr>
          <w:rFonts w:hint="eastAsia" w:ascii="宋体" w:hAnsi="宋体"/>
          <w:sz w:val="24"/>
          <w:highlight w:val="none"/>
        </w:rPr>
        <w:t>处理</w:t>
      </w:r>
      <w:r>
        <w:rPr>
          <w:rFonts w:ascii="宋体" w:hAnsi="宋体"/>
          <w:sz w:val="24"/>
          <w:highlight w:val="none"/>
        </w:rPr>
        <w:t>，磋商小组应当告知提交响应文件的供应商。</w:t>
      </w:r>
    </w:p>
    <w:p w14:paraId="2800A0C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《资格审查要求》中对格式有要求的，除竞争性磋商文件另有规定外，均为“实质性格式”文件。</w:t>
      </w:r>
    </w:p>
    <w:p w14:paraId="3B2558C6">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《资格审查要求》见下表：</w:t>
      </w:r>
    </w:p>
    <w:p w14:paraId="22CB7348">
      <w:pPr>
        <w:tabs>
          <w:tab w:val="left" w:pos="900"/>
          <w:tab w:val="left" w:pos="1080"/>
        </w:tabs>
        <w:snapToGrid w:val="0"/>
        <w:spacing w:line="360" w:lineRule="auto"/>
        <w:ind w:left="1077" w:firstLine="2650" w:firstLineChars="1100"/>
        <w:rPr>
          <w:rFonts w:hint="eastAsia" w:ascii="宋体" w:hAnsi="宋体"/>
          <w:b/>
          <w:sz w:val="24"/>
          <w:highlight w:val="none"/>
        </w:rPr>
      </w:pPr>
      <w:r>
        <w:rPr>
          <w:rFonts w:ascii="宋体" w:hAnsi="宋体"/>
          <w:b/>
          <w:sz w:val="24"/>
          <w:highlight w:val="none"/>
        </w:rPr>
        <w:t>资格审查要求</w:t>
      </w:r>
    </w:p>
    <w:tbl>
      <w:tblPr>
        <w:tblStyle w:val="42"/>
        <w:tblW w:w="52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733"/>
        <w:gridCol w:w="4739"/>
        <w:gridCol w:w="1669"/>
      </w:tblGrid>
      <w:tr w14:paraId="5B5BE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4" w:hRule="atLeast"/>
          <w:tblHeader/>
          <w:jc w:val="center"/>
        </w:trPr>
        <w:tc>
          <w:tcPr>
            <w:tcW w:w="414" w:type="pct"/>
            <w:vAlign w:val="center"/>
          </w:tcPr>
          <w:p w14:paraId="72125257">
            <w:pPr>
              <w:tabs>
                <w:tab w:val="left" w:pos="1080"/>
              </w:tabs>
              <w:snapToGrid w:val="0"/>
              <w:jc w:val="center"/>
              <w:rPr>
                <w:rFonts w:hint="eastAsia" w:ascii="宋体" w:hAnsi="宋体"/>
                <w:b/>
                <w:sz w:val="24"/>
                <w:highlight w:val="none"/>
              </w:rPr>
            </w:pPr>
            <w:bookmarkStart w:id="637" w:name="_Hlt487972895"/>
            <w:bookmarkEnd w:id="637"/>
            <w:r>
              <w:rPr>
                <w:rFonts w:ascii="宋体" w:hAnsi="宋体"/>
                <w:b/>
                <w:sz w:val="24"/>
                <w:highlight w:val="none"/>
              </w:rPr>
              <w:t>序号</w:t>
            </w:r>
          </w:p>
        </w:tc>
        <w:tc>
          <w:tcPr>
            <w:tcW w:w="976" w:type="pct"/>
            <w:vAlign w:val="center"/>
          </w:tcPr>
          <w:p w14:paraId="43EDD4DB">
            <w:pPr>
              <w:tabs>
                <w:tab w:val="left" w:pos="1080"/>
              </w:tabs>
              <w:snapToGrid w:val="0"/>
              <w:jc w:val="center"/>
              <w:rPr>
                <w:rFonts w:hint="eastAsia" w:ascii="宋体" w:hAnsi="宋体"/>
                <w:b/>
                <w:sz w:val="24"/>
                <w:highlight w:val="none"/>
              </w:rPr>
            </w:pPr>
            <w:r>
              <w:rPr>
                <w:rFonts w:ascii="宋体" w:hAnsi="宋体"/>
                <w:b/>
                <w:sz w:val="24"/>
                <w:highlight w:val="none"/>
              </w:rPr>
              <w:t>检查因素</w:t>
            </w:r>
          </w:p>
        </w:tc>
        <w:tc>
          <w:tcPr>
            <w:tcW w:w="2669" w:type="pct"/>
            <w:vAlign w:val="center"/>
          </w:tcPr>
          <w:p w14:paraId="160BBC23">
            <w:pPr>
              <w:tabs>
                <w:tab w:val="left" w:pos="1080"/>
              </w:tabs>
              <w:snapToGrid w:val="0"/>
              <w:jc w:val="center"/>
              <w:rPr>
                <w:rFonts w:hint="eastAsia" w:ascii="宋体" w:hAnsi="宋体"/>
                <w:b/>
                <w:sz w:val="24"/>
                <w:highlight w:val="none"/>
              </w:rPr>
            </w:pPr>
            <w:r>
              <w:rPr>
                <w:rFonts w:ascii="宋体" w:hAnsi="宋体"/>
                <w:b/>
                <w:sz w:val="24"/>
                <w:highlight w:val="none"/>
              </w:rPr>
              <w:t>检查内容</w:t>
            </w:r>
          </w:p>
        </w:tc>
        <w:tc>
          <w:tcPr>
            <w:tcW w:w="940" w:type="pct"/>
            <w:vAlign w:val="center"/>
          </w:tcPr>
          <w:p w14:paraId="5B3D57BD">
            <w:pPr>
              <w:tabs>
                <w:tab w:val="left" w:pos="1080"/>
              </w:tabs>
              <w:snapToGrid w:val="0"/>
              <w:jc w:val="center"/>
              <w:rPr>
                <w:rFonts w:hint="eastAsia" w:ascii="宋体" w:hAnsi="宋体"/>
                <w:b/>
                <w:sz w:val="24"/>
                <w:highlight w:val="none"/>
              </w:rPr>
            </w:pPr>
            <w:r>
              <w:rPr>
                <w:rFonts w:ascii="宋体" w:hAnsi="宋体"/>
                <w:b/>
                <w:sz w:val="24"/>
                <w:highlight w:val="none"/>
              </w:rPr>
              <w:t>格式要求</w:t>
            </w:r>
          </w:p>
        </w:tc>
      </w:tr>
      <w:tr w14:paraId="13B54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7" w:hRule="atLeast"/>
          <w:jc w:val="center"/>
        </w:trPr>
        <w:tc>
          <w:tcPr>
            <w:tcW w:w="414" w:type="pct"/>
            <w:vAlign w:val="center"/>
          </w:tcPr>
          <w:p w14:paraId="6F2E9B0F">
            <w:pPr>
              <w:tabs>
                <w:tab w:val="left" w:pos="1080"/>
              </w:tabs>
              <w:snapToGrid w:val="0"/>
              <w:jc w:val="center"/>
              <w:rPr>
                <w:rFonts w:hint="eastAsia" w:ascii="宋体" w:hAnsi="宋体"/>
                <w:sz w:val="24"/>
                <w:highlight w:val="none"/>
              </w:rPr>
            </w:pPr>
            <w:r>
              <w:rPr>
                <w:rFonts w:ascii="宋体" w:hAnsi="宋体"/>
                <w:sz w:val="24"/>
                <w:highlight w:val="none"/>
              </w:rPr>
              <w:t>1</w:t>
            </w:r>
          </w:p>
        </w:tc>
        <w:tc>
          <w:tcPr>
            <w:tcW w:w="976" w:type="pct"/>
            <w:vAlign w:val="center"/>
          </w:tcPr>
          <w:p w14:paraId="69FF8FB3">
            <w:pPr>
              <w:tabs>
                <w:tab w:val="left" w:pos="1080"/>
              </w:tabs>
              <w:snapToGrid w:val="0"/>
              <w:jc w:val="left"/>
              <w:rPr>
                <w:rFonts w:hint="eastAsia" w:ascii="宋体" w:hAnsi="宋体"/>
                <w:sz w:val="24"/>
                <w:highlight w:val="none"/>
              </w:rPr>
            </w:pPr>
            <w:r>
              <w:rPr>
                <w:rFonts w:ascii="宋体" w:hAnsi="宋体"/>
                <w:sz w:val="24"/>
                <w:highlight w:val="none"/>
              </w:rPr>
              <w:t>满足《中华人民共和国政府采购法》第二十二条规定</w:t>
            </w:r>
          </w:p>
        </w:tc>
        <w:tc>
          <w:tcPr>
            <w:tcW w:w="2669" w:type="pct"/>
            <w:vAlign w:val="center"/>
          </w:tcPr>
          <w:p w14:paraId="0C38AC9C">
            <w:pPr>
              <w:tabs>
                <w:tab w:val="left" w:pos="1080"/>
              </w:tabs>
              <w:snapToGrid w:val="0"/>
              <w:jc w:val="left"/>
              <w:rPr>
                <w:rFonts w:hint="eastAsia" w:ascii="宋体" w:hAnsi="宋体"/>
                <w:sz w:val="24"/>
                <w:highlight w:val="none"/>
              </w:rPr>
            </w:pPr>
            <w:r>
              <w:rPr>
                <w:rFonts w:ascii="宋体" w:hAnsi="宋体"/>
                <w:sz w:val="24"/>
                <w:highlight w:val="none"/>
              </w:rPr>
              <w:t>具体规定见第一章《采购邀请》</w:t>
            </w:r>
          </w:p>
        </w:tc>
        <w:tc>
          <w:tcPr>
            <w:tcW w:w="940" w:type="pct"/>
            <w:vAlign w:val="center"/>
          </w:tcPr>
          <w:p w14:paraId="75428355">
            <w:pPr>
              <w:tabs>
                <w:tab w:val="left" w:pos="1080"/>
              </w:tabs>
              <w:snapToGrid w:val="0"/>
              <w:jc w:val="left"/>
              <w:rPr>
                <w:rFonts w:hint="eastAsia" w:ascii="宋体" w:hAnsi="宋体"/>
                <w:sz w:val="24"/>
                <w:highlight w:val="none"/>
              </w:rPr>
            </w:pPr>
          </w:p>
        </w:tc>
      </w:tr>
      <w:tr w14:paraId="3411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5" w:hRule="atLeast"/>
          <w:jc w:val="center"/>
        </w:trPr>
        <w:tc>
          <w:tcPr>
            <w:tcW w:w="414" w:type="pct"/>
            <w:vAlign w:val="center"/>
          </w:tcPr>
          <w:p w14:paraId="2CD50D7C">
            <w:pPr>
              <w:tabs>
                <w:tab w:val="left" w:pos="1080"/>
              </w:tabs>
              <w:snapToGrid w:val="0"/>
              <w:jc w:val="center"/>
              <w:rPr>
                <w:rFonts w:hint="eastAsia" w:ascii="宋体" w:hAnsi="宋体"/>
                <w:sz w:val="24"/>
                <w:highlight w:val="none"/>
              </w:rPr>
            </w:pPr>
            <w:r>
              <w:rPr>
                <w:rFonts w:ascii="宋体" w:hAnsi="宋体"/>
                <w:sz w:val="24"/>
                <w:highlight w:val="none"/>
              </w:rPr>
              <w:t>1-1</w:t>
            </w:r>
          </w:p>
        </w:tc>
        <w:tc>
          <w:tcPr>
            <w:tcW w:w="976" w:type="pct"/>
            <w:vAlign w:val="center"/>
          </w:tcPr>
          <w:p w14:paraId="0473098B">
            <w:pPr>
              <w:tabs>
                <w:tab w:val="left" w:pos="1080"/>
              </w:tabs>
              <w:snapToGrid w:val="0"/>
              <w:jc w:val="left"/>
              <w:rPr>
                <w:rFonts w:hint="eastAsia" w:ascii="宋体" w:hAnsi="宋体"/>
                <w:sz w:val="24"/>
                <w:highlight w:val="none"/>
              </w:rPr>
            </w:pPr>
            <w:r>
              <w:rPr>
                <w:rFonts w:ascii="宋体" w:hAnsi="宋体"/>
                <w:sz w:val="24"/>
                <w:highlight w:val="none"/>
              </w:rPr>
              <w:t>营业执照等证明文件</w:t>
            </w:r>
          </w:p>
        </w:tc>
        <w:tc>
          <w:tcPr>
            <w:tcW w:w="2669" w:type="pct"/>
            <w:vAlign w:val="center"/>
          </w:tcPr>
          <w:p w14:paraId="4C41D583">
            <w:pPr>
              <w:tabs>
                <w:tab w:val="left" w:pos="1080"/>
              </w:tabs>
              <w:snapToGrid w:val="0"/>
              <w:jc w:val="left"/>
              <w:rPr>
                <w:rFonts w:hint="eastAsia" w:ascii="宋体" w:hAnsi="宋体"/>
                <w:sz w:val="24"/>
                <w:highlight w:val="none"/>
              </w:rPr>
            </w:pPr>
            <w:r>
              <w:rPr>
                <w:rFonts w:ascii="宋体" w:hAnsi="宋体"/>
                <w:sz w:val="24"/>
                <w:highlight w:val="none"/>
              </w:rPr>
              <w:t>供应商为企业（包括合伙企业）的，应提供有效的“营业执照”；</w:t>
            </w:r>
          </w:p>
          <w:p w14:paraId="14A8EF64">
            <w:pPr>
              <w:tabs>
                <w:tab w:val="left" w:pos="1080"/>
              </w:tabs>
              <w:snapToGrid w:val="0"/>
              <w:jc w:val="left"/>
              <w:rPr>
                <w:rFonts w:hint="eastAsia" w:ascii="宋体" w:hAnsi="宋体"/>
                <w:sz w:val="24"/>
                <w:highlight w:val="none"/>
              </w:rPr>
            </w:pPr>
            <w:r>
              <w:rPr>
                <w:rFonts w:ascii="宋体" w:hAnsi="宋体"/>
                <w:sz w:val="24"/>
                <w:highlight w:val="none"/>
              </w:rPr>
              <w:t>供应商为事业单位的，应提供有效的“事业单位法人证书”；</w:t>
            </w:r>
          </w:p>
          <w:p w14:paraId="2FF478EA">
            <w:pPr>
              <w:tabs>
                <w:tab w:val="left" w:pos="1080"/>
              </w:tabs>
              <w:snapToGrid w:val="0"/>
              <w:jc w:val="left"/>
              <w:rPr>
                <w:rFonts w:hint="eastAsia" w:ascii="宋体" w:hAnsi="宋体"/>
                <w:sz w:val="24"/>
                <w:highlight w:val="none"/>
              </w:rPr>
            </w:pPr>
            <w:r>
              <w:rPr>
                <w:rFonts w:ascii="宋体" w:hAnsi="宋体"/>
                <w:sz w:val="24"/>
                <w:highlight w:val="none"/>
              </w:rPr>
              <w:t>供应商是非企业机构的，应提供有效的“执业许可证”、“登记证书”等证明文件；</w:t>
            </w:r>
          </w:p>
          <w:p w14:paraId="50CF7B94">
            <w:pPr>
              <w:tabs>
                <w:tab w:val="left" w:pos="1080"/>
              </w:tabs>
              <w:snapToGrid w:val="0"/>
              <w:jc w:val="left"/>
              <w:rPr>
                <w:rFonts w:hint="eastAsia" w:ascii="宋体" w:hAnsi="宋体"/>
                <w:sz w:val="24"/>
                <w:highlight w:val="none"/>
              </w:rPr>
            </w:pPr>
            <w:r>
              <w:rPr>
                <w:rFonts w:ascii="宋体" w:hAnsi="宋体"/>
                <w:sz w:val="24"/>
                <w:highlight w:val="none"/>
              </w:rPr>
              <w:t>供应商是个体工商户的，应提供有效的“个体工商户营业执照”；</w:t>
            </w:r>
          </w:p>
          <w:p w14:paraId="42C4BD0C">
            <w:pPr>
              <w:tabs>
                <w:tab w:val="left" w:pos="1080"/>
              </w:tabs>
              <w:snapToGrid w:val="0"/>
              <w:jc w:val="left"/>
              <w:rPr>
                <w:rFonts w:hint="eastAsia" w:ascii="宋体" w:hAnsi="宋体"/>
                <w:sz w:val="24"/>
                <w:highlight w:val="none"/>
              </w:rPr>
            </w:pPr>
            <w:r>
              <w:rPr>
                <w:rFonts w:ascii="宋体" w:hAnsi="宋体"/>
                <w:sz w:val="24"/>
                <w:highlight w:val="none"/>
              </w:rPr>
              <w:t>供应商是自然人的，应提供有效的自然人身份证明。</w:t>
            </w:r>
          </w:p>
          <w:p w14:paraId="10955EDD">
            <w:pPr>
              <w:tabs>
                <w:tab w:val="left" w:pos="1080"/>
              </w:tabs>
              <w:snapToGrid w:val="0"/>
              <w:jc w:val="left"/>
              <w:rPr>
                <w:rFonts w:hint="eastAsia" w:ascii="宋体" w:hAnsi="宋体"/>
                <w:color w:val="000000"/>
                <w:sz w:val="24"/>
                <w:highlight w:val="none"/>
              </w:rPr>
            </w:pPr>
            <w:r>
              <w:rPr>
                <w:rFonts w:ascii="宋体" w:hAnsi="宋体"/>
                <w:color w:val="000000"/>
                <w:sz w:val="24"/>
                <w:highlight w:val="none"/>
              </w:rPr>
              <w:t>分支机构参加响应的，应提供该分支机构或其所属法人</w:t>
            </w:r>
            <w:r>
              <w:rPr>
                <w:rFonts w:hint="eastAsia" w:ascii="宋体" w:hAnsi="宋体"/>
                <w:color w:val="000000"/>
                <w:sz w:val="24"/>
                <w:highlight w:val="none"/>
              </w:rPr>
              <w:t>/</w:t>
            </w:r>
            <w:r>
              <w:rPr>
                <w:rFonts w:ascii="宋体" w:hAnsi="宋体"/>
                <w:color w:val="000000"/>
                <w:sz w:val="24"/>
                <w:highlight w:val="none"/>
              </w:rPr>
              <w:t>其他组织的相应证明文件；同时还应提供其所属法人/其他组织出具的授权其参与本项目的授权书（格式自拟，须加</w:t>
            </w:r>
            <w:r>
              <w:rPr>
                <w:rFonts w:ascii="宋体" w:hAnsi="宋体"/>
                <w:sz w:val="24"/>
                <w:highlight w:val="none"/>
              </w:rPr>
              <w:t>盖其所属法人/其他组织的公章）；对于</w:t>
            </w:r>
            <w:r>
              <w:rPr>
                <w:rFonts w:ascii="宋体" w:hAnsi="宋体"/>
                <w:iCs/>
                <w:sz w:val="24"/>
                <w:highlight w:val="none"/>
              </w:rPr>
              <w:t>银行、保险、石油石化、电力、电信等行业的分支机构，可以提供上述</w:t>
            </w:r>
            <w:r>
              <w:rPr>
                <w:rFonts w:ascii="宋体" w:hAnsi="宋体"/>
                <w:sz w:val="24"/>
                <w:highlight w:val="none"/>
              </w:rPr>
              <w:t>授权，也</w:t>
            </w:r>
            <w:r>
              <w:rPr>
                <w:rFonts w:ascii="宋体" w:hAnsi="宋体"/>
                <w:color w:val="000000"/>
                <w:sz w:val="24"/>
                <w:highlight w:val="none"/>
              </w:rPr>
              <w:t>可以提供其所属法人/其他组织的有关文件或制度等能够证明授权其独立开展业务的证明材料。</w:t>
            </w:r>
          </w:p>
        </w:tc>
        <w:tc>
          <w:tcPr>
            <w:tcW w:w="940" w:type="pct"/>
            <w:vAlign w:val="center"/>
          </w:tcPr>
          <w:p w14:paraId="4D64EE2B">
            <w:pPr>
              <w:tabs>
                <w:tab w:val="left" w:pos="1080"/>
              </w:tabs>
              <w:snapToGrid w:val="0"/>
              <w:jc w:val="left"/>
              <w:rPr>
                <w:rFonts w:hint="eastAsia" w:ascii="宋体" w:hAnsi="宋体"/>
                <w:sz w:val="24"/>
                <w:highlight w:val="none"/>
              </w:rPr>
            </w:pPr>
            <w:r>
              <w:rPr>
                <w:rFonts w:ascii="宋体" w:hAnsi="宋体"/>
                <w:sz w:val="24"/>
                <w:highlight w:val="none"/>
              </w:rPr>
              <w:t>提供证明文件的电子件或电子证照</w:t>
            </w:r>
          </w:p>
        </w:tc>
      </w:tr>
      <w:tr w14:paraId="55EF7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8" w:hRule="atLeast"/>
          <w:jc w:val="center"/>
        </w:trPr>
        <w:tc>
          <w:tcPr>
            <w:tcW w:w="414" w:type="pct"/>
            <w:vAlign w:val="center"/>
          </w:tcPr>
          <w:p w14:paraId="2B4E19FA">
            <w:pPr>
              <w:tabs>
                <w:tab w:val="left" w:pos="1080"/>
              </w:tabs>
              <w:snapToGrid w:val="0"/>
              <w:jc w:val="center"/>
              <w:rPr>
                <w:rFonts w:hint="eastAsia" w:ascii="宋体" w:hAnsi="宋体"/>
                <w:sz w:val="24"/>
                <w:highlight w:val="none"/>
              </w:rPr>
            </w:pPr>
            <w:r>
              <w:rPr>
                <w:rFonts w:ascii="宋体" w:hAnsi="宋体"/>
                <w:sz w:val="24"/>
                <w:highlight w:val="none"/>
              </w:rPr>
              <w:t>1-2</w:t>
            </w:r>
          </w:p>
        </w:tc>
        <w:tc>
          <w:tcPr>
            <w:tcW w:w="976" w:type="pct"/>
            <w:vAlign w:val="center"/>
          </w:tcPr>
          <w:p w14:paraId="6E475074">
            <w:pPr>
              <w:tabs>
                <w:tab w:val="left" w:pos="1080"/>
              </w:tabs>
              <w:snapToGrid w:val="0"/>
              <w:jc w:val="left"/>
              <w:rPr>
                <w:rFonts w:hint="eastAsia" w:ascii="宋体" w:hAnsi="宋体"/>
                <w:sz w:val="24"/>
                <w:highlight w:val="none"/>
              </w:rPr>
            </w:pPr>
            <w:r>
              <w:rPr>
                <w:rFonts w:ascii="宋体" w:hAnsi="宋体"/>
                <w:sz w:val="24"/>
                <w:highlight w:val="none"/>
              </w:rPr>
              <w:t>供应商资格声明书</w:t>
            </w:r>
          </w:p>
        </w:tc>
        <w:tc>
          <w:tcPr>
            <w:tcW w:w="2669" w:type="pct"/>
            <w:vAlign w:val="center"/>
          </w:tcPr>
          <w:p w14:paraId="40E65AAA">
            <w:pPr>
              <w:tabs>
                <w:tab w:val="left" w:pos="1080"/>
              </w:tabs>
              <w:snapToGrid w:val="0"/>
              <w:jc w:val="left"/>
              <w:rPr>
                <w:rFonts w:hint="eastAsia" w:ascii="宋体" w:hAnsi="宋体"/>
                <w:sz w:val="24"/>
                <w:highlight w:val="none"/>
              </w:rPr>
            </w:pPr>
            <w:r>
              <w:rPr>
                <w:rFonts w:ascii="宋体" w:hAnsi="宋体"/>
                <w:sz w:val="24"/>
                <w:highlight w:val="none"/>
              </w:rPr>
              <w:t>提供了符合竞争性磋商文件要求的《供应商资格声明书》。</w:t>
            </w:r>
          </w:p>
        </w:tc>
        <w:tc>
          <w:tcPr>
            <w:tcW w:w="940" w:type="pct"/>
            <w:vAlign w:val="center"/>
          </w:tcPr>
          <w:p w14:paraId="60311495">
            <w:pPr>
              <w:tabs>
                <w:tab w:val="left" w:pos="1080"/>
              </w:tabs>
              <w:snapToGrid w:val="0"/>
              <w:jc w:val="left"/>
              <w:rPr>
                <w:rFonts w:hint="eastAsia" w:ascii="宋体" w:hAnsi="宋体"/>
                <w:sz w:val="24"/>
                <w:highlight w:val="none"/>
              </w:rPr>
            </w:pPr>
            <w:r>
              <w:rPr>
                <w:rFonts w:ascii="宋体" w:hAnsi="宋体"/>
                <w:sz w:val="24"/>
                <w:highlight w:val="none"/>
              </w:rPr>
              <w:t>格式见《响应文件格式》</w:t>
            </w:r>
          </w:p>
        </w:tc>
      </w:tr>
      <w:tr w14:paraId="466B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87" w:hRule="atLeast"/>
          <w:jc w:val="center"/>
        </w:trPr>
        <w:tc>
          <w:tcPr>
            <w:tcW w:w="414" w:type="pct"/>
            <w:vAlign w:val="center"/>
          </w:tcPr>
          <w:p w14:paraId="5E9DA122">
            <w:pPr>
              <w:tabs>
                <w:tab w:val="left" w:pos="1080"/>
              </w:tabs>
              <w:snapToGrid w:val="0"/>
              <w:jc w:val="center"/>
              <w:rPr>
                <w:rFonts w:hint="eastAsia" w:ascii="宋体" w:hAnsi="宋体"/>
                <w:sz w:val="24"/>
                <w:highlight w:val="none"/>
              </w:rPr>
            </w:pPr>
            <w:r>
              <w:rPr>
                <w:rFonts w:ascii="宋体" w:hAnsi="宋体"/>
                <w:sz w:val="24"/>
                <w:highlight w:val="none"/>
              </w:rPr>
              <w:t>1-3</w:t>
            </w:r>
          </w:p>
        </w:tc>
        <w:tc>
          <w:tcPr>
            <w:tcW w:w="976" w:type="pct"/>
            <w:vAlign w:val="center"/>
          </w:tcPr>
          <w:p w14:paraId="603B8824">
            <w:pPr>
              <w:tabs>
                <w:tab w:val="left" w:pos="1080"/>
              </w:tabs>
              <w:snapToGrid w:val="0"/>
              <w:rPr>
                <w:rFonts w:hint="eastAsia" w:ascii="宋体" w:hAnsi="宋体"/>
                <w:sz w:val="24"/>
                <w:highlight w:val="none"/>
              </w:rPr>
            </w:pPr>
            <w:r>
              <w:rPr>
                <w:rFonts w:ascii="宋体" w:hAnsi="宋体"/>
                <w:sz w:val="24"/>
                <w:highlight w:val="none"/>
              </w:rPr>
              <w:t>供应商信用记录</w:t>
            </w:r>
          </w:p>
        </w:tc>
        <w:tc>
          <w:tcPr>
            <w:tcW w:w="2669" w:type="pct"/>
            <w:vAlign w:val="center"/>
          </w:tcPr>
          <w:p w14:paraId="66E2B168">
            <w:pPr>
              <w:tabs>
                <w:tab w:val="left" w:pos="1080"/>
              </w:tabs>
              <w:snapToGrid w:val="0"/>
              <w:rPr>
                <w:rFonts w:hint="eastAsia" w:ascii="宋体" w:hAnsi="宋体"/>
                <w:sz w:val="24"/>
                <w:highlight w:val="none"/>
              </w:rPr>
            </w:pPr>
            <w:r>
              <w:rPr>
                <w:rFonts w:ascii="宋体" w:hAnsi="宋体"/>
                <w:sz w:val="24"/>
                <w:highlight w:val="none"/>
              </w:rPr>
              <w:t>查询渠道：信用中国网站和中国政府采购网（</w:t>
            </w:r>
            <w:r>
              <w:rPr>
                <w:rFonts w:ascii="宋体" w:hAnsi="宋体"/>
                <w:highlight w:val="none"/>
              </w:rPr>
              <w:t>www.creditchina.gov.cn</w:t>
            </w:r>
            <w:r>
              <w:rPr>
                <w:rFonts w:ascii="宋体" w:hAnsi="宋体"/>
                <w:sz w:val="24"/>
                <w:highlight w:val="none"/>
              </w:rPr>
              <w:t>、</w:t>
            </w:r>
            <w:r>
              <w:rPr>
                <w:rFonts w:ascii="宋体" w:hAnsi="宋体"/>
                <w:highlight w:val="none"/>
              </w:rPr>
              <w:t>www.ccgp.gov.cn</w:t>
            </w:r>
            <w:r>
              <w:rPr>
                <w:rFonts w:ascii="宋体" w:hAnsi="宋体"/>
                <w:sz w:val="24"/>
                <w:highlight w:val="none"/>
              </w:rPr>
              <w:t>）；</w:t>
            </w:r>
          </w:p>
          <w:p w14:paraId="21BCC4F1">
            <w:pPr>
              <w:tabs>
                <w:tab w:val="left" w:pos="900"/>
                <w:tab w:val="left" w:pos="1980"/>
              </w:tabs>
              <w:snapToGrid w:val="0"/>
              <w:rPr>
                <w:rFonts w:hint="eastAsia" w:ascii="宋体" w:hAnsi="宋体"/>
                <w:sz w:val="24"/>
                <w:highlight w:val="none"/>
              </w:rPr>
            </w:pPr>
            <w:r>
              <w:rPr>
                <w:rFonts w:ascii="宋体" w:hAnsi="宋体"/>
                <w:sz w:val="24"/>
                <w:highlight w:val="none"/>
              </w:rPr>
              <w:t>截止时点：</w:t>
            </w:r>
            <w:r>
              <w:rPr>
                <w:rFonts w:ascii="宋体" w:hAnsi="宋体"/>
                <w:color w:val="000000"/>
                <w:kern w:val="0"/>
                <w:sz w:val="24"/>
                <w:szCs w:val="20"/>
                <w:highlight w:val="none"/>
              </w:rPr>
              <w:t>首次响应文件提交截止时间以后</w:t>
            </w:r>
            <w:r>
              <w:rPr>
                <w:rFonts w:ascii="宋体" w:hAnsi="宋体"/>
                <w:sz w:val="24"/>
                <w:highlight w:val="none"/>
              </w:rPr>
              <w:t>、资格审查阶段采购人或采购代理机构的实际查询时间；</w:t>
            </w:r>
          </w:p>
          <w:p w14:paraId="61DC0314">
            <w:pPr>
              <w:tabs>
                <w:tab w:val="left" w:pos="900"/>
                <w:tab w:val="left" w:pos="1980"/>
              </w:tabs>
              <w:snapToGrid w:val="0"/>
              <w:rPr>
                <w:rFonts w:hint="eastAsia" w:ascii="宋体" w:hAnsi="宋体"/>
                <w:sz w:val="24"/>
                <w:highlight w:val="none"/>
              </w:rPr>
            </w:pPr>
            <w:r>
              <w:rPr>
                <w:rFonts w:ascii="宋体" w:hAnsi="宋体"/>
                <w:sz w:val="24"/>
                <w:highlight w:val="none"/>
              </w:rPr>
              <w:t>信用信息查询记录和证据留存具体方式：查询结果网页打印页作为查询记录和证据，与其他竞争性磋商文件一并保存；</w:t>
            </w:r>
          </w:p>
          <w:p w14:paraId="506EF294">
            <w:pPr>
              <w:tabs>
                <w:tab w:val="left" w:pos="1080"/>
              </w:tabs>
              <w:snapToGrid w:val="0"/>
              <w:rPr>
                <w:rFonts w:hint="eastAsia" w:ascii="宋体" w:hAnsi="宋体"/>
                <w:sz w:val="24"/>
                <w:highlight w:val="none"/>
              </w:rPr>
            </w:pPr>
            <w:r>
              <w:rPr>
                <w:rFonts w:ascii="宋体" w:hAnsi="宋体"/>
                <w:sz w:val="24"/>
                <w:highlight w:val="none"/>
              </w:rPr>
              <w:t>信用信息的使用原则：经认定的被列入失信被执行人、重大税收违法案件当事人名单、政府采购严重违法失信行为记录名单的供应商，其</w:t>
            </w:r>
            <w:r>
              <w:rPr>
                <w:rFonts w:ascii="宋体" w:hAnsi="宋体"/>
                <w:b/>
                <w:sz w:val="24"/>
                <w:highlight w:val="none"/>
              </w:rPr>
              <w:t>响应无效</w:t>
            </w:r>
            <w:r>
              <w:rPr>
                <w:rFonts w:ascii="宋体" w:hAnsi="宋体"/>
                <w:sz w:val="24"/>
                <w:highlight w:val="none"/>
              </w:rPr>
              <w:t>。联合体形式磋商的，联合体成员存在不良信用记录，视同联合体存在不良信用记录。</w:t>
            </w:r>
          </w:p>
        </w:tc>
        <w:tc>
          <w:tcPr>
            <w:tcW w:w="940" w:type="pct"/>
            <w:vAlign w:val="center"/>
          </w:tcPr>
          <w:p w14:paraId="4B5CE936">
            <w:pPr>
              <w:tabs>
                <w:tab w:val="left" w:pos="1080"/>
              </w:tabs>
              <w:snapToGrid w:val="0"/>
              <w:rPr>
                <w:rFonts w:hint="eastAsia" w:ascii="宋体" w:hAnsi="宋体"/>
                <w:sz w:val="24"/>
                <w:highlight w:val="none"/>
              </w:rPr>
            </w:pPr>
            <w:r>
              <w:rPr>
                <w:rFonts w:ascii="宋体" w:hAnsi="宋体"/>
                <w:sz w:val="24"/>
                <w:highlight w:val="none"/>
              </w:rPr>
              <w:t>无须供应商提供，由采购人或采购代理机构查询。</w:t>
            </w:r>
          </w:p>
        </w:tc>
      </w:tr>
      <w:tr w14:paraId="3CA7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1" w:hRule="atLeast"/>
          <w:jc w:val="center"/>
        </w:trPr>
        <w:tc>
          <w:tcPr>
            <w:tcW w:w="414" w:type="pct"/>
            <w:vAlign w:val="center"/>
          </w:tcPr>
          <w:p w14:paraId="2B045AD2">
            <w:pPr>
              <w:tabs>
                <w:tab w:val="left" w:pos="1080"/>
              </w:tabs>
              <w:snapToGrid w:val="0"/>
              <w:jc w:val="center"/>
              <w:rPr>
                <w:rFonts w:hint="eastAsia" w:ascii="宋体" w:hAnsi="宋体"/>
                <w:sz w:val="24"/>
                <w:highlight w:val="none"/>
              </w:rPr>
            </w:pPr>
            <w:r>
              <w:rPr>
                <w:rFonts w:ascii="宋体" w:hAnsi="宋体"/>
                <w:sz w:val="24"/>
                <w:highlight w:val="none"/>
              </w:rPr>
              <w:t>1-4</w:t>
            </w:r>
          </w:p>
        </w:tc>
        <w:tc>
          <w:tcPr>
            <w:tcW w:w="976" w:type="pct"/>
            <w:vAlign w:val="center"/>
          </w:tcPr>
          <w:p w14:paraId="611CF4EA">
            <w:pPr>
              <w:tabs>
                <w:tab w:val="left" w:pos="1080"/>
              </w:tabs>
              <w:snapToGrid w:val="0"/>
              <w:rPr>
                <w:rFonts w:hint="eastAsia" w:ascii="宋体" w:hAnsi="宋体"/>
                <w:sz w:val="24"/>
                <w:highlight w:val="none"/>
              </w:rPr>
            </w:pPr>
            <w:r>
              <w:rPr>
                <w:rFonts w:ascii="宋体" w:hAnsi="宋体"/>
                <w:sz w:val="24"/>
                <w:highlight w:val="none"/>
              </w:rPr>
              <w:t>法律、行政法规规定的其他条件</w:t>
            </w:r>
          </w:p>
        </w:tc>
        <w:tc>
          <w:tcPr>
            <w:tcW w:w="2669" w:type="pct"/>
            <w:vAlign w:val="center"/>
          </w:tcPr>
          <w:p w14:paraId="2EECB1EA">
            <w:pPr>
              <w:tabs>
                <w:tab w:val="left" w:pos="1080"/>
              </w:tabs>
              <w:snapToGrid w:val="0"/>
              <w:rPr>
                <w:rFonts w:hint="eastAsia" w:ascii="宋体" w:hAnsi="宋体"/>
                <w:sz w:val="24"/>
                <w:highlight w:val="none"/>
              </w:rPr>
            </w:pPr>
            <w:r>
              <w:rPr>
                <w:rFonts w:ascii="宋体" w:hAnsi="宋体"/>
                <w:sz w:val="24"/>
                <w:highlight w:val="none"/>
              </w:rPr>
              <w:t>法律、行政法规规定的其他条件</w:t>
            </w:r>
          </w:p>
        </w:tc>
        <w:tc>
          <w:tcPr>
            <w:tcW w:w="940" w:type="pct"/>
            <w:vAlign w:val="center"/>
          </w:tcPr>
          <w:p w14:paraId="49722FFB">
            <w:pPr>
              <w:tabs>
                <w:tab w:val="left" w:pos="1080"/>
              </w:tabs>
              <w:snapToGrid w:val="0"/>
              <w:jc w:val="center"/>
              <w:rPr>
                <w:rFonts w:hint="eastAsia" w:ascii="宋体" w:hAnsi="宋体"/>
                <w:sz w:val="24"/>
                <w:highlight w:val="none"/>
              </w:rPr>
            </w:pPr>
            <w:r>
              <w:rPr>
                <w:rFonts w:ascii="宋体" w:hAnsi="宋体"/>
                <w:sz w:val="24"/>
                <w:highlight w:val="none"/>
              </w:rPr>
              <w:t>/</w:t>
            </w:r>
          </w:p>
        </w:tc>
      </w:tr>
      <w:tr w14:paraId="1B4C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1" w:hRule="atLeast"/>
          <w:jc w:val="center"/>
        </w:trPr>
        <w:tc>
          <w:tcPr>
            <w:tcW w:w="414" w:type="pct"/>
            <w:vAlign w:val="center"/>
          </w:tcPr>
          <w:p w14:paraId="00C32CBD">
            <w:pPr>
              <w:tabs>
                <w:tab w:val="left" w:pos="1080"/>
              </w:tabs>
              <w:snapToGrid w:val="0"/>
              <w:jc w:val="center"/>
              <w:rPr>
                <w:rFonts w:hint="eastAsia" w:ascii="宋体" w:hAnsi="宋体"/>
                <w:sz w:val="24"/>
                <w:highlight w:val="none"/>
              </w:rPr>
            </w:pPr>
            <w:r>
              <w:rPr>
                <w:rFonts w:ascii="宋体" w:hAnsi="宋体"/>
                <w:sz w:val="24"/>
                <w:highlight w:val="none"/>
              </w:rPr>
              <w:t>2</w:t>
            </w:r>
          </w:p>
        </w:tc>
        <w:tc>
          <w:tcPr>
            <w:tcW w:w="976" w:type="pct"/>
            <w:vAlign w:val="center"/>
          </w:tcPr>
          <w:p w14:paraId="5A97F58C">
            <w:pPr>
              <w:tabs>
                <w:tab w:val="left" w:pos="1080"/>
              </w:tabs>
              <w:snapToGrid w:val="0"/>
              <w:jc w:val="left"/>
              <w:rPr>
                <w:rFonts w:hint="eastAsia" w:ascii="宋体" w:hAnsi="宋体"/>
                <w:sz w:val="24"/>
                <w:highlight w:val="none"/>
              </w:rPr>
            </w:pPr>
            <w:r>
              <w:rPr>
                <w:rFonts w:ascii="宋体" w:hAnsi="宋体"/>
                <w:sz w:val="24"/>
                <w:highlight w:val="none"/>
              </w:rPr>
              <w:t>落实政府采购政策需满足的资格要求</w:t>
            </w:r>
          </w:p>
        </w:tc>
        <w:tc>
          <w:tcPr>
            <w:tcW w:w="2669" w:type="pct"/>
            <w:vAlign w:val="center"/>
          </w:tcPr>
          <w:p w14:paraId="12B3E01E">
            <w:pPr>
              <w:tabs>
                <w:tab w:val="left" w:pos="1080"/>
              </w:tabs>
              <w:snapToGrid w:val="0"/>
              <w:jc w:val="left"/>
              <w:rPr>
                <w:rFonts w:hint="eastAsia" w:ascii="宋体" w:hAnsi="宋体"/>
                <w:sz w:val="24"/>
                <w:highlight w:val="none"/>
              </w:rPr>
            </w:pPr>
            <w:r>
              <w:rPr>
                <w:rFonts w:ascii="宋体" w:hAnsi="宋体"/>
                <w:sz w:val="24"/>
                <w:highlight w:val="none"/>
              </w:rPr>
              <w:t>具体要求见第一章《采购邀请》</w:t>
            </w:r>
          </w:p>
        </w:tc>
        <w:tc>
          <w:tcPr>
            <w:tcW w:w="940" w:type="pct"/>
            <w:vAlign w:val="center"/>
          </w:tcPr>
          <w:p w14:paraId="19A99F31">
            <w:pPr>
              <w:tabs>
                <w:tab w:val="left" w:pos="1080"/>
              </w:tabs>
              <w:snapToGrid w:val="0"/>
              <w:jc w:val="left"/>
              <w:rPr>
                <w:rFonts w:hint="eastAsia" w:ascii="宋体" w:hAnsi="宋体"/>
                <w:sz w:val="24"/>
                <w:highlight w:val="none"/>
              </w:rPr>
            </w:pPr>
          </w:p>
        </w:tc>
      </w:tr>
      <w:tr w14:paraId="25531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8" w:hRule="atLeast"/>
          <w:jc w:val="center"/>
        </w:trPr>
        <w:tc>
          <w:tcPr>
            <w:tcW w:w="414" w:type="pct"/>
            <w:vAlign w:val="center"/>
          </w:tcPr>
          <w:p w14:paraId="6BB2158D">
            <w:pPr>
              <w:tabs>
                <w:tab w:val="left" w:pos="1080"/>
              </w:tabs>
              <w:snapToGrid w:val="0"/>
              <w:jc w:val="center"/>
              <w:rPr>
                <w:rFonts w:hint="eastAsia" w:ascii="宋体" w:hAnsi="宋体"/>
                <w:sz w:val="24"/>
                <w:highlight w:val="none"/>
              </w:rPr>
            </w:pPr>
            <w:r>
              <w:rPr>
                <w:rFonts w:ascii="宋体" w:hAnsi="宋体"/>
                <w:sz w:val="24"/>
                <w:highlight w:val="none"/>
              </w:rPr>
              <w:t>2-1</w:t>
            </w:r>
          </w:p>
        </w:tc>
        <w:tc>
          <w:tcPr>
            <w:tcW w:w="976" w:type="pct"/>
            <w:vAlign w:val="center"/>
          </w:tcPr>
          <w:p w14:paraId="29F1AA26">
            <w:pPr>
              <w:tabs>
                <w:tab w:val="left" w:pos="1080"/>
              </w:tabs>
              <w:snapToGrid w:val="0"/>
              <w:jc w:val="left"/>
              <w:rPr>
                <w:rFonts w:hint="eastAsia" w:ascii="宋体" w:hAnsi="宋体"/>
                <w:sz w:val="24"/>
                <w:highlight w:val="none"/>
              </w:rPr>
            </w:pPr>
            <w:r>
              <w:rPr>
                <w:rFonts w:ascii="宋体" w:hAnsi="宋体"/>
                <w:sz w:val="24"/>
                <w:highlight w:val="none"/>
              </w:rPr>
              <w:t>中小企业政策</w:t>
            </w:r>
            <w:r>
              <w:rPr>
                <w:rFonts w:hint="eastAsia" w:ascii="宋体" w:hAnsi="宋体"/>
                <w:sz w:val="24"/>
                <w:highlight w:val="none"/>
              </w:rPr>
              <w:t>证明文件</w:t>
            </w:r>
          </w:p>
        </w:tc>
        <w:tc>
          <w:tcPr>
            <w:tcW w:w="2669" w:type="pct"/>
            <w:vAlign w:val="center"/>
          </w:tcPr>
          <w:p w14:paraId="37194B3F">
            <w:pPr>
              <w:tabs>
                <w:tab w:val="left" w:pos="1080"/>
              </w:tabs>
              <w:snapToGrid w:val="0"/>
              <w:jc w:val="left"/>
              <w:rPr>
                <w:rFonts w:hint="eastAsia" w:ascii="宋体" w:hAnsi="宋体"/>
                <w:sz w:val="24"/>
                <w:highlight w:val="none"/>
              </w:rPr>
            </w:pPr>
            <w:r>
              <w:rPr>
                <w:rFonts w:ascii="宋体" w:hAnsi="宋体"/>
                <w:sz w:val="24"/>
                <w:highlight w:val="none"/>
              </w:rPr>
              <w:t>具体要求见第一章《采购邀请》</w:t>
            </w:r>
          </w:p>
        </w:tc>
        <w:tc>
          <w:tcPr>
            <w:tcW w:w="940" w:type="pct"/>
            <w:vAlign w:val="center"/>
          </w:tcPr>
          <w:p w14:paraId="606888C0">
            <w:pPr>
              <w:tabs>
                <w:tab w:val="left" w:pos="1080"/>
              </w:tabs>
              <w:snapToGrid w:val="0"/>
              <w:jc w:val="left"/>
              <w:rPr>
                <w:rFonts w:hint="eastAsia" w:ascii="宋体" w:hAnsi="宋体"/>
                <w:sz w:val="24"/>
                <w:highlight w:val="none"/>
              </w:rPr>
            </w:pPr>
          </w:p>
        </w:tc>
      </w:tr>
      <w:tr w14:paraId="78DD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80" w:hRule="atLeast"/>
          <w:jc w:val="center"/>
        </w:trPr>
        <w:tc>
          <w:tcPr>
            <w:tcW w:w="414" w:type="pct"/>
            <w:vAlign w:val="center"/>
          </w:tcPr>
          <w:p w14:paraId="7FC9A155">
            <w:pPr>
              <w:tabs>
                <w:tab w:val="left" w:pos="1080"/>
              </w:tabs>
              <w:snapToGrid w:val="0"/>
              <w:jc w:val="center"/>
              <w:rPr>
                <w:rFonts w:hint="eastAsia" w:ascii="宋体" w:hAnsi="宋体"/>
                <w:sz w:val="24"/>
                <w:highlight w:val="none"/>
              </w:rPr>
            </w:pPr>
            <w:r>
              <w:rPr>
                <w:rFonts w:ascii="宋体" w:hAnsi="宋体"/>
                <w:sz w:val="24"/>
                <w:highlight w:val="none"/>
              </w:rPr>
              <w:t>2-1-1</w:t>
            </w:r>
          </w:p>
        </w:tc>
        <w:tc>
          <w:tcPr>
            <w:tcW w:w="976" w:type="pct"/>
            <w:vAlign w:val="center"/>
          </w:tcPr>
          <w:p w14:paraId="753F2998">
            <w:pPr>
              <w:tabs>
                <w:tab w:val="left" w:pos="1080"/>
              </w:tabs>
              <w:snapToGrid w:val="0"/>
              <w:jc w:val="left"/>
              <w:rPr>
                <w:rFonts w:hint="eastAsia" w:ascii="宋体" w:hAnsi="宋体"/>
                <w:sz w:val="24"/>
                <w:highlight w:val="none"/>
              </w:rPr>
            </w:pPr>
            <w:r>
              <w:rPr>
                <w:rFonts w:ascii="宋体" w:hAnsi="宋体"/>
                <w:sz w:val="24"/>
                <w:highlight w:val="none"/>
              </w:rPr>
              <w:t>中小企业证明文件</w:t>
            </w:r>
          </w:p>
        </w:tc>
        <w:tc>
          <w:tcPr>
            <w:tcW w:w="2669" w:type="pct"/>
            <w:vAlign w:val="center"/>
          </w:tcPr>
          <w:p w14:paraId="132BA5D5">
            <w:pPr>
              <w:tabs>
                <w:tab w:val="left" w:pos="1080"/>
              </w:tabs>
              <w:snapToGrid w:val="0"/>
              <w:jc w:val="left"/>
              <w:rPr>
                <w:rFonts w:hint="eastAsia" w:ascii="宋体" w:hAnsi="宋体"/>
                <w:sz w:val="24"/>
                <w:highlight w:val="none"/>
              </w:rPr>
            </w:pPr>
            <w:r>
              <w:rPr>
                <w:rFonts w:ascii="宋体" w:hAnsi="宋体"/>
                <w:sz w:val="24"/>
                <w:highlight w:val="none"/>
              </w:rPr>
              <w:t xml:space="preserve">当本项目（包）涉及预留份额专门面向中小企业采购，提供如下资料： </w:t>
            </w:r>
          </w:p>
          <w:p w14:paraId="0C85885E">
            <w:pPr>
              <w:tabs>
                <w:tab w:val="left" w:pos="1080"/>
              </w:tabs>
              <w:snapToGrid w:val="0"/>
              <w:jc w:val="left"/>
              <w:rPr>
                <w:rFonts w:hint="eastAsia" w:ascii="宋体" w:hAnsi="宋体"/>
                <w:sz w:val="24"/>
                <w:highlight w:val="none"/>
              </w:rPr>
            </w:pPr>
            <w:r>
              <w:rPr>
                <w:rFonts w:ascii="宋体" w:hAnsi="宋体"/>
                <w:sz w:val="24"/>
                <w:highlight w:val="none"/>
              </w:rPr>
              <w:t>1、供应商单独响应的，应提供《中小企业声明函》或《残疾人福利性单位声明函》或由省级以上监狱管理局、戒毒管理局（含新疆生产建设兵团）出具的属于监狱企业的证明文件。</w:t>
            </w:r>
          </w:p>
          <w:p w14:paraId="79CD2329">
            <w:pPr>
              <w:tabs>
                <w:tab w:val="left" w:pos="1080"/>
              </w:tabs>
              <w:snapToGrid w:val="0"/>
              <w:jc w:val="left"/>
              <w:rPr>
                <w:rFonts w:hint="eastAsia" w:ascii="宋体" w:hAnsi="宋体"/>
                <w:sz w:val="24"/>
                <w:highlight w:val="none"/>
              </w:rPr>
            </w:pPr>
            <w:r>
              <w:rPr>
                <w:rFonts w:ascii="宋体" w:hAnsi="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40" w:type="pct"/>
            <w:vAlign w:val="center"/>
          </w:tcPr>
          <w:p w14:paraId="4DCAD1C2">
            <w:pPr>
              <w:tabs>
                <w:tab w:val="left" w:pos="1080"/>
              </w:tabs>
              <w:snapToGrid w:val="0"/>
              <w:jc w:val="left"/>
              <w:rPr>
                <w:rFonts w:hint="eastAsia" w:ascii="宋体" w:hAnsi="宋体"/>
                <w:sz w:val="24"/>
                <w:highlight w:val="none"/>
              </w:rPr>
            </w:pPr>
            <w:r>
              <w:rPr>
                <w:rFonts w:ascii="宋体" w:hAnsi="宋体"/>
                <w:sz w:val="24"/>
                <w:highlight w:val="none"/>
              </w:rPr>
              <w:t>格式见《响应文件格式》</w:t>
            </w:r>
          </w:p>
        </w:tc>
      </w:tr>
      <w:tr w14:paraId="6AED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53" w:hRule="atLeast"/>
          <w:jc w:val="center"/>
        </w:trPr>
        <w:tc>
          <w:tcPr>
            <w:tcW w:w="414" w:type="pct"/>
            <w:vAlign w:val="center"/>
          </w:tcPr>
          <w:p w14:paraId="704E9C76">
            <w:pPr>
              <w:tabs>
                <w:tab w:val="left" w:pos="1080"/>
              </w:tabs>
              <w:snapToGrid w:val="0"/>
              <w:jc w:val="center"/>
              <w:rPr>
                <w:rFonts w:hint="eastAsia" w:ascii="宋体" w:hAnsi="宋体"/>
                <w:sz w:val="24"/>
                <w:highlight w:val="none"/>
              </w:rPr>
            </w:pPr>
            <w:r>
              <w:rPr>
                <w:rFonts w:ascii="宋体" w:hAnsi="宋体"/>
                <w:sz w:val="24"/>
                <w:highlight w:val="none"/>
              </w:rPr>
              <w:t>2-1-2</w:t>
            </w:r>
          </w:p>
        </w:tc>
        <w:tc>
          <w:tcPr>
            <w:tcW w:w="976" w:type="pct"/>
            <w:vAlign w:val="center"/>
          </w:tcPr>
          <w:p w14:paraId="12D53E00">
            <w:pPr>
              <w:tabs>
                <w:tab w:val="left" w:pos="1080"/>
              </w:tabs>
              <w:snapToGrid w:val="0"/>
              <w:jc w:val="left"/>
              <w:rPr>
                <w:rFonts w:hint="eastAsia" w:ascii="宋体" w:hAnsi="宋体"/>
                <w:sz w:val="24"/>
                <w:highlight w:val="none"/>
              </w:rPr>
            </w:pPr>
            <w:r>
              <w:rPr>
                <w:rFonts w:ascii="宋体" w:hAnsi="宋体"/>
                <w:sz w:val="24"/>
                <w:highlight w:val="none"/>
              </w:rPr>
              <w:t>拟分包情况说明及分包意向协议</w:t>
            </w:r>
          </w:p>
        </w:tc>
        <w:tc>
          <w:tcPr>
            <w:tcW w:w="2669" w:type="pct"/>
            <w:vAlign w:val="center"/>
          </w:tcPr>
          <w:p w14:paraId="19B84578">
            <w:pPr>
              <w:tabs>
                <w:tab w:val="left" w:pos="1080"/>
              </w:tabs>
              <w:snapToGrid w:val="0"/>
              <w:jc w:val="left"/>
              <w:rPr>
                <w:rFonts w:hint="eastAsia" w:ascii="宋体" w:hAnsi="宋体"/>
                <w:sz w:val="24"/>
                <w:highlight w:val="none"/>
              </w:rPr>
            </w:pPr>
            <w:r>
              <w:rPr>
                <w:rFonts w:ascii="宋体" w:hAnsi="宋体"/>
                <w:sz w:val="24"/>
                <w:highlight w:val="none"/>
              </w:rPr>
              <w:t>如本项目（包）要求通过分包措施预留部分采购份额面向中小企业采购、且供应商因落实政府采购政策拟进行分包的，必须提供；否则无须提供。</w:t>
            </w:r>
          </w:p>
          <w:p w14:paraId="4D4DBA4D">
            <w:pPr>
              <w:tabs>
                <w:tab w:val="left" w:pos="1080"/>
              </w:tabs>
              <w:snapToGrid w:val="0"/>
              <w:jc w:val="left"/>
              <w:rPr>
                <w:rFonts w:hint="eastAsia" w:ascii="宋体" w:hAnsi="宋体"/>
                <w:b/>
                <w:sz w:val="24"/>
                <w:highlight w:val="none"/>
              </w:rPr>
            </w:pPr>
            <w:r>
              <w:rPr>
                <w:rFonts w:ascii="宋体" w:hAnsi="宋体"/>
                <w:sz w:val="24"/>
                <w:highlight w:val="none"/>
              </w:rPr>
              <w:t>对于预留份额专门面向中小企业采购的项目（包），组成联合体或者接受分包合同的中小企业与联合体内其他企业、分包企业之间不得存在直接控股、管理关系。</w:t>
            </w:r>
          </w:p>
        </w:tc>
        <w:tc>
          <w:tcPr>
            <w:tcW w:w="940" w:type="pct"/>
            <w:vAlign w:val="center"/>
          </w:tcPr>
          <w:p w14:paraId="39F0EE2B">
            <w:pPr>
              <w:tabs>
                <w:tab w:val="left" w:pos="1080"/>
              </w:tabs>
              <w:snapToGrid w:val="0"/>
              <w:jc w:val="left"/>
              <w:rPr>
                <w:rFonts w:hint="eastAsia" w:ascii="宋体" w:hAnsi="宋体"/>
                <w:sz w:val="24"/>
                <w:highlight w:val="none"/>
              </w:rPr>
            </w:pPr>
            <w:r>
              <w:rPr>
                <w:rFonts w:ascii="宋体" w:hAnsi="宋体"/>
                <w:sz w:val="24"/>
                <w:highlight w:val="none"/>
              </w:rPr>
              <w:t>格式见《响应文件格式》</w:t>
            </w:r>
          </w:p>
        </w:tc>
      </w:tr>
      <w:tr w14:paraId="0A2B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1" w:hRule="atLeast"/>
          <w:jc w:val="center"/>
        </w:trPr>
        <w:tc>
          <w:tcPr>
            <w:tcW w:w="414" w:type="pct"/>
            <w:vAlign w:val="center"/>
          </w:tcPr>
          <w:p w14:paraId="3FA1EC57">
            <w:pPr>
              <w:tabs>
                <w:tab w:val="left" w:pos="1080"/>
              </w:tabs>
              <w:snapToGrid w:val="0"/>
              <w:jc w:val="center"/>
              <w:rPr>
                <w:rFonts w:hint="eastAsia" w:ascii="宋体" w:hAnsi="宋体"/>
                <w:sz w:val="24"/>
                <w:highlight w:val="none"/>
              </w:rPr>
            </w:pPr>
            <w:r>
              <w:rPr>
                <w:rFonts w:ascii="宋体" w:hAnsi="宋体"/>
                <w:sz w:val="24"/>
                <w:highlight w:val="none"/>
              </w:rPr>
              <w:t>2-2</w:t>
            </w:r>
          </w:p>
        </w:tc>
        <w:tc>
          <w:tcPr>
            <w:tcW w:w="976" w:type="pct"/>
            <w:vAlign w:val="center"/>
          </w:tcPr>
          <w:p w14:paraId="41F4940E">
            <w:pPr>
              <w:tabs>
                <w:tab w:val="left" w:pos="1080"/>
              </w:tabs>
              <w:snapToGrid w:val="0"/>
              <w:jc w:val="left"/>
              <w:rPr>
                <w:rFonts w:hint="eastAsia" w:ascii="宋体" w:hAnsi="宋体"/>
                <w:sz w:val="24"/>
                <w:highlight w:val="none"/>
              </w:rPr>
            </w:pPr>
            <w:r>
              <w:rPr>
                <w:rFonts w:ascii="宋体" w:hAnsi="宋体"/>
                <w:sz w:val="24"/>
                <w:highlight w:val="none"/>
              </w:rPr>
              <w:t>其它落实政府采购政策的资格要求</w:t>
            </w:r>
          </w:p>
        </w:tc>
        <w:tc>
          <w:tcPr>
            <w:tcW w:w="2669" w:type="pct"/>
            <w:vAlign w:val="center"/>
          </w:tcPr>
          <w:p w14:paraId="5EE0BDBE">
            <w:pPr>
              <w:tabs>
                <w:tab w:val="left" w:pos="1080"/>
              </w:tabs>
              <w:snapToGrid w:val="0"/>
              <w:jc w:val="left"/>
              <w:rPr>
                <w:rFonts w:hint="eastAsia" w:ascii="宋体" w:hAnsi="宋体"/>
                <w:sz w:val="24"/>
                <w:highlight w:val="none"/>
              </w:rPr>
            </w:pPr>
            <w:r>
              <w:rPr>
                <w:rFonts w:ascii="宋体" w:hAnsi="宋体"/>
                <w:sz w:val="24"/>
                <w:highlight w:val="none"/>
              </w:rPr>
              <w:t>如有，见第一章《采购邀请》</w:t>
            </w:r>
          </w:p>
        </w:tc>
        <w:tc>
          <w:tcPr>
            <w:tcW w:w="940" w:type="pct"/>
            <w:vAlign w:val="center"/>
          </w:tcPr>
          <w:p w14:paraId="6EDC0800">
            <w:pPr>
              <w:tabs>
                <w:tab w:val="left" w:pos="1080"/>
              </w:tabs>
              <w:snapToGrid w:val="0"/>
              <w:jc w:val="left"/>
              <w:rPr>
                <w:rFonts w:hint="eastAsia" w:ascii="宋体" w:hAnsi="宋体"/>
                <w:sz w:val="24"/>
                <w:highlight w:val="none"/>
              </w:rPr>
            </w:pPr>
            <w:r>
              <w:rPr>
                <w:rFonts w:ascii="宋体" w:hAnsi="宋体"/>
                <w:sz w:val="24"/>
                <w:highlight w:val="none"/>
              </w:rPr>
              <w:t>提供证明文件的电子件或电子证照</w:t>
            </w:r>
          </w:p>
        </w:tc>
      </w:tr>
      <w:tr w14:paraId="14E4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8" w:hRule="atLeast"/>
          <w:jc w:val="center"/>
        </w:trPr>
        <w:tc>
          <w:tcPr>
            <w:tcW w:w="414" w:type="pct"/>
            <w:vAlign w:val="center"/>
          </w:tcPr>
          <w:p w14:paraId="4CF178AE">
            <w:pPr>
              <w:tabs>
                <w:tab w:val="left" w:pos="1080"/>
              </w:tabs>
              <w:snapToGrid w:val="0"/>
              <w:jc w:val="center"/>
              <w:rPr>
                <w:rFonts w:hint="eastAsia" w:ascii="宋体" w:hAnsi="宋体"/>
                <w:sz w:val="24"/>
                <w:highlight w:val="none"/>
              </w:rPr>
            </w:pPr>
            <w:r>
              <w:rPr>
                <w:rFonts w:ascii="宋体" w:hAnsi="宋体"/>
                <w:sz w:val="24"/>
                <w:highlight w:val="none"/>
              </w:rPr>
              <w:t>3</w:t>
            </w:r>
          </w:p>
        </w:tc>
        <w:tc>
          <w:tcPr>
            <w:tcW w:w="976" w:type="pct"/>
            <w:vAlign w:val="center"/>
          </w:tcPr>
          <w:p w14:paraId="66AF8FC3">
            <w:pPr>
              <w:tabs>
                <w:tab w:val="left" w:pos="1080"/>
              </w:tabs>
              <w:snapToGrid w:val="0"/>
              <w:jc w:val="left"/>
              <w:rPr>
                <w:rFonts w:hint="eastAsia" w:ascii="宋体" w:hAnsi="宋体"/>
                <w:sz w:val="24"/>
                <w:highlight w:val="none"/>
              </w:rPr>
            </w:pPr>
            <w:r>
              <w:rPr>
                <w:rFonts w:ascii="宋体" w:hAnsi="宋体"/>
                <w:sz w:val="24"/>
                <w:highlight w:val="none"/>
              </w:rPr>
              <w:t>本项目的特定资格要求</w:t>
            </w:r>
          </w:p>
        </w:tc>
        <w:tc>
          <w:tcPr>
            <w:tcW w:w="2669" w:type="pct"/>
            <w:vAlign w:val="center"/>
          </w:tcPr>
          <w:p w14:paraId="782B22E6">
            <w:pPr>
              <w:tabs>
                <w:tab w:val="left" w:pos="1080"/>
              </w:tabs>
              <w:snapToGrid w:val="0"/>
              <w:jc w:val="left"/>
              <w:rPr>
                <w:rFonts w:hint="eastAsia" w:ascii="宋体" w:hAnsi="宋体"/>
                <w:sz w:val="24"/>
                <w:highlight w:val="none"/>
              </w:rPr>
            </w:pPr>
            <w:r>
              <w:rPr>
                <w:rFonts w:ascii="宋体" w:hAnsi="宋体"/>
                <w:sz w:val="24"/>
                <w:highlight w:val="none"/>
              </w:rPr>
              <w:t>如有，见第一章《采购邀请》</w:t>
            </w:r>
          </w:p>
        </w:tc>
        <w:tc>
          <w:tcPr>
            <w:tcW w:w="940" w:type="pct"/>
            <w:vAlign w:val="center"/>
          </w:tcPr>
          <w:p w14:paraId="29E6C373">
            <w:pPr>
              <w:tabs>
                <w:tab w:val="left" w:pos="1080"/>
              </w:tabs>
              <w:snapToGrid w:val="0"/>
              <w:jc w:val="left"/>
              <w:rPr>
                <w:rFonts w:hint="eastAsia" w:ascii="宋体" w:hAnsi="宋体"/>
                <w:sz w:val="24"/>
                <w:highlight w:val="none"/>
              </w:rPr>
            </w:pPr>
          </w:p>
        </w:tc>
      </w:tr>
      <w:tr w14:paraId="7686D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0" w:hRule="atLeast"/>
          <w:jc w:val="center"/>
        </w:trPr>
        <w:tc>
          <w:tcPr>
            <w:tcW w:w="414" w:type="pct"/>
            <w:vAlign w:val="center"/>
          </w:tcPr>
          <w:p w14:paraId="28207714">
            <w:pPr>
              <w:tabs>
                <w:tab w:val="left" w:pos="1080"/>
              </w:tabs>
              <w:snapToGrid w:val="0"/>
              <w:jc w:val="center"/>
              <w:rPr>
                <w:rFonts w:hint="eastAsia" w:ascii="宋体" w:hAnsi="宋体"/>
                <w:sz w:val="24"/>
                <w:highlight w:val="none"/>
              </w:rPr>
            </w:pPr>
            <w:r>
              <w:rPr>
                <w:rFonts w:ascii="宋体" w:hAnsi="宋体"/>
                <w:sz w:val="24"/>
                <w:highlight w:val="none"/>
              </w:rPr>
              <w:t>3-1</w:t>
            </w:r>
          </w:p>
        </w:tc>
        <w:tc>
          <w:tcPr>
            <w:tcW w:w="976" w:type="pct"/>
            <w:vAlign w:val="center"/>
          </w:tcPr>
          <w:p w14:paraId="00850DAA">
            <w:pPr>
              <w:tabs>
                <w:tab w:val="left" w:pos="1080"/>
              </w:tabs>
              <w:snapToGrid w:val="0"/>
              <w:rPr>
                <w:rFonts w:hint="eastAsia" w:ascii="宋体" w:hAnsi="宋体"/>
                <w:sz w:val="24"/>
                <w:highlight w:val="none"/>
              </w:rPr>
            </w:pPr>
            <w:r>
              <w:rPr>
                <w:rFonts w:ascii="宋体" w:hAnsi="宋体"/>
                <w:sz w:val="24"/>
                <w:highlight w:val="none"/>
              </w:rPr>
              <w:t>本项目对于联合体的要求</w:t>
            </w:r>
          </w:p>
        </w:tc>
        <w:tc>
          <w:tcPr>
            <w:tcW w:w="2669" w:type="pct"/>
            <w:vAlign w:val="center"/>
          </w:tcPr>
          <w:p w14:paraId="0B69EC9B">
            <w:pPr>
              <w:tabs>
                <w:tab w:val="left" w:pos="1080"/>
              </w:tabs>
              <w:snapToGrid w:val="0"/>
              <w:rPr>
                <w:rFonts w:hint="eastAsia" w:ascii="宋体" w:hAnsi="宋体"/>
                <w:sz w:val="24"/>
                <w:highlight w:val="none"/>
              </w:rPr>
            </w:pPr>
            <w:r>
              <w:rPr>
                <w:rFonts w:ascii="宋体" w:hAnsi="宋体"/>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9A6B279">
            <w:pPr>
              <w:tabs>
                <w:tab w:val="left" w:pos="1080"/>
              </w:tabs>
              <w:snapToGrid w:val="0"/>
              <w:rPr>
                <w:rFonts w:hint="eastAsia" w:ascii="宋体" w:hAnsi="宋体"/>
                <w:sz w:val="24"/>
                <w:highlight w:val="none"/>
              </w:rPr>
            </w:pPr>
            <w:r>
              <w:rPr>
                <w:rFonts w:ascii="宋体" w:hAnsi="宋体"/>
                <w:sz w:val="24"/>
                <w:highlight w:val="none"/>
              </w:rPr>
              <w:t>2、联合体各成员单位均须提供本表中序号1-1、1-2的证明文件。联合体各成员单位均应满足本表3-2项规定。</w:t>
            </w:r>
          </w:p>
          <w:p w14:paraId="0B19D232">
            <w:pPr>
              <w:tabs>
                <w:tab w:val="left" w:pos="1080"/>
              </w:tabs>
              <w:snapToGrid w:val="0"/>
              <w:rPr>
                <w:rFonts w:hint="eastAsia" w:ascii="宋体" w:hAnsi="宋体"/>
                <w:sz w:val="24"/>
                <w:highlight w:val="none"/>
              </w:rPr>
            </w:pPr>
            <w:r>
              <w:rPr>
                <w:rFonts w:ascii="宋体" w:hAnsi="宋体"/>
                <w:sz w:val="24"/>
                <w:highlight w:val="none"/>
              </w:rPr>
              <w:t>3、本表序号3-3项规定的其他特定资格要求中的每一小项要求，联合体各方中至少应当有一方符合本表中其他资格要求并提供证明文件。</w:t>
            </w:r>
          </w:p>
          <w:p w14:paraId="78A17831">
            <w:pPr>
              <w:tabs>
                <w:tab w:val="left" w:pos="1080"/>
              </w:tabs>
              <w:snapToGrid w:val="0"/>
              <w:rPr>
                <w:rFonts w:hint="eastAsia" w:ascii="宋体" w:hAnsi="宋体"/>
                <w:sz w:val="24"/>
                <w:highlight w:val="none"/>
              </w:rPr>
            </w:pPr>
            <w:r>
              <w:rPr>
                <w:rFonts w:ascii="宋体" w:hAnsi="宋体"/>
                <w:sz w:val="24"/>
                <w:highlight w:val="none"/>
              </w:rPr>
              <w:t>4、联合体中有同类资质的供应商按照联合体分工承担相同工作的，应当按照资质等级较低的供应商确定资质等级。</w:t>
            </w:r>
          </w:p>
          <w:p w14:paraId="658CDA32">
            <w:pPr>
              <w:tabs>
                <w:tab w:val="left" w:pos="1080"/>
              </w:tabs>
              <w:snapToGrid w:val="0"/>
              <w:rPr>
                <w:rFonts w:hint="eastAsia" w:ascii="宋体" w:hAnsi="宋体"/>
                <w:sz w:val="24"/>
                <w:highlight w:val="none"/>
              </w:rPr>
            </w:pPr>
            <w:r>
              <w:rPr>
                <w:rFonts w:ascii="宋体" w:hAnsi="宋体"/>
                <w:sz w:val="24"/>
                <w:highlight w:val="none"/>
              </w:rPr>
              <w:t>5、以联合体形式参加政府采购活动的，联合体各方不得再单独参加或者与其他供应商另外组成联合体参加同一合同项下的政府采购活动。</w:t>
            </w:r>
          </w:p>
          <w:p w14:paraId="679BADAB">
            <w:pPr>
              <w:tabs>
                <w:tab w:val="left" w:pos="1080"/>
              </w:tabs>
              <w:snapToGrid w:val="0"/>
              <w:rPr>
                <w:rFonts w:hint="eastAsia" w:ascii="宋体" w:hAnsi="宋体"/>
                <w:sz w:val="24"/>
                <w:highlight w:val="none"/>
              </w:rPr>
            </w:pPr>
            <w:r>
              <w:rPr>
                <w:rFonts w:ascii="宋体" w:hAnsi="宋体"/>
                <w:sz w:val="24"/>
                <w:highlight w:val="none"/>
              </w:rPr>
              <w:t>6、若联合体中任一成员单位中途退出，则该联合体的</w:t>
            </w:r>
            <w:r>
              <w:rPr>
                <w:rFonts w:ascii="宋体" w:hAnsi="宋体"/>
                <w:b/>
                <w:sz w:val="24"/>
                <w:highlight w:val="none"/>
              </w:rPr>
              <w:t>响应无效</w:t>
            </w:r>
            <w:r>
              <w:rPr>
                <w:rFonts w:ascii="宋体" w:hAnsi="宋体"/>
                <w:sz w:val="24"/>
                <w:highlight w:val="none"/>
              </w:rPr>
              <w:t>。</w:t>
            </w:r>
          </w:p>
          <w:p w14:paraId="5A625C7A">
            <w:pPr>
              <w:tabs>
                <w:tab w:val="left" w:pos="1080"/>
              </w:tabs>
              <w:snapToGrid w:val="0"/>
              <w:rPr>
                <w:rFonts w:hint="eastAsia" w:ascii="宋体" w:hAnsi="宋体"/>
                <w:sz w:val="24"/>
                <w:highlight w:val="none"/>
              </w:rPr>
            </w:pPr>
            <w:r>
              <w:rPr>
                <w:rFonts w:ascii="宋体" w:hAnsi="宋体"/>
                <w:sz w:val="24"/>
                <w:highlight w:val="none"/>
              </w:rPr>
              <w:t xml:space="preserve">7、本项目不接受联合体响应时，供应商不得为联合体。 </w:t>
            </w:r>
          </w:p>
        </w:tc>
        <w:tc>
          <w:tcPr>
            <w:tcW w:w="940" w:type="pct"/>
            <w:vAlign w:val="center"/>
          </w:tcPr>
          <w:p w14:paraId="0A82889E">
            <w:pPr>
              <w:tabs>
                <w:tab w:val="left" w:pos="1080"/>
              </w:tabs>
              <w:snapToGrid w:val="0"/>
              <w:rPr>
                <w:rFonts w:hint="eastAsia" w:ascii="宋体" w:hAnsi="宋体"/>
                <w:sz w:val="24"/>
                <w:highlight w:val="none"/>
              </w:rPr>
            </w:pPr>
            <w:r>
              <w:rPr>
                <w:rFonts w:ascii="宋体" w:hAnsi="宋体"/>
                <w:sz w:val="24"/>
                <w:highlight w:val="none"/>
              </w:rPr>
              <w:t>提供《联合协议》原件的电子件</w:t>
            </w:r>
          </w:p>
          <w:p w14:paraId="4CBFD623">
            <w:pPr>
              <w:tabs>
                <w:tab w:val="left" w:pos="1080"/>
              </w:tabs>
              <w:snapToGrid w:val="0"/>
              <w:rPr>
                <w:rFonts w:hint="eastAsia" w:ascii="宋体" w:hAnsi="宋体"/>
                <w:sz w:val="24"/>
                <w:highlight w:val="none"/>
              </w:rPr>
            </w:pPr>
            <w:r>
              <w:rPr>
                <w:rFonts w:ascii="宋体" w:hAnsi="宋体"/>
                <w:sz w:val="24"/>
                <w:highlight w:val="none"/>
              </w:rPr>
              <w:t>格式见《响应文件格式》</w:t>
            </w:r>
          </w:p>
        </w:tc>
      </w:tr>
      <w:tr w14:paraId="7A15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7" w:hRule="atLeast"/>
          <w:jc w:val="center"/>
        </w:trPr>
        <w:tc>
          <w:tcPr>
            <w:tcW w:w="414" w:type="pct"/>
            <w:vAlign w:val="center"/>
          </w:tcPr>
          <w:p w14:paraId="2D85DB66">
            <w:pPr>
              <w:tabs>
                <w:tab w:val="left" w:pos="1080"/>
              </w:tabs>
              <w:snapToGrid w:val="0"/>
              <w:jc w:val="center"/>
              <w:rPr>
                <w:rFonts w:hint="eastAsia" w:ascii="宋体" w:hAnsi="宋体"/>
                <w:sz w:val="24"/>
                <w:highlight w:val="none"/>
              </w:rPr>
            </w:pPr>
            <w:r>
              <w:rPr>
                <w:rFonts w:ascii="宋体" w:hAnsi="宋体"/>
                <w:sz w:val="24"/>
                <w:highlight w:val="none"/>
              </w:rPr>
              <w:t>3-2</w:t>
            </w:r>
          </w:p>
        </w:tc>
        <w:tc>
          <w:tcPr>
            <w:tcW w:w="976" w:type="pct"/>
            <w:vAlign w:val="center"/>
          </w:tcPr>
          <w:p w14:paraId="033E9C05">
            <w:pPr>
              <w:tabs>
                <w:tab w:val="left" w:pos="1080"/>
              </w:tabs>
              <w:snapToGrid w:val="0"/>
              <w:rPr>
                <w:rFonts w:hint="eastAsia" w:ascii="宋体" w:hAnsi="宋体"/>
                <w:sz w:val="24"/>
                <w:highlight w:val="none"/>
              </w:rPr>
            </w:pPr>
            <w:r>
              <w:rPr>
                <w:rFonts w:ascii="宋体" w:hAnsi="宋体"/>
                <w:sz w:val="24"/>
                <w:highlight w:val="none"/>
              </w:rPr>
              <w:t>政府购买服务承接主体的要求</w:t>
            </w:r>
          </w:p>
        </w:tc>
        <w:tc>
          <w:tcPr>
            <w:tcW w:w="2669" w:type="pct"/>
            <w:vAlign w:val="center"/>
          </w:tcPr>
          <w:p w14:paraId="13F415A1">
            <w:pPr>
              <w:tabs>
                <w:tab w:val="left" w:pos="1080"/>
              </w:tabs>
              <w:snapToGrid w:val="0"/>
              <w:rPr>
                <w:rFonts w:hint="eastAsia" w:ascii="宋体" w:hAnsi="宋体"/>
                <w:sz w:val="24"/>
                <w:highlight w:val="none"/>
              </w:rPr>
            </w:pPr>
            <w:r>
              <w:rPr>
                <w:rFonts w:ascii="宋体" w:hAnsi="宋体"/>
                <w:sz w:val="24"/>
                <w:highlight w:val="none"/>
              </w:rPr>
              <w:t>如本项目属于政府购买服务，供应商不属于公益一类事业单位、使用事业编制且由财政拨款保障的群团组织。</w:t>
            </w:r>
          </w:p>
        </w:tc>
        <w:tc>
          <w:tcPr>
            <w:tcW w:w="940" w:type="pct"/>
            <w:vAlign w:val="center"/>
          </w:tcPr>
          <w:p w14:paraId="15EE829B">
            <w:pPr>
              <w:tabs>
                <w:tab w:val="left" w:pos="1080"/>
              </w:tabs>
              <w:snapToGrid w:val="0"/>
              <w:rPr>
                <w:rFonts w:hint="eastAsia" w:ascii="宋体" w:hAnsi="宋体"/>
                <w:sz w:val="24"/>
                <w:highlight w:val="none"/>
              </w:rPr>
            </w:pPr>
            <w:r>
              <w:rPr>
                <w:rFonts w:ascii="宋体" w:hAnsi="宋体"/>
                <w:sz w:val="24"/>
                <w:highlight w:val="none"/>
              </w:rPr>
              <w:t>格式见《响应文件格式》</w:t>
            </w:r>
            <w:r>
              <w:rPr>
                <w:rFonts w:hint="eastAsia" w:ascii="宋体" w:hAnsi="宋体"/>
                <w:sz w:val="24"/>
                <w:highlight w:val="none"/>
              </w:rPr>
              <w:t>“</w:t>
            </w:r>
            <w:r>
              <w:rPr>
                <w:rFonts w:ascii="宋体" w:hAnsi="宋体"/>
                <w:sz w:val="24"/>
                <w:highlight w:val="none"/>
              </w:rPr>
              <w:t xml:space="preserve">1-2 </w:t>
            </w:r>
            <w:r>
              <w:rPr>
                <w:rFonts w:hint="eastAsia" w:ascii="宋体" w:hAnsi="宋体"/>
                <w:sz w:val="24"/>
                <w:highlight w:val="none"/>
              </w:rPr>
              <w:t>供应商资格声明书”</w:t>
            </w:r>
          </w:p>
        </w:tc>
      </w:tr>
      <w:tr w14:paraId="4B610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7" w:hRule="atLeast"/>
          <w:jc w:val="center"/>
        </w:trPr>
        <w:tc>
          <w:tcPr>
            <w:tcW w:w="414" w:type="pct"/>
            <w:vAlign w:val="center"/>
          </w:tcPr>
          <w:p w14:paraId="1B337E35">
            <w:pPr>
              <w:tabs>
                <w:tab w:val="left" w:pos="1080"/>
              </w:tabs>
              <w:snapToGrid w:val="0"/>
              <w:jc w:val="center"/>
              <w:rPr>
                <w:rFonts w:hint="eastAsia" w:ascii="宋体" w:hAnsi="宋体"/>
                <w:sz w:val="24"/>
                <w:highlight w:val="none"/>
              </w:rPr>
            </w:pPr>
            <w:r>
              <w:rPr>
                <w:rFonts w:ascii="宋体" w:hAnsi="宋体"/>
                <w:sz w:val="24"/>
                <w:highlight w:val="none"/>
              </w:rPr>
              <w:t>3-3</w:t>
            </w:r>
          </w:p>
        </w:tc>
        <w:tc>
          <w:tcPr>
            <w:tcW w:w="976" w:type="pct"/>
            <w:vAlign w:val="center"/>
          </w:tcPr>
          <w:p w14:paraId="217D7DEA">
            <w:pPr>
              <w:tabs>
                <w:tab w:val="left" w:pos="1080"/>
              </w:tabs>
              <w:snapToGrid w:val="0"/>
              <w:rPr>
                <w:rFonts w:hint="eastAsia" w:ascii="宋体" w:hAnsi="宋体"/>
                <w:sz w:val="24"/>
                <w:highlight w:val="none"/>
              </w:rPr>
            </w:pPr>
            <w:r>
              <w:rPr>
                <w:rFonts w:ascii="宋体" w:hAnsi="宋体"/>
                <w:sz w:val="24"/>
                <w:highlight w:val="none"/>
              </w:rPr>
              <w:t>其他特定资格要求</w:t>
            </w:r>
          </w:p>
        </w:tc>
        <w:tc>
          <w:tcPr>
            <w:tcW w:w="2669" w:type="pct"/>
            <w:vAlign w:val="center"/>
          </w:tcPr>
          <w:p w14:paraId="6654387F">
            <w:pPr>
              <w:tabs>
                <w:tab w:val="left" w:pos="1080"/>
              </w:tabs>
              <w:snapToGrid w:val="0"/>
              <w:rPr>
                <w:rFonts w:hint="eastAsia" w:ascii="宋体" w:hAnsi="宋体"/>
                <w:sz w:val="24"/>
                <w:highlight w:val="none"/>
              </w:rPr>
            </w:pPr>
            <w:r>
              <w:rPr>
                <w:rFonts w:ascii="宋体" w:hAnsi="宋体"/>
                <w:color w:val="000000"/>
                <w:sz w:val="24"/>
                <w:highlight w:val="none"/>
              </w:rPr>
              <w:t>如有，见</w:t>
            </w:r>
            <w:r>
              <w:rPr>
                <w:rFonts w:ascii="宋体" w:hAnsi="宋体"/>
                <w:sz w:val="24"/>
                <w:highlight w:val="none"/>
              </w:rPr>
              <w:t>第一章《采购邀请》</w:t>
            </w:r>
          </w:p>
          <w:p w14:paraId="48084CB5">
            <w:pPr>
              <w:tabs>
                <w:tab w:val="left" w:pos="1080"/>
              </w:tabs>
              <w:snapToGrid w:val="0"/>
              <w:rPr>
                <w:rFonts w:hint="eastAsia" w:ascii="宋体" w:hAnsi="宋体"/>
                <w:sz w:val="24"/>
                <w:highlight w:val="none"/>
              </w:rPr>
            </w:pPr>
            <w:r>
              <w:rPr>
                <w:rFonts w:hint="eastAsia" w:ascii="宋体" w:hAnsi="宋体"/>
                <w:sz w:val="24"/>
                <w:highlight w:val="none"/>
              </w:rPr>
              <w:t>注：如</w:t>
            </w:r>
            <w:r>
              <w:rPr>
                <w:rFonts w:ascii="宋体" w:hAnsi="宋体"/>
                <w:sz w:val="24"/>
                <w:highlight w:val="none"/>
              </w:rPr>
              <w:t>联合体中有同类资质的供应商按照联合体分工承担相同工作的，</w:t>
            </w:r>
            <w:r>
              <w:rPr>
                <w:rFonts w:hint="eastAsia" w:ascii="宋体" w:hAnsi="宋体"/>
                <w:sz w:val="24"/>
                <w:highlight w:val="none"/>
              </w:rPr>
              <w:t>均</w:t>
            </w:r>
            <w:r>
              <w:rPr>
                <w:rFonts w:ascii="宋体" w:hAnsi="宋体"/>
                <w:sz w:val="24"/>
                <w:highlight w:val="none"/>
              </w:rPr>
              <w:t>应当</w:t>
            </w:r>
            <w:r>
              <w:rPr>
                <w:rFonts w:hint="eastAsia" w:ascii="宋体" w:hAnsi="宋体"/>
                <w:sz w:val="24"/>
                <w:highlight w:val="none"/>
              </w:rPr>
              <w:t>提供资质证书电子件或电子证照。</w:t>
            </w:r>
          </w:p>
        </w:tc>
        <w:tc>
          <w:tcPr>
            <w:tcW w:w="940" w:type="pct"/>
            <w:vAlign w:val="center"/>
          </w:tcPr>
          <w:p w14:paraId="01739D2A">
            <w:pPr>
              <w:tabs>
                <w:tab w:val="left" w:pos="1080"/>
              </w:tabs>
              <w:snapToGrid w:val="0"/>
              <w:rPr>
                <w:rFonts w:hint="eastAsia" w:ascii="宋体" w:hAnsi="宋体"/>
                <w:sz w:val="24"/>
                <w:highlight w:val="none"/>
              </w:rPr>
            </w:pPr>
            <w:r>
              <w:rPr>
                <w:rFonts w:ascii="宋体" w:hAnsi="宋体"/>
                <w:sz w:val="24"/>
                <w:highlight w:val="none"/>
              </w:rPr>
              <w:t>提供证明文件的电子件或电子证照</w:t>
            </w:r>
          </w:p>
        </w:tc>
      </w:tr>
      <w:tr w14:paraId="196B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8" w:hRule="atLeast"/>
          <w:jc w:val="center"/>
        </w:trPr>
        <w:tc>
          <w:tcPr>
            <w:tcW w:w="414" w:type="pct"/>
            <w:vAlign w:val="center"/>
          </w:tcPr>
          <w:p w14:paraId="6536002C">
            <w:pPr>
              <w:tabs>
                <w:tab w:val="left" w:pos="1080"/>
              </w:tabs>
              <w:snapToGrid w:val="0"/>
              <w:jc w:val="center"/>
              <w:rPr>
                <w:rFonts w:hint="eastAsia" w:ascii="宋体" w:hAnsi="宋体"/>
                <w:sz w:val="24"/>
                <w:highlight w:val="none"/>
              </w:rPr>
            </w:pPr>
            <w:r>
              <w:rPr>
                <w:rFonts w:ascii="宋体" w:hAnsi="宋体"/>
                <w:sz w:val="24"/>
                <w:highlight w:val="none"/>
              </w:rPr>
              <w:t>4</w:t>
            </w:r>
          </w:p>
        </w:tc>
        <w:tc>
          <w:tcPr>
            <w:tcW w:w="976" w:type="pct"/>
            <w:vAlign w:val="center"/>
          </w:tcPr>
          <w:p w14:paraId="63B19783">
            <w:pPr>
              <w:tabs>
                <w:tab w:val="left" w:pos="1080"/>
              </w:tabs>
              <w:snapToGrid w:val="0"/>
              <w:rPr>
                <w:rFonts w:hint="eastAsia" w:ascii="宋体" w:hAnsi="宋体"/>
                <w:sz w:val="24"/>
                <w:highlight w:val="none"/>
              </w:rPr>
            </w:pPr>
            <w:r>
              <w:rPr>
                <w:rFonts w:ascii="宋体" w:hAnsi="宋体"/>
                <w:color w:val="000000"/>
                <w:kern w:val="0"/>
                <w:sz w:val="24"/>
                <w:highlight w:val="none"/>
              </w:rPr>
              <w:t>磋商保证金</w:t>
            </w:r>
          </w:p>
        </w:tc>
        <w:tc>
          <w:tcPr>
            <w:tcW w:w="2669" w:type="pct"/>
            <w:vAlign w:val="center"/>
          </w:tcPr>
          <w:p w14:paraId="2F0E5C46">
            <w:pPr>
              <w:tabs>
                <w:tab w:val="left" w:pos="1080"/>
              </w:tabs>
              <w:snapToGrid w:val="0"/>
              <w:rPr>
                <w:rFonts w:hint="eastAsia" w:ascii="宋体" w:hAnsi="宋体"/>
                <w:color w:val="000000"/>
                <w:sz w:val="24"/>
                <w:highlight w:val="none"/>
              </w:rPr>
            </w:pPr>
            <w:r>
              <w:rPr>
                <w:rFonts w:ascii="宋体" w:hAnsi="宋体"/>
                <w:color w:val="000000"/>
                <w:kern w:val="0"/>
                <w:sz w:val="24"/>
                <w:highlight w:val="none"/>
              </w:rPr>
              <w:t>按照竞争性磋商文件的要求提交磋商保证金。</w:t>
            </w:r>
          </w:p>
        </w:tc>
        <w:tc>
          <w:tcPr>
            <w:tcW w:w="940" w:type="pct"/>
            <w:vAlign w:val="center"/>
          </w:tcPr>
          <w:p w14:paraId="54F6C18B">
            <w:pPr>
              <w:tabs>
                <w:tab w:val="left" w:pos="1080"/>
              </w:tabs>
              <w:snapToGrid w:val="0"/>
              <w:rPr>
                <w:rFonts w:hint="eastAsia" w:ascii="宋体" w:hAnsi="宋体"/>
                <w:sz w:val="24"/>
                <w:highlight w:val="none"/>
              </w:rPr>
            </w:pPr>
          </w:p>
        </w:tc>
      </w:tr>
      <w:tr w14:paraId="6987F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14" w:type="pct"/>
            <w:vAlign w:val="center"/>
          </w:tcPr>
          <w:p w14:paraId="5AE54B90">
            <w:pPr>
              <w:tabs>
                <w:tab w:val="left" w:pos="1080"/>
              </w:tabs>
              <w:snapToGrid w:val="0"/>
              <w:jc w:val="center"/>
              <w:rPr>
                <w:rFonts w:hint="eastAsia" w:ascii="宋体" w:hAnsi="宋体"/>
                <w:sz w:val="24"/>
                <w:highlight w:val="none"/>
              </w:rPr>
            </w:pPr>
            <w:r>
              <w:rPr>
                <w:rFonts w:hint="eastAsia" w:ascii="宋体" w:hAnsi="宋体"/>
                <w:sz w:val="24"/>
                <w:highlight w:val="none"/>
              </w:rPr>
              <w:t>5</w:t>
            </w:r>
          </w:p>
        </w:tc>
        <w:tc>
          <w:tcPr>
            <w:tcW w:w="976" w:type="pct"/>
            <w:vAlign w:val="center"/>
          </w:tcPr>
          <w:p w14:paraId="2990BF49">
            <w:pPr>
              <w:tabs>
                <w:tab w:val="left" w:pos="1080"/>
              </w:tabs>
              <w:snapToGrid w:val="0"/>
              <w:rPr>
                <w:rFonts w:hint="eastAsia" w:ascii="宋体" w:hAnsi="宋体"/>
                <w:color w:val="000000"/>
                <w:kern w:val="0"/>
                <w:sz w:val="24"/>
                <w:highlight w:val="none"/>
              </w:rPr>
            </w:pPr>
            <w:r>
              <w:rPr>
                <w:rFonts w:hint="eastAsia" w:ascii="宋体" w:hAnsi="宋体"/>
                <w:color w:val="000000"/>
                <w:kern w:val="0"/>
                <w:sz w:val="24"/>
                <w:highlight w:val="none"/>
              </w:rPr>
              <w:t>获取磋商文件</w:t>
            </w:r>
          </w:p>
        </w:tc>
        <w:tc>
          <w:tcPr>
            <w:tcW w:w="2669" w:type="pct"/>
            <w:vAlign w:val="center"/>
          </w:tcPr>
          <w:p w14:paraId="3107238B">
            <w:pPr>
              <w:tabs>
                <w:tab w:val="left" w:pos="1080"/>
              </w:tabs>
              <w:snapToGrid w:val="0"/>
              <w:rPr>
                <w:rFonts w:hint="eastAsia" w:ascii="宋体" w:hAnsi="宋体"/>
                <w:color w:val="000000"/>
                <w:kern w:val="0"/>
                <w:sz w:val="24"/>
                <w:highlight w:val="none"/>
              </w:rPr>
            </w:pPr>
            <w:r>
              <w:rPr>
                <w:rFonts w:hint="eastAsia" w:ascii="宋体" w:hAnsi="宋体"/>
                <w:color w:val="000000"/>
                <w:kern w:val="0"/>
                <w:sz w:val="24"/>
                <w:highlight w:val="none"/>
              </w:rPr>
              <w:t>在规定期限内通过北京市政府采购电子交易平台获取所参与包的磋商文件。</w:t>
            </w:r>
          </w:p>
          <w:p w14:paraId="79EB6508">
            <w:pPr>
              <w:tabs>
                <w:tab w:val="left" w:pos="1080"/>
              </w:tabs>
              <w:snapToGrid w:val="0"/>
              <w:rPr>
                <w:rFonts w:hint="eastAsia" w:ascii="宋体" w:hAnsi="宋体"/>
                <w:color w:val="000000"/>
                <w:kern w:val="0"/>
                <w:sz w:val="24"/>
                <w:highlight w:val="none"/>
              </w:rPr>
            </w:pPr>
            <w:r>
              <w:rPr>
                <w:rFonts w:hint="eastAsia" w:ascii="宋体" w:hAnsi="宋体"/>
                <w:color w:val="000000"/>
                <w:kern w:val="0"/>
                <w:sz w:val="24"/>
                <w:highlight w:val="none"/>
              </w:rPr>
              <w:t>注：如本项目接受联合体，且供应商为联合体时，联合体中任一成员获取文件即视为满足要求。</w:t>
            </w:r>
          </w:p>
        </w:tc>
        <w:tc>
          <w:tcPr>
            <w:tcW w:w="940" w:type="pct"/>
            <w:vAlign w:val="center"/>
          </w:tcPr>
          <w:p w14:paraId="568FE66E">
            <w:pPr>
              <w:tabs>
                <w:tab w:val="left" w:pos="1080"/>
              </w:tabs>
              <w:snapToGrid w:val="0"/>
              <w:rPr>
                <w:rFonts w:hint="eastAsia" w:ascii="宋体" w:hAnsi="宋体"/>
                <w:sz w:val="24"/>
                <w:highlight w:val="none"/>
              </w:rPr>
            </w:pPr>
          </w:p>
        </w:tc>
      </w:tr>
    </w:tbl>
    <w:p w14:paraId="1FA7E536">
      <w:pPr>
        <w:widowControl/>
        <w:jc w:val="left"/>
        <w:rPr>
          <w:rFonts w:hint="eastAsia" w:ascii="宋体" w:hAnsi="宋体"/>
          <w:sz w:val="24"/>
          <w:highlight w:val="none"/>
        </w:rPr>
      </w:pPr>
    </w:p>
    <w:p w14:paraId="07111A38">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《符合性审查要求》见下表：</w:t>
      </w:r>
    </w:p>
    <w:p w14:paraId="36278267">
      <w:pPr>
        <w:widowControl/>
        <w:spacing w:line="360" w:lineRule="auto"/>
        <w:jc w:val="center"/>
        <w:rPr>
          <w:rFonts w:hint="eastAsia" w:ascii="宋体" w:hAnsi="宋体"/>
          <w:b/>
          <w:color w:val="000000"/>
          <w:kern w:val="0"/>
          <w:sz w:val="24"/>
          <w:highlight w:val="none"/>
        </w:rPr>
      </w:pPr>
      <w:r>
        <w:rPr>
          <w:rFonts w:ascii="宋体" w:hAnsi="宋体"/>
          <w:b/>
          <w:color w:val="000000"/>
          <w:kern w:val="0"/>
          <w:sz w:val="24"/>
          <w:highlight w:val="none"/>
        </w:rPr>
        <w:t>符合性审查要求</w:t>
      </w:r>
    </w:p>
    <w:tbl>
      <w:tblPr>
        <w:tblStyle w:val="42"/>
        <w:tblW w:w="53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817"/>
        <w:gridCol w:w="4967"/>
        <w:gridCol w:w="1762"/>
      </w:tblGrid>
      <w:tr w14:paraId="6EBD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shd w:val="clear" w:color="000000" w:fill="FFFFFF"/>
            <w:vAlign w:val="center"/>
          </w:tcPr>
          <w:p w14:paraId="24C27BC4">
            <w:pPr>
              <w:widowControl/>
              <w:jc w:val="center"/>
              <w:rPr>
                <w:rFonts w:hint="eastAsia" w:ascii="宋体" w:hAnsi="宋体"/>
                <w:b/>
                <w:color w:val="000000"/>
                <w:kern w:val="0"/>
                <w:sz w:val="24"/>
                <w:highlight w:val="none"/>
              </w:rPr>
            </w:pPr>
            <w:r>
              <w:rPr>
                <w:rFonts w:ascii="宋体" w:hAnsi="宋体"/>
                <w:b/>
                <w:color w:val="000000"/>
                <w:kern w:val="0"/>
                <w:sz w:val="24"/>
                <w:highlight w:val="none"/>
              </w:rPr>
              <w:t>序号</w:t>
            </w:r>
          </w:p>
        </w:tc>
        <w:tc>
          <w:tcPr>
            <w:tcW w:w="1000" w:type="pct"/>
            <w:shd w:val="clear" w:color="000000" w:fill="FFFFFF"/>
            <w:vAlign w:val="center"/>
          </w:tcPr>
          <w:p w14:paraId="5412D995">
            <w:pPr>
              <w:widowControl/>
              <w:jc w:val="center"/>
              <w:rPr>
                <w:rFonts w:hint="eastAsia" w:ascii="宋体" w:hAnsi="宋体"/>
                <w:b/>
                <w:color w:val="000000"/>
                <w:kern w:val="0"/>
                <w:sz w:val="24"/>
                <w:highlight w:val="none"/>
              </w:rPr>
            </w:pPr>
            <w:r>
              <w:rPr>
                <w:rFonts w:ascii="宋体" w:hAnsi="宋体"/>
                <w:b/>
                <w:sz w:val="24"/>
                <w:highlight w:val="none"/>
              </w:rPr>
              <w:t>检查</w:t>
            </w:r>
            <w:r>
              <w:rPr>
                <w:rFonts w:ascii="宋体" w:hAnsi="宋体"/>
                <w:b/>
                <w:color w:val="000000"/>
                <w:kern w:val="0"/>
                <w:sz w:val="24"/>
                <w:highlight w:val="none"/>
              </w:rPr>
              <w:t>因素</w:t>
            </w:r>
          </w:p>
        </w:tc>
        <w:tc>
          <w:tcPr>
            <w:tcW w:w="2735" w:type="pct"/>
            <w:shd w:val="clear" w:color="000000" w:fill="FFFFFF"/>
            <w:vAlign w:val="center"/>
          </w:tcPr>
          <w:p w14:paraId="7231F8A0">
            <w:pPr>
              <w:widowControl/>
              <w:jc w:val="center"/>
              <w:rPr>
                <w:rFonts w:hint="eastAsia" w:ascii="宋体" w:hAnsi="宋体"/>
                <w:b/>
                <w:color w:val="000000"/>
                <w:kern w:val="0"/>
                <w:sz w:val="24"/>
                <w:highlight w:val="none"/>
              </w:rPr>
            </w:pPr>
            <w:r>
              <w:rPr>
                <w:rFonts w:ascii="宋体" w:hAnsi="宋体"/>
                <w:b/>
                <w:sz w:val="24"/>
                <w:highlight w:val="none"/>
              </w:rPr>
              <w:t>检查</w:t>
            </w:r>
            <w:r>
              <w:rPr>
                <w:rFonts w:ascii="宋体" w:hAnsi="宋体"/>
                <w:b/>
                <w:color w:val="000000"/>
                <w:kern w:val="0"/>
                <w:sz w:val="24"/>
                <w:highlight w:val="none"/>
              </w:rPr>
              <w:t>内容</w:t>
            </w:r>
          </w:p>
        </w:tc>
        <w:tc>
          <w:tcPr>
            <w:tcW w:w="970" w:type="pct"/>
            <w:shd w:val="clear" w:color="000000" w:fill="FFFFFF"/>
            <w:vAlign w:val="center"/>
          </w:tcPr>
          <w:p w14:paraId="085CE4AF">
            <w:pPr>
              <w:widowControl/>
              <w:tabs>
                <w:tab w:val="left" w:pos="1470"/>
              </w:tabs>
              <w:ind w:left="1" w:leftChars="-94" w:hanging="198" w:hangingChars="82"/>
              <w:jc w:val="both"/>
              <w:rPr>
                <w:rFonts w:hint="eastAsia" w:ascii="宋体" w:hAnsi="宋体"/>
                <w:b/>
                <w:color w:val="000000"/>
                <w:kern w:val="0"/>
                <w:sz w:val="24"/>
                <w:highlight w:val="none"/>
              </w:rPr>
            </w:pPr>
            <w:r>
              <w:rPr>
                <w:rFonts w:ascii="宋体" w:hAnsi="宋体"/>
                <w:b/>
                <w:sz w:val="24"/>
                <w:highlight w:val="none"/>
              </w:rPr>
              <w:t>是否允许澄清、说明或者</w:t>
            </w:r>
            <w:r>
              <w:rPr>
                <w:rFonts w:ascii="宋体" w:hAnsi="宋体"/>
                <w:b/>
                <w:color w:val="000000"/>
                <w:kern w:val="0"/>
                <w:sz w:val="24"/>
                <w:highlight w:val="none"/>
              </w:rPr>
              <w:t>更正</w:t>
            </w:r>
          </w:p>
        </w:tc>
      </w:tr>
      <w:tr w14:paraId="0B00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3" w:type="pct"/>
            <w:shd w:val="clear" w:color="000000" w:fill="FFFFFF"/>
            <w:vAlign w:val="center"/>
          </w:tcPr>
          <w:p w14:paraId="02A6813E">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000" w:type="pct"/>
            <w:shd w:val="clear" w:color="000000" w:fill="FFFFFF"/>
            <w:vAlign w:val="center"/>
          </w:tcPr>
          <w:p w14:paraId="48B8DFF2">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授权委托书</w:t>
            </w:r>
          </w:p>
        </w:tc>
        <w:tc>
          <w:tcPr>
            <w:tcW w:w="2735" w:type="pct"/>
            <w:shd w:val="clear" w:color="000000" w:fill="FFFFFF"/>
            <w:vAlign w:val="center"/>
          </w:tcPr>
          <w:p w14:paraId="77741823">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按竞争性磋商文件要求提供授权委托书；</w:t>
            </w:r>
          </w:p>
        </w:tc>
        <w:tc>
          <w:tcPr>
            <w:tcW w:w="970" w:type="pct"/>
            <w:shd w:val="clear" w:color="000000" w:fill="FFFFFF"/>
            <w:vAlign w:val="center"/>
          </w:tcPr>
          <w:p w14:paraId="3BCEE3A9">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38B6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93" w:type="pct"/>
            <w:shd w:val="clear" w:color="000000" w:fill="FFFFFF"/>
            <w:vAlign w:val="center"/>
          </w:tcPr>
          <w:p w14:paraId="334A5C3A">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000" w:type="pct"/>
            <w:shd w:val="clear" w:color="000000" w:fill="FFFFFF"/>
            <w:vAlign w:val="center"/>
          </w:tcPr>
          <w:p w14:paraId="46C0F5DC">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响应完整性</w:t>
            </w:r>
          </w:p>
        </w:tc>
        <w:tc>
          <w:tcPr>
            <w:tcW w:w="2735" w:type="pct"/>
            <w:shd w:val="clear" w:color="000000" w:fill="FFFFFF"/>
            <w:vAlign w:val="center"/>
          </w:tcPr>
          <w:p w14:paraId="73A4DC20">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不存在将一个采购包中的内容拆开响应；</w:t>
            </w:r>
          </w:p>
        </w:tc>
        <w:tc>
          <w:tcPr>
            <w:tcW w:w="970" w:type="pct"/>
            <w:shd w:val="clear" w:color="000000" w:fill="FFFFFF"/>
            <w:vAlign w:val="center"/>
          </w:tcPr>
          <w:p w14:paraId="169DA459">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3F0D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93" w:type="pct"/>
            <w:shd w:val="clear" w:color="000000" w:fill="FFFFFF"/>
            <w:vAlign w:val="center"/>
          </w:tcPr>
          <w:p w14:paraId="540CBAA0">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000" w:type="pct"/>
            <w:shd w:val="clear" w:color="000000" w:fill="FFFFFF"/>
            <w:vAlign w:val="center"/>
          </w:tcPr>
          <w:p w14:paraId="076067EA">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磋商报价</w:t>
            </w:r>
          </w:p>
        </w:tc>
        <w:tc>
          <w:tcPr>
            <w:tcW w:w="2735" w:type="pct"/>
            <w:shd w:val="clear" w:color="000000" w:fill="FFFFFF"/>
            <w:vAlign w:val="center"/>
          </w:tcPr>
          <w:p w14:paraId="187F430B">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不存在报价超过竞争性磋商文件中规定的项目/采购包预算金额或者项目/采购包最高限价；</w:t>
            </w:r>
          </w:p>
        </w:tc>
        <w:tc>
          <w:tcPr>
            <w:tcW w:w="970" w:type="pct"/>
            <w:shd w:val="clear" w:color="000000" w:fill="FFFFFF"/>
            <w:vAlign w:val="center"/>
          </w:tcPr>
          <w:p w14:paraId="653BB7F6">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3D01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3" w:type="pct"/>
            <w:shd w:val="clear" w:color="000000" w:fill="FFFFFF"/>
            <w:vAlign w:val="center"/>
          </w:tcPr>
          <w:p w14:paraId="7DC3CDF1">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1000" w:type="pct"/>
            <w:shd w:val="clear" w:color="000000" w:fill="FFFFFF"/>
            <w:vAlign w:val="center"/>
          </w:tcPr>
          <w:p w14:paraId="5BC08A3D">
            <w:pPr>
              <w:widowControl/>
              <w:jc w:val="center"/>
              <w:rPr>
                <w:rFonts w:hint="eastAsia" w:ascii="宋体" w:hAnsi="宋体"/>
                <w:color w:val="000000"/>
                <w:kern w:val="0"/>
                <w:sz w:val="24"/>
                <w:highlight w:val="none"/>
              </w:rPr>
            </w:pPr>
            <w:r>
              <w:rPr>
                <w:rFonts w:hint="eastAsia" w:ascii="宋体" w:hAnsi="宋体" w:cs="宋体"/>
                <w:color w:val="000000"/>
                <w:kern w:val="0"/>
                <w:sz w:val="24"/>
                <w:highlight w:val="none"/>
                <w:lang w:bidi="ar"/>
              </w:rPr>
              <w:t>报价唯一性</w:t>
            </w:r>
          </w:p>
        </w:tc>
        <w:tc>
          <w:tcPr>
            <w:tcW w:w="2735" w:type="pct"/>
            <w:shd w:val="clear" w:color="000000" w:fill="FFFFFF"/>
            <w:vAlign w:val="center"/>
          </w:tcPr>
          <w:p w14:paraId="04843163">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不存在响应文件出现可选择性或可调整的报价（竞争性磋商文件另有规定的除外）；</w:t>
            </w:r>
          </w:p>
        </w:tc>
        <w:tc>
          <w:tcPr>
            <w:tcW w:w="970" w:type="pct"/>
            <w:shd w:val="clear" w:color="000000" w:fill="FFFFFF"/>
            <w:vAlign w:val="center"/>
          </w:tcPr>
          <w:p w14:paraId="5E6753AB">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0850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3" w:type="pct"/>
            <w:shd w:val="clear" w:color="000000" w:fill="FFFFFF"/>
            <w:vAlign w:val="center"/>
          </w:tcPr>
          <w:p w14:paraId="02EA8AA5">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1000" w:type="pct"/>
            <w:shd w:val="clear" w:color="000000" w:fill="FFFFFF"/>
            <w:vAlign w:val="center"/>
          </w:tcPr>
          <w:p w14:paraId="7AD59C4D">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磋商有效期</w:t>
            </w:r>
          </w:p>
        </w:tc>
        <w:tc>
          <w:tcPr>
            <w:tcW w:w="2735" w:type="pct"/>
            <w:shd w:val="clear" w:color="000000" w:fill="FFFFFF"/>
            <w:vAlign w:val="center"/>
          </w:tcPr>
          <w:p w14:paraId="6FDA374C">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不存在响应文件中承诺的有效期少于竞争性磋商文件中载明的有效期的；</w:t>
            </w:r>
          </w:p>
        </w:tc>
        <w:tc>
          <w:tcPr>
            <w:tcW w:w="970" w:type="pct"/>
            <w:shd w:val="clear" w:color="000000" w:fill="FFFFFF"/>
            <w:vAlign w:val="center"/>
          </w:tcPr>
          <w:p w14:paraId="21886329">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6C57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3" w:type="pct"/>
            <w:shd w:val="clear" w:color="000000" w:fill="FFFFFF"/>
            <w:vAlign w:val="center"/>
          </w:tcPr>
          <w:p w14:paraId="210D6BB8">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6</w:t>
            </w:r>
          </w:p>
        </w:tc>
        <w:tc>
          <w:tcPr>
            <w:tcW w:w="1000" w:type="pct"/>
            <w:shd w:val="clear" w:color="000000" w:fill="FFFFFF"/>
            <w:vAlign w:val="center"/>
          </w:tcPr>
          <w:p w14:paraId="1AEA2B51">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签署、盖章</w:t>
            </w:r>
          </w:p>
        </w:tc>
        <w:tc>
          <w:tcPr>
            <w:tcW w:w="2735" w:type="pct"/>
            <w:shd w:val="clear" w:color="000000" w:fill="FFFFFF"/>
            <w:vAlign w:val="center"/>
          </w:tcPr>
          <w:p w14:paraId="248C821E">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《商务技术文件》按照竞争性磋商文件要求签署、盖章的；</w:t>
            </w:r>
          </w:p>
        </w:tc>
        <w:tc>
          <w:tcPr>
            <w:tcW w:w="970" w:type="pct"/>
            <w:shd w:val="clear" w:color="000000" w:fill="FFFFFF"/>
            <w:vAlign w:val="center"/>
          </w:tcPr>
          <w:p w14:paraId="3D687B83">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729F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3" w:type="pct"/>
            <w:shd w:val="clear" w:color="000000" w:fill="FFFFFF"/>
            <w:vAlign w:val="center"/>
          </w:tcPr>
          <w:p w14:paraId="64041229">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7</w:t>
            </w:r>
          </w:p>
        </w:tc>
        <w:tc>
          <w:tcPr>
            <w:tcW w:w="1000" w:type="pct"/>
            <w:shd w:val="clear" w:color="000000" w:fill="FFFFFF"/>
            <w:vAlign w:val="center"/>
          </w:tcPr>
          <w:p w14:paraId="0B39A283">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实质性格式</w:t>
            </w:r>
          </w:p>
        </w:tc>
        <w:tc>
          <w:tcPr>
            <w:tcW w:w="2735" w:type="pct"/>
            <w:shd w:val="clear" w:color="000000" w:fill="FFFFFF"/>
            <w:vAlign w:val="center"/>
          </w:tcPr>
          <w:p w14:paraId="3D1C397B">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按竞争性磋商文件要求提供了标记为“实质性格式”的文件；</w:t>
            </w:r>
          </w:p>
        </w:tc>
        <w:tc>
          <w:tcPr>
            <w:tcW w:w="970" w:type="pct"/>
            <w:shd w:val="clear" w:color="000000" w:fill="FFFFFF"/>
            <w:vAlign w:val="center"/>
          </w:tcPr>
          <w:p w14:paraId="7ED5FEDE">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045E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shd w:val="clear" w:color="000000" w:fill="FFFFFF"/>
            <w:vAlign w:val="center"/>
          </w:tcPr>
          <w:p w14:paraId="6DF1FB1D">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8</w:t>
            </w:r>
          </w:p>
        </w:tc>
        <w:tc>
          <w:tcPr>
            <w:tcW w:w="1000" w:type="pct"/>
            <w:shd w:val="clear" w:color="000000" w:fill="FFFFFF"/>
            <w:vAlign w:val="center"/>
          </w:tcPr>
          <w:p w14:paraId="773B82F0">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工期、质量标准</w:t>
            </w:r>
          </w:p>
        </w:tc>
        <w:tc>
          <w:tcPr>
            <w:tcW w:w="2735" w:type="pct"/>
            <w:shd w:val="clear" w:color="000000" w:fill="FFFFFF"/>
            <w:vAlign w:val="center"/>
          </w:tcPr>
          <w:p w14:paraId="411B37AF">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工期、质量标准满足磋商文件要求。</w:t>
            </w:r>
          </w:p>
        </w:tc>
        <w:tc>
          <w:tcPr>
            <w:tcW w:w="970" w:type="pct"/>
            <w:shd w:val="clear" w:color="000000" w:fill="FFFFFF"/>
            <w:vAlign w:val="center"/>
          </w:tcPr>
          <w:p w14:paraId="4C341036">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6320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shd w:val="clear" w:color="000000" w:fill="FFFFFF"/>
            <w:vAlign w:val="center"/>
          </w:tcPr>
          <w:p w14:paraId="43080D7A">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9</w:t>
            </w:r>
          </w:p>
        </w:tc>
        <w:tc>
          <w:tcPr>
            <w:tcW w:w="1000" w:type="pct"/>
            <w:shd w:val="clear" w:color="000000" w:fill="FFFFFF"/>
            <w:vAlign w:val="center"/>
          </w:tcPr>
          <w:p w14:paraId="26F9D88A">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分包承担主</w:t>
            </w:r>
          </w:p>
          <w:p w14:paraId="59F4EA17">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体资质（如有）</w:t>
            </w:r>
          </w:p>
        </w:tc>
        <w:tc>
          <w:tcPr>
            <w:tcW w:w="2735" w:type="pct"/>
            <w:shd w:val="clear" w:color="000000" w:fill="FFFFFF"/>
            <w:vAlign w:val="center"/>
          </w:tcPr>
          <w:p w14:paraId="23C56AE5">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分包承担主体具备《供应商须知资料表》载明的资质条件且提供了资质证书电子件(如有)；</w:t>
            </w:r>
          </w:p>
        </w:tc>
        <w:tc>
          <w:tcPr>
            <w:tcW w:w="970" w:type="pct"/>
            <w:shd w:val="clear" w:color="000000" w:fill="FFFFFF"/>
            <w:vAlign w:val="center"/>
          </w:tcPr>
          <w:p w14:paraId="67A2944D">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13B4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3" w:type="pct"/>
            <w:shd w:val="clear" w:color="000000" w:fill="FFFFFF"/>
            <w:vAlign w:val="center"/>
          </w:tcPr>
          <w:p w14:paraId="6880D03C">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10</w:t>
            </w:r>
          </w:p>
        </w:tc>
        <w:tc>
          <w:tcPr>
            <w:tcW w:w="1000" w:type="pct"/>
            <w:shd w:val="clear" w:color="000000" w:fill="FFFFFF"/>
            <w:vAlign w:val="center"/>
          </w:tcPr>
          <w:p w14:paraId="30C179D8">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分包意向协议（如有）</w:t>
            </w:r>
          </w:p>
        </w:tc>
        <w:tc>
          <w:tcPr>
            <w:tcW w:w="2735" w:type="pct"/>
            <w:shd w:val="clear" w:color="000000" w:fill="FFFFFF"/>
            <w:vAlign w:val="center"/>
          </w:tcPr>
          <w:p w14:paraId="096C2A77">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按竞争性磋商文件规定签订并提供分包意向协议复印件或扫描件的；（如有）</w:t>
            </w:r>
          </w:p>
        </w:tc>
        <w:tc>
          <w:tcPr>
            <w:tcW w:w="970" w:type="pct"/>
            <w:shd w:val="clear" w:color="000000" w:fill="FFFFFF"/>
            <w:vAlign w:val="center"/>
          </w:tcPr>
          <w:p w14:paraId="15A5C64A">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54FA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3" w:type="pct"/>
            <w:shd w:val="clear" w:color="000000" w:fill="FFFFFF"/>
            <w:vAlign w:val="center"/>
          </w:tcPr>
          <w:p w14:paraId="1778EE71">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11</w:t>
            </w:r>
          </w:p>
        </w:tc>
        <w:tc>
          <w:tcPr>
            <w:tcW w:w="1000" w:type="pct"/>
            <w:shd w:val="clear" w:color="000000" w:fill="FFFFFF"/>
            <w:vAlign w:val="center"/>
          </w:tcPr>
          <w:p w14:paraId="15601D2D">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报价的修正</w:t>
            </w:r>
          </w:p>
          <w:p w14:paraId="234BFCB3">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（如有）</w:t>
            </w:r>
          </w:p>
        </w:tc>
        <w:tc>
          <w:tcPr>
            <w:tcW w:w="2735" w:type="pct"/>
            <w:shd w:val="clear" w:color="000000" w:fill="FFFFFF"/>
            <w:vAlign w:val="center"/>
          </w:tcPr>
          <w:p w14:paraId="352A1F18">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不存在响应文件报价出现前后不一致，供应商对修正后的报价不予确认的；（如有）</w:t>
            </w:r>
          </w:p>
        </w:tc>
        <w:tc>
          <w:tcPr>
            <w:tcW w:w="970" w:type="pct"/>
            <w:shd w:val="clear" w:color="000000" w:fill="FFFFFF"/>
            <w:vAlign w:val="center"/>
          </w:tcPr>
          <w:p w14:paraId="2BF79ACF">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5DE8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93" w:type="pct"/>
            <w:shd w:val="clear" w:color="000000" w:fill="FFFFFF"/>
            <w:vAlign w:val="center"/>
          </w:tcPr>
          <w:p w14:paraId="34DC022F">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12</w:t>
            </w:r>
          </w:p>
        </w:tc>
        <w:tc>
          <w:tcPr>
            <w:tcW w:w="1000" w:type="pct"/>
            <w:shd w:val="clear" w:color="000000" w:fill="FFFFFF"/>
            <w:vAlign w:val="center"/>
          </w:tcPr>
          <w:p w14:paraId="774CA701">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报价合理性</w:t>
            </w:r>
          </w:p>
        </w:tc>
        <w:tc>
          <w:tcPr>
            <w:tcW w:w="2735" w:type="pct"/>
            <w:shd w:val="clear" w:color="000000" w:fill="FFFFFF"/>
            <w:vAlign w:val="center"/>
          </w:tcPr>
          <w:p w14:paraId="52AFBAB6">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不存在供应商的报价明显低于其他通过符合性审查供应商的报价，有可能影响产品质量或者不能诚信履约的，且未能应评标委员会要求证明其报价合理性的；</w:t>
            </w:r>
          </w:p>
        </w:tc>
        <w:tc>
          <w:tcPr>
            <w:tcW w:w="970" w:type="pct"/>
            <w:shd w:val="clear" w:color="000000" w:fill="FFFFFF"/>
            <w:vAlign w:val="center"/>
          </w:tcPr>
          <w:p w14:paraId="3A9AC0F1">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414A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3" w:type="pct"/>
            <w:vAlign w:val="center"/>
          </w:tcPr>
          <w:p w14:paraId="4479E15F">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13</w:t>
            </w:r>
          </w:p>
        </w:tc>
        <w:tc>
          <w:tcPr>
            <w:tcW w:w="1000" w:type="pct"/>
            <w:vAlign w:val="center"/>
          </w:tcPr>
          <w:p w14:paraId="12C7C5F1">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进口产品</w:t>
            </w:r>
          </w:p>
          <w:p w14:paraId="15016C85">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（如有）</w:t>
            </w:r>
          </w:p>
        </w:tc>
        <w:tc>
          <w:tcPr>
            <w:tcW w:w="2735" w:type="pct"/>
          </w:tcPr>
          <w:p w14:paraId="72ACE61B">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不存在竞争性磋商文件不接受进口产品响应的内容，供应商所投产品为进口产品的；</w:t>
            </w:r>
          </w:p>
        </w:tc>
        <w:tc>
          <w:tcPr>
            <w:tcW w:w="970" w:type="pct"/>
            <w:shd w:val="clear" w:color="000000" w:fill="FFFFFF"/>
            <w:vAlign w:val="center"/>
          </w:tcPr>
          <w:p w14:paraId="6E04980F">
            <w:pPr>
              <w:widowControl/>
              <w:rPr>
                <w:rFonts w:hint="eastAsia" w:ascii="宋体" w:hAnsi="宋体"/>
                <w:color w:val="000000"/>
                <w:kern w:val="0"/>
                <w:sz w:val="24"/>
                <w:highlight w:val="none"/>
              </w:rPr>
            </w:pPr>
            <w:r>
              <w:rPr>
                <w:rFonts w:hint="eastAsia" w:ascii="宋体" w:hAnsi="宋体"/>
                <w:color w:val="000000"/>
                <w:kern w:val="0"/>
                <w:sz w:val="24"/>
                <w:highlight w:val="none"/>
              </w:rPr>
              <w:t>不允许</w:t>
            </w:r>
          </w:p>
        </w:tc>
      </w:tr>
      <w:tr w14:paraId="06DD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8" w:hRule="atLeast"/>
          <w:jc w:val="center"/>
        </w:trPr>
        <w:tc>
          <w:tcPr>
            <w:tcW w:w="293" w:type="pct"/>
            <w:vAlign w:val="center"/>
          </w:tcPr>
          <w:p w14:paraId="613ECF04">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14</w:t>
            </w:r>
          </w:p>
        </w:tc>
        <w:tc>
          <w:tcPr>
            <w:tcW w:w="1000" w:type="pct"/>
            <w:vAlign w:val="center"/>
          </w:tcPr>
          <w:p w14:paraId="4198BA26">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国家有关部门对供应商的响应产品有强制性规定或要求的（如有）</w:t>
            </w:r>
          </w:p>
        </w:tc>
        <w:tc>
          <w:tcPr>
            <w:tcW w:w="2735" w:type="pct"/>
          </w:tcPr>
          <w:p w14:paraId="1B2A1AA6">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国家有关部门对供应商的响应产品有强制性规定或要求的（如相应技术、安全、节能和环保等），供应商的响应产品应符合相应规定或要求，并提供证明文件电子件： </w:t>
            </w:r>
          </w:p>
          <w:p w14:paraId="394D19C9">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1）采购的产品若属于《节能产品政府采购品目清单》范围中政府强制采购产品，则供应商所报产品必须获得国家确定的认证机构出具的、处于有效期之内的节能产品认证证书； </w:t>
            </w:r>
          </w:p>
          <w:p w14:paraId="5DE318CC">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2）响应产品如涉及计算机信息系统安全专用产品的，须提供公安部颁发的计算机信息系统安全专用产品销售许可证； </w:t>
            </w:r>
          </w:p>
          <w:p w14:paraId="6C3B2FB6">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3）响应产品如有属于开展国家信息安全产品认证产品范围的，须提供由中国网络安全审查技术与认证中心（原中国信息安全认证中心）按国家标准认证颁发的有效认证证书等）； </w:t>
            </w:r>
          </w:p>
          <w:p w14:paraId="35A23EA5">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4）国家有特殊信息安全要求的项目，采购产品涉及无线局域网产品和含有无线局域网功能的计算机、通信设备、打印机、复印机、投影仪等产品的，响应产品须为符合国家无线局域网安全标准(GB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 </w:t>
            </w:r>
          </w:p>
          <w:p w14:paraId="2C4A1E94">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5）项目中涉及涂料、胶黏剂、油墨、清洗剂等挥发性有机物产品，且属于强制性标准的，供应商应执行符合本市和国家的VOCs 含量限制标准。</w:t>
            </w:r>
          </w:p>
        </w:tc>
        <w:tc>
          <w:tcPr>
            <w:tcW w:w="970" w:type="pct"/>
            <w:shd w:val="clear" w:color="000000" w:fill="FFFFFF"/>
            <w:vAlign w:val="center"/>
          </w:tcPr>
          <w:p w14:paraId="3283D70D">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09E4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vAlign w:val="center"/>
          </w:tcPr>
          <w:p w14:paraId="0AB0097D">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15</w:t>
            </w:r>
          </w:p>
        </w:tc>
        <w:tc>
          <w:tcPr>
            <w:tcW w:w="1000" w:type="pct"/>
            <w:vAlign w:val="center"/>
          </w:tcPr>
          <w:p w14:paraId="1E68AA99">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公平竞争</w:t>
            </w:r>
          </w:p>
        </w:tc>
        <w:tc>
          <w:tcPr>
            <w:tcW w:w="2735" w:type="pct"/>
          </w:tcPr>
          <w:p w14:paraId="30656D2D">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供应商遵循公平竞争的原则，不存在恶意串通，妨碍其他供应商的竞争行为，不存在损害采购人或者其他供应商的合法权益情形的；</w:t>
            </w:r>
          </w:p>
        </w:tc>
        <w:tc>
          <w:tcPr>
            <w:tcW w:w="970" w:type="pct"/>
            <w:shd w:val="clear" w:color="000000" w:fill="FFFFFF"/>
            <w:vAlign w:val="center"/>
          </w:tcPr>
          <w:p w14:paraId="3E1A16AA">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6531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293" w:type="pct"/>
            <w:vAlign w:val="center"/>
          </w:tcPr>
          <w:p w14:paraId="14272E45">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16</w:t>
            </w:r>
          </w:p>
        </w:tc>
        <w:tc>
          <w:tcPr>
            <w:tcW w:w="1000" w:type="pct"/>
            <w:vAlign w:val="center"/>
          </w:tcPr>
          <w:p w14:paraId="3E26C9C2">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串通响应</w:t>
            </w:r>
          </w:p>
        </w:tc>
        <w:tc>
          <w:tcPr>
            <w:tcW w:w="2735" w:type="pct"/>
          </w:tcPr>
          <w:p w14:paraId="7116F642">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不存在视为供应商串通响应的情形； </w:t>
            </w:r>
          </w:p>
          <w:p w14:paraId="18F23991">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（一）不同供应商的响应文件由同一单位或者个人编制； </w:t>
            </w:r>
          </w:p>
          <w:p w14:paraId="1F971F42">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（二）不同供应商委托同一单位或者个人办理响应事宜； </w:t>
            </w:r>
          </w:p>
          <w:p w14:paraId="0396E792">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（三）不同供应商的响应文件载明的项目管理成员或者联系人员为同一人； </w:t>
            </w:r>
          </w:p>
          <w:p w14:paraId="4F3E6F2E">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 xml:space="preserve">（四）不同供应商的响应文件异常一致或者响应报价呈规律性差异； </w:t>
            </w:r>
          </w:p>
          <w:p w14:paraId="293C18D2">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（五）不同供应商的响应文件相互混装；</w:t>
            </w:r>
          </w:p>
          <w:p w14:paraId="0190F35B">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（六）不同供应商的响应保证金从同一单位或者个人的账户转出；</w:t>
            </w:r>
          </w:p>
        </w:tc>
        <w:tc>
          <w:tcPr>
            <w:tcW w:w="970" w:type="pct"/>
            <w:shd w:val="clear" w:color="000000" w:fill="FFFFFF"/>
            <w:vAlign w:val="center"/>
          </w:tcPr>
          <w:p w14:paraId="30D48CFA">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2BA3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3" w:type="pct"/>
            <w:vAlign w:val="center"/>
          </w:tcPr>
          <w:p w14:paraId="2880041B">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17</w:t>
            </w:r>
          </w:p>
        </w:tc>
        <w:tc>
          <w:tcPr>
            <w:tcW w:w="1000" w:type="pct"/>
            <w:vAlign w:val="center"/>
          </w:tcPr>
          <w:p w14:paraId="522A5693">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附加条件</w:t>
            </w:r>
          </w:p>
        </w:tc>
        <w:tc>
          <w:tcPr>
            <w:tcW w:w="2735" w:type="pct"/>
          </w:tcPr>
          <w:p w14:paraId="3D482C48">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不存在响应文件含有采购人不能接受的附加条件的；</w:t>
            </w:r>
          </w:p>
        </w:tc>
        <w:tc>
          <w:tcPr>
            <w:tcW w:w="970" w:type="pct"/>
            <w:shd w:val="clear" w:color="000000" w:fill="FFFFFF"/>
            <w:vAlign w:val="center"/>
          </w:tcPr>
          <w:p w14:paraId="14D788B2">
            <w:pPr>
              <w:widowControl/>
              <w:jc w:val="left"/>
              <w:rPr>
                <w:rFonts w:hint="eastAsia" w:ascii="宋体" w:hAnsi="宋体"/>
                <w:color w:val="000000"/>
                <w:kern w:val="0"/>
                <w:sz w:val="24"/>
                <w:highlight w:val="none"/>
              </w:rPr>
            </w:pPr>
            <w:r>
              <w:rPr>
                <w:rFonts w:hint="eastAsia" w:ascii="宋体" w:hAnsi="宋体" w:cs="宋体"/>
                <w:color w:val="000000"/>
                <w:kern w:val="0"/>
                <w:sz w:val="24"/>
                <w:highlight w:val="none"/>
                <w:lang w:bidi="ar"/>
              </w:rPr>
              <w:t>不允许</w:t>
            </w:r>
          </w:p>
        </w:tc>
      </w:tr>
      <w:tr w14:paraId="3426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vAlign w:val="center"/>
          </w:tcPr>
          <w:p w14:paraId="46F6CB18">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18</w:t>
            </w:r>
          </w:p>
        </w:tc>
        <w:tc>
          <w:tcPr>
            <w:tcW w:w="1000" w:type="pct"/>
            <w:vAlign w:val="center"/>
          </w:tcPr>
          <w:p w14:paraId="04DA2486">
            <w:pPr>
              <w:widowControl/>
              <w:jc w:val="center"/>
              <w:rPr>
                <w:rFonts w:hint="eastAsia" w:ascii="宋体" w:hAnsi="宋体"/>
                <w:color w:val="000000"/>
                <w:kern w:val="0"/>
                <w:sz w:val="24"/>
                <w:highlight w:val="none"/>
              </w:rPr>
            </w:pPr>
            <w:r>
              <w:rPr>
                <w:rFonts w:hint="eastAsia" w:ascii="宋体" w:hAnsi="宋体"/>
                <w:color w:val="000000"/>
                <w:kern w:val="0"/>
                <w:sz w:val="24"/>
                <w:highlight w:val="none"/>
              </w:rPr>
              <w:t>其他无效情形</w:t>
            </w:r>
          </w:p>
        </w:tc>
        <w:tc>
          <w:tcPr>
            <w:tcW w:w="2735" w:type="pct"/>
          </w:tcPr>
          <w:p w14:paraId="3FB7E320">
            <w:pPr>
              <w:widowControl/>
              <w:jc w:val="left"/>
              <w:rPr>
                <w:rFonts w:hint="eastAsia" w:ascii="宋体" w:hAnsi="宋体"/>
                <w:color w:val="000000"/>
                <w:kern w:val="0"/>
                <w:sz w:val="24"/>
                <w:highlight w:val="none"/>
              </w:rPr>
            </w:pPr>
            <w:r>
              <w:rPr>
                <w:rFonts w:hint="eastAsia" w:ascii="宋体" w:hAnsi="宋体"/>
                <w:color w:val="000000"/>
                <w:kern w:val="0"/>
                <w:sz w:val="24"/>
                <w:highlight w:val="none"/>
              </w:rPr>
              <w:t>不存在供应商、响应文件不符合法律、法规和竞争性磋商文件规定的其他无效情形。</w:t>
            </w:r>
          </w:p>
        </w:tc>
        <w:tc>
          <w:tcPr>
            <w:tcW w:w="970" w:type="pct"/>
            <w:shd w:val="clear" w:color="000000" w:fill="FFFFFF"/>
            <w:vAlign w:val="center"/>
          </w:tcPr>
          <w:p w14:paraId="0C91102E">
            <w:pPr>
              <w:widowControl/>
              <w:rPr>
                <w:rFonts w:hint="eastAsia" w:ascii="宋体" w:hAnsi="宋体"/>
                <w:color w:val="000000"/>
                <w:kern w:val="0"/>
                <w:sz w:val="24"/>
                <w:highlight w:val="none"/>
              </w:rPr>
            </w:pPr>
            <w:r>
              <w:rPr>
                <w:rFonts w:hint="eastAsia" w:ascii="宋体" w:hAnsi="宋体"/>
                <w:color w:val="000000"/>
                <w:kern w:val="0"/>
                <w:sz w:val="24"/>
                <w:highlight w:val="none"/>
              </w:rPr>
              <w:t>不允许</w:t>
            </w:r>
          </w:p>
        </w:tc>
      </w:tr>
    </w:tbl>
    <w:p w14:paraId="607160AB">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磋商、响应文件有关事项的澄清、说明或者更正和最后报价</w:t>
      </w:r>
    </w:p>
    <w:p w14:paraId="78967455">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磋商小组所有成员将集中与单一供应商分别进行磋商，并给予所有参加磋商的供应商平等的磋商机会。</w:t>
      </w:r>
    </w:p>
    <w:p w14:paraId="3EF9D684">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hint="eastAsia" w:ascii="宋体" w:hAnsi="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1A766B0">
      <w:pPr>
        <w:numPr>
          <w:ilvl w:val="1"/>
          <w:numId w:val="12"/>
        </w:numPr>
        <w:tabs>
          <w:tab w:val="left" w:pos="1080"/>
          <w:tab w:val="left" w:pos="1872"/>
        </w:tabs>
        <w:snapToGrid w:val="0"/>
        <w:spacing w:line="360" w:lineRule="auto"/>
        <w:ind w:left="1077" w:hanging="720"/>
        <w:rPr>
          <w:rFonts w:hint="eastAsia" w:ascii="宋体" w:hAnsi="宋体"/>
          <w:kern w:val="0"/>
          <w:sz w:val="24"/>
          <w:highlight w:val="none"/>
        </w:rPr>
      </w:pPr>
      <w:r>
        <w:rPr>
          <w:rFonts w:hint="eastAsia" w:ascii="宋体" w:hAnsi="宋体"/>
          <w:kern w:val="0"/>
          <w:sz w:val="24"/>
          <w:highlight w:val="none"/>
        </w:rPr>
        <w:t>对磋商文件作出的实质性变动是磋商文件的有效组成部分，磋商小组应当及时以书面形式同时通知所有参加磋商的供应商。</w:t>
      </w:r>
    </w:p>
    <w:p w14:paraId="5E1B3485">
      <w:pPr>
        <w:numPr>
          <w:ilvl w:val="1"/>
          <w:numId w:val="12"/>
        </w:numPr>
        <w:tabs>
          <w:tab w:val="left" w:pos="1080"/>
          <w:tab w:val="left" w:pos="1872"/>
        </w:tabs>
        <w:snapToGrid w:val="0"/>
        <w:spacing w:line="360" w:lineRule="auto"/>
        <w:ind w:left="1077" w:hanging="720"/>
        <w:rPr>
          <w:rFonts w:hint="eastAsia" w:ascii="宋体" w:hAnsi="宋体"/>
          <w:kern w:val="0"/>
          <w:sz w:val="24"/>
          <w:highlight w:val="none"/>
        </w:rPr>
      </w:pPr>
      <w:r>
        <w:rPr>
          <w:rFonts w:hint="eastAsia" w:ascii="宋体" w:hAnsi="宋体"/>
          <w:kern w:val="0"/>
          <w:sz w:val="24"/>
          <w:highlight w:val="none"/>
        </w:rPr>
        <w:t>供应商应当按照磋商文件的变动情况和磋商小组的要求重新提交响应文件，并由其法定代表人（</w:t>
      </w:r>
      <w:r>
        <w:rPr>
          <w:rFonts w:hint="eastAsia" w:ascii="宋体" w:hAnsi="宋体"/>
          <w:color w:val="000000"/>
          <w:sz w:val="24"/>
          <w:szCs w:val="20"/>
          <w:highlight w:val="none"/>
        </w:rPr>
        <w:t>若供应商为事业单位或其他组织或分支机构，可为单位负责人</w:t>
      </w:r>
      <w:r>
        <w:rPr>
          <w:rFonts w:hint="eastAsia" w:ascii="宋体" w:hAnsi="宋体"/>
          <w:kern w:val="0"/>
          <w:sz w:val="24"/>
          <w:highlight w:val="none"/>
        </w:rPr>
        <w:t>）或授权代表签字或者加盖公章。由授权代表签字的，应当附授权委托书。供应商为自然人的，应当由本人签字并附身份证明。</w:t>
      </w:r>
    </w:p>
    <w:p w14:paraId="54BAB033">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hint="eastAsia" w:ascii="宋体" w:hAnsi="宋体"/>
          <w:sz w:val="24"/>
          <w:highlight w:val="none"/>
        </w:rPr>
        <w:t>响应文件的澄清、说明或者更正：</w:t>
      </w:r>
    </w:p>
    <w:p w14:paraId="19068539">
      <w:pPr>
        <w:numPr>
          <w:ilvl w:val="2"/>
          <w:numId w:val="12"/>
        </w:numPr>
        <w:snapToGrid w:val="0"/>
        <w:spacing w:line="360" w:lineRule="auto"/>
        <w:rPr>
          <w:rFonts w:hint="eastAsia" w:ascii="宋体" w:hAnsi="宋体"/>
          <w:sz w:val="24"/>
          <w:highlight w:val="none"/>
        </w:rPr>
      </w:pPr>
      <w:r>
        <w:rPr>
          <w:rFonts w:ascii="宋体"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2A319661">
      <w:pPr>
        <w:numPr>
          <w:ilvl w:val="2"/>
          <w:numId w:val="12"/>
        </w:numPr>
        <w:snapToGrid w:val="0"/>
        <w:spacing w:line="360" w:lineRule="auto"/>
        <w:rPr>
          <w:rFonts w:hint="eastAsia" w:ascii="宋体" w:hAnsi="宋体"/>
          <w:sz w:val="24"/>
          <w:highlight w:val="none"/>
        </w:rPr>
      </w:pPr>
      <w:r>
        <w:rPr>
          <w:rFonts w:ascii="宋体" w:hAnsi="宋体"/>
          <w:sz w:val="24"/>
          <w:highlight w:val="none"/>
        </w:rPr>
        <w:t>磋商小组对响应文件进行审查，如发现供应商提交的响应文件存在不满足《符合性审查要求》的内容，如属于表中“不允许”澄清、说明或者更正的内容，则供应商响应文件按</w:t>
      </w:r>
      <w:r>
        <w:rPr>
          <w:rFonts w:ascii="宋体" w:hAnsi="宋体"/>
          <w:b/>
          <w:sz w:val="24"/>
          <w:highlight w:val="none"/>
        </w:rPr>
        <w:t>无效处理</w:t>
      </w:r>
      <w:r>
        <w:rPr>
          <w:rFonts w:ascii="宋体" w:hAnsi="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highlight w:val="none"/>
        </w:rPr>
        <w:t>无效处理</w:t>
      </w:r>
      <w:r>
        <w:rPr>
          <w:rFonts w:ascii="宋体" w:hAnsi="宋体"/>
          <w:sz w:val="24"/>
          <w:highlight w:val="none"/>
        </w:rPr>
        <w:t>。</w:t>
      </w:r>
    </w:p>
    <w:p w14:paraId="4B62C355">
      <w:pPr>
        <w:numPr>
          <w:ilvl w:val="2"/>
          <w:numId w:val="12"/>
        </w:numPr>
        <w:snapToGrid w:val="0"/>
        <w:spacing w:line="360" w:lineRule="auto"/>
        <w:rPr>
          <w:rFonts w:hint="eastAsia" w:ascii="宋体" w:hAnsi="宋体"/>
          <w:sz w:val="24"/>
          <w:highlight w:val="none"/>
        </w:rPr>
      </w:pPr>
      <w:r>
        <w:rPr>
          <w:rFonts w:ascii="宋体" w:hAnsi="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kern w:val="0"/>
          <w:sz w:val="24"/>
          <w:highlight w:val="none"/>
        </w:rPr>
        <w:t>（</w:t>
      </w:r>
      <w:r>
        <w:rPr>
          <w:rFonts w:ascii="宋体" w:hAnsi="宋体"/>
          <w:color w:val="000000"/>
          <w:sz w:val="24"/>
          <w:szCs w:val="20"/>
          <w:highlight w:val="none"/>
        </w:rPr>
        <w:t>若</w:t>
      </w:r>
      <w:r>
        <w:rPr>
          <w:rFonts w:hint="eastAsia" w:ascii="宋体" w:hAnsi="宋体"/>
          <w:color w:val="000000"/>
          <w:sz w:val="24"/>
          <w:szCs w:val="20"/>
          <w:highlight w:val="none"/>
        </w:rPr>
        <w:t>供应商</w:t>
      </w:r>
      <w:r>
        <w:rPr>
          <w:rFonts w:ascii="宋体" w:hAnsi="宋体"/>
          <w:color w:val="000000"/>
          <w:sz w:val="24"/>
          <w:szCs w:val="20"/>
          <w:highlight w:val="none"/>
        </w:rPr>
        <w:t>为事业单位或其他组织或分支机构，可为单位负责人</w:t>
      </w:r>
      <w:r>
        <w:rPr>
          <w:rFonts w:ascii="宋体" w:hAnsi="宋体"/>
          <w:kern w:val="0"/>
          <w:sz w:val="24"/>
          <w:highlight w:val="none"/>
        </w:rPr>
        <w:t>）</w:t>
      </w:r>
      <w:r>
        <w:rPr>
          <w:rFonts w:ascii="宋体" w:hAnsi="宋体"/>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26EC6148">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磋商结束后，磋商小组将要求所有实质性响应的供应商在规定时间内提交最后报价。最后报价时间为磋商小组指定的时间，具体时间根据磋商进度另行通知。</w:t>
      </w:r>
    </w:p>
    <w:p w14:paraId="555CD2FC">
      <w:pPr>
        <w:numPr>
          <w:ilvl w:val="1"/>
          <w:numId w:val="12"/>
        </w:numPr>
        <w:tabs>
          <w:tab w:val="left" w:pos="1080"/>
          <w:tab w:val="left" w:pos="1872"/>
        </w:tabs>
        <w:snapToGrid w:val="0"/>
        <w:spacing w:line="360" w:lineRule="auto"/>
        <w:ind w:left="1077" w:hanging="720"/>
        <w:rPr>
          <w:rFonts w:hint="eastAsia" w:ascii="宋体" w:hAnsi="宋体"/>
          <w:snapToGrid w:val="0"/>
          <w:sz w:val="24"/>
          <w:highlight w:val="none"/>
        </w:rPr>
      </w:pPr>
      <w:bookmarkStart w:id="638" w:name="_Hlk220085436"/>
      <w:r>
        <w:rPr>
          <w:rFonts w:hint="eastAsia" w:ascii="宋体" w:hAnsi="宋体"/>
          <w:snapToGrid w:val="0"/>
          <w:sz w:val="24"/>
          <w:highlight w:val="none"/>
        </w:rPr>
        <w:t>异常低价处理</w:t>
      </w:r>
    </w:p>
    <w:p w14:paraId="6516E07E">
      <w:pPr>
        <w:numPr>
          <w:ilvl w:val="2"/>
          <w:numId w:val="12"/>
        </w:numPr>
        <w:snapToGrid w:val="0"/>
        <w:spacing w:line="360" w:lineRule="auto"/>
        <w:rPr>
          <w:rFonts w:hint="eastAsia" w:ascii="宋体" w:hAnsi="宋体"/>
          <w:sz w:val="24"/>
          <w:highlight w:val="none"/>
        </w:rPr>
      </w:pPr>
      <w:r>
        <w:rPr>
          <w:rFonts w:hint="eastAsia" w:ascii="宋体" w:hAnsi="宋体"/>
          <w:sz w:val="24"/>
          <w:highlight w:val="none"/>
        </w:rPr>
        <w:t>政府采购评审中出现下列情形之一的，评审委员会应当启动异常低价投标（响应）审查程序：</w:t>
      </w:r>
    </w:p>
    <w:p w14:paraId="39AF1E89">
      <w:pPr>
        <w:snapToGrid w:val="0"/>
        <w:spacing w:line="360" w:lineRule="auto"/>
        <w:ind w:left="1980"/>
        <w:rPr>
          <w:rFonts w:hint="eastAsia"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）投标（响应）报价低于全部通过符合性审查供应商投标（响应）报价平均值50</w:t>
      </w:r>
      <w:r>
        <w:rPr>
          <w:rFonts w:ascii="宋体" w:hAnsi="宋体"/>
          <w:sz w:val="24"/>
          <w:highlight w:val="none"/>
        </w:rPr>
        <w:t>%</w:t>
      </w:r>
      <w:r>
        <w:rPr>
          <w:rFonts w:hint="eastAsia" w:ascii="宋体" w:hAnsi="宋体"/>
          <w:sz w:val="24"/>
          <w:highlight w:val="none"/>
        </w:rPr>
        <w:t>的，即投标（响应）报价</w:t>
      </w:r>
      <w:r>
        <w:rPr>
          <w:rFonts w:ascii="宋体" w:hAnsi="宋体"/>
          <w:sz w:val="24"/>
          <w:highlight w:val="none"/>
        </w:rPr>
        <w:t>&lt;</w:t>
      </w:r>
      <w:r>
        <w:rPr>
          <w:rFonts w:hint="eastAsia" w:ascii="宋体" w:hAnsi="宋体"/>
          <w:sz w:val="24"/>
          <w:highlight w:val="none"/>
        </w:rPr>
        <w:t>全部通过符合性审查供应商投标（响应）报价平均值×50</w:t>
      </w:r>
      <w:r>
        <w:rPr>
          <w:rFonts w:ascii="宋体" w:hAnsi="宋体"/>
          <w:sz w:val="24"/>
          <w:highlight w:val="none"/>
        </w:rPr>
        <w:t>%</w:t>
      </w:r>
      <w:r>
        <w:rPr>
          <w:rFonts w:hint="eastAsia" w:ascii="宋体" w:hAnsi="宋体"/>
          <w:sz w:val="24"/>
          <w:highlight w:val="none"/>
        </w:rPr>
        <w:t>；</w:t>
      </w:r>
    </w:p>
    <w:p w14:paraId="0E3342AB">
      <w:pPr>
        <w:snapToGrid w:val="0"/>
        <w:spacing w:line="360" w:lineRule="auto"/>
        <w:ind w:left="1980"/>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）投标（响应）报价低于通过符合性审查的次低报价供应商投标（响应）报价50</w:t>
      </w:r>
      <w:r>
        <w:rPr>
          <w:rFonts w:ascii="宋体" w:hAnsi="宋体"/>
          <w:sz w:val="24"/>
          <w:highlight w:val="none"/>
        </w:rPr>
        <w:t>%</w:t>
      </w:r>
      <w:r>
        <w:rPr>
          <w:rFonts w:hint="eastAsia" w:ascii="宋体" w:hAnsi="宋体"/>
          <w:sz w:val="24"/>
          <w:highlight w:val="none"/>
        </w:rPr>
        <w:t>的，即投标（响应）报价</w:t>
      </w:r>
      <w:r>
        <w:rPr>
          <w:rFonts w:ascii="宋体" w:hAnsi="宋体"/>
          <w:sz w:val="24"/>
          <w:highlight w:val="none"/>
        </w:rPr>
        <w:t>&lt;</w:t>
      </w:r>
      <w:r>
        <w:rPr>
          <w:rFonts w:hint="eastAsia" w:ascii="宋体" w:hAnsi="宋体"/>
          <w:sz w:val="24"/>
          <w:highlight w:val="none"/>
        </w:rPr>
        <w:t>通过符合性审查的次低报价供应商投标（响应）报价×50</w:t>
      </w:r>
      <w:r>
        <w:rPr>
          <w:rFonts w:ascii="宋体" w:hAnsi="宋体"/>
          <w:sz w:val="24"/>
          <w:highlight w:val="none"/>
        </w:rPr>
        <w:t>%</w:t>
      </w:r>
      <w:r>
        <w:rPr>
          <w:rFonts w:hint="eastAsia" w:ascii="宋体" w:hAnsi="宋体"/>
          <w:sz w:val="24"/>
          <w:highlight w:val="none"/>
        </w:rPr>
        <w:t>；</w:t>
      </w:r>
    </w:p>
    <w:p w14:paraId="5F9145E1">
      <w:pPr>
        <w:snapToGrid w:val="0"/>
        <w:spacing w:line="360" w:lineRule="auto"/>
        <w:ind w:left="1980"/>
        <w:rPr>
          <w:rFonts w:hint="eastAsia"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）投标（响应）报价低于采购项目最高限价45</w:t>
      </w:r>
      <w:r>
        <w:rPr>
          <w:rFonts w:ascii="宋体" w:hAnsi="宋体"/>
          <w:sz w:val="24"/>
          <w:highlight w:val="none"/>
        </w:rPr>
        <w:t>%</w:t>
      </w:r>
      <w:r>
        <w:rPr>
          <w:rFonts w:hint="eastAsia" w:ascii="宋体" w:hAnsi="宋体"/>
          <w:sz w:val="24"/>
          <w:highlight w:val="none"/>
        </w:rPr>
        <w:t>的，即投标（响应）报价</w:t>
      </w:r>
      <w:r>
        <w:rPr>
          <w:rFonts w:ascii="宋体" w:hAnsi="宋体"/>
          <w:sz w:val="24"/>
          <w:highlight w:val="none"/>
        </w:rPr>
        <w:t>&lt;</w:t>
      </w:r>
      <w:r>
        <w:rPr>
          <w:rFonts w:hint="eastAsia" w:ascii="宋体" w:hAnsi="宋体"/>
          <w:sz w:val="24"/>
          <w:highlight w:val="none"/>
        </w:rPr>
        <w:t>采购项目最高限价×45</w:t>
      </w:r>
      <w:r>
        <w:rPr>
          <w:rFonts w:ascii="宋体" w:hAnsi="宋体"/>
          <w:sz w:val="24"/>
          <w:highlight w:val="none"/>
        </w:rPr>
        <w:t>%</w:t>
      </w:r>
      <w:r>
        <w:rPr>
          <w:rFonts w:hint="eastAsia" w:ascii="宋体" w:hAnsi="宋体"/>
          <w:sz w:val="24"/>
          <w:highlight w:val="none"/>
        </w:rPr>
        <w:t>；未设定最高限价的采购项目，以采购项目预算金额作为最高限价；</w:t>
      </w:r>
    </w:p>
    <w:p w14:paraId="6332A593">
      <w:pPr>
        <w:snapToGrid w:val="0"/>
        <w:spacing w:line="360" w:lineRule="auto"/>
        <w:ind w:left="1980"/>
        <w:rPr>
          <w:rFonts w:hint="eastAsia"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）评审委员会基于专业判断，认为供应商报价过低，有可能影响产品质量或者不能诚信履约的其他情形。</w:t>
      </w:r>
    </w:p>
    <w:p w14:paraId="2906D444">
      <w:pPr>
        <w:numPr>
          <w:ilvl w:val="2"/>
          <w:numId w:val="12"/>
        </w:numPr>
        <w:snapToGrid w:val="0"/>
        <w:spacing w:line="360" w:lineRule="auto"/>
        <w:rPr>
          <w:rFonts w:hint="eastAsia" w:ascii="宋体" w:hAnsi="宋体"/>
          <w:sz w:val="24"/>
          <w:highlight w:val="none"/>
        </w:rPr>
      </w:pPr>
      <w:r>
        <w:rPr>
          <w:rFonts w:hint="eastAsia" w:ascii="宋体" w:hAnsi="宋体"/>
          <w:sz w:val="24"/>
          <w:highlight w:val="none"/>
        </w:rPr>
        <w:t>评审委员会启动异常低价投标（响应）审查后，属于前述第（</w:t>
      </w:r>
      <w:r>
        <w:rPr>
          <w:rFonts w:ascii="宋体" w:hAnsi="宋体"/>
          <w:sz w:val="24"/>
          <w:highlight w:val="none"/>
        </w:rPr>
        <w:t>1</w:t>
      </w:r>
      <w:r>
        <w:rPr>
          <w:rFonts w:hint="eastAsia" w:ascii="宋体" w:hAnsi="宋体"/>
          <w:sz w:val="24"/>
          <w:highlight w:val="none"/>
        </w:rPr>
        <w:t>）项至第（</w:t>
      </w:r>
      <w:r>
        <w:rPr>
          <w:rFonts w:ascii="宋体" w:hAnsi="宋体"/>
          <w:sz w:val="24"/>
          <w:highlight w:val="none"/>
        </w:rPr>
        <w:t>4</w:t>
      </w:r>
      <w:r>
        <w:rPr>
          <w:rFonts w:hint="eastAsia" w:ascii="宋体" w:hAnsi="宋体"/>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sz w:val="24"/>
          <w:highlight w:val="none"/>
        </w:rPr>
        <w:t>30</w:t>
      </w:r>
      <w:r>
        <w:rPr>
          <w:rFonts w:hint="eastAsia" w:ascii="宋体" w:hAnsi="宋体"/>
          <w:sz w:val="24"/>
          <w:highlight w:val="none"/>
        </w:rPr>
        <w:t>分钟。其中，属于第（</w:t>
      </w:r>
      <w:r>
        <w:rPr>
          <w:rFonts w:ascii="宋体" w:hAnsi="宋体"/>
          <w:sz w:val="24"/>
          <w:highlight w:val="none"/>
        </w:rPr>
        <w:t>3</w:t>
      </w:r>
      <w:r>
        <w:rPr>
          <w:rFonts w:hint="eastAsia" w:ascii="宋体" w:hAnsi="宋体"/>
          <w:sz w:val="24"/>
          <w:highlight w:val="none"/>
        </w:rPr>
        <w:t>）项情形，供应商已随投标（响应）文件一并提交相关书面说明及必要的证明材料的，在评审现场可不再重复提交。</w:t>
      </w:r>
    </w:p>
    <w:p w14:paraId="060A02B5">
      <w:pPr>
        <w:numPr>
          <w:ilvl w:val="2"/>
          <w:numId w:val="12"/>
        </w:numPr>
        <w:snapToGrid w:val="0"/>
        <w:spacing w:line="360" w:lineRule="auto"/>
        <w:rPr>
          <w:rFonts w:hint="eastAsia" w:ascii="宋体" w:hAnsi="宋体"/>
          <w:sz w:val="24"/>
          <w:highlight w:val="none"/>
        </w:rPr>
      </w:pPr>
      <w:r>
        <w:rPr>
          <w:rFonts w:hint="eastAsia" w:ascii="宋体" w:hAnsi="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916909A">
      <w:pPr>
        <w:numPr>
          <w:ilvl w:val="2"/>
          <w:numId w:val="12"/>
        </w:numPr>
        <w:snapToGrid w:val="0"/>
        <w:spacing w:line="360" w:lineRule="auto"/>
        <w:rPr>
          <w:rFonts w:hint="eastAsia" w:ascii="宋体" w:hAnsi="宋体"/>
          <w:sz w:val="24"/>
          <w:highlight w:val="none"/>
        </w:rPr>
      </w:pPr>
      <w:bookmarkStart w:id="639" w:name="_Hlk190337965"/>
      <w:r>
        <w:rPr>
          <w:rFonts w:hint="eastAsia" w:ascii="宋体" w:hAnsi="宋体"/>
          <w:sz w:val="24"/>
          <w:highlight w:val="none"/>
        </w:rPr>
        <w:t>上述投标（响应）报价指按照本章</w:t>
      </w:r>
      <w:r>
        <w:rPr>
          <w:rFonts w:ascii="宋体" w:hAnsi="宋体"/>
          <w:sz w:val="24"/>
          <w:highlight w:val="none"/>
        </w:rPr>
        <w:t>3.2</w:t>
      </w:r>
      <w:r>
        <w:rPr>
          <w:rFonts w:hint="eastAsia" w:ascii="宋体" w:hAnsi="宋体"/>
          <w:sz w:val="24"/>
          <w:highlight w:val="none"/>
        </w:rPr>
        <w:t>修正后的报价</w:t>
      </w:r>
      <w:bookmarkEnd w:id="639"/>
      <w:r>
        <w:rPr>
          <w:rFonts w:hint="eastAsia" w:ascii="宋体" w:hAnsi="宋体"/>
          <w:sz w:val="24"/>
          <w:highlight w:val="none"/>
        </w:rPr>
        <w:t>。</w:t>
      </w:r>
      <w:bookmarkEnd w:id="638"/>
    </w:p>
    <w:p w14:paraId="01B63C4A">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7339C47">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最后报价是供应商响应文件的有效组成部分。</w:t>
      </w:r>
    </w:p>
    <w:p w14:paraId="21FF2EE2">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已提交响应文件的供应商，在提交最后报价之前，可以根据磋商情况退出磋商。</w:t>
      </w:r>
    </w:p>
    <w:p w14:paraId="55B64B79">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最后报价的算术修正及政策调整</w:t>
      </w:r>
    </w:p>
    <w:p w14:paraId="4D7A43B6">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highlight w:val="none"/>
        </w:rPr>
        <w:t>响应无效</w:t>
      </w:r>
      <w:r>
        <w:rPr>
          <w:rFonts w:ascii="宋体" w:hAnsi="宋体"/>
          <w:sz w:val="24"/>
          <w:highlight w:val="none"/>
        </w:rPr>
        <w:t>。</w:t>
      </w:r>
    </w:p>
    <w:p w14:paraId="66848664">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最后报价出现前后不一致的，按照下列规定修正：</w:t>
      </w:r>
    </w:p>
    <w:p w14:paraId="05248C0A">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竞争性磋商文件对于报价修正是否另有规定：</w:t>
      </w:r>
    </w:p>
    <w:p w14:paraId="661D09B6">
      <w:pPr>
        <w:tabs>
          <w:tab w:val="left" w:pos="1080"/>
          <w:tab w:val="left" w:pos="1589"/>
          <w:tab w:val="left" w:pos="2035"/>
          <w:tab w:val="left" w:pos="2114"/>
        </w:tabs>
        <w:snapToGrid w:val="0"/>
        <w:spacing w:line="360" w:lineRule="auto"/>
        <w:ind w:left="2035"/>
        <w:rPr>
          <w:rFonts w:hint="eastAsia" w:ascii="宋体" w:hAnsi="宋体"/>
          <w:sz w:val="24"/>
          <w:highlight w:val="none"/>
          <w:u w:val="single"/>
        </w:rPr>
      </w:pPr>
      <w:r>
        <w:rPr>
          <w:rFonts w:ascii="宋体" w:hAnsi="宋体"/>
          <w:sz w:val="24"/>
          <w:highlight w:val="none"/>
        </w:rPr>
        <w:t>□有，具体规定为：___________</w:t>
      </w:r>
    </w:p>
    <w:p w14:paraId="030A8029">
      <w:p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Segoe UI Symbol" w:hAnsi="Segoe UI Symbol" w:cs="Segoe UI Symbol"/>
          <w:sz w:val="24"/>
          <w:highlight w:val="none"/>
        </w:rPr>
        <w:t>☑</w:t>
      </w:r>
      <w:r>
        <w:rPr>
          <w:rFonts w:ascii="宋体" w:hAnsi="宋体"/>
          <w:sz w:val="24"/>
          <w:highlight w:val="none"/>
        </w:rPr>
        <w:t>无，按下述3.2.2-3.2.5项规定修正。</w:t>
      </w:r>
    </w:p>
    <w:p w14:paraId="44E34DBB">
      <w:pPr>
        <w:numPr>
          <w:ilvl w:val="2"/>
          <w:numId w:val="12"/>
        </w:numPr>
        <w:tabs>
          <w:tab w:val="left" w:pos="2035"/>
          <w:tab w:val="left" w:pos="2114"/>
          <w:tab w:val="left" w:pos="2977"/>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大写金额和小写金额不一致的，以大写金额为准；</w:t>
      </w:r>
    </w:p>
    <w:p w14:paraId="5F29D88C">
      <w:pPr>
        <w:numPr>
          <w:ilvl w:val="2"/>
          <w:numId w:val="12"/>
        </w:numPr>
        <w:tabs>
          <w:tab w:val="left" w:pos="2035"/>
          <w:tab w:val="left" w:pos="2114"/>
          <w:tab w:val="left" w:pos="2977"/>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单价金额小数点或者百分比有明显错位的，以总价为准，并修改单价；</w:t>
      </w:r>
    </w:p>
    <w:p w14:paraId="63656CFE">
      <w:pPr>
        <w:numPr>
          <w:ilvl w:val="2"/>
          <w:numId w:val="12"/>
        </w:numPr>
        <w:tabs>
          <w:tab w:val="left" w:pos="2035"/>
          <w:tab w:val="left" w:pos="2114"/>
          <w:tab w:val="left" w:pos="2977"/>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总价金额与按单价汇总金额不一致的，以单价金额计算结果为准。</w:t>
      </w:r>
    </w:p>
    <w:p w14:paraId="451328F6">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同时出现两种以上不一致的，按照前款规定的顺序修正。</w:t>
      </w:r>
    </w:p>
    <w:p w14:paraId="0B17334C">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修正后的报价经供应商书面确认后产生约束力，供应商不确认的，</w:t>
      </w:r>
      <w:r>
        <w:rPr>
          <w:rFonts w:ascii="宋体" w:hAnsi="宋体"/>
          <w:b/>
          <w:sz w:val="24"/>
          <w:highlight w:val="none"/>
        </w:rPr>
        <w:t>其响应无效</w:t>
      </w:r>
      <w:r>
        <w:rPr>
          <w:rFonts w:ascii="宋体" w:hAnsi="宋体"/>
          <w:sz w:val="24"/>
          <w:highlight w:val="none"/>
        </w:rPr>
        <w:t>。</w:t>
      </w:r>
    </w:p>
    <w:p w14:paraId="14179A7E">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落实政府采购政策的价格调整：只有符合第二章《供应商须知》4.3条规定情形的，可以享受中小企业扶持政策，用扣除后的价格参加评审；否则，评审时价格不予扣除。</w:t>
      </w:r>
    </w:p>
    <w:p w14:paraId="688E89DF">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对于未预留份额专门面向中小企业采购的采购项目，以及预留份额项目中的非预留部分采购包，对小微企业报价给予</w:t>
      </w:r>
      <w:r>
        <w:rPr>
          <w:rFonts w:hint="eastAsia" w:ascii="宋体" w:hAnsi="宋体"/>
          <w:sz w:val="24"/>
          <w:highlight w:val="none"/>
        </w:rPr>
        <w:t>10</w:t>
      </w:r>
      <w:r>
        <w:rPr>
          <w:rFonts w:ascii="宋体" w:hAnsi="宋体"/>
          <w:sz w:val="24"/>
          <w:highlight w:val="none"/>
        </w:rPr>
        <w:t>%的扣除，用扣除后的价格参加评审。</w:t>
      </w:r>
    </w:p>
    <w:p w14:paraId="3F4C0F65">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sz w:val="24"/>
          <w:highlight w:val="none"/>
        </w:rPr>
        <w:t>4</w:t>
      </w:r>
      <w:r>
        <w:rPr>
          <w:rFonts w:ascii="宋体" w:hAnsi="宋体"/>
          <w:sz w:val="24"/>
          <w:highlight w:val="none"/>
        </w:rPr>
        <w:t>%的扣除，用扣除后的价格参加评审。</w:t>
      </w:r>
    </w:p>
    <w:p w14:paraId="63F7784C">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组成联合体或者接受分包的小微企业与联合体内其他企业、分包企业之间存在直接控股、管理关系的，不享受价格扣除优惠政策。</w:t>
      </w:r>
    </w:p>
    <w:p w14:paraId="27CED6F3">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价格扣除比例对小型企业和微型企业同等对待，不作区分。</w:t>
      </w:r>
    </w:p>
    <w:p w14:paraId="4518EBDD">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681D50FA">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监狱企业提供了由省级以上监狱管理局、戒毒管理局（含新疆生产建设兵团）出具的属于监狱企业的证明文件的，视同小微企业。</w:t>
      </w:r>
    </w:p>
    <w:p w14:paraId="47B882E7">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残疾人福利性单位按竞争性磋商文件要求提供了《残疾人福利性单位声明函》的，视同小微企业。</w:t>
      </w:r>
    </w:p>
    <w:p w14:paraId="0C82A9F8">
      <w:pPr>
        <w:numPr>
          <w:ilvl w:val="2"/>
          <w:numId w:val="12"/>
        </w:numPr>
        <w:tabs>
          <w:tab w:val="left" w:pos="1080"/>
          <w:tab w:val="left" w:pos="1589"/>
          <w:tab w:val="left" w:pos="2014"/>
        </w:tabs>
        <w:snapToGrid w:val="0"/>
        <w:spacing w:line="360" w:lineRule="auto"/>
        <w:ind w:left="2035"/>
        <w:rPr>
          <w:rFonts w:hint="eastAsia" w:ascii="宋体" w:hAnsi="宋体"/>
          <w:sz w:val="24"/>
          <w:highlight w:val="none"/>
        </w:rPr>
      </w:pPr>
      <w:r>
        <w:rPr>
          <w:rFonts w:ascii="宋体" w:hAnsi="宋体"/>
          <w:sz w:val="24"/>
          <w:highlight w:val="none"/>
        </w:rPr>
        <w:t>若供应商同时属于小型或微型企业、监狱企业、残疾人福利性单位中的两种及以上，将不重复享受小微企业价格扣减的优惠政策。</w:t>
      </w:r>
    </w:p>
    <w:p w14:paraId="0BBF3E9A">
      <w:pPr>
        <w:numPr>
          <w:ilvl w:val="1"/>
          <w:numId w:val="12"/>
        </w:numPr>
        <w:tabs>
          <w:tab w:val="left" w:pos="1080"/>
        </w:tabs>
        <w:snapToGrid w:val="0"/>
        <w:spacing w:line="360" w:lineRule="auto"/>
        <w:ind w:left="1077" w:hanging="720"/>
        <w:rPr>
          <w:rFonts w:hint="eastAsia" w:ascii="宋体" w:hAnsi="宋体"/>
          <w:sz w:val="24"/>
          <w:highlight w:val="none"/>
        </w:rPr>
      </w:pPr>
      <w:r>
        <w:rPr>
          <w:rFonts w:hint="eastAsia" w:ascii="宋体" w:hAnsi="宋体"/>
          <w:sz w:val="24"/>
          <w:highlight w:val="none"/>
        </w:rPr>
        <w:t>支持本国产品政府采购</w:t>
      </w:r>
      <w:r>
        <w:rPr>
          <w:rFonts w:ascii="宋体" w:hAnsi="宋体"/>
          <w:sz w:val="24"/>
          <w:highlight w:val="none"/>
        </w:rPr>
        <w:t>的价格调整：只有符合第二章《</w:t>
      </w:r>
      <w:r>
        <w:rPr>
          <w:rFonts w:hint="eastAsia" w:ascii="宋体" w:hAnsi="宋体"/>
          <w:sz w:val="24"/>
          <w:highlight w:val="none"/>
        </w:rPr>
        <w:t>供应商</w:t>
      </w:r>
      <w:r>
        <w:rPr>
          <w:rFonts w:ascii="宋体" w:hAnsi="宋体"/>
          <w:sz w:val="24"/>
          <w:highlight w:val="none"/>
        </w:rPr>
        <w:t>须知》4.2条规定情形的，可以享受</w:t>
      </w:r>
      <w:r>
        <w:rPr>
          <w:rFonts w:hint="eastAsia" w:ascii="宋体" w:hAnsi="宋体"/>
          <w:sz w:val="24"/>
          <w:highlight w:val="none"/>
        </w:rPr>
        <w:t>本国产品支持</w:t>
      </w:r>
      <w:r>
        <w:rPr>
          <w:rFonts w:ascii="宋体" w:hAnsi="宋体"/>
          <w:sz w:val="24"/>
          <w:highlight w:val="none"/>
        </w:rPr>
        <w:t>政策，用扣除后的价格参加评审；否则，评</w:t>
      </w:r>
      <w:r>
        <w:rPr>
          <w:rFonts w:hint="eastAsia" w:ascii="宋体" w:hAnsi="宋体"/>
          <w:sz w:val="24"/>
          <w:highlight w:val="none"/>
        </w:rPr>
        <w:t>审</w:t>
      </w:r>
      <w:r>
        <w:rPr>
          <w:rFonts w:ascii="宋体" w:hAnsi="宋体"/>
          <w:sz w:val="24"/>
          <w:highlight w:val="none"/>
        </w:rPr>
        <w:t>时价格不予扣除。</w:t>
      </w:r>
    </w:p>
    <w:p w14:paraId="42D15391">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sz w:val="24"/>
          <w:highlight w:val="none"/>
        </w:rPr>
      </w:pPr>
      <w:r>
        <w:rPr>
          <w:rFonts w:hint="eastAsia" w:ascii="宋体" w:hAnsi="宋体"/>
          <w:sz w:val="24"/>
          <w:highlight w:val="none"/>
        </w:rPr>
        <w:t>本项目既有本国产品又有非本国产品参与竞争的，依法对本国产品给予价格评审优惠，对本国产品的报价给予20%的价格扣除，用扣除后的价格参与评审。</w:t>
      </w:r>
    </w:p>
    <w:p w14:paraId="737FAF4C">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sz w:val="24"/>
          <w:highlight w:val="none"/>
        </w:rPr>
      </w:pPr>
      <w:r>
        <w:rPr>
          <w:rFonts w:hint="eastAsia" w:ascii="宋体" w:hAnsi="宋体"/>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474FDB6">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sz w:val="24"/>
          <w:highlight w:val="none"/>
        </w:rPr>
      </w:pPr>
      <w:r>
        <w:rPr>
          <w:rFonts w:hint="eastAsia" w:ascii="宋体" w:hAnsi="宋体"/>
          <w:sz w:val="24"/>
          <w:highlight w:val="none"/>
        </w:rPr>
        <w:t>供应商提供本国产品参加政府采购活动的，</w:t>
      </w:r>
      <w:r>
        <w:rPr>
          <w:rFonts w:ascii="宋体" w:hAnsi="宋体"/>
          <w:sz w:val="24"/>
          <w:highlight w:val="none"/>
        </w:rPr>
        <w:t>应当按照</w:t>
      </w:r>
      <w:r>
        <w:rPr>
          <w:rFonts w:hint="eastAsia" w:ascii="宋体" w:hAnsi="宋体"/>
          <w:sz w:val="24"/>
          <w:highlight w:val="none"/>
        </w:rPr>
        <w:t>采购</w:t>
      </w:r>
      <w:r>
        <w:rPr>
          <w:rFonts w:ascii="宋体" w:hAnsi="宋体"/>
          <w:sz w:val="24"/>
          <w:highlight w:val="none"/>
        </w:rPr>
        <w:t>文件给定的格式出具《</w:t>
      </w:r>
      <w:r>
        <w:rPr>
          <w:rFonts w:hint="eastAsia" w:ascii="宋体" w:hAnsi="宋体"/>
          <w:sz w:val="24"/>
          <w:highlight w:val="none"/>
        </w:rPr>
        <w:t>关于符合本国产品标准的声明函》或提供财政部会同有关部门规定的有关证明文件，否则视为非本国产品。</w:t>
      </w:r>
    </w:p>
    <w:p w14:paraId="1735CF6A">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磋商环节及提交最后报价后如出现以下情况的，供应商的</w:t>
      </w:r>
      <w:r>
        <w:rPr>
          <w:rFonts w:ascii="宋体" w:hAnsi="宋体"/>
          <w:b/>
          <w:sz w:val="24"/>
          <w:highlight w:val="none"/>
        </w:rPr>
        <w:t>响应文件无效</w:t>
      </w:r>
      <w:r>
        <w:rPr>
          <w:rFonts w:ascii="宋体" w:hAnsi="宋体"/>
          <w:sz w:val="24"/>
          <w:highlight w:val="none"/>
        </w:rPr>
        <w:t>：</w:t>
      </w:r>
    </w:p>
    <w:p w14:paraId="0662D400">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供应商对实质性变动不予确认的；</w:t>
      </w:r>
    </w:p>
    <w:p w14:paraId="186BCA36">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不满足磋商文件</w:t>
      </w:r>
      <w:r>
        <w:rPr>
          <w:rFonts w:ascii="宋体" w:hAnsi="宋体" w:cs="Segoe UI Symbol"/>
          <w:sz w:val="24"/>
          <w:highlight w:val="none"/>
        </w:rPr>
        <w:t>★</w:t>
      </w:r>
      <w:r>
        <w:rPr>
          <w:rFonts w:ascii="宋体" w:hAnsi="宋体"/>
          <w:sz w:val="24"/>
          <w:highlight w:val="none"/>
        </w:rPr>
        <w:t>号条款或磋商文件技术指标超出磋商文件《采购需求》中主要技术参数允许偏差的最大范围的（如有）；</w:t>
      </w:r>
    </w:p>
    <w:p w14:paraId="7A3934A8">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未按照磋商小组规定的时间、逾期提交最后报价的；</w:t>
      </w:r>
    </w:p>
    <w:p w14:paraId="7FA61653">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如供应商的最后报价超过竞争性磋商文件中规定的项目/采购包预算金额或者项目/采购包最高限价的；</w:t>
      </w:r>
    </w:p>
    <w:p w14:paraId="21B373C0">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响应文件中出现可选择性或可调整的报价的（竞争性磋商文件另有规定的除外）；</w:t>
      </w:r>
    </w:p>
    <w:p w14:paraId="7C6C617E">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最后报价出现前后不一致，供应商对修正后的报价不予确认的；</w:t>
      </w:r>
    </w:p>
    <w:p w14:paraId="64E50952">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其他：</w:t>
      </w:r>
      <w:r>
        <w:rPr>
          <w:rFonts w:hint="eastAsia" w:ascii="宋体" w:hAnsi="宋体"/>
          <w:sz w:val="24"/>
          <w:highlight w:val="none"/>
        </w:rPr>
        <w:t>/</w:t>
      </w:r>
      <w:r>
        <w:rPr>
          <w:rFonts w:ascii="宋体" w:hAnsi="宋体"/>
          <w:sz w:val="24"/>
          <w:highlight w:val="none"/>
        </w:rPr>
        <w:t>。</w:t>
      </w:r>
    </w:p>
    <w:bookmarkEnd w:id="621"/>
    <w:bookmarkEnd w:id="622"/>
    <w:p w14:paraId="41A37404">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评审方法和评审标准</w:t>
      </w:r>
    </w:p>
    <w:p w14:paraId="36A6A681">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24E6FAA">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竞争性磋商文件中没有规定的评审标准不得作为评审依据。</w:t>
      </w:r>
    </w:p>
    <w:p w14:paraId="061EAD92">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非政府强制采购的节能产品或环境标志产品，依据品目清单和认证证书实施政府优先采购。优先采购的具体规定（如涉及）______。</w:t>
      </w:r>
    </w:p>
    <w:p w14:paraId="61F5613A">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确定</w:t>
      </w:r>
      <w:bookmarkStart w:id="640" w:name="_Toc226965736"/>
      <w:bookmarkStart w:id="641" w:name="_Toc520356170"/>
      <w:bookmarkStart w:id="642" w:name="_Toc305158814"/>
      <w:bookmarkStart w:id="643" w:name="_Toc305158888"/>
      <w:bookmarkStart w:id="644" w:name="_Toc127161460"/>
      <w:bookmarkStart w:id="645" w:name="_Toc226965819"/>
      <w:bookmarkStart w:id="646" w:name="_Toc150509297"/>
      <w:bookmarkStart w:id="647" w:name="_Toc164229387"/>
      <w:bookmarkStart w:id="648" w:name="_Toc127151747"/>
      <w:bookmarkStart w:id="649" w:name="_Toc195842911"/>
      <w:bookmarkStart w:id="650" w:name="_Toc226337242"/>
      <w:bookmarkStart w:id="651" w:name="_Toc142311048"/>
      <w:bookmarkStart w:id="652" w:name="_Toc151193934"/>
      <w:bookmarkStart w:id="653" w:name="_Toc150480784"/>
      <w:bookmarkStart w:id="654" w:name="_Toc151193716"/>
      <w:bookmarkStart w:id="655" w:name="_Toc150774646"/>
      <w:bookmarkStart w:id="656" w:name="_Toc150774751"/>
      <w:bookmarkStart w:id="657" w:name="_Toc226309790"/>
      <w:bookmarkStart w:id="658" w:name="_Toc151193788"/>
      <w:bookmarkStart w:id="659" w:name="_Toc151190173"/>
      <w:bookmarkStart w:id="660" w:name="_Toc151193860"/>
      <w:bookmarkStart w:id="661" w:name="_Ref467307010"/>
      <w:bookmarkStart w:id="662" w:name="_Toc164608815"/>
      <w:bookmarkStart w:id="663" w:name="_Toc164229241"/>
      <w:bookmarkStart w:id="664" w:name="_Toc164608660"/>
      <w:bookmarkStart w:id="665" w:name="_Toc127151546"/>
      <w:bookmarkStart w:id="666" w:name="_Toc265228384"/>
      <w:bookmarkStart w:id="667" w:name="_Toc164351640"/>
      <w:bookmarkStart w:id="668" w:name="_Toc264969236"/>
      <w:bookmarkStart w:id="669" w:name="_Toc151193644"/>
      <w:bookmarkStart w:id="670" w:name="_Toc149720839"/>
      <w:r>
        <w:rPr>
          <w:rFonts w:ascii="宋体" w:hAnsi="宋体"/>
          <w:sz w:val="24"/>
          <w:highlight w:val="none"/>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D9FC7D6">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5C22773">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kern w:val="0"/>
          <w:sz w:val="24"/>
          <w:szCs w:val="20"/>
          <w:highlight w:val="none"/>
        </w:rPr>
        <w:t>磋商小组根据上述供应商排序，依次推荐排序前</w:t>
      </w:r>
      <w:r>
        <w:rPr>
          <w:rFonts w:hint="eastAsia" w:ascii="宋体" w:hAnsi="宋体"/>
          <w:sz w:val="24"/>
          <w:highlight w:val="none"/>
        </w:rPr>
        <w:t>3</w:t>
      </w:r>
      <w:r>
        <w:rPr>
          <w:rFonts w:ascii="宋体" w:hAnsi="宋体"/>
          <w:sz w:val="24"/>
          <w:highlight w:val="none"/>
        </w:rPr>
        <w:t>名</w:t>
      </w:r>
      <w:r>
        <w:rPr>
          <w:rFonts w:ascii="宋体" w:hAnsi="宋体"/>
          <w:kern w:val="0"/>
          <w:sz w:val="24"/>
          <w:szCs w:val="20"/>
          <w:highlight w:val="none"/>
        </w:rPr>
        <w:t>的供应商为</w:t>
      </w:r>
      <w:r>
        <w:rPr>
          <w:rFonts w:ascii="宋体" w:hAnsi="宋体"/>
          <w:snapToGrid w:val="0"/>
          <w:kern w:val="0"/>
          <w:sz w:val="24"/>
          <w:szCs w:val="21"/>
          <w:highlight w:val="none"/>
        </w:rPr>
        <w:t>成交候选供应商</w:t>
      </w:r>
      <w:r>
        <w:rPr>
          <w:rFonts w:ascii="宋体" w:hAnsi="宋体"/>
          <w:kern w:val="0"/>
          <w:sz w:val="24"/>
          <w:szCs w:val="20"/>
          <w:highlight w:val="none"/>
        </w:rPr>
        <w:t>（若在磋商文件允许的情形下提交最后报价的供应商为二家，则依次推荐二名供应商为成交候选供应商），并编写评审报告。</w:t>
      </w:r>
    </w:p>
    <w:p w14:paraId="54701DEC">
      <w:pPr>
        <w:numPr>
          <w:ilvl w:val="1"/>
          <w:numId w:val="12"/>
        </w:numPr>
        <w:tabs>
          <w:tab w:val="left" w:pos="1080"/>
          <w:tab w:val="left" w:pos="1872"/>
        </w:tabs>
        <w:snapToGrid w:val="0"/>
        <w:spacing w:line="360" w:lineRule="auto"/>
        <w:ind w:left="1077" w:hanging="720"/>
        <w:rPr>
          <w:rFonts w:hint="eastAsia" w:ascii="宋体" w:hAnsi="宋体"/>
          <w:sz w:val="24"/>
          <w:highlight w:val="none"/>
        </w:rPr>
      </w:pPr>
      <w:r>
        <w:rPr>
          <w:rFonts w:ascii="宋体" w:hAnsi="宋体"/>
          <w:sz w:val="24"/>
          <w:highlight w:val="none"/>
        </w:rPr>
        <w:t>磋商小组要对评分汇总情况进行复核，特别是对排名第一的、报价最低的、响应文件被认定为无效的情形进行重点复核。</w:t>
      </w:r>
    </w:p>
    <w:p w14:paraId="6C38DAF2">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报告违法行为</w:t>
      </w:r>
    </w:p>
    <w:p w14:paraId="5C346B8D">
      <w:pPr>
        <w:widowControl/>
        <w:numPr>
          <w:ilvl w:val="1"/>
          <w:numId w:val="12"/>
        </w:numPr>
        <w:tabs>
          <w:tab w:val="left" w:pos="1080"/>
          <w:tab w:val="left" w:pos="1872"/>
        </w:tabs>
        <w:snapToGrid w:val="0"/>
        <w:spacing w:line="360" w:lineRule="auto"/>
        <w:ind w:left="1077" w:hanging="720"/>
        <w:jc w:val="left"/>
        <w:rPr>
          <w:rFonts w:hint="eastAsia" w:ascii="宋体" w:hAnsi="宋体"/>
          <w:b/>
          <w:sz w:val="24"/>
          <w:highlight w:val="none"/>
        </w:rPr>
      </w:pPr>
      <w:r>
        <w:rPr>
          <w:rFonts w:ascii="宋体" w:hAnsi="宋体"/>
          <w:sz w:val="24"/>
          <w:highlight w:val="none"/>
        </w:rPr>
        <w:t>磋商小组在评审过程中发现供应商有行贿、提供虚假材料或者串通等违法行为时，</w:t>
      </w:r>
      <w:r>
        <w:rPr>
          <w:rFonts w:hint="eastAsia" w:ascii="宋体" w:hAnsi="宋体"/>
          <w:sz w:val="24"/>
          <w:highlight w:val="none"/>
        </w:rPr>
        <w:t>应当及时向财政部门报告</w:t>
      </w:r>
      <w:r>
        <w:rPr>
          <w:rFonts w:ascii="宋体" w:hAnsi="宋体"/>
          <w:sz w:val="24"/>
          <w:highlight w:val="none"/>
        </w:rPr>
        <w:t>。</w:t>
      </w:r>
      <w:r>
        <w:rPr>
          <w:rFonts w:ascii="宋体" w:hAnsi="宋体"/>
          <w:b/>
          <w:sz w:val="24"/>
          <w:highlight w:val="none"/>
        </w:rPr>
        <w:br w:type="page"/>
      </w:r>
    </w:p>
    <w:p w14:paraId="620EE0F4">
      <w:pPr>
        <w:pStyle w:val="3"/>
        <w:spacing w:before="0" w:line="360" w:lineRule="auto"/>
        <w:rPr>
          <w:rFonts w:hint="eastAsia" w:ascii="宋体" w:hAnsi="宋体" w:eastAsia="宋体"/>
          <w:sz w:val="24"/>
          <w:szCs w:val="24"/>
          <w:highlight w:val="none"/>
        </w:rPr>
      </w:pPr>
      <w:r>
        <w:rPr>
          <w:rFonts w:ascii="宋体" w:hAnsi="宋体" w:eastAsia="宋体"/>
          <w:sz w:val="24"/>
          <w:szCs w:val="24"/>
          <w:highlight w:val="none"/>
        </w:rPr>
        <w:t>二、评审标准</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500"/>
        <w:gridCol w:w="1267"/>
        <w:gridCol w:w="6608"/>
      </w:tblGrid>
      <w:tr w14:paraId="4728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Align w:val="center"/>
          </w:tcPr>
          <w:p w14:paraId="6FD8DD95">
            <w:pPr>
              <w:ind w:firstLine="28"/>
              <w:jc w:val="center"/>
              <w:rPr>
                <w:rFonts w:hint="eastAsia" w:ascii="宋体" w:hAnsi="宋体"/>
                <w:b/>
                <w:sz w:val="24"/>
                <w:highlight w:val="none"/>
              </w:rPr>
            </w:pPr>
            <w:r>
              <w:rPr>
                <w:rFonts w:hint="eastAsia" w:ascii="宋体" w:hAnsi="宋体"/>
                <w:b/>
                <w:sz w:val="24"/>
                <w:highlight w:val="none"/>
              </w:rPr>
              <w:t>评审内容</w:t>
            </w:r>
          </w:p>
        </w:tc>
        <w:tc>
          <w:tcPr>
            <w:tcW w:w="500" w:type="dxa"/>
            <w:vAlign w:val="center"/>
          </w:tcPr>
          <w:p w14:paraId="6DB9A160">
            <w:pPr>
              <w:ind w:firstLine="28"/>
              <w:jc w:val="center"/>
              <w:rPr>
                <w:rFonts w:hint="eastAsia" w:ascii="宋体" w:hAnsi="宋体"/>
                <w:b/>
                <w:sz w:val="24"/>
                <w:highlight w:val="none"/>
              </w:rPr>
            </w:pPr>
            <w:r>
              <w:rPr>
                <w:rFonts w:hint="eastAsia" w:ascii="宋体" w:hAnsi="宋体"/>
                <w:b/>
                <w:sz w:val="24"/>
                <w:highlight w:val="none"/>
              </w:rPr>
              <w:t>分值</w:t>
            </w:r>
          </w:p>
        </w:tc>
        <w:tc>
          <w:tcPr>
            <w:tcW w:w="1267" w:type="dxa"/>
            <w:vAlign w:val="center"/>
          </w:tcPr>
          <w:p w14:paraId="0570D0A5">
            <w:pPr>
              <w:ind w:firstLine="28"/>
              <w:jc w:val="center"/>
              <w:rPr>
                <w:rFonts w:hint="eastAsia" w:ascii="宋体" w:hAnsi="宋体"/>
                <w:b/>
                <w:sz w:val="24"/>
                <w:highlight w:val="none"/>
              </w:rPr>
            </w:pPr>
            <w:r>
              <w:rPr>
                <w:rFonts w:hint="eastAsia" w:ascii="宋体" w:hAnsi="宋体"/>
                <w:b/>
                <w:sz w:val="24"/>
                <w:highlight w:val="none"/>
              </w:rPr>
              <w:t>明细</w:t>
            </w:r>
          </w:p>
        </w:tc>
        <w:tc>
          <w:tcPr>
            <w:tcW w:w="6608" w:type="dxa"/>
            <w:vAlign w:val="center"/>
          </w:tcPr>
          <w:p w14:paraId="54010BA7">
            <w:pPr>
              <w:pStyle w:val="245"/>
              <w:spacing w:before="0" w:after="0" w:line="240" w:lineRule="auto"/>
              <w:rPr>
                <w:rFonts w:hint="eastAsia" w:ascii="宋体" w:hAnsi="宋体" w:eastAsia="宋体"/>
                <w:szCs w:val="24"/>
                <w:highlight w:val="none"/>
              </w:rPr>
            </w:pPr>
            <w:r>
              <w:rPr>
                <w:rFonts w:ascii="宋体" w:hAnsi="宋体" w:eastAsia="宋体"/>
                <w:highlight w:val="none"/>
              </w:rPr>
              <w:t>评分标准</w:t>
            </w:r>
          </w:p>
        </w:tc>
      </w:tr>
      <w:tr w14:paraId="73D0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53" w:type="dxa"/>
            <w:vAlign w:val="center"/>
          </w:tcPr>
          <w:p w14:paraId="07CB1C1E">
            <w:pPr>
              <w:ind w:firstLine="28"/>
              <w:jc w:val="center"/>
              <w:rPr>
                <w:rFonts w:hint="eastAsia" w:ascii="宋体" w:hAnsi="宋体"/>
                <w:b/>
                <w:bCs/>
                <w:sz w:val="24"/>
                <w:highlight w:val="none"/>
              </w:rPr>
            </w:pPr>
            <w:r>
              <w:rPr>
                <w:rFonts w:hint="eastAsia" w:ascii="宋体" w:hAnsi="宋体"/>
                <w:b/>
                <w:bCs/>
                <w:sz w:val="24"/>
                <w:highlight w:val="none"/>
              </w:rPr>
              <w:t>商务部分</w:t>
            </w:r>
          </w:p>
        </w:tc>
        <w:tc>
          <w:tcPr>
            <w:tcW w:w="500" w:type="dxa"/>
            <w:vAlign w:val="center"/>
          </w:tcPr>
          <w:p w14:paraId="16024D38">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71591829">
            <w:pPr>
              <w:ind w:firstLine="28"/>
              <w:jc w:val="center"/>
              <w:rPr>
                <w:rFonts w:hint="eastAsia" w:ascii="宋体" w:hAnsi="宋体" w:cstheme="minorEastAsia"/>
                <w:sz w:val="24"/>
                <w:highlight w:val="none"/>
              </w:rPr>
            </w:pPr>
            <w:r>
              <w:rPr>
                <w:rFonts w:hint="eastAsia" w:ascii="宋体" w:hAnsi="宋体" w:cstheme="minorEastAsia"/>
                <w:sz w:val="24"/>
                <w:highlight w:val="none"/>
              </w:rPr>
              <w:t>项目业绩</w:t>
            </w:r>
          </w:p>
        </w:tc>
        <w:tc>
          <w:tcPr>
            <w:tcW w:w="6608" w:type="dxa"/>
            <w:vAlign w:val="center"/>
          </w:tcPr>
          <w:p w14:paraId="0200CD4B">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供应商提供（2023年04月01日-2026年03月31日，以合同签订时间为准）已完成的同类业绩，每提供一份得2分，最高得10分。需提供合同协议书或工程竣工验收证书复印件并加盖单位章。未按要求提供不得分。</w:t>
            </w:r>
          </w:p>
        </w:tc>
      </w:tr>
      <w:tr w14:paraId="2CDC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restart"/>
            <w:vAlign w:val="center"/>
          </w:tcPr>
          <w:p w14:paraId="1A5B5394">
            <w:pPr>
              <w:ind w:firstLine="28"/>
              <w:jc w:val="center"/>
              <w:rPr>
                <w:rFonts w:hint="eastAsia" w:ascii="宋体" w:hAnsi="宋体"/>
                <w:b/>
                <w:bCs/>
                <w:sz w:val="24"/>
                <w:highlight w:val="none"/>
              </w:rPr>
            </w:pPr>
            <w:r>
              <w:rPr>
                <w:rFonts w:hint="eastAsia" w:ascii="宋体" w:hAnsi="宋体"/>
                <w:b/>
                <w:bCs/>
                <w:sz w:val="24"/>
                <w:highlight w:val="none"/>
              </w:rPr>
              <w:t>技术部分</w:t>
            </w:r>
          </w:p>
        </w:tc>
        <w:tc>
          <w:tcPr>
            <w:tcW w:w="500" w:type="dxa"/>
            <w:vAlign w:val="center"/>
          </w:tcPr>
          <w:p w14:paraId="3CA21162">
            <w:pPr>
              <w:ind w:firstLine="28"/>
              <w:jc w:val="center"/>
              <w:rPr>
                <w:rFonts w:hint="eastAsia" w:ascii="宋体" w:hAnsi="宋体" w:cstheme="minorEastAsia"/>
                <w:sz w:val="24"/>
                <w:highlight w:val="none"/>
              </w:rPr>
            </w:pPr>
            <w:r>
              <w:rPr>
                <w:rFonts w:hint="eastAsia" w:ascii="宋体" w:hAnsi="宋体" w:cstheme="minorEastAsia"/>
                <w:sz w:val="24"/>
                <w:highlight w:val="none"/>
              </w:rPr>
              <w:t>20</w:t>
            </w:r>
          </w:p>
        </w:tc>
        <w:tc>
          <w:tcPr>
            <w:tcW w:w="1267" w:type="dxa"/>
            <w:vAlign w:val="center"/>
          </w:tcPr>
          <w:p w14:paraId="3081B46B">
            <w:pPr>
              <w:ind w:firstLine="28"/>
              <w:jc w:val="center"/>
              <w:rPr>
                <w:rFonts w:hint="eastAsia" w:ascii="宋体" w:hAnsi="宋体" w:cstheme="minorEastAsia"/>
                <w:sz w:val="24"/>
                <w:highlight w:val="none"/>
              </w:rPr>
            </w:pPr>
            <w:r>
              <w:rPr>
                <w:rFonts w:hint="eastAsia" w:ascii="宋体" w:hAnsi="宋体" w:cstheme="minorEastAsia"/>
                <w:sz w:val="24"/>
                <w:highlight w:val="none"/>
              </w:rPr>
              <w:t>施工方案</w:t>
            </w:r>
          </w:p>
        </w:tc>
        <w:tc>
          <w:tcPr>
            <w:tcW w:w="6608" w:type="dxa"/>
            <w:vAlign w:val="center"/>
          </w:tcPr>
          <w:p w14:paraId="7AF34236">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根据方案内容全面、方案科学、有针对性，合理性打分：施工方案内容全面、方案科学、针对性强：20分；</w:t>
            </w:r>
          </w:p>
          <w:p w14:paraId="61400D8C">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施工方案内容全面、方案科学、针对性较强：16分；</w:t>
            </w:r>
          </w:p>
          <w:p w14:paraId="1DD3F9AC">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施工方案内容基本全面、方案科学、针对性一般：12分；</w:t>
            </w:r>
          </w:p>
          <w:p w14:paraId="71549E7B">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施工方案内容欠科学合理、针对性一般：8分；</w:t>
            </w:r>
          </w:p>
          <w:p w14:paraId="5650C0BB">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施工方案内容不科学、不合理、无针对性：4分；</w:t>
            </w:r>
          </w:p>
          <w:p w14:paraId="72FE9D13">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4DCF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2C88496C">
            <w:pPr>
              <w:ind w:firstLine="28"/>
              <w:jc w:val="center"/>
              <w:rPr>
                <w:rFonts w:hint="eastAsia" w:ascii="宋体" w:hAnsi="宋体"/>
                <w:b/>
                <w:bCs/>
                <w:sz w:val="24"/>
                <w:highlight w:val="none"/>
              </w:rPr>
            </w:pPr>
          </w:p>
        </w:tc>
        <w:tc>
          <w:tcPr>
            <w:tcW w:w="500" w:type="dxa"/>
            <w:vAlign w:val="center"/>
          </w:tcPr>
          <w:p w14:paraId="037582EA">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4E2BF3D8">
            <w:pPr>
              <w:ind w:firstLine="28"/>
              <w:jc w:val="center"/>
              <w:rPr>
                <w:rFonts w:hint="eastAsia" w:ascii="宋体" w:hAnsi="宋体" w:cstheme="minorEastAsia"/>
                <w:sz w:val="24"/>
                <w:highlight w:val="none"/>
              </w:rPr>
            </w:pPr>
            <w:r>
              <w:rPr>
                <w:rFonts w:hint="eastAsia" w:ascii="宋体" w:hAnsi="宋体" w:cstheme="minorEastAsia"/>
                <w:sz w:val="24"/>
                <w:highlight w:val="none"/>
              </w:rPr>
              <w:t>技术措施</w:t>
            </w:r>
          </w:p>
        </w:tc>
        <w:tc>
          <w:tcPr>
            <w:tcW w:w="6608" w:type="dxa"/>
            <w:vAlign w:val="center"/>
          </w:tcPr>
          <w:p w14:paraId="07367F16">
            <w:pPr>
              <w:widowControl/>
              <w:jc w:val="left"/>
              <w:rPr>
                <w:rFonts w:hint="eastAsia" w:ascii="宋体" w:hAnsi="宋体" w:cstheme="minorEastAsia"/>
                <w:sz w:val="24"/>
                <w:highlight w:val="none"/>
              </w:rPr>
            </w:pPr>
            <w:r>
              <w:rPr>
                <w:rFonts w:hint="eastAsia" w:ascii="宋体" w:hAnsi="宋体" w:cstheme="minorEastAsia"/>
                <w:sz w:val="24"/>
                <w:highlight w:val="none"/>
              </w:rPr>
              <w:t>技术措施内容全面、方案科学、有针对性，合理性打分：技术措施内容全面、方案科学、针对性强：10分；</w:t>
            </w:r>
          </w:p>
          <w:p w14:paraId="50B62BC2">
            <w:pPr>
              <w:widowControl/>
              <w:jc w:val="left"/>
              <w:rPr>
                <w:rFonts w:hint="eastAsia" w:ascii="宋体" w:hAnsi="宋体" w:cstheme="minorEastAsia"/>
                <w:sz w:val="24"/>
                <w:highlight w:val="none"/>
              </w:rPr>
            </w:pPr>
            <w:r>
              <w:rPr>
                <w:rFonts w:hint="eastAsia" w:ascii="宋体" w:hAnsi="宋体" w:cstheme="minorEastAsia"/>
                <w:sz w:val="24"/>
                <w:highlight w:val="none"/>
              </w:rPr>
              <w:t>技术措施内容全面、方案科学、针对性较强：7分；</w:t>
            </w:r>
          </w:p>
          <w:p w14:paraId="77B9973A">
            <w:pPr>
              <w:widowControl/>
              <w:jc w:val="left"/>
              <w:rPr>
                <w:rFonts w:hint="eastAsia" w:ascii="宋体" w:hAnsi="宋体" w:cstheme="minorEastAsia"/>
                <w:sz w:val="24"/>
                <w:highlight w:val="none"/>
              </w:rPr>
            </w:pPr>
            <w:r>
              <w:rPr>
                <w:rFonts w:hint="eastAsia" w:ascii="宋体" w:hAnsi="宋体" w:cstheme="minorEastAsia"/>
                <w:sz w:val="24"/>
                <w:highlight w:val="none"/>
              </w:rPr>
              <w:t>技术措施内容基本全面、方案科学、针对性一般：4分；</w:t>
            </w:r>
          </w:p>
          <w:p w14:paraId="25EB7F89">
            <w:pPr>
              <w:widowControl/>
              <w:jc w:val="left"/>
              <w:rPr>
                <w:rFonts w:hint="eastAsia" w:ascii="宋体" w:hAnsi="宋体" w:cstheme="minorEastAsia"/>
                <w:sz w:val="24"/>
                <w:highlight w:val="none"/>
              </w:rPr>
            </w:pPr>
            <w:r>
              <w:rPr>
                <w:rFonts w:hint="eastAsia" w:ascii="宋体" w:hAnsi="宋体" w:cstheme="minorEastAsia"/>
                <w:sz w:val="24"/>
                <w:highlight w:val="none"/>
              </w:rPr>
              <w:t>技术措施内容不科学、不合理、无针对性：1分；</w:t>
            </w:r>
          </w:p>
          <w:p w14:paraId="56888129">
            <w:pPr>
              <w:widowControl/>
              <w:jc w:val="left"/>
              <w:rPr>
                <w:rFonts w:hint="eastAsia" w:ascii="宋体" w:hAnsi="宋体" w:cstheme="minorEastAsia"/>
                <w:sz w:val="24"/>
                <w:highlight w:val="none"/>
              </w:rPr>
            </w:pPr>
            <w:r>
              <w:rPr>
                <w:rFonts w:hint="eastAsia" w:ascii="宋体" w:hAnsi="宋体" w:cstheme="minorEastAsia"/>
                <w:sz w:val="24"/>
                <w:highlight w:val="none"/>
              </w:rPr>
              <w:t>未提供0分.</w:t>
            </w:r>
          </w:p>
        </w:tc>
      </w:tr>
      <w:tr w14:paraId="2934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3CA8D063">
            <w:pPr>
              <w:ind w:firstLine="28"/>
              <w:jc w:val="center"/>
              <w:rPr>
                <w:rFonts w:hint="eastAsia" w:ascii="宋体" w:hAnsi="宋体"/>
                <w:b/>
                <w:bCs/>
                <w:sz w:val="24"/>
                <w:highlight w:val="none"/>
              </w:rPr>
            </w:pPr>
          </w:p>
        </w:tc>
        <w:tc>
          <w:tcPr>
            <w:tcW w:w="500" w:type="dxa"/>
            <w:vAlign w:val="center"/>
          </w:tcPr>
          <w:p w14:paraId="334F4952">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03BCA316">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质量保证措施</w:t>
            </w:r>
          </w:p>
        </w:tc>
        <w:tc>
          <w:tcPr>
            <w:tcW w:w="6608" w:type="dxa"/>
            <w:vAlign w:val="center"/>
          </w:tcPr>
          <w:p w14:paraId="76C943BA">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质量保证措施内容全面、方案科学、有针对性，合理性打分：质量保证措施内容全面、方案科学、针对性强：10分；</w:t>
            </w:r>
          </w:p>
          <w:p w14:paraId="22383461">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质量保证措施内容全面、方案科学、针对性较强：7分；</w:t>
            </w:r>
          </w:p>
          <w:p w14:paraId="613E1FD0">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质量保证措施内容基本全面、方案科学、针对性一般：4分；</w:t>
            </w:r>
          </w:p>
          <w:p w14:paraId="27575FB5">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质量保证措施内容不科学、不合理、无针对性：1分；</w:t>
            </w:r>
          </w:p>
          <w:p w14:paraId="5DFF60DE">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0D51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4E0C8CAC">
            <w:pPr>
              <w:ind w:firstLine="28"/>
              <w:jc w:val="center"/>
              <w:rPr>
                <w:rFonts w:hint="eastAsia" w:ascii="宋体" w:hAnsi="宋体"/>
                <w:b/>
                <w:bCs/>
                <w:sz w:val="24"/>
                <w:highlight w:val="none"/>
              </w:rPr>
            </w:pPr>
          </w:p>
        </w:tc>
        <w:tc>
          <w:tcPr>
            <w:tcW w:w="500" w:type="dxa"/>
            <w:vAlign w:val="center"/>
          </w:tcPr>
          <w:p w14:paraId="527D7F8B">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3392E844">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安全生产、文明施工措施</w:t>
            </w:r>
          </w:p>
          <w:p w14:paraId="25E53A58">
            <w:pPr>
              <w:spacing w:after="14" w:line="276" w:lineRule="auto"/>
              <w:ind w:right="27"/>
              <w:jc w:val="center"/>
              <w:rPr>
                <w:rFonts w:hint="eastAsia" w:ascii="宋体" w:hAnsi="宋体" w:cstheme="minorEastAsia"/>
                <w:sz w:val="24"/>
                <w:highlight w:val="none"/>
              </w:rPr>
            </w:pPr>
          </w:p>
        </w:tc>
        <w:tc>
          <w:tcPr>
            <w:tcW w:w="6608" w:type="dxa"/>
            <w:vAlign w:val="center"/>
          </w:tcPr>
          <w:p w14:paraId="65FBF9F0">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安全生产、文明施工措施内容全面、方案科学、有针对性，合理性打分：安全生产、文明施工措施内容全面、方案科学、针对性强：10分；</w:t>
            </w:r>
          </w:p>
          <w:p w14:paraId="0EB06054">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安全生产、文明施工措施内容全面、方案科学、针对性较强：7分；</w:t>
            </w:r>
          </w:p>
          <w:p w14:paraId="1F6C3ED3">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安全生产、文明施工措施内容基本全面、方案科学、针对性一般：4分；</w:t>
            </w:r>
          </w:p>
          <w:p w14:paraId="16B2E2FF">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安全生产、文明施工措施内容不科学、不合理、无针对性：1分；</w:t>
            </w:r>
          </w:p>
          <w:p w14:paraId="67BB08E8">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537F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0DF1A9A6">
            <w:pPr>
              <w:ind w:firstLine="28"/>
              <w:jc w:val="center"/>
              <w:rPr>
                <w:rFonts w:hint="eastAsia" w:ascii="宋体" w:hAnsi="宋体"/>
                <w:b/>
                <w:bCs/>
                <w:sz w:val="24"/>
                <w:highlight w:val="none"/>
              </w:rPr>
            </w:pPr>
          </w:p>
        </w:tc>
        <w:tc>
          <w:tcPr>
            <w:tcW w:w="500" w:type="dxa"/>
            <w:vAlign w:val="center"/>
          </w:tcPr>
          <w:p w14:paraId="0B060526">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01002CFE">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进度计划及保证措施</w:t>
            </w:r>
          </w:p>
          <w:p w14:paraId="7ECAC9DC">
            <w:pPr>
              <w:spacing w:after="14" w:line="276" w:lineRule="auto"/>
              <w:ind w:right="27"/>
              <w:jc w:val="center"/>
              <w:rPr>
                <w:rFonts w:hint="eastAsia" w:ascii="宋体" w:hAnsi="宋体" w:cstheme="minorEastAsia"/>
                <w:sz w:val="24"/>
                <w:highlight w:val="none"/>
              </w:rPr>
            </w:pPr>
          </w:p>
        </w:tc>
        <w:tc>
          <w:tcPr>
            <w:tcW w:w="6608" w:type="dxa"/>
            <w:vAlign w:val="center"/>
          </w:tcPr>
          <w:p w14:paraId="44AF08F7">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进度计划及保证措施内容全面、方案科学、有针对性，合理性打分：进度计划及保证措施内容全面、方案科学、针对性强：10分；</w:t>
            </w:r>
          </w:p>
          <w:p w14:paraId="09F7BD7B">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进度计划及保证措施内容全面、方案科学、针对性较强：7分；</w:t>
            </w:r>
          </w:p>
          <w:p w14:paraId="002CD1AF">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进度计划及保证措施内容基本全面、方案科学、针对性一般：4分；</w:t>
            </w:r>
          </w:p>
          <w:p w14:paraId="5274CA50">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进度计划及保证措施内容不科学、不合理、无针对性：1分；</w:t>
            </w:r>
          </w:p>
          <w:p w14:paraId="6582518D">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5A4A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5F14C271">
            <w:pPr>
              <w:ind w:firstLine="28"/>
              <w:jc w:val="center"/>
              <w:rPr>
                <w:rFonts w:hint="eastAsia" w:ascii="宋体" w:hAnsi="宋体"/>
                <w:b/>
                <w:bCs/>
                <w:sz w:val="24"/>
                <w:highlight w:val="none"/>
              </w:rPr>
            </w:pPr>
          </w:p>
        </w:tc>
        <w:tc>
          <w:tcPr>
            <w:tcW w:w="500" w:type="dxa"/>
            <w:vAlign w:val="center"/>
          </w:tcPr>
          <w:p w14:paraId="3A744DD4">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1ADAA39F">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紧急情况 </w:t>
            </w:r>
          </w:p>
          <w:p w14:paraId="50C3C9ED">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的处理措 </w:t>
            </w:r>
          </w:p>
          <w:p w14:paraId="022667A9">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施、预案 </w:t>
            </w:r>
          </w:p>
          <w:p w14:paraId="16637AB7">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以及安全 </w:t>
            </w:r>
          </w:p>
          <w:p w14:paraId="01677A6E">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管理的措 </w:t>
            </w:r>
          </w:p>
          <w:p w14:paraId="79D07E10">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施</w:t>
            </w:r>
          </w:p>
        </w:tc>
        <w:tc>
          <w:tcPr>
            <w:tcW w:w="6608" w:type="dxa"/>
            <w:vAlign w:val="center"/>
          </w:tcPr>
          <w:p w14:paraId="4E811D2E">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紧急情况的处理措施、预案以及安全管理的措施科学、可行、针对性强：10分；</w:t>
            </w:r>
          </w:p>
          <w:p w14:paraId="4A494C58">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紧急情况的处理措施、预案以及安全管理的措施较合理、较可行、细节待完善：7分；</w:t>
            </w:r>
          </w:p>
          <w:p w14:paraId="7902B59D">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紧急情况的处理措施、预案以及安全管理的措施欠合理，基本可行，基本满足工程需要：4分；</w:t>
            </w:r>
          </w:p>
          <w:p w14:paraId="77FE4C95">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紧急情况的处理措施、预案以及安全管理的措施不满足工程需要：1分；</w:t>
            </w:r>
          </w:p>
          <w:p w14:paraId="71CCD667">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19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vAlign w:val="center"/>
          </w:tcPr>
          <w:p w14:paraId="6A6EC263">
            <w:pPr>
              <w:ind w:firstLine="28"/>
              <w:jc w:val="center"/>
              <w:rPr>
                <w:rFonts w:hint="eastAsia" w:ascii="宋体" w:hAnsi="宋体"/>
                <w:b/>
                <w:bCs/>
                <w:sz w:val="24"/>
                <w:highlight w:val="none"/>
              </w:rPr>
            </w:pPr>
          </w:p>
        </w:tc>
        <w:tc>
          <w:tcPr>
            <w:tcW w:w="500" w:type="dxa"/>
            <w:vAlign w:val="center"/>
          </w:tcPr>
          <w:p w14:paraId="362438DE">
            <w:pPr>
              <w:ind w:firstLine="28"/>
              <w:jc w:val="center"/>
              <w:rPr>
                <w:rFonts w:hint="eastAsia" w:ascii="宋体" w:hAnsi="宋体" w:cstheme="minorEastAsia"/>
                <w:sz w:val="24"/>
                <w:highlight w:val="none"/>
              </w:rPr>
            </w:pPr>
            <w:r>
              <w:rPr>
                <w:rFonts w:hint="eastAsia" w:ascii="宋体" w:hAnsi="宋体" w:cstheme="minorEastAsia"/>
                <w:sz w:val="24"/>
                <w:highlight w:val="none"/>
              </w:rPr>
              <w:t>10</w:t>
            </w:r>
          </w:p>
        </w:tc>
        <w:tc>
          <w:tcPr>
            <w:tcW w:w="1267" w:type="dxa"/>
            <w:vAlign w:val="center"/>
          </w:tcPr>
          <w:p w14:paraId="26A65B84">
            <w:pPr>
              <w:spacing w:after="14" w:line="276" w:lineRule="auto"/>
              <w:ind w:right="27"/>
              <w:jc w:val="center"/>
              <w:rPr>
                <w:rFonts w:hint="eastAsia" w:ascii="宋体" w:hAnsi="宋体" w:cstheme="minorEastAsia"/>
                <w:sz w:val="24"/>
                <w:highlight w:val="none"/>
              </w:rPr>
            </w:pPr>
            <w:r>
              <w:rPr>
                <w:rFonts w:hint="eastAsia" w:ascii="宋体" w:hAnsi="宋体" w:cstheme="minorEastAsia"/>
                <w:sz w:val="24"/>
                <w:highlight w:val="none"/>
              </w:rPr>
              <w:t xml:space="preserve">拟投入本项目施工设备、人员及劳动力配置 </w:t>
            </w:r>
          </w:p>
        </w:tc>
        <w:tc>
          <w:tcPr>
            <w:tcW w:w="6608" w:type="dxa"/>
            <w:vAlign w:val="center"/>
          </w:tcPr>
          <w:p w14:paraId="571199A3">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本项目施工设备、人员及劳动力配置计划方案合理：</w:t>
            </w:r>
          </w:p>
          <w:p w14:paraId="593FF561">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施工设备、人员及劳动力配置计划方案全面、针对性强：10分；</w:t>
            </w:r>
          </w:p>
          <w:p w14:paraId="05B56B0D">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施工设备、人员及劳动力配置计划方案较全面科学、针对性较强：7分；</w:t>
            </w:r>
          </w:p>
          <w:p w14:paraId="1BD878EA">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施工设备、人员及劳动力配置计划方案基本合理、针对性一般：4分；</w:t>
            </w:r>
          </w:p>
          <w:p w14:paraId="5AA35C68">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施工设备、人员及劳动力配置计划方案不科学、不合理、无针对性：1分；</w:t>
            </w:r>
          </w:p>
          <w:p w14:paraId="481CF2D9">
            <w:pPr>
              <w:pStyle w:val="245"/>
              <w:spacing w:before="0" w:after="0" w:line="240" w:lineRule="auto"/>
              <w:jc w:val="left"/>
              <w:rPr>
                <w:rFonts w:hint="eastAsia" w:ascii="宋体" w:hAnsi="宋体" w:eastAsia="宋体" w:cstheme="minorEastAsia"/>
                <w:b w:val="0"/>
                <w:szCs w:val="24"/>
                <w:highlight w:val="none"/>
              </w:rPr>
            </w:pPr>
            <w:r>
              <w:rPr>
                <w:rFonts w:hint="eastAsia" w:ascii="宋体" w:hAnsi="宋体" w:eastAsia="宋体" w:cstheme="minorEastAsia"/>
                <w:b w:val="0"/>
                <w:szCs w:val="24"/>
                <w:highlight w:val="none"/>
              </w:rPr>
              <w:t>未提供0分.</w:t>
            </w:r>
          </w:p>
        </w:tc>
      </w:tr>
      <w:tr w14:paraId="5FF9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Align w:val="center"/>
          </w:tcPr>
          <w:p w14:paraId="428699D2">
            <w:pPr>
              <w:ind w:firstLine="28"/>
              <w:jc w:val="center"/>
              <w:rPr>
                <w:rFonts w:hint="eastAsia" w:ascii="宋体" w:hAnsi="宋体"/>
                <w:b/>
                <w:bCs/>
                <w:sz w:val="24"/>
                <w:highlight w:val="none"/>
              </w:rPr>
            </w:pPr>
            <w:r>
              <w:rPr>
                <w:rFonts w:ascii="宋体" w:hAnsi="宋体"/>
                <w:b/>
                <w:bCs/>
                <w:sz w:val="24"/>
                <w:highlight w:val="none"/>
              </w:rPr>
              <w:t>报价</w:t>
            </w:r>
            <w:r>
              <w:rPr>
                <w:rFonts w:hint="eastAsia" w:ascii="宋体" w:hAnsi="宋体"/>
                <w:b/>
                <w:bCs/>
                <w:sz w:val="24"/>
                <w:highlight w:val="none"/>
              </w:rPr>
              <w:t>部分</w:t>
            </w:r>
          </w:p>
        </w:tc>
        <w:tc>
          <w:tcPr>
            <w:tcW w:w="500" w:type="dxa"/>
            <w:vAlign w:val="center"/>
          </w:tcPr>
          <w:p w14:paraId="40C7DC90">
            <w:pPr>
              <w:ind w:firstLine="28"/>
              <w:jc w:val="center"/>
              <w:rPr>
                <w:rFonts w:hint="eastAsia" w:ascii="宋体" w:hAnsi="宋体"/>
                <w:sz w:val="24"/>
                <w:highlight w:val="none"/>
              </w:rPr>
            </w:pPr>
            <w:r>
              <w:rPr>
                <w:rFonts w:hint="eastAsia" w:ascii="宋体" w:hAnsi="宋体"/>
                <w:sz w:val="24"/>
                <w:highlight w:val="none"/>
              </w:rPr>
              <w:t>10</w:t>
            </w:r>
          </w:p>
        </w:tc>
        <w:tc>
          <w:tcPr>
            <w:tcW w:w="1267" w:type="dxa"/>
            <w:vAlign w:val="center"/>
          </w:tcPr>
          <w:p w14:paraId="4E6560E5">
            <w:pPr>
              <w:ind w:firstLine="28"/>
              <w:jc w:val="center"/>
              <w:rPr>
                <w:rFonts w:hint="eastAsia" w:ascii="宋体" w:hAnsi="宋体"/>
                <w:sz w:val="24"/>
                <w:highlight w:val="none"/>
              </w:rPr>
            </w:pPr>
          </w:p>
        </w:tc>
        <w:tc>
          <w:tcPr>
            <w:tcW w:w="6608" w:type="dxa"/>
            <w:vAlign w:val="center"/>
          </w:tcPr>
          <w:p w14:paraId="22431034">
            <w:pPr>
              <w:ind w:firstLine="28"/>
              <w:jc w:val="left"/>
              <w:rPr>
                <w:rFonts w:hint="eastAsia" w:ascii="宋体" w:hAnsi="宋体"/>
                <w:sz w:val="24"/>
                <w:highlight w:val="none"/>
              </w:rPr>
            </w:pPr>
            <w:r>
              <w:rPr>
                <w:rFonts w:ascii="宋体" w:hAnsi="宋体"/>
                <w:sz w:val="24"/>
                <w:highlight w:val="none"/>
              </w:rPr>
              <w:t>满足磋商文件要求的最后报价最低的供应商的价格为磋商基准价，其价格分为满分。其他供应商的价格分统一按照下列公式计算：</w:t>
            </w:r>
          </w:p>
          <w:p w14:paraId="01D15AA9">
            <w:pPr>
              <w:ind w:firstLine="28"/>
              <w:jc w:val="left"/>
              <w:rPr>
                <w:rFonts w:hint="eastAsia" w:ascii="宋体" w:hAnsi="宋体"/>
                <w:sz w:val="24"/>
                <w:highlight w:val="none"/>
              </w:rPr>
            </w:pPr>
            <w:r>
              <w:rPr>
                <w:rFonts w:ascii="宋体" w:hAnsi="宋体"/>
                <w:sz w:val="24"/>
                <w:highlight w:val="none"/>
              </w:rPr>
              <w:t>磋商报价得分=（磋商基准价/最后报价）×</w:t>
            </w:r>
            <w:r>
              <w:rPr>
                <w:rFonts w:hint="eastAsia" w:ascii="宋体" w:hAnsi="宋体"/>
                <w:sz w:val="24"/>
                <w:highlight w:val="none"/>
              </w:rPr>
              <w:t>10</w:t>
            </w:r>
          </w:p>
          <w:p w14:paraId="578FA89C">
            <w:pPr>
              <w:ind w:firstLine="28"/>
              <w:jc w:val="left"/>
              <w:rPr>
                <w:rFonts w:hint="eastAsia" w:ascii="宋体" w:hAnsi="宋体"/>
                <w:b/>
                <w:bCs/>
                <w:sz w:val="24"/>
                <w:highlight w:val="none"/>
              </w:rPr>
            </w:pPr>
            <w:r>
              <w:rPr>
                <w:rFonts w:hint="eastAsia" w:ascii="宋体" w:hAnsi="宋体"/>
                <w:b/>
                <w:bCs/>
                <w:sz w:val="24"/>
                <w:highlight w:val="none"/>
              </w:rPr>
              <w:t xml:space="preserve">★评审小组认为响应单位的报价明显低于其他通过符合性审查响应单位的报价，有可能影响产品质量或者不能诚信履约的，在规定的时间范围内未能提供书面说明或相关证明材料，不能证明其报价合理性的，其响应单位文件做无效响应处理。 </w:t>
            </w:r>
          </w:p>
          <w:p w14:paraId="3D4450C0">
            <w:pPr>
              <w:ind w:firstLine="28"/>
              <w:jc w:val="left"/>
              <w:rPr>
                <w:rFonts w:hint="eastAsia" w:ascii="宋体" w:hAnsi="宋体"/>
                <w:b/>
                <w:bCs/>
                <w:sz w:val="24"/>
                <w:highlight w:val="none"/>
              </w:rPr>
            </w:pPr>
            <w:r>
              <w:rPr>
                <w:rFonts w:hint="eastAsia" w:ascii="宋体" w:hAnsi="宋体"/>
                <w:b/>
                <w:bCs/>
                <w:sz w:val="24"/>
                <w:highlight w:val="none"/>
              </w:rPr>
              <w:t xml:space="preserve">供应商不得违反《中华人民共和国反不正当竞争法》的规定，以低于成本的价格销售货物、服务或工程，否则应对其价格构成情况做出详细说明并提供相关证明资料，评审时提供进货发票、单价分析表等材料。评审委员会评审中认为供应商的磋商报价低于成本价时，有权利要求供应商在一定期限内做出澄清或解释。如果评审委员会认为供应商所做的澄清或者解释不能被接受，有权利拒绝其响应文件。 </w:t>
            </w:r>
          </w:p>
          <w:p w14:paraId="00DAABB2">
            <w:pPr>
              <w:ind w:left="-38"/>
              <w:rPr>
                <w:rFonts w:hint="eastAsia" w:ascii="宋体" w:hAnsi="宋体"/>
                <w:sz w:val="24"/>
                <w:highlight w:val="none"/>
              </w:rPr>
            </w:pPr>
            <w:r>
              <w:rPr>
                <w:rFonts w:hint="eastAsia" w:ascii="宋体" w:hAnsi="宋体"/>
                <w:b/>
                <w:bCs/>
                <w:sz w:val="24"/>
                <w:highlight w:val="none"/>
              </w:rPr>
              <w:t>如响应人的磋商报价超出本项目最高限价的，为无效响应。最低报价并不是成交的唯一依据。评审委员会认为响应单位的报价明显低于其他通过符合性审查响应单位的报价，有可能影响产品质量或者不能诚信履约的，应当要求其在评审现场合理的时间内提供书面说明，必要时提交相关证明材料；如果响应单位不能证明其报价合理性的，评审委员会应当将其作为无效投标处理。</w:t>
            </w:r>
          </w:p>
        </w:tc>
      </w:tr>
      <w:tr w14:paraId="23B5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gridSpan w:val="2"/>
            <w:vAlign w:val="center"/>
          </w:tcPr>
          <w:p w14:paraId="03866320">
            <w:pPr>
              <w:ind w:firstLine="28"/>
              <w:jc w:val="center"/>
              <w:rPr>
                <w:rFonts w:hint="eastAsia" w:ascii="宋体" w:hAnsi="宋体"/>
                <w:sz w:val="24"/>
                <w:highlight w:val="none"/>
              </w:rPr>
            </w:pPr>
            <w:r>
              <w:rPr>
                <w:rFonts w:ascii="宋体" w:hAnsi="宋体"/>
                <w:sz w:val="24"/>
                <w:highlight w:val="none"/>
              </w:rPr>
              <w:t>合计</w:t>
            </w:r>
          </w:p>
        </w:tc>
        <w:tc>
          <w:tcPr>
            <w:tcW w:w="1267" w:type="dxa"/>
            <w:vAlign w:val="center"/>
          </w:tcPr>
          <w:p w14:paraId="55956278">
            <w:pPr>
              <w:ind w:firstLine="28"/>
              <w:jc w:val="center"/>
              <w:rPr>
                <w:rFonts w:hint="eastAsia" w:ascii="宋体" w:hAnsi="宋体"/>
                <w:sz w:val="24"/>
                <w:highlight w:val="none"/>
              </w:rPr>
            </w:pPr>
            <w:r>
              <w:rPr>
                <w:rFonts w:ascii="宋体" w:hAnsi="宋体"/>
                <w:sz w:val="24"/>
                <w:highlight w:val="none"/>
              </w:rPr>
              <w:t>100</w:t>
            </w:r>
          </w:p>
        </w:tc>
        <w:tc>
          <w:tcPr>
            <w:tcW w:w="6608" w:type="dxa"/>
            <w:vAlign w:val="center"/>
          </w:tcPr>
          <w:p w14:paraId="5EEF7700">
            <w:pPr>
              <w:rPr>
                <w:rFonts w:hint="eastAsia" w:ascii="宋体" w:hAnsi="宋体"/>
                <w:sz w:val="24"/>
                <w:highlight w:val="none"/>
              </w:rPr>
            </w:pPr>
          </w:p>
        </w:tc>
      </w:tr>
    </w:tbl>
    <w:p w14:paraId="75B0C4FB">
      <w:pPr>
        <w:tabs>
          <w:tab w:val="left" w:pos="360"/>
          <w:tab w:val="left" w:pos="1080"/>
        </w:tabs>
        <w:snapToGrid w:val="0"/>
        <w:spacing w:line="360" w:lineRule="auto"/>
        <w:ind w:left="1080"/>
        <w:rPr>
          <w:rFonts w:hint="eastAsia" w:ascii="宋体" w:hAnsi="宋体"/>
          <w:color w:val="000000"/>
          <w:sz w:val="24"/>
          <w:highlight w:val="none"/>
        </w:rPr>
      </w:pPr>
    </w:p>
    <w:p w14:paraId="1981C540">
      <w:pPr>
        <w:spacing w:line="360" w:lineRule="auto"/>
        <w:jc w:val="center"/>
        <w:outlineLvl w:val="0"/>
        <w:rPr>
          <w:rFonts w:hint="eastAsia" w:ascii="宋体" w:hAnsi="宋体"/>
          <w:b/>
          <w:sz w:val="36"/>
          <w:szCs w:val="36"/>
          <w:highlight w:val="none"/>
        </w:rPr>
      </w:pPr>
      <w:bookmarkStart w:id="671" w:name="_Toc14969"/>
      <w:r>
        <w:rPr>
          <w:rFonts w:ascii="宋体" w:hAnsi="宋体"/>
          <w:b/>
          <w:sz w:val="36"/>
          <w:szCs w:val="36"/>
          <w:highlight w:val="none"/>
        </w:rPr>
        <w:t>第四章   采购需求</w:t>
      </w:r>
      <w:bookmarkEnd w:id="671"/>
    </w:p>
    <w:p w14:paraId="2278E9AA">
      <w:pPr>
        <w:spacing w:line="360" w:lineRule="auto"/>
        <w:contextualSpacing/>
        <w:rPr>
          <w:rFonts w:hint="eastAsia" w:ascii="宋体" w:hAnsi="宋体"/>
          <w:sz w:val="24"/>
          <w:highlight w:val="none"/>
        </w:rPr>
      </w:pPr>
    </w:p>
    <w:p w14:paraId="13A8E831">
      <w:pPr>
        <w:pStyle w:val="3"/>
        <w:tabs>
          <w:tab w:val="left" w:pos="1134"/>
        </w:tabs>
        <w:spacing w:before="0" w:line="360" w:lineRule="auto"/>
        <w:ind w:firstLine="482"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一、工程概况：</w:t>
      </w:r>
    </w:p>
    <w:p w14:paraId="51E05393">
      <w:pPr>
        <w:pStyle w:val="37"/>
        <w:spacing w:before="0" w:beforeAutospacing="0" w:after="0" w:afterAutospacing="0"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1.工程名称：展览路街道党群服务中心装修改造项目</w:t>
      </w:r>
    </w:p>
    <w:p w14:paraId="25F31BF3">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2.受托单位：华采招标集团有限公司</w:t>
      </w:r>
    </w:p>
    <w:p w14:paraId="7A84022E">
      <w:pPr>
        <w:spacing w:line="360" w:lineRule="auto"/>
        <w:ind w:firstLine="480" w:firstLineChars="200"/>
        <w:jc w:val="left"/>
        <w:rPr>
          <w:rFonts w:hint="eastAsia" w:asciiTheme="minorEastAsia" w:hAnsiTheme="minorEastAsia" w:eastAsiaTheme="minorEastAsia" w:cstheme="minorEastAsia"/>
          <w:kern w:val="0"/>
          <w:sz w:val="24"/>
          <w:highlight w:val="none"/>
          <w:lang w:bidi="ar"/>
        </w:rPr>
      </w:pPr>
      <w:r>
        <w:rPr>
          <w:rFonts w:hint="eastAsia" w:asciiTheme="minorEastAsia" w:hAnsiTheme="minorEastAsia" w:eastAsiaTheme="minorEastAsia" w:cstheme="minorEastAsia"/>
          <w:sz w:val="24"/>
          <w:highlight w:val="none"/>
        </w:rPr>
        <w:t>3.建设</w:t>
      </w:r>
      <w:r>
        <w:rPr>
          <w:rFonts w:hint="eastAsia" w:asciiTheme="minorEastAsia" w:hAnsiTheme="minorEastAsia" w:eastAsiaTheme="minorEastAsia" w:cstheme="minorEastAsia"/>
          <w:kern w:val="0"/>
          <w:sz w:val="24"/>
          <w:highlight w:val="none"/>
          <w:lang w:bidi="ar"/>
        </w:rPr>
        <w:t>地点：北京市西城区</w:t>
      </w:r>
      <w:r>
        <w:rPr>
          <w:rFonts w:hint="eastAsia" w:asciiTheme="minorEastAsia" w:hAnsiTheme="minorEastAsia" w:eastAsiaTheme="minorEastAsia" w:cstheme="minorEastAsia"/>
          <w:sz w:val="24"/>
          <w:highlight w:val="none"/>
        </w:rPr>
        <w:t>展览路街道</w:t>
      </w:r>
    </w:p>
    <w:p w14:paraId="355494CD">
      <w:pPr>
        <w:pStyle w:val="3"/>
        <w:tabs>
          <w:tab w:val="left" w:pos="1134"/>
        </w:tabs>
        <w:spacing w:before="0" w:line="360" w:lineRule="auto"/>
        <w:ind w:firstLine="482"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二、编制范围</w:t>
      </w:r>
    </w:p>
    <w:p w14:paraId="08DD3A24">
      <w:pPr>
        <w:pStyle w:val="37"/>
        <w:spacing w:before="0" w:beforeAutospacing="0" w:after="0" w:afterAutospacing="0" w:line="360" w:lineRule="auto"/>
        <w:ind w:firstLine="480" w:firstLineChars="200"/>
        <w:rPr>
          <w:rFonts w:hint="eastAsia" w:asciiTheme="minorEastAsia" w:hAnsiTheme="minorEastAsia" w:eastAsiaTheme="minorEastAsia" w:cstheme="minorEastAsia"/>
          <w:kern w:val="2"/>
          <w:highlight w:val="none"/>
        </w:rPr>
      </w:pPr>
      <w:r>
        <w:rPr>
          <w:rFonts w:hint="eastAsia" w:asciiTheme="minorEastAsia" w:hAnsiTheme="minorEastAsia" w:eastAsiaTheme="minorEastAsia" w:cstheme="minorEastAsia"/>
          <w:kern w:val="2"/>
          <w:highlight w:val="none"/>
        </w:rPr>
        <w:t>1.</w:t>
      </w:r>
      <w:r>
        <w:rPr>
          <w:rFonts w:hint="eastAsia" w:asciiTheme="minorEastAsia" w:hAnsiTheme="minorEastAsia" w:eastAsiaTheme="minorEastAsia" w:cstheme="minorEastAsia"/>
          <w:highlight w:val="none"/>
        </w:rPr>
        <w:t>展览路街道党群服务中心装修改造项目</w:t>
      </w:r>
      <w:r>
        <w:rPr>
          <w:rFonts w:hint="eastAsia" w:asciiTheme="minorEastAsia" w:hAnsiTheme="minorEastAsia" w:eastAsiaTheme="minorEastAsia" w:cstheme="minorEastAsia"/>
          <w:kern w:val="2"/>
          <w:highlight w:val="none"/>
        </w:rPr>
        <w:t>图纸范围内的所有改造工程。</w:t>
      </w:r>
    </w:p>
    <w:p w14:paraId="2A0C3D5D">
      <w:pPr>
        <w:pStyle w:val="3"/>
        <w:tabs>
          <w:tab w:val="left" w:pos="1134"/>
        </w:tabs>
        <w:spacing w:before="0" w:line="360" w:lineRule="auto"/>
        <w:ind w:firstLine="482"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三、编制依据</w:t>
      </w:r>
    </w:p>
    <w:p w14:paraId="329ADACC">
      <w:pPr>
        <w:numPr>
          <w:ilvl w:val="0"/>
          <w:numId w:val="13"/>
        </w:num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设计图纸</w:t>
      </w:r>
      <w:bookmarkStart w:id="672" w:name="EBc8f6bb1cef544a4e95a090ae0ab156ab"/>
      <w:r>
        <w:rPr>
          <w:rFonts w:hint="eastAsia" w:asciiTheme="minorEastAsia" w:hAnsiTheme="minorEastAsia" w:eastAsiaTheme="minorEastAsia" w:cstheme="minorEastAsia"/>
          <w:sz w:val="24"/>
          <w:highlight w:val="none"/>
        </w:rPr>
        <w:t>及答疑；</w:t>
      </w:r>
    </w:p>
    <w:p w14:paraId="79C89EEB">
      <w:pPr>
        <w:numPr>
          <w:ilvl w:val="0"/>
          <w:numId w:val="13"/>
        </w:num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《建设工程工程量清单计价标准》（GB/T 50500-2024）、《房屋修缮工程工程量计算标准》(2023-北京)及相关文件等；</w:t>
      </w:r>
    </w:p>
    <w:bookmarkEnd w:id="672"/>
    <w:p w14:paraId="2085A345">
      <w:pPr>
        <w:numPr>
          <w:ilvl w:val="0"/>
          <w:numId w:val="13"/>
        </w:num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项目有关的标准、规范、技术资料、常规施工方案；</w:t>
      </w:r>
    </w:p>
    <w:p w14:paraId="41D55852">
      <w:pPr>
        <w:pStyle w:val="3"/>
        <w:tabs>
          <w:tab w:val="left" w:pos="1134"/>
        </w:tabs>
        <w:spacing w:before="0" w:line="360" w:lineRule="auto"/>
        <w:ind w:firstLine="482"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四、特殊说明</w:t>
      </w:r>
    </w:p>
    <w:p w14:paraId="30AA1BDB">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1.外墙装饰、内墙墙面定制柜子、墙面发光字、遮阳窗帘，不在本次招标范围；</w:t>
      </w:r>
    </w:p>
    <w:p w14:paraId="08FB60C7">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2.空调设备、铜管采购安装不在本次招标范围；</w:t>
      </w:r>
    </w:p>
    <w:p w14:paraId="2EBC58F5">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3.照明工程中灯具主材不在本次招标范围；</w:t>
      </w:r>
    </w:p>
    <w:p w14:paraId="0AAD7E5B">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4.电气专业中的监控系统和门禁系统、照明开关不在本次招标范围；</w:t>
      </w:r>
    </w:p>
    <w:p w14:paraId="3CD52A3F">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5.弱电智能化工程中路由器、防火墙、核心交换机、24口交换机不在本次招标范围。</w:t>
      </w:r>
    </w:p>
    <w:p w14:paraId="58C28DC6">
      <w:pPr>
        <w:spacing w:line="440" w:lineRule="exact"/>
        <w:ind w:firstLine="482" w:firstLineChars="200"/>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五、图纸（另附）</w:t>
      </w:r>
    </w:p>
    <w:p w14:paraId="511A2762">
      <w:pPr>
        <w:spacing w:line="440" w:lineRule="exact"/>
        <w:ind w:firstLine="482" w:firstLineChars="200"/>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六、工程量清单（另附）</w:t>
      </w:r>
    </w:p>
    <w:p w14:paraId="7365AE12">
      <w:pPr>
        <w:autoSpaceDE w:val="0"/>
        <w:autoSpaceDN w:val="0"/>
        <w:rPr>
          <w:rFonts w:hint="eastAsia" w:ascii="宋体" w:hAnsi="宋体"/>
          <w:bCs/>
          <w:highlight w:val="none"/>
        </w:rPr>
      </w:pPr>
    </w:p>
    <w:p w14:paraId="1ED3CFB8">
      <w:pPr>
        <w:rPr>
          <w:rFonts w:hint="eastAsia" w:ascii="宋体" w:hAnsi="宋体"/>
          <w:highlight w:val="none"/>
        </w:rPr>
      </w:pPr>
    </w:p>
    <w:p w14:paraId="3ED47DF7">
      <w:pPr>
        <w:spacing w:line="360" w:lineRule="auto"/>
        <w:jc w:val="center"/>
        <w:outlineLvl w:val="0"/>
        <w:rPr>
          <w:rFonts w:hint="eastAsia" w:ascii="宋体" w:hAnsi="宋体"/>
          <w:b/>
          <w:sz w:val="36"/>
          <w:szCs w:val="36"/>
          <w:highlight w:val="none"/>
        </w:rPr>
      </w:pPr>
      <w:r>
        <w:rPr>
          <w:rFonts w:ascii="宋体" w:hAnsi="宋体"/>
          <w:b/>
          <w:sz w:val="36"/>
          <w:szCs w:val="36"/>
          <w:highlight w:val="none"/>
        </w:rPr>
        <w:br w:type="page"/>
      </w:r>
      <w:bookmarkStart w:id="673" w:name="_Toc125"/>
      <w:r>
        <w:rPr>
          <w:rFonts w:ascii="宋体" w:hAnsi="宋体"/>
          <w:b/>
          <w:sz w:val="36"/>
          <w:szCs w:val="36"/>
          <w:highlight w:val="none"/>
        </w:rPr>
        <w:t>第五章   合同草案条款</w:t>
      </w:r>
      <w:bookmarkEnd w:id="673"/>
    </w:p>
    <w:p w14:paraId="78F14871">
      <w:pPr>
        <w:tabs>
          <w:tab w:val="left" w:pos="900"/>
          <w:tab w:val="left" w:pos="1080"/>
        </w:tabs>
        <w:snapToGrid w:val="0"/>
        <w:spacing w:line="360" w:lineRule="auto"/>
        <w:rPr>
          <w:rFonts w:hint="eastAsia" w:ascii="宋体" w:hAnsi="宋体"/>
          <w:kern w:val="0"/>
          <w:sz w:val="18"/>
          <w:szCs w:val="18"/>
          <w:highlight w:val="none"/>
        </w:rPr>
      </w:pPr>
    </w:p>
    <w:p w14:paraId="5B74FD7A">
      <w:pPr>
        <w:ind w:left="359" w:leftChars="171" w:right="458" w:rightChars="218"/>
        <w:jc w:val="center"/>
        <w:rPr>
          <w:rFonts w:hint="eastAsia" w:ascii="宋体" w:hAnsi="宋体" w:cs="宋体"/>
          <w:b/>
          <w:sz w:val="28"/>
          <w:szCs w:val="28"/>
          <w:highlight w:val="none"/>
        </w:rPr>
      </w:pPr>
      <w:bookmarkStart w:id="674" w:name="_Toc56003662"/>
      <w:r>
        <w:rPr>
          <w:rFonts w:hint="eastAsia" w:ascii="宋体" w:hAnsi="宋体" w:cs="宋体"/>
          <w:b/>
          <w:sz w:val="28"/>
          <w:szCs w:val="28"/>
          <w:highlight w:val="none"/>
        </w:rPr>
        <w:t>合同编号：</w:t>
      </w:r>
    </w:p>
    <w:p w14:paraId="322D16D9">
      <w:pPr>
        <w:ind w:left="359" w:leftChars="171" w:right="458" w:rightChars="218"/>
        <w:jc w:val="center"/>
        <w:rPr>
          <w:rFonts w:hint="eastAsia" w:ascii="宋体" w:hAnsi="宋体" w:cs="宋体"/>
          <w:b/>
          <w:sz w:val="32"/>
          <w:szCs w:val="32"/>
          <w:highlight w:val="none"/>
        </w:rPr>
      </w:pPr>
    </w:p>
    <w:p w14:paraId="06D26165">
      <w:pPr>
        <w:ind w:right="458" w:rightChars="218"/>
        <w:rPr>
          <w:rFonts w:hint="eastAsia" w:ascii="宋体" w:hAnsi="宋体" w:cs="宋体"/>
          <w:b/>
          <w:szCs w:val="21"/>
          <w:highlight w:val="none"/>
        </w:rPr>
      </w:pPr>
    </w:p>
    <w:p w14:paraId="4FEF1C02">
      <w:pPr>
        <w:ind w:left="359" w:leftChars="171" w:right="458" w:rightChars="218"/>
        <w:rPr>
          <w:rFonts w:hint="eastAsia" w:ascii="宋体" w:hAnsi="宋体" w:cs="宋体"/>
          <w:b/>
          <w:szCs w:val="21"/>
          <w:highlight w:val="none"/>
        </w:rPr>
      </w:pPr>
    </w:p>
    <w:p w14:paraId="23125B09">
      <w:pPr>
        <w:ind w:left="359" w:leftChars="171" w:right="458" w:rightChars="218"/>
        <w:rPr>
          <w:rFonts w:hint="eastAsia" w:ascii="宋体" w:hAnsi="宋体" w:cs="宋体"/>
          <w:b/>
          <w:szCs w:val="21"/>
          <w:highlight w:val="none"/>
        </w:rPr>
      </w:pPr>
    </w:p>
    <w:p w14:paraId="123B27BD">
      <w:pPr>
        <w:ind w:left="359" w:leftChars="171" w:right="458" w:rightChars="218"/>
        <w:rPr>
          <w:rFonts w:hint="eastAsia" w:ascii="宋体" w:hAnsi="宋体" w:cs="宋体"/>
          <w:szCs w:val="21"/>
          <w:highlight w:val="none"/>
        </w:rPr>
      </w:pPr>
    </w:p>
    <w:p w14:paraId="02702B5F">
      <w:pPr>
        <w:spacing w:line="264" w:lineRule="auto"/>
        <w:ind w:left="359" w:leftChars="171" w:right="458" w:rightChars="218"/>
        <w:jc w:val="center"/>
        <w:outlineLvl w:val="9"/>
        <w:rPr>
          <w:rFonts w:hint="eastAsia" w:ascii="宋体" w:hAnsi="宋体" w:cs="宋体"/>
          <w:szCs w:val="21"/>
          <w:highlight w:val="none"/>
        </w:rPr>
      </w:pPr>
      <w:bookmarkStart w:id="675" w:name="_Toc21167"/>
      <w:bookmarkStart w:id="676" w:name="_Toc5549"/>
      <w:r>
        <w:rPr>
          <w:rFonts w:hint="eastAsia" w:ascii="宋体" w:hAnsi="宋体" w:cs="宋体"/>
          <w:b/>
          <w:sz w:val="72"/>
          <w:szCs w:val="72"/>
          <w:highlight w:val="none"/>
        </w:rPr>
        <w:t>建设工程施工合同</w:t>
      </w:r>
      <w:bookmarkEnd w:id="675"/>
      <w:bookmarkEnd w:id="676"/>
    </w:p>
    <w:p w14:paraId="243C8759">
      <w:pPr>
        <w:ind w:left="359" w:leftChars="171" w:right="458" w:rightChars="218"/>
        <w:rPr>
          <w:rFonts w:hint="eastAsia" w:ascii="宋体" w:hAnsi="宋体" w:cs="宋体"/>
          <w:szCs w:val="21"/>
          <w:highlight w:val="none"/>
        </w:rPr>
      </w:pPr>
    </w:p>
    <w:p w14:paraId="41211EC7">
      <w:pPr>
        <w:ind w:left="359" w:leftChars="171" w:right="458" w:rightChars="218"/>
        <w:rPr>
          <w:rFonts w:hint="eastAsia" w:ascii="宋体" w:hAnsi="宋体" w:cs="宋体"/>
          <w:szCs w:val="21"/>
          <w:highlight w:val="none"/>
        </w:rPr>
      </w:pPr>
    </w:p>
    <w:p w14:paraId="2EA680AD">
      <w:pPr>
        <w:ind w:left="359" w:leftChars="171" w:right="458" w:rightChars="218"/>
        <w:rPr>
          <w:rFonts w:hint="eastAsia" w:ascii="宋体" w:hAnsi="宋体" w:cs="宋体"/>
          <w:szCs w:val="21"/>
          <w:highlight w:val="none"/>
        </w:rPr>
      </w:pPr>
    </w:p>
    <w:p w14:paraId="44A33228">
      <w:pPr>
        <w:ind w:left="359" w:leftChars="171" w:right="458" w:rightChars="218"/>
        <w:rPr>
          <w:rFonts w:hint="eastAsia" w:ascii="宋体" w:hAnsi="宋体" w:cs="宋体"/>
          <w:szCs w:val="21"/>
          <w:highlight w:val="none"/>
        </w:rPr>
      </w:pPr>
    </w:p>
    <w:p w14:paraId="43C8030B">
      <w:pPr>
        <w:ind w:left="359" w:leftChars="171" w:right="458" w:rightChars="218"/>
        <w:rPr>
          <w:rFonts w:hint="eastAsia" w:ascii="宋体" w:hAnsi="宋体" w:cs="宋体"/>
          <w:szCs w:val="21"/>
          <w:highlight w:val="none"/>
        </w:rPr>
      </w:pPr>
    </w:p>
    <w:p w14:paraId="6B29A704">
      <w:pPr>
        <w:ind w:left="359" w:leftChars="171" w:right="458" w:rightChars="218"/>
        <w:rPr>
          <w:rFonts w:hint="eastAsia" w:ascii="宋体" w:hAnsi="宋体" w:cs="宋体"/>
          <w:szCs w:val="21"/>
          <w:highlight w:val="none"/>
        </w:rPr>
      </w:pPr>
    </w:p>
    <w:p w14:paraId="37F9457B">
      <w:pPr>
        <w:ind w:left="359" w:leftChars="171" w:right="458" w:rightChars="218"/>
        <w:rPr>
          <w:rFonts w:hint="eastAsia" w:ascii="宋体" w:hAnsi="宋体" w:cs="宋体"/>
          <w:szCs w:val="21"/>
          <w:highlight w:val="none"/>
        </w:rPr>
      </w:pPr>
    </w:p>
    <w:p w14:paraId="70EB516D">
      <w:pPr>
        <w:ind w:left="359" w:leftChars="171" w:right="458" w:rightChars="218"/>
        <w:rPr>
          <w:rFonts w:hint="eastAsia" w:ascii="宋体" w:hAnsi="宋体" w:cs="宋体"/>
          <w:szCs w:val="21"/>
          <w:highlight w:val="none"/>
        </w:rPr>
      </w:pPr>
    </w:p>
    <w:p w14:paraId="0E9FC952">
      <w:pPr>
        <w:ind w:left="359" w:leftChars="171" w:right="458" w:rightChars="218"/>
        <w:rPr>
          <w:rFonts w:hint="eastAsia" w:ascii="宋体" w:hAnsi="宋体" w:cs="宋体"/>
          <w:szCs w:val="21"/>
          <w:highlight w:val="none"/>
        </w:rPr>
      </w:pPr>
    </w:p>
    <w:p w14:paraId="22FB190C">
      <w:pPr>
        <w:ind w:left="359" w:leftChars="171" w:right="458" w:rightChars="218"/>
        <w:rPr>
          <w:rFonts w:hint="eastAsia" w:ascii="宋体" w:hAnsi="宋体" w:cs="宋体"/>
          <w:szCs w:val="21"/>
          <w:highlight w:val="none"/>
        </w:rPr>
      </w:pPr>
    </w:p>
    <w:p w14:paraId="15FC9510">
      <w:pPr>
        <w:ind w:left="359" w:leftChars="171" w:right="458" w:rightChars="218"/>
        <w:rPr>
          <w:rFonts w:hint="eastAsia" w:ascii="宋体" w:hAnsi="宋体" w:cs="宋体"/>
          <w:szCs w:val="21"/>
          <w:highlight w:val="none"/>
        </w:rPr>
      </w:pPr>
    </w:p>
    <w:p w14:paraId="15EF4707">
      <w:pPr>
        <w:ind w:left="359" w:leftChars="171" w:right="458" w:rightChars="218"/>
        <w:rPr>
          <w:rFonts w:hint="eastAsia" w:ascii="宋体" w:hAnsi="宋体" w:cs="宋体"/>
          <w:szCs w:val="21"/>
          <w:highlight w:val="none"/>
        </w:rPr>
      </w:pPr>
    </w:p>
    <w:p w14:paraId="1784A492">
      <w:pPr>
        <w:ind w:left="359" w:leftChars="171" w:right="458" w:rightChars="218"/>
        <w:rPr>
          <w:rFonts w:hint="eastAsia" w:ascii="宋体" w:hAnsi="宋体" w:cs="宋体"/>
          <w:szCs w:val="21"/>
          <w:highlight w:val="none"/>
        </w:rPr>
      </w:pPr>
    </w:p>
    <w:p w14:paraId="56AA4463">
      <w:pPr>
        <w:spacing w:line="720" w:lineRule="exact"/>
        <w:ind w:right="458" w:rightChars="218" w:firstLine="843" w:firstLineChars="300"/>
        <w:rPr>
          <w:rFonts w:hint="eastAsia" w:ascii="宋体" w:hAnsi="宋体" w:cs="宋体"/>
          <w:sz w:val="28"/>
          <w:szCs w:val="28"/>
          <w:highlight w:val="none"/>
          <w:u w:val="single"/>
        </w:rPr>
      </w:pPr>
      <w:r>
        <w:rPr>
          <w:rFonts w:hint="eastAsia" w:ascii="宋体" w:hAnsi="宋体" w:cs="宋体"/>
          <w:b/>
          <w:sz w:val="28"/>
          <w:szCs w:val="28"/>
          <w:highlight w:val="none"/>
        </w:rPr>
        <w:t>工 程 名 称：</w:t>
      </w:r>
      <w:r>
        <w:rPr>
          <w:rFonts w:hint="eastAsia" w:ascii="宋体" w:hAnsi="宋体" w:cs="宋体"/>
          <w:sz w:val="28"/>
          <w:szCs w:val="28"/>
          <w:highlight w:val="none"/>
          <w:u w:val="single"/>
        </w:rPr>
        <w:t xml:space="preserve">                </w:t>
      </w:r>
    </w:p>
    <w:p w14:paraId="5D0E7184">
      <w:pPr>
        <w:spacing w:line="720" w:lineRule="exact"/>
        <w:ind w:firstLine="689" w:firstLineChars="245"/>
        <w:rPr>
          <w:rFonts w:hint="eastAsia" w:ascii="宋体" w:hAnsi="宋体" w:cs="宋体"/>
          <w:b/>
          <w:sz w:val="28"/>
          <w:szCs w:val="28"/>
          <w:highlight w:val="none"/>
        </w:rPr>
      </w:pPr>
      <w:r>
        <w:rPr>
          <w:rFonts w:hint="eastAsia" w:ascii="宋体" w:hAnsi="宋体" w:cs="宋体"/>
          <w:b/>
          <w:sz w:val="28"/>
          <w:szCs w:val="28"/>
          <w:highlight w:val="none"/>
        </w:rPr>
        <w:t>发包人（全称）：</w:t>
      </w:r>
      <w:r>
        <w:rPr>
          <w:rFonts w:hint="eastAsia" w:ascii="宋体" w:hAnsi="宋体" w:cs="宋体"/>
          <w:sz w:val="28"/>
          <w:szCs w:val="28"/>
          <w:highlight w:val="none"/>
          <w:u w:val="single"/>
        </w:rPr>
        <w:t xml:space="preserve">                </w:t>
      </w:r>
    </w:p>
    <w:p w14:paraId="0E25AFD8">
      <w:pPr>
        <w:spacing w:line="720" w:lineRule="exact"/>
        <w:ind w:firstLine="689" w:firstLineChars="245"/>
        <w:rPr>
          <w:rFonts w:hint="eastAsia" w:ascii="宋体" w:hAnsi="宋体" w:cs="宋体"/>
          <w:b/>
          <w:sz w:val="28"/>
          <w:szCs w:val="28"/>
          <w:highlight w:val="none"/>
          <w:u w:val="single"/>
        </w:rPr>
      </w:pPr>
      <w:r>
        <w:rPr>
          <w:rFonts w:hint="eastAsia" w:ascii="宋体" w:hAnsi="宋体" w:cs="宋体"/>
          <w:b/>
          <w:sz w:val="28"/>
          <w:szCs w:val="28"/>
          <w:highlight w:val="none"/>
        </w:rPr>
        <w:t>承包人（全称）：</w:t>
      </w:r>
      <w:r>
        <w:rPr>
          <w:rFonts w:hint="eastAsia" w:ascii="宋体" w:hAnsi="宋体" w:cs="宋体"/>
          <w:sz w:val="28"/>
          <w:szCs w:val="28"/>
          <w:highlight w:val="none"/>
          <w:u w:val="single"/>
        </w:rPr>
        <w:t xml:space="preserve">                </w:t>
      </w:r>
    </w:p>
    <w:p w14:paraId="56D7B19B">
      <w:pPr>
        <w:spacing w:line="720" w:lineRule="exact"/>
        <w:ind w:firstLine="689" w:firstLineChars="245"/>
        <w:rPr>
          <w:rFonts w:hint="eastAsia" w:ascii="宋体" w:hAnsi="宋体" w:cs="宋体"/>
          <w:highlight w:val="none"/>
        </w:rPr>
      </w:pPr>
      <w:r>
        <w:rPr>
          <w:rFonts w:hint="eastAsia" w:ascii="宋体" w:hAnsi="宋体" w:cs="宋体"/>
          <w:b/>
          <w:sz w:val="28"/>
          <w:szCs w:val="28"/>
          <w:highlight w:val="none"/>
        </w:rPr>
        <w:t>工 程 地 址：</w:t>
      </w:r>
      <w:r>
        <w:rPr>
          <w:rFonts w:hint="eastAsia" w:ascii="宋体" w:hAnsi="宋体" w:cs="宋体"/>
          <w:sz w:val="28"/>
          <w:szCs w:val="28"/>
          <w:highlight w:val="none"/>
          <w:u w:val="single"/>
        </w:rPr>
        <w:t xml:space="preserve">                   </w:t>
      </w:r>
    </w:p>
    <w:p w14:paraId="2BC573BB">
      <w:pPr>
        <w:spacing w:line="440" w:lineRule="exact"/>
        <w:jc w:val="center"/>
        <w:rPr>
          <w:rFonts w:hint="eastAsia" w:ascii="宋体" w:hAnsi="宋体" w:cs="宋体"/>
          <w:sz w:val="28"/>
          <w:szCs w:val="28"/>
          <w:highlight w:val="none"/>
        </w:rPr>
      </w:pPr>
    </w:p>
    <w:p w14:paraId="50F5A067">
      <w:pPr>
        <w:spacing w:line="440" w:lineRule="exact"/>
        <w:jc w:val="center"/>
        <w:rPr>
          <w:rFonts w:hint="eastAsia" w:ascii="宋体" w:hAnsi="宋体" w:cs="宋体"/>
          <w:sz w:val="28"/>
          <w:szCs w:val="28"/>
          <w:highlight w:val="none"/>
        </w:rPr>
      </w:pPr>
    </w:p>
    <w:p w14:paraId="7A177697">
      <w:pPr>
        <w:rPr>
          <w:rFonts w:hint="eastAsia" w:ascii="宋体" w:hAnsi="宋体" w:cs="宋体"/>
          <w:b/>
          <w:sz w:val="28"/>
          <w:highlight w:val="none"/>
        </w:rPr>
      </w:pPr>
      <w:bookmarkStart w:id="677" w:name="_Toc4157283"/>
      <w:bookmarkStart w:id="678" w:name="_Toc69992958"/>
      <w:bookmarkStart w:id="679" w:name="_Toc20254"/>
      <w:bookmarkStart w:id="680" w:name="_Toc31182"/>
      <w:bookmarkStart w:id="681" w:name="_Toc15722"/>
      <w:r>
        <w:rPr>
          <w:rFonts w:hint="eastAsia" w:ascii="宋体" w:hAnsi="宋体" w:cs="宋体"/>
          <w:b/>
          <w:sz w:val="28"/>
          <w:highlight w:val="none"/>
        </w:rPr>
        <w:br w:type="page"/>
      </w:r>
    </w:p>
    <w:p w14:paraId="712D83A0">
      <w:pPr>
        <w:keepNext/>
        <w:keepLines/>
        <w:spacing w:after="213" w:line="259" w:lineRule="auto"/>
        <w:ind w:right="1269"/>
        <w:jc w:val="center"/>
        <w:outlineLvl w:val="2"/>
        <w:rPr>
          <w:rFonts w:hint="eastAsia" w:ascii="宋体" w:hAnsi="宋体" w:cs="宋体"/>
          <w:b/>
          <w:sz w:val="28"/>
          <w:highlight w:val="none"/>
        </w:rPr>
      </w:pPr>
      <w:r>
        <w:rPr>
          <w:rFonts w:hint="eastAsia" w:ascii="宋体" w:hAnsi="宋体" w:cs="宋体"/>
          <w:b/>
          <w:sz w:val="28"/>
          <w:highlight w:val="none"/>
        </w:rPr>
        <w:t>一、合同协议书</w:t>
      </w:r>
      <w:bookmarkEnd w:id="677"/>
      <w:bookmarkEnd w:id="678"/>
      <w:bookmarkEnd w:id="679"/>
      <w:bookmarkEnd w:id="680"/>
      <w:bookmarkEnd w:id="681"/>
    </w:p>
    <w:p w14:paraId="7A1F8C3B">
      <w:pPr>
        <w:spacing w:line="440" w:lineRule="exact"/>
        <w:rPr>
          <w:rFonts w:hint="eastAsia" w:ascii="宋体" w:hAnsi="宋体" w:cs="宋体"/>
          <w:szCs w:val="21"/>
          <w:highlight w:val="none"/>
        </w:rPr>
      </w:pPr>
      <w:r>
        <w:rPr>
          <w:rFonts w:hint="eastAsia" w:ascii="宋体" w:hAnsi="宋体" w:cs="宋体"/>
          <w:szCs w:val="21"/>
          <w:highlight w:val="none"/>
        </w:rPr>
        <w:t xml:space="preserve">                                                    编号：</w:t>
      </w:r>
    </w:p>
    <w:p w14:paraId="27539E0F">
      <w:pPr>
        <w:spacing w:line="360" w:lineRule="auto"/>
        <w:rPr>
          <w:rFonts w:hint="eastAsia" w:ascii="宋体" w:hAnsi="宋体" w:cs="宋体"/>
          <w:b/>
          <w:szCs w:val="21"/>
          <w:highlight w:val="none"/>
        </w:rPr>
      </w:pPr>
      <w:r>
        <w:rPr>
          <w:rFonts w:hint="eastAsia" w:ascii="宋体" w:hAnsi="宋体" w:cs="宋体"/>
          <w:b/>
          <w:szCs w:val="21"/>
          <w:highlight w:val="none"/>
        </w:rPr>
        <w:t>发包人（全称）：</w:t>
      </w:r>
    </w:p>
    <w:p w14:paraId="4DE36B35">
      <w:pPr>
        <w:spacing w:line="360" w:lineRule="auto"/>
        <w:rPr>
          <w:rFonts w:hint="eastAsia" w:ascii="宋体" w:hAnsi="宋体" w:cs="宋体"/>
          <w:b/>
          <w:szCs w:val="21"/>
          <w:highlight w:val="none"/>
        </w:rPr>
      </w:pPr>
      <w:r>
        <w:rPr>
          <w:rFonts w:hint="eastAsia" w:ascii="宋体" w:hAnsi="宋体" w:cs="宋体"/>
          <w:b/>
          <w:szCs w:val="21"/>
          <w:highlight w:val="none"/>
        </w:rPr>
        <w:t>法定代表人：</w:t>
      </w:r>
    </w:p>
    <w:p w14:paraId="2894AE37">
      <w:pPr>
        <w:spacing w:line="360" w:lineRule="auto"/>
        <w:rPr>
          <w:rFonts w:hint="eastAsia" w:ascii="宋体" w:hAnsi="宋体" w:cs="宋体"/>
          <w:b/>
          <w:szCs w:val="21"/>
          <w:highlight w:val="none"/>
          <w:u w:val="single"/>
        </w:rPr>
      </w:pPr>
      <w:r>
        <w:rPr>
          <w:rFonts w:hint="eastAsia" w:ascii="宋体" w:hAnsi="宋体" w:cs="宋体"/>
          <w:b/>
          <w:szCs w:val="21"/>
          <w:highlight w:val="none"/>
        </w:rPr>
        <w:t>法定注册地址：</w:t>
      </w:r>
    </w:p>
    <w:p w14:paraId="6AEC4546">
      <w:pPr>
        <w:spacing w:line="360" w:lineRule="auto"/>
        <w:rPr>
          <w:rFonts w:hint="eastAsia" w:ascii="宋体" w:hAnsi="宋体" w:cs="宋体"/>
          <w:b/>
          <w:szCs w:val="21"/>
          <w:highlight w:val="none"/>
        </w:rPr>
      </w:pPr>
    </w:p>
    <w:p w14:paraId="052A91B5">
      <w:pPr>
        <w:spacing w:line="360" w:lineRule="auto"/>
        <w:rPr>
          <w:rFonts w:hint="eastAsia" w:ascii="宋体" w:hAnsi="宋体" w:cs="宋体"/>
          <w:b/>
          <w:szCs w:val="21"/>
          <w:highlight w:val="none"/>
        </w:rPr>
      </w:pPr>
      <w:r>
        <w:rPr>
          <w:rFonts w:hint="eastAsia" w:ascii="宋体" w:hAnsi="宋体" w:cs="宋体"/>
          <w:b/>
          <w:szCs w:val="21"/>
          <w:highlight w:val="none"/>
        </w:rPr>
        <w:t>承包人（全称）：</w:t>
      </w:r>
    </w:p>
    <w:p w14:paraId="4D248938">
      <w:pPr>
        <w:spacing w:line="360" w:lineRule="auto"/>
        <w:rPr>
          <w:rFonts w:hint="eastAsia" w:ascii="宋体" w:hAnsi="宋体" w:cs="宋体"/>
          <w:b/>
          <w:szCs w:val="21"/>
          <w:highlight w:val="none"/>
        </w:rPr>
      </w:pPr>
      <w:r>
        <w:rPr>
          <w:rFonts w:hint="eastAsia" w:ascii="宋体" w:hAnsi="宋体" w:cs="宋体"/>
          <w:b/>
          <w:szCs w:val="21"/>
          <w:highlight w:val="none"/>
        </w:rPr>
        <w:t>法定代表人：</w:t>
      </w:r>
    </w:p>
    <w:p w14:paraId="0DB11997">
      <w:pPr>
        <w:spacing w:line="360" w:lineRule="auto"/>
        <w:rPr>
          <w:rFonts w:hint="eastAsia" w:ascii="宋体" w:hAnsi="宋体" w:cs="宋体"/>
          <w:b/>
          <w:highlight w:val="none"/>
        </w:rPr>
      </w:pPr>
      <w:r>
        <w:rPr>
          <w:rFonts w:hint="eastAsia" w:ascii="宋体" w:hAnsi="宋体" w:cs="宋体"/>
          <w:b/>
          <w:szCs w:val="21"/>
          <w:highlight w:val="none"/>
        </w:rPr>
        <w:t>法定注册地址：</w:t>
      </w:r>
    </w:p>
    <w:p w14:paraId="5E2F6D13">
      <w:pPr>
        <w:spacing w:line="360" w:lineRule="auto"/>
        <w:ind w:firstLine="490"/>
        <w:rPr>
          <w:rFonts w:hint="eastAsia" w:ascii="宋体" w:hAnsi="宋体" w:cs="宋体"/>
          <w:highlight w:val="none"/>
        </w:rPr>
      </w:pPr>
    </w:p>
    <w:p w14:paraId="5C786D15">
      <w:pPr>
        <w:spacing w:line="360" w:lineRule="auto"/>
        <w:ind w:firstLine="490"/>
        <w:rPr>
          <w:rFonts w:hint="eastAsia" w:ascii="宋体" w:hAnsi="宋体" w:cs="宋体"/>
          <w:highlight w:val="none"/>
        </w:rPr>
      </w:pPr>
      <w:r>
        <w:rPr>
          <w:rFonts w:hint="eastAsia" w:ascii="宋体" w:hAnsi="宋体" w:cs="宋体"/>
          <w:szCs w:val="21"/>
          <w:highlight w:val="none"/>
        </w:rPr>
        <w:t>发包人为建设</w:t>
      </w:r>
      <w:r>
        <w:rPr>
          <w:rFonts w:hint="eastAsia" w:ascii="宋体" w:hAnsi="宋体" w:cs="宋体"/>
          <w:highlight w:val="none"/>
          <w:u w:val="single"/>
        </w:rPr>
        <w:t xml:space="preserve">  </w:t>
      </w:r>
      <w:r>
        <w:rPr>
          <w:rFonts w:ascii="宋体" w:hAnsi="宋体" w:cs="宋体"/>
          <w:highlight w:val="none"/>
          <w:u w:val="single"/>
        </w:rPr>
        <w:t>（</w:t>
      </w:r>
      <w:r>
        <w:rPr>
          <w:rFonts w:hint="eastAsia" w:ascii="宋体" w:hAnsi="宋体" w:cs="宋体"/>
          <w:highlight w:val="none"/>
          <w:u w:val="single"/>
          <w:lang w:eastAsia="zh-Hans"/>
        </w:rPr>
        <w:t>项目名称</w:t>
      </w:r>
      <w:r>
        <w:rPr>
          <w:rFonts w:ascii="宋体" w:hAnsi="宋体" w:cs="宋体"/>
          <w:highlight w:val="none"/>
          <w:u w:val="single"/>
        </w:rPr>
        <w:t xml:space="preserve">）  </w:t>
      </w:r>
      <w:r>
        <w:rPr>
          <w:rFonts w:hint="eastAsia" w:ascii="宋体" w:hAnsi="宋体" w:cs="宋体"/>
          <w:szCs w:val="21"/>
          <w:highlight w:val="none"/>
        </w:rPr>
        <w:t>（以下简称“本工程”），已接受承包人提出的承担本工程的施工、竣工、交付并维修其任何缺陷的投标。</w:t>
      </w:r>
      <w:r>
        <w:rPr>
          <w:rFonts w:hint="eastAsia" w:ascii="宋体" w:hAnsi="宋体" w:cs="宋体"/>
          <w:highlight w:val="none"/>
        </w:rPr>
        <w:t>依照《中华人民共和国招标投标法》、《中华人民共和国合同法》、《中华人民共和国建筑法》、及其他有关法律、行政法规，遵循平等、自愿、公平和诚实信用的原则，双方共同达成并订立如下协议。</w:t>
      </w:r>
    </w:p>
    <w:p w14:paraId="12FDB026">
      <w:pPr>
        <w:spacing w:line="360" w:lineRule="auto"/>
        <w:rPr>
          <w:rFonts w:hint="eastAsia" w:ascii="宋体" w:hAnsi="宋体" w:cs="宋体"/>
          <w:highlight w:val="none"/>
        </w:rPr>
      </w:pPr>
      <w:bookmarkStart w:id="682" w:name="_Toc454359428"/>
      <w:bookmarkStart w:id="683" w:name="_Toc503536339"/>
      <w:r>
        <w:rPr>
          <w:rFonts w:hint="eastAsia" w:ascii="宋体" w:hAnsi="宋体" w:cs="宋体"/>
          <w:highlight w:val="none"/>
        </w:rPr>
        <w:t>一、工程概况</w:t>
      </w:r>
      <w:bookmarkEnd w:id="682"/>
      <w:bookmarkEnd w:id="683"/>
    </w:p>
    <w:p w14:paraId="295B5C66">
      <w:pPr>
        <w:spacing w:line="360" w:lineRule="auto"/>
        <w:ind w:firstLine="490"/>
        <w:rPr>
          <w:rFonts w:hint="eastAsia" w:ascii="宋体" w:hAnsi="宋体" w:cs="宋体"/>
          <w:highlight w:val="none"/>
          <w:u w:val="single"/>
        </w:rPr>
      </w:pPr>
      <w:r>
        <w:rPr>
          <w:rFonts w:hint="eastAsia" w:ascii="宋体" w:hAnsi="宋体" w:cs="宋体"/>
          <w:highlight w:val="none"/>
        </w:rPr>
        <w:t>工程名称：</w:t>
      </w:r>
    </w:p>
    <w:p w14:paraId="30F4908B">
      <w:pPr>
        <w:spacing w:line="360" w:lineRule="auto"/>
        <w:ind w:firstLine="490"/>
        <w:rPr>
          <w:rFonts w:hint="eastAsia" w:ascii="宋体" w:hAnsi="宋体" w:cs="宋体"/>
          <w:highlight w:val="none"/>
          <w:u w:val="single"/>
        </w:rPr>
      </w:pPr>
      <w:r>
        <w:rPr>
          <w:rFonts w:hint="eastAsia" w:ascii="宋体" w:hAnsi="宋体" w:cs="宋体"/>
          <w:highlight w:val="none"/>
        </w:rPr>
        <w:t>工程地点：</w:t>
      </w:r>
    </w:p>
    <w:p w14:paraId="3159F605">
      <w:pPr>
        <w:spacing w:line="360" w:lineRule="auto"/>
        <w:ind w:firstLine="420" w:firstLineChars="200"/>
        <w:rPr>
          <w:rFonts w:hint="eastAsia" w:ascii="宋体" w:hAnsi="宋体" w:cs="宋体"/>
          <w:highlight w:val="none"/>
          <w:u w:val="single"/>
        </w:rPr>
      </w:pPr>
      <w:r>
        <w:rPr>
          <w:rFonts w:hint="eastAsia" w:ascii="宋体" w:hAnsi="宋体" w:cs="宋体"/>
          <w:highlight w:val="none"/>
        </w:rPr>
        <w:t>工程内容：</w:t>
      </w:r>
      <w:r>
        <w:rPr>
          <w:rFonts w:hint="eastAsia" w:ascii="宋体" w:hAnsi="宋体" w:cs="宋体"/>
          <w:highlight w:val="none"/>
          <w:u w:val="single"/>
        </w:rPr>
        <w:t xml:space="preserve">工程量清单所示的全部内容。 </w:t>
      </w:r>
    </w:p>
    <w:p w14:paraId="633FE944">
      <w:pPr>
        <w:spacing w:line="360" w:lineRule="auto"/>
        <w:ind w:firstLine="490"/>
        <w:rPr>
          <w:rFonts w:hint="eastAsia" w:ascii="宋体" w:hAnsi="宋体" w:cs="宋体"/>
          <w:highlight w:val="none"/>
        </w:rPr>
      </w:pPr>
      <w:r>
        <w:rPr>
          <w:rFonts w:hint="eastAsia" w:ascii="宋体" w:hAnsi="宋体" w:cs="宋体"/>
          <w:highlight w:val="none"/>
        </w:rPr>
        <w:t>群体工程应附“承包人承揽工程项目一览表”（附件1）</w:t>
      </w:r>
    </w:p>
    <w:p w14:paraId="25E4D289">
      <w:pPr>
        <w:spacing w:line="360" w:lineRule="auto"/>
        <w:ind w:firstLine="490"/>
        <w:rPr>
          <w:rFonts w:hint="eastAsia" w:ascii="宋体" w:hAnsi="宋体" w:cs="宋体"/>
          <w:highlight w:val="none"/>
          <w:u w:val="single"/>
        </w:rPr>
      </w:pPr>
      <w:r>
        <w:rPr>
          <w:rFonts w:hint="eastAsia" w:ascii="宋体" w:hAnsi="宋体" w:cs="宋体"/>
          <w:highlight w:val="none"/>
        </w:rPr>
        <w:t>工程立项批准文号：</w:t>
      </w:r>
    </w:p>
    <w:p w14:paraId="566D9CC6">
      <w:pPr>
        <w:spacing w:line="360" w:lineRule="auto"/>
        <w:ind w:firstLine="490"/>
        <w:rPr>
          <w:rFonts w:hint="eastAsia" w:ascii="宋体" w:hAnsi="宋体" w:cs="宋体"/>
          <w:highlight w:val="none"/>
          <w:u w:val="single"/>
        </w:rPr>
      </w:pPr>
      <w:r>
        <w:rPr>
          <w:rFonts w:hint="eastAsia" w:ascii="宋体" w:hAnsi="宋体" w:cs="宋体"/>
          <w:highlight w:val="none"/>
        </w:rPr>
        <w:t>资金来源：</w:t>
      </w:r>
    </w:p>
    <w:p w14:paraId="46242AF3">
      <w:pPr>
        <w:spacing w:line="360" w:lineRule="auto"/>
        <w:rPr>
          <w:rFonts w:hint="eastAsia" w:ascii="宋体" w:hAnsi="宋体" w:cs="宋体"/>
          <w:highlight w:val="none"/>
        </w:rPr>
      </w:pPr>
      <w:bookmarkStart w:id="684" w:name="_Toc503536340"/>
      <w:bookmarkStart w:id="685" w:name="_Toc454359429"/>
      <w:r>
        <w:rPr>
          <w:rFonts w:hint="eastAsia" w:ascii="宋体" w:hAnsi="宋体" w:cs="宋体"/>
          <w:highlight w:val="none"/>
        </w:rPr>
        <w:t>二、工程承包范围</w:t>
      </w:r>
      <w:bookmarkEnd w:id="684"/>
      <w:bookmarkEnd w:id="685"/>
    </w:p>
    <w:p w14:paraId="74909001">
      <w:pPr>
        <w:spacing w:line="360" w:lineRule="auto"/>
        <w:ind w:firstLine="441" w:firstLineChars="210"/>
        <w:rPr>
          <w:rFonts w:hint="eastAsia" w:ascii="宋体" w:hAnsi="宋体" w:cs="宋体"/>
          <w:highlight w:val="none"/>
          <w:u w:val="single"/>
        </w:rPr>
      </w:pPr>
      <w:r>
        <w:rPr>
          <w:rFonts w:hint="eastAsia" w:ascii="宋体" w:hAnsi="宋体" w:cs="宋体"/>
          <w:highlight w:val="none"/>
        </w:rPr>
        <w:t>承包范围：</w:t>
      </w:r>
      <w:r>
        <w:rPr>
          <w:rFonts w:hint="eastAsia" w:ascii="宋体" w:hAnsi="宋体" w:cs="宋体"/>
          <w:highlight w:val="none"/>
          <w:u w:val="single"/>
        </w:rPr>
        <w:t>包含并不限于工程量清单范围内所包含的全部工作内容</w:t>
      </w:r>
      <w:r>
        <w:rPr>
          <w:rFonts w:hint="eastAsia" w:ascii="宋体" w:hAnsi="宋体" w:cs="宋体"/>
          <w:highlight w:val="none"/>
        </w:rPr>
        <w:t>。</w:t>
      </w:r>
    </w:p>
    <w:p w14:paraId="68F16D7F">
      <w:pPr>
        <w:spacing w:line="360" w:lineRule="auto"/>
        <w:ind w:firstLine="490"/>
        <w:rPr>
          <w:rFonts w:hint="eastAsia" w:ascii="宋体" w:hAnsi="宋体" w:cs="宋体"/>
          <w:b/>
          <w:highlight w:val="none"/>
          <w:u w:val="single"/>
        </w:rPr>
      </w:pPr>
      <w:r>
        <w:rPr>
          <w:rFonts w:hint="eastAsia" w:ascii="宋体" w:hAnsi="宋体" w:cs="宋体"/>
          <w:highlight w:val="none"/>
        </w:rPr>
        <w:t>详细承包范围见第四章“技术需求书”。</w:t>
      </w:r>
    </w:p>
    <w:p w14:paraId="11029A26">
      <w:pPr>
        <w:spacing w:line="360" w:lineRule="auto"/>
        <w:rPr>
          <w:rFonts w:hint="eastAsia" w:ascii="宋体" w:hAnsi="宋体" w:cs="宋体"/>
          <w:highlight w:val="none"/>
        </w:rPr>
      </w:pPr>
      <w:bookmarkStart w:id="686" w:name="_Toc503536341"/>
      <w:bookmarkStart w:id="687" w:name="_Toc454359430"/>
      <w:r>
        <w:rPr>
          <w:rFonts w:hint="eastAsia" w:ascii="宋体" w:hAnsi="宋体" w:cs="宋体"/>
          <w:highlight w:val="none"/>
        </w:rPr>
        <w:t>三、合同工期</w:t>
      </w:r>
      <w:bookmarkEnd w:id="686"/>
      <w:bookmarkEnd w:id="687"/>
    </w:p>
    <w:p w14:paraId="2BE064B2">
      <w:pPr>
        <w:spacing w:line="360" w:lineRule="auto"/>
        <w:ind w:firstLine="490"/>
        <w:rPr>
          <w:rFonts w:hint="eastAsia" w:ascii="宋体" w:hAnsi="宋体" w:cs="宋体"/>
          <w:highlight w:val="none"/>
          <w:u w:val="single"/>
        </w:rPr>
      </w:pPr>
      <w:r>
        <w:rPr>
          <w:rFonts w:hint="eastAsia" w:ascii="宋体" w:hAnsi="宋体" w:cs="宋体"/>
          <w:highlight w:val="none"/>
        </w:rPr>
        <w:t>计划开工日期：</w:t>
      </w:r>
      <w:r>
        <w:rPr>
          <w:rFonts w:ascii="宋体" w:hAnsi="宋体" w:cs="宋体"/>
          <w:highlight w:val="none"/>
          <w:u w:val="single"/>
        </w:rPr>
        <w:t>20</w:t>
      </w:r>
      <w:r>
        <w:rPr>
          <w:rFonts w:hint="eastAsia" w:ascii="宋体" w:hAnsi="宋体" w:cs="宋体"/>
          <w:highlight w:val="none"/>
          <w:u w:val="single"/>
        </w:rPr>
        <w:t>26</w:t>
      </w:r>
      <w:r>
        <w:rPr>
          <w:rFonts w:hint="eastAsia" w:ascii="宋体" w:hAnsi="宋体" w:cs="宋体"/>
          <w:highlight w:val="none"/>
        </w:rPr>
        <w:t>年</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rPr>
        <w:t>日；</w:t>
      </w:r>
    </w:p>
    <w:p w14:paraId="5A83BFAD">
      <w:pPr>
        <w:spacing w:line="360" w:lineRule="auto"/>
        <w:ind w:firstLine="490"/>
        <w:rPr>
          <w:rFonts w:hint="eastAsia" w:ascii="宋体" w:hAnsi="宋体" w:cs="宋体"/>
          <w:highlight w:val="none"/>
          <w:u w:val="single"/>
        </w:rPr>
      </w:pPr>
      <w:r>
        <w:rPr>
          <w:rFonts w:hint="eastAsia" w:ascii="宋体" w:hAnsi="宋体" w:cs="宋体"/>
          <w:highlight w:val="none"/>
        </w:rPr>
        <w:t>计划竣工日期：</w:t>
      </w:r>
      <w:r>
        <w:rPr>
          <w:rFonts w:ascii="宋体" w:hAnsi="宋体" w:cs="宋体"/>
          <w:highlight w:val="none"/>
          <w:u w:val="single"/>
        </w:rPr>
        <w:t>20</w:t>
      </w:r>
      <w:r>
        <w:rPr>
          <w:rFonts w:hint="eastAsia" w:ascii="宋体" w:hAnsi="宋体" w:cs="宋体"/>
          <w:highlight w:val="none"/>
          <w:u w:val="single"/>
        </w:rPr>
        <w:t xml:space="preserve">26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rPr>
        <w:t>日；</w:t>
      </w:r>
    </w:p>
    <w:p w14:paraId="0B5D46D6">
      <w:pPr>
        <w:spacing w:line="360" w:lineRule="auto"/>
        <w:ind w:firstLine="490"/>
        <w:rPr>
          <w:rFonts w:hint="eastAsia" w:ascii="宋体" w:hAnsi="宋体" w:cs="宋体"/>
          <w:highlight w:val="none"/>
        </w:rPr>
      </w:pPr>
      <w:r>
        <w:rPr>
          <w:rFonts w:hint="eastAsia" w:ascii="宋体" w:hAnsi="宋体" w:cs="宋体"/>
          <w:highlight w:val="none"/>
        </w:rPr>
        <w:t>工期总日历天数</w:t>
      </w:r>
      <w:r>
        <w:rPr>
          <w:rFonts w:ascii="宋体" w:hAnsi="宋体" w:cs="宋体"/>
          <w:highlight w:val="none"/>
          <w:u w:val="single"/>
        </w:rPr>
        <w:t xml:space="preserve"> </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rPr>
        <w:t>日历天，自监理人发出的开工通知中载明的开工日期起算。</w:t>
      </w:r>
    </w:p>
    <w:p w14:paraId="1473444E">
      <w:pPr>
        <w:spacing w:line="360" w:lineRule="auto"/>
        <w:ind w:firstLine="490"/>
        <w:rPr>
          <w:rFonts w:hint="eastAsia" w:ascii="宋体" w:hAnsi="宋体" w:cs="宋体"/>
          <w:highlight w:val="none"/>
        </w:rPr>
      </w:pPr>
      <w:r>
        <w:rPr>
          <w:rFonts w:hint="eastAsia" w:ascii="宋体" w:hAnsi="宋体" w:cs="宋体"/>
          <w:highlight w:val="none"/>
        </w:rPr>
        <w:t>具体开工时间以双方签订合同时为准。</w:t>
      </w:r>
    </w:p>
    <w:p w14:paraId="25101F88">
      <w:pPr>
        <w:spacing w:line="360" w:lineRule="auto"/>
        <w:rPr>
          <w:rFonts w:hint="eastAsia" w:ascii="宋体" w:hAnsi="宋体" w:cs="宋体"/>
          <w:highlight w:val="none"/>
        </w:rPr>
      </w:pPr>
      <w:bookmarkStart w:id="688" w:name="_Toc503536342"/>
      <w:bookmarkStart w:id="689" w:name="_Toc454359431"/>
      <w:r>
        <w:rPr>
          <w:rFonts w:hint="eastAsia" w:ascii="宋体" w:hAnsi="宋体" w:cs="宋体"/>
          <w:highlight w:val="none"/>
        </w:rPr>
        <w:t>四、质量标准</w:t>
      </w:r>
      <w:bookmarkEnd w:id="688"/>
      <w:bookmarkEnd w:id="689"/>
    </w:p>
    <w:p w14:paraId="039069EE">
      <w:pPr>
        <w:spacing w:line="360" w:lineRule="auto"/>
        <w:ind w:firstLine="490"/>
        <w:rPr>
          <w:rFonts w:hint="eastAsia" w:ascii="宋体" w:hAnsi="宋体" w:cs="宋体"/>
          <w:highlight w:val="none"/>
          <w:u w:val="single"/>
        </w:rPr>
      </w:pPr>
      <w:r>
        <w:rPr>
          <w:rFonts w:hint="eastAsia" w:ascii="宋体" w:hAnsi="宋体" w:cs="宋体"/>
          <w:highlight w:val="none"/>
        </w:rPr>
        <w:t>工程质量标准：</w:t>
      </w:r>
      <w:r>
        <w:rPr>
          <w:rFonts w:hint="eastAsia" w:ascii="宋体" w:hAnsi="宋体" w:cs="宋体"/>
          <w:highlight w:val="none"/>
          <w:u w:val="single"/>
        </w:rPr>
        <w:t xml:space="preserve">  合格  </w:t>
      </w:r>
    </w:p>
    <w:p w14:paraId="563C778C">
      <w:pPr>
        <w:spacing w:line="360" w:lineRule="auto"/>
        <w:rPr>
          <w:rFonts w:hint="eastAsia" w:ascii="宋体" w:hAnsi="宋体" w:cs="宋体"/>
          <w:highlight w:val="none"/>
        </w:rPr>
      </w:pPr>
      <w:bookmarkStart w:id="690" w:name="_Toc454359432"/>
      <w:bookmarkStart w:id="691" w:name="_Toc503536343"/>
      <w:r>
        <w:rPr>
          <w:rFonts w:hint="eastAsia" w:ascii="宋体" w:hAnsi="宋体" w:cs="宋体"/>
          <w:highlight w:val="none"/>
        </w:rPr>
        <w:t>五、合同形式</w:t>
      </w:r>
      <w:bookmarkEnd w:id="690"/>
      <w:bookmarkEnd w:id="691"/>
    </w:p>
    <w:p w14:paraId="68C31684">
      <w:pPr>
        <w:spacing w:line="360" w:lineRule="auto"/>
        <w:ind w:firstLine="490"/>
        <w:rPr>
          <w:rFonts w:hint="eastAsia" w:ascii="宋体" w:hAnsi="宋体" w:cs="宋体"/>
          <w:b/>
          <w:highlight w:val="none"/>
          <w:u w:val="single"/>
        </w:rPr>
      </w:pPr>
      <w:r>
        <w:rPr>
          <w:rFonts w:hint="eastAsia" w:ascii="宋体" w:hAnsi="宋体" w:cs="宋体"/>
          <w:highlight w:val="none"/>
        </w:rPr>
        <w:t xml:space="preserve">本合同采用 </w:t>
      </w:r>
      <w:r>
        <w:rPr>
          <w:rFonts w:hint="eastAsia" w:ascii="宋体" w:hAnsi="宋体" w:cs="宋体"/>
          <w:highlight w:val="none"/>
          <w:u w:val="single"/>
        </w:rPr>
        <w:t xml:space="preserve"> 固定</w:t>
      </w:r>
      <w:r>
        <w:rPr>
          <w:rFonts w:hint="eastAsia"/>
          <w:highlight w:val="none"/>
          <w:u w:val="single"/>
        </w:rPr>
        <w:t>单价</w:t>
      </w:r>
      <w:r>
        <w:rPr>
          <w:rFonts w:hint="eastAsia" w:ascii="宋体" w:hAnsi="宋体" w:cs="宋体"/>
          <w:highlight w:val="none"/>
          <w:u w:val="single"/>
        </w:rPr>
        <w:t xml:space="preserve"> </w:t>
      </w:r>
      <w:r>
        <w:rPr>
          <w:rFonts w:hint="eastAsia" w:ascii="宋体" w:hAnsi="宋体" w:cs="宋体"/>
          <w:highlight w:val="none"/>
        </w:rPr>
        <w:t>合同形式。</w:t>
      </w:r>
    </w:p>
    <w:p w14:paraId="1F43ABEF">
      <w:pPr>
        <w:spacing w:line="360" w:lineRule="auto"/>
        <w:rPr>
          <w:rFonts w:hint="eastAsia" w:ascii="宋体" w:hAnsi="宋体" w:cs="宋体"/>
          <w:highlight w:val="none"/>
        </w:rPr>
      </w:pPr>
      <w:bookmarkStart w:id="692" w:name="_Toc503536344"/>
      <w:bookmarkStart w:id="693" w:name="_Toc454359433"/>
      <w:r>
        <w:rPr>
          <w:rFonts w:hint="eastAsia" w:ascii="宋体" w:hAnsi="宋体" w:cs="宋体"/>
          <w:highlight w:val="none"/>
        </w:rPr>
        <w:t>六、签约合同价</w:t>
      </w:r>
      <w:bookmarkEnd w:id="692"/>
      <w:bookmarkEnd w:id="693"/>
    </w:p>
    <w:p w14:paraId="0227AB79">
      <w:pPr>
        <w:spacing w:line="360" w:lineRule="auto"/>
        <w:ind w:firstLine="490"/>
        <w:rPr>
          <w:rFonts w:hint="eastAsia" w:ascii="宋体" w:hAnsi="宋体" w:cs="宋体"/>
          <w:highlight w:val="none"/>
        </w:rPr>
      </w:pPr>
      <w:r>
        <w:rPr>
          <w:rFonts w:hint="eastAsia" w:ascii="宋体" w:hAnsi="宋体" w:cs="宋体"/>
          <w:highlight w:val="none"/>
        </w:rPr>
        <w:t>金额（大写）：（人民币）</w:t>
      </w:r>
    </w:p>
    <w:p w14:paraId="46E9E48C">
      <w:pPr>
        <w:spacing w:line="360" w:lineRule="auto"/>
        <w:ind w:firstLine="840" w:firstLineChars="400"/>
        <w:rPr>
          <w:rFonts w:hint="eastAsia" w:ascii="宋体" w:hAnsi="宋体" w:cs="宋体"/>
          <w:highlight w:val="none"/>
        </w:rPr>
      </w:pPr>
      <w:r>
        <w:rPr>
          <w:rFonts w:hint="eastAsia" w:ascii="宋体" w:hAnsi="宋体" w:cs="宋体"/>
          <w:highlight w:val="none"/>
        </w:rPr>
        <w:t>（小写）：￥  元</w:t>
      </w:r>
    </w:p>
    <w:p w14:paraId="15F1B36B">
      <w:pPr>
        <w:spacing w:line="360" w:lineRule="auto"/>
        <w:ind w:firstLine="630"/>
        <w:rPr>
          <w:rFonts w:hint="eastAsia" w:ascii="宋体" w:hAnsi="宋体" w:cs="宋体"/>
          <w:highlight w:val="none"/>
        </w:rPr>
      </w:pPr>
      <w:r>
        <w:rPr>
          <w:rFonts w:hint="eastAsia" w:ascii="宋体" w:hAnsi="宋体" w:cs="宋体"/>
          <w:highlight w:val="none"/>
        </w:rPr>
        <w:t>其中：安全文明施工费： 元</w:t>
      </w:r>
    </w:p>
    <w:p w14:paraId="747CD135">
      <w:pPr>
        <w:spacing w:line="360" w:lineRule="auto"/>
        <w:ind w:firstLine="630"/>
        <w:rPr>
          <w:rFonts w:hint="eastAsia" w:ascii="宋体" w:hAnsi="宋体" w:cs="宋体"/>
          <w:highlight w:val="none"/>
        </w:rPr>
      </w:pPr>
      <w:r>
        <w:rPr>
          <w:rFonts w:hint="eastAsia" w:ascii="宋体" w:hAnsi="宋体" w:cs="宋体"/>
          <w:highlight w:val="none"/>
        </w:rPr>
        <w:t xml:space="preserve">      暂列金额（含税）：/元</w:t>
      </w:r>
    </w:p>
    <w:p w14:paraId="7372C713">
      <w:pPr>
        <w:spacing w:line="360" w:lineRule="auto"/>
        <w:ind w:firstLine="487" w:firstLineChars="232"/>
        <w:rPr>
          <w:rFonts w:hint="eastAsia" w:ascii="宋体" w:hAnsi="宋体" w:cs="宋体"/>
          <w:highlight w:val="none"/>
        </w:rPr>
      </w:pPr>
      <w:r>
        <w:rPr>
          <w:rFonts w:hint="eastAsia" w:ascii="宋体" w:hAnsi="宋体" w:cs="宋体"/>
          <w:bCs/>
          <w:highlight w:val="none"/>
        </w:rPr>
        <w:t>专业工程暂估价</w:t>
      </w:r>
      <w:r>
        <w:rPr>
          <w:rFonts w:hint="eastAsia" w:ascii="宋体" w:hAnsi="宋体" w:cs="宋体"/>
          <w:highlight w:val="none"/>
        </w:rPr>
        <w:t>（含税）</w:t>
      </w:r>
      <w:r>
        <w:rPr>
          <w:rFonts w:hint="eastAsia" w:ascii="宋体" w:hAnsi="宋体" w:cs="宋体"/>
          <w:bCs/>
          <w:highlight w:val="none"/>
        </w:rPr>
        <w:t>：</w:t>
      </w:r>
      <w:r>
        <w:rPr>
          <w:rFonts w:ascii="宋体" w:hAnsi="宋体" w:cs="宋体"/>
          <w:highlight w:val="none"/>
          <w:u w:val="single"/>
        </w:rPr>
        <w:t>/</w:t>
      </w:r>
      <w:r>
        <w:rPr>
          <w:rFonts w:hint="eastAsia" w:ascii="宋体" w:hAnsi="宋体" w:cs="宋体"/>
          <w:highlight w:val="none"/>
        </w:rPr>
        <w:t>元</w:t>
      </w:r>
    </w:p>
    <w:p w14:paraId="154C289A">
      <w:pPr>
        <w:spacing w:line="360" w:lineRule="auto"/>
        <w:rPr>
          <w:rFonts w:hint="eastAsia" w:ascii="宋体" w:hAnsi="宋体" w:cs="宋体"/>
          <w:highlight w:val="none"/>
        </w:rPr>
      </w:pPr>
      <w:r>
        <w:rPr>
          <w:rFonts w:hint="eastAsia" w:ascii="宋体" w:hAnsi="宋体" w:cs="宋体"/>
          <w:highlight w:val="none"/>
        </w:rPr>
        <w:t>……</w:t>
      </w:r>
    </w:p>
    <w:p w14:paraId="25BE69CC">
      <w:pPr>
        <w:spacing w:line="360" w:lineRule="auto"/>
        <w:rPr>
          <w:rFonts w:hint="eastAsia" w:ascii="宋体" w:hAnsi="宋体" w:cs="宋体"/>
          <w:highlight w:val="none"/>
        </w:rPr>
      </w:pPr>
      <w:bookmarkStart w:id="694" w:name="_Toc503536345"/>
      <w:bookmarkStart w:id="695" w:name="_Toc454359434"/>
      <w:r>
        <w:rPr>
          <w:rFonts w:hint="eastAsia" w:ascii="宋体" w:hAnsi="宋体" w:cs="宋体"/>
          <w:highlight w:val="none"/>
        </w:rPr>
        <w:t>七、承包人项目经理：</w:t>
      </w:r>
      <w:bookmarkEnd w:id="694"/>
      <w:bookmarkEnd w:id="695"/>
    </w:p>
    <w:p w14:paraId="14ED86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姓名： ；            职称：；</w:t>
      </w:r>
    </w:p>
    <w:p w14:paraId="77493E2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身份证号：； 建造师执业资格证书号： ；</w:t>
      </w:r>
    </w:p>
    <w:p w14:paraId="4FE3701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建造师注册证书号:；</w:t>
      </w:r>
    </w:p>
    <w:p w14:paraId="634FBB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建造师执业印章号:；</w:t>
      </w:r>
    </w:p>
    <w:p w14:paraId="04E2CB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安全生产考核合格证书号：。</w:t>
      </w:r>
    </w:p>
    <w:p w14:paraId="0B94C02A">
      <w:pPr>
        <w:spacing w:line="360" w:lineRule="auto"/>
        <w:rPr>
          <w:rFonts w:hint="eastAsia" w:ascii="宋体" w:hAnsi="宋体" w:cs="宋体"/>
          <w:highlight w:val="none"/>
        </w:rPr>
      </w:pPr>
      <w:bookmarkStart w:id="696" w:name="_Toc454359435"/>
      <w:bookmarkStart w:id="697" w:name="_Toc503536346"/>
      <w:r>
        <w:rPr>
          <w:rFonts w:hint="eastAsia" w:ascii="宋体" w:hAnsi="宋体" w:cs="宋体"/>
          <w:highlight w:val="none"/>
        </w:rPr>
        <w:t>八、合同文件的组成</w:t>
      </w:r>
      <w:bookmarkEnd w:id="696"/>
      <w:bookmarkEnd w:id="697"/>
    </w:p>
    <w:p w14:paraId="649CCA3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下列文件共同构成合同文件：</w:t>
      </w:r>
    </w:p>
    <w:p w14:paraId="6E05D02E">
      <w:pPr>
        <w:spacing w:line="360" w:lineRule="auto"/>
        <w:ind w:firstLine="482"/>
        <w:rPr>
          <w:rFonts w:hint="eastAsia" w:ascii="宋体" w:hAnsi="宋体" w:cs="宋体"/>
          <w:szCs w:val="21"/>
          <w:highlight w:val="none"/>
        </w:rPr>
      </w:pPr>
      <w:r>
        <w:rPr>
          <w:rFonts w:hint="eastAsia" w:ascii="宋体" w:hAnsi="宋体" w:cs="宋体"/>
          <w:szCs w:val="21"/>
          <w:highlight w:val="none"/>
        </w:rPr>
        <w:t>（1）合同协议书；</w:t>
      </w:r>
    </w:p>
    <w:p w14:paraId="701063C1">
      <w:pPr>
        <w:spacing w:line="360" w:lineRule="auto"/>
        <w:ind w:firstLine="482"/>
        <w:rPr>
          <w:rFonts w:hint="eastAsia" w:ascii="宋体" w:hAnsi="宋体" w:cs="宋体"/>
          <w:szCs w:val="21"/>
          <w:highlight w:val="none"/>
        </w:rPr>
      </w:pPr>
      <w:r>
        <w:rPr>
          <w:rFonts w:hint="eastAsia" w:ascii="宋体" w:hAnsi="宋体" w:cs="宋体"/>
          <w:szCs w:val="21"/>
          <w:highlight w:val="none"/>
        </w:rPr>
        <w:t>（2）成交通知书；</w:t>
      </w:r>
    </w:p>
    <w:p w14:paraId="3FCFC472">
      <w:pPr>
        <w:spacing w:line="360" w:lineRule="auto"/>
        <w:ind w:firstLine="482"/>
        <w:rPr>
          <w:rFonts w:hint="eastAsia" w:ascii="宋体" w:hAnsi="宋体" w:cs="宋体"/>
          <w:szCs w:val="21"/>
          <w:highlight w:val="none"/>
        </w:rPr>
      </w:pPr>
      <w:r>
        <w:rPr>
          <w:rFonts w:hint="eastAsia" w:ascii="宋体" w:hAnsi="宋体" w:cs="宋体"/>
          <w:szCs w:val="21"/>
          <w:highlight w:val="none"/>
        </w:rPr>
        <w:t>（3）响应函及最终报价表；</w:t>
      </w:r>
    </w:p>
    <w:p w14:paraId="20B02175">
      <w:pPr>
        <w:spacing w:line="360" w:lineRule="auto"/>
        <w:ind w:firstLine="482"/>
        <w:rPr>
          <w:rFonts w:hint="eastAsia" w:ascii="宋体" w:hAnsi="宋体" w:cs="宋体"/>
          <w:szCs w:val="21"/>
          <w:highlight w:val="none"/>
        </w:rPr>
      </w:pPr>
      <w:r>
        <w:rPr>
          <w:rFonts w:hint="eastAsia" w:ascii="宋体" w:hAnsi="宋体" w:cs="宋体"/>
          <w:szCs w:val="21"/>
          <w:highlight w:val="none"/>
        </w:rPr>
        <w:t>（4）专用合同条款；</w:t>
      </w:r>
    </w:p>
    <w:p w14:paraId="20004964">
      <w:pPr>
        <w:spacing w:line="360" w:lineRule="auto"/>
        <w:ind w:firstLine="482"/>
        <w:rPr>
          <w:rFonts w:hint="eastAsia" w:ascii="宋体" w:hAnsi="宋体" w:cs="宋体"/>
          <w:szCs w:val="21"/>
          <w:highlight w:val="none"/>
        </w:rPr>
      </w:pPr>
      <w:r>
        <w:rPr>
          <w:rFonts w:hint="eastAsia" w:ascii="宋体" w:hAnsi="宋体" w:cs="宋体"/>
          <w:szCs w:val="21"/>
          <w:highlight w:val="none"/>
        </w:rPr>
        <w:t>（5）通用合同条款；</w:t>
      </w:r>
    </w:p>
    <w:p w14:paraId="460C4A88">
      <w:pPr>
        <w:spacing w:line="360" w:lineRule="auto"/>
        <w:ind w:firstLine="482"/>
        <w:rPr>
          <w:rFonts w:hint="eastAsia" w:ascii="宋体" w:hAnsi="宋体" w:cs="宋体"/>
          <w:szCs w:val="21"/>
          <w:highlight w:val="none"/>
        </w:rPr>
      </w:pPr>
      <w:r>
        <w:rPr>
          <w:rFonts w:hint="eastAsia" w:ascii="宋体" w:hAnsi="宋体" w:cs="宋体"/>
          <w:szCs w:val="21"/>
          <w:highlight w:val="none"/>
        </w:rPr>
        <w:t>（6）竞争性磋商文件及</w:t>
      </w:r>
      <w:r>
        <w:rPr>
          <w:rFonts w:hint="eastAsia" w:ascii="宋体" w:hAnsi="宋体" w:cs="宋体"/>
          <w:highlight w:val="none"/>
          <w:u w:val="single"/>
        </w:rPr>
        <w:t>已标价工程量清单</w:t>
      </w:r>
      <w:r>
        <w:rPr>
          <w:rFonts w:hint="eastAsia" w:ascii="宋体" w:hAnsi="宋体" w:cs="宋体"/>
          <w:highlight w:val="none"/>
        </w:rPr>
        <w:t>；</w:t>
      </w:r>
    </w:p>
    <w:p w14:paraId="60942F00">
      <w:pPr>
        <w:spacing w:line="360" w:lineRule="auto"/>
        <w:ind w:firstLine="482"/>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highlight w:val="none"/>
          <w:u w:val="single"/>
        </w:rPr>
        <w:t>技术需求书</w:t>
      </w:r>
      <w:r>
        <w:rPr>
          <w:rFonts w:hint="eastAsia" w:ascii="宋体" w:hAnsi="宋体" w:cs="宋体"/>
          <w:highlight w:val="none"/>
        </w:rPr>
        <w:t>；</w:t>
      </w:r>
    </w:p>
    <w:p w14:paraId="2FDC0CE9">
      <w:pPr>
        <w:spacing w:line="360" w:lineRule="auto"/>
        <w:ind w:firstLine="482"/>
        <w:rPr>
          <w:rFonts w:hint="eastAsia" w:ascii="宋体" w:hAnsi="宋体" w:cs="宋体"/>
          <w:szCs w:val="21"/>
          <w:highlight w:val="none"/>
        </w:rPr>
      </w:pPr>
      <w:r>
        <w:rPr>
          <w:rFonts w:hint="eastAsia" w:ascii="宋体" w:hAnsi="宋体" w:cs="宋体"/>
          <w:szCs w:val="21"/>
          <w:highlight w:val="none"/>
        </w:rPr>
        <w:t>（8）</w:t>
      </w:r>
      <w:r>
        <w:rPr>
          <w:rFonts w:hint="eastAsia" w:ascii="宋体" w:hAnsi="宋体" w:cs="宋体"/>
          <w:highlight w:val="none"/>
          <w:u w:val="single"/>
        </w:rPr>
        <w:t>图纸</w:t>
      </w:r>
      <w:r>
        <w:rPr>
          <w:rFonts w:hint="eastAsia" w:ascii="宋体" w:hAnsi="宋体" w:cs="宋体"/>
          <w:highlight w:val="none"/>
        </w:rPr>
        <w:t>；</w:t>
      </w:r>
    </w:p>
    <w:p w14:paraId="27E80E6D">
      <w:pPr>
        <w:spacing w:line="360" w:lineRule="auto"/>
        <w:ind w:firstLine="441" w:firstLineChars="210"/>
        <w:rPr>
          <w:rFonts w:hint="eastAsia" w:ascii="宋体" w:hAnsi="宋体" w:cs="宋体"/>
          <w:highlight w:val="none"/>
          <w:u w:val="single"/>
        </w:rPr>
      </w:pPr>
      <w:r>
        <w:rPr>
          <w:rFonts w:hint="eastAsia" w:ascii="宋体" w:hAnsi="宋体" w:cs="宋体"/>
          <w:highlight w:val="none"/>
        </w:rPr>
        <w:t>（9）</w:t>
      </w:r>
      <w:r>
        <w:rPr>
          <w:rFonts w:hint="eastAsia" w:ascii="宋体" w:hAnsi="宋体" w:cs="宋体"/>
          <w:highlight w:val="none"/>
          <w:u w:val="single"/>
        </w:rPr>
        <w:t>施工组织设计。</w:t>
      </w:r>
    </w:p>
    <w:p w14:paraId="0C7E45E4">
      <w:pP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上述文件互相补充和解释，如有不明确或不一致之处，以合同约定次序在先者为准。</w:t>
      </w:r>
    </w:p>
    <w:p w14:paraId="634BEA95">
      <w:pPr>
        <w:spacing w:line="360" w:lineRule="auto"/>
        <w:rPr>
          <w:rFonts w:hint="eastAsia" w:ascii="宋体" w:hAnsi="宋体" w:cs="宋体"/>
          <w:highlight w:val="none"/>
        </w:rPr>
      </w:pPr>
      <w:bookmarkStart w:id="698" w:name="_Toc454359436"/>
      <w:bookmarkStart w:id="699" w:name="_Toc503536347"/>
      <w:r>
        <w:rPr>
          <w:rFonts w:hint="eastAsia" w:ascii="宋体" w:hAnsi="宋体" w:cs="宋体"/>
          <w:highlight w:val="none"/>
        </w:rPr>
        <w:t>九、本协议书中有关词语定义与合同条款中的定义相同。</w:t>
      </w:r>
      <w:bookmarkEnd w:id="698"/>
      <w:bookmarkEnd w:id="699"/>
    </w:p>
    <w:p w14:paraId="72733D27">
      <w:pPr>
        <w:spacing w:line="360" w:lineRule="auto"/>
        <w:rPr>
          <w:rFonts w:hint="eastAsia" w:ascii="宋体" w:hAnsi="宋体" w:cs="宋体"/>
          <w:highlight w:val="none"/>
        </w:rPr>
      </w:pPr>
      <w:bookmarkStart w:id="700" w:name="_Toc503536348"/>
      <w:bookmarkStart w:id="701" w:name="_Toc454359437"/>
      <w:r>
        <w:rPr>
          <w:rFonts w:hint="eastAsia" w:ascii="宋体" w:hAnsi="宋体" w:cs="宋体"/>
          <w:highlight w:val="none"/>
        </w:rPr>
        <w:t>十、承包人承诺按照合同约定进行施工、竣工、交付并承担质量缺陷保修责任。</w:t>
      </w:r>
      <w:bookmarkEnd w:id="700"/>
      <w:bookmarkEnd w:id="701"/>
    </w:p>
    <w:p w14:paraId="49FDF801">
      <w:pPr>
        <w:spacing w:line="360" w:lineRule="auto"/>
        <w:rPr>
          <w:rFonts w:hint="eastAsia" w:ascii="宋体" w:hAnsi="宋体" w:cs="宋体"/>
          <w:highlight w:val="none"/>
        </w:rPr>
      </w:pPr>
      <w:bookmarkStart w:id="702" w:name="_Toc454359438"/>
      <w:bookmarkStart w:id="703" w:name="_Toc503536349"/>
      <w:r>
        <w:rPr>
          <w:rFonts w:hint="eastAsia" w:ascii="宋体" w:hAnsi="宋体" w:cs="宋体"/>
          <w:highlight w:val="none"/>
        </w:rPr>
        <w:t>十一、发包人承诺按照合同约定的条件、期限和方式向承包人支付合同价款。</w:t>
      </w:r>
      <w:bookmarkEnd w:id="702"/>
      <w:bookmarkEnd w:id="703"/>
    </w:p>
    <w:p w14:paraId="2F201B80">
      <w:pPr>
        <w:spacing w:line="360" w:lineRule="auto"/>
        <w:rPr>
          <w:rFonts w:hint="eastAsia" w:ascii="宋体" w:hAnsi="宋体" w:cs="宋体"/>
          <w:highlight w:val="none"/>
          <w:u w:val="single"/>
        </w:rPr>
      </w:pPr>
      <w:bookmarkStart w:id="704" w:name="_Toc503536350"/>
      <w:bookmarkStart w:id="705" w:name="_Toc454359439"/>
      <w:r>
        <w:rPr>
          <w:rFonts w:hint="eastAsia" w:ascii="宋体" w:hAnsi="宋体" w:cs="宋体"/>
          <w:highlight w:val="none"/>
        </w:rPr>
        <w:t>十二、本协议书连同其他合同文件正本一式两份，合同双方各执一份；副本一式</w:t>
      </w:r>
      <w:bookmarkEnd w:id="704"/>
      <w:bookmarkEnd w:id="705"/>
      <w:r>
        <w:rPr>
          <w:rFonts w:hint="eastAsia" w:ascii="宋体" w:hAnsi="宋体" w:cs="宋体"/>
          <w:highlight w:val="none"/>
          <w:u w:val="single"/>
        </w:rPr>
        <w:t xml:space="preserve"> 陆 </w:t>
      </w:r>
    </w:p>
    <w:p w14:paraId="7DCBCEDE">
      <w:pPr>
        <w:spacing w:line="360" w:lineRule="auto"/>
        <w:rPr>
          <w:rFonts w:hint="eastAsia" w:ascii="宋体" w:hAnsi="宋体" w:cs="宋体"/>
          <w:highlight w:val="none"/>
        </w:rPr>
      </w:pPr>
      <w:r>
        <w:rPr>
          <w:rFonts w:hint="eastAsia" w:ascii="宋体" w:hAnsi="宋体" w:cs="宋体"/>
          <w:highlight w:val="none"/>
        </w:rPr>
        <w:t>份，其中一份在合同报送交通运输行政主管部门备案时留存。</w:t>
      </w:r>
    </w:p>
    <w:p w14:paraId="0ECC24E5">
      <w:pPr>
        <w:spacing w:line="360" w:lineRule="auto"/>
        <w:rPr>
          <w:rFonts w:hint="eastAsia" w:ascii="宋体" w:hAnsi="宋体" w:cs="宋体"/>
          <w:highlight w:val="none"/>
        </w:rPr>
      </w:pPr>
      <w:bookmarkStart w:id="706" w:name="_Toc454359440"/>
      <w:bookmarkStart w:id="707" w:name="_Toc503536351"/>
      <w:r>
        <w:rPr>
          <w:rFonts w:hint="eastAsia" w:ascii="宋体" w:hAnsi="宋体" w:cs="宋体"/>
          <w:highlight w:val="none"/>
        </w:rPr>
        <w:t>十三、合同未尽事宜，双方另行签订补充协议，但不得背离本协议第八条所约定的合同文件的实质性内容。补充协议是合同文件的组成部分。</w:t>
      </w:r>
      <w:bookmarkEnd w:id="706"/>
      <w:bookmarkEnd w:id="707"/>
    </w:p>
    <w:p w14:paraId="48B01D9D">
      <w:pPr>
        <w:spacing w:line="360" w:lineRule="auto"/>
        <w:ind w:firstLine="359" w:firstLineChars="171"/>
        <w:rPr>
          <w:rFonts w:hint="eastAsia" w:ascii="宋体" w:hAnsi="宋体" w:cs="宋体"/>
          <w:szCs w:val="21"/>
          <w:highlight w:val="none"/>
          <w:u w:val="single"/>
        </w:rPr>
      </w:pPr>
    </w:p>
    <w:p w14:paraId="276CE142">
      <w:pPr>
        <w:spacing w:before="240" w:beforeLines="100" w:after="240" w:afterLines="100" w:line="360" w:lineRule="auto"/>
        <w:rPr>
          <w:rFonts w:hint="eastAsia" w:ascii="宋体" w:hAnsi="宋体" w:cs="宋体"/>
          <w:b/>
          <w:bCs/>
          <w:szCs w:val="21"/>
          <w:highlight w:val="none"/>
        </w:rPr>
      </w:pPr>
    </w:p>
    <w:p w14:paraId="170A76EC">
      <w:pPr>
        <w:spacing w:before="240" w:beforeLines="100" w:after="240" w:afterLines="100" w:line="360" w:lineRule="auto"/>
        <w:rPr>
          <w:rFonts w:hint="eastAsia" w:ascii="宋体" w:hAnsi="宋体" w:cs="宋体"/>
          <w:szCs w:val="21"/>
          <w:highlight w:val="none"/>
        </w:rPr>
      </w:pPr>
      <w:r>
        <w:rPr>
          <w:rFonts w:hint="eastAsia" w:ascii="宋体" w:hAnsi="宋体" w:cs="宋体"/>
          <w:b/>
          <w:bCs/>
          <w:szCs w:val="21"/>
          <w:highlight w:val="none"/>
        </w:rPr>
        <w:t>发包人：</w:t>
      </w:r>
      <w:r>
        <w:rPr>
          <w:rFonts w:hint="eastAsia" w:ascii="宋体" w:hAnsi="宋体" w:cs="宋体"/>
          <w:szCs w:val="21"/>
          <w:highlight w:val="none"/>
        </w:rPr>
        <w:t>（盖单位章）</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承包人：</w:t>
      </w:r>
      <w:r>
        <w:rPr>
          <w:rFonts w:hint="eastAsia" w:ascii="宋体" w:hAnsi="宋体" w:cs="宋体"/>
          <w:szCs w:val="21"/>
          <w:highlight w:val="none"/>
        </w:rPr>
        <w:t>（盖单位章）</w:t>
      </w:r>
    </w:p>
    <w:p w14:paraId="0780FC54">
      <w:pPr>
        <w:spacing w:before="240" w:beforeLines="100" w:after="240" w:afterLines="100" w:line="360" w:lineRule="auto"/>
        <w:rPr>
          <w:rFonts w:hint="eastAsia" w:ascii="宋体" w:hAnsi="宋体" w:cs="宋体"/>
          <w:szCs w:val="21"/>
          <w:highlight w:val="none"/>
        </w:rPr>
      </w:pPr>
    </w:p>
    <w:p w14:paraId="7A5CC5A7">
      <w:pPr>
        <w:spacing w:line="360" w:lineRule="auto"/>
        <w:rPr>
          <w:rFonts w:hint="eastAsia" w:ascii="宋体" w:hAnsi="宋体" w:cs="宋体"/>
          <w:szCs w:val="21"/>
          <w:highlight w:val="none"/>
        </w:rPr>
      </w:pPr>
      <w:r>
        <w:rPr>
          <w:rFonts w:hint="eastAsia" w:ascii="宋体" w:hAnsi="宋体" w:cs="宋体"/>
          <w:b/>
          <w:bCs/>
          <w:szCs w:val="21"/>
          <w:highlight w:val="none"/>
        </w:rPr>
        <w:t>法定代表人或其</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法定代表人或其</w:t>
      </w:r>
    </w:p>
    <w:p w14:paraId="54179F23">
      <w:pPr>
        <w:spacing w:line="360" w:lineRule="auto"/>
        <w:rPr>
          <w:rFonts w:hint="eastAsia" w:ascii="宋体" w:hAnsi="宋体" w:cs="宋体"/>
          <w:szCs w:val="21"/>
          <w:highlight w:val="none"/>
        </w:rPr>
      </w:pPr>
      <w:r>
        <w:rPr>
          <w:rFonts w:hint="eastAsia" w:ascii="宋体" w:hAnsi="宋体" w:cs="宋体"/>
          <w:b/>
          <w:bCs/>
          <w:szCs w:val="21"/>
          <w:highlight w:val="none"/>
        </w:rPr>
        <w:t>委托代理人：</w:t>
      </w:r>
      <w:r>
        <w:rPr>
          <w:rFonts w:hint="eastAsia" w:ascii="宋体" w:hAnsi="宋体" w:cs="宋体"/>
          <w:szCs w:val="21"/>
          <w:highlight w:val="none"/>
        </w:rPr>
        <w:t xml:space="preserve">（签字或盖章） </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委托代理人：</w:t>
      </w:r>
      <w:r>
        <w:rPr>
          <w:rFonts w:hint="eastAsia" w:ascii="宋体" w:hAnsi="宋体" w:cs="宋体"/>
          <w:szCs w:val="21"/>
          <w:highlight w:val="none"/>
        </w:rPr>
        <w:t>（签字或盖章）</w:t>
      </w:r>
    </w:p>
    <w:p w14:paraId="2940EB24">
      <w:pPr>
        <w:spacing w:before="240" w:beforeLines="100" w:after="240" w:afterLines="100" w:line="360" w:lineRule="auto"/>
        <w:rPr>
          <w:rFonts w:hint="eastAsia" w:ascii="宋体" w:hAnsi="宋体" w:cs="宋体"/>
          <w:szCs w:val="21"/>
          <w:highlight w:val="none"/>
          <w:u w:val="single"/>
        </w:rPr>
      </w:pPr>
    </w:p>
    <w:p w14:paraId="3A898D5C">
      <w:pPr>
        <w:spacing w:before="240" w:beforeLines="100" w:after="240" w:afterLines="100" w:line="360" w:lineRule="auto"/>
        <w:ind w:left="7" w:firstLine="420" w:firstLineChars="200"/>
        <w:rPr>
          <w:rFonts w:hint="eastAsia" w:ascii="宋体" w:hAnsi="宋体" w:cs="宋体"/>
          <w:szCs w:val="21"/>
          <w:highlight w:val="none"/>
        </w:rPr>
      </w:pPr>
      <w:r>
        <w:rPr>
          <w:rFonts w:hint="eastAsia" w:ascii="宋体" w:hAnsi="宋体" w:cs="宋体"/>
          <w:szCs w:val="21"/>
          <w:highlight w:val="none"/>
        </w:rPr>
        <w:t xml:space="preserve">年月  日               </w:t>
      </w:r>
      <w:r>
        <w:rPr>
          <w:rFonts w:hint="eastAsia" w:ascii="宋体" w:hAnsi="宋体" w:cs="宋体"/>
          <w:szCs w:val="21"/>
          <w:highlight w:val="none"/>
          <w:lang w:val="en-US" w:eastAsia="zh-CN"/>
        </w:rPr>
        <w:t xml:space="preserve">          </w:t>
      </w:r>
      <w:r>
        <w:rPr>
          <w:rFonts w:hint="eastAsia" w:ascii="宋体" w:hAnsi="宋体" w:cs="宋体"/>
          <w:szCs w:val="21"/>
          <w:highlight w:val="none"/>
        </w:rPr>
        <w:t>年月 日</w:t>
      </w:r>
    </w:p>
    <w:p w14:paraId="4A00CEA0">
      <w:pPr>
        <w:spacing w:before="240" w:beforeLines="100" w:after="240" w:afterLines="100" w:line="360" w:lineRule="auto"/>
        <w:rPr>
          <w:rFonts w:hint="eastAsia" w:ascii="宋体" w:hAnsi="宋体" w:cs="宋体"/>
          <w:szCs w:val="21"/>
          <w:highlight w:val="none"/>
        </w:rPr>
      </w:pPr>
    </w:p>
    <w:p w14:paraId="1C039F8D">
      <w:pPr>
        <w:spacing w:before="240" w:beforeLines="100" w:after="240" w:afterLines="100" w:line="360" w:lineRule="auto"/>
        <w:rPr>
          <w:rFonts w:hint="eastAsia" w:ascii="宋体" w:hAnsi="宋体" w:cs="宋体"/>
          <w:szCs w:val="21"/>
          <w:highlight w:val="none"/>
        </w:rPr>
      </w:pPr>
      <w:r>
        <w:rPr>
          <w:rFonts w:hint="eastAsia" w:ascii="宋体" w:hAnsi="宋体" w:cs="宋体"/>
          <w:b/>
          <w:szCs w:val="21"/>
          <w:highlight w:val="none"/>
        </w:rPr>
        <w:t>签约地点：</w:t>
      </w:r>
    </w:p>
    <w:p w14:paraId="520CAC61">
      <w:pPr>
        <w:rPr>
          <w:rFonts w:hint="eastAsia" w:ascii="宋体" w:hAnsi="宋体" w:cs="宋体"/>
          <w:b/>
          <w:sz w:val="28"/>
          <w:highlight w:val="none"/>
        </w:rPr>
      </w:pPr>
      <w:bookmarkStart w:id="708" w:name="_Toc23383"/>
      <w:bookmarkStart w:id="709" w:name="_Toc4157284"/>
      <w:bookmarkStart w:id="710" w:name="_Toc16927"/>
      <w:bookmarkStart w:id="711" w:name="_Toc9762"/>
      <w:bookmarkStart w:id="712" w:name="_Toc69992959"/>
      <w:r>
        <w:rPr>
          <w:rFonts w:hint="eastAsia" w:ascii="宋体" w:hAnsi="宋体" w:cs="宋体"/>
          <w:b/>
          <w:sz w:val="28"/>
          <w:highlight w:val="none"/>
        </w:rPr>
        <w:br w:type="page"/>
      </w:r>
    </w:p>
    <w:p w14:paraId="4B3DDC01">
      <w:pPr>
        <w:keepNext/>
        <w:keepLines/>
        <w:spacing w:after="213" w:line="259" w:lineRule="auto"/>
        <w:ind w:right="1269"/>
        <w:jc w:val="center"/>
        <w:outlineLvl w:val="2"/>
        <w:rPr>
          <w:rFonts w:hint="eastAsia" w:ascii="宋体" w:hAnsi="宋体" w:cs="宋体"/>
          <w:b/>
          <w:sz w:val="28"/>
          <w:highlight w:val="none"/>
        </w:rPr>
      </w:pPr>
      <w:r>
        <w:rPr>
          <w:rFonts w:hint="eastAsia" w:ascii="宋体" w:hAnsi="宋体" w:cs="宋体"/>
          <w:b/>
          <w:sz w:val="28"/>
          <w:highlight w:val="none"/>
        </w:rPr>
        <w:t>二、通用合同条款</w:t>
      </w:r>
      <w:bookmarkEnd w:id="708"/>
      <w:bookmarkEnd w:id="709"/>
      <w:bookmarkEnd w:id="710"/>
      <w:bookmarkEnd w:id="711"/>
      <w:bookmarkEnd w:id="712"/>
    </w:p>
    <w:p w14:paraId="1F2DF93E">
      <w:pPr>
        <w:spacing w:line="360" w:lineRule="auto"/>
        <w:rPr>
          <w:rFonts w:hint="eastAsia" w:ascii="宋体" w:hAnsi="宋体" w:cs="宋体"/>
          <w:highlight w:val="none"/>
        </w:rPr>
      </w:pPr>
    </w:p>
    <w:p w14:paraId="41BF820F">
      <w:pPr>
        <w:rPr>
          <w:rFonts w:hint="eastAsia" w:ascii="宋体" w:hAnsi="宋体" w:cs="宋体"/>
          <w:highlight w:val="none"/>
        </w:rPr>
      </w:pPr>
      <w:bookmarkStart w:id="713" w:name="_Toc30237"/>
      <w:bookmarkStart w:id="714" w:name="_Toc338944704"/>
      <w:bookmarkStart w:id="715" w:name="_Toc4157285"/>
      <w:bookmarkStart w:id="716" w:name="_Toc342296262"/>
      <w:bookmarkStart w:id="717" w:name="_Toc503536087"/>
      <w:r>
        <w:rPr>
          <w:rFonts w:hint="eastAsia" w:ascii="宋体" w:hAnsi="宋体" w:cs="宋体"/>
          <w:highlight w:val="none"/>
        </w:rPr>
        <w:t>1. 一般约定</w:t>
      </w:r>
      <w:bookmarkEnd w:id="713"/>
      <w:bookmarkEnd w:id="714"/>
      <w:bookmarkEnd w:id="715"/>
      <w:bookmarkEnd w:id="716"/>
      <w:bookmarkEnd w:id="717"/>
    </w:p>
    <w:p w14:paraId="6AED5EAD">
      <w:pPr>
        <w:spacing w:line="360" w:lineRule="auto"/>
        <w:rPr>
          <w:rFonts w:hint="eastAsia" w:ascii="宋体" w:hAnsi="宋体" w:cs="宋体"/>
          <w:highlight w:val="none"/>
        </w:rPr>
      </w:pPr>
      <w:bookmarkStart w:id="718" w:name="_Toc338944705"/>
      <w:bookmarkStart w:id="719" w:name="_Toc342296263"/>
      <w:bookmarkStart w:id="720" w:name="_Toc454359177"/>
      <w:bookmarkStart w:id="721" w:name="_Toc503536088"/>
      <w:r>
        <w:rPr>
          <w:rFonts w:hint="eastAsia" w:ascii="宋体" w:hAnsi="宋体" w:cs="宋体"/>
          <w:highlight w:val="none"/>
        </w:rPr>
        <w:t>1.1 词语定义</w:t>
      </w:r>
      <w:bookmarkEnd w:id="718"/>
      <w:bookmarkEnd w:id="719"/>
      <w:bookmarkEnd w:id="720"/>
      <w:bookmarkEnd w:id="721"/>
    </w:p>
    <w:p w14:paraId="2F55FBE6">
      <w:pPr>
        <w:spacing w:line="360" w:lineRule="auto"/>
        <w:ind w:firstLine="420" w:firstLineChars="200"/>
        <w:rPr>
          <w:rFonts w:hint="eastAsia" w:ascii="宋体" w:hAnsi="宋体" w:cs="宋体"/>
          <w:highlight w:val="none"/>
        </w:rPr>
      </w:pPr>
      <w:r>
        <w:rPr>
          <w:rFonts w:hint="eastAsia" w:ascii="宋体" w:hAnsi="宋体" w:cs="宋体"/>
          <w:highlight w:val="none"/>
        </w:rPr>
        <w:t>通用合同条款、专用合同条款中的下列词语应具有本款所赋予的含义。</w:t>
      </w:r>
    </w:p>
    <w:p w14:paraId="10AD7382">
      <w:pPr>
        <w:spacing w:line="360" w:lineRule="auto"/>
        <w:ind w:firstLine="420" w:firstLineChars="200"/>
        <w:rPr>
          <w:rFonts w:hint="eastAsia" w:ascii="宋体" w:hAnsi="宋体" w:cs="宋体"/>
          <w:highlight w:val="none"/>
        </w:rPr>
      </w:pPr>
      <w:r>
        <w:rPr>
          <w:rFonts w:hint="eastAsia" w:ascii="宋体" w:hAnsi="宋体" w:cs="宋体"/>
          <w:highlight w:val="none"/>
        </w:rPr>
        <w:t>1.1.1 合同</w:t>
      </w:r>
    </w:p>
    <w:p w14:paraId="69350A9B">
      <w:pPr>
        <w:spacing w:line="360" w:lineRule="auto"/>
        <w:ind w:firstLine="718" w:firstLineChars="342"/>
        <w:rPr>
          <w:rFonts w:hint="eastAsia" w:ascii="宋体" w:hAnsi="宋体" w:cs="宋体"/>
          <w:highlight w:val="none"/>
        </w:rPr>
      </w:pPr>
      <w:r>
        <w:rPr>
          <w:rFonts w:hint="eastAsia" w:ascii="宋体" w:hAnsi="宋体" w:cs="宋体"/>
          <w:highlight w:val="none"/>
        </w:rPr>
        <w:t>1.1.1.1 合同文件（或称合同）：指合同协议书、中标通知书、响应函及响应函附录、专用合同条款、通用合同条款、技术标准和要求、图纸、已标价工程量清单，以及其他合同文件。</w:t>
      </w:r>
    </w:p>
    <w:p w14:paraId="32E4C7FB">
      <w:pPr>
        <w:spacing w:line="360" w:lineRule="auto"/>
        <w:ind w:firstLine="718" w:firstLineChars="342"/>
        <w:rPr>
          <w:rFonts w:hint="eastAsia" w:ascii="宋体" w:hAnsi="宋体" w:cs="宋体"/>
          <w:highlight w:val="none"/>
        </w:rPr>
      </w:pPr>
      <w:r>
        <w:rPr>
          <w:rFonts w:hint="eastAsia" w:ascii="宋体" w:hAnsi="宋体" w:cs="宋体"/>
          <w:highlight w:val="none"/>
        </w:rPr>
        <w:t>1.1.1.2 合同协议书：指第1.5款所指的合同协议书。</w:t>
      </w:r>
    </w:p>
    <w:p w14:paraId="0DD8C2B3">
      <w:pPr>
        <w:spacing w:line="360" w:lineRule="auto"/>
        <w:ind w:firstLine="718" w:firstLineChars="342"/>
        <w:rPr>
          <w:rFonts w:hint="eastAsia" w:ascii="宋体" w:hAnsi="宋体" w:cs="宋体"/>
          <w:highlight w:val="none"/>
        </w:rPr>
      </w:pPr>
      <w:r>
        <w:rPr>
          <w:rFonts w:hint="eastAsia" w:ascii="宋体" w:hAnsi="宋体" w:cs="宋体"/>
          <w:highlight w:val="none"/>
        </w:rPr>
        <w:t>1.1.1.3 中标通知书：指发包人通知承包人中标的函件。</w:t>
      </w:r>
    </w:p>
    <w:p w14:paraId="4FB210B0">
      <w:pPr>
        <w:spacing w:line="360" w:lineRule="auto"/>
        <w:ind w:firstLine="718" w:firstLineChars="342"/>
        <w:rPr>
          <w:rFonts w:hint="eastAsia" w:ascii="宋体" w:hAnsi="宋体" w:cs="宋体"/>
          <w:dstrike/>
          <w:highlight w:val="none"/>
        </w:rPr>
      </w:pPr>
      <w:r>
        <w:rPr>
          <w:rFonts w:hint="eastAsia" w:ascii="宋体" w:hAnsi="宋体" w:cs="宋体"/>
          <w:highlight w:val="none"/>
        </w:rPr>
        <w:t>1.1.1.4 响应函：指构成合同文件组成部分的由承包人填写并签署的响应函。</w:t>
      </w:r>
    </w:p>
    <w:p w14:paraId="7D370A99">
      <w:pPr>
        <w:spacing w:line="360" w:lineRule="auto"/>
        <w:ind w:firstLine="718" w:firstLineChars="342"/>
        <w:rPr>
          <w:rFonts w:hint="eastAsia" w:ascii="宋体" w:hAnsi="宋体" w:cs="宋体"/>
          <w:highlight w:val="none"/>
        </w:rPr>
      </w:pPr>
      <w:r>
        <w:rPr>
          <w:rFonts w:hint="eastAsia" w:ascii="宋体" w:hAnsi="宋体" w:cs="宋体"/>
          <w:highlight w:val="none"/>
        </w:rPr>
        <w:t>1.1.1.5 响应函附录：指附在响应函后构成合同文件的响应函附录。</w:t>
      </w:r>
    </w:p>
    <w:p w14:paraId="439E878B">
      <w:pPr>
        <w:spacing w:line="360" w:lineRule="auto"/>
        <w:ind w:firstLine="718" w:firstLineChars="342"/>
        <w:rPr>
          <w:rFonts w:hint="eastAsia" w:ascii="宋体" w:hAnsi="宋体" w:cs="宋体"/>
          <w:highlight w:val="none"/>
        </w:rPr>
      </w:pPr>
      <w:r>
        <w:rPr>
          <w:rFonts w:hint="eastAsia" w:ascii="宋体" w:hAnsi="宋体" w:cs="宋体"/>
          <w:highlight w:val="none"/>
        </w:rPr>
        <w:t>1.1.1.6 技术标准和要求：指构成合同文件组成部分的名为技术标准和要求的文件，包括合同双方当事人约定对其所作的修改或补充。</w:t>
      </w:r>
    </w:p>
    <w:p w14:paraId="33C2B1FE">
      <w:pPr>
        <w:spacing w:line="360" w:lineRule="auto"/>
        <w:ind w:firstLine="718" w:firstLineChars="342"/>
        <w:rPr>
          <w:rFonts w:hint="eastAsia" w:ascii="宋体" w:hAnsi="宋体" w:cs="宋体"/>
          <w:highlight w:val="none"/>
        </w:rPr>
      </w:pPr>
      <w:r>
        <w:rPr>
          <w:rFonts w:hint="eastAsia" w:ascii="宋体" w:hAnsi="宋体" w:cs="宋体"/>
          <w:highlight w:val="none"/>
        </w:rPr>
        <w:t>1.1.1.7图纸：指包含在合同中的工程图纸，以及由发包人按合同约定提供的任何补充和修改的图纸，包括配套的说明。</w:t>
      </w:r>
    </w:p>
    <w:p w14:paraId="4F333696">
      <w:pPr>
        <w:spacing w:line="360" w:lineRule="auto"/>
        <w:ind w:firstLine="718" w:firstLineChars="342"/>
        <w:rPr>
          <w:rFonts w:hint="eastAsia" w:ascii="宋体" w:hAnsi="宋体" w:cs="宋体"/>
          <w:highlight w:val="none"/>
        </w:rPr>
      </w:pPr>
      <w:r>
        <w:rPr>
          <w:rFonts w:hint="eastAsia" w:ascii="宋体" w:hAnsi="宋体" w:cs="宋体"/>
          <w:highlight w:val="none"/>
        </w:rPr>
        <w:t>1.1.1.8 已标价工程量清单：指构成合同文件组成部分的由承包人按照规定的格式和要求填写并标明价格的工程量清单。</w:t>
      </w:r>
    </w:p>
    <w:p w14:paraId="7AC2061C">
      <w:pPr>
        <w:spacing w:line="360" w:lineRule="auto"/>
        <w:ind w:firstLine="718" w:firstLineChars="342"/>
        <w:rPr>
          <w:rFonts w:hint="eastAsia" w:ascii="宋体" w:hAnsi="宋体" w:cs="宋体"/>
          <w:highlight w:val="none"/>
        </w:rPr>
      </w:pPr>
      <w:r>
        <w:rPr>
          <w:rFonts w:hint="eastAsia" w:ascii="宋体" w:hAnsi="宋体" w:cs="宋体"/>
          <w:highlight w:val="none"/>
        </w:rPr>
        <w:t>1.1.1.9 其他合同文件：指经合同双方当事人确认构成合同文件的其他文件。</w:t>
      </w:r>
    </w:p>
    <w:p w14:paraId="0071566A">
      <w:pPr>
        <w:spacing w:line="360" w:lineRule="auto"/>
        <w:ind w:firstLine="420" w:firstLineChars="200"/>
        <w:rPr>
          <w:rFonts w:hint="eastAsia" w:ascii="宋体" w:hAnsi="宋体" w:cs="宋体"/>
          <w:highlight w:val="none"/>
        </w:rPr>
      </w:pPr>
      <w:r>
        <w:rPr>
          <w:rFonts w:hint="eastAsia" w:ascii="宋体" w:hAnsi="宋体" w:cs="宋体"/>
          <w:highlight w:val="none"/>
        </w:rPr>
        <w:t>1.1.2 合同当事人和人员</w:t>
      </w:r>
    </w:p>
    <w:p w14:paraId="170CC5E6">
      <w:pPr>
        <w:spacing w:line="360" w:lineRule="auto"/>
        <w:ind w:firstLine="718" w:firstLineChars="342"/>
        <w:rPr>
          <w:rFonts w:hint="eastAsia" w:ascii="宋体" w:hAnsi="宋体" w:cs="宋体"/>
          <w:highlight w:val="none"/>
        </w:rPr>
      </w:pPr>
      <w:r>
        <w:rPr>
          <w:rFonts w:hint="eastAsia" w:ascii="宋体" w:hAnsi="宋体" w:cs="宋体"/>
          <w:highlight w:val="none"/>
        </w:rPr>
        <w:t>1.1.2.1 合同当事人:指发包人和（或）承包人。</w:t>
      </w:r>
    </w:p>
    <w:p w14:paraId="6010D488">
      <w:pPr>
        <w:spacing w:line="360" w:lineRule="auto"/>
        <w:ind w:firstLine="718" w:firstLineChars="342"/>
        <w:rPr>
          <w:rFonts w:hint="eastAsia" w:ascii="宋体" w:hAnsi="宋体" w:cs="宋体"/>
          <w:highlight w:val="none"/>
        </w:rPr>
      </w:pPr>
      <w:r>
        <w:rPr>
          <w:rFonts w:hint="eastAsia" w:ascii="宋体" w:hAnsi="宋体" w:cs="宋体"/>
          <w:highlight w:val="none"/>
        </w:rPr>
        <w:t>1.1.2.2 发包人：指专用合同条款中指明并与承包人在合同协议书中签字的当事人。</w:t>
      </w:r>
    </w:p>
    <w:p w14:paraId="00B651CB">
      <w:pPr>
        <w:spacing w:line="360" w:lineRule="auto"/>
        <w:ind w:firstLine="718" w:firstLineChars="342"/>
        <w:rPr>
          <w:rFonts w:hint="eastAsia" w:ascii="宋体" w:hAnsi="宋体" w:cs="宋体"/>
          <w:highlight w:val="none"/>
        </w:rPr>
      </w:pPr>
      <w:r>
        <w:rPr>
          <w:rFonts w:hint="eastAsia" w:ascii="宋体" w:hAnsi="宋体" w:cs="宋体"/>
          <w:highlight w:val="none"/>
        </w:rPr>
        <w:t>1.1.2.3 承包人：指与发包人签订合同协议书的当事人。</w:t>
      </w:r>
    </w:p>
    <w:p w14:paraId="6D6C9596">
      <w:pPr>
        <w:spacing w:line="360" w:lineRule="auto"/>
        <w:ind w:firstLine="718" w:firstLineChars="342"/>
        <w:rPr>
          <w:rFonts w:hint="eastAsia" w:ascii="宋体" w:hAnsi="宋体" w:cs="宋体"/>
          <w:highlight w:val="none"/>
        </w:rPr>
      </w:pPr>
      <w:r>
        <w:rPr>
          <w:rFonts w:hint="eastAsia" w:ascii="宋体" w:hAnsi="宋体" w:cs="宋体"/>
          <w:highlight w:val="none"/>
        </w:rPr>
        <w:t>1.1.2.4 承包人项目经理：指承包人派驻施工场地的全权负责人。</w:t>
      </w:r>
    </w:p>
    <w:p w14:paraId="79B38836">
      <w:pPr>
        <w:spacing w:line="360" w:lineRule="auto"/>
        <w:ind w:firstLine="718" w:firstLineChars="342"/>
        <w:rPr>
          <w:rFonts w:hint="eastAsia" w:ascii="宋体" w:hAnsi="宋体" w:cs="宋体"/>
          <w:highlight w:val="none"/>
        </w:rPr>
      </w:pPr>
      <w:r>
        <w:rPr>
          <w:rFonts w:hint="eastAsia" w:ascii="宋体" w:hAnsi="宋体" w:cs="宋体"/>
          <w:highlight w:val="none"/>
        </w:rPr>
        <w:t>1.1.2.5 分包人：指从承包人处分包合同中某一部分工程，并与其签订分包合同的分包人。</w:t>
      </w:r>
    </w:p>
    <w:p w14:paraId="777D7A92">
      <w:pPr>
        <w:spacing w:line="360" w:lineRule="auto"/>
        <w:ind w:firstLine="718" w:firstLineChars="342"/>
        <w:rPr>
          <w:rFonts w:hint="eastAsia" w:ascii="宋体" w:hAnsi="宋体" w:cs="宋体"/>
          <w:highlight w:val="none"/>
        </w:rPr>
      </w:pPr>
      <w:r>
        <w:rPr>
          <w:rFonts w:hint="eastAsia" w:ascii="宋体" w:hAnsi="宋体" w:cs="宋体"/>
          <w:highlight w:val="none"/>
        </w:rPr>
        <w:t>1.1.2.6 监理人：指在专用合同条款中指明的，受发包人委托对合同履行实施管理的法人或其他组织。</w:t>
      </w:r>
    </w:p>
    <w:p w14:paraId="23D43617">
      <w:pPr>
        <w:spacing w:line="360" w:lineRule="auto"/>
        <w:ind w:firstLine="718" w:firstLineChars="342"/>
        <w:rPr>
          <w:rFonts w:hint="eastAsia" w:ascii="宋体" w:hAnsi="宋体" w:cs="宋体"/>
          <w:highlight w:val="none"/>
        </w:rPr>
      </w:pPr>
      <w:r>
        <w:rPr>
          <w:rFonts w:hint="eastAsia" w:ascii="宋体" w:hAnsi="宋体" w:cs="宋体"/>
          <w:highlight w:val="none"/>
        </w:rPr>
        <w:t>1.1.2.7 总监理工程师（总监）：指由监理人委派常驻施工场地对合同履行实施管理的全权负责人。</w:t>
      </w:r>
    </w:p>
    <w:p w14:paraId="1F2BDE5C">
      <w:pPr>
        <w:spacing w:line="360" w:lineRule="auto"/>
        <w:ind w:firstLine="420" w:firstLineChars="200"/>
        <w:rPr>
          <w:rFonts w:hint="eastAsia" w:ascii="宋体" w:hAnsi="宋体" w:cs="宋体"/>
          <w:highlight w:val="none"/>
        </w:rPr>
      </w:pPr>
      <w:r>
        <w:rPr>
          <w:rFonts w:hint="eastAsia" w:ascii="宋体" w:hAnsi="宋体" w:cs="宋体"/>
          <w:highlight w:val="none"/>
        </w:rPr>
        <w:t>1.1.3 工程和设备</w:t>
      </w:r>
    </w:p>
    <w:p w14:paraId="70FE2644">
      <w:pPr>
        <w:spacing w:line="360" w:lineRule="auto"/>
        <w:ind w:firstLine="718" w:firstLineChars="342"/>
        <w:rPr>
          <w:rFonts w:hint="eastAsia" w:ascii="宋体" w:hAnsi="宋体" w:cs="宋体"/>
          <w:highlight w:val="none"/>
        </w:rPr>
      </w:pPr>
      <w:r>
        <w:rPr>
          <w:rFonts w:hint="eastAsia" w:ascii="宋体" w:hAnsi="宋体" w:cs="宋体"/>
          <w:highlight w:val="none"/>
        </w:rPr>
        <w:t>1.1.3.1 工程：指永久工程和（或）临时工程。</w:t>
      </w:r>
    </w:p>
    <w:p w14:paraId="610EFD68">
      <w:pPr>
        <w:spacing w:line="360" w:lineRule="auto"/>
        <w:ind w:firstLine="718" w:firstLineChars="342"/>
        <w:rPr>
          <w:rFonts w:hint="eastAsia" w:ascii="宋体" w:hAnsi="宋体" w:cs="宋体"/>
          <w:highlight w:val="none"/>
        </w:rPr>
      </w:pPr>
      <w:r>
        <w:rPr>
          <w:rFonts w:hint="eastAsia" w:ascii="宋体" w:hAnsi="宋体" w:cs="宋体"/>
          <w:highlight w:val="none"/>
        </w:rPr>
        <w:t>1.1.3.2 永久工程：指按合同约定建造并移交给发包人的工程，包括工程设备。</w:t>
      </w:r>
    </w:p>
    <w:p w14:paraId="171C5E9E">
      <w:pPr>
        <w:spacing w:line="360" w:lineRule="auto"/>
        <w:ind w:firstLine="718" w:firstLineChars="342"/>
        <w:rPr>
          <w:rFonts w:hint="eastAsia" w:ascii="宋体" w:hAnsi="宋体" w:cs="宋体"/>
          <w:highlight w:val="none"/>
        </w:rPr>
      </w:pPr>
      <w:r>
        <w:rPr>
          <w:rFonts w:hint="eastAsia" w:ascii="宋体" w:hAnsi="宋体" w:cs="宋体"/>
          <w:highlight w:val="none"/>
        </w:rPr>
        <w:t>1.1.3.3 临时工程：指为完成合同约定的永久工程所修建的各类临时性工程，不包括施工设备。</w:t>
      </w:r>
    </w:p>
    <w:p w14:paraId="36669317">
      <w:pPr>
        <w:spacing w:line="360" w:lineRule="auto"/>
        <w:ind w:firstLine="718" w:firstLineChars="342"/>
        <w:rPr>
          <w:rFonts w:hint="eastAsia" w:ascii="宋体" w:hAnsi="宋体" w:cs="宋体"/>
          <w:highlight w:val="none"/>
        </w:rPr>
      </w:pPr>
      <w:r>
        <w:rPr>
          <w:rFonts w:hint="eastAsia" w:ascii="宋体" w:hAnsi="宋体" w:cs="宋体"/>
          <w:highlight w:val="none"/>
        </w:rPr>
        <w:t>1.1.3.4 单位工程：指专用合同条款中指明特定范围的永久工程。</w:t>
      </w:r>
    </w:p>
    <w:p w14:paraId="18259BF8">
      <w:pPr>
        <w:spacing w:line="360" w:lineRule="auto"/>
        <w:ind w:firstLine="718" w:firstLineChars="342"/>
        <w:rPr>
          <w:rFonts w:hint="eastAsia" w:ascii="宋体" w:hAnsi="宋体" w:cs="宋体"/>
          <w:highlight w:val="none"/>
        </w:rPr>
      </w:pPr>
      <w:r>
        <w:rPr>
          <w:rFonts w:hint="eastAsia" w:ascii="宋体" w:hAnsi="宋体" w:cs="宋体"/>
          <w:highlight w:val="none"/>
        </w:rPr>
        <w:t>1.1.3.5 工程设备：指构成或计划构成永久工程一部分的机电设备、金属结构设备、仪器装置及其他类似的设备和装置。</w:t>
      </w:r>
    </w:p>
    <w:p w14:paraId="75DD3EED">
      <w:pPr>
        <w:spacing w:line="360" w:lineRule="auto"/>
        <w:ind w:firstLine="718" w:firstLineChars="342"/>
        <w:rPr>
          <w:rFonts w:hint="eastAsia" w:ascii="宋体" w:hAnsi="宋体" w:cs="宋体"/>
          <w:highlight w:val="none"/>
        </w:rPr>
      </w:pPr>
      <w:r>
        <w:rPr>
          <w:rFonts w:hint="eastAsia" w:ascii="宋体" w:hAnsi="宋体" w:cs="宋体"/>
          <w:highlight w:val="none"/>
        </w:rPr>
        <w:t>1.1.3.6 施工设备：指为完成合同约定的各项工作所需的设备、器具和其他物品，不包括临时工程和材料。</w:t>
      </w:r>
    </w:p>
    <w:p w14:paraId="43C3EF07">
      <w:pPr>
        <w:spacing w:line="360" w:lineRule="auto"/>
        <w:ind w:firstLine="718" w:firstLineChars="342"/>
        <w:rPr>
          <w:rFonts w:hint="eastAsia" w:ascii="宋体" w:hAnsi="宋体" w:cs="宋体"/>
          <w:highlight w:val="none"/>
        </w:rPr>
      </w:pPr>
      <w:r>
        <w:rPr>
          <w:rFonts w:hint="eastAsia" w:ascii="宋体" w:hAnsi="宋体" w:cs="宋体"/>
          <w:highlight w:val="none"/>
        </w:rPr>
        <w:t>1.1.3.7 临时设施：指为完成合同约定的各项工作所服务的临时性生产和生活设施。</w:t>
      </w:r>
    </w:p>
    <w:p w14:paraId="4EB5ACCB">
      <w:pPr>
        <w:spacing w:line="360" w:lineRule="auto"/>
        <w:ind w:firstLine="718" w:firstLineChars="342"/>
        <w:rPr>
          <w:rFonts w:hint="eastAsia" w:ascii="宋体" w:hAnsi="宋体" w:cs="宋体"/>
          <w:highlight w:val="none"/>
        </w:rPr>
      </w:pPr>
      <w:r>
        <w:rPr>
          <w:rFonts w:hint="eastAsia" w:ascii="宋体" w:hAnsi="宋体" w:cs="宋体"/>
          <w:highlight w:val="none"/>
        </w:rPr>
        <w:t>1.1.3.8 承包人设备：指承包人自带的施工设备。</w:t>
      </w:r>
    </w:p>
    <w:p w14:paraId="2AB2CC00">
      <w:pPr>
        <w:spacing w:line="360" w:lineRule="auto"/>
        <w:ind w:firstLine="718" w:firstLineChars="342"/>
        <w:rPr>
          <w:rFonts w:hint="eastAsia" w:ascii="宋体" w:hAnsi="宋体" w:cs="宋体"/>
          <w:highlight w:val="none"/>
        </w:rPr>
      </w:pPr>
      <w:r>
        <w:rPr>
          <w:rFonts w:hint="eastAsia" w:ascii="宋体" w:hAnsi="宋体" w:cs="宋体"/>
          <w:highlight w:val="none"/>
        </w:rPr>
        <w:t>1.1.3.9 施工场地（或称工地、现场）：指用于合同工程施工的场所，以及在合同中指定作为施工场地组成部分的其他场所，包括永久占地和临时占地。</w:t>
      </w:r>
    </w:p>
    <w:p w14:paraId="2848F731">
      <w:pPr>
        <w:spacing w:line="360" w:lineRule="auto"/>
        <w:ind w:firstLine="718" w:firstLineChars="342"/>
        <w:rPr>
          <w:rFonts w:hint="eastAsia" w:ascii="宋体" w:hAnsi="宋体" w:cs="宋体"/>
          <w:highlight w:val="none"/>
        </w:rPr>
      </w:pPr>
      <w:r>
        <w:rPr>
          <w:rFonts w:hint="eastAsia" w:ascii="宋体" w:hAnsi="宋体" w:cs="宋体"/>
          <w:highlight w:val="none"/>
        </w:rPr>
        <w:t>1.1.3.10 永久占地：指专用合同条款中指明为实施合同工程需永久占用的土地。</w:t>
      </w:r>
    </w:p>
    <w:p w14:paraId="123FC874">
      <w:pPr>
        <w:spacing w:line="360" w:lineRule="auto"/>
        <w:ind w:firstLine="718" w:firstLineChars="342"/>
        <w:rPr>
          <w:rFonts w:hint="eastAsia" w:ascii="宋体" w:hAnsi="宋体" w:cs="宋体"/>
          <w:highlight w:val="none"/>
        </w:rPr>
      </w:pPr>
      <w:r>
        <w:rPr>
          <w:rFonts w:hint="eastAsia" w:ascii="宋体" w:hAnsi="宋体" w:cs="宋体"/>
          <w:highlight w:val="none"/>
        </w:rPr>
        <w:t>1.1.3.11 临时占地：指专用合同条款中指明为实施合同工程需临时占用的土地。</w:t>
      </w:r>
    </w:p>
    <w:p w14:paraId="33F9BFB7">
      <w:pPr>
        <w:spacing w:line="360" w:lineRule="auto"/>
        <w:ind w:firstLine="420" w:firstLineChars="200"/>
        <w:rPr>
          <w:rFonts w:hint="eastAsia" w:ascii="宋体" w:hAnsi="宋体" w:cs="宋体"/>
          <w:highlight w:val="none"/>
        </w:rPr>
      </w:pPr>
      <w:r>
        <w:rPr>
          <w:rFonts w:hint="eastAsia" w:ascii="宋体" w:hAnsi="宋体" w:cs="宋体"/>
          <w:highlight w:val="none"/>
        </w:rPr>
        <w:t>1.1.4 日期</w:t>
      </w:r>
    </w:p>
    <w:p w14:paraId="0F3CA474">
      <w:pPr>
        <w:spacing w:line="360" w:lineRule="auto"/>
        <w:ind w:firstLine="718" w:firstLineChars="342"/>
        <w:rPr>
          <w:rFonts w:hint="eastAsia" w:ascii="宋体" w:hAnsi="宋体" w:cs="宋体"/>
          <w:highlight w:val="none"/>
        </w:rPr>
      </w:pPr>
      <w:r>
        <w:rPr>
          <w:rFonts w:hint="eastAsia" w:ascii="宋体" w:hAnsi="宋体" w:cs="宋体"/>
          <w:highlight w:val="none"/>
        </w:rPr>
        <w:t>1.1.4.1 开工通知：指监理人按第11.1款通知承包人开工的函件。</w:t>
      </w:r>
    </w:p>
    <w:p w14:paraId="247DA8DE">
      <w:pPr>
        <w:spacing w:line="360" w:lineRule="auto"/>
        <w:ind w:firstLine="718" w:firstLineChars="342"/>
        <w:rPr>
          <w:rFonts w:hint="eastAsia" w:ascii="宋体" w:hAnsi="宋体" w:cs="宋体"/>
          <w:highlight w:val="none"/>
        </w:rPr>
      </w:pPr>
      <w:r>
        <w:rPr>
          <w:rFonts w:hint="eastAsia" w:ascii="宋体" w:hAnsi="宋体" w:cs="宋体"/>
          <w:highlight w:val="none"/>
        </w:rPr>
        <w:t>1.1.4.2 开工日期：指监理人按第11.1款发出的开工通知中写明的开工日期。</w:t>
      </w:r>
    </w:p>
    <w:p w14:paraId="03C4255E">
      <w:pPr>
        <w:spacing w:line="360" w:lineRule="auto"/>
        <w:ind w:firstLine="718" w:firstLineChars="342"/>
        <w:rPr>
          <w:rFonts w:hint="eastAsia" w:ascii="宋体" w:hAnsi="宋体" w:cs="宋体"/>
          <w:highlight w:val="none"/>
        </w:rPr>
      </w:pPr>
      <w:r>
        <w:rPr>
          <w:rFonts w:hint="eastAsia" w:ascii="宋体" w:hAnsi="宋体" w:cs="宋体"/>
          <w:highlight w:val="none"/>
        </w:rPr>
        <w:t>1.1.4.3工期：指承包人在响应函中承诺的完成合同工程所需的期限，包括按第11.3款、第11.4款和第11.6款约定所作的变更。</w:t>
      </w:r>
    </w:p>
    <w:p w14:paraId="16DA3D06">
      <w:pPr>
        <w:spacing w:line="360" w:lineRule="auto"/>
        <w:ind w:firstLine="718" w:firstLineChars="342"/>
        <w:rPr>
          <w:rFonts w:hint="eastAsia" w:ascii="宋体" w:hAnsi="宋体" w:cs="宋体"/>
          <w:highlight w:val="none"/>
        </w:rPr>
      </w:pPr>
      <w:r>
        <w:rPr>
          <w:rFonts w:hint="eastAsia" w:ascii="宋体" w:hAnsi="宋体" w:cs="宋体"/>
          <w:highlight w:val="none"/>
        </w:rPr>
        <w:t>1.1.4.4 竣工日期：指第1.1.4.3目约定工期届满时的日期。实际竣工日期以工程接收证书中写明的日期为准。</w:t>
      </w:r>
    </w:p>
    <w:p w14:paraId="4D63D9A8">
      <w:pPr>
        <w:spacing w:line="360" w:lineRule="auto"/>
        <w:ind w:firstLine="718" w:firstLineChars="342"/>
        <w:rPr>
          <w:rFonts w:hint="eastAsia" w:ascii="宋体" w:hAnsi="宋体" w:cs="宋体"/>
          <w:highlight w:val="none"/>
        </w:rPr>
      </w:pPr>
      <w:r>
        <w:rPr>
          <w:rFonts w:hint="eastAsia" w:ascii="宋体" w:hAnsi="宋体" w:cs="宋体"/>
          <w:highlight w:val="none"/>
        </w:rPr>
        <w:t>1.1.4.5 缺陷责任期：指履行第19.2款约定的缺陷责任的期限，具体期限由专用合同条款约定，包括根据第19.3款约定所作的延长。</w:t>
      </w:r>
    </w:p>
    <w:p w14:paraId="0AA1F101">
      <w:pPr>
        <w:spacing w:line="360" w:lineRule="auto"/>
        <w:ind w:firstLine="718" w:firstLineChars="342"/>
        <w:rPr>
          <w:rFonts w:hint="eastAsia" w:ascii="宋体" w:hAnsi="宋体" w:cs="宋体"/>
          <w:highlight w:val="none"/>
        </w:rPr>
      </w:pPr>
      <w:r>
        <w:rPr>
          <w:rFonts w:hint="eastAsia" w:ascii="宋体" w:hAnsi="宋体" w:cs="宋体"/>
          <w:highlight w:val="none"/>
        </w:rPr>
        <w:t>1.1.4.6 基准日期：指投标截止时间前28天的日期。</w:t>
      </w:r>
    </w:p>
    <w:p w14:paraId="01A76738">
      <w:pPr>
        <w:spacing w:line="360" w:lineRule="auto"/>
        <w:ind w:firstLine="718" w:firstLineChars="342"/>
        <w:rPr>
          <w:rFonts w:hint="eastAsia" w:ascii="宋体" w:hAnsi="宋体" w:cs="宋体"/>
          <w:highlight w:val="none"/>
        </w:rPr>
      </w:pPr>
      <w:r>
        <w:rPr>
          <w:rFonts w:hint="eastAsia" w:ascii="宋体" w:hAnsi="宋体" w:cs="宋体"/>
          <w:highlight w:val="none"/>
        </w:rPr>
        <w:t>1.1.4.7 天：除特别指明外，指日历天。合同中按天计算时间的，开始当天不计入，从次日开始计算。期限最后一天的截止时间为当天24:00。</w:t>
      </w:r>
    </w:p>
    <w:p w14:paraId="0E2F7722">
      <w:pPr>
        <w:spacing w:line="360" w:lineRule="auto"/>
        <w:ind w:firstLine="420" w:firstLineChars="200"/>
        <w:rPr>
          <w:rFonts w:hint="eastAsia" w:ascii="宋体" w:hAnsi="宋体" w:cs="宋体"/>
          <w:highlight w:val="none"/>
        </w:rPr>
      </w:pPr>
      <w:r>
        <w:rPr>
          <w:rFonts w:hint="eastAsia" w:ascii="宋体" w:hAnsi="宋体" w:cs="宋体"/>
          <w:highlight w:val="none"/>
        </w:rPr>
        <w:t>1.1.5 合同价格和费用</w:t>
      </w:r>
    </w:p>
    <w:p w14:paraId="4DFA1823">
      <w:pPr>
        <w:spacing w:line="360" w:lineRule="auto"/>
        <w:ind w:firstLine="718" w:firstLineChars="342"/>
        <w:rPr>
          <w:rFonts w:hint="eastAsia" w:ascii="宋体" w:hAnsi="宋体" w:cs="宋体"/>
          <w:highlight w:val="none"/>
        </w:rPr>
      </w:pPr>
      <w:r>
        <w:rPr>
          <w:rFonts w:hint="eastAsia" w:ascii="宋体" w:hAnsi="宋体" w:cs="宋体"/>
          <w:highlight w:val="none"/>
        </w:rPr>
        <w:t>1.1.5.1 签约合同价：指签定合同时合同协议书中写明的，包括了暂列金额、暂估价的合同总金额。</w:t>
      </w:r>
    </w:p>
    <w:p w14:paraId="0E7CD251">
      <w:pPr>
        <w:spacing w:line="360" w:lineRule="auto"/>
        <w:ind w:firstLine="718" w:firstLineChars="342"/>
        <w:rPr>
          <w:rFonts w:hint="eastAsia" w:ascii="宋体" w:hAnsi="宋体" w:cs="宋体"/>
          <w:highlight w:val="none"/>
        </w:rPr>
      </w:pPr>
      <w:r>
        <w:rPr>
          <w:rFonts w:hint="eastAsia" w:ascii="宋体" w:hAnsi="宋体" w:cs="宋体"/>
          <w:highlight w:val="none"/>
        </w:rPr>
        <w:t>1.1.5.2 合同价格：指承包人按合同约定完成了包括缺陷责任期内的全部承包工作后，发包人应付给承包人的金额，包括在履行合同过程中按合同约定进行的变更和调整。</w:t>
      </w:r>
    </w:p>
    <w:p w14:paraId="659D3641">
      <w:pPr>
        <w:spacing w:line="360" w:lineRule="auto"/>
        <w:ind w:firstLine="718" w:firstLineChars="342"/>
        <w:rPr>
          <w:rFonts w:hint="eastAsia" w:ascii="宋体" w:hAnsi="宋体" w:cs="宋体"/>
          <w:highlight w:val="none"/>
        </w:rPr>
      </w:pPr>
      <w:r>
        <w:rPr>
          <w:rFonts w:hint="eastAsia" w:ascii="宋体" w:hAnsi="宋体" w:cs="宋体"/>
          <w:highlight w:val="none"/>
        </w:rPr>
        <w:t>1.1.5.3 费用：指为履行合同所发生的或将要发生的所有合理开支，包括管理费和应分摊的其他费用，但不包括利润。</w:t>
      </w:r>
    </w:p>
    <w:p w14:paraId="5B374ABB">
      <w:pPr>
        <w:spacing w:line="360" w:lineRule="auto"/>
        <w:ind w:firstLine="718" w:firstLineChars="342"/>
        <w:rPr>
          <w:rFonts w:hint="eastAsia" w:ascii="宋体" w:hAnsi="宋体" w:cs="宋体"/>
          <w:highlight w:val="none"/>
        </w:rPr>
      </w:pPr>
      <w:r>
        <w:rPr>
          <w:rFonts w:hint="eastAsia" w:ascii="宋体" w:hAnsi="宋体" w:cs="宋体"/>
          <w:highlight w:val="none"/>
        </w:rPr>
        <w:t>1.1.5.4 暂列金额：指已标价工程量清单中所列的暂列金额，用于在签订协议书时尚未确定或不可预见变更的施工及其所需材料、工程设备、服务等的金额，包括以计日工方式支付的金额。</w:t>
      </w:r>
    </w:p>
    <w:p w14:paraId="733AD015">
      <w:pPr>
        <w:spacing w:line="360" w:lineRule="auto"/>
        <w:ind w:firstLine="718" w:firstLineChars="342"/>
        <w:rPr>
          <w:rFonts w:hint="eastAsia" w:ascii="宋体" w:hAnsi="宋体" w:cs="宋体"/>
          <w:highlight w:val="none"/>
        </w:rPr>
      </w:pPr>
      <w:r>
        <w:rPr>
          <w:rFonts w:hint="eastAsia" w:ascii="宋体" w:hAnsi="宋体" w:cs="宋体"/>
          <w:highlight w:val="none"/>
        </w:rPr>
        <w:t>1.1.5.5暂估价：指发包人在工程量清单中给定的用于支付必然发生但暂时不能确定价格的材料、设备以及专业工程的金额。</w:t>
      </w:r>
    </w:p>
    <w:p w14:paraId="324DA1E7">
      <w:pPr>
        <w:spacing w:line="360" w:lineRule="auto"/>
        <w:ind w:firstLine="718" w:firstLineChars="342"/>
        <w:rPr>
          <w:rFonts w:hint="eastAsia" w:ascii="宋体" w:hAnsi="宋体" w:cs="宋体"/>
          <w:highlight w:val="none"/>
        </w:rPr>
      </w:pPr>
      <w:r>
        <w:rPr>
          <w:rFonts w:hint="eastAsia" w:ascii="宋体" w:hAnsi="宋体" w:cs="宋体"/>
          <w:highlight w:val="none"/>
        </w:rPr>
        <w:t>1.1.5.6 计日工：指对零星工作采取的一种计价方式，按合同中的计日工子目及其单价计价付款。</w:t>
      </w:r>
    </w:p>
    <w:p w14:paraId="6748E086">
      <w:pPr>
        <w:spacing w:line="360" w:lineRule="auto"/>
        <w:ind w:firstLine="718" w:firstLineChars="342"/>
        <w:rPr>
          <w:rFonts w:hint="eastAsia" w:ascii="宋体" w:hAnsi="宋体" w:cs="宋体"/>
          <w:highlight w:val="none"/>
        </w:rPr>
      </w:pPr>
      <w:r>
        <w:rPr>
          <w:rFonts w:hint="eastAsia" w:ascii="宋体" w:hAnsi="宋体" w:cs="宋体"/>
          <w:highlight w:val="none"/>
        </w:rPr>
        <w:t>1.1.5.7 质量保证金（或称保留金）：指按第17.4.1项约定用于保证在缺陷责任期内履行缺陷修复义务的金额。</w:t>
      </w:r>
    </w:p>
    <w:p w14:paraId="71DA6B10">
      <w:pPr>
        <w:spacing w:line="360" w:lineRule="auto"/>
        <w:ind w:firstLine="420" w:firstLineChars="200"/>
        <w:rPr>
          <w:rFonts w:hint="eastAsia" w:ascii="宋体" w:hAnsi="宋体" w:cs="宋体"/>
          <w:highlight w:val="none"/>
        </w:rPr>
      </w:pPr>
      <w:r>
        <w:rPr>
          <w:rFonts w:hint="eastAsia" w:ascii="宋体" w:hAnsi="宋体" w:cs="宋体"/>
          <w:highlight w:val="none"/>
        </w:rPr>
        <w:t>1.1.6 其他</w:t>
      </w:r>
    </w:p>
    <w:p w14:paraId="634A44B7">
      <w:pPr>
        <w:spacing w:line="360" w:lineRule="auto"/>
        <w:ind w:firstLine="718" w:firstLineChars="342"/>
        <w:rPr>
          <w:rFonts w:hint="eastAsia" w:ascii="宋体" w:hAnsi="宋体" w:cs="宋体"/>
          <w:highlight w:val="none"/>
        </w:rPr>
      </w:pPr>
      <w:r>
        <w:rPr>
          <w:rFonts w:hint="eastAsia" w:ascii="宋体" w:hAnsi="宋体" w:cs="宋体"/>
          <w:highlight w:val="none"/>
        </w:rPr>
        <w:t>1.1.6.1 书面形式：指合同文件、信函、电报、传真等可以有形地表现所载内容的形式。</w:t>
      </w:r>
    </w:p>
    <w:p w14:paraId="333AFCB8">
      <w:pPr>
        <w:spacing w:line="360" w:lineRule="auto"/>
        <w:rPr>
          <w:rFonts w:hint="eastAsia" w:ascii="宋体" w:hAnsi="宋体" w:cs="宋体"/>
          <w:highlight w:val="none"/>
        </w:rPr>
      </w:pPr>
      <w:bookmarkStart w:id="722" w:name="_Toc342296264"/>
      <w:bookmarkStart w:id="723" w:name="_Toc338944706"/>
      <w:bookmarkStart w:id="724" w:name="_Toc454359178"/>
      <w:bookmarkStart w:id="725" w:name="_Toc144974581"/>
      <w:bookmarkStart w:id="726" w:name="_Toc179632631"/>
      <w:bookmarkStart w:id="727" w:name="_Toc152042391"/>
      <w:bookmarkStart w:id="728" w:name="_Toc503536089"/>
      <w:bookmarkStart w:id="729" w:name="_Toc152045613"/>
      <w:r>
        <w:rPr>
          <w:rFonts w:hint="eastAsia" w:ascii="宋体" w:hAnsi="宋体" w:cs="宋体"/>
          <w:highlight w:val="none"/>
        </w:rPr>
        <w:t>1.2 语言文字</w:t>
      </w:r>
      <w:bookmarkEnd w:id="722"/>
      <w:bookmarkEnd w:id="723"/>
      <w:bookmarkEnd w:id="724"/>
      <w:bookmarkEnd w:id="725"/>
      <w:bookmarkEnd w:id="726"/>
      <w:bookmarkEnd w:id="727"/>
      <w:bookmarkEnd w:id="728"/>
      <w:bookmarkEnd w:id="729"/>
    </w:p>
    <w:p w14:paraId="78FDE952">
      <w:pPr>
        <w:spacing w:line="360" w:lineRule="auto"/>
        <w:ind w:firstLine="420" w:firstLineChars="200"/>
        <w:rPr>
          <w:rFonts w:hint="eastAsia" w:ascii="宋体" w:hAnsi="宋体" w:cs="宋体"/>
          <w:highlight w:val="none"/>
        </w:rPr>
      </w:pPr>
      <w:r>
        <w:rPr>
          <w:rFonts w:hint="eastAsia" w:ascii="宋体" w:hAnsi="宋体" w:cs="宋体"/>
          <w:highlight w:val="none"/>
        </w:rPr>
        <w:t>除专用术语外，合同使用的语言文字为中文。必要时专用术语应附有中文注释。</w:t>
      </w:r>
    </w:p>
    <w:p w14:paraId="3FECDDC2">
      <w:pPr>
        <w:spacing w:line="360" w:lineRule="auto"/>
        <w:rPr>
          <w:rFonts w:hint="eastAsia" w:ascii="宋体" w:hAnsi="宋体" w:cs="宋体"/>
          <w:highlight w:val="none"/>
        </w:rPr>
      </w:pPr>
      <w:bookmarkStart w:id="730" w:name="_Toc342296265"/>
      <w:bookmarkStart w:id="731" w:name="_Toc503536090"/>
      <w:bookmarkStart w:id="732" w:name="_Toc338944707"/>
      <w:bookmarkStart w:id="733" w:name="_Toc144974582"/>
      <w:bookmarkStart w:id="734" w:name="_Toc152042392"/>
      <w:bookmarkStart w:id="735" w:name="_Toc152045614"/>
      <w:bookmarkStart w:id="736" w:name="_Toc179632632"/>
      <w:bookmarkStart w:id="737" w:name="_Toc454359179"/>
      <w:r>
        <w:rPr>
          <w:rFonts w:hint="eastAsia" w:ascii="宋体" w:hAnsi="宋体" w:cs="宋体"/>
          <w:highlight w:val="none"/>
        </w:rPr>
        <w:t>1.3 法律</w:t>
      </w:r>
      <w:bookmarkEnd w:id="730"/>
      <w:bookmarkEnd w:id="731"/>
      <w:bookmarkEnd w:id="732"/>
      <w:bookmarkEnd w:id="733"/>
      <w:bookmarkEnd w:id="734"/>
      <w:bookmarkEnd w:id="735"/>
      <w:bookmarkEnd w:id="736"/>
      <w:bookmarkEnd w:id="737"/>
    </w:p>
    <w:p w14:paraId="7D0435C3">
      <w:pPr>
        <w:spacing w:line="360" w:lineRule="auto"/>
        <w:ind w:firstLine="420" w:firstLineChars="200"/>
        <w:rPr>
          <w:rFonts w:hint="eastAsia" w:ascii="宋体" w:hAnsi="宋体" w:cs="宋体"/>
          <w:highlight w:val="none"/>
        </w:rPr>
      </w:pPr>
      <w:r>
        <w:rPr>
          <w:rFonts w:hint="eastAsia" w:ascii="宋体" w:hAnsi="宋体" w:cs="宋体"/>
          <w:highlight w:val="none"/>
        </w:rPr>
        <w:t>适用于合同的法律包括中华人民共和国法律、行政法规、部门规章，以及工程所在地的地方法规、自治条例、单行条例和地方政府规章。</w:t>
      </w:r>
    </w:p>
    <w:p w14:paraId="258F7553">
      <w:pPr>
        <w:spacing w:line="360" w:lineRule="auto"/>
        <w:rPr>
          <w:rFonts w:hint="eastAsia" w:ascii="宋体" w:hAnsi="宋体" w:cs="宋体"/>
          <w:highlight w:val="none"/>
        </w:rPr>
      </w:pPr>
      <w:bookmarkStart w:id="738" w:name="_Toc338944708"/>
      <w:bookmarkStart w:id="739" w:name="_Toc503536091"/>
      <w:bookmarkStart w:id="740" w:name="_Toc342296266"/>
      <w:bookmarkStart w:id="741" w:name="_Toc454359180"/>
      <w:r>
        <w:rPr>
          <w:rFonts w:hint="eastAsia" w:ascii="宋体" w:hAnsi="宋体" w:cs="宋体"/>
          <w:highlight w:val="none"/>
        </w:rPr>
        <w:t>1.4 合同文件的优先顺序</w:t>
      </w:r>
      <w:bookmarkEnd w:id="738"/>
      <w:bookmarkEnd w:id="739"/>
      <w:bookmarkEnd w:id="740"/>
      <w:bookmarkEnd w:id="741"/>
    </w:p>
    <w:p w14:paraId="0B94B1D2">
      <w:pPr>
        <w:spacing w:line="360" w:lineRule="auto"/>
        <w:ind w:firstLine="420" w:firstLineChars="200"/>
        <w:rPr>
          <w:rFonts w:hint="eastAsia" w:ascii="宋体" w:hAnsi="宋体" w:cs="宋体"/>
          <w:highlight w:val="none"/>
        </w:rPr>
      </w:pPr>
      <w:r>
        <w:rPr>
          <w:rFonts w:hint="eastAsia" w:ascii="宋体" w:hAnsi="宋体" w:cs="宋体"/>
          <w:highlight w:val="none"/>
        </w:rPr>
        <w:t>组成合同的各项文件应互相解释，互为说明。除专用合同条款另有约定外，解释合同文件的优先顺序如下：</w:t>
      </w:r>
    </w:p>
    <w:p w14:paraId="62766F66">
      <w:pPr>
        <w:spacing w:line="360" w:lineRule="auto"/>
        <w:ind w:firstLine="359" w:firstLineChars="171"/>
        <w:rPr>
          <w:rFonts w:hint="eastAsia" w:ascii="宋体" w:hAnsi="宋体" w:cs="宋体"/>
          <w:highlight w:val="none"/>
        </w:rPr>
      </w:pPr>
      <w:r>
        <w:rPr>
          <w:rFonts w:hint="eastAsia" w:ascii="宋体" w:hAnsi="宋体" w:cs="宋体"/>
          <w:highlight w:val="none"/>
        </w:rPr>
        <w:t>（1）合同协议书；</w:t>
      </w:r>
    </w:p>
    <w:p w14:paraId="749C790A">
      <w:pPr>
        <w:spacing w:line="360" w:lineRule="auto"/>
        <w:ind w:firstLine="359" w:firstLineChars="171"/>
        <w:rPr>
          <w:rFonts w:hint="eastAsia" w:ascii="宋体" w:hAnsi="宋体" w:cs="宋体"/>
          <w:highlight w:val="none"/>
        </w:rPr>
      </w:pPr>
      <w:r>
        <w:rPr>
          <w:rFonts w:hint="eastAsia" w:ascii="宋体" w:hAnsi="宋体" w:cs="宋体"/>
          <w:highlight w:val="none"/>
        </w:rPr>
        <w:t>（2）成交通知书；</w:t>
      </w:r>
    </w:p>
    <w:p w14:paraId="31DC5E6F">
      <w:pPr>
        <w:spacing w:line="360" w:lineRule="auto"/>
        <w:ind w:firstLine="359" w:firstLineChars="171"/>
        <w:rPr>
          <w:rFonts w:hint="eastAsia" w:ascii="宋体" w:hAnsi="宋体" w:cs="宋体"/>
          <w:highlight w:val="none"/>
        </w:rPr>
      </w:pPr>
      <w:r>
        <w:rPr>
          <w:rFonts w:hint="eastAsia" w:ascii="宋体" w:hAnsi="宋体" w:cs="宋体"/>
          <w:highlight w:val="none"/>
        </w:rPr>
        <w:t>（3）响应函及最终报价表；</w:t>
      </w:r>
    </w:p>
    <w:p w14:paraId="6E1F8E14">
      <w:pPr>
        <w:spacing w:line="360" w:lineRule="auto"/>
        <w:ind w:firstLine="359" w:firstLineChars="171"/>
        <w:rPr>
          <w:rFonts w:hint="eastAsia" w:ascii="宋体" w:hAnsi="宋体" w:cs="宋体"/>
          <w:highlight w:val="none"/>
        </w:rPr>
      </w:pPr>
      <w:r>
        <w:rPr>
          <w:rFonts w:hint="eastAsia" w:ascii="宋体" w:hAnsi="宋体" w:cs="宋体"/>
          <w:highlight w:val="none"/>
        </w:rPr>
        <w:t>（4）专用合同条款；</w:t>
      </w:r>
    </w:p>
    <w:p w14:paraId="4B9A9997">
      <w:pPr>
        <w:spacing w:line="360" w:lineRule="auto"/>
        <w:ind w:firstLine="359" w:firstLineChars="171"/>
        <w:rPr>
          <w:rFonts w:hint="eastAsia" w:ascii="宋体" w:hAnsi="宋体" w:cs="宋体"/>
          <w:highlight w:val="none"/>
        </w:rPr>
      </w:pPr>
      <w:r>
        <w:rPr>
          <w:rFonts w:hint="eastAsia" w:ascii="宋体" w:hAnsi="宋体" w:cs="宋体"/>
          <w:highlight w:val="none"/>
        </w:rPr>
        <w:t>（5）通用合同条款；</w:t>
      </w:r>
    </w:p>
    <w:p w14:paraId="0503074E">
      <w:pPr>
        <w:spacing w:line="360" w:lineRule="auto"/>
        <w:ind w:firstLine="359" w:firstLineChars="171"/>
        <w:rPr>
          <w:rFonts w:hint="eastAsia" w:ascii="宋体" w:hAnsi="宋体" w:cs="宋体"/>
          <w:highlight w:val="none"/>
        </w:rPr>
      </w:pPr>
      <w:r>
        <w:rPr>
          <w:rFonts w:hint="eastAsia" w:ascii="宋体" w:hAnsi="宋体" w:cs="宋体"/>
          <w:highlight w:val="none"/>
        </w:rPr>
        <w:t>（6）技术需求书；</w:t>
      </w:r>
    </w:p>
    <w:p w14:paraId="603BFFD2">
      <w:pPr>
        <w:spacing w:line="360" w:lineRule="auto"/>
        <w:ind w:firstLine="359" w:firstLineChars="171"/>
        <w:rPr>
          <w:rFonts w:hint="eastAsia" w:ascii="宋体" w:hAnsi="宋体" w:cs="宋体"/>
          <w:highlight w:val="none"/>
        </w:rPr>
      </w:pPr>
      <w:r>
        <w:rPr>
          <w:rFonts w:hint="eastAsia" w:ascii="宋体" w:hAnsi="宋体" w:cs="宋体"/>
          <w:highlight w:val="none"/>
        </w:rPr>
        <w:t>（7）图纸；</w:t>
      </w:r>
    </w:p>
    <w:p w14:paraId="78D1F5E0">
      <w:pPr>
        <w:spacing w:line="360" w:lineRule="auto"/>
        <w:ind w:firstLine="359" w:firstLineChars="171"/>
        <w:rPr>
          <w:rFonts w:hint="eastAsia" w:ascii="宋体" w:hAnsi="宋体" w:cs="宋体"/>
          <w:highlight w:val="none"/>
        </w:rPr>
      </w:pPr>
      <w:r>
        <w:rPr>
          <w:rFonts w:hint="eastAsia" w:ascii="宋体" w:hAnsi="宋体" w:cs="宋体"/>
          <w:highlight w:val="none"/>
        </w:rPr>
        <w:t>（8）竞争性磋商文件及已标价工程量清单；</w:t>
      </w:r>
    </w:p>
    <w:p w14:paraId="29D2835E">
      <w:pPr>
        <w:spacing w:line="360" w:lineRule="auto"/>
        <w:ind w:firstLine="359" w:firstLineChars="171"/>
        <w:rPr>
          <w:rFonts w:hint="eastAsia" w:ascii="宋体" w:hAnsi="宋体" w:cs="宋体"/>
          <w:highlight w:val="none"/>
        </w:rPr>
      </w:pPr>
      <w:r>
        <w:rPr>
          <w:rFonts w:hint="eastAsia" w:ascii="宋体" w:hAnsi="宋体" w:cs="宋体"/>
          <w:highlight w:val="none"/>
        </w:rPr>
        <w:t>（9）其他合同文件。</w:t>
      </w:r>
    </w:p>
    <w:p w14:paraId="0C0683B2">
      <w:pPr>
        <w:spacing w:line="360" w:lineRule="auto"/>
        <w:rPr>
          <w:rFonts w:hint="eastAsia" w:ascii="宋体" w:hAnsi="宋体" w:cs="宋体"/>
          <w:highlight w:val="none"/>
        </w:rPr>
      </w:pPr>
      <w:bookmarkStart w:id="742" w:name="_Toc454359181"/>
      <w:bookmarkStart w:id="743" w:name="_Toc503536092"/>
      <w:bookmarkStart w:id="744" w:name="_Toc338944709"/>
      <w:bookmarkStart w:id="745" w:name="_Toc342296267"/>
      <w:r>
        <w:rPr>
          <w:rFonts w:hint="eastAsia" w:ascii="宋体" w:hAnsi="宋体" w:cs="宋体"/>
          <w:highlight w:val="none"/>
        </w:rPr>
        <w:t>1.5 合同协议书</w:t>
      </w:r>
      <w:bookmarkEnd w:id="742"/>
      <w:bookmarkEnd w:id="743"/>
      <w:bookmarkEnd w:id="744"/>
      <w:bookmarkEnd w:id="745"/>
    </w:p>
    <w:p w14:paraId="70F6EF45">
      <w:pPr>
        <w:spacing w:line="360" w:lineRule="auto"/>
        <w:ind w:firstLine="420" w:firstLineChars="200"/>
        <w:rPr>
          <w:rFonts w:hint="eastAsia" w:ascii="宋体" w:hAnsi="宋体" w:cs="宋体"/>
          <w:highlight w:val="none"/>
        </w:rPr>
      </w:pPr>
      <w:r>
        <w:rPr>
          <w:rFonts w:hint="eastAsia" w:ascii="宋体" w:hAnsi="宋体" w:cs="宋体"/>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4C461F54">
      <w:pPr>
        <w:spacing w:line="360" w:lineRule="auto"/>
        <w:rPr>
          <w:rFonts w:hint="eastAsia" w:ascii="宋体" w:hAnsi="宋体" w:cs="宋体"/>
          <w:highlight w:val="none"/>
        </w:rPr>
      </w:pPr>
      <w:bookmarkStart w:id="746" w:name="_Toc503536093"/>
      <w:bookmarkStart w:id="747" w:name="_Toc338944710"/>
      <w:bookmarkStart w:id="748" w:name="_Toc454359182"/>
      <w:bookmarkStart w:id="749" w:name="_Toc342296268"/>
      <w:r>
        <w:rPr>
          <w:rFonts w:hint="eastAsia" w:ascii="宋体" w:hAnsi="宋体" w:cs="宋体"/>
          <w:highlight w:val="none"/>
        </w:rPr>
        <w:t>1.6 图纸和承包人文件</w:t>
      </w:r>
      <w:bookmarkEnd w:id="746"/>
      <w:bookmarkEnd w:id="747"/>
      <w:bookmarkEnd w:id="748"/>
      <w:bookmarkEnd w:id="749"/>
    </w:p>
    <w:p w14:paraId="392CBDB2">
      <w:pPr>
        <w:spacing w:line="360" w:lineRule="auto"/>
        <w:ind w:firstLine="420" w:firstLineChars="200"/>
        <w:rPr>
          <w:rFonts w:hint="eastAsia" w:ascii="宋体" w:hAnsi="宋体" w:cs="宋体"/>
          <w:highlight w:val="none"/>
        </w:rPr>
      </w:pPr>
      <w:r>
        <w:rPr>
          <w:rFonts w:hint="eastAsia" w:ascii="宋体" w:hAnsi="宋体" w:cs="宋体"/>
          <w:highlight w:val="none"/>
        </w:rPr>
        <w:t>1.6.1图纸的提供</w:t>
      </w:r>
    </w:p>
    <w:p w14:paraId="047629E3">
      <w:pPr>
        <w:spacing w:line="360" w:lineRule="auto"/>
        <w:ind w:firstLine="420" w:firstLineChars="200"/>
        <w:rPr>
          <w:rFonts w:hint="eastAsia" w:ascii="宋体" w:hAnsi="宋体" w:cs="宋体"/>
          <w:highlight w:val="none"/>
        </w:rPr>
      </w:pPr>
      <w:r>
        <w:rPr>
          <w:rFonts w:hint="eastAsia" w:ascii="宋体" w:hAnsi="宋体" w:cs="宋体"/>
          <w:highlight w:val="none"/>
        </w:rPr>
        <w:t>除专用合同条款另有约定外，图纸应在合理的期限内按照合同约定的数量提供给承包人。由于发包人未按时提供图纸造成工期延误的，按第11.3款的约定办理。</w:t>
      </w:r>
    </w:p>
    <w:p w14:paraId="4431A33C">
      <w:pPr>
        <w:spacing w:line="360" w:lineRule="auto"/>
        <w:ind w:firstLine="420" w:firstLineChars="200"/>
        <w:rPr>
          <w:rFonts w:hint="eastAsia" w:ascii="宋体" w:hAnsi="宋体" w:cs="宋体"/>
          <w:highlight w:val="none"/>
        </w:rPr>
      </w:pPr>
      <w:r>
        <w:rPr>
          <w:rFonts w:hint="eastAsia" w:ascii="宋体" w:hAnsi="宋体" w:cs="宋体"/>
          <w:highlight w:val="none"/>
        </w:rPr>
        <w:t>1.6.2 承包人提供的文件</w:t>
      </w:r>
    </w:p>
    <w:p w14:paraId="3F50105C">
      <w:pPr>
        <w:spacing w:line="360" w:lineRule="auto"/>
        <w:rPr>
          <w:rFonts w:hint="eastAsia" w:ascii="宋体" w:hAnsi="宋体" w:cs="宋体"/>
          <w:highlight w:val="none"/>
        </w:rPr>
      </w:pPr>
      <w:r>
        <w:rPr>
          <w:rFonts w:hint="eastAsia" w:ascii="宋体" w:hAnsi="宋体" w:cs="宋体"/>
          <w:highlight w:val="none"/>
        </w:rPr>
        <w:t>　　按专用合同条款约定由承包人提供的文件，包括部分工程的大样图、加工图等，承包人应按约定的数量和期限报送监理人。监理人应在专用合同条款约定的期限内批复。</w:t>
      </w:r>
    </w:p>
    <w:p w14:paraId="7D9071E9">
      <w:pPr>
        <w:spacing w:line="360" w:lineRule="auto"/>
        <w:ind w:firstLine="420" w:firstLineChars="200"/>
        <w:rPr>
          <w:rFonts w:hint="eastAsia" w:ascii="宋体" w:hAnsi="宋体" w:cs="宋体"/>
          <w:highlight w:val="none"/>
        </w:rPr>
      </w:pPr>
      <w:r>
        <w:rPr>
          <w:rFonts w:hint="eastAsia" w:ascii="宋体" w:hAnsi="宋体" w:cs="宋体"/>
          <w:highlight w:val="none"/>
        </w:rPr>
        <w:t>1.6.3 图纸的修改</w:t>
      </w:r>
    </w:p>
    <w:p w14:paraId="296EE557">
      <w:pPr>
        <w:spacing w:line="360" w:lineRule="auto"/>
        <w:ind w:firstLine="420" w:firstLineChars="200"/>
        <w:rPr>
          <w:rFonts w:hint="eastAsia" w:ascii="宋体" w:hAnsi="宋体" w:cs="宋体"/>
          <w:highlight w:val="none"/>
        </w:rPr>
      </w:pPr>
      <w:r>
        <w:rPr>
          <w:rFonts w:hint="eastAsia" w:ascii="宋体" w:hAnsi="宋体" w:cs="宋体"/>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1E611173">
      <w:pPr>
        <w:spacing w:line="360" w:lineRule="auto"/>
        <w:ind w:firstLine="420" w:firstLineChars="200"/>
        <w:rPr>
          <w:rFonts w:hint="eastAsia" w:ascii="宋体" w:hAnsi="宋体" w:cs="宋体"/>
          <w:highlight w:val="none"/>
        </w:rPr>
      </w:pPr>
      <w:r>
        <w:rPr>
          <w:rFonts w:hint="eastAsia" w:ascii="宋体" w:hAnsi="宋体" w:cs="宋体"/>
          <w:highlight w:val="none"/>
        </w:rPr>
        <w:t>1.6.4 图纸的错误</w:t>
      </w:r>
    </w:p>
    <w:p w14:paraId="0CE73043">
      <w:pPr>
        <w:spacing w:line="360" w:lineRule="auto"/>
        <w:ind w:firstLine="420" w:firstLineChars="200"/>
        <w:rPr>
          <w:rFonts w:hint="eastAsia" w:ascii="宋体" w:hAnsi="宋体" w:cs="宋体"/>
          <w:highlight w:val="none"/>
        </w:rPr>
      </w:pPr>
      <w:r>
        <w:rPr>
          <w:rFonts w:hint="eastAsia" w:ascii="宋体" w:hAnsi="宋体" w:cs="宋体"/>
          <w:highlight w:val="none"/>
        </w:rPr>
        <w:t>承包人发现发包人提供的图纸存在明显错误或疏忽，应及时通知监理人。</w:t>
      </w:r>
    </w:p>
    <w:p w14:paraId="1C3338C2">
      <w:pPr>
        <w:spacing w:line="360" w:lineRule="auto"/>
        <w:ind w:firstLine="420" w:firstLineChars="200"/>
        <w:rPr>
          <w:rFonts w:hint="eastAsia" w:ascii="宋体" w:hAnsi="宋体" w:cs="宋体"/>
          <w:highlight w:val="none"/>
        </w:rPr>
      </w:pPr>
      <w:r>
        <w:rPr>
          <w:rFonts w:hint="eastAsia" w:ascii="宋体" w:hAnsi="宋体" w:cs="宋体"/>
          <w:highlight w:val="none"/>
        </w:rPr>
        <w:t>1.6.5 图纸和承包人文件的保管</w:t>
      </w:r>
    </w:p>
    <w:p w14:paraId="741529B7">
      <w:pPr>
        <w:spacing w:line="360" w:lineRule="auto"/>
        <w:ind w:firstLine="420" w:firstLineChars="200"/>
        <w:rPr>
          <w:rFonts w:hint="eastAsia" w:ascii="宋体" w:hAnsi="宋体" w:cs="宋体"/>
          <w:highlight w:val="none"/>
        </w:rPr>
      </w:pPr>
      <w:r>
        <w:rPr>
          <w:rFonts w:hint="eastAsia" w:ascii="宋体" w:hAnsi="宋体" w:cs="宋体"/>
          <w:highlight w:val="none"/>
        </w:rPr>
        <w:t>监理人和承包人均应在施工场地各保存一套完整的包含第1.6.1项、第1.6.2项、第1.6.3项约定内容的图纸和承包人文件。</w:t>
      </w:r>
    </w:p>
    <w:p w14:paraId="6AEE3702">
      <w:pPr>
        <w:spacing w:line="360" w:lineRule="auto"/>
        <w:rPr>
          <w:rFonts w:hint="eastAsia" w:ascii="宋体" w:hAnsi="宋体" w:cs="宋体"/>
          <w:highlight w:val="none"/>
        </w:rPr>
      </w:pPr>
      <w:bookmarkStart w:id="750" w:name="_Toc342296269"/>
      <w:bookmarkStart w:id="751" w:name="_Toc503536094"/>
      <w:bookmarkStart w:id="752" w:name="_Toc338944711"/>
      <w:bookmarkStart w:id="753" w:name="_Toc454359183"/>
      <w:r>
        <w:rPr>
          <w:rFonts w:hint="eastAsia" w:ascii="宋体" w:hAnsi="宋体" w:cs="宋体"/>
          <w:highlight w:val="none"/>
        </w:rPr>
        <w:t>1.7 联络</w:t>
      </w:r>
      <w:bookmarkEnd w:id="750"/>
      <w:bookmarkEnd w:id="751"/>
      <w:bookmarkEnd w:id="752"/>
      <w:bookmarkEnd w:id="753"/>
    </w:p>
    <w:p w14:paraId="4FC1265C">
      <w:pPr>
        <w:spacing w:line="360" w:lineRule="auto"/>
        <w:ind w:firstLine="420" w:firstLineChars="200"/>
        <w:rPr>
          <w:rFonts w:hint="eastAsia" w:ascii="宋体" w:hAnsi="宋体" w:cs="宋体"/>
          <w:highlight w:val="none"/>
        </w:rPr>
      </w:pPr>
      <w:r>
        <w:rPr>
          <w:rFonts w:hint="eastAsia" w:ascii="宋体" w:hAnsi="宋体" w:cs="宋体"/>
          <w:highlight w:val="none"/>
        </w:rPr>
        <w:t>1.7.1 与合同有关的通知、批准、证明、证书、指示、要求、请求、同意、意见、确定和决定等，均应采用书面形式。</w:t>
      </w:r>
    </w:p>
    <w:p w14:paraId="3FE98125">
      <w:pPr>
        <w:spacing w:line="360" w:lineRule="auto"/>
        <w:ind w:firstLine="420" w:firstLineChars="200"/>
        <w:rPr>
          <w:rFonts w:hint="eastAsia" w:ascii="宋体" w:hAnsi="宋体" w:cs="宋体"/>
          <w:highlight w:val="none"/>
        </w:rPr>
      </w:pPr>
      <w:r>
        <w:rPr>
          <w:rFonts w:hint="eastAsia" w:ascii="宋体" w:hAnsi="宋体" w:cs="宋体"/>
          <w:highlight w:val="none"/>
        </w:rPr>
        <w:t>1.7.2 第1.7.1项中的通知、批准、证明、证书、指示、要求、请求、同意、意见、确定和决定等来往函件，均应在合同约定的期限内送达指定地点和接收人，并办理签收手续。</w:t>
      </w:r>
    </w:p>
    <w:p w14:paraId="7C0C4D97">
      <w:pPr>
        <w:spacing w:line="360" w:lineRule="auto"/>
        <w:rPr>
          <w:rFonts w:hint="eastAsia" w:ascii="宋体" w:hAnsi="宋体" w:cs="宋体"/>
          <w:highlight w:val="none"/>
        </w:rPr>
      </w:pPr>
      <w:bookmarkStart w:id="754" w:name="_Toc503536095"/>
      <w:bookmarkStart w:id="755" w:name="_Toc342296270"/>
      <w:bookmarkStart w:id="756" w:name="_Toc144974587"/>
      <w:bookmarkStart w:id="757" w:name="_Toc179632637"/>
      <w:bookmarkStart w:id="758" w:name="_Toc454359184"/>
      <w:bookmarkStart w:id="759" w:name="_Toc152042397"/>
      <w:bookmarkStart w:id="760" w:name="_Toc338944712"/>
      <w:bookmarkStart w:id="761" w:name="_Toc152045619"/>
      <w:r>
        <w:rPr>
          <w:rFonts w:hint="eastAsia" w:ascii="宋体" w:hAnsi="宋体" w:cs="宋体"/>
          <w:highlight w:val="none"/>
        </w:rPr>
        <w:t>1.8 转让</w:t>
      </w:r>
      <w:bookmarkEnd w:id="754"/>
      <w:bookmarkEnd w:id="755"/>
      <w:bookmarkEnd w:id="756"/>
      <w:bookmarkEnd w:id="757"/>
      <w:bookmarkEnd w:id="758"/>
      <w:bookmarkEnd w:id="759"/>
      <w:bookmarkEnd w:id="760"/>
      <w:bookmarkEnd w:id="761"/>
    </w:p>
    <w:p w14:paraId="7F09A24C">
      <w:pPr>
        <w:spacing w:line="360" w:lineRule="auto"/>
        <w:ind w:firstLine="420" w:firstLineChars="200"/>
        <w:rPr>
          <w:rFonts w:hint="eastAsia" w:ascii="宋体" w:hAnsi="宋体" w:cs="宋体"/>
          <w:highlight w:val="none"/>
        </w:rPr>
      </w:pPr>
      <w:r>
        <w:rPr>
          <w:rFonts w:hint="eastAsia" w:ascii="宋体" w:hAnsi="宋体" w:cs="宋体"/>
          <w:highlight w:val="none"/>
        </w:rPr>
        <w:t>除合同另有约定外，未经对方当事人同意，一方当事人不得将合同权利全部或部分转让给第三人，也不得全部或部分转移合同义务。</w:t>
      </w:r>
    </w:p>
    <w:p w14:paraId="2FA434F9">
      <w:pPr>
        <w:spacing w:line="360" w:lineRule="auto"/>
        <w:rPr>
          <w:rFonts w:hint="eastAsia" w:ascii="宋体" w:hAnsi="宋体" w:cs="宋体"/>
          <w:highlight w:val="none"/>
        </w:rPr>
      </w:pPr>
      <w:bookmarkStart w:id="762" w:name="_Toc342296271"/>
      <w:bookmarkStart w:id="763" w:name="_Toc152045620"/>
      <w:bookmarkStart w:id="764" w:name="_Toc338944713"/>
      <w:bookmarkStart w:id="765" w:name="_Toc144974588"/>
      <w:bookmarkStart w:id="766" w:name="_Toc179632638"/>
      <w:bookmarkStart w:id="767" w:name="_Toc454359185"/>
      <w:bookmarkStart w:id="768" w:name="_Toc152042398"/>
      <w:bookmarkStart w:id="769" w:name="_Toc503536096"/>
      <w:r>
        <w:rPr>
          <w:rFonts w:hint="eastAsia" w:ascii="宋体" w:hAnsi="宋体" w:cs="宋体"/>
          <w:highlight w:val="none"/>
        </w:rPr>
        <w:t>1.9 严禁贿赂</w:t>
      </w:r>
      <w:bookmarkEnd w:id="762"/>
      <w:bookmarkEnd w:id="763"/>
      <w:bookmarkEnd w:id="764"/>
      <w:bookmarkEnd w:id="765"/>
      <w:bookmarkEnd w:id="766"/>
      <w:bookmarkEnd w:id="767"/>
      <w:bookmarkEnd w:id="768"/>
      <w:bookmarkEnd w:id="769"/>
    </w:p>
    <w:p w14:paraId="4990F592">
      <w:pPr>
        <w:spacing w:line="360" w:lineRule="auto"/>
        <w:ind w:firstLine="420" w:firstLineChars="200"/>
        <w:rPr>
          <w:rFonts w:hint="eastAsia" w:ascii="宋体" w:hAnsi="宋体" w:cs="宋体"/>
          <w:highlight w:val="none"/>
        </w:rPr>
      </w:pPr>
      <w:r>
        <w:rPr>
          <w:rFonts w:hint="eastAsia" w:ascii="宋体" w:hAnsi="宋体" w:cs="宋体"/>
          <w:highlight w:val="none"/>
        </w:rPr>
        <w:t>合同双方当事人不得以贿赂或变相贿赂的方式，谋取不当利益或损害对方权益。因贿赂造成对方损失的，行为人应赔偿损失，并承担相应的法律责任。</w:t>
      </w:r>
    </w:p>
    <w:p w14:paraId="5929B5F5">
      <w:pPr>
        <w:spacing w:line="360" w:lineRule="auto"/>
        <w:rPr>
          <w:rFonts w:hint="eastAsia" w:ascii="宋体" w:hAnsi="宋体" w:cs="宋体"/>
          <w:highlight w:val="none"/>
        </w:rPr>
      </w:pPr>
      <w:bookmarkStart w:id="770" w:name="_Toc338944714"/>
      <w:bookmarkStart w:id="771" w:name="_Toc152042399"/>
      <w:bookmarkStart w:id="772" w:name="_Toc342296272"/>
      <w:bookmarkStart w:id="773" w:name="_Toc152045621"/>
      <w:bookmarkStart w:id="774" w:name="_Toc179632639"/>
      <w:bookmarkStart w:id="775" w:name="_Toc454359186"/>
      <w:bookmarkStart w:id="776" w:name="_Toc503536097"/>
      <w:bookmarkStart w:id="777" w:name="_Toc144974589"/>
      <w:r>
        <w:rPr>
          <w:rFonts w:hint="eastAsia" w:ascii="宋体" w:hAnsi="宋体" w:cs="宋体"/>
          <w:highlight w:val="none"/>
        </w:rPr>
        <w:t>1.10 化石、文物</w:t>
      </w:r>
      <w:bookmarkEnd w:id="770"/>
      <w:bookmarkEnd w:id="771"/>
      <w:bookmarkEnd w:id="772"/>
      <w:bookmarkEnd w:id="773"/>
      <w:bookmarkEnd w:id="774"/>
      <w:bookmarkEnd w:id="775"/>
      <w:bookmarkEnd w:id="776"/>
      <w:bookmarkEnd w:id="777"/>
    </w:p>
    <w:p w14:paraId="303662A1">
      <w:pPr>
        <w:spacing w:line="360" w:lineRule="auto"/>
        <w:ind w:firstLine="420" w:firstLineChars="200"/>
        <w:rPr>
          <w:rFonts w:hint="eastAsia" w:ascii="宋体" w:hAnsi="宋体" w:cs="宋体"/>
          <w:highlight w:val="none"/>
        </w:rPr>
      </w:pPr>
      <w:r>
        <w:rPr>
          <w:rFonts w:hint="eastAsia" w:ascii="宋体" w:hAnsi="宋体" w:cs="宋体"/>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172802C">
      <w:pPr>
        <w:spacing w:line="360" w:lineRule="auto"/>
        <w:ind w:firstLine="420" w:firstLineChars="200"/>
        <w:rPr>
          <w:rFonts w:hint="eastAsia" w:ascii="宋体" w:hAnsi="宋体" w:cs="宋体"/>
          <w:highlight w:val="none"/>
        </w:rPr>
      </w:pPr>
      <w:r>
        <w:rPr>
          <w:rFonts w:hint="eastAsia" w:ascii="宋体" w:hAnsi="宋体" w:cs="宋体"/>
          <w:highlight w:val="none"/>
        </w:rPr>
        <w:t>1.10.2 承包人发现文物后不及时报告或隐瞒不报，致使文物丢失或损坏的，应赔偿损失，并承担相应的法律责任。</w:t>
      </w:r>
    </w:p>
    <w:p w14:paraId="10ABEEFB">
      <w:pPr>
        <w:spacing w:line="360" w:lineRule="auto"/>
        <w:rPr>
          <w:rFonts w:hint="eastAsia" w:ascii="宋体" w:hAnsi="宋体" w:cs="宋体"/>
          <w:highlight w:val="none"/>
        </w:rPr>
      </w:pPr>
      <w:bookmarkStart w:id="778" w:name="_Toc152042400"/>
      <w:bookmarkStart w:id="779" w:name="_Toc152045622"/>
      <w:bookmarkStart w:id="780" w:name="_Toc144974590"/>
      <w:bookmarkStart w:id="781" w:name="_Toc454359187"/>
      <w:bookmarkStart w:id="782" w:name="_Toc503536098"/>
      <w:bookmarkStart w:id="783" w:name="_Toc342296273"/>
      <w:bookmarkStart w:id="784" w:name="_Toc338944715"/>
      <w:bookmarkStart w:id="785" w:name="_Toc179632640"/>
      <w:r>
        <w:rPr>
          <w:rFonts w:hint="eastAsia" w:ascii="宋体" w:hAnsi="宋体" w:cs="宋体"/>
          <w:highlight w:val="none"/>
        </w:rPr>
        <w:t>1.11 专利技术</w:t>
      </w:r>
      <w:bookmarkEnd w:id="778"/>
      <w:bookmarkEnd w:id="779"/>
      <w:bookmarkEnd w:id="780"/>
      <w:bookmarkEnd w:id="781"/>
      <w:bookmarkEnd w:id="782"/>
      <w:bookmarkEnd w:id="783"/>
      <w:bookmarkEnd w:id="784"/>
      <w:bookmarkEnd w:id="785"/>
    </w:p>
    <w:p w14:paraId="2EFBC23D">
      <w:pPr>
        <w:spacing w:line="360" w:lineRule="auto"/>
        <w:ind w:firstLine="420" w:firstLineChars="200"/>
        <w:rPr>
          <w:rFonts w:hint="eastAsia" w:ascii="宋体" w:hAnsi="宋体" w:cs="宋体"/>
          <w:highlight w:val="none"/>
        </w:rPr>
      </w:pPr>
      <w:r>
        <w:rPr>
          <w:rFonts w:hint="eastAsia" w:ascii="宋体" w:hAnsi="宋体" w:cs="宋体"/>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0B577AB3">
      <w:pPr>
        <w:spacing w:line="360" w:lineRule="auto"/>
        <w:ind w:firstLine="420" w:firstLineChars="200"/>
        <w:rPr>
          <w:rFonts w:hint="eastAsia" w:ascii="宋体" w:hAnsi="宋体" w:cs="宋体"/>
          <w:highlight w:val="none"/>
        </w:rPr>
      </w:pPr>
      <w:r>
        <w:rPr>
          <w:rFonts w:hint="eastAsia" w:ascii="宋体" w:hAnsi="宋体" w:cs="宋体"/>
          <w:highlight w:val="none"/>
        </w:rPr>
        <w:t>1.11.2 承包人在投标文件中采用专利技术的，专利技术的使用费包含在投标报价内。</w:t>
      </w:r>
    </w:p>
    <w:p w14:paraId="360AE504">
      <w:pPr>
        <w:spacing w:line="360" w:lineRule="auto"/>
        <w:ind w:firstLine="420" w:firstLineChars="200"/>
        <w:rPr>
          <w:rFonts w:hint="eastAsia" w:ascii="宋体" w:hAnsi="宋体" w:cs="宋体"/>
          <w:highlight w:val="none"/>
        </w:rPr>
      </w:pPr>
      <w:r>
        <w:rPr>
          <w:rFonts w:hint="eastAsia" w:ascii="宋体" w:hAnsi="宋体" w:cs="宋体"/>
          <w:highlight w:val="none"/>
        </w:rPr>
        <w:t>1.11.3 承包人的技术秘密和声明需要保密的资料和信息，发包人和监理人不得为合同以外的目的泄露给他人。</w:t>
      </w:r>
    </w:p>
    <w:p w14:paraId="5B00A8F0">
      <w:pPr>
        <w:spacing w:line="360" w:lineRule="auto"/>
        <w:rPr>
          <w:rFonts w:hint="eastAsia" w:ascii="宋体" w:hAnsi="宋体" w:cs="宋体"/>
          <w:highlight w:val="none"/>
        </w:rPr>
      </w:pPr>
      <w:bookmarkStart w:id="786" w:name="_Toc338944716"/>
      <w:bookmarkStart w:id="787" w:name="_Toc454359188"/>
      <w:bookmarkStart w:id="788" w:name="_Toc342296274"/>
      <w:bookmarkStart w:id="789" w:name="_Toc152045623"/>
      <w:bookmarkStart w:id="790" w:name="_Toc152042401"/>
      <w:bookmarkStart w:id="791" w:name="_Toc179632641"/>
      <w:bookmarkStart w:id="792" w:name="_Toc503536099"/>
      <w:bookmarkStart w:id="793" w:name="_Toc144974591"/>
      <w:r>
        <w:rPr>
          <w:rFonts w:hint="eastAsia" w:ascii="宋体" w:hAnsi="宋体" w:cs="宋体"/>
          <w:highlight w:val="none"/>
        </w:rPr>
        <w:t>1.12 图纸和文件的保密</w:t>
      </w:r>
      <w:bookmarkEnd w:id="786"/>
      <w:bookmarkEnd w:id="787"/>
      <w:bookmarkEnd w:id="788"/>
      <w:bookmarkEnd w:id="789"/>
      <w:bookmarkEnd w:id="790"/>
      <w:bookmarkEnd w:id="791"/>
      <w:bookmarkEnd w:id="792"/>
      <w:bookmarkEnd w:id="793"/>
    </w:p>
    <w:p w14:paraId="435DDAE6">
      <w:pPr>
        <w:spacing w:line="360" w:lineRule="auto"/>
        <w:ind w:firstLine="420" w:firstLineChars="200"/>
        <w:rPr>
          <w:rFonts w:hint="eastAsia" w:ascii="宋体" w:hAnsi="宋体" w:cs="宋体"/>
          <w:highlight w:val="none"/>
        </w:rPr>
      </w:pPr>
      <w:r>
        <w:rPr>
          <w:rFonts w:hint="eastAsia" w:ascii="宋体" w:hAnsi="宋体" w:cs="宋体"/>
          <w:highlight w:val="none"/>
        </w:rPr>
        <w:t>1.12.1 发包人提供的图纸和文件，未经发包人同意，承包人不得为合同以外的目的泄露给他人或公开发表与引用。</w:t>
      </w:r>
    </w:p>
    <w:p w14:paraId="02A38FFC">
      <w:pPr>
        <w:spacing w:line="360" w:lineRule="auto"/>
        <w:ind w:firstLine="420" w:firstLineChars="200"/>
        <w:rPr>
          <w:rFonts w:hint="eastAsia" w:ascii="宋体" w:hAnsi="宋体" w:cs="宋体"/>
          <w:highlight w:val="none"/>
        </w:rPr>
      </w:pPr>
      <w:r>
        <w:rPr>
          <w:rFonts w:hint="eastAsia" w:ascii="宋体" w:hAnsi="宋体" w:cs="宋体"/>
          <w:highlight w:val="none"/>
        </w:rPr>
        <w:t>1.12.2 承包人提供的文件，未经承包人同意，发包人和监理人不得为合同以外的目的泄露给他人或公开发表与引用。</w:t>
      </w:r>
    </w:p>
    <w:p w14:paraId="57D775A3">
      <w:pPr>
        <w:rPr>
          <w:rFonts w:hint="eastAsia" w:ascii="宋体" w:hAnsi="宋体" w:cs="宋体"/>
          <w:highlight w:val="none"/>
        </w:rPr>
      </w:pPr>
      <w:bookmarkStart w:id="794" w:name="_Toc342296275"/>
      <w:bookmarkStart w:id="795" w:name="_Toc503536100"/>
      <w:bookmarkStart w:id="796" w:name="_Toc338944717"/>
      <w:bookmarkStart w:id="797" w:name="_Toc4157286"/>
      <w:bookmarkStart w:id="798" w:name="_Toc3004"/>
      <w:r>
        <w:rPr>
          <w:rFonts w:hint="eastAsia" w:ascii="宋体" w:hAnsi="宋体" w:cs="宋体"/>
          <w:highlight w:val="none"/>
        </w:rPr>
        <w:t>2. 发包人义务</w:t>
      </w:r>
      <w:bookmarkEnd w:id="794"/>
      <w:bookmarkEnd w:id="795"/>
      <w:bookmarkEnd w:id="796"/>
      <w:bookmarkEnd w:id="797"/>
      <w:bookmarkEnd w:id="798"/>
    </w:p>
    <w:p w14:paraId="7FC8C5CE">
      <w:pPr>
        <w:spacing w:line="360" w:lineRule="auto"/>
        <w:rPr>
          <w:rFonts w:hint="eastAsia" w:ascii="宋体" w:hAnsi="宋体" w:cs="宋体"/>
          <w:highlight w:val="none"/>
        </w:rPr>
      </w:pPr>
      <w:bookmarkStart w:id="799" w:name="_Toc144974593"/>
      <w:bookmarkStart w:id="800" w:name="_Toc152042403"/>
      <w:bookmarkStart w:id="801" w:name="_Toc338944718"/>
      <w:bookmarkStart w:id="802" w:name="_Toc342296276"/>
      <w:bookmarkStart w:id="803" w:name="_Toc503536101"/>
      <w:bookmarkStart w:id="804" w:name="_Toc152045625"/>
      <w:bookmarkStart w:id="805" w:name="_Toc179632643"/>
      <w:bookmarkStart w:id="806" w:name="_Toc454359190"/>
      <w:r>
        <w:rPr>
          <w:rFonts w:hint="eastAsia" w:ascii="宋体" w:hAnsi="宋体" w:cs="宋体"/>
          <w:highlight w:val="none"/>
        </w:rPr>
        <w:t>2.1 遵守法律</w:t>
      </w:r>
      <w:bookmarkEnd w:id="799"/>
      <w:bookmarkEnd w:id="800"/>
      <w:bookmarkEnd w:id="801"/>
      <w:bookmarkEnd w:id="802"/>
      <w:bookmarkEnd w:id="803"/>
      <w:bookmarkEnd w:id="804"/>
      <w:bookmarkEnd w:id="805"/>
      <w:bookmarkEnd w:id="806"/>
    </w:p>
    <w:p w14:paraId="54596DA4">
      <w:pPr>
        <w:spacing w:line="360" w:lineRule="auto"/>
        <w:ind w:firstLine="420" w:firstLineChars="200"/>
        <w:rPr>
          <w:rFonts w:hint="eastAsia" w:ascii="宋体" w:hAnsi="宋体" w:cs="宋体"/>
          <w:highlight w:val="none"/>
        </w:rPr>
      </w:pPr>
      <w:r>
        <w:rPr>
          <w:rFonts w:hint="eastAsia" w:ascii="宋体" w:hAnsi="宋体" w:cs="宋体"/>
          <w:highlight w:val="none"/>
        </w:rPr>
        <w:t>发包人在履行合同过程中应遵守法律，并保证承包人免于承担因发包人违反法律而引起的任何责任。</w:t>
      </w:r>
    </w:p>
    <w:p w14:paraId="05D00586">
      <w:pPr>
        <w:spacing w:line="360" w:lineRule="auto"/>
        <w:rPr>
          <w:rFonts w:hint="eastAsia" w:ascii="宋体" w:hAnsi="宋体" w:cs="宋体"/>
          <w:highlight w:val="none"/>
        </w:rPr>
      </w:pPr>
      <w:bookmarkStart w:id="807" w:name="_Toc152045626"/>
      <w:bookmarkStart w:id="808" w:name="_Toc342296277"/>
      <w:bookmarkStart w:id="809" w:name="_Toc503536102"/>
      <w:bookmarkStart w:id="810" w:name="_Toc338944719"/>
      <w:bookmarkStart w:id="811" w:name="_Toc152042404"/>
      <w:bookmarkStart w:id="812" w:name="_Toc179632644"/>
      <w:bookmarkStart w:id="813" w:name="_Toc144974594"/>
      <w:bookmarkStart w:id="814" w:name="_Toc454359191"/>
      <w:r>
        <w:rPr>
          <w:rFonts w:hint="eastAsia" w:ascii="宋体" w:hAnsi="宋体" w:cs="宋体"/>
          <w:highlight w:val="none"/>
        </w:rPr>
        <w:t>2.2 发出开工通知</w:t>
      </w:r>
      <w:bookmarkEnd w:id="807"/>
      <w:bookmarkEnd w:id="808"/>
      <w:bookmarkEnd w:id="809"/>
      <w:bookmarkEnd w:id="810"/>
      <w:bookmarkEnd w:id="811"/>
      <w:bookmarkEnd w:id="812"/>
      <w:bookmarkEnd w:id="813"/>
      <w:bookmarkEnd w:id="814"/>
    </w:p>
    <w:p w14:paraId="18708A19">
      <w:pPr>
        <w:spacing w:line="360" w:lineRule="auto"/>
        <w:ind w:firstLine="420" w:firstLineChars="200"/>
        <w:rPr>
          <w:rFonts w:hint="eastAsia" w:ascii="宋体" w:hAnsi="宋体" w:cs="宋体"/>
          <w:highlight w:val="none"/>
        </w:rPr>
      </w:pPr>
      <w:r>
        <w:rPr>
          <w:rFonts w:hint="eastAsia" w:ascii="宋体" w:hAnsi="宋体" w:cs="宋体"/>
          <w:highlight w:val="none"/>
        </w:rPr>
        <w:t>发包人应委托监理人按第11.1款的约定向承包人发出开工通知。</w:t>
      </w:r>
    </w:p>
    <w:p w14:paraId="306E9F33">
      <w:pPr>
        <w:spacing w:line="360" w:lineRule="auto"/>
        <w:rPr>
          <w:rFonts w:hint="eastAsia" w:ascii="宋体" w:hAnsi="宋体" w:cs="宋体"/>
          <w:highlight w:val="none"/>
        </w:rPr>
      </w:pPr>
      <w:bookmarkStart w:id="815" w:name="_Toc338944720"/>
      <w:bookmarkStart w:id="816" w:name="_Toc454359192"/>
      <w:bookmarkStart w:id="817" w:name="_Toc342296278"/>
      <w:bookmarkStart w:id="818" w:name="_Toc503536103"/>
      <w:r>
        <w:rPr>
          <w:rFonts w:hint="eastAsia" w:ascii="宋体" w:hAnsi="宋体" w:cs="宋体"/>
          <w:highlight w:val="none"/>
        </w:rPr>
        <w:t>2.3 提供施工场地</w:t>
      </w:r>
      <w:bookmarkEnd w:id="815"/>
      <w:bookmarkEnd w:id="816"/>
      <w:bookmarkEnd w:id="817"/>
      <w:bookmarkEnd w:id="818"/>
    </w:p>
    <w:p w14:paraId="1EDE3142">
      <w:pPr>
        <w:spacing w:line="360" w:lineRule="auto"/>
        <w:ind w:firstLine="420" w:firstLineChars="200"/>
        <w:rPr>
          <w:rFonts w:hint="eastAsia" w:ascii="宋体" w:hAnsi="宋体" w:cs="宋体"/>
          <w:highlight w:val="none"/>
        </w:rPr>
      </w:pPr>
      <w:r>
        <w:rPr>
          <w:rFonts w:hint="eastAsia" w:ascii="宋体" w:hAnsi="宋体" w:cs="宋体"/>
          <w:highlight w:val="none"/>
        </w:rPr>
        <w:t>发包人应按专用合同条款约定向承包人提供施工场地，以及施工场地内地下管线和地下设施等有关资料，并保证资料的真实、准确、完整。</w:t>
      </w:r>
    </w:p>
    <w:p w14:paraId="4D1480A0">
      <w:pPr>
        <w:spacing w:line="360" w:lineRule="auto"/>
        <w:rPr>
          <w:rFonts w:hint="eastAsia" w:ascii="宋体" w:hAnsi="宋体" w:cs="宋体"/>
          <w:highlight w:val="none"/>
        </w:rPr>
      </w:pPr>
      <w:bookmarkStart w:id="819" w:name="_Toc454359193"/>
      <w:bookmarkStart w:id="820" w:name="_Toc144974596"/>
      <w:bookmarkStart w:id="821" w:name="_Toc503536104"/>
      <w:bookmarkStart w:id="822" w:name="_Toc152045628"/>
      <w:bookmarkStart w:id="823" w:name="_Toc179632646"/>
      <w:bookmarkStart w:id="824" w:name="_Toc342296279"/>
      <w:bookmarkStart w:id="825" w:name="_Toc152042406"/>
      <w:bookmarkStart w:id="826" w:name="_Toc338944721"/>
      <w:r>
        <w:rPr>
          <w:rFonts w:hint="eastAsia" w:ascii="宋体" w:hAnsi="宋体" w:cs="宋体"/>
          <w:highlight w:val="none"/>
        </w:rPr>
        <w:t>2.4 协助承包人办理证件和批件</w:t>
      </w:r>
      <w:bookmarkEnd w:id="819"/>
      <w:bookmarkEnd w:id="820"/>
      <w:bookmarkEnd w:id="821"/>
      <w:bookmarkEnd w:id="822"/>
      <w:bookmarkEnd w:id="823"/>
      <w:bookmarkEnd w:id="824"/>
      <w:bookmarkEnd w:id="825"/>
      <w:bookmarkEnd w:id="826"/>
    </w:p>
    <w:p w14:paraId="26975730">
      <w:pPr>
        <w:spacing w:line="360" w:lineRule="auto"/>
        <w:ind w:firstLine="420" w:firstLineChars="200"/>
        <w:rPr>
          <w:rFonts w:hint="eastAsia" w:ascii="宋体" w:hAnsi="宋体" w:cs="宋体"/>
          <w:highlight w:val="none"/>
        </w:rPr>
      </w:pPr>
      <w:r>
        <w:rPr>
          <w:rFonts w:hint="eastAsia" w:ascii="宋体" w:hAnsi="宋体" w:cs="宋体"/>
          <w:highlight w:val="none"/>
        </w:rPr>
        <w:t>发包人应协助承包人办理法律规定的有关施工证件和批件。</w:t>
      </w:r>
    </w:p>
    <w:p w14:paraId="16F896D8">
      <w:pPr>
        <w:spacing w:line="360" w:lineRule="auto"/>
        <w:rPr>
          <w:rFonts w:hint="eastAsia" w:ascii="宋体" w:hAnsi="宋体" w:cs="宋体"/>
          <w:highlight w:val="none"/>
        </w:rPr>
      </w:pPr>
      <w:bookmarkStart w:id="827" w:name="_Toc342296280"/>
      <w:bookmarkStart w:id="828" w:name="_Toc454359194"/>
      <w:bookmarkStart w:id="829" w:name="_Toc503536105"/>
      <w:bookmarkStart w:id="830" w:name="_Toc338944722"/>
      <w:r>
        <w:rPr>
          <w:rFonts w:hint="eastAsia" w:ascii="宋体" w:hAnsi="宋体" w:cs="宋体"/>
          <w:highlight w:val="none"/>
        </w:rPr>
        <w:t>2.5 组织设计交底</w:t>
      </w:r>
      <w:bookmarkEnd w:id="827"/>
      <w:bookmarkEnd w:id="828"/>
      <w:bookmarkEnd w:id="829"/>
      <w:bookmarkEnd w:id="830"/>
    </w:p>
    <w:p w14:paraId="59BF9E1B">
      <w:pPr>
        <w:spacing w:line="360" w:lineRule="auto"/>
        <w:ind w:firstLine="420" w:firstLineChars="200"/>
        <w:rPr>
          <w:rFonts w:hint="eastAsia" w:ascii="宋体" w:hAnsi="宋体" w:cs="宋体"/>
          <w:highlight w:val="none"/>
        </w:rPr>
      </w:pPr>
      <w:r>
        <w:rPr>
          <w:rFonts w:hint="eastAsia" w:ascii="宋体" w:hAnsi="宋体" w:cs="宋体"/>
          <w:highlight w:val="none"/>
        </w:rPr>
        <w:t>发包人应根据合同进度计划，组织设计单位向承包人进行设计交底。</w:t>
      </w:r>
    </w:p>
    <w:p w14:paraId="27215025">
      <w:pPr>
        <w:spacing w:line="360" w:lineRule="auto"/>
        <w:rPr>
          <w:rFonts w:hint="eastAsia" w:ascii="宋体" w:hAnsi="宋体" w:cs="宋体"/>
          <w:highlight w:val="none"/>
        </w:rPr>
      </w:pPr>
      <w:bookmarkStart w:id="831" w:name="_Toc338944723"/>
      <w:bookmarkStart w:id="832" w:name="_Toc342296281"/>
      <w:bookmarkStart w:id="833" w:name="_Toc503536106"/>
      <w:bookmarkStart w:id="834" w:name="_Toc454359195"/>
      <w:r>
        <w:rPr>
          <w:rFonts w:hint="eastAsia" w:ascii="宋体" w:hAnsi="宋体" w:cs="宋体"/>
          <w:highlight w:val="none"/>
        </w:rPr>
        <w:t>2.6 支付合同价款</w:t>
      </w:r>
      <w:bookmarkEnd w:id="831"/>
      <w:bookmarkEnd w:id="832"/>
      <w:bookmarkEnd w:id="833"/>
      <w:bookmarkEnd w:id="834"/>
    </w:p>
    <w:p w14:paraId="440C6938">
      <w:pPr>
        <w:spacing w:line="360" w:lineRule="auto"/>
        <w:ind w:firstLine="420" w:firstLineChars="200"/>
        <w:rPr>
          <w:rFonts w:hint="eastAsia" w:ascii="宋体" w:hAnsi="宋体" w:cs="宋体"/>
          <w:highlight w:val="none"/>
        </w:rPr>
      </w:pPr>
      <w:r>
        <w:rPr>
          <w:rFonts w:hint="eastAsia" w:ascii="宋体" w:hAnsi="宋体" w:cs="宋体"/>
          <w:highlight w:val="none"/>
        </w:rPr>
        <w:t>发包人应按合同约定向承包人及时支付合同价款。</w:t>
      </w:r>
    </w:p>
    <w:p w14:paraId="2B2D51A7">
      <w:pPr>
        <w:spacing w:line="360" w:lineRule="auto"/>
        <w:rPr>
          <w:rFonts w:hint="eastAsia" w:ascii="宋体" w:hAnsi="宋体" w:cs="宋体"/>
          <w:highlight w:val="none"/>
        </w:rPr>
      </w:pPr>
      <w:bookmarkStart w:id="835" w:name="_Toc338944724"/>
      <w:bookmarkStart w:id="836" w:name="_Toc152042409"/>
      <w:bookmarkStart w:id="837" w:name="_Toc179632649"/>
      <w:bookmarkStart w:id="838" w:name="_Toc152045631"/>
      <w:bookmarkStart w:id="839" w:name="_Toc503536107"/>
      <w:bookmarkStart w:id="840" w:name="_Toc454359196"/>
      <w:bookmarkStart w:id="841" w:name="_Toc144974599"/>
      <w:bookmarkStart w:id="842" w:name="_Toc342296282"/>
      <w:r>
        <w:rPr>
          <w:rFonts w:hint="eastAsia" w:ascii="宋体" w:hAnsi="宋体" w:cs="宋体"/>
          <w:highlight w:val="none"/>
        </w:rPr>
        <w:t>2.7 组织竣工验收</w:t>
      </w:r>
      <w:bookmarkEnd w:id="835"/>
      <w:bookmarkEnd w:id="836"/>
      <w:bookmarkEnd w:id="837"/>
      <w:bookmarkEnd w:id="838"/>
      <w:bookmarkEnd w:id="839"/>
      <w:bookmarkEnd w:id="840"/>
      <w:bookmarkEnd w:id="841"/>
      <w:bookmarkEnd w:id="842"/>
    </w:p>
    <w:p w14:paraId="04A23203">
      <w:pPr>
        <w:spacing w:line="360" w:lineRule="auto"/>
        <w:ind w:firstLine="420" w:firstLineChars="200"/>
        <w:rPr>
          <w:rFonts w:hint="eastAsia" w:ascii="宋体" w:hAnsi="宋体" w:cs="宋体"/>
          <w:highlight w:val="none"/>
        </w:rPr>
      </w:pPr>
      <w:r>
        <w:rPr>
          <w:rFonts w:hint="eastAsia" w:ascii="宋体" w:hAnsi="宋体" w:cs="宋体"/>
          <w:highlight w:val="none"/>
        </w:rPr>
        <w:t>发包人应按合同约定及时组织竣工验收。</w:t>
      </w:r>
    </w:p>
    <w:p w14:paraId="5D65555C">
      <w:pPr>
        <w:spacing w:line="360" w:lineRule="auto"/>
        <w:rPr>
          <w:rFonts w:hint="eastAsia" w:ascii="宋体" w:hAnsi="宋体" w:cs="宋体"/>
          <w:highlight w:val="none"/>
        </w:rPr>
      </w:pPr>
      <w:bookmarkStart w:id="843" w:name="_Toc342296283"/>
      <w:bookmarkStart w:id="844" w:name="_Toc454359197"/>
      <w:bookmarkStart w:id="845" w:name="_Toc338944725"/>
      <w:bookmarkStart w:id="846" w:name="_Toc503536108"/>
      <w:r>
        <w:rPr>
          <w:rFonts w:hint="eastAsia" w:ascii="宋体" w:hAnsi="宋体" w:cs="宋体"/>
          <w:highlight w:val="none"/>
        </w:rPr>
        <w:t>2.8 其他义务</w:t>
      </w:r>
      <w:bookmarkEnd w:id="843"/>
      <w:bookmarkEnd w:id="844"/>
      <w:bookmarkEnd w:id="845"/>
      <w:bookmarkEnd w:id="846"/>
    </w:p>
    <w:p w14:paraId="13889413">
      <w:pPr>
        <w:spacing w:line="360" w:lineRule="auto"/>
        <w:ind w:firstLine="420" w:firstLineChars="200"/>
        <w:rPr>
          <w:rFonts w:hint="eastAsia" w:ascii="宋体" w:hAnsi="宋体" w:cs="宋体"/>
          <w:highlight w:val="none"/>
        </w:rPr>
      </w:pPr>
      <w:r>
        <w:rPr>
          <w:rFonts w:hint="eastAsia" w:ascii="宋体" w:hAnsi="宋体" w:cs="宋体"/>
          <w:highlight w:val="none"/>
        </w:rPr>
        <w:t>发包人应履行合同约定的其他义务。</w:t>
      </w:r>
    </w:p>
    <w:p w14:paraId="79A554B9">
      <w:pPr>
        <w:rPr>
          <w:rFonts w:hint="eastAsia" w:ascii="宋体" w:hAnsi="宋体" w:cs="宋体"/>
          <w:highlight w:val="none"/>
        </w:rPr>
      </w:pPr>
      <w:bookmarkStart w:id="847" w:name="_Toc503536109"/>
      <w:bookmarkStart w:id="848" w:name="_Toc338944726"/>
      <w:bookmarkStart w:id="849" w:name="_Toc4157287"/>
      <w:bookmarkStart w:id="850" w:name="_Toc342296284"/>
      <w:bookmarkStart w:id="851" w:name="_Toc3656"/>
      <w:r>
        <w:rPr>
          <w:rFonts w:hint="eastAsia" w:ascii="宋体" w:hAnsi="宋体" w:cs="宋体"/>
          <w:highlight w:val="none"/>
        </w:rPr>
        <w:t>3. 监理人</w:t>
      </w:r>
      <w:bookmarkEnd w:id="847"/>
      <w:bookmarkEnd w:id="848"/>
      <w:bookmarkEnd w:id="849"/>
      <w:bookmarkEnd w:id="850"/>
      <w:bookmarkEnd w:id="851"/>
    </w:p>
    <w:p w14:paraId="56B02368">
      <w:pPr>
        <w:spacing w:line="360" w:lineRule="auto"/>
        <w:rPr>
          <w:rFonts w:hint="eastAsia" w:ascii="宋体" w:hAnsi="宋体" w:cs="宋体"/>
          <w:highlight w:val="none"/>
        </w:rPr>
      </w:pPr>
      <w:bookmarkStart w:id="852" w:name="_Toc338944727"/>
      <w:bookmarkStart w:id="853" w:name="_Toc503536110"/>
      <w:bookmarkStart w:id="854" w:name="_Toc342296285"/>
      <w:bookmarkStart w:id="855" w:name="_Toc454359199"/>
      <w:r>
        <w:rPr>
          <w:rFonts w:hint="eastAsia" w:ascii="宋体" w:hAnsi="宋体" w:cs="宋体"/>
          <w:highlight w:val="none"/>
        </w:rPr>
        <w:t>3.1 监理人的职责和权力</w:t>
      </w:r>
      <w:bookmarkEnd w:id="852"/>
      <w:bookmarkEnd w:id="853"/>
      <w:bookmarkEnd w:id="854"/>
      <w:bookmarkEnd w:id="855"/>
    </w:p>
    <w:p w14:paraId="3E4B43B1">
      <w:pPr>
        <w:spacing w:line="360" w:lineRule="auto"/>
        <w:ind w:firstLine="420" w:firstLineChars="200"/>
        <w:rPr>
          <w:rFonts w:hint="eastAsia" w:ascii="宋体" w:hAnsi="宋体" w:cs="宋体"/>
          <w:highlight w:val="none"/>
        </w:rPr>
      </w:pPr>
      <w:r>
        <w:rPr>
          <w:rFonts w:hint="eastAsia" w:ascii="宋体" w:hAnsi="宋体" w:cs="宋体"/>
          <w:highlight w:val="none"/>
        </w:rPr>
        <w:t>3.1.1 监理人受发包人委托，享有合同约定的权力。监理人在行使某项权力前需要经发包人事先批准而通用合同条款没有指明的，应在专用合同条款中指明。</w:t>
      </w:r>
    </w:p>
    <w:p w14:paraId="6870C141">
      <w:pPr>
        <w:spacing w:line="360" w:lineRule="auto"/>
        <w:ind w:firstLine="420" w:firstLineChars="200"/>
        <w:rPr>
          <w:rFonts w:hint="eastAsia" w:ascii="宋体" w:hAnsi="宋体" w:cs="宋体"/>
          <w:highlight w:val="none"/>
        </w:rPr>
      </w:pPr>
      <w:r>
        <w:rPr>
          <w:rFonts w:hint="eastAsia" w:ascii="宋体" w:hAnsi="宋体" w:cs="宋体"/>
          <w:highlight w:val="none"/>
        </w:rPr>
        <w:t>3.1.2 监理人发出的任何指示应视为已得到发包人的批准，但监理人无权免除或变更合同约定的发包人和承包人的权利、义务和责任。</w:t>
      </w:r>
    </w:p>
    <w:p w14:paraId="48B2C04A">
      <w:pPr>
        <w:spacing w:line="360" w:lineRule="auto"/>
        <w:ind w:firstLine="420" w:firstLineChars="200"/>
        <w:rPr>
          <w:rFonts w:hint="eastAsia" w:ascii="宋体" w:hAnsi="宋体" w:cs="宋体"/>
          <w:highlight w:val="none"/>
        </w:rPr>
      </w:pPr>
      <w:r>
        <w:rPr>
          <w:rFonts w:hint="eastAsia" w:ascii="宋体" w:hAnsi="宋体" w:cs="宋体"/>
          <w:highlight w:val="none"/>
        </w:rPr>
        <w:t>3.1.3 合同约定应由承包人承担的义务和责任，不因监理人对承包人提交文件的审查或批准，对工程、材料和设备的检查和检验，以及为实施监理作出的指示等职务行为而减轻或解除。</w:t>
      </w:r>
    </w:p>
    <w:p w14:paraId="0C87C362">
      <w:pPr>
        <w:spacing w:line="360" w:lineRule="auto"/>
        <w:rPr>
          <w:rFonts w:hint="eastAsia" w:ascii="宋体" w:hAnsi="宋体" w:cs="宋体"/>
          <w:highlight w:val="none"/>
        </w:rPr>
      </w:pPr>
      <w:bookmarkStart w:id="856" w:name="_Toc342296286"/>
      <w:bookmarkStart w:id="857" w:name="_Toc338944728"/>
      <w:bookmarkStart w:id="858" w:name="_Toc454359200"/>
      <w:bookmarkStart w:id="859" w:name="_Toc144974603"/>
      <w:bookmarkStart w:id="860" w:name="_Toc152045635"/>
      <w:bookmarkStart w:id="861" w:name="_Toc152042413"/>
      <w:bookmarkStart w:id="862" w:name="_Toc179632653"/>
      <w:bookmarkStart w:id="863" w:name="_Toc503536111"/>
      <w:r>
        <w:rPr>
          <w:rFonts w:hint="eastAsia" w:ascii="宋体" w:hAnsi="宋体" w:cs="宋体"/>
          <w:highlight w:val="none"/>
        </w:rPr>
        <w:t>3.2 总监理工程师</w:t>
      </w:r>
      <w:bookmarkEnd w:id="856"/>
      <w:bookmarkEnd w:id="857"/>
      <w:bookmarkEnd w:id="858"/>
      <w:bookmarkEnd w:id="859"/>
      <w:bookmarkEnd w:id="860"/>
      <w:bookmarkEnd w:id="861"/>
      <w:bookmarkEnd w:id="862"/>
      <w:bookmarkEnd w:id="863"/>
    </w:p>
    <w:p w14:paraId="4F5F3AAD">
      <w:pPr>
        <w:spacing w:line="360" w:lineRule="auto"/>
        <w:ind w:firstLine="420" w:firstLineChars="200"/>
        <w:rPr>
          <w:rFonts w:hint="eastAsia" w:ascii="宋体" w:hAnsi="宋体" w:cs="宋体"/>
          <w:highlight w:val="none"/>
        </w:rPr>
      </w:pPr>
      <w:r>
        <w:rPr>
          <w:rFonts w:hint="eastAsia" w:ascii="宋体" w:hAnsi="宋体" w:cs="宋体"/>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135AE1E8">
      <w:pPr>
        <w:spacing w:line="360" w:lineRule="auto"/>
        <w:rPr>
          <w:rFonts w:hint="eastAsia" w:ascii="宋体" w:hAnsi="宋体" w:cs="宋体"/>
          <w:highlight w:val="none"/>
        </w:rPr>
      </w:pPr>
      <w:bookmarkStart w:id="864" w:name="_Toc342296287"/>
      <w:bookmarkStart w:id="865" w:name="_Toc503536112"/>
      <w:bookmarkStart w:id="866" w:name="_Toc338944729"/>
      <w:bookmarkStart w:id="867" w:name="_Toc454359201"/>
      <w:r>
        <w:rPr>
          <w:rFonts w:hint="eastAsia" w:ascii="宋体" w:hAnsi="宋体" w:cs="宋体"/>
          <w:highlight w:val="none"/>
        </w:rPr>
        <w:t>3.3 监理人员</w:t>
      </w:r>
      <w:bookmarkEnd w:id="864"/>
      <w:bookmarkEnd w:id="865"/>
      <w:bookmarkEnd w:id="866"/>
      <w:bookmarkEnd w:id="867"/>
    </w:p>
    <w:p w14:paraId="209939B4">
      <w:pPr>
        <w:spacing w:line="360" w:lineRule="auto"/>
        <w:ind w:firstLine="420" w:firstLineChars="200"/>
        <w:rPr>
          <w:rFonts w:hint="eastAsia" w:ascii="宋体" w:hAnsi="宋体" w:cs="宋体"/>
          <w:highlight w:val="none"/>
        </w:rPr>
      </w:pPr>
      <w:r>
        <w:rPr>
          <w:rFonts w:hint="eastAsia" w:ascii="宋体" w:hAnsi="宋体" w:cs="宋体"/>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1477F9D">
      <w:pPr>
        <w:spacing w:line="360" w:lineRule="auto"/>
        <w:ind w:firstLine="420" w:firstLineChars="200"/>
        <w:rPr>
          <w:rFonts w:hint="eastAsia" w:ascii="宋体" w:hAnsi="宋体" w:cs="宋体"/>
          <w:highlight w:val="none"/>
        </w:rPr>
      </w:pPr>
      <w:r>
        <w:rPr>
          <w:rFonts w:hint="eastAsia" w:ascii="宋体" w:hAnsi="宋体" w:cs="宋体"/>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1EF77FFB">
      <w:pPr>
        <w:spacing w:line="360" w:lineRule="auto"/>
        <w:ind w:firstLine="420" w:firstLineChars="200"/>
        <w:rPr>
          <w:rFonts w:hint="eastAsia" w:ascii="宋体" w:hAnsi="宋体" w:cs="宋体"/>
          <w:highlight w:val="none"/>
        </w:rPr>
      </w:pPr>
      <w:r>
        <w:rPr>
          <w:rFonts w:hint="eastAsia" w:ascii="宋体" w:hAnsi="宋体" w:cs="宋体"/>
          <w:highlight w:val="none"/>
        </w:rPr>
        <w:t>3.3.3 承包人对总监理工程师授权的监理人员发出的指示有疑问的，可向总监理工程师提出书面异议，总监理工程师应在48小时内对该指示予以确认、更改或撤销。</w:t>
      </w:r>
    </w:p>
    <w:p w14:paraId="17F580C6">
      <w:pPr>
        <w:spacing w:line="360" w:lineRule="auto"/>
        <w:ind w:firstLine="420" w:firstLineChars="200"/>
        <w:rPr>
          <w:rFonts w:hint="eastAsia" w:ascii="宋体" w:hAnsi="宋体" w:cs="宋体"/>
          <w:highlight w:val="none"/>
        </w:rPr>
      </w:pPr>
      <w:r>
        <w:rPr>
          <w:rFonts w:hint="eastAsia" w:ascii="宋体" w:hAnsi="宋体" w:cs="宋体"/>
          <w:highlight w:val="none"/>
        </w:rPr>
        <w:t>3.3.4 除专用合同条款另有约定外，总监理工程师不应将第3.5款约定应由总监理工程师作出确定的权力授权或委托给其他监理人员。</w:t>
      </w:r>
    </w:p>
    <w:p w14:paraId="4059F56F">
      <w:pPr>
        <w:spacing w:line="360" w:lineRule="auto"/>
        <w:rPr>
          <w:rFonts w:hint="eastAsia" w:ascii="宋体" w:hAnsi="宋体" w:cs="宋体"/>
          <w:highlight w:val="none"/>
        </w:rPr>
      </w:pPr>
      <w:bookmarkStart w:id="868" w:name="_Toc342296288"/>
      <w:bookmarkStart w:id="869" w:name="_Toc503536113"/>
      <w:bookmarkStart w:id="870" w:name="_Toc454359202"/>
      <w:bookmarkStart w:id="871" w:name="_Toc338944730"/>
      <w:r>
        <w:rPr>
          <w:rFonts w:hint="eastAsia" w:ascii="宋体" w:hAnsi="宋体" w:cs="宋体"/>
          <w:highlight w:val="none"/>
        </w:rPr>
        <w:t>3.4 监理人的指示</w:t>
      </w:r>
      <w:bookmarkEnd w:id="868"/>
      <w:bookmarkEnd w:id="869"/>
      <w:bookmarkEnd w:id="870"/>
      <w:bookmarkEnd w:id="871"/>
    </w:p>
    <w:p w14:paraId="5629846E">
      <w:pPr>
        <w:spacing w:line="360" w:lineRule="auto"/>
        <w:ind w:firstLine="404" w:firstLineChars="200"/>
        <w:rPr>
          <w:rFonts w:hint="eastAsia" w:ascii="宋体" w:hAnsi="宋体" w:cs="宋体"/>
          <w:highlight w:val="none"/>
        </w:rPr>
      </w:pPr>
      <w:r>
        <w:rPr>
          <w:rFonts w:hint="eastAsia" w:ascii="宋体" w:hAnsi="宋体" w:cs="宋体"/>
          <w:spacing w:val="-4"/>
          <w:highlight w:val="none"/>
        </w:rPr>
        <w:t>3.4.1 监理人应按第3.1款的约定向承包人发出指示，监理人的指示应盖有监理人授权的施工场地机构章，并由总监理工程师或总监理工程师按第3.3.1项约定授权的监理人员签字。</w:t>
      </w:r>
    </w:p>
    <w:p w14:paraId="11CA5963">
      <w:pPr>
        <w:spacing w:line="360" w:lineRule="auto"/>
        <w:ind w:firstLine="420" w:firstLineChars="200"/>
        <w:rPr>
          <w:rFonts w:hint="eastAsia" w:ascii="宋体" w:hAnsi="宋体" w:cs="宋体"/>
          <w:highlight w:val="none"/>
        </w:rPr>
      </w:pPr>
      <w:r>
        <w:rPr>
          <w:rFonts w:hint="eastAsia" w:ascii="宋体" w:hAnsi="宋体" w:cs="宋体"/>
          <w:highlight w:val="none"/>
        </w:rPr>
        <w:t>3.4.2 承包人收到监理人按第3.4.1项作出的指示后应遵照执行。指示构成变更的，应按第15条处理。</w:t>
      </w:r>
    </w:p>
    <w:p w14:paraId="1AD3F43F">
      <w:pPr>
        <w:spacing w:line="360" w:lineRule="auto"/>
        <w:ind w:firstLine="420" w:firstLineChars="200"/>
        <w:rPr>
          <w:rFonts w:hint="eastAsia" w:ascii="宋体" w:hAnsi="宋体" w:cs="宋体"/>
          <w:highlight w:val="none"/>
        </w:rPr>
      </w:pPr>
      <w:r>
        <w:rPr>
          <w:rFonts w:hint="eastAsia" w:ascii="宋体" w:hAnsi="宋体" w:cs="宋体"/>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04DE117">
      <w:pPr>
        <w:spacing w:line="360" w:lineRule="auto"/>
        <w:ind w:firstLine="420" w:firstLineChars="200"/>
        <w:rPr>
          <w:rFonts w:hint="eastAsia" w:ascii="宋体" w:hAnsi="宋体" w:cs="宋体"/>
          <w:highlight w:val="none"/>
        </w:rPr>
      </w:pPr>
      <w:r>
        <w:rPr>
          <w:rFonts w:hint="eastAsia" w:ascii="宋体" w:hAnsi="宋体" w:cs="宋体"/>
          <w:highlight w:val="none"/>
        </w:rPr>
        <w:t>3.4.4 除合同另有约定外，承包人只从总监理工程师或按第3.3.1项被授权的监理人员处取得指示。</w:t>
      </w:r>
    </w:p>
    <w:p w14:paraId="56C0FEC7">
      <w:pPr>
        <w:spacing w:line="360" w:lineRule="auto"/>
        <w:ind w:firstLine="420" w:firstLineChars="200"/>
        <w:rPr>
          <w:rFonts w:hint="eastAsia" w:ascii="宋体" w:hAnsi="宋体" w:cs="宋体"/>
          <w:highlight w:val="none"/>
        </w:rPr>
      </w:pPr>
      <w:r>
        <w:rPr>
          <w:rFonts w:hint="eastAsia" w:ascii="宋体" w:hAnsi="宋体" w:cs="宋体"/>
          <w:highlight w:val="none"/>
        </w:rPr>
        <w:t xml:space="preserve">3.4.5 由于监理人未能按合同约定发出指示、指示延误或指示错误而导致承包人费用增加和（或）工期延误的，由发包人承担赔偿责任。 </w:t>
      </w:r>
    </w:p>
    <w:p w14:paraId="44FB06D0">
      <w:pPr>
        <w:spacing w:line="360" w:lineRule="auto"/>
        <w:rPr>
          <w:rFonts w:hint="eastAsia" w:ascii="宋体" w:hAnsi="宋体" w:cs="宋体"/>
          <w:highlight w:val="none"/>
        </w:rPr>
      </w:pPr>
      <w:bookmarkStart w:id="872" w:name="_Toc503536114"/>
      <w:bookmarkStart w:id="873" w:name="_Toc338944731"/>
      <w:bookmarkStart w:id="874" w:name="_Toc144974606"/>
      <w:bookmarkStart w:id="875" w:name="_Toc342296289"/>
      <w:bookmarkStart w:id="876" w:name="_Toc454359203"/>
      <w:bookmarkStart w:id="877" w:name="_Toc179632656"/>
      <w:bookmarkStart w:id="878" w:name="_Toc152042416"/>
      <w:bookmarkStart w:id="879" w:name="_Toc152045638"/>
      <w:r>
        <w:rPr>
          <w:rFonts w:hint="eastAsia" w:ascii="宋体" w:hAnsi="宋体" w:cs="宋体"/>
          <w:highlight w:val="none"/>
        </w:rPr>
        <w:t>3.5 商定或确定</w:t>
      </w:r>
      <w:bookmarkEnd w:id="872"/>
      <w:bookmarkEnd w:id="873"/>
      <w:bookmarkEnd w:id="874"/>
      <w:bookmarkEnd w:id="875"/>
      <w:bookmarkEnd w:id="876"/>
      <w:bookmarkEnd w:id="877"/>
      <w:bookmarkEnd w:id="878"/>
      <w:bookmarkEnd w:id="879"/>
    </w:p>
    <w:p w14:paraId="6D413054">
      <w:pPr>
        <w:spacing w:line="360" w:lineRule="auto"/>
        <w:ind w:firstLine="404" w:firstLineChars="200"/>
        <w:rPr>
          <w:rFonts w:hint="eastAsia" w:ascii="宋体" w:hAnsi="宋体" w:cs="宋体"/>
          <w:highlight w:val="none"/>
        </w:rPr>
      </w:pPr>
      <w:r>
        <w:rPr>
          <w:rFonts w:hint="eastAsia" w:ascii="宋体" w:hAnsi="宋体" w:cs="宋体"/>
          <w:spacing w:val="-4"/>
          <w:highlight w:val="none"/>
        </w:rPr>
        <w:t>3.5.1合同约定总监理工程师应按照本款对任何事项进行商定或确定时，总监理工程师应与合同当事人协商，尽量达成一致。不能达成一致的，总监理工程师应认真研究后审慎确定。</w:t>
      </w:r>
    </w:p>
    <w:p w14:paraId="78E7ED64">
      <w:pPr>
        <w:spacing w:line="360" w:lineRule="auto"/>
        <w:ind w:firstLine="420" w:firstLineChars="200"/>
        <w:rPr>
          <w:rFonts w:hint="eastAsia" w:ascii="宋体" w:hAnsi="宋体" w:cs="宋体"/>
          <w:highlight w:val="none"/>
        </w:rPr>
      </w:pPr>
      <w:r>
        <w:rPr>
          <w:rFonts w:hint="eastAsia" w:ascii="宋体" w:hAnsi="宋体" w:cs="宋体"/>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48AFE4D">
      <w:pPr>
        <w:rPr>
          <w:rFonts w:hint="eastAsia" w:ascii="宋体" w:hAnsi="宋体" w:cs="宋体"/>
          <w:highlight w:val="none"/>
        </w:rPr>
      </w:pPr>
      <w:bookmarkStart w:id="880" w:name="_Toc338944732"/>
      <w:bookmarkStart w:id="881" w:name="_Toc29661"/>
      <w:bookmarkStart w:id="882" w:name="_Toc4157288"/>
      <w:bookmarkStart w:id="883" w:name="_Toc503536115"/>
      <w:bookmarkStart w:id="884" w:name="_Toc342296290"/>
      <w:r>
        <w:rPr>
          <w:rFonts w:hint="eastAsia" w:ascii="宋体" w:hAnsi="宋体" w:cs="宋体"/>
          <w:highlight w:val="none"/>
        </w:rPr>
        <w:t>4. 承包人</w:t>
      </w:r>
      <w:bookmarkEnd w:id="880"/>
      <w:bookmarkEnd w:id="881"/>
      <w:bookmarkEnd w:id="882"/>
      <w:bookmarkEnd w:id="883"/>
      <w:bookmarkEnd w:id="884"/>
    </w:p>
    <w:p w14:paraId="134ABC3F">
      <w:pPr>
        <w:spacing w:line="360" w:lineRule="auto"/>
        <w:rPr>
          <w:rFonts w:hint="eastAsia" w:ascii="宋体" w:hAnsi="宋体" w:cs="宋体"/>
          <w:highlight w:val="none"/>
        </w:rPr>
      </w:pPr>
      <w:bookmarkStart w:id="885" w:name="_Toc454359205"/>
      <w:bookmarkStart w:id="886" w:name="_Toc503536116"/>
      <w:bookmarkStart w:id="887" w:name="_Toc338944733"/>
      <w:bookmarkStart w:id="888" w:name="_Toc342296291"/>
      <w:r>
        <w:rPr>
          <w:rFonts w:hint="eastAsia" w:ascii="宋体" w:hAnsi="宋体" w:cs="宋体"/>
          <w:highlight w:val="none"/>
        </w:rPr>
        <w:t>4.1 承包人的一般义务</w:t>
      </w:r>
      <w:bookmarkEnd w:id="885"/>
      <w:bookmarkEnd w:id="886"/>
      <w:bookmarkEnd w:id="887"/>
      <w:bookmarkEnd w:id="888"/>
    </w:p>
    <w:p w14:paraId="3524827F">
      <w:pPr>
        <w:spacing w:line="360" w:lineRule="auto"/>
        <w:ind w:firstLine="420" w:firstLineChars="200"/>
        <w:rPr>
          <w:rFonts w:hint="eastAsia" w:ascii="宋体" w:hAnsi="宋体" w:cs="宋体"/>
          <w:highlight w:val="none"/>
        </w:rPr>
      </w:pPr>
      <w:r>
        <w:rPr>
          <w:rFonts w:hint="eastAsia" w:ascii="宋体" w:hAnsi="宋体" w:cs="宋体"/>
          <w:highlight w:val="none"/>
        </w:rPr>
        <w:t>4.1.1 遵守法律</w:t>
      </w:r>
    </w:p>
    <w:p w14:paraId="54AF1229">
      <w:pPr>
        <w:spacing w:line="360" w:lineRule="auto"/>
        <w:ind w:firstLine="420" w:firstLineChars="200"/>
        <w:rPr>
          <w:rFonts w:hint="eastAsia" w:ascii="宋体" w:hAnsi="宋体" w:cs="宋体"/>
          <w:highlight w:val="none"/>
        </w:rPr>
      </w:pPr>
      <w:r>
        <w:rPr>
          <w:rFonts w:hint="eastAsia" w:ascii="宋体" w:hAnsi="宋体" w:cs="宋体"/>
          <w:highlight w:val="none"/>
        </w:rPr>
        <w:t>承包人在履行合同过程中应遵守法律，并保证发包人免于承担因承包人违反法律而引起的任何责任。</w:t>
      </w:r>
    </w:p>
    <w:p w14:paraId="5B58886F">
      <w:pPr>
        <w:spacing w:line="360" w:lineRule="auto"/>
        <w:ind w:firstLine="420" w:firstLineChars="200"/>
        <w:rPr>
          <w:rFonts w:hint="eastAsia" w:ascii="宋体" w:hAnsi="宋体" w:cs="宋体"/>
          <w:highlight w:val="none"/>
        </w:rPr>
      </w:pPr>
      <w:r>
        <w:rPr>
          <w:rFonts w:hint="eastAsia" w:ascii="宋体" w:hAnsi="宋体" w:cs="宋体"/>
          <w:highlight w:val="none"/>
        </w:rPr>
        <w:t>4.1.2 依法纳税</w:t>
      </w:r>
    </w:p>
    <w:p w14:paraId="6E76E67C">
      <w:pPr>
        <w:spacing w:line="360" w:lineRule="auto"/>
        <w:ind w:firstLine="420" w:firstLineChars="200"/>
        <w:rPr>
          <w:rFonts w:hint="eastAsia" w:ascii="宋体" w:hAnsi="宋体" w:cs="宋体"/>
          <w:highlight w:val="none"/>
        </w:rPr>
      </w:pPr>
      <w:r>
        <w:rPr>
          <w:rFonts w:hint="eastAsia" w:ascii="宋体" w:hAnsi="宋体" w:cs="宋体"/>
          <w:highlight w:val="none"/>
        </w:rPr>
        <w:t>承包人应按有关法律规定纳税，应缴纳的税金包括在合同价格内。</w:t>
      </w:r>
    </w:p>
    <w:p w14:paraId="62750CEB">
      <w:pPr>
        <w:spacing w:line="360" w:lineRule="auto"/>
        <w:ind w:firstLine="420" w:firstLineChars="200"/>
        <w:rPr>
          <w:rFonts w:hint="eastAsia" w:ascii="宋体" w:hAnsi="宋体" w:cs="宋体"/>
          <w:highlight w:val="none"/>
        </w:rPr>
      </w:pPr>
      <w:r>
        <w:rPr>
          <w:rFonts w:hint="eastAsia" w:ascii="宋体" w:hAnsi="宋体" w:cs="宋体"/>
          <w:highlight w:val="none"/>
        </w:rPr>
        <w:t>4.1.3 完成各项承包工作</w:t>
      </w:r>
    </w:p>
    <w:p w14:paraId="3F7D8689">
      <w:pPr>
        <w:spacing w:line="360" w:lineRule="auto"/>
        <w:ind w:firstLine="420" w:firstLineChars="200"/>
        <w:rPr>
          <w:rFonts w:hint="eastAsia" w:ascii="宋体" w:hAnsi="宋体" w:cs="宋体"/>
          <w:highlight w:val="none"/>
        </w:rPr>
      </w:pPr>
      <w:r>
        <w:rPr>
          <w:rFonts w:hint="eastAsia" w:ascii="宋体" w:hAnsi="宋体" w:cs="宋体"/>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4D9F1694">
      <w:pPr>
        <w:spacing w:line="360" w:lineRule="auto"/>
        <w:ind w:firstLine="420" w:firstLineChars="200"/>
        <w:rPr>
          <w:rFonts w:hint="eastAsia" w:ascii="宋体" w:hAnsi="宋体" w:cs="宋体"/>
          <w:highlight w:val="none"/>
        </w:rPr>
      </w:pPr>
      <w:r>
        <w:rPr>
          <w:rFonts w:hint="eastAsia" w:ascii="宋体" w:hAnsi="宋体" w:cs="宋体"/>
          <w:highlight w:val="none"/>
        </w:rPr>
        <w:t>4.1.4 对施工作业和施工方法的完备性负责</w:t>
      </w:r>
    </w:p>
    <w:p w14:paraId="6B31F950">
      <w:pPr>
        <w:spacing w:line="360" w:lineRule="auto"/>
        <w:ind w:firstLine="420" w:firstLineChars="200"/>
        <w:rPr>
          <w:rFonts w:hint="eastAsia" w:ascii="宋体" w:hAnsi="宋体" w:cs="宋体"/>
          <w:highlight w:val="none"/>
        </w:rPr>
      </w:pPr>
      <w:r>
        <w:rPr>
          <w:rFonts w:hint="eastAsia" w:ascii="宋体" w:hAnsi="宋体" w:cs="宋体"/>
          <w:highlight w:val="none"/>
        </w:rPr>
        <w:t>承包人应按合同约定的工作内容和施工进度要求，编制施工组织设计和施工措施计划，并对所有施工作业和施工方法的完备性和安全可靠性负责。</w:t>
      </w:r>
    </w:p>
    <w:p w14:paraId="77367230">
      <w:pPr>
        <w:spacing w:line="360" w:lineRule="auto"/>
        <w:ind w:firstLine="420" w:firstLineChars="200"/>
        <w:rPr>
          <w:rFonts w:hint="eastAsia" w:ascii="宋体" w:hAnsi="宋体" w:cs="宋体"/>
          <w:highlight w:val="none"/>
        </w:rPr>
      </w:pPr>
      <w:r>
        <w:rPr>
          <w:rFonts w:hint="eastAsia" w:ascii="宋体" w:hAnsi="宋体" w:cs="宋体"/>
          <w:highlight w:val="none"/>
        </w:rPr>
        <w:t>4.1.5 保证工程施工和人员的安全</w:t>
      </w:r>
    </w:p>
    <w:p w14:paraId="7EC78CA7">
      <w:pPr>
        <w:spacing w:line="360" w:lineRule="auto"/>
        <w:ind w:firstLine="420" w:firstLineChars="200"/>
        <w:rPr>
          <w:rFonts w:hint="eastAsia" w:ascii="宋体" w:hAnsi="宋体" w:cs="宋体"/>
          <w:highlight w:val="none"/>
        </w:rPr>
      </w:pPr>
      <w:r>
        <w:rPr>
          <w:rFonts w:hint="eastAsia" w:ascii="宋体" w:hAnsi="宋体" w:cs="宋体"/>
          <w:highlight w:val="none"/>
        </w:rPr>
        <w:t>承包人应按第9.2款约定采取施工安全措施，确保工程及其人员、材料、设备和设施的安全，防止因工程施工造成的人身伤害和财产损失。</w:t>
      </w:r>
    </w:p>
    <w:p w14:paraId="486BCE31">
      <w:pPr>
        <w:spacing w:line="360" w:lineRule="auto"/>
        <w:ind w:firstLine="420" w:firstLineChars="200"/>
        <w:rPr>
          <w:rFonts w:hint="eastAsia" w:ascii="宋体" w:hAnsi="宋体" w:cs="宋体"/>
          <w:highlight w:val="none"/>
        </w:rPr>
      </w:pPr>
      <w:r>
        <w:rPr>
          <w:rFonts w:hint="eastAsia" w:ascii="宋体" w:hAnsi="宋体" w:cs="宋体"/>
          <w:highlight w:val="none"/>
        </w:rPr>
        <w:t>4.1.6 负责施工场地及其周边环境与生态的保护工作</w:t>
      </w:r>
    </w:p>
    <w:p w14:paraId="6AD1FA73">
      <w:pPr>
        <w:spacing w:line="360" w:lineRule="auto"/>
        <w:ind w:firstLine="420" w:firstLineChars="200"/>
        <w:rPr>
          <w:rFonts w:hint="eastAsia" w:ascii="宋体" w:hAnsi="宋体" w:cs="宋体"/>
          <w:highlight w:val="none"/>
        </w:rPr>
      </w:pPr>
      <w:r>
        <w:rPr>
          <w:rFonts w:hint="eastAsia" w:ascii="宋体" w:hAnsi="宋体" w:cs="宋体"/>
          <w:highlight w:val="none"/>
        </w:rPr>
        <w:t>承包人应按照第9.4款约定负责施工场地及其周边环境与生态的保护工作。</w:t>
      </w:r>
    </w:p>
    <w:p w14:paraId="14820704">
      <w:pPr>
        <w:spacing w:line="360" w:lineRule="auto"/>
        <w:ind w:firstLine="420" w:firstLineChars="200"/>
        <w:rPr>
          <w:rFonts w:hint="eastAsia" w:ascii="宋体" w:hAnsi="宋体" w:cs="宋体"/>
          <w:highlight w:val="none"/>
        </w:rPr>
      </w:pPr>
      <w:r>
        <w:rPr>
          <w:rFonts w:hint="eastAsia" w:ascii="宋体" w:hAnsi="宋体" w:cs="宋体"/>
          <w:highlight w:val="none"/>
        </w:rPr>
        <w:t>4.1.7 避免施工对公众与他人的利益造成损害</w:t>
      </w:r>
    </w:p>
    <w:p w14:paraId="5B53D408">
      <w:pPr>
        <w:spacing w:line="360" w:lineRule="auto"/>
        <w:ind w:firstLine="420" w:firstLineChars="200"/>
        <w:rPr>
          <w:rFonts w:hint="eastAsia" w:ascii="宋体" w:hAnsi="宋体" w:cs="宋体"/>
          <w:highlight w:val="none"/>
        </w:rPr>
      </w:pPr>
      <w:r>
        <w:rPr>
          <w:rFonts w:hint="eastAsia" w:ascii="宋体" w:hAnsi="宋体" w:cs="宋体"/>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9FA1DDC">
      <w:pPr>
        <w:spacing w:line="360" w:lineRule="auto"/>
        <w:ind w:firstLine="420" w:firstLineChars="200"/>
        <w:rPr>
          <w:rFonts w:hint="eastAsia" w:ascii="宋体" w:hAnsi="宋体" w:cs="宋体"/>
          <w:highlight w:val="none"/>
        </w:rPr>
      </w:pPr>
      <w:r>
        <w:rPr>
          <w:rFonts w:hint="eastAsia" w:ascii="宋体" w:hAnsi="宋体" w:cs="宋体"/>
          <w:highlight w:val="none"/>
        </w:rPr>
        <w:t>4.1.8 为他人提供方便</w:t>
      </w:r>
    </w:p>
    <w:p w14:paraId="4B584A6D">
      <w:pPr>
        <w:spacing w:line="360" w:lineRule="auto"/>
        <w:ind w:firstLine="420" w:firstLineChars="200"/>
        <w:rPr>
          <w:rFonts w:hint="eastAsia" w:ascii="宋体" w:hAnsi="宋体" w:cs="宋体"/>
          <w:highlight w:val="none"/>
        </w:rPr>
      </w:pPr>
      <w:r>
        <w:rPr>
          <w:rFonts w:hint="eastAsia" w:ascii="宋体" w:hAnsi="宋体" w:cs="宋体"/>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152C18B5">
      <w:pPr>
        <w:spacing w:line="360" w:lineRule="auto"/>
        <w:ind w:firstLine="420" w:firstLineChars="200"/>
        <w:rPr>
          <w:rFonts w:hint="eastAsia" w:ascii="宋体" w:hAnsi="宋体" w:cs="宋体"/>
          <w:highlight w:val="none"/>
        </w:rPr>
      </w:pPr>
      <w:r>
        <w:rPr>
          <w:rFonts w:hint="eastAsia" w:ascii="宋体" w:hAnsi="宋体" w:cs="宋体"/>
          <w:highlight w:val="none"/>
        </w:rPr>
        <w:t>4.1.9 工程的维护和照管</w:t>
      </w:r>
    </w:p>
    <w:p w14:paraId="57BC9AD0">
      <w:pPr>
        <w:spacing w:line="360" w:lineRule="auto"/>
        <w:ind w:firstLine="408" w:firstLineChars="200"/>
        <w:rPr>
          <w:rFonts w:hint="eastAsia" w:ascii="宋体" w:hAnsi="宋体" w:cs="宋体"/>
          <w:highlight w:val="none"/>
        </w:rPr>
      </w:pPr>
      <w:r>
        <w:rPr>
          <w:rFonts w:hint="eastAsia" w:ascii="宋体" w:hAnsi="宋体" w:cs="宋体"/>
          <w:spacing w:val="-3"/>
          <w:highlight w:val="none"/>
        </w:rPr>
        <w:t>工程接收证书颁发前，承包人应负责照管和维护工程。工程接收证书颁发时尚有部分未竣工工程的，承包人还应负责该未竣工工程的照管和维护工作，直至竣工后移交给发包人为止</w:t>
      </w:r>
      <w:r>
        <w:rPr>
          <w:rFonts w:hint="eastAsia" w:ascii="宋体" w:hAnsi="宋体" w:cs="宋体"/>
          <w:highlight w:val="none"/>
        </w:rPr>
        <w:t>。</w:t>
      </w:r>
    </w:p>
    <w:p w14:paraId="798C0D34">
      <w:pPr>
        <w:spacing w:line="360" w:lineRule="auto"/>
        <w:ind w:firstLine="420" w:firstLineChars="200"/>
        <w:rPr>
          <w:rFonts w:hint="eastAsia" w:ascii="宋体" w:hAnsi="宋体" w:cs="宋体"/>
          <w:highlight w:val="none"/>
        </w:rPr>
      </w:pPr>
      <w:r>
        <w:rPr>
          <w:rFonts w:hint="eastAsia" w:ascii="宋体" w:hAnsi="宋体" w:cs="宋体"/>
          <w:highlight w:val="none"/>
        </w:rPr>
        <w:t>4.1.10 其他义务</w:t>
      </w:r>
    </w:p>
    <w:p w14:paraId="0CE37676">
      <w:pPr>
        <w:spacing w:line="360" w:lineRule="auto"/>
        <w:ind w:firstLine="420" w:firstLineChars="200"/>
        <w:rPr>
          <w:rFonts w:hint="eastAsia" w:ascii="宋体" w:hAnsi="宋体" w:cs="宋体"/>
          <w:highlight w:val="none"/>
        </w:rPr>
      </w:pPr>
      <w:r>
        <w:rPr>
          <w:rFonts w:hint="eastAsia" w:ascii="宋体" w:hAnsi="宋体" w:cs="宋体"/>
          <w:highlight w:val="none"/>
        </w:rPr>
        <w:t>承包人应履行合同约定的其他义务。</w:t>
      </w:r>
    </w:p>
    <w:p w14:paraId="0D443602">
      <w:pPr>
        <w:spacing w:line="360" w:lineRule="auto"/>
        <w:rPr>
          <w:rFonts w:hint="eastAsia" w:ascii="宋体" w:hAnsi="宋体" w:cs="宋体"/>
          <w:highlight w:val="none"/>
        </w:rPr>
      </w:pPr>
      <w:bookmarkStart w:id="889" w:name="_Toc454359206"/>
      <w:bookmarkStart w:id="890" w:name="_Toc152042419"/>
      <w:bookmarkStart w:id="891" w:name="_Toc152045641"/>
      <w:bookmarkStart w:id="892" w:name="_Toc338944734"/>
      <w:bookmarkStart w:id="893" w:name="_Toc179632659"/>
      <w:bookmarkStart w:id="894" w:name="_Toc503536117"/>
      <w:bookmarkStart w:id="895" w:name="_Toc144974609"/>
      <w:bookmarkStart w:id="896" w:name="_Toc342296292"/>
      <w:r>
        <w:rPr>
          <w:rFonts w:hint="eastAsia" w:ascii="宋体" w:hAnsi="宋体" w:cs="宋体"/>
          <w:highlight w:val="none"/>
        </w:rPr>
        <w:t>4.2 履约担保</w:t>
      </w:r>
      <w:bookmarkEnd w:id="889"/>
      <w:bookmarkEnd w:id="890"/>
      <w:bookmarkEnd w:id="891"/>
      <w:bookmarkEnd w:id="892"/>
      <w:bookmarkEnd w:id="893"/>
      <w:bookmarkEnd w:id="894"/>
      <w:bookmarkEnd w:id="895"/>
      <w:bookmarkEnd w:id="896"/>
    </w:p>
    <w:p w14:paraId="0CD8937E">
      <w:pPr>
        <w:spacing w:line="360" w:lineRule="auto"/>
        <w:ind w:firstLine="420" w:firstLineChars="200"/>
        <w:rPr>
          <w:rFonts w:hint="eastAsia" w:ascii="宋体" w:hAnsi="宋体" w:cs="宋体"/>
          <w:highlight w:val="none"/>
        </w:rPr>
      </w:pPr>
      <w:r>
        <w:rPr>
          <w:rFonts w:hint="eastAsia" w:ascii="宋体" w:hAnsi="宋体" w:cs="宋体"/>
          <w:highlight w:val="none"/>
        </w:rPr>
        <w:t>承包人应保证其履约担保在发包人颁发工程接收证书前一直有效。发包人应在工程接收证书颁发后28天内把履约担保退还给承包人。</w:t>
      </w:r>
    </w:p>
    <w:p w14:paraId="6B9EF50E">
      <w:pPr>
        <w:spacing w:line="360" w:lineRule="auto"/>
        <w:rPr>
          <w:rFonts w:hint="eastAsia" w:ascii="宋体" w:hAnsi="宋体" w:cs="宋体"/>
          <w:highlight w:val="none"/>
        </w:rPr>
      </w:pPr>
      <w:bookmarkStart w:id="897" w:name="_Toc342296293"/>
      <w:bookmarkStart w:id="898" w:name="_Toc454359207"/>
      <w:bookmarkStart w:id="899" w:name="_Toc338944735"/>
      <w:bookmarkStart w:id="900" w:name="_Toc503536118"/>
      <w:r>
        <w:rPr>
          <w:rFonts w:hint="eastAsia" w:ascii="宋体" w:hAnsi="宋体" w:cs="宋体"/>
          <w:highlight w:val="none"/>
        </w:rPr>
        <w:t>4.3 分包</w:t>
      </w:r>
      <w:bookmarkEnd w:id="897"/>
      <w:bookmarkEnd w:id="898"/>
      <w:bookmarkEnd w:id="899"/>
      <w:bookmarkEnd w:id="900"/>
    </w:p>
    <w:p w14:paraId="4C2C0156">
      <w:pPr>
        <w:spacing w:line="360" w:lineRule="auto"/>
        <w:ind w:firstLine="420" w:firstLineChars="200"/>
        <w:rPr>
          <w:rFonts w:hint="eastAsia" w:ascii="宋体" w:hAnsi="宋体" w:cs="宋体"/>
          <w:highlight w:val="none"/>
        </w:rPr>
      </w:pPr>
      <w:r>
        <w:rPr>
          <w:rFonts w:hint="eastAsia" w:ascii="宋体" w:hAnsi="宋体" w:cs="宋体"/>
          <w:highlight w:val="none"/>
        </w:rPr>
        <w:t>4.3.1 承包人不得将其承包的全部工程转包给第三人，或将其承包的全部工程肢解后以分包的名义转包给第三人。</w:t>
      </w:r>
    </w:p>
    <w:p w14:paraId="4F3C25C5">
      <w:pPr>
        <w:spacing w:line="360" w:lineRule="auto"/>
        <w:ind w:firstLine="420" w:firstLineChars="200"/>
        <w:rPr>
          <w:rFonts w:hint="eastAsia" w:ascii="宋体" w:hAnsi="宋体" w:cs="宋体"/>
          <w:highlight w:val="none"/>
        </w:rPr>
      </w:pPr>
      <w:r>
        <w:rPr>
          <w:rFonts w:hint="eastAsia" w:ascii="宋体" w:hAnsi="宋体" w:cs="宋体"/>
          <w:highlight w:val="none"/>
        </w:rPr>
        <w:t>4.3.2 承包人不得将工程主体、关键性工作分包给第三人。除专用合同条款另有约定外，未经发包人同意，承包人不得将工程的其他部分或工作分包给第三人。</w:t>
      </w:r>
    </w:p>
    <w:p w14:paraId="5181D520">
      <w:pPr>
        <w:spacing w:line="360" w:lineRule="auto"/>
        <w:ind w:firstLine="420" w:firstLineChars="200"/>
        <w:rPr>
          <w:rFonts w:hint="eastAsia" w:ascii="宋体" w:hAnsi="宋体" w:cs="宋体"/>
          <w:highlight w:val="none"/>
        </w:rPr>
      </w:pPr>
      <w:r>
        <w:rPr>
          <w:rFonts w:hint="eastAsia" w:ascii="宋体" w:hAnsi="宋体" w:cs="宋体"/>
          <w:highlight w:val="none"/>
        </w:rPr>
        <w:t>4.3.3 分包人的资格能力应与其分包工程的标准和规模相适应。</w:t>
      </w:r>
    </w:p>
    <w:p w14:paraId="7CDA0F4D">
      <w:pPr>
        <w:spacing w:line="360" w:lineRule="auto"/>
        <w:ind w:firstLine="420" w:firstLineChars="200"/>
        <w:rPr>
          <w:rFonts w:hint="eastAsia" w:ascii="宋体" w:hAnsi="宋体" w:cs="宋体"/>
          <w:highlight w:val="none"/>
        </w:rPr>
      </w:pPr>
      <w:r>
        <w:rPr>
          <w:rFonts w:hint="eastAsia" w:ascii="宋体" w:hAnsi="宋体" w:cs="宋体"/>
          <w:highlight w:val="none"/>
        </w:rPr>
        <w:t>4.3.4 按响应函附录约定分包工程的，承包人应向发包人和监理人提交分包合同副本。</w:t>
      </w:r>
    </w:p>
    <w:p w14:paraId="548A05A4">
      <w:pPr>
        <w:spacing w:line="360" w:lineRule="auto"/>
        <w:ind w:firstLine="420" w:firstLineChars="200"/>
        <w:rPr>
          <w:rFonts w:hint="eastAsia" w:ascii="宋体" w:hAnsi="宋体" w:cs="宋体"/>
          <w:highlight w:val="none"/>
        </w:rPr>
      </w:pPr>
      <w:r>
        <w:rPr>
          <w:rFonts w:hint="eastAsia" w:ascii="宋体" w:hAnsi="宋体" w:cs="宋体"/>
          <w:highlight w:val="none"/>
        </w:rPr>
        <w:t>4.3.5 承包人应与分包人就分包工程向发包人承担连带责任。</w:t>
      </w:r>
    </w:p>
    <w:p w14:paraId="4E074A68">
      <w:pPr>
        <w:spacing w:line="360" w:lineRule="auto"/>
        <w:rPr>
          <w:rFonts w:hint="eastAsia" w:ascii="宋体" w:hAnsi="宋体" w:cs="宋体"/>
          <w:highlight w:val="none"/>
        </w:rPr>
      </w:pPr>
      <w:bookmarkStart w:id="901" w:name="_Toc152042421"/>
      <w:bookmarkStart w:id="902" w:name="_Toc152045643"/>
      <w:bookmarkStart w:id="903" w:name="_Toc338944736"/>
      <w:bookmarkStart w:id="904" w:name="_Toc144974611"/>
      <w:bookmarkStart w:id="905" w:name="_Toc503536119"/>
      <w:bookmarkStart w:id="906" w:name="_Toc179632661"/>
      <w:bookmarkStart w:id="907" w:name="_Toc454359208"/>
      <w:bookmarkStart w:id="908" w:name="_Toc342296294"/>
      <w:r>
        <w:rPr>
          <w:rFonts w:hint="eastAsia" w:ascii="宋体" w:hAnsi="宋体" w:cs="宋体"/>
          <w:highlight w:val="none"/>
        </w:rPr>
        <w:t>4.4 联合体</w:t>
      </w:r>
      <w:bookmarkEnd w:id="901"/>
      <w:bookmarkEnd w:id="902"/>
      <w:bookmarkEnd w:id="903"/>
      <w:bookmarkEnd w:id="904"/>
      <w:bookmarkEnd w:id="905"/>
      <w:bookmarkEnd w:id="906"/>
      <w:bookmarkEnd w:id="907"/>
      <w:bookmarkEnd w:id="908"/>
    </w:p>
    <w:p w14:paraId="08BE4BDB">
      <w:pPr>
        <w:spacing w:line="360" w:lineRule="auto"/>
        <w:ind w:firstLine="420" w:firstLineChars="200"/>
        <w:rPr>
          <w:rFonts w:hint="eastAsia" w:ascii="宋体" w:hAnsi="宋体" w:cs="宋体"/>
          <w:highlight w:val="none"/>
        </w:rPr>
      </w:pPr>
      <w:r>
        <w:rPr>
          <w:rFonts w:hint="eastAsia" w:ascii="宋体" w:hAnsi="宋体" w:cs="宋体"/>
          <w:highlight w:val="none"/>
        </w:rPr>
        <w:t>4.4.1 联合体各方应共同与发包人签订合同协议书。联合体各方应为履行合同承担连带责任。</w:t>
      </w:r>
    </w:p>
    <w:p w14:paraId="0770BC65">
      <w:pPr>
        <w:spacing w:line="360" w:lineRule="auto"/>
        <w:ind w:firstLine="420" w:firstLineChars="200"/>
        <w:rPr>
          <w:rFonts w:hint="eastAsia" w:ascii="宋体" w:hAnsi="宋体" w:cs="宋体"/>
          <w:highlight w:val="none"/>
        </w:rPr>
      </w:pPr>
      <w:r>
        <w:rPr>
          <w:rFonts w:hint="eastAsia" w:ascii="宋体" w:hAnsi="宋体" w:cs="宋体"/>
          <w:highlight w:val="none"/>
        </w:rPr>
        <w:t>4.4.2 联合体协议经发包人确认后作为合同附件。在履行合同过程中，未经发包人同意，不得修改联合体协议。</w:t>
      </w:r>
    </w:p>
    <w:p w14:paraId="0AF82C23">
      <w:pPr>
        <w:spacing w:line="360" w:lineRule="auto"/>
        <w:ind w:firstLine="420" w:firstLineChars="200"/>
        <w:rPr>
          <w:rFonts w:hint="eastAsia" w:ascii="宋体" w:hAnsi="宋体" w:cs="宋体"/>
          <w:highlight w:val="none"/>
        </w:rPr>
      </w:pPr>
      <w:r>
        <w:rPr>
          <w:rFonts w:hint="eastAsia" w:ascii="宋体" w:hAnsi="宋体" w:cs="宋体"/>
          <w:highlight w:val="none"/>
        </w:rPr>
        <w:t>4.4.3 联合体牵头人负责与发包人和监理人联系，并接受指示，负责组织联合体各成员全面履行合同。</w:t>
      </w:r>
    </w:p>
    <w:p w14:paraId="6DC1EC17">
      <w:pPr>
        <w:spacing w:line="360" w:lineRule="auto"/>
        <w:rPr>
          <w:rFonts w:hint="eastAsia" w:ascii="宋体" w:hAnsi="宋体" w:cs="宋体"/>
          <w:highlight w:val="none"/>
        </w:rPr>
      </w:pPr>
      <w:bookmarkStart w:id="909" w:name="_Toc342296295"/>
      <w:bookmarkStart w:id="910" w:name="_Toc338944737"/>
      <w:bookmarkStart w:id="911" w:name="_Toc503536120"/>
      <w:bookmarkStart w:id="912" w:name="_Toc454359209"/>
      <w:r>
        <w:rPr>
          <w:rFonts w:hint="eastAsia" w:ascii="宋体" w:hAnsi="宋体" w:cs="宋体"/>
          <w:highlight w:val="none"/>
        </w:rPr>
        <w:t>4.5 承包人项目经理</w:t>
      </w:r>
      <w:bookmarkEnd w:id="909"/>
      <w:bookmarkEnd w:id="910"/>
      <w:bookmarkEnd w:id="911"/>
      <w:bookmarkEnd w:id="912"/>
    </w:p>
    <w:p w14:paraId="438B2318">
      <w:pPr>
        <w:spacing w:line="360" w:lineRule="auto"/>
        <w:ind w:firstLine="420" w:firstLineChars="200"/>
        <w:rPr>
          <w:rFonts w:hint="eastAsia" w:ascii="宋体" w:hAnsi="宋体" w:cs="宋体"/>
          <w:highlight w:val="none"/>
        </w:rPr>
      </w:pPr>
      <w:r>
        <w:rPr>
          <w:rFonts w:hint="eastAsia" w:ascii="宋体" w:hAnsi="宋体" w:cs="宋体"/>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4BCE298F">
      <w:pPr>
        <w:spacing w:line="360" w:lineRule="auto"/>
        <w:ind w:firstLine="420" w:firstLineChars="200"/>
        <w:rPr>
          <w:rFonts w:hint="eastAsia" w:ascii="宋体" w:hAnsi="宋体" w:cs="宋体"/>
          <w:highlight w:val="none"/>
        </w:rPr>
      </w:pPr>
      <w:r>
        <w:rPr>
          <w:rFonts w:hint="eastAsia" w:ascii="宋体" w:hAnsi="宋体" w:cs="宋体"/>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3F1D249F">
      <w:pPr>
        <w:spacing w:line="360" w:lineRule="auto"/>
        <w:ind w:firstLine="420" w:firstLineChars="200"/>
        <w:rPr>
          <w:rFonts w:hint="eastAsia" w:ascii="宋体" w:hAnsi="宋体" w:cs="宋体"/>
          <w:highlight w:val="none"/>
        </w:rPr>
      </w:pPr>
      <w:r>
        <w:rPr>
          <w:rFonts w:hint="eastAsia" w:ascii="宋体" w:hAnsi="宋体" w:cs="宋体"/>
          <w:highlight w:val="none"/>
        </w:rPr>
        <w:t>4.5.3承包人为履行合同发出的一切函件均应盖有承包人授权的施工场地管理机构章，并由承包人项目经理或其授权代表签字。</w:t>
      </w:r>
    </w:p>
    <w:p w14:paraId="5C12C126">
      <w:pPr>
        <w:spacing w:line="360" w:lineRule="auto"/>
        <w:ind w:firstLine="420" w:firstLineChars="200"/>
        <w:rPr>
          <w:rFonts w:hint="eastAsia" w:ascii="宋体" w:hAnsi="宋体" w:cs="宋体"/>
          <w:highlight w:val="none"/>
        </w:rPr>
      </w:pPr>
      <w:r>
        <w:rPr>
          <w:rFonts w:hint="eastAsia" w:ascii="宋体" w:hAnsi="宋体" w:cs="宋体"/>
          <w:highlight w:val="none"/>
        </w:rPr>
        <w:t>4.5.4 承包人项目经理可以授权其下属人员履行其某项职责，但事先应将这些人员的姓名和授权范围通知监理人。</w:t>
      </w:r>
    </w:p>
    <w:p w14:paraId="5688C364">
      <w:pPr>
        <w:spacing w:line="360" w:lineRule="auto"/>
        <w:rPr>
          <w:rFonts w:hint="eastAsia" w:ascii="宋体" w:hAnsi="宋体" w:cs="宋体"/>
          <w:highlight w:val="none"/>
        </w:rPr>
      </w:pPr>
      <w:bookmarkStart w:id="913" w:name="_Toc152045645"/>
      <w:bookmarkStart w:id="914" w:name="_Toc179632663"/>
      <w:bookmarkStart w:id="915" w:name="_Toc338944738"/>
      <w:bookmarkStart w:id="916" w:name="_Toc152042423"/>
      <w:bookmarkStart w:id="917" w:name="_Toc342296296"/>
      <w:bookmarkStart w:id="918" w:name="_Toc454359210"/>
      <w:bookmarkStart w:id="919" w:name="_Toc144974613"/>
      <w:bookmarkStart w:id="920" w:name="_Toc503536121"/>
      <w:r>
        <w:rPr>
          <w:rFonts w:hint="eastAsia" w:ascii="宋体" w:hAnsi="宋体" w:cs="宋体"/>
          <w:highlight w:val="none"/>
        </w:rPr>
        <w:t>4.6 承包人人员的管理</w:t>
      </w:r>
      <w:bookmarkEnd w:id="913"/>
      <w:bookmarkEnd w:id="914"/>
      <w:bookmarkEnd w:id="915"/>
      <w:bookmarkEnd w:id="916"/>
      <w:bookmarkEnd w:id="917"/>
      <w:bookmarkEnd w:id="918"/>
      <w:bookmarkEnd w:id="919"/>
      <w:bookmarkEnd w:id="920"/>
    </w:p>
    <w:p w14:paraId="57BCC571">
      <w:pPr>
        <w:spacing w:line="360" w:lineRule="auto"/>
        <w:ind w:firstLine="420" w:firstLineChars="200"/>
        <w:rPr>
          <w:rFonts w:hint="eastAsia" w:ascii="宋体" w:hAnsi="宋体" w:cs="宋体"/>
          <w:highlight w:val="none"/>
        </w:rPr>
      </w:pPr>
      <w:r>
        <w:rPr>
          <w:rFonts w:hint="eastAsia" w:ascii="宋体" w:hAnsi="宋体" w:cs="宋体"/>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FEF7263">
      <w:pPr>
        <w:spacing w:line="360" w:lineRule="auto"/>
        <w:ind w:firstLine="400" w:firstLineChars="200"/>
        <w:rPr>
          <w:rFonts w:hint="eastAsia" w:ascii="宋体" w:hAnsi="宋体" w:cs="宋体"/>
          <w:highlight w:val="none"/>
        </w:rPr>
      </w:pPr>
      <w:r>
        <w:rPr>
          <w:rFonts w:hint="eastAsia" w:ascii="宋体" w:hAnsi="宋体" w:cs="宋体"/>
          <w:spacing w:val="-5"/>
          <w:highlight w:val="none"/>
        </w:rPr>
        <w:t>4.6.2 为完成合同约定的各项工作，承包人应向施工场地派遣或雇佣足够数量的下列人员：</w:t>
      </w:r>
    </w:p>
    <w:p w14:paraId="20044736">
      <w:pPr>
        <w:spacing w:line="360" w:lineRule="auto"/>
        <w:ind w:firstLine="718" w:firstLineChars="342"/>
        <w:rPr>
          <w:rFonts w:hint="eastAsia" w:ascii="宋体" w:hAnsi="宋体" w:cs="宋体"/>
          <w:highlight w:val="none"/>
        </w:rPr>
      </w:pPr>
      <w:r>
        <w:rPr>
          <w:rFonts w:hint="eastAsia" w:ascii="宋体" w:hAnsi="宋体" w:cs="宋体"/>
          <w:highlight w:val="none"/>
        </w:rPr>
        <w:t>（1）具有相应资格的专业技工和合格的普工；</w:t>
      </w:r>
    </w:p>
    <w:p w14:paraId="5F2CB736">
      <w:pPr>
        <w:spacing w:line="360" w:lineRule="auto"/>
        <w:ind w:firstLine="718" w:firstLineChars="342"/>
        <w:rPr>
          <w:rFonts w:hint="eastAsia" w:ascii="宋体" w:hAnsi="宋体" w:cs="宋体"/>
          <w:highlight w:val="none"/>
        </w:rPr>
      </w:pPr>
      <w:r>
        <w:rPr>
          <w:rFonts w:hint="eastAsia" w:ascii="宋体" w:hAnsi="宋体" w:cs="宋体"/>
          <w:highlight w:val="none"/>
        </w:rPr>
        <w:t>（2）具有相应施工经验的技术人员；</w:t>
      </w:r>
    </w:p>
    <w:p w14:paraId="517D6F3A">
      <w:pPr>
        <w:spacing w:line="360" w:lineRule="auto"/>
        <w:ind w:firstLine="718" w:firstLineChars="342"/>
        <w:rPr>
          <w:rFonts w:hint="eastAsia" w:ascii="宋体" w:hAnsi="宋体" w:cs="宋体"/>
          <w:highlight w:val="none"/>
        </w:rPr>
      </w:pPr>
      <w:r>
        <w:rPr>
          <w:rFonts w:hint="eastAsia" w:ascii="宋体" w:hAnsi="宋体" w:cs="宋体"/>
          <w:highlight w:val="none"/>
        </w:rPr>
        <w:t>（3）具有相应岗位资格的各级管理人员。</w:t>
      </w:r>
    </w:p>
    <w:p w14:paraId="5420F164">
      <w:pPr>
        <w:spacing w:line="360" w:lineRule="auto"/>
        <w:ind w:firstLine="420" w:firstLineChars="200"/>
        <w:rPr>
          <w:rFonts w:hint="eastAsia" w:ascii="宋体" w:hAnsi="宋体" w:cs="宋体"/>
          <w:highlight w:val="none"/>
        </w:rPr>
      </w:pPr>
      <w:r>
        <w:rPr>
          <w:rFonts w:hint="eastAsia" w:ascii="宋体" w:hAnsi="宋体" w:cs="宋体"/>
          <w:highlight w:val="none"/>
        </w:rPr>
        <w:t>4.6.3 承包人安排在施工场地的主要管理人员和技术骨干应相对稳定。承包人更换主要管理人员和技术骨干时，应取得监理人的同意。</w:t>
      </w:r>
    </w:p>
    <w:p w14:paraId="0ED963B2">
      <w:pPr>
        <w:spacing w:line="360" w:lineRule="auto"/>
        <w:ind w:firstLine="420" w:firstLineChars="200"/>
        <w:rPr>
          <w:rFonts w:hint="eastAsia" w:ascii="宋体" w:hAnsi="宋体" w:cs="宋体"/>
          <w:highlight w:val="none"/>
        </w:rPr>
      </w:pPr>
      <w:r>
        <w:rPr>
          <w:rFonts w:hint="eastAsia" w:ascii="宋体" w:hAnsi="宋体" w:cs="宋体"/>
          <w:highlight w:val="none"/>
        </w:rPr>
        <w:t>4.6.4 特殊岗位的工作人员均应持有相应的资格证明，监理人有权随时检查。监理人认为有必要时，可进行现场考核。</w:t>
      </w:r>
    </w:p>
    <w:p w14:paraId="44D25963">
      <w:pPr>
        <w:spacing w:line="360" w:lineRule="auto"/>
        <w:rPr>
          <w:rFonts w:hint="eastAsia" w:ascii="宋体" w:hAnsi="宋体" w:cs="宋体"/>
          <w:highlight w:val="none"/>
        </w:rPr>
      </w:pPr>
      <w:bookmarkStart w:id="921" w:name="_Toc152042424"/>
      <w:bookmarkStart w:id="922" w:name="_Toc338944739"/>
      <w:bookmarkStart w:id="923" w:name="_Toc342296297"/>
      <w:bookmarkStart w:id="924" w:name="_Toc454359211"/>
      <w:bookmarkStart w:id="925" w:name="_Toc144974614"/>
      <w:bookmarkStart w:id="926" w:name="_Toc152045646"/>
      <w:bookmarkStart w:id="927" w:name="_Toc179632664"/>
      <w:bookmarkStart w:id="928" w:name="_Toc503536122"/>
      <w:r>
        <w:rPr>
          <w:rFonts w:hint="eastAsia" w:ascii="宋体" w:hAnsi="宋体" w:cs="宋体"/>
          <w:highlight w:val="none"/>
        </w:rPr>
        <w:t>4.7 撤换承包人项目经理和其他人员</w:t>
      </w:r>
      <w:bookmarkEnd w:id="921"/>
      <w:bookmarkEnd w:id="922"/>
      <w:bookmarkEnd w:id="923"/>
      <w:bookmarkEnd w:id="924"/>
      <w:bookmarkEnd w:id="925"/>
      <w:bookmarkEnd w:id="926"/>
      <w:bookmarkEnd w:id="927"/>
      <w:bookmarkEnd w:id="928"/>
    </w:p>
    <w:p w14:paraId="54BC0DDF">
      <w:pPr>
        <w:spacing w:line="360" w:lineRule="auto"/>
        <w:ind w:firstLine="420" w:firstLineChars="200"/>
        <w:rPr>
          <w:rFonts w:hint="eastAsia" w:ascii="宋体" w:hAnsi="宋体" w:cs="宋体"/>
          <w:highlight w:val="none"/>
        </w:rPr>
      </w:pPr>
      <w:r>
        <w:rPr>
          <w:rFonts w:hint="eastAsia" w:ascii="宋体" w:hAnsi="宋体" w:cs="宋体"/>
          <w:highlight w:val="none"/>
        </w:rPr>
        <w:t>承包人应对其项目经理和其他人员进行有效管理。监理人要求撤换不能胜任本职工作、行为不端或玩忽职守的承包人项目经理和其他人员的，承包人应予以撤换。</w:t>
      </w:r>
    </w:p>
    <w:p w14:paraId="4D6CF4DC">
      <w:pPr>
        <w:spacing w:line="360" w:lineRule="auto"/>
        <w:rPr>
          <w:rFonts w:hint="eastAsia" w:ascii="宋体" w:hAnsi="宋体" w:cs="宋体"/>
          <w:highlight w:val="none"/>
        </w:rPr>
      </w:pPr>
      <w:bookmarkStart w:id="929" w:name="_Toc144974615"/>
      <w:bookmarkStart w:id="930" w:name="_Toc179632665"/>
      <w:bookmarkStart w:id="931" w:name="_Toc454359212"/>
      <w:bookmarkStart w:id="932" w:name="_Toc152045647"/>
      <w:bookmarkStart w:id="933" w:name="_Toc152042425"/>
      <w:bookmarkStart w:id="934" w:name="_Toc338944740"/>
      <w:bookmarkStart w:id="935" w:name="_Toc503536123"/>
      <w:bookmarkStart w:id="936" w:name="_Toc342296298"/>
      <w:r>
        <w:rPr>
          <w:rFonts w:hint="eastAsia" w:ascii="宋体" w:hAnsi="宋体" w:cs="宋体"/>
          <w:highlight w:val="none"/>
        </w:rPr>
        <w:t>4.8 保障承包人人员的合法权益</w:t>
      </w:r>
      <w:bookmarkEnd w:id="929"/>
      <w:bookmarkEnd w:id="930"/>
      <w:bookmarkEnd w:id="931"/>
      <w:bookmarkEnd w:id="932"/>
      <w:bookmarkEnd w:id="933"/>
      <w:bookmarkEnd w:id="934"/>
      <w:bookmarkEnd w:id="935"/>
      <w:bookmarkEnd w:id="936"/>
    </w:p>
    <w:p w14:paraId="67FA7562">
      <w:pPr>
        <w:spacing w:line="360" w:lineRule="auto"/>
        <w:ind w:firstLine="420" w:firstLineChars="200"/>
        <w:rPr>
          <w:rFonts w:hint="eastAsia" w:ascii="宋体" w:hAnsi="宋体" w:cs="宋体"/>
          <w:highlight w:val="none"/>
        </w:rPr>
      </w:pPr>
      <w:r>
        <w:rPr>
          <w:rFonts w:hint="eastAsia" w:ascii="宋体" w:hAnsi="宋体" w:cs="宋体"/>
          <w:highlight w:val="none"/>
        </w:rPr>
        <w:t>4.8.1 承包人应与其雇佣的人员签订劳动合同，并按时发放工资。</w:t>
      </w:r>
    </w:p>
    <w:p w14:paraId="0E762C29">
      <w:pPr>
        <w:spacing w:line="360" w:lineRule="auto"/>
        <w:ind w:firstLine="420" w:firstLineChars="200"/>
        <w:rPr>
          <w:rFonts w:hint="eastAsia" w:ascii="宋体" w:hAnsi="宋体" w:cs="宋体"/>
          <w:highlight w:val="none"/>
        </w:rPr>
      </w:pPr>
      <w:r>
        <w:rPr>
          <w:rFonts w:hint="eastAsia" w:ascii="宋体" w:hAnsi="宋体" w:cs="宋体"/>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6688E886">
      <w:pPr>
        <w:spacing w:line="360" w:lineRule="auto"/>
        <w:ind w:firstLine="420" w:firstLineChars="200"/>
        <w:rPr>
          <w:rFonts w:hint="eastAsia" w:ascii="宋体" w:hAnsi="宋体" w:cs="宋体"/>
          <w:highlight w:val="none"/>
        </w:rPr>
      </w:pPr>
      <w:r>
        <w:rPr>
          <w:rFonts w:hint="eastAsia" w:ascii="宋体" w:hAnsi="宋体" w:cs="宋体"/>
          <w:highlight w:val="none"/>
        </w:rPr>
        <w:t>4.8.3 承包人应为其雇佣人员提供必要的食宿条件，以及符合环境保护和卫生要求的生活环境，在远离城镇的施工场地，还应配备必要的伤病防治和急救的医务人员与医疗设施。</w:t>
      </w:r>
    </w:p>
    <w:p w14:paraId="2D4D4F65">
      <w:pPr>
        <w:spacing w:line="360" w:lineRule="auto"/>
        <w:ind w:firstLine="420" w:firstLineChars="200"/>
        <w:rPr>
          <w:rFonts w:hint="eastAsia" w:ascii="宋体" w:hAnsi="宋体" w:cs="宋体"/>
          <w:highlight w:val="none"/>
        </w:rPr>
      </w:pPr>
      <w:r>
        <w:rPr>
          <w:rFonts w:hint="eastAsia" w:ascii="宋体" w:hAnsi="宋体" w:cs="宋体"/>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9EBB30E">
      <w:pPr>
        <w:spacing w:line="360" w:lineRule="auto"/>
        <w:ind w:firstLine="420" w:firstLineChars="200"/>
        <w:rPr>
          <w:rFonts w:hint="eastAsia" w:ascii="宋体" w:hAnsi="宋体" w:cs="宋体"/>
          <w:highlight w:val="none"/>
        </w:rPr>
      </w:pPr>
      <w:r>
        <w:rPr>
          <w:rFonts w:hint="eastAsia" w:ascii="宋体" w:hAnsi="宋体" w:cs="宋体"/>
          <w:highlight w:val="none"/>
        </w:rPr>
        <w:t>4.8.5 承包人应按有关法律规定和合同约定，为其雇佣人员办理保险。</w:t>
      </w:r>
    </w:p>
    <w:p w14:paraId="3240E000">
      <w:pPr>
        <w:spacing w:line="360" w:lineRule="auto"/>
        <w:ind w:firstLine="420" w:firstLineChars="200"/>
        <w:rPr>
          <w:rFonts w:hint="eastAsia" w:ascii="宋体" w:hAnsi="宋体" w:cs="宋体"/>
          <w:highlight w:val="none"/>
        </w:rPr>
      </w:pPr>
      <w:r>
        <w:rPr>
          <w:rFonts w:hint="eastAsia" w:ascii="宋体" w:hAnsi="宋体" w:cs="宋体"/>
          <w:highlight w:val="none"/>
        </w:rPr>
        <w:t>4.8.6 承包人应负责处理其雇佣人员因工伤亡事故的善后事宜。</w:t>
      </w:r>
    </w:p>
    <w:p w14:paraId="7DDE3783">
      <w:pPr>
        <w:spacing w:line="360" w:lineRule="auto"/>
        <w:rPr>
          <w:rFonts w:hint="eastAsia" w:ascii="宋体" w:hAnsi="宋体" w:cs="宋体"/>
          <w:highlight w:val="none"/>
        </w:rPr>
      </w:pPr>
      <w:bookmarkStart w:id="937" w:name="_Toc338944741"/>
      <w:bookmarkStart w:id="938" w:name="_Toc144974616"/>
      <w:bookmarkStart w:id="939" w:name="_Toc503536124"/>
      <w:bookmarkStart w:id="940" w:name="_Toc152045648"/>
      <w:bookmarkStart w:id="941" w:name="_Toc179632666"/>
      <w:bookmarkStart w:id="942" w:name="_Toc342296299"/>
      <w:bookmarkStart w:id="943" w:name="_Toc454359213"/>
      <w:bookmarkStart w:id="944" w:name="_Toc152042426"/>
      <w:r>
        <w:rPr>
          <w:rFonts w:hint="eastAsia" w:ascii="宋体" w:hAnsi="宋体" w:cs="宋体"/>
          <w:highlight w:val="none"/>
        </w:rPr>
        <w:t>4.9 工程价款应专款专用</w:t>
      </w:r>
      <w:bookmarkEnd w:id="937"/>
      <w:bookmarkEnd w:id="938"/>
      <w:bookmarkEnd w:id="939"/>
      <w:bookmarkEnd w:id="940"/>
      <w:bookmarkEnd w:id="941"/>
      <w:bookmarkEnd w:id="942"/>
      <w:bookmarkEnd w:id="943"/>
      <w:bookmarkEnd w:id="944"/>
    </w:p>
    <w:p w14:paraId="5104A2C9">
      <w:pPr>
        <w:spacing w:line="360" w:lineRule="auto"/>
        <w:ind w:firstLine="420" w:firstLineChars="200"/>
        <w:rPr>
          <w:rFonts w:hint="eastAsia" w:ascii="宋体" w:hAnsi="宋体" w:cs="宋体"/>
          <w:highlight w:val="none"/>
        </w:rPr>
      </w:pPr>
      <w:r>
        <w:rPr>
          <w:rFonts w:hint="eastAsia" w:ascii="宋体" w:hAnsi="宋体" w:cs="宋体"/>
          <w:highlight w:val="none"/>
        </w:rPr>
        <w:t>发包人按合同约定支付给承包人的各项价款应专用于合同工程。</w:t>
      </w:r>
    </w:p>
    <w:p w14:paraId="39E5DF26">
      <w:pPr>
        <w:spacing w:line="360" w:lineRule="auto"/>
        <w:rPr>
          <w:rFonts w:hint="eastAsia" w:ascii="宋体" w:hAnsi="宋体" w:cs="宋体"/>
          <w:highlight w:val="none"/>
        </w:rPr>
      </w:pPr>
      <w:bookmarkStart w:id="945" w:name="_Toc144974617"/>
      <w:bookmarkStart w:id="946" w:name="_Toc338944742"/>
      <w:bookmarkStart w:id="947" w:name="_Toc152042427"/>
      <w:bookmarkStart w:id="948" w:name="_Toc152045649"/>
      <w:bookmarkStart w:id="949" w:name="_Toc342296300"/>
      <w:bookmarkStart w:id="950" w:name="_Toc454359214"/>
      <w:bookmarkStart w:id="951" w:name="_Toc179632667"/>
      <w:bookmarkStart w:id="952" w:name="_Toc503536125"/>
      <w:r>
        <w:rPr>
          <w:rFonts w:hint="eastAsia" w:ascii="宋体" w:hAnsi="宋体" w:cs="宋体"/>
          <w:highlight w:val="none"/>
        </w:rPr>
        <w:t>4.10 承包人现场查勘</w:t>
      </w:r>
      <w:bookmarkEnd w:id="945"/>
      <w:bookmarkEnd w:id="946"/>
      <w:bookmarkEnd w:id="947"/>
      <w:bookmarkEnd w:id="948"/>
      <w:bookmarkEnd w:id="949"/>
      <w:bookmarkEnd w:id="950"/>
      <w:bookmarkEnd w:id="951"/>
      <w:bookmarkEnd w:id="952"/>
    </w:p>
    <w:p w14:paraId="42AE7E62">
      <w:pPr>
        <w:spacing w:line="360" w:lineRule="auto"/>
        <w:ind w:firstLine="420" w:firstLineChars="200"/>
        <w:rPr>
          <w:rFonts w:hint="eastAsia" w:ascii="宋体" w:hAnsi="宋体" w:cs="宋体"/>
          <w:highlight w:val="none"/>
        </w:rPr>
      </w:pPr>
      <w:r>
        <w:rPr>
          <w:rFonts w:hint="eastAsia" w:ascii="宋体" w:hAnsi="宋体" w:cs="宋体"/>
          <w:highlight w:val="none"/>
        </w:rPr>
        <w:t>4.10.1 发包人应将其持有的现场地质勘探资料、水文气象资料提供给承包人，并对其准确性负责。但承包人应对其阅读上述有关资料后所作出的解释和推断负责。</w:t>
      </w:r>
    </w:p>
    <w:p w14:paraId="3B335DAD">
      <w:pPr>
        <w:spacing w:line="360" w:lineRule="auto"/>
        <w:ind w:firstLine="420" w:firstLineChars="200"/>
        <w:rPr>
          <w:rFonts w:hint="eastAsia" w:ascii="宋体" w:hAnsi="宋体" w:cs="宋体"/>
          <w:highlight w:val="none"/>
        </w:rPr>
      </w:pPr>
      <w:r>
        <w:rPr>
          <w:rFonts w:hint="eastAsia" w:ascii="宋体" w:hAnsi="宋体" w:cs="宋体"/>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C9D9B27">
      <w:pPr>
        <w:spacing w:line="360" w:lineRule="auto"/>
        <w:rPr>
          <w:rFonts w:hint="eastAsia" w:ascii="宋体" w:hAnsi="宋体" w:cs="宋体"/>
          <w:highlight w:val="none"/>
        </w:rPr>
      </w:pPr>
      <w:bookmarkStart w:id="953" w:name="_Toc454359215"/>
      <w:bookmarkStart w:id="954" w:name="_Toc503536126"/>
      <w:bookmarkStart w:id="955" w:name="_Toc342296301"/>
      <w:bookmarkStart w:id="956" w:name="_Toc338944743"/>
      <w:r>
        <w:rPr>
          <w:rFonts w:hint="eastAsia" w:ascii="宋体" w:hAnsi="宋体" w:cs="宋体"/>
          <w:highlight w:val="none"/>
        </w:rPr>
        <w:t>4.11 不利物质条件</w:t>
      </w:r>
      <w:bookmarkEnd w:id="953"/>
      <w:bookmarkEnd w:id="954"/>
      <w:bookmarkEnd w:id="955"/>
      <w:bookmarkEnd w:id="956"/>
    </w:p>
    <w:p w14:paraId="0555F0D4">
      <w:pPr>
        <w:spacing w:line="360" w:lineRule="auto"/>
        <w:ind w:firstLine="420" w:firstLineChars="200"/>
        <w:rPr>
          <w:rFonts w:hint="eastAsia" w:ascii="宋体" w:hAnsi="宋体" w:cs="宋体"/>
          <w:highlight w:val="none"/>
        </w:rPr>
      </w:pPr>
      <w:r>
        <w:rPr>
          <w:rFonts w:hint="eastAsia" w:ascii="宋体" w:hAnsi="宋体" w:cs="宋体"/>
          <w:highlight w:val="none"/>
        </w:rPr>
        <w:t>4.11.1 不利物质条件，除专用合同条款另有约定外，是指承包人在施工场地遇到的不可预见的自然物质条件、非自然的物质障碍和污染物，包括地下和水文条件，但不包括气候条件。</w:t>
      </w:r>
    </w:p>
    <w:p w14:paraId="4D049755">
      <w:pPr>
        <w:spacing w:line="360" w:lineRule="auto"/>
        <w:ind w:firstLine="400" w:firstLineChars="200"/>
        <w:rPr>
          <w:rFonts w:hint="eastAsia" w:ascii="宋体" w:hAnsi="宋体" w:cs="宋体"/>
          <w:highlight w:val="none"/>
        </w:rPr>
      </w:pPr>
      <w:r>
        <w:rPr>
          <w:rFonts w:hint="eastAsia" w:ascii="宋体" w:hAnsi="宋体" w:cs="宋体"/>
          <w:spacing w:val="-5"/>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442E7910">
      <w:pPr>
        <w:rPr>
          <w:rFonts w:hint="eastAsia" w:ascii="宋体" w:hAnsi="宋体" w:cs="宋体"/>
          <w:highlight w:val="none"/>
        </w:rPr>
      </w:pPr>
      <w:bookmarkStart w:id="957" w:name="_Toc503536127"/>
      <w:bookmarkStart w:id="958" w:name="_Toc5408"/>
      <w:bookmarkStart w:id="959" w:name="_Toc338944744"/>
      <w:bookmarkStart w:id="960" w:name="_Toc342296302"/>
      <w:bookmarkStart w:id="961" w:name="_Toc4157289"/>
      <w:r>
        <w:rPr>
          <w:rFonts w:hint="eastAsia" w:ascii="宋体" w:hAnsi="宋体" w:cs="宋体"/>
          <w:highlight w:val="none"/>
        </w:rPr>
        <w:t>5. 材料和工程设备</w:t>
      </w:r>
      <w:bookmarkEnd w:id="957"/>
      <w:bookmarkEnd w:id="958"/>
      <w:bookmarkEnd w:id="959"/>
      <w:bookmarkEnd w:id="960"/>
      <w:bookmarkEnd w:id="961"/>
    </w:p>
    <w:p w14:paraId="45E724D7">
      <w:pPr>
        <w:spacing w:line="360" w:lineRule="auto"/>
        <w:rPr>
          <w:rFonts w:hint="eastAsia" w:ascii="宋体" w:hAnsi="宋体" w:cs="宋体"/>
          <w:highlight w:val="none"/>
        </w:rPr>
      </w:pPr>
      <w:bookmarkStart w:id="962" w:name="_Toc503536128"/>
      <w:bookmarkStart w:id="963" w:name="_Toc342296303"/>
      <w:bookmarkStart w:id="964" w:name="_Toc338944745"/>
      <w:bookmarkStart w:id="965" w:name="_Toc454359217"/>
      <w:r>
        <w:rPr>
          <w:rFonts w:hint="eastAsia" w:ascii="宋体" w:hAnsi="宋体" w:cs="宋体"/>
          <w:highlight w:val="none"/>
        </w:rPr>
        <w:t>5.1 承包人提供的材料和工程设备</w:t>
      </w:r>
      <w:bookmarkEnd w:id="962"/>
      <w:bookmarkEnd w:id="963"/>
      <w:bookmarkEnd w:id="964"/>
      <w:bookmarkEnd w:id="965"/>
    </w:p>
    <w:p w14:paraId="4F7D37A0">
      <w:pPr>
        <w:spacing w:line="360" w:lineRule="auto"/>
        <w:ind w:firstLine="420" w:firstLineChars="200"/>
        <w:rPr>
          <w:rFonts w:hint="eastAsia" w:ascii="宋体" w:hAnsi="宋体" w:cs="宋体"/>
          <w:highlight w:val="none"/>
        </w:rPr>
      </w:pPr>
      <w:r>
        <w:rPr>
          <w:rFonts w:hint="eastAsia" w:ascii="宋体" w:hAnsi="宋体" w:cs="宋体"/>
          <w:highlight w:val="none"/>
        </w:rPr>
        <w:t>5.1.1 除专用合同条款另有约定外，承包人提供的材料和工程设备均由承包人负责采购、运输和保管。承包人应对其采购的材料和工程设备负责。</w:t>
      </w:r>
    </w:p>
    <w:p w14:paraId="11CBE811">
      <w:pPr>
        <w:spacing w:line="360" w:lineRule="auto"/>
        <w:ind w:firstLine="420" w:firstLineChars="200"/>
        <w:rPr>
          <w:rFonts w:hint="eastAsia" w:ascii="宋体" w:hAnsi="宋体" w:cs="宋体"/>
          <w:highlight w:val="none"/>
        </w:rPr>
      </w:pPr>
      <w:r>
        <w:rPr>
          <w:rFonts w:hint="eastAsia" w:ascii="宋体" w:hAnsi="宋体" w:cs="宋体"/>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5692A014">
      <w:pPr>
        <w:spacing w:line="360" w:lineRule="auto"/>
        <w:ind w:firstLine="420" w:firstLineChars="200"/>
        <w:rPr>
          <w:rFonts w:hint="eastAsia" w:ascii="宋体" w:hAnsi="宋体" w:cs="宋体"/>
          <w:highlight w:val="none"/>
        </w:rPr>
      </w:pPr>
      <w:r>
        <w:rPr>
          <w:rFonts w:hint="eastAsia" w:ascii="宋体" w:hAnsi="宋体" w:cs="宋体"/>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213F92E">
      <w:pPr>
        <w:spacing w:line="360" w:lineRule="auto"/>
        <w:rPr>
          <w:rFonts w:hint="eastAsia" w:ascii="宋体" w:hAnsi="宋体" w:cs="宋体"/>
          <w:highlight w:val="none"/>
        </w:rPr>
      </w:pPr>
      <w:bookmarkStart w:id="966" w:name="_Toc454359218"/>
      <w:bookmarkStart w:id="967" w:name="_Toc503536129"/>
      <w:bookmarkStart w:id="968" w:name="_Toc342296304"/>
      <w:bookmarkStart w:id="969" w:name="_Toc338944746"/>
      <w:r>
        <w:rPr>
          <w:rFonts w:hint="eastAsia" w:ascii="宋体" w:hAnsi="宋体" w:cs="宋体"/>
          <w:highlight w:val="none"/>
        </w:rPr>
        <w:t>5.2 发包人提供的材料和工程设备</w:t>
      </w:r>
      <w:bookmarkEnd w:id="966"/>
      <w:bookmarkEnd w:id="967"/>
      <w:bookmarkEnd w:id="968"/>
      <w:bookmarkEnd w:id="969"/>
    </w:p>
    <w:p w14:paraId="634B3259">
      <w:pPr>
        <w:spacing w:line="360" w:lineRule="auto"/>
        <w:ind w:firstLine="420" w:firstLineChars="200"/>
        <w:rPr>
          <w:rFonts w:hint="eastAsia" w:ascii="宋体" w:hAnsi="宋体" w:cs="宋体"/>
          <w:highlight w:val="none"/>
        </w:rPr>
      </w:pPr>
      <w:r>
        <w:rPr>
          <w:rFonts w:hint="eastAsia" w:ascii="宋体" w:hAnsi="宋体" w:cs="宋体"/>
          <w:highlight w:val="none"/>
        </w:rPr>
        <w:t>5.2.1 发包人提供的材料和工程设备，应在专用合同条款中写明材料和工程设备的名称、规格、数量、价格、交货方式、交货地点和计划交货日期等。</w:t>
      </w:r>
    </w:p>
    <w:p w14:paraId="56D77BF6">
      <w:pPr>
        <w:spacing w:line="360" w:lineRule="auto"/>
        <w:ind w:firstLine="420" w:firstLineChars="200"/>
        <w:rPr>
          <w:rFonts w:hint="eastAsia" w:ascii="宋体" w:hAnsi="宋体" w:cs="宋体"/>
          <w:highlight w:val="none"/>
        </w:rPr>
      </w:pPr>
      <w:r>
        <w:rPr>
          <w:rFonts w:hint="eastAsia" w:ascii="宋体" w:hAnsi="宋体" w:cs="宋体"/>
          <w:highlight w:val="none"/>
        </w:rPr>
        <w:t>5.2.2 承包人应根据合同进度计划的安排，向监理人报送要求发包人交货的日期计划。发包人应按照监理人与合同双方当事人商定的交货日期，向承包人提交材料和工程设备。</w:t>
      </w:r>
    </w:p>
    <w:p w14:paraId="23BB8155">
      <w:pPr>
        <w:spacing w:line="360" w:lineRule="auto"/>
        <w:ind w:firstLine="420" w:firstLineChars="200"/>
        <w:rPr>
          <w:rFonts w:hint="eastAsia" w:ascii="宋体" w:hAnsi="宋体" w:cs="宋体"/>
          <w:highlight w:val="none"/>
        </w:rPr>
      </w:pPr>
      <w:r>
        <w:rPr>
          <w:rFonts w:hint="eastAsia" w:ascii="宋体" w:hAnsi="宋体" w:cs="宋体"/>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6B5D621C">
      <w:pPr>
        <w:spacing w:line="360" w:lineRule="auto"/>
        <w:ind w:firstLine="420" w:firstLineChars="200"/>
        <w:rPr>
          <w:rFonts w:hint="eastAsia" w:ascii="宋体" w:hAnsi="宋体" w:cs="宋体"/>
          <w:highlight w:val="none"/>
        </w:rPr>
      </w:pPr>
      <w:r>
        <w:rPr>
          <w:rFonts w:hint="eastAsia" w:ascii="宋体" w:hAnsi="宋体" w:cs="宋体"/>
          <w:highlight w:val="none"/>
        </w:rPr>
        <w:t xml:space="preserve">5.2.4 发包人要求向承包人提前交货的，承包人不得拒绝，但发包人应承担承包人由此增加的费用。 </w:t>
      </w:r>
    </w:p>
    <w:p w14:paraId="7889A9E7">
      <w:pPr>
        <w:spacing w:line="360" w:lineRule="auto"/>
        <w:ind w:firstLine="420" w:firstLineChars="200"/>
        <w:rPr>
          <w:rFonts w:hint="eastAsia" w:ascii="宋体" w:hAnsi="宋体" w:cs="宋体"/>
          <w:highlight w:val="none"/>
        </w:rPr>
      </w:pPr>
      <w:r>
        <w:rPr>
          <w:rFonts w:hint="eastAsia" w:ascii="宋体" w:hAnsi="宋体" w:cs="宋体"/>
          <w:highlight w:val="none"/>
        </w:rPr>
        <w:t xml:space="preserve">5.2.5 承包人要求更改交货日期或地点的，应事先报请监理人批准。由于承包人要求更改交货时间或地点所增加的费用和（或）工期延误由承包人承担。 </w:t>
      </w:r>
    </w:p>
    <w:p w14:paraId="54480C1C">
      <w:pPr>
        <w:spacing w:line="360" w:lineRule="auto"/>
        <w:ind w:firstLine="420" w:firstLineChars="200"/>
        <w:rPr>
          <w:rFonts w:hint="eastAsia" w:ascii="宋体" w:hAnsi="宋体" w:cs="宋体"/>
          <w:highlight w:val="none"/>
        </w:rPr>
      </w:pPr>
      <w:r>
        <w:rPr>
          <w:rFonts w:hint="eastAsia" w:ascii="宋体" w:hAnsi="宋体" w:cs="宋体"/>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6B057E7D">
      <w:pPr>
        <w:spacing w:line="360" w:lineRule="auto"/>
        <w:rPr>
          <w:rFonts w:hint="eastAsia" w:ascii="宋体" w:hAnsi="宋体" w:cs="宋体"/>
          <w:highlight w:val="none"/>
        </w:rPr>
      </w:pPr>
      <w:bookmarkStart w:id="970" w:name="_Toc454359219"/>
      <w:bookmarkStart w:id="971" w:name="_Toc144974622"/>
      <w:bookmarkStart w:id="972" w:name="_Toc342296305"/>
      <w:bookmarkStart w:id="973" w:name="_Toc338944747"/>
      <w:bookmarkStart w:id="974" w:name="_Toc503536130"/>
      <w:bookmarkStart w:id="975" w:name="_Toc179632672"/>
      <w:bookmarkStart w:id="976" w:name="_Toc152042432"/>
      <w:bookmarkStart w:id="977" w:name="_Toc152045654"/>
      <w:r>
        <w:rPr>
          <w:rFonts w:hint="eastAsia" w:ascii="宋体" w:hAnsi="宋体" w:cs="宋体"/>
          <w:highlight w:val="none"/>
        </w:rPr>
        <w:t>5.3 材料和工程设备专用于合同工程</w:t>
      </w:r>
      <w:bookmarkEnd w:id="970"/>
      <w:bookmarkEnd w:id="971"/>
      <w:bookmarkEnd w:id="972"/>
      <w:bookmarkEnd w:id="973"/>
      <w:bookmarkEnd w:id="974"/>
      <w:bookmarkEnd w:id="975"/>
      <w:bookmarkEnd w:id="976"/>
      <w:bookmarkEnd w:id="977"/>
    </w:p>
    <w:p w14:paraId="4CD265F7">
      <w:pPr>
        <w:spacing w:line="360" w:lineRule="auto"/>
        <w:ind w:firstLine="420" w:firstLineChars="200"/>
        <w:rPr>
          <w:rFonts w:hint="eastAsia" w:ascii="宋体" w:hAnsi="宋体" w:cs="宋体"/>
          <w:highlight w:val="none"/>
        </w:rPr>
      </w:pPr>
      <w:r>
        <w:rPr>
          <w:rFonts w:hint="eastAsia" w:ascii="宋体" w:hAnsi="宋体" w:cs="宋体"/>
          <w:highlight w:val="none"/>
        </w:rPr>
        <w:t>5.3.1运入施工场地的材料、工程设备，包括备品备件、安装专用工器具与随机资料，必须专用于合同工程，未经监理人同意，承包人不得运出施工场地或挪作他用。</w:t>
      </w:r>
    </w:p>
    <w:p w14:paraId="3E9E8594">
      <w:pPr>
        <w:spacing w:line="360" w:lineRule="auto"/>
        <w:ind w:firstLine="420" w:firstLineChars="200"/>
        <w:rPr>
          <w:rFonts w:hint="eastAsia" w:ascii="宋体" w:hAnsi="宋体" w:cs="宋体"/>
          <w:highlight w:val="none"/>
        </w:rPr>
      </w:pPr>
      <w:r>
        <w:rPr>
          <w:rFonts w:hint="eastAsia" w:ascii="宋体" w:hAnsi="宋体" w:cs="宋体"/>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6277583A">
      <w:pPr>
        <w:spacing w:line="360" w:lineRule="auto"/>
        <w:rPr>
          <w:rFonts w:hint="eastAsia" w:ascii="宋体" w:hAnsi="宋体" w:cs="宋体"/>
          <w:highlight w:val="none"/>
        </w:rPr>
      </w:pPr>
      <w:bookmarkStart w:id="978" w:name="_Toc179632673"/>
      <w:bookmarkStart w:id="979" w:name="_Toc144974623"/>
      <w:bookmarkStart w:id="980" w:name="_Toc342296306"/>
      <w:bookmarkStart w:id="981" w:name="_Toc338944748"/>
      <w:bookmarkStart w:id="982" w:name="_Toc152045655"/>
      <w:bookmarkStart w:id="983" w:name="_Toc503536131"/>
      <w:bookmarkStart w:id="984" w:name="_Toc454359220"/>
      <w:bookmarkStart w:id="985" w:name="_Toc152042433"/>
      <w:r>
        <w:rPr>
          <w:rFonts w:hint="eastAsia" w:ascii="宋体" w:hAnsi="宋体" w:cs="宋体"/>
          <w:highlight w:val="none"/>
        </w:rPr>
        <w:t>5.4 禁止使用不合格的材料和工程设备</w:t>
      </w:r>
      <w:bookmarkEnd w:id="978"/>
      <w:bookmarkEnd w:id="979"/>
      <w:bookmarkEnd w:id="980"/>
      <w:bookmarkEnd w:id="981"/>
      <w:bookmarkEnd w:id="982"/>
      <w:bookmarkEnd w:id="983"/>
      <w:bookmarkEnd w:id="984"/>
      <w:bookmarkEnd w:id="985"/>
    </w:p>
    <w:p w14:paraId="1780A4A1">
      <w:pPr>
        <w:spacing w:line="360" w:lineRule="auto"/>
        <w:ind w:firstLine="408" w:firstLineChars="200"/>
        <w:rPr>
          <w:rFonts w:hint="eastAsia" w:ascii="宋体" w:hAnsi="宋体" w:cs="宋体"/>
          <w:highlight w:val="none"/>
        </w:rPr>
      </w:pPr>
      <w:r>
        <w:rPr>
          <w:rFonts w:hint="eastAsia" w:ascii="宋体" w:hAnsi="宋体" w:cs="宋体"/>
          <w:spacing w:val="-3"/>
          <w:highlight w:val="none"/>
        </w:rPr>
        <w:t>5.4.1 监理人有权拒绝承包人提供的不合格材料或工程设备，并要求承包人立即进行更换。监理人应在更换后再次进行检查和检验，由此增加的费用和（或）工期延误由承包人承担。</w:t>
      </w:r>
    </w:p>
    <w:p w14:paraId="3D387C1F">
      <w:pPr>
        <w:spacing w:line="360" w:lineRule="auto"/>
        <w:ind w:firstLine="420" w:firstLineChars="200"/>
        <w:rPr>
          <w:rFonts w:hint="eastAsia" w:ascii="宋体" w:hAnsi="宋体" w:cs="宋体"/>
          <w:highlight w:val="none"/>
        </w:rPr>
      </w:pPr>
      <w:r>
        <w:rPr>
          <w:rFonts w:hint="eastAsia" w:ascii="宋体" w:hAnsi="宋体" w:cs="宋体"/>
          <w:highlight w:val="none"/>
        </w:rPr>
        <w:t>5.4.2 监理人发现承包人使用了不合格的材料和工程设备，应即时发出指示要求承包人立即改正，并禁止在工程中继续使用不合格的材料和工程设备。</w:t>
      </w:r>
    </w:p>
    <w:p w14:paraId="3AFE7D9D">
      <w:pPr>
        <w:spacing w:line="360" w:lineRule="auto"/>
        <w:ind w:firstLine="420" w:firstLineChars="200"/>
        <w:rPr>
          <w:rFonts w:hint="eastAsia" w:ascii="宋体" w:hAnsi="宋体" w:cs="宋体"/>
          <w:highlight w:val="none"/>
        </w:rPr>
      </w:pPr>
      <w:r>
        <w:rPr>
          <w:rFonts w:hint="eastAsia" w:ascii="宋体" w:hAnsi="宋体" w:cs="宋体"/>
          <w:highlight w:val="none"/>
        </w:rPr>
        <w:t>5.4.3 发包人提供的材料或工程设备不符合合同要求的，承包人有权拒绝，并可要求发包人更换，由此增加的费用和（或）工期延误由发包人承担。</w:t>
      </w:r>
    </w:p>
    <w:p w14:paraId="5025CD65">
      <w:pPr>
        <w:rPr>
          <w:rFonts w:hint="eastAsia" w:ascii="宋体" w:hAnsi="宋体" w:cs="宋体"/>
          <w:highlight w:val="none"/>
        </w:rPr>
      </w:pPr>
      <w:bookmarkStart w:id="986" w:name="_Toc11846"/>
      <w:bookmarkStart w:id="987" w:name="_Toc4157290"/>
      <w:bookmarkStart w:id="988" w:name="_Toc338944749"/>
      <w:bookmarkStart w:id="989" w:name="_Toc503536132"/>
      <w:bookmarkStart w:id="990" w:name="_Toc342296307"/>
      <w:r>
        <w:rPr>
          <w:rFonts w:hint="eastAsia" w:ascii="宋体" w:hAnsi="宋体" w:cs="宋体"/>
          <w:highlight w:val="none"/>
        </w:rPr>
        <w:t>6. 施工设备和临时设施</w:t>
      </w:r>
      <w:bookmarkEnd w:id="986"/>
      <w:bookmarkEnd w:id="987"/>
      <w:bookmarkEnd w:id="988"/>
      <w:bookmarkEnd w:id="989"/>
      <w:bookmarkEnd w:id="990"/>
    </w:p>
    <w:p w14:paraId="554581F8">
      <w:pPr>
        <w:spacing w:line="360" w:lineRule="auto"/>
        <w:rPr>
          <w:rFonts w:hint="eastAsia" w:ascii="宋体" w:hAnsi="宋体" w:cs="宋体"/>
          <w:highlight w:val="none"/>
        </w:rPr>
      </w:pPr>
      <w:bookmarkStart w:id="991" w:name="_Toc503536133"/>
      <w:bookmarkStart w:id="992" w:name="_Toc342296308"/>
      <w:bookmarkStart w:id="993" w:name="_Toc338944750"/>
      <w:bookmarkStart w:id="994" w:name="_Toc454359222"/>
      <w:r>
        <w:rPr>
          <w:rFonts w:hint="eastAsia" w:ascii="宋体" w:hAnsi="宋体" w:cs="宋体"/>
          <w:highlight w:val="none"/>
        </w:rPr>
        <w:t>6.1 承包人提供的施工设备和临时设施</w:t>
      </w:r>
      <w:bookmarkEnd w:id="991"/>
      <w:bookmarkEnd w:id="992"/>
      <w:bookmarkEnd w:id="993"/>
      <w:bookmarkEnd w:id="994"/>
    </w:p>
    <w:p w14:paraId="6697DE9C">
      <w:pPr>
        <w:spacing w:line="360" w:lineRule="auto"/>
        <w:ind w:firstLine="420" w:firstLineChars="200"/>
        <w:rPr>
          <w:rFonts w:hint="eastAsia" w:ascii="宋体" w:hAnsi="宋体" w:cs="宋体"/>
          <w:highlight w:val="none"/>
        </w:rPr>
      </w:pPr>
      <w:r>
        <w:rPr>
          <w:rFonts w:hint="eastAsia" w:ascii="宋体" w:hAnsi="宋体" w:cs="宋体"/>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6B43E681">
      <w:pPr>
        <w:spacing w:line="360" w:lineRule="auto"/>
        <w:ind w:firstLine="420" w:firstLineChars="200"/>
        <w:rPr>
          <w:rFonts w:hint="eastAsia" w:ascii="宋体" w:hAnsi="宋体" w:cs="宋体"/>
          <w:highlight w:val="none"/>
        </w:rPr>
      </w:pPr>
      <w:r>
        <w:rPr>
          <w:rFonts w:hint="eastAsia" w:ascii="宋体" w:hAnsi="宋体" w:cs="宋体"/>
          <w:highlight w:val="none"/>
        </w:rPr>
        <w:t>6.1.2除专用合同条款另有约定外，承包人应自行承担修建临时设施的费用，需要临时占地的，应由发包人办理申请手续并承担相应费用。</w:t>
      </w:r>
    </w:p>
    <w:p w14:paraId="26EEC8EB">
      <w:pPr>
        <w:spacing w:line="360" w:lineRule="auto"/>
        <w:rPr>
          <w:rFonts w:hint="eastAsia" w:ascii="宋体" w:hAnsi="宋体" w:cs="宋体"/>
          <w:highlight w:val="none"/>
        </w:rPr>
      </w:pPr>
      <w:bookmarkStart w:id="995" w:name="_Toc342296309"/>
      <w:bookmarkStart w:id="996" w:name="_Toc338944751"/>
      <w:bookmarkStart w:id="997" w:name="_Toc503536134"/>
      <w:bookmarkStart w:id="998" w:name="_Toc454359223"/>
      <w:r>
        <w:rPr>
          <w:rFonts w:hint="eastAsia" w:ascii="宋体" w:hAnsi="宋体" w:cs="宋体"/>
          <w:highlight w:val="none"/>
        </w:rPr>
        <w:t>6.2 发包人提供的施工设备和临时设施</w:t>
      </w:r>
      <w:bookmarkEnd w:id="995"/>
      <w:bookmarkEnd w:id="996"/>
      <w:bookmarkEnd w:id="997"/>
      <w:bookmarkEnd w:id="998"/>
    </w:p>
    <w:p w14:paraId="319EA222">
      <w:pPr>
        <w:spacing w:line="360" w:lineRule="auto"/>
        <w:ind w:firstLine="420" w:firstLineChars="200"/>
        <w:rPr>
          <w:rFonts w:hint="eastAsia" w:ascii="宋体" w:hAnsi="宋体" w:cs="宋体"/>
          <w:highlight w:val="none"/>
        </w:rPr>
      </w:pPr>
      <w:r>
        <w:rPr>
          <w:rFonts w:hint="eastAsia" w:ascii="宋体" w:hAnsi="宋体" w:cs="宋体"/>
          <w:highlight w:val="none"/>
        </w:rPr>
        <w:t>发包人提供的施工设备或临时设施在专用合同条款中约定。</w:t>
      </w:r>
    </w:p>
    <w:p w14:paraId="2DBEC61F">
      <w:pPr>
        <w:spacing w:line="360" w:lineRule="auto"/>
        <w:rPr>
          <w:rFonts w:hint="eastAsia" w:ascii="宋体" w:hAnsi="宋体" w:cs="宋体"/>
          <w:highlight w:val="none"/>
        </w:rPr>
      </w:pPr>
      <w:bookmarkStart w:id="999" w:name="_Toc179632677"/>
      <w:bookmarkStart w:id="1000" w:name="_Toc144974627"/>
      <w:bookmarkStart w:id="1001" w:name="_Toc503536135"/>
      <w:bookmarkStart w:id="1002" w:name="_Toc342296310"/>
      <w:bookmarkStart w:id="1003" w:name="_Toc152045659"/>
      <w:bookmarkStart w:id="1004" w:name="_Toc338944752"/>
      <w:bookmarkStart w:id="1005" w:name="_Toc152042437"/>
      <w:bookmarkStart w:id="1006" w:name="_Toc454359224"/>
      <w:r>
        <w:rPr>
          <w:rFonts w:hint="eastAsia" w:ascii="宋体" w:hAnsi="宋体" w:cs="宋体"/>
          <w:highlight w:val="none"/>
        </w:rPr>
        <w:t>6.3 要求承包人增加或更换施工设备</w:t>
      </w:r>
      <w:bookmarkEnd w:id="999"/>
      <w:bookmarkEnd w:id="1000"/>
      <w:bookmarkEnd w:id="1001"/>
      <w:bookmarkEnd w:id="1002"/>
      <w:bookmarkEnd w:id="1003"/>
      <w:bookmarkEnd w:id="1004"/>
      <w:bookmarkEnd w:id="1005"/>
      <w:bookmarkEnd w:id="1006"/>
    </w:p>
    <w:p w14:paraId="0AC36FF4">
      <w:pPr>
        <w:spacing w:line="360" w:lineRule="auto"/>
        <w:ind w:firstLine="420" w:firstLineChars="200"/>
        <w:rPr>
          <w:rFonts w:hint="eastAsia" w:ascii="宋体" w:hAnsi="宋体" w:cs="宋体"/>
          <w:highlight w:val="none"/>
        </w:rPr>
      </w:pPr>
      <w:r>
        <w:rPr>
          <w:rFonts w:hint="eastAsia" w:ascii="宋体" w:hAnsi="宋体" w:cs="宋体"/>
          <w:highlight w:val="none"/>
        </w:rPr>
        <w:t>承包人使用的施工设备不能满足合同进度计划和（或）质量要求时，监理人有权要求承包人增加或更换施工设备，承包人应及时增加或更换，由此增加的费用和（或）工期延误由承包人承担。</w:t>
      </w:r>
    </w:p>
    <w:p w14:paraId="06AA8B35">
      <w:pPr>
        <w:spacing w:line="360" w:lineRule="auto"/>
        <w:rPr>
          <w:rFonts w:hint="eastAsia" w:ascii="宋体" w:hAnsi="宋体" w:cs="宋体"/>
          <w:highlight w:val="none"/>
        </w:rPr>
      </w:pPr>
      <w:bookmarkStart w:id="1007" w:name="_Toc454359225"/>
      <w:bookmarkStart w:id="1008" w:name="_Toc503536136"/>
      <w:bookmarkStart w:id="1009" w:name="_Toc342296311"/>
      <w:bookmarkStart w:id="1010" w:name="_Toc338944753"/>
      <w:r>
        <w:rPr>
          <w:rFonts w:hint="eastAsia" w:ascii="宋体" w:hAnsi="宋体" w:cs="宋体"/>
          <w:highlight w:val="none"/>
        </w:rPr>
        <w:t>6.4 施工设备和临时设施专用于合同工程</w:t>
      </w:r>
      <w:bookmarkEnd w:id="1007"/>
      <w:bookmarkEnd w:id="1008"/>
      <w:bookmarkEnd w:id="1009"/>
      <w:bookmarkEnd w:id="1010"/>
    </w:p>
    <w:p w14:paraId="57AB2022">
      <w:pPr>
        <w:spacing w:line="360" w:lineRule="auto"/>
        <w:ind w:firstLine="420" w:firstLineChars="200"/>
        <w:rPr>
          <w:rFonts w:hint="eastAsia" w:ascii="宋体" w:hAnsi="宋体" w:cs="宋体"/>
          <w:highlight w:val="none"/>
        </w:rPr>
      </w:pPr>
      <w:r>
        <w:rPr>
          <w:rFonts w:hint="eastAsia" w:ascii="宋体" w:hAnsi="宋体" w:cs="宋体"/>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5AFC94D0">
      <w:pPr>
        <w:spacing w:line="360" w:lineRule="auto"/>
        <w:ind w:firstLine="420" w:firstLineChars="200"/>
        <w:rPr>
          <w:rFonts w:hint="eastAsia" w:ascii="宋体" w:hAnsi="宋体" w:cs="宋体"/>
          <w:highlight w:val="none"/>
        </w:rPr>
      </w:pPr>
      <w:r>
        <w:rPr>
          <w:rFonts w:hint="eastAsia" w:ascii="宋体" w:hAnsi="宋体" w:cs="宋体"/>
          <w:highlight w:val="none"/>
        </w:rPr>
        <w:t>6.4.2 经监理人同意，承包人可根据合同进度计划撤走闲置的施工设备。</w:t>
      </w:r>
    </w:p>
    <w:p w14:paraId="26E5CEF3">
      <w:pPr>
        <w:rPr>
          <w:rFonts w:hint="eastAsia" w:ascii="宋体" w:hAnsi="宋体" w:cs="宋体"/>
          <w:highlight w:val="none"/>
        </w:rPr>
      </w:pPr>
      <w:bookmarkStart w:id="1011" w:name="_Toc342296312"/>
      <w:bookmarkStart w:id="1012" w:name="_Toc338944754"/>
      <w:bookmarkStart w:id="1013" w:name="_Toc4157291"/>
      <w:bookmarkStart w:id="1014" w:name="_Toc503536137"/>
      <w:bookmarkStart w:id="1015" w:name="_Toc21301"/>
      <w:r>
        <w:rPr>
          <w:rFonts w:hint="eastAsia" w:ascii="宋体" w:hAnsi="宋体" w:cs="宋体"/>
          <w:highlight w:val="none"/>
        </w:rPr>
        <w:t>7. 交通运输</w:t>
      </w:r>
      <w:bookmarkEnd w:id="1011"/>
      <w:bookmarkEnd w:id="1012"/>
      <w:bookmarkEnd w:id="1013"/>
      <w:bookmarkEnd w:id="1014"/>
      <w:bookmarkEnd w:id="1015"/>
    </w:p>
    <w:p w14:paraId="5940FC85">
      <w:pPr>
        <w:spacing w:line="360" w:lineRule="auto"/>
        <w:rPr>
          <w:rFonts w:hint="eastAsia" w:ascii="宋体" w:hAnsi="宋体" w:cs="宋体"/>
          <w:highlight w:val="none"/>
        </w:rPr>
      </w:pPr>
      <w:bookmarkStart w:id="1016" w:name="_Toc342296313"/>
      <w:bookmarkStart w:id="1017" w:name="_Toc454359227"/>
      <w:bookmarkStart w:id="1018" w:name="_Toc503536138"/>
      <w:bookmarkStart w:id="1019" w:name="_Toc338944755"/>
      <w:r>
        <w:rPr>
          <w:rFonts w:hint="eastAsia" w:ascii="宋体" w:hAnsi="宋体" w:cs="宋体"/>
          <w:highlight w:val="none"/>
        </w:rPr>
        <w:t>7.1 道路通行权和场外设施</w:t>
      </w:r>
      <w:bookmarkEnd w:id="1016"/>
      <w:bookmarkEnd w:id="1017"/>
      <w:bookmarkEnd w:id="1018"/>
      <w:bookmarkEnd w:id="1019"/>
    </w:p>
    <w:p w14:paraId="2D2455A8">
      <w:pPr>
        <w:spacing w:line="360" w:lineRule="auto"/>
        <w:ind w:firstLine="420" w:firstLineChars="200"/>
        <w:rPr>
          <w:rFonts w:hint="eastAsia" w:ascii="宋体" w:hAnsi="宋体" w:cs="宋体"/>
          <w:highlight w:val="none"/>
        </w:rPr>
      </w:pPr>
      <w:r>
        <w:rPr>
          <w:rFonts w:hint="eastAsia" w:ascii="宋体" w:hAnsi="宋体" w:cs="宋体"/>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65F6D19D">
      <w:pPr>
        <w:spacing w:line="360" w:lineRule="auto"/>
        <w:rPr>
          <w:rFonts w:hint="eastAsia" w:ascii="宋体" w:hAnsi="宋体" w:cs="宋体"/>
          <w:highlight w:val="none"/>
        </w:rPr>
      </w:pPr>
      <w:bookmarkStart w:id="1020" w:name="_Toc338944756"/>
      <w:bookmarkStart w:id="1021" w:name="_Toc454359228"/>
      <w:bookmarkStart w:id="1022" w:name="_Toc503536139"/>
      <w:bookmarkStart w:id="1023" w:name="_Toc342296314"/>
      <w:r>
        <w:rPr>
          <w:rFonts w:hint="eastAsia" w:ascii="宋体" w:hAnsi="宋体" w:cs="宋体"/>
          <w:highlight w:val="none"/>
        </w:rPr>
        <w:t>7.2 场内施工道路</w:t>
      </w:r>
      <w:bookmarkEnd w:id="1020"/>
      <w:bookmarkEnd w:id="1021"/>
      <w:bookmarkEnd w:id="1022"/>
      <w:bookmarkEnd w:id="1023"/>
    </w:p>
    <w:p w14:paraId="48D46E18">
      <w:pPr>
        <w:spacing w:line="360" w:lineRule="auto"/>
        <w:ind w:firstLine="408" w:firstLineChars="200"/>
        <w:rPr>
          <w:rFonts w:hint="eastAsia" w:ascii="宋体" w:hAnsi="宋体" w:cs="宋体"/>
          <w:highlight w:val="none"/>
        </w:rPr>
      </w:pPr>
      <w:r>
        <w:rPr>
          <w:rFonts w:hint="eastAsia" w:ascii="宋体" w:hAnsi="宋体" w:cs="宋体"/>
          <w:spacing w:val="-3"/>
          <w:highlight w:val="none"/>
        </w:rPr>
        <w:t>7.2.1 除专用合同条款另有约定外，承包人应负责修建、维修、养护和管理施工所需的临时道路和交通设施，包括维修、养护和管理发包人提供的道路和交通设施，并承担相应费用。</w:t>
      </w:r>
    </w:p>
    <w:p w14:paraId="18906470">
      <w:pPr>
        <w:spacing w:line="360" w:lineRule="auto"/>
        <w:ind w:firstLine="420" w:firstLineChars="200"/>
        <w:rPr>
          <w:rFonts w:hint="eastAsia" w:ascii="宋体" w:hAnsi="宋体" w:cs="宋体"/>
          <w:highlight w:val="none"/>
        </w:rPr>
      </w:pPr>
      <w:r>
        <w:rPr>
          <w:rFonts w:hint="eastAsia" w:ascii="宋体" w:hAnsi="宋体" w:cs="宋体"/>
          <w:highlight w:val="none"/>
        </w:rPr>
        <w:t>7.2.2 除专用合同条款另有约定外，承包人修建的临时道路和交通设施应免费提供发包人和监理人使用。</w:t>
      </w:r>
    </w:p>
    <w:p w14:paraId="7669EEBB">
      <w:pPr>
        <w:spacing w:line="360" w:lineRule="auto"/>
        <w:rPr>
          <w:rFonts w:hint="eastAsia" w:ascii="宋体" w:hAnsi="宋体" w:cs="宋体"/>
          <w:highlight w:val="none"/>
        </w:rPr>
      </w:pPr>
      <w:bookmarkStart w:id="1024" w:name="_Toc144974632"/>
      <w:bookmarkStart w:id="1025" w:name="_Toc338944757"/>
      <w:bookmarkStart w:id="1026" w:name="_Toc152042442"/>
      <w:bookmarkStart w:id="1027" w:name="_Toc454359229"/>
      <w:bookmarkStart w:id="1028" w:name="_Toc179632682"/>
      <w:bookmarkStart w:id="1029" w:name="_Toc152045664"/>
      <w:bookmarkStart w:id="1030" w:name="_Toc342296315"/>
      <w:bookmarkStart w:id="1031" w:name="_Toc503536140"/>
      <w:r>
        <w:rPr>
          <w:rFonts w:hint="eastAsia" w:ascii="宋体" w:hAnsi="宋体" w:cs="宋体"/>
          <w:highlight w:val="none"/>
        </w:rPr>
        <w:t>7.3 场外交通</w:t>
      </w:r>
      <w:bookmarkEnd w:id="1024"/>
      <w:bookmarkEnd w:id="1025"/>
      <w:bookmarkEnd w:id="1026"/>
      <w:bookmarkEnd w:id="1027"/>
      <w:bookmarkEnd w:id="1028"/>
      <w:bookmarkEnd w:id="1029"/>
      <w:bookmarkEnd w:id="1030"/>
      <w:bookmarkEnd w:id="1031"/>
    </w:p>
    <w:p w14:paraId="58F8782A">
      <w:pPr>
        <w:spacing w:line="360" w:lineRule="auto"/>
        <w:ind w:firstLine="404" w:firstLineChars="200"/>
        <w:rPr>
          <w:rFonts w:hint="eastAsia" w:ascii="宋体" w:hAnsi="宋体" w:cs="宋体"/>
          <w:spacing w:val="-4"/>
          <w:highlight w:val="none"/>
        </w:rPr>
      </w:pPr>
      <w:r>
        <w:rPr>
          <w:rFonts w:hint="eastAsia" w:ascii="宋体" w:hAnsi="宋体" w:cs="宋体"/>
          <w:spacing w:val="-4"/>
          <w:highlight w:val="none"/>
        </w:rPr>
        <w:t>7.3.1 承包人车辆外出行驶所需的场外公共道路的通行费、养路费和税款等由承包人承担。</w:t>
      </w:r>
    </w:p>
    <w:p w14:paraId="4F26C364">
      <w:pPr>
        <w:spacing w:line="360" w:lineRule="auto"/>
        <w:ind w:firstLine="420" w:firstLineChars="200"/>
        <w:rPr>
          <w:rFonts w:hint="eastAsia" w:ascii="宋体" w:hAnsi="宋体" w:cs="宋体"/>
          <w:highlight w:val="none"/>
        </w:rPr>
      </w:pPr>
      <w:r>
        <w:rPr>
          <w:rFonts w:hint="eastAsia" w:ascii="宋体" w:hAnsi="宋体" w:cs="宋体"/>
          <w:highlight w:val="none"/>
        </w:rPr>
        <w:t>7.3.2 承包人应遵守有关交通法规，严格按照道路和桥梁的限制荷重安全行驶，并服从交通管理部门的检查和监督。</w:t>
      </w:r>
    </w:p>
    <w:p w14:paraId="1D22AEE5">
      <w:pPr>
        <w:spacing w:line="360" w:lineRule="auto"/>
        <w:rPr>
          <w:rFonts w:hint="eastAsia" w:ascii="宋体" w:hAnsi="宋体" w:cs="宋体"/>
          <w:highlight w:val="none"/>
        </w:rPr>
      </w:pPr>
      <w:bookmarkStart w:id="1032" w:name="_Toc338944758"/>
      <w:bookmarkStart w:id="1033" w:name="_Toc454359230"/>
      <w:bookmarkStart w:id="1034" w:name="_Toc342296316"/>
      <w:bookmarkStart w:id="1035" w:name="_Toc503536141"/>
      <w:r>
        <w:rPr>
          <w:rFonts w:hint="eastAsia" w:ascii="宋体" w:hAnsi="宋体" w:cs="宋体"/>
          <w:highlight w:val="none"/>
        </w:rPr>
        <w:t>7.4 超大件和超重件的运输</w:t>
      </w:r>
      <w:bookmarkEnd w:id="1032"/>
      <w:bookmarkEnd w:id="1033"/>
      <w:bookmarkEnd w:id="1034"/>
      <w:bookmarkEnd w:id="1035"/>
    </w:p>
    <w:p w14:paraId="569C3951">
      <w:pPr>
        <w:spacing w:line="360" w:lineRule="auto"/>
        <w:ind w:firstLine="420" w:firstLineChars="200"/>
        <w:rPr>
          <w:rFonts w:hint="eastAsia" w:ascii="宋体" w:hAnsi="宋体" w:cs="宋体"/>
          <w:highlight w:val="none"/>
        </w:rPr>
      </w:pPr>
      <w:r>
        <w:rPr>
          <w:rFonts w:hint="eastAsia" w:ascii="宋体" w:hAnsi="宋体" w:cs="宋体"/>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24FC61F">
      <w:pPr>
        <w:spacing w:line="360" w:lineRule="auto"/>
        <w:rPr>
          <w:rFonts w:hint="eastAsia" w:ascii="宋体" w:hAnsi="宋体" w:cs="宋体"/>
          <w:highlight w:val="none"/>
        </w:rPr>
      </w:pPr>
      <w:bookmarkStart w:id="1036" w:name="_Toc454359231"/>
      <w:bookmarkStart w:id="1037" w:name="_Toc342296317"/>
      <w:bookmarkStart w:id="1038" w:name="_Toc338944759"/>
      <w:bookmarkStart w:id="1039" w:name="_Toc503536142"/>
      <w:r>
        <w:rPr>
          <w:rFonts w:hint="eastAsia" w:ascii="宋体" w:hAnsi="宋体" w:cs="宋体"/>
          <w:highlight w:val="none"/>
        </w:rPr>
        <w:t>7.5 道路和桥梁的损坏责任</w:t>
      </w:r>
      <w:bookmarkEnd w:id="1036"/>
      <w:bookmarkEnd w:id="1037"/>
      <w:bookmarkEnd w:id="1038"/>
      <w:bookmarkEnd w:id="1039"/>
    </w:p>
    <w:p w14:paraId="09706A1B">
      <w:pPr>
        <w:spacing w:line="360" w:lineRule="auto"/>
        <w:ind w:firstLine="420" w:firstLineChars="200"/>
        <w:rPr>
          <w:rFonts w:hint="eastAsia" w:ascii="宋体" w:hAnsi="宋体" w:cs="宋体"/>
          <w:highlight w:val="none"/>
        </w:rPr>
      </w:pPr>
      <w:r>
        <w:rPr>
          <w:rFonts w:hint="eastAsia" w:ascii="宋体" w:hAnsi="宋体" w:cs="宋体"/>
          <w:highlight w:val="none"/>
        </w:rPr>
        <w:t>因承包人运输造成施工场地内外公共道路和桥梁损坏的，由承包人承担修复损坏的全部费用和可能引起的赔偿。</w:t>
      </w:r>
    </w:p>
    <w:p w14:paraId="38A3554A">
      <w:pPr>
        <w:spacing w:line="360" w:lineRule="auto"/>
        <w:rPr>
          <w:rFonts w:hint="eastAsia" w:ascii="宋体" w:hAnsi="宋体" w:cs="宋体"/>
          <w:highlight w:val="none"/>
        </w:rPr>
      </w:pPr>
      <w:bookmarkStart w:id="1040" w:name="_Toc152042445"/>
      <w:bookmarkStart w:id="1041" w:name="_Toc503536143"/>
      <w:bookmarkStart w:id="1042" w:name="_Toc144974635"/>
      <w:bookmarkStart w:id="1043" w:name="_Toc179632685"/>
      <w:bookmarkStart w:id="1044" w:name="_Toc454359232"/>
      <w:bookmarkStart w:id="1045" w:name="_Toc342296318"/>
      <w:bookmarkStart w:id="1046" w:name="_Toc152045667"/>
      <w:bookmarkStart w:id="1047" w:name="_Toc338944760"/>
      <w:r>
        <w:rPr>
          <w:rFonts w:hint="eastAsia" w:ascii="宋体" w:hAnsi="宋体" w:cs="宋体"/>
          <w:highlight w:val="none"/>
        </w:rPr>
        <w:t>7.6 水路和航空运输</w:t>
      </w:r>
      <w:bookmarkEnd w:id="1040"/>
      <w:bookmarkEnd w:id="1041"/>
      <w:bookmarkEnd w:id="1042"/>
      <w:bookmarkEnd w:id="1043"/>
      <w:bookmarkEnd w:id="1044"/>
      <w:bookmarkEnd w:id="1045"/>
      <w:bookmarkEnd w:id="1046"/>
      <w:bookmarkEnd w:id="1047"/>
    </w:p>
    <w:p w14:paraId="6D0BDCA9">
      <w:pPr>
        <w:spacing w:line="360" w:lineRule="auto"/>
        <w:ind w:firstLine="420" w:firstLineChars="200"/>
        <w:rPr>
          <w:rFonts w:hint="eastAsia" w:ascii="宋体" w:hAnsi="宋体" w:cs="宋体"/>
          <w:highlight w:val="none"/>
        </w:rPr>
      </w:pPr>
      <w:r>
        <w:rPr>
          <w:rFonts w:hint="eastAsia" w:ascii="宋体" w:hAnsi="宋体" w:cs="宋体"/>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7B1D24FE">
      <w:pPr>
        <w:rPr>
          <w:rFonts w:hint="eastAsia" w:ascii="宋体" w:hAnsi="宋体" w:cs="宋体"/>
          <w:highlight w:val="none"/>
        </w:rPr>
      </w:pPr>
      <w:bookmarkStart w:id="1048" w:name="_Toc338944761"/>
      <w:bookmarkStart w:id="1049" w:name="_Toc342296319"/>
      <w:bookmarkStart w:id="1050" w:name="_Toc4157292"/>
      <w:bookmarkStart w:id="1051" w:name="_Toc7607"/>
      <w:bookmarkStart w:id="1052" w:name="_Toc503536144"/>
      <w:r>
        <w:rPr>
          <w:rFonts w:hint="eastAsia" w:ascii="宋体" w:hAnsi="宋体" w:cs="宋体"/>
          <w:highlight w:val="none"/>
        </w:rPr>
        <w:t>8. 测量放线</w:t>
      </w:r>
      <w:bookmarkEnd w:id="1048"/>
      <w:bookmarkEnd w:id="1049"/>
      <w:bookmarkEnd w:id="1050"/>
      <w:bookmarkEnd w:id="1051"/>
      <w:bookmarkEnd w:id="1052"/>
    </w:p>
    <w:p w14:paraId="2821302B">
      <w:pPr>
        <w:spacing w:line="360" w:lineRule="auto"/>
        <w:rPr>
          <w:rFonts w:hint="eastAsia" w:ascii="宋体" w:hAnsi="宋体" w:cs="宋体"/>
          <w:highlight w:val="none"/>
        </w:rPr>
      </w:pPr>
      <w:bookmarkStart w:id="1053" w:name="_Toc342296320"/>
      <w:bookmarkStart w:id="1054" w:name="_Toc454359234"/>
      <w:bookmarkStart w:id="1055" w:name="_Toc338944762"/>
      <w:bookmarkStart w:id="1056" w:name="_Toc503536145"/>
      <w:r>
        <w:rPr>
          <w:rFonts w:hint="eastAsia" w:ascii="宋体" w:hAnsi="宋体" w:cs="宋体"/>
          <w:highlight w:val="none"/>
        </w:rPr>
        <w:t>8.1 施工控制网</w:t>
      </w:r>
      <w:bookmarkEnd w:id="1053"/>
      <w:bookmarkEnd w:id="1054"/>
      <w:bookmarkEnd w:id="1055"/>
      <w:bookmarkEnd w:id="1056"/>
    </w:p>
    <w:p w14:paraId="1C4199E5">
      <w:pPr>
        <w:spacing w:line="360" w:lineRule="auto"/>
        <w:ind w:firstLine="420" w:firstLineChars="200"/>
        <w:rPr>
          <w:rFonts w:hint="eastAsia" w:ascii="宋体" w:hAnsi="宋体" w:cs="宋体"/>
          <w:highlight w:val="none"/>
        </w:rPr>
      </w:pPr>
      <w:r>
        <w:rPr>
          <w:rFonts w:hint="eastAsia" w:ascii="宋体" w:hAnsi="宋体" w:cs="宋体"/>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1BB9A97B">
      <w:pPr>
        <w:spacing w:line="360" w:lineRule="auto"/>
        <w:ind w:firstLine="420" w:firstLineChars="200"/>
        <w:rPr>
          <w:rFonts w:hint="eastAsia" w:ascii="宋体" w:hAnsi="宋体" w:cs="宋体"/>
          <w:highlight w:val="none"/>
        </w:rPr>
      </w:pPr>
      <w:r>
        <w:rPr>
          <w:rFonts w:hint="eastAsia" w:ascii="宋体" w:hAnsi="宋体" w:cs="宋体"/>
          <w:highlight w:val="none"/>
        </w:rPr>
        <w:t>8.1.2承包人应负责管理施工控制网点。施工控制网点丢失或损坏的，承包人应及时修复。承包人应承担施工控制网点的管理与修复费用，并在工程竣工后将施工控制网点移交发包人。</w:t>
      </w:r>
    </w:p>
    <w:p w14:paraId="3CA78B81">
      <w:pPr>
        <w:spacing w:line="360" w:lineRule="auto"/>
        <w:rPr>
          <w:rFonts w:hint="eastAsia" w:ascii="宋体" w:hAnsi="宋体" w:cs="宋体"/>
          <w:highlight w:val="none"/>
        </w:rPr>
      </w:pPr>
      <w:bookmarkStart w:id="1057" w:name="_Toc338944763"/>
      <w:bookmarkStart w:id="1058" w:name="_Toc342296321"/>
      <w:bookmarkStart w:id="1059" w:name="_Toc503536146"/>
      <w:bookmarkStart w:id="1060" w:name="_Toc454359235"/>
      <w:bookmarkStart w:id="1061" w:name="_Toc179632688"/>
      <w:bookmarkStart w:id="1062" w:name="_Toc144974638"/>
      <w:bookmarkStart w:id="1063" w:name="_Toc152045670"/>
      <w:bookmarkStart w:id="1064" w:name="_Toc152042448"/>
      <w:r>
        <w:rPr>
          <w:rFonts w:hint="eastAsia" w:ascii="宋体" w:hAnsi="宋体" w:cs="宋体"/>
          <w:highlight w:val="none"/>
        </w:rPr>
        <w:t>8.2 施工测量</w:t>
      </w:r>
      <w:bookmarkEnd w:id="1057"/>
      <w:bookmarkEnd w:id="1058"/>
      <w:bookmarkEnd w:id="1059"/>
      <w:bookmarkEnd w:id="1060"/>
      <w:bookmarkEnd w:id="1061"/>
      <w:bookmarkEnd w:id="1062"/>
      <w:bookmarkEnd w:id="1063"/>
      <w:bookmarkEnd w:id="1064"/>
    </w:p>
    <w:p w14:paraId="029FBA12">
      <w:pPr>
        <w:spacing w:line="360" w:lineRule="auto"/>
        <w:ind w:firstLine="420" w:firstLineChars="200"/>
        <w:rPr>
          <w:rFonts w:hint="eastAsia" w:ascii="宋体" w:hAnsi="宋体" w:cs="宋体"/>
          <w:highlight w:val="none"/>
        </w:rPr>
      </w:pPr>
      <w:r>
        <w:rPr>
          <w:rFonts w:hint="eastAsia" w:ascii="宋体" w:hAnsi="宋体" w:cs="宋体"/>
          <w:highlight w:val="none"/>
        </w:rPr>
        <w:t>8.2.1承包人应负责施工过程中的全部施工测量放线工作，并配置合格的人员、仪器、设备和其他物品。</w:t>
      </w:r>
    </w:p>
    <w:p w14:paraId="44B1EEB9">
      <w:pPr>
        <w:spacing w:line="360" w:lineRule="auto"/>
        <w:ind w:firstLine="420" w:firstLineChars="200"/>
        <w:rPr>
          <w:rFonts w:hint="eastAsia" w:ascii="宋体" w:hAnsi="宋体" w:cs="宋体"/>
          <w:highlight w:val="none"/>
        </w:rPr>
      </w:pPr>
      <w:r>
        <w:rPr>
          <w:rFonts w:hint="eastAsia" w:ascii="宋体" w:hAnsi="宋体" w:cs="宋体"/>
          <w:highlight w:val="none"/>
        </w:rPr>
        <w:t>8.2.2监理人可以指示承包人进行抽样复测，当复测中发现错误或出现超过合同约定的误差时，承包人应按监理人指示进行修正或补测，并承担相应的复测费用。</w:t>
      </w:r>
    </w:p>
    <w:p w14:paraId="79201329">
      <w:pPr>
        <w:spacing w:line="360" w:lineRule="auto"/>
        <w:rPr>
          <w:rFonts w:hint="eastAsia" w:ascii="宋体" w:hAnsi="宋体" w:cs="宋体"/>
          <w:highlight w:val="none"/>
        </w:rPr>
      </w:pPr>
      <w:bookmarkStart w:id="1065" w:name="_Toc152042449"/>
      <w:bookmarkStart w:id="1066" w:name="_Toc338944764"/>
      <w:bookmarkStart w:id="1067" w:name="_Toc179632689"/>
      <w:bookmarkStart w:id="1068" w:name="_Toc454359236"/>
      <w:bookmarkStart w:id="1069" w:name="_Toc152045671"/>
      <w:bookmarkStart w:id="1070" w:name="_Toc503536147"/>
      <w:bookmarkStart w:id="1071" w:name="_Toc342296322"/>
      <w:bookmarkStart w:id="1072" w:name="_Toc144974639"/>
      <w:r>
        <w:rPr>
          <w:rFonts w:hint="eastAsia" w:ascii="宋体" w:hAnsi="宋体" w:cs="宋体"/>
          <w:highlight w:val="none"/>
        </w:rPr>
        <w:t>8.3 基准资料错误的责任</w:t>
      </w:r>
      <w:bookmarkEnd w:id="1065"/>
      <w:bookmarkEnd w:id="1066"/>
      <w:bookmarkEnd w:id="1067"/>
      <w:bookmarkEnd w:id="1068"/>
      <w:bookmarkEnd w:id="1069"/>
      <w:bookmarkEnd w:id="1070"/>
      <w:bookmarkEnd w:id="1071"/>
      <w:bookmarkEnd w:id="1072"/>
    </w:p>
    <w:p w14:paraId="5E8C0893">
      <w:pPr>
        <w:spacing w:line="360" w:lineRule="auto"/>
        <w:ind w:firstLine="420" w:firstLineChars="200"/>
        <w:rPr>
          <w:rFonts w:hint="eastAsia" w:ascii="宋体" w:hAnsi="宋体" w:cs="宋体"/>
          <w:highlight w:val="none"/>
        </w:rPr>
      </w:pPr>
      <w:r>
        <w:rPr>
          <w:rFonts w:hint="eastAsia" w:ascii="宋体" w:hAnsi="宋体" w:cs="宋体"/>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3D31D2D5">
      <w:pPr>
        <w:spacing w:line="360" w:lineRule="auto"/>
        <w:rPr>
          <w:rFonts w:hint="eastAsia" w:ascii="宋体" w:hAnsi="宋体" w:cs="宋体"/>
          <w:highlight w:val="none"/>
        </w:rPr>
      </w:pPr>
      <w:bookmarkStart w:id="1073" w:name="_Toc454359237"/>
      <w:bookmarkStart w:id="1074" w:name="_Toc503536148"/>
      <w:bookmarkStart w:id="1075" w:name="_Toc152045672"/>
      <w:bookmarkStart w:id="1076" w:name="_Toc342296323"/>
      <w:bookmarkStart w:id="1077" w:name="_Toc179632690"/>
      <w:bookmarkStart w:id="1078" w:name="_Toc152042450"/>
      <w:bookmarkStart w:id="1079" w:name="_Toc144974640"/>
      <w:bookmarkStart w:id="1080" w:name="_Toc338944765"/>
      <w:r>
        <w:rPr>
          <w:rFonts w:hint="eastAsia" w:ascii="宋体" w:hAnsi="宋体" w:cs="宋体"/>
          <w:highlight w:val="none"/>
        </w:rPr>
        <w:t>8.4 监理人使用施工控制网</w:t>
      </w:r>
      <w:bookmarkEnd w:id="1073"/>
      <w:bookmarkEnd w:id="1074"/>
      <w:bookmarkEnd w:id="1075"/>
      <w:bookmarkEnd w:id="1076"/>
      <w:bookmarkEnd w:id="1077"/>
      <w:bookmarkEnd w:id="1078"/>
      <w:bookmarkEnd w:id="1079"/>
      <w:bookmarkEnd w:id="1080"/>
    </w:p>
    <w:p w14:paraId="3B7210A4">
      <w:pPr>
        <w:spacing w:line="360" w:lineRule="auto"/>
        <w:ind w:firstLine="420" w:firstLineChars="200"/>
        <w:rPr>
          <w:rFonts w:hint="eastAsia" w:ascii="宋体" w:hAnsi="宋体" w:cs="宋体"/>
          <w:dstrike/>
          <w:highlight w:val="none"/>
        </w:rPr>
      </w:pPr>
      <w:r>
        <w:rPr>
          <w:rFonts w:hint="eastAsia" w:ascii="宋体" w:hAnsi="宋体" w:cs="宋体"/>
          <w:highlight w:val="none"/>
        </w:rPr>
        <w:t>监理人需要使用施工控制网的，承包人应提供必要的协助，发包人不再为此支付费用。</w:t>
      </w:r>
    </w:p>
    <w:p w14:paraId="21F54690">
      <w:pPr>
        <w:rPr>
          <w:rFonts w:hint="eastAsia" w:ascii="宋体" w:hAnsi="宋体" w:cs="宋体"/>
          <w:highlight w:val="none"/>
        </w:rPr>
      </w:pPr>
      <w:bookmarkStart w:id="1081" w:name="_Toc4157293"/>
      <w:bookmarkStart w:id="1082" w:name="_Toc338944766"/>
      <w:bookmarkStart w:id="1083" w:name="_Toc503536149"/>
      <w:bookmarkStart w:id="1084" w:name="_Toc13039"/>
      <w:bookmarkStart w:id="1085" w:name="_Toc342296324"/>
      <w:r>
        <w:rPr>
          <w:rFonts w:hint="eastAsia" w:ascii="宋体" w:hAnsi="宋体" w:cs="宋体"/>
          <w:highlight w:val="none"/>
        </w:rPr>
        <w:t>9. 施工安全、治安保卫和环境保护</w:t>
      </w:r>
      <w:bookmarkEnd w:id="1081"/>
      <w:bookmarkEnd w:id="1082"/>
      <w:bookmarkEnd w:id="1083"/>
      <w:bookmarkEnd w:id="1084"/>
      <w:bookmarkEnd w:id="1085"/>
    </w:p>
    <w:p w14:paraId="59A0B3C4">
      <w:pPr>
        <w:spacing w:line="360" w:lineRule="auto"/>
        <w:rPr>
          <w:rFonts w:hint="eastAsia" w:ascii="宋体" w:hAnsi="宋体" w:cs="宋体"/>
          <w:highlight w:val="none"/>
        </w:rPr>
      </w:pPr>
      <w:bookmarkStart w:id="1086" w:name="_Toc454359239"/>
      <w:bookmarkStart w:id="1087" w:name="_Toc338944767"/>
      <w:bookmarkStart w:id="1088" w:name="_Toc179632692"/>
      <w:bookmarkStart w:id="1089" w:name="_Toc152042452"/>
      <w:bookmarkStart w:id="1090" w:name="_Toc342296325"/>
      <w:bookmarkStart w:id="1091" w:name="_Toc152045674"/>
      <w:bookmarkStart w:id="1092" w:name="_Toc503536150"/>
      <w:bookmarkStart w:id="1093" w:name="_Toc144974642"/>
      <w:r>
        <w:rPr>
          <w:rFonts w:hint="eastAsia" w:ascii="宋体" w:hAnsi="宋体" w:cs="宋体"/>
          <w:highlight w:val="none"/>
        </w:rPr>
        <w:t>9.1 发包人的施工安全责任</w:t>
      </w:r>
      <w:bookmarkEnd w:id="1086"/>
      <w:bookmarkEnd w:id="1087"/>
      <w:bookmarkEnd w:id="1088"/>
      <w:bookmarkEnd w:id="1089"/>
      <w:bookmarkEnd w:id="1090"/>
      <w:bookmarkEnd w:id="1091"/>
      <w:bookmarkEnd w:id="1092"/>
      <w:bookmarkEnd w:id="1093"/>
    </w:p>
    <w:p w14:paraId="051D3B8D">
      <w:pPr>
        <w:spacing w:line="360" w:lineRule="auto"/>
        <w:ind w:firstLine="420" w:firstLineChars="200"/>
        <w:rPr>
          <w:rFonts w:hint="eastAsia" w:ascii="宋体" w:hAnsi="宋体" w:cs="宋体"/>
          <w:highlight w:val="none"/>
        </w:rPr>
      </w:pPr>
      <w:r>
        <w:rPr>
          <w:rFonts w:hint="eastAsia" w:ascii="宋体" w:hAnsi="宋体" w:cs="宋体"/>
          <w:highlight w:val="none"/>
        </w:rPr>
        <w:t>9.1.1 发包人应按合同约定履行安全职责，授权监理人按合同约定的安全工作内容监督、检查承包人安全工作的实施，组织承包人和有关单位进行安全检查。</w:t>
      </w:r>
    </w:p>
    <w:p w14:paraId="4D823F6D">
      <w:pPr>
        <w:spacing w:line="360" w:lineRule="auto"/>
        <w:ind w:firstLine="420" w:firstLineChars="200"/>
        <w:rPr>
          <w:rFonts w:hint="eastAsia" w:ascii="宋体" w:hAnsi="宋体" w:cs="宋体"/>
          <w:highlight w:val="none"/>
        </w:rPr>
      </w:pPr>
      <w:r>
        <w:rPr>
          <w:rFonts w:hint="eastAsia" w:ascii="宋体" w:hAnsi="宋体" w:cs="宋体"/>
          <w:highlight w:val="none"/>
        </w:rPr>
        <w:t>9.1.2 发包人应对其现场机构雇佣的全部人员的工伤事故承担责任，但由于承包人原因造成发包人人员工伤的，应由承包人承担责任。</w:t>
      </w:r>
    </w:p>
    <w:p w14:paraId="18C82313">
      <w:pPr>
        <w:spacing w:line="360" w:lineRule="auto"/>
        <w:ind w:firstLine="420" w:firstLineChars="200"/>
        <w:rPr>
          <w:rFonts w:hint="eastAsia" w:ascii="宋体" w:hAnsi="宋体" w:cs="宋体"/>
          <w:highlight w:val="none"/>
        </w:rPr>
      </w:pPr>
      <w:r>
        <w:rPr>
          <w:rFonts w:hint="eastAsia" w:ascii="宋体" w:hAnsi="宋体" w:cs="宋体"/>
          <w:highlight w:val="none"/>
        </w:rPr>
        <w:t>9.1.3 发包人应负责赔偿以下各种情况造成的第三者人身伤亡和财产损失：</w:t>
      </w:r>
    </w:p>
    <w:p w14:paraId="50F647A6">
      <w:pPr>
        <w:spacing w:line="360" w:lineRule="auto"/>
        <w:ind w:firstLine="420" w:firstLineChars="200"/>
        <w:rPr>
          <w:rFonts w:hint="eastAsia" w:ascii="宋体" w:hAnsi="宋体" w:cs="宋体"/>
          <w:highlight w:val="none"/>
        </w:rPr>
      </w:pPr>
      <w:r>
        <w:rPr>
          <w:rFonts w:hint="eastAsia" w:ascii="宋体" w:hAnsi="宋体" w:cs="宋体"/>
          <w:highlight w:val="none"/>
        </w:rPr>
        <w:t>（1） 工程或工程的任何部分对土地的占用所造成的第三者财产损失；</w:t>
      </w:r>
    </w:p>
    <w:p w14:paraId="13278A8B">
      <w:pPr>
        <w:spacing w:line="360" w:lineRule="auto"/>
        <w:ind w:firstLine="420" w:firstLineChars="200"/>
        <w:rPr>
          <w:rFonts w:hint="eastAsia" w:ascii="宋体" w:hAnsi="宋体" w:cs="宋体"/>
          <w:highlight w:val="none"/>
        </w:rPr>
      </w:pPr>
      <w:r>
        <w:rPr>
          <w:rFonts w:hint="eastAsia" w:ascii="宋体" w:hAnsi="宋体" w:cs="宋体"/>
          <w:highlight w:val="none"/>
        </w:rPr>
        <w:t>（2） 由于发包人原因在施工场地及其毗邻地带造成的第三者人身伤亡和财产损失。</w:t>
      </w:r>
    </w:p>
    <w:p w14:paraId="6EFAA4CD">
      <w:pPr>
        <w:spacing w:line="360" w:lineRule="auto"/>
        <w:rPr>
          <w:rFonts w:hint="eastAsia" w:ascii="宋体" w:hAnsi="宋体" w:cs="宋体"/>
          <w:highlight w:val="none"/>
        </w:rPr>
      </w:pPr>
      <w:bookmarkStart w:id="1094" w:name="_Toc454359240"/>
      <w:bookmarkStart w:id="1095" w:name="_Toc338944768"/>
      <w:bookmarkStart w:id="1096" w:name="_Toc342296326"/>
      <w:bookmarkStart w:id="1097" w:name="_Toc503536151"/>
      <w:r>
        <w:rPr>
          <w:rFonts w:hint="eastAsia" w:ascii="宋体" w:hAnsi="宋体" w:cs="宋体"/>
          <w:highlight w:val="none"/>
        </w:rPr>
        <w:t>9.2 承包人的施工安全责任</w:t>
      </w:r>
      <w:bookmarkEnd w:id="1094"/>
      <w:bookmarkEnd w:id="1095"/>
      <w:bookmarkEnd w:id="1096"/>
      <w:bookmarkEnd w:id="1097"/>
    </w:p>
    <w:p w14:paraId="2091300E">
      <w:pPr>
        <w:spacing w:line="360" w:lineRule="auto"/>
        <w:ind w:firstLine="404" w:firstLineChars="200"/>
        <w:rPr>
          <w:rFonts w:hint="eastAsia" w:ascii="宋体" w:hAnsi="宋体" w:cs="宋体"/>
          <w:spacing w:val="-4"/>
          <w:highlight w:val="none"/>
        </w:rPr>
      </w:pPr>
      <w:r>
        <w:rPr>
          <w:rFonts w:hint="eastAsia" w:ascii="宋体" w:hAnsi="宋体" w:cs="宋体"/>
          <w:spacing w:val="-4"/>
          <w:highlight w:val="none"/>
        </w:rPr>
        <w:t>9.2.1 承包人应按合同约定履行安全职责,执行监理人有关安全工作的指示,并在专用合同条款约定的期限内，按合同约定的安全工作内容，编制施工安全措施计划报送监理人审批。</w:t>
      </w:r>
    </w:p>
    <w:p w14:paraId="7CED4BFE">
      <w:pPr>
        <w:spacing w:line="360" w:lineRule="auto"/>
        <w:ind w:firstLine="420" w:firstLineChars="200"/>
        <w:rPr>
          <w:rFonts w:hint="eastAsia" w:ascii="宋体" w:hAnsi="宋体" w:cs="宋体"/>
          <w:highlight w:val="none"/>
        </w:rPr>
      </w:pPr>
      <w:r>
        <w:rPr>
          <w:rFonts w:hint="eastAsia" w:ascii="宋体" w:hAnsi="宋体" w:cs="宋体"/>
          <w:highlight w:val="none"/>
        </w:rPr>
        <w:t>9.2.2 承包人应加强施工作业安全管理，特别应加强易燃、易爆材料、火工器材、有毒与腐蚀性材料和其他危险品的管理，以及对爆破作业和地下工程施工等危险作业的管理。</w:t>
      </w:r>
    </w:p>
    <w:p w14:paraId="36895758">
      <w:pPr>
        <w:spacing w:line="360" w:lineRule="auto"/>
        <w:ind w:firstLine="420" w:firstLineChars="200"/>
        <w:rPr>
          <w:rFonts w:hint="eastAsia" w:ascii="宋体" w:hAnsi="宋体" w:cs="宋体"/>
          <w:highlight w:val="none"/>
        </w:rPr>
      </w:pPr>
      <w:r>
        <w:rPr>
          <w:rFonts w:hint="eastAsia" w:ascii="宋体" w:hAnsi="宋体" w:cs="宋体"/>
          <w:highlight w:val="none"/>
        </w:rPr>
        <w:t>9.2.3 承包人应严格按照国家安全标准制定施工安全操作规程，配备必要的安全生产和劳动保护设施，加强对承包人人员的安全教育，并发放安全工作手册和劳动保护用具。</w:t>
      </w:r>
    </w:p>
    <w:p w14:paraId="4DE89F6A">
      <w:pPr>
        <w:spacing w:line="360" w:lineRule="auto"/>
        <w:ind w:firstLine="408" w:firstLineChars="200"/>
        <w:rPr>
          <w:rFonts w:hint="eastAsia" w:ascii="宋体" w:hAnsi="宋体" w:cs="宋体"/>
          <w:spacing w:val="-3"/>
          <w:highlight w:val="none"/>
        </w:rPr>
      </w:pPr>
      <w:r>
        <w:rPr>
          <w:rFonts w:hint="eastAsia" w:ascii="宋体" w:hAnsi="宋体" w:cs="宋体"/>
          <w:spacing w:val="-3"/>
          <w:highlight w:val="none"/>
        </w:rPr>
        <w:t>9.2.4 承包人应按监理人的指示制定应对灾害的紧急预案，报送监理人审批。承包人还应按预案做好安全检查，配置必要的救助物资和器材，切实保护好有关人员的人身和财产安全。</w:t>
      </w:r>
    </w:p>
    <w:p w14:paraId="7038742E">
      <w:pPr>
        <w:spacing w:line="360" w:lineRule="auto"/>
        <w:ind w:firstLine="420" w:firstLineChars="200"/>
        <w:rPr>
          <w:rFonts w:hint="eastAsia" w:ascii="宋体" w:hAnsi="宋体" w:cs="宋体"/>
          <w:highlight w:val="none"/>
        </w:rPr>
      </w:pPr>
      <w:r>
        <w:rPr>
          <w:rFonts w:hint="eastAsia" w:ascii="宋体" w:hAnsi="宋体" w:cs="宋体"/>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40CDFE46">
      <w:pPr>
        <w:spacing w:line="360" w:lineRule="auto"/>
        <w:ind w:firstLine="420" w:firstLineChars="200"/>
        <w:rPr>
          <w:rFonts w:hint="eastAsia" w:ascii="宋体" w:hAnsi="宋体" w:cs="宋体"/>
          <w:highlight w:val="none"/>
        </w:rPr>
      </w:pPr>
      <w:r>
        <w:rPr>
          <w:rFonts w:hint="eastAsia" w:ascii="宋体" w:hAnsi="宋体" w:cs="宋体"/>
          <w:highlight w:val="none"/>
        </w:rPr>
        <w:t>9.2.6 承包人应对其履行合同所雇佣的全部人员，包括分包人人员的工伤事故承担责任，但由于发包人原因造成承包人人员工伤事故的，应由发包人承担责任。</w:t>
      </w:r>
    </w:p>
    <w:p w14:paraId="39A09D1F">
      <w:pPr>
        <w:spacing w:line="360" w:lineRule="auto"/>
        <w:ind w:firstLine="420" w:firstLineChars="200"/>
        <w:rPr>
          <w:rFonts w:hint="eastAsia" w:ascii="宋体" w:hAnsi="宋体" w:cs="宋体"/>
          <w:highlight w:val="none"/>
        </w:rPr>
      </w:pPr>
      <w:r>
        <w:rPr>
          <w:rFonts w:hint="eastAsia" w:ascii="宋体" w:hAnsi="宋体" w:cs="宋体"/>
          <w:highlight w:val="none"/>
        </w:rPr>
        <w:t>9.2.7 由于承包人原因在施工场地内及其毗邻地带造成的第三者人员伤亡和财产损失，由承包人负责赔偿。</w:t>
      </w:r>
    </w:p>
    <w:p w14:paraId="61B871FF">
      <w:pPr>
        <w:spacing w:line="360" w:lineRule="auto"/>
        <w:rPr>
          <w:rFonts w:hint="eastAsia" w:ascii="宋体" w:hAnsi="宋体" w:cs="宋体"/>
          <w:highlight w:val="none"/>
        </w:rPr>
      </w:pPr>
      <w:bookmarkStart w:id="1098" w:name="_Toc338944769"/>
      <w:bookmarkStart w:id="1099" w:name="_Toc503536152"/>
      <w:bookmarkStart w:id="1100" w:name="_Toc454359241"/>
      <w:bookmarkStart w:id="1101" w:name="_Toc342296327"/>
      <w:r>
        <w:rPr>
          <w:rFonts w:hint="eastAsia" w:ascii="宋体" w:hAnsi="宋体" w:cs="宋体"/>
          <w:highlight w:val="none"/>
        </w:rPr>
        <w:t>9.3 治安保卫</w:t>
      </w:r>
      <w:bookmarkEnd w:id="1098"/>
      <w:bookmarkEnd w:id="1099"/>
      <w:bookmarkEnd w:id="1100"/>
      <w:bookmarkEnd w:id="1101"/>
    </w:p>
    <w:p w14:paraId="7BFA2544">
      <w:pPr>
        <w:spacing w:line="360" w:lineRule="auto"/>
        <w:ind w:firstLine="420" w:firstLineChars="200"/>
        <w:rPr>
          <w:rFonts w:hint="eastAsia" w:ascii="宋体" w:hAnsi="宋体" w:cs="宋体"/>
          <w:highlight w:val="none"/>
        </w:rPr>
      </w:pPr>
      <w:r>
        <w:rPr>
          <w:rFonts w:hint="eastAsia" w:ascii="宋体" w:hAnsi="宋体" w:cs="宋体"/>
          <w:highlight w:val="none"/>
        </w:rPr>
        <w:t>9.3.1 除合同另有约定外，发包人应与当地公安部门协商，在现场建立治安管理机构或联防组织，统一管理施工场地的治安保卫事项，履行合同工程的治安保卫职责。</w:t>
      </w:r>
    </w:p>
    <w:p w14:paraId="4674958B">
      <w:pPr>
        <w:spacing w:line="360" w:lineRule="auto"/>
        <w:ind w:firstLine="420" w:firstLineChars="200"/>
        <w:rPr>
          <w:rFonts w:hint="eastAsia" w:ascii="宋体" w:hAnsi="宋体" w:cs="宋体"/>
          <w:highlight w:val="none"/>
        </w:rPr>
      </w:pPr>
      <w:r>
        <w:rPr>
          <w:rFonts w:hint="eastAsia" w:ascii="宋体" w:hAnsi="宋体" w:cs="宋体"/>
          <w:highlight w:val="none"/>
        </w:rPr>
        <w:t>9.3.2 发包人和承包人除应协助现场治安管理机构或联防组织维护施工场地的社会治安外，还应做好包括生活区在内的各自管辖区的治安保卫工作。</w:t>
      </w:r>
    </w:p>
    <w:p w14:paraId="0199C872">
      <w:pPr>
        <w:spacing w:line="360" w:lineRule="auto"/>
        <w:ind w:firstLine="420" w:firstLineChars="200"/>
        <w:rPr>
          <w:rFonts w:hint="eastAsia" w:ascii="宋体" w:hAnsi="宋体" w:cs="宋体"/>
          <w:highlight w:val="none"/>
        </w:rPr>
      </w:pPr>
      <w:r>
        <w:rPr>
          <w:rFonts w:hint="eastAsia" w:ascii="宋体" w:hAnsi="宋体" w:cs="宋体"/>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3AB73D1">
      <w:pPr>
        <w:spacing w:line="360" w:lineRule="auto"/>
        <w:rPr>
          <w:rFonts w:hint="eastAsia" w:ascii="宋体" w:hAnsi="宋体" w:cs="宋体"/>
          <w:highlight w:val="none"/>
        </w:rPr>
      </w:pPr>
      <w:bookmarkStart w:id="1102" w:name="_Toc454359242"/>
      <w:bookmarkStart w:id="1103" w:name="_Toc342296328"/>
      <w:bookmarkStart w:id="1104" w:name="_Toc503536153"/>
      <w:bookmarkStart w:id="1105" w:name="_Toc338944770"/>
      <w:r>
        <w:rPr>
          <w:rFonts w:hint="eastAsia" w:ascii="宋体" w:hAnsi="宋体" w:cs="宋体"/>
          <w:highlight w:val="none"/>
        </w:rPr>
        <w:t>9.4 环境保护</w:t>
      </w:r>
      <w:bookmarkEnd w:id="1102"/>
      <w:bookmarkEnd w:id="1103"/>
      <w:bookmarkEnd w:id="1104"/>
      <w:bookmarkEnd w:id="1105"/>
    </w:p>
    <w:p w14:paraId="6386C775">
      <w:pPr>
        <w:spacing w:line="360" w:lineRule="auto"/>
        <w:ind w:firstLine="420" w:firstLineChars="200"/>
        <w:rPr>
          <w:rFonts w:hint="eastAsia" w:ascii="宋体" w:hAnsi="宋体" w:cs="宋体"/>
          <w:highlight w:val="none"/>
        </w:rPr>
      </w:pPr>
      <w:r>
        <w:rPr>
          <w:rFonts w:hint="eastAsia" w:ascii="宋体" w:hAnsi="宋体" w:cs="宋体"/>
          <w:highlight w:val="none"/>
        </w:rPr>
        <w:t>9.4.1 承包人在施工过程中，应遵守有关环境保护的法律，履行合同约定的环境保护义务，并对违反法律和合同约定义务所造成的环境破坏、人身伤害和财产损失负责。</w:t>
      </w:r>
    </w:p>
    <w:p w14:paraId="449EB11F">
      <w:pPr>
        <w:spacing w:line="360" w:lineRule="auto"/>
        <w:ind w:firstLine="420" w:firstLineChars="200"/>
        <w:rPr>
          <w:rFonts w:hint="eastAsia" w:ascii="宋体" w:hAnsi="宋体" w:cs="宋体"/>
          <w:highlight w:val="none"/>
        </w:rPr>
      </w:pPr>
      <w:r>
        <w:rPr>
          <w:rFonts w:hint="eastAsia" w:ascii="宋体" w:hAnsi="宋体" w:cs="宋体"/>
          <w:highlight w:val="none"/>
        </w:rPr>
        <w:t>9.4.2 承包人应按合同约定的环保工作内容，编制施工环保措施计划，报送监理人审批。</w:t>
      </w:r>
    </w:p>
    <w:p w14:paraId="16FDD625">
      <w:pPr>
        <w:spacing w:line="360" w:lineRule="auto"/>
        <w:ind w:firstLine="420" w:firstLineChars="200"/>
        <w:rPr>
          <w:rFonts w:hint="eastAsia" w:ascii="宋体" w:hAnsi="宋体" w:cs="宋体"/>
          <w:highlight w:val="none"/>
        </w:rPr>
      </w:pPr>
      <w:r>
        <w:rPr>
          <w:rFonts w:hint="eastAsia" w:ascii="宋体" w:hAnsi="宋体" w:cs="宋体"/>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30D01CA">
      <w:pPr>
        <w:spacing w:line="360" w:lineRule="auto"/>
        <w:ind w:firstLine="420" w:firstLineChars="200"/>
        <w:rPr>
          <w:rFonts w:hint="eastAsia" w:ascii="宋体" w:hAnsi="宋体" w:cs="宋体"/>
          <w:highlight w:val="none"/>
        </w:rPr>
      </w:pPr>
      <w:r>
        <w:rPr>
          <w:rFonts w:hint="eastAsia" w:ascii="宋体" w:hAnsi="宋体" w:cs="宋体"/>
          <w:highlight w:val="none"/>
        </w:rPr>
        <w:t>9.4.4 承包人应按合同约定采取有效措施，对施工开挖的边坡及时进行支护,维护排水设施，并进行水土保护，避免因施工造成的地质灾害。</w:t>
      </w:r>
    </w:p>
    <w:p w14:paraId="450A6CA3">
      <w:pPr>
        <w:spacing w:line="360" w:lineRule="auto"/>
        <w:ind w:firstLine="420" w:firstLineChars="200"/>
        <w:rPr>
          <w:rFonts w:hint="eastAsia" w:ascii="宋体" w:hAnsi="宋体" w:cs="宋体"/>
          <w:highlight w:val="none"/>
        </w:rPr>
      </w:pPr>
      <w:r>
        <w:rPr>
          <w:rFonts w:hint="eastAsia" w:ascii="宋体" w:hAnsi="宋体" w:cs="宋体"/>
          <w:highlight w:val="none"/>
        </w:rPr>
        <w:t>9.4.5 承包人应按国家饮用水管理标准定期对饮用水源进行监测，防止施工活动污染饮用水源。</w:t>
      </w:r>
    </w:p>
    <w:p w14:paraId="3BF68347">
      <w:pPr>
        <w:spacing w:line="360" w:lineRule="auto"/>
        <w:ind w:firstLine="420" w:firstLineChars="200"/>
        <w:rPr>
          <w:rFonts w:hint="eastAsia" w:ascii="宋体" w:hAnsi="宋体" w:cs="宋体"/>
          <w:highlight w:val="none"/>
        </w:rPr>
      </w:pPr>
      <w:r>
        <w:rPr>
          <w:rFonts w:hint="eastAsia" w:ascii="宋体" w:hAnsi="宋体" w:cs="宋体"/>
          <w:highlight w:val="none"/>
        </w:rPr>
        <w:t>9.4.6 承包人应按合同约定，加强对噪声、粉尘、废气、废水和废油的控制，努力降低噪声，控制粉尘和废气浓度，做好废水和废油的治理和排放。</w:t>
      </w:r>
    </w:p>
    <w:p w14:paraId="7B17215E">
      <w:pPr>
        <w:spacing w:line="360" w:lineRule="auto"/>
        <w:rPr>
          <w:rFonts w:hint="eastAsia" w:ascii="宋体" w:hAnsi="宋体" w:cs="宋体"/>
          <w:highlight w:val="none"/>
        </w:rPr>
      </w:pPr>
      <w:bookmarkStart w:id="1106" w:name="_Toc454359243"/>
      <w:bookmarkStart w:id="1107" w:name="_Toc338944771"/>
      <w:bookmarkStart w:id="1108" w:name="_Toc144974646"/>
      <w:bookmarkStart w:id="1109" w:name="_Toc503536154"/>
      <w:bookmarkStart w:id="1110" w:name="_Toc342296329"/>
      <w:bookmarkStart w:id="1111" w:name="_Toc152045678"/>
      <w:bookmarkStart w:id="1112" w:name="_Toc152042456"/>
      <w:bookmarkStart w:id="1113" w:name="_Toc179632696"/>
      <w:r>
        <w:rPr>
          <w:rFonts w:hint="eastAsia" w:ascii="宋体" w:hAnsi="宋体" w:cs="宋体"/>
          <w:highlight w:val="none"/>
        </w:rPr>
        <w:t>9.5 事故处理</w:t>
      </w:r>
      <w:bookmarkEnd w:id="1106"/>
      <w:bookmarkEnd w:id="1107"/>
      <w:bookmarkEnd w:id="1108"/>
      <w:bookmarkEnd w:id="1109"/>
      <w:bookmarkEnd w:id="1110"/>
      <w:bookmarkEnd w:id="1111"/>
      <w:bookmarkEnd w:id="1112"/>
      <w:bookmarkEnd w:id="1113"/>
    </w:p>
    <w:p w14:paraId="4168068A">
      <w:pPr>
        <w:spacing w:line="360" w:lineRule="auto"/>
        <w:ind w:firstLine="420" w:firstLineChars="200"/>
        <w:rPr>
          <w:rFonts w:hint="eastAsia" w:ascii="宋体" w:hAnsi="宋体" w:cs="宋体"/>
          <w:highlight w:val="none"/>
        </w:rPr>
      </w:pPr>
      <w:r>
        <w:rPr>
          <w:rFonts w:hint="eastAsia" w:ascii="宋体" w:hAnsi="宋体" w:cs="宋体"/>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ECFAB7B">
      <w:pPr>
        <w:rPr>
          <w:rFonts w:hint="eastAsia" w:ascii="宋体" w:hAnsi="宋体" w:cs="宋体"/>
          <w:highlight w:val="none"/>
        </w:rPr>
      </w:pPr>
      <w:bookmarkStart w:id="1114" w:name="_Toc503536155"/>
      <w:bookmarkStart w:id="1115" w:name="_Toc29435"/>
      <w:bookmarkStart w:id="1116" w:name="_Toc4157294"/>
      <w:bookmarkStart w:id="1117" w:name="_Toc342296330"/>
      <w:bookmarkStart w:id="1118" w:name="_Toc338944772"/>
      <w:r>
        <w:rPr>
          <w:rFonts w:hint="eastAsia" w:ascii="宋体" w:hAnsi="宋体" w:cs="宋体"/>
          <w:highlight w:val="none"/>
        </w:rPr>
        <w:t>10. 进度计划</w:t>
      </w:r>
      <w:bookmarkEnd w:id="1114"/>
      <w:bookmarkEnd w:id="1115"/>
      <w:bookmarkEnd w:id="1116"/>
      <w:bookmarkEnd w:id="1117"/>
      <w:bookmarkEnd w:id="1118"/>
    </w:p>
    <w:p w14:paraId="0FF2753D">
      <w:pPr>
        <w:spacing w:line="360" w:lineRule="auto"/>
        <w:rPr>
          <w:rFonts w:hint="eastAsia" w:ascii="宋体" w:hAnsi="宋体" w:cs="宋体"/>
          <w:highlight w:val="none"/>
        </w:rPr>
      </w:pPr>
      <w:bookmarkStart w:id="1119" w:name="_Toc503536156"/>
      <w:bookmarkStart w:id="1120" w:name="_Toc342296331"/>
      <w:bookmarkStart w:id="1121" w:name="_Toc454359245"/>
      <w:bookmarkStart w:id="1122" w:name="_Toc338944773"/>
      <w:r>
        <w:rPr>
          <w:rFonts w:hint="eastAsia" w:ascii="宋体" w:hAnsi="宋体" w:cs="宋体"/>
          <w:highlight w:val="none"/>
        </w:rPr>
        <w:t>10.1 合同进度计划</w:t>
      </w:r>
      <w:bookmarkEnd w:id="1119"/>
      <w:bookmarkEnd w:id="1120"/>
      <w:bookmarkEnd w:id="1121"/>
      <w:bookmarkEnd w:id="1122"/>
    </w:p>
    <w:p w14:paraId="638859AF">
      <w:pPr>
        <w:spacing w:line="360" w:lineRule="auto"/>
        <w:ind w:firstLine="420" w:firstLineChars="200"/>
        <w:rPr>
          <w:rFonts w:hint="eastAsia" w:ascii="宋体" w:hAnsi="宋体" w:cs="宋体"/>
          <w:highlight w:val="none"/>
        </w:rPr>
      </w:pPr>
      <w:r>
        <w:rPr>
          <w:rFonts w:hint="eastAsia" w:ascii="宋体" w:hAnsi="宋体" w:cs="宋体"/>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0E57515">
      <w:pPr>
        <w:spacing w:line="360" w:lineRule="auto"/>
        <w:rPr>
          <w:rFonts w:hint="eastAsia" w:ascii="宋体" w:hAnsi="宋体" w:cs="宋体"/>
          <w:highlight w:val="none"/>
        </w:rPr>
      </w:pPr>
      <w:bookmarkStart w:id="1123" w:name="_Toc338944774"/>
      <w:bookmarkStart w:id="1124" w:name="_Toc454359246"/>
      <w:bookmarkStart w:id="1125" w:name="_Toc342296332"/>
      <w:bookmarkStart w:id="1126" w:name="_Toc503536157"/>
      <w:r>
        <w:rPr>
          <w:rFonts w:hint="eastAsia" w:ascii="宋体" w:hAnsi="宋体" w:cs="宋体"/>
          <w:highlight w:val="none"/>
        </w:rPr>
        <w:t>10.2 合同进度计划的修订</w:t>
      </w:r>
      <w:bookmarkEnd w:id="1123"/>
      <w:bookmarkEnd w:id="1124"/>
      <w:bookmarkEnd w:id="1125"/>
      <w:bookmarkEnd w:id="1126"/>
    </w:p>
    <w:p w14:paraId="7DC94652">
      <w:pPr>
        <w:spacing w:line="360" w:lineRule="auto"/>
        <w:ind w:firstLine="420" w:firstLineChars="200"/>
        <w:rPr>
          <w:rFonts w:hint="eastAsia" w:ascii="宋体" w:hAnsi="宋体" w:cs="宋体"/>
          <w:highlight w:val="none"/>
        </w:rPr>
      </w:pPr>
      <w:r>
        <w:rPr>
          <w:rFonts w:hint="eastAsia" w:ascii="宋体" w:hAnsi="宋体" w:cs="宋体"/>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2D9BB1A0">
      <w:pPr>
        <w:rPr>
          <w:rFonts w:hint="eastAsia" w:ascii="宋体" w:hAnsi="宋体" w:cs="宋体"/>
          <w:highlight w:val="none"/>
        </w:rPr>
      </w:pPr>
      <w:bookmarkStart w:id="1127" w:name="_Toc503536158"/>
      <w:bookmarkStart w:id="1128" w:name="_Toc338944775"/>
      <w:bookmarkStart w:id="1129" w:name="_Toc23019"/>
      <w:bookmarkStart w:id="1130" w:name="_Toc342296333"/>
      <w:bookmarkStart w:id="1131" w:name="_Toc4157295"/>
      <w:r>
        <w:rPr>
          <w:rFonts w:hint="eastAsia" w:ascii="宋体" w:hAnsi="宋体" w:cs="宋体"/>
          <w:highlight w:val="none"/>
        </w:rPr>
        <w:t>11. 开工和竣工</w:t>
      </w:r>
      <w:bookmarkEnd w:id="1127"/>
      <w:bookmarkEnd w:id="1128"/>
      <w:bookmarkEnd w:id="1129"/>
      <w:bookmarkEnd w:id="1130"/>
      <w:bookmarkEnd w:id="1131"/>
    </w:p>
    <w:p w14:paraId="48FA137A">
      <w:pPr>
        <w:spacing w:line="360" w:lineRule="auto"/>
        <w:rPr>
          <w:rFonts w:hint="eastAsia" w:ascii="宋体" w:hAnsi="宋体" w:cs="宋体"/>
          <w:highlight w:val="none"/>
        </w:rPr>
      </w:pPr>
      <w:bookmarkStart w:id="1132" w:name="_Toc503536159"/>
      <w:bookmarkStart w:id="1133" w:name="_Toc338944776"/>
      <w:bookmarkStart w:id="1134" w:name="_Toc342296334"/>
      <w:bookmarkStart w:id="1135" w:name="_Toc152042461"/>
      <w:bookmarkStart w:id="1136" w:name="_Toc454359248"/>
      <w:bookmarkStart w:id="1137" w:name="_Toc144974651"/>
      <w:bookmarkStart w:id="1138" w:name="_Toc152045683"/>
      <w:bookmarkStart w:id="1139" w:name="_Toc179632701"/>
      <w:r>
        <w:rPr>
          <w:rFonts w:hint="eastAsia" w:ascii="宋体" w:hAnsi="宋体" w:cs="宋体"/>
          <w:highlight w:val="none"/>
        </w:rPr>
        <w:t>11.1 开工</w:t>
      </w:r>
      <w:bookmarkEnd w:id="1132"/>
      <w:bookmarkEnd w:id="1133"/>
      <w:bookmarkEnd w:id="1134"/>
      <w:bookmarkEnd w:id="1135"/>
      <w:bookmarkEnd w:id="1136"/>
      <w:bookmarkEnd w:id="1137"/>
      <w:bookmarkEnd w:id="1138"/>
      <w:bookmarkEnd w:id="1139"/>
    </w:p>
    <w:p w14:paraId="3CCA0CAE">
      <w:pPr>
        <w:spacing w:line="360" w:lineRule="auto"/>
        <w:ind w:firstLine="420" w:firstLineChars="200"/>
        <w:rPr>
          <w:rFonts w:hint="eastAsia" w:ascii="宋体" w:hAnsi="宋体" w:cs="宋体"/>
          <w:highlight w:val="none"/>
        </w:rPr>
      </w:pPr>
      <w:r>
        <w:rPr>
          <w:rFonts w:hint="eastAsia" w:ascii="宋体" w:hAnsi="宋体" w:cs="宋体"/>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2E55557D">
      <w:pPr>
        <w:spacing w:line="360" w:lineRule="auto"/>
        <w:ind w:firstLine="420" w:firstLineChars="200"/>
        <w:rPr>
          <w:rFonts w:hint="eastAsia" w:ascii="宋体" w:hAnsi="宋体" w:cs="宋体"/>
          <w:highlight w:val="none"/>
          <w:shd w:val="pct10" w:color="auto" w:fill="FFFFFF"/>
        </w:rPr>
      </w:pPr>
      <w:r>
        <w:rPr>
          <w:rFonts w:hint="eastAsia" w:ascii="宋体" w:hAnsi="宋体" w:cs="宋体"/>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1ABD73EE">
      <w:pPr>
        <w:spacing w:line="360" w:lineRule="auto"/>
        <w:rPr>
          <w:rFonts w:hint="eastAsia" w:ascii="宋体" w:hAnsi="宋体" w:cs="宋体"/>
          <w:highlight w:val="none"/>
        </w:rPr>
      </w:pPr>
      <w:bookmarkStart w:id="1140" w:name="_Toc144974652"/>
      <w:bookmarkStart w:id="1141" w:name="_Toc152045684"/>
      <w:bookmarkStart w:id="1142" w:name="_Toc342296335"/>
      <w:bookmarkStart w:id="1143" w:name="_Toc152042462"/>
      <w:bookmarkStart w:id="1144" w:name="_Toc454359249"/>
      <w:bookmarkStart w:id="1145" w:name="_Toc179632702"/>
      <w:bookmarkStart w:id="1146" w:name="_Toc338944777"/>
      <w:bookmarkStart w:id="1147" w:name="_Toc503536160"/>
      <w:r>
        <w:rPr>
          <w:rFonts w:hint="eastAsia" w:ascii="宋体" w:hAnsi="宋体" w:cs="宋体"/>
          <w:highlight w:val="none"/>
        </w:rPr>
        <w:t>11.2 竣工</w:t>
      </w:r>
      <w:bookmarkEnd w:id="1140"/>
      <w:bookmarkEnd w:id="1141"/>
      <w:bookmarkEnd w:id="1142"/>
      <w:bookmarkEnd w:id="1143"/>
      <w:bookmarkEnd w:id="1144"/>
      <w:bookmarkEnd w:id="1145"/>
      <w:bookmarkEnd w:id="1146"/>
      <w:bookmarkEnd w:id="1147"/>
    </w:p>
    <w:p w14:paraId="71152AEE">
      <w:pPr>
        <w:spacing w:line="360" w:lineRule="auto"/>
        <w:ind w:firstLine="420" w:firstLineChars="200"/>
        <w:rPr>
          <w:rFonts w:hint="eastAsia" w:ascii="宋体" w:hAnsi="宋体" w:cs="宋体"/>
          <w:highlight w:val="none"/>
        </w:rPr>
      </w:pPr>
      <w:r>
        <w:rPr>
          <w:rFonts w:hint="eastAsia" w:ascii="宋体" w:hAnsi="宋体" w:cs="宋体"/>
          <w:highlight w:val="none"/>
        </w:rPr>
        <w:t>承包人应在第1.1.4.3目约定的期限内完成合同工程。实际竣工日期在接收证书中写明。</w:t>
      </w:r>
    </w:p>
    <w:p w14:paraId="541CD283">
      <w:pPr>
        <w:spacing w:line="360" w:lineRule="auto"/>
        <w:rPr>
          <w:rFonts w:hint="eastAsia" w:ascii="宋体" w:hAnsi="宋体" w:cs="宋体"/>
          <w:highlight w:val="none"/>
        </w:rPr>
      </w:pPr>
      <w:bookmarkStart w:id="1148" w:name="_Toc454359250"/>
      <w:bookmarkStart w:id="1149" w:name="_Toc342296336"/>
      <w:bookmarkStart w:id="1150" w:name="_Toc503536161"/>
      <w:bookmarkStart w:id="1151" w:name="_Toc338944778"/>
      <w:r>
        <w:rPr>
          <w:rFonts w:hint="eastAsia" w:ascii="宋体" w:hAnsi="宋体" w:cs="宋体"/>
          <w:highlight w:val="none"/>
        </w:rPr>
        <w:t>11.3 发包人的工期延误</w:t>
      </w:r>
      <w:bookmarkEnd w:id="1148"/>
      <w:bookmarkEnd w:id="1149"/>
      <w:bookmarkEnd w:id="1150"/>
      <w:bookmarkEnd w:id="1151"/>
    </w:p>
    <w:p w14:paraId="70C4D4B6">
      <w:pPr>
        <w:spacing w:line="360" w:lineRule="auto"/>
        <w:ind w:firstLine="420" w:firstLineChars="200"/>
        <w:rPr>
          <w:rFonts w:hint="eastAsia" w:ascii="宋体" w:hAnsi="宋体" w:cs="宋体"/>
          <w:highlight w:val="none"/>
        </w:rPr>
      </w:pPr>
      <w:r>
        <w:rPr>
          <w:rFonts w:hint="eastAsia" w:ascii="宋体" w:hAnsi="宋体" w:cs="宋体"/>
          <w:highlight w:val="none"/>
        </w:rPr>
        <w:t>在履行合同过程中，由于发包人的下列原因造成工期延误的，承包人有权要求发包人延长工期和（或）增加费用，并支付合理利润。需要修订合同进度计划的，按照第10.2款的约定办理。</w:t>
      </w:r>
    </w:p>
    <w:p w14:paraId="4A214440">
      <w:pPr>
        <w:spacing w:line="360" w:lineRule="auto"/>
        <w:ind w:firstLine="359" w:firstLineChars="171"/>
        <w:rPr>
          <w:rFonts w:hint="eastAsia" w:ascii="宋体" w:hAnsi="宋体" w:cs="宋体"/>
          <w:highlight w:val="none"/>
        </w:rPr>
      </w:pPr>
      <w:r>
        <w:rPr>
          <w:rFonts w:hint="eastAsia" w:ascii="宋体" w:hAnsi="宋体" w:cs="宋体"/>
          <w:highlight w:val="none"/>
        </w:rPr>
        <w:t>（1）增加合同工作内容；</w:t>
      </w:r>
    </w:p>
    <w:p w14:paraId="79442815">
      <w:pPr>
        <w:spacing w:line="360" w:lineRule="auto"/>
        <w:ind w:firstLine="359" w:firstLineChars="171"/>
        <w:rPr>
          <w:rFonts w:hint="eastAsia" w:ascii="宋体" w:hAnsi="宋体" w:cs="宋体"/>
          <w:highlight w:val="none"/>
        </w:rPr>
      </w:pPr>
      <w:r>
        <w:rPr>
          <w:rFonts w:hint="eastAsia" w:ascii="宋体" w:hAnsi="宋体" w:cs="宋体"/>
          <w:highlight w:val="none"/>
        </w:rPr>
        <w:t>（2）改变合同中任何一项工作的质量要求或其他特性；</w:t>
      </w:r>
    </w:p>
    <w:p w14:paraId="46C2AFDB">
      <w:pPr>
        <w:spacing w:line="360" w:lineRule="auto"/>
        <w:ind w:firstLine="359" w:firstLineChars="171"/>
        <w:rPr>
          <w:rFonts w:hint="eastAsia" w:ascii="宋体" w:hAnsi="宋体" w:cs="宋体"/>
          <w:highlight w:val="none"/>
        </w:rPr>
      </w:pPr>
      <w:r>
        <w:rPr>
          <w:rFonts w:hint="eastAsia" w:ascii="宋体" w:hAnsi="宋体" w:cs="宋体"/>
          <w:highlight w:val="none"/>
        </w:rPr>
        <w:t>（3）发包人迟延提供材料、工程设备或变更交货地点的；</w:t>
      </w:r>
    </w:p>
    <w:p w14:paraId="35E132B6">
      <w:pPr>
        <w:spacing w:line="360" w:lineRule="auto"/>
        <w:ind w:firstLine="359" w:firstLineChars="171"/>
        <w:rPr>
          <w:rFonts w:hint="eastAsia" w:ascii="宋体" w:hAnsi="宋体" w:cs="宋体"/>
          <w:highlight w:val="none"/>
        </w:rPr>
      </w:pPr>
      <w:r>
        <w:rPr>
          <w:rFonts w:hint="eastAsia" w:ascii="宋体" w:hAnsi="宋体" w:cs="宋体"/>
          <w:highlight w:val="none"/>
        </w:rPr>
        <w:t>（4）因发包人原因导致的暂停施工；</w:t>
      </w:r>
    </w:p>
    <w:p w14:paraId="1B6334E7">
      <w:pPr>
        <w:spacing w:line="360" w:lineRule="auto"/>
        <w:ind w:firstLine="359" w:firstLineChars="171"/>
        <w:rPr>
          <w:rFonts w:hint="eastAsia" w:ascii="宋体" w:hAnsi="宋体" w:cs="宋体"/>
          <w:highlight w:val="none"/>
        </w:rPr>
      </w:pPr>
      <w:r>
        <w:rPr>
          <w:rFonts w:hint="eastAsia" w:ascii="宋体" w:hAnsi="宋体" w:cs="宋体"/>
          <w:highlight w:val="none"/>
        </w:rPr>
        <w:t>（5）提供图纸延误；</w:t>
      </w:r>
    </w:p>
    <w:p w14:paraId="47F15204">
      <w:pPr>
        <w:spacing w:line="360" w:lineRule="auto"/>
        <w:ind w:firstLine="359" w:firstLineChars="171"/>
        <w:rPr>
          <w:rFonts w:hint="eastAsia" w:ascii="宋体" w:hAnsi="宋体" w:cs="宋体"/>
          <w:highlight w:val="none"/>
        </w:rPr>
      </w:pPr>
      <w:r>
        <w:rPr>
          <w:rFonts w:hint="eastAsia" w:ascii="宋体" w:hAnsi="宋体" w:cs="宋体"/>
          <w:highlight w:val="none"/>
        </w:rPr>
        <w:t>（6）未按合同约定及时支付预付款、进度款；</w:t>
      </w:r>
    </w:p>
    <w:p w14:paraId="0FE443F7">
      <w:pPr>
        <w:spacing w:line="360" w:lineRule="auto"/>
        <w:ind w:firstLine="359" w:firstLineChars="171"/>
        <w:rPr>
          <w:rFonts w:hint="eastAsia" w:ascii="宋体" w:hAnsi="宋体" w:cs="宋体"/>
          <w:highlight w:val="none"/>
        </w:rPr>
      </w:pPr>
      <w:r>
        <w:rPr>
          <w:rFonts w:hint="eastAsia" w:ascii="宋体" w:hAnsi="宋体" w:cs="宋体"/>
          <w:highlight w:val="none"/>
        </w:rPr>
        <w:t>（7）发包人造成工期延误的其他原因。</w:t>
      </w:r>
    </w:p>
    <w:p w14:paraId="43100C68">
      <w:pPr>
        <w:spacing w:line="360" w:lineRule="auto"/>
        <w:rPr>
          <w:rFonts w:hint="eastAsia" w:ascii="宋体" w:hAnsi="宋体" w:cs="宋体"/>
          <w:highlight w:val="none"/>
        </w:rPr>
      </w:pPr>
      <w:bookmarkStart w:id="1152" w:name="_Toc503536162"/>
      <w:bookmarkStart w:id="1153" w:name="_Toc342296337"/>
      <w:bookmarkStart w:id="1154" w:name="_Toc454359251"/>
      <w:bookmarkStart w:id="1155" w:name="_Toc338944779"/>
      <w:r>
        <w:rPr>
          <w:rFonts w:hint="eastAsia" w:ascii="宋体" w:hAnsi="宋体" w:cs="宋体"/>
          <w:highlight w:val="none"/>
        </w:rPr>
        <w:t>11.4 异常恶劣的气候条件</w:t>
      </w:r>
      <w:bookmarkEnd w:id="1152"/>
      <w:bookmarkEnd w:id="1153"/>
      <w:bookmarkEnd w:id="1154"/>
      <w:bookmarkEnd w:id="1155"/>
    </w:p>
    <w:p w14:paraId="59B8DC07">
      <w:pPr>
        <w:spacing w:line="360" w:lineRule="auto"/>
        <w:ind w:firstLine="359" w:firstLineChars="171"/>
        <w:rPr>
          <w:rFonts w:hint="eastAsia" w:ascii="宋体" w:hAnsi="宋体" w:cs="宋体"/>
          <w:highlight w:val="none"/>
        </w:rPr>
      </w:pPr>
      <w:r>
        <w:rPr>
          <w:rFonts w:hint="eastAsia" w:ascii="宋体" w:hAnsi="宋体" w:cs="宋体"/>
          <w:highlight w:val="none"/>
        </w:rPr>
        <w:t>由于出现专用合同条款规定的异常恶劣气候的条件导致工期延误的，承包人有权要求发包人延长工期。</w:t>
      </w:r>
    </w:p>
    <w:p w14:paraId="23DDE81D">
      <w:pPr>
        <w:spacing w:line="360" w:lineRule="auto"/>
        <w:rPr>
          <w:rFonts w:hint="eastAsia" w:ascii="宋体" w:hAnsi="宋体" w:cs="宋体"/>
          <w:highlight w:val="none"/>
        </w:rPr>
      </w:pPr>
      <w:bookmarkStart w:id="1156" w:name="_Toc503536163"/>
      <w:bookmarkStart w:id="1157" w:name="_Toc454359252"/>
      <w:bookmarkStart w:id="1158" w:name="_Toc338944780"/>
      <w:bookmarkStart w:id="1159" w:name="_Toc342296338"/>
      <w:r>
        <w:rPr>
          <w:rFonts w:hint="eastAsia" w:ascii="宋体" w:hAnsi="宋体" w:cs="宋体"/>
          <w:highlight w:val="none"/>
        </w:rPr>
        <w:t>11.5 承包人的工期延误</w:t>
      </w:r>
      <w:bookmarkEnd w:id="1156"/>
      <w:bookmarkEnd w:id="1157"/>
      <w:bookmarkEnd w:id="1158"/>
      <w:bookmarkEnd w:id="1159"/>
    </w:p>
    <w:p w14:paraId="131E65C6">
      <w:pPr>
        <w:spacing w:line="360" w:lineRule="auto"/>
        <w:ind w:firstLine="420" w:firstLineChars="200"/>
        <w:rPr>
          <w:rFonts w:hint="eastAsia" w:ascii="宋体" w:hAnsi="宋体" w:cs="宋体"/>
          <w:highlight w:val="none"/>
        </w:rPr>
      </w:pPr>
      <w:r>
        <w:rPr>
          <w:rFonts w:hint="eastAsia" w:ascii="宋体" w:hAnsi="宋体" w:cs="宋体"/>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0330A1D">
      <w:pPr>
        <w:spacing w:line="360" w:lineRule="auto"/>
        <w:rPr>
          <w:rFonts w:hint="eastAsia" w:ascii="宋体" w:hAnsi="宋体" w:cs="宋体"/>
          <w:highlight w:val="none"/>
        </w:rPr>
      </w:pPr>
      <w:bookmarkStart w:id="1160" w:name="_Toc454359253"/>
      <w:bookmarkStart w:id="1161" w:name="_Toc503536164"/>
      <w:bookmarkStart w:id="1162" w:name="_Toc338944781"/>
      <w:bookmarkStart w:id="1163" w:name="_Toc342296339"/>
      <w:r>
        <w:rPr>
          <w:rFonts w:hint="eastAsia" w:ascii="宋体" w:hAnsi="宋体" w:cs="宋体"/>
          <w:highlight w:val="none"/>
        </w:rPr>
        <w:t>11.6 工期提前</w:t>
      </w:r>
      <w:bookmarkEnd w:id="1160"/>
      <w:bookmarkEnd w:id="1161"/>
      <w:bookmarkEnd w:id="1162"/>
      <w:bookmarkEnd w:id="1163"/>
    </w:p>
    <w:p w14:paraId="1117C252">
      <w:pPr>
        <w:spacing w:line="360" w:lineRule="auto"/>
        <w:ind w:firstLine="420" w:firstLineChars="200"/>
        <w:rPr>
          <w:rFonts w:hint="eastAsia" w:ascii="宋体" w:hAnsi="宋体" w:cs="宋体"/>
          <w:highlight w:val="none"/>
        </w:rPr>
      </w:pPr>
      <w:r>
        <w:rPr>
          <w:rFonts w:hint="eastAsia" w:ascii="宋体" w:hAnsi="宋体" w:cs="宋体"/>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578677B7">
      <w:pPr>
        <w:rPr>
          <w:rFonts w:hint="eastAsia" w:ascii="宋体" w:hAnsi="宋体" w:cs="宋体"/>
          <w:highlight w:val="none"/>
        </w:rPr>
      </w:pPr>
      <w:bookmarkStart w:id="1164" w:name="_Toc32077"/>
      <w:bookmarkStart w:id="1165" w:name="_Toc338944782"/>
      <w:bookmarkStart w:id="1166" w:name="_Toc342296340"/>
      <w:bookmarkStart w:id="1167" w:name="_Toc4157296"/>
      <w:bookmarkStart w:id="1168" w:name="_Toc503536165"/>
      <w:r>
        <w:rPr>
          <w:rFonts w:hint="eastAsia" w:ascii="宋体" w:hAnsi="宋体" w:cs="宋体"/>
          <w:highlight w:val="none"/>
        </w:rPr>
        <w:t>12. 暂停施工</w:t>
      </w:r>
      <w:bookmarkEnd w:id="1164"/>
      <w:bookmarkEnd w:id="1165"/>
      <w:bookmarkEnd w:id="1166"/>
      <w:bookmarkEnd w:id="1167"/>
      <w:bookmarkEnd w:id="1168"/>
    </w:p>
    <w:p w14:paraId="5CAB7C99">
      <w:pPr>
        <w:spacing w:line="360" w:lineRule="auto"/>
        <w:rPr>
          <w:rFonts w:hint="eastAsia" w:ascii="宋体" w:hAnsi="宋体" w:cs="宋体"/>
          <w:highlight w:val="none"/>
        </w:rPr>
      </w:pPr>
      <w:bookmarkStart w:id="1169" w:name="_Toc503536166"/>
      <w:bookmarkStart w:id="1170" w:name="_Toc338944783"/>
      <w:bookmarkStart w:id="1171" w:name="_Toc342296341"/>
      <w:bookmarkStart w:id="1172" w:name="_Toc454359255"/>
      <w:r>
        <w:rPr>
          <w:rFonts w:hint="eastAsia" w:ascii="宋体" w:hAnsi="宋体" w:cs="宋体"/>
          <w:highlight w:val="none"/>
        </w:rPr>
        <w:t>12.1 承包人暂停施工的责任</w:t>
      </w:r>
      <w:bookmarkEnd w:id="1169"/>
      <w:bookmarkEnd w:id="1170"/>
      <w:bookmarkEnd w:id="1171"/>
      <w:bookmarkEnd w:id="1172"/>
    </w:p>
    <w:p w14:paraId="39D7E09C">
      <w:pPr>
        <w:spacing w:line="360" w:lineRule="auto"/>
        <w:ind w:firstLine="420" w:firstLineChars="200"/>
        <w:rPr>
          <w:rFonts w:hint="eastAsia" w:ascii="宋体" w:hAnsi="宋体" w:cs="宋体"/>
          <w:highlight w:val="none"/>
        </w:rPr>
      </w:pPr>
      <w:r>
        <w:rPr>
          <w:rFonts w:hint="eastAsia" w:ascii="宋体" w:hAnsi="宋体" w:cs="宋体"/>
          <w:highlight w:val="none"/>
        </w:rPr>
        <w:t>因下列暂停施工增加的费用和（或）工期延误由承包人承担：</w:t>
      </w:r>
    </w:p>
    <w:p w14:paraId="29D09126">
      <w:pPr>
        <w:spacing w:line="360" w:lineRule="auto"/>
        <w:ind w:firstLine="359" w:firstLineChars="171"/>
        <w:rPr>
          <w:rFonts w:hint="eastAsia" w:ascii="宋体" w:hAnsi="宋体" w:cs="宋体"/>
          <w:highlight w:val="none"/>
        </w:rPr>
      </w:pPr>
      <w:r>
        <w:rPr>
          <w:rFonts w:hint="eastAsia" w:ascii="宋体" w:hAnsi="宋体" w:cs="宋体"/>
          <w:highlight w:val="none"/>
        </w:rPr>
        <w:t>（1）承包人违约引起的暂停施工；</w:t>
      </w:r>
    </w:p>
    <w:p w14:paraId="415D156D">
      <w:pPr>
        <w:spacing w:line="360" w:lineRule="auto"/>
        <w:ind w:firstLine="359" w:firstLineChars="171"/>
        <w:rPr>
          <w:rFonts w:hint="eastAsia" w:ascii="宋体" w:hAnsi="宋体" w:cs="宋体"/>
          <w:highlight w:val="none"/>
        </w:rPr>
      </w:pPr>
      <w:r>
        <w:rPr>
          <w:rFonts w:hint="eastAsia" w:ascii="宋体" w:hAnsi="宋体" w:cs="宋体"/>
          <w:highlight w:val="none"/>
        </w:rPr>
        <w:t>（2）由于承包人原因为工程合理施工和安全保障所必需的暂停施工；</w:t>
      </w:r>
    </w:p>
    <w:p w14:paraId="2B0BE066">
      <w:pPr>
        <w:spacing w:line="360" w:lineRule="auto"/>
        <w:ind w:firstLine="359" w:firstLineChars="171"/>
        <w:rPr>
          <w:rFonts w:hint="eastAsia" w:ascii="宋体" w:hAnsi="宋体" w:cs="宋体"/>
          <w:highlight w:val="none"/>
        </w:rPr>
      </w:pPr>
      <w:r>
        <w:rPr>
          <w:rFonts w:hint="eastAsia" w:ascii="宋体" w:hAnsi="宋体" w:cs="宋体"/>
          <w:highlight w:val="none"/>
        </w:rPr>
        <w:t>（3）承包人擅自暂停施工；</w:t>
      </w:r>
    </w:p>
    <w:p w14:paraId="01AC6ED1">
      <w:pPr>
        <w:spacing w:line="360" w:lineRule="auto"/>
        <w:ind w:firstLine="359" w:firstLineChars="171"/>
        <w:rPr>
          <w:rFonts w:hint="eastAsia" w:ascii="宋体" w:hAnsi="宋体" w:cs="宋体"/>
          <w:highlight w:val="none"/>
        </w:rPr>
      </w:pPr>
      <w:r>
        <w:rPr>
          <w:rFonts w:hint="eastAsia" w:ascii="宋体" w:hAnsi="宋体" w:cs="宋体"/>
          <w:highlight w:val="none"/>
        </w:rPr>
        <w:t>（4）承包人其他原因引起的暂停施工；</w:t>
      </w:r>
    </w:p>
    <w:p w14:paraId="4F23FF86">
      <w:pPr>
        <w:spacing w:line="360" w:lineRule="auto"/>
        <w:ind w:firstLine="359" w:firstLineChars="171"/>
        <w:rPr>
          <w:rFonts w:hint="eastAsia" w:ascii="宋体" w:hAnsi="宋体" w:cs="宋体"/>
          <w:highlight w:val="none"/>
        </w:rPr>
      </w:pPr>
      <w:r>
        <w:rPr>
          <w:rFonts w:hint="eastAsia" w:ascii="宋体" w:hAnsi="宋体" w:cs="宋体"/>
          <w:highlight w:val="none"/>
        </w:rPr>
        <w:t>（5）专用合同条款约定由承包人承担的其他暂停施工。</w:t>
      </w:r>
    </w:p>
    <w:p w14:paraId="330E88FB">
      <w:pPr>
        <w:spacing w:line="360" w:lineRule="auto"/>
        <w:rPr>
          <w:rFonts w:hint="eastAsia" w:ascii="宋体" w:hAnsi="宋体" w:cs="宋体"/>
          <w:highlight w:val="none"/>
        </w:rPr>
      </w:pPr>
      <w:bookmarkStart w:id="1173" w:name="_Toc454359256"/>
      <w:bookmarkStart w:id="1174" w:name="_Toc152042469"/>
      <w:bookmarkStart w:id="1175" w:name="_Toc503536167"/>
      <w:bookmarkStart w:id="1176" w:name="_Toc179632709"/>
      <w:bookmarkStart w:id="1177" w:name="_Toc338944784"/>
      <w:bookmarkStart w:id="1178" w:name="_Toc342296342"/>
      <w:bookmarkStart w:id="1179" w:name="_Toc144974660"/>
      <w:bookmarkStart w:id="1180" w:name="_Toc152045691"/>
      <w:r>
        <w:rPr>
          <w:rFonts w:hint="eastAsia" w:ascii="宋体" w:hAnsi="宋体" w:cs="宋体"/>
          <w:highlight w:val="none"/>
        </w:rPr>
        <w:t>12.2 发包人暂停施工的责任</w:t>
      </w:r>
      <w:bookmarkEnd w:id="1173"/>
      <w:bookmarkEnd w:id="1174"/>
      <w:bookmarkEnd w:id="1175"/>
      <w:bookmarkEnd w:id="1176"/>
      <w:bookmarkEnd w:id="1177"/>
      <w:bookmarkEnd w:id="1178"/>
      <w:bookmarkEnd w:id="1179"/>
      <w:bookmarkEnd w:id="1180"/>
    </w:p>
    <w:p w14:paraId="4FA9D2BC">
      <w:pPr>
        <w:spacing w:line="360" w:lineRule="auto"/>
        <w:ind w:firstLine="420" w:firstLineChars="200"/>
        <w:rPr>
          <w:rFonts w:hint="eastAsia" w:ascii="宋体" w:hAnsi="宋体" w:cs="宋体"/>
          <w:highlight w:val="none"/>
        </w:rPr>
      </w:pPr>
      <w:r>
        <w:rPr>
          <w:rFonts w:hint="eastAsia" w:ascii="宋体" w:hAnsi="宋体" w:cs="宋体"/>
          <w:highlight w:val="none"/>
        </w:rPr>
        <w:t>由于发包人原因引起的暂停施工造成工期延误的，承包人有权要求发包人延长工期和（或）增加费用，并支付合理利润。</w:t>
      </w:r>
    </w:p>
    <w:p w14:paraId="41065010">
      <w:pPr>
        <w:spacing w:line="360" w:lineRule="auto"/>
        <w:rPr>
          <w:rFonts w:hint="eastAsia" w:ascii="宋体" w:hAnsi="宋体" w:cs="宋体"/>
          <w:highlight w:val="none"/>
        </w:rPr>
      </w:pPr>
      <w:bookmarkStart w:id="1181" w:name="_Toc179632710"/>
      <w:bookmarkStart w:id="1182" w:name="_Toc152042470"/>
      <w:bookmarkStart w:id="1183" w:name="_Toc152045692"/>
      <w:bookmarkStart w:id="1184" w:name="_Toc144974661"/>
      <w:bookmarkStart w:id="1185" w:name="_Toc342296343"/>
      <w:bookmarkStart w:id="1186" w:name="_Toc503536168"/>
      <w:bookmarkStart w:id="1187" w:name="_Toc454359257"/>
      <w:bookmarkStart w:id="1188" w:name="_Toc338944785"/>
      <w:r>
        <w:rPr>
          <w:rFonts w:hint="eastAsia" w:ascii="宋体" w:hAnsi="宋体" w:cs="宋体"/>
          <w:highlight w:val="none"/>
        </w:rPr>
        <w:t>12.3 监理人暂停施工指示</w:t>
      </w:r>
      <w:bookmarkEnd w:id="1181"/>
      <w:bookmarkEnd w:id="1182"/>
      <w:bookmarkEnd w:id="1183"/>
      <w:bookmarkEnd w:id="1184"/>
      <w:bookmarkEnd w:id="1185"/>
      <w:bookmarkEnd w:id="1186"/>
      <w:bookmarkEnd w:id="1187"/>
      <w:bookmarkEnd w:id="1188"/>
    </w:p>
    <w:p w14:paraId="2A3A4085">
      <w:pPr>
        <w:spacing w:line="360" w:lineRule="auto"/>
        <w:ind w:firstLine="420" w:firstLineChars="200"/>
        <w:rPr>
          <w:rFonts w:hint="eastAsia" w:ascii="宋体" w:hAnsi="宋体" w:cs="宋体"/>
          <w:highlight w:val="none"/>
        </w:rPr>
      </w:pPr>
      <w:r>
        <w:rPr>
          <w:rFonts w:hint="eastAsia" w:ascii="宋体" w:hAnsi="宋体" w:cs="宋体"/>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17C9E577">
      <w:pPr>
        <w:spacing w:line="360" w:lineRule="auto"/>
        <w:ind w:firstLine="420" w:firstLineChars="200"/>
        <w:rPr>
          <w:rFonts w:hint="eastAsia" w:ascii="宋体" w:hAnsi="宋体" w:cs="宋体"/>
          <w:highlight w:val="none"/>
        </w:rPr>
      </w:pPr>
      <w:r>
        <w:rPr>
          <w:rFonts w:hint="eastAsia" w:ascii="宋体" w:hAnsi="宋体" w:cs="宋体"/>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3774D415">
      <w:pPr>
        <w:spacing w:line="360" w:lineRule="auto"/>
        <w:rPr>
          <w:rFonts w:hint="eastAsia" w:ascii="宋体" w:hAnsi="宋体" w:cs="宋体"/>
          <w:highlight w:val="none"/>
        </w:rPr>
      </w:pPr>
      <w:bookmarkStart w:id="1189" w:name="_Toc342296344"/>
      <w:bookmarkStart w:id="1190" w:name="_Toc152042471"/>
      <w:bookmarkStart w:id="1191" w:name="_Toc503536169"/>
      <w:bookmarkStart w:id="1192" w:name="_Toc144974662"/>
      <w:bookmarkStart w:id="1193" w:name="_Toc152045693"/>
      <w:bookmarkStart w:id="1194" w:name="_Toc454359258"/>
      <w:bookmarkStart w:id="1195" w:name="_Toc338944786"/>
      <w:bookmarkStart w:id="1196" w:name="_Toc179632711"/>
      <w:r>
        <w:rPr>
          <w:rFonts w:hint="eastAsia" w:ascii="宋体" w:hAnsi="宋体" w:cs="宋体"/>
          <w:highlight w:val="none"/>
        </w:rPr>
        <w:t>12.4 暂停施工后的复工</w:t>
      </w:r>
      <w:bookmarkEnd w:id="1189"/>
      <w:bookmarkEnd w:id="1190"/>
      <w:bookmarkEnd w:id="1191"/>
      <w:bookmarkEnd w:id="1192"/>
      <w:bookmarkEnd w:id="1193"/>
      <w:bookmarkEnd w:id="1194"/>
      <w:bookmarkEnd w:id="1195"/>
      <w:bookmarkEnd w:id="1196"/>
    </w:p>
    <w:p w14:paraId="17F8F8E8">
      <w:pPr>
        <w:spacing w:line="360" w:lineRule="auto"/>
        <w:ind w:firstLine="420" w:firstLineChars="200"/>
        <w:rPr>
          <w:rFonts w:hint="eastAsia" w:ascii="宋体" w:hAnsi="宋体" w:cs="宋体"/>
          <w:highlight w:val="none"/>
        </w:rPr>
      </w:pPr>
      <w:r>
        <w:rPr>
          <w:rFonts w:hint="eastAsia" w:ascii="宋体" w:hAnsi="宋体" w:cs="宋体"/>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45719680">
      <w:pPr>
        <w:spacing w:line="360" w:lineRule="auto"/>
        <w:ind w:firstLine="420" w:firstLineChars="200"/>
        <w:rPr>
          <w:rFonts w:hint="eastAsia" w:ascii="宋体" w:hAnsi="宋体" w:cs="宋体"/>
          <w:highlight w:val="none"/>
        </w:rPr>
      </w:pPr>
      <w:r>
        <w:rPr>
          <w:rFonts w:hint="eastAsia" w:ascii="宋体" w:hAnsi="宋体" w:cs="宋体"/>
          <w:highlight w:val="none"/>
        </w:rPr>
        <w:t>12.4.2 承包人无故拖延和拒绝复工的，由此增加的费用和工期延误由承包人承担；因发包人原因无法按时复工的，承包人有权要求发包人延长工期和（或）增加费用，并支付合理利润。</w:t>
      </w:r>
    </w:p>
    <w:p w14:paraId="31A78B83">
      <w:pPr>
        <w:spacing w:line="360" w:lineRule="auto"/>
        <w:rPr>
          <w:rFonts w:hint="eastAsia" w:ascii="宋体" w:hAnsi="宋体" w:cs="宋体"/>
          <w:highlight w:val="none"/>
        </w:rPr>
      </w:pPr>
      <w:bookmarkStart w:id="1197" w:name="_Toc342296345"/>
      <w:bookmarkStart w:id="1198" w:name="_Toc152045694"/>
      <w:bookmarkStart w:id="1199" w:name="_Toc152042472"/>
      <w:bookmarkStart w:id="1200" w:name="_Toc503536170"/>
      <w:bookmarkStart w:id="1201" w:name="_Toc179632712"/>
      <w:bookmarkStart w:id="1202" w:name="_Toc338944787"/>
      <w:bookmarkStart w:id="1203" w:name="_Toc454359259"/>
      <w:bookmarkStart w:id="1204" w:name="_Toc144974663"/>
      <w:r>
        <w:rPr>
          <w:rFonts w:hint="eastAsia" w:ascii="宋体" w:hAnsi="宋体" w:cs="宋体"/>
          <w:highlight w:val="none"/>
        </w:rPr>
        <w:t>12.5 暂停施工持续56天以上</w:t>
      </w:r>
      <w:bookmarkEnd w:id="1197"/>
      <w:bookmarkEnd w:id="1198"/>
      <w:bookmarkEnd w:id="1199"/>
      <w:bookmarkEnd w:id="1200"/>
      <w:bookmarkEnd w:id="1201"/>
      <w:bookmarkEnd w:id="1202"/>
      <w:bookmarkEnd w:id="1203"/>
      <w:bookmarkEnd w:id="1204"/>
    </w:p>
    <w:p w14:paraId="039FE05C">
      <w:pPr>
        <w:spacing w:line="360" w:lineRule="auto"/>
        <w:ind w:firstLine="411" w:firstLineChars="196"/>
        <w:rPr>
          <w:rFonts w:hint="eastAsia" w:ascii="宋体" w:hAnsi="宋体" w:cs="宋体"/>
          <w:highlight w:val="none"/>
        </w:rPr>
      </w:pPr>
      <w:r>
        <w:rPr>
          <w:rFonts w:hint="eastAsia" w:ascii="宋体" w:hAnsi="宋体" w:cs="宋体"/>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276ECCA4">
      <w:pPr>
        <w:spacing w:line="360" w:lineRule="auto"/>
        <w:ind w:firstLine="420" w:firstLineChars="200"/>
        <w:rPr>
          <w:rFonts w:hint="eastAsia" w:ascii="宋体" w:hAnsi="宋体" w:cs="宋体"/>
          <w:highlight w:val="none"/>
        </w:rPr>
      </w:pPr>
      <w:r>
        <w:rPr>
          <w:rFonts w:hint="eastAsia" w:ascii="宋体" w:hAnsi="宋体" w:cs="宋体"/>
          <w:highlight w:val="none"/>
        </w:rPr>
        <w:t>12.5.2 由于承包人责任引起的暂停施工，如承包人在收到监理人暂停施工指示后56天内不认真采取有效的复工措施，造成工期延误，可视为承包人违约，应按第22.1款的规定办理。</w:t>
      </w:r>
    </w:p>
    <w:p w14:paraId="60AD714A">
      <w:pPr>
        <w:rPr>
          <w:rFonts w:hint="eastAsia" w:ascii="宋体" w:hAnsi="宋体" w:cs="宋体"/>
          <w:highlight w:val="none"/>
        </w:rPr>
      </w:pPr>
      <w:bookmarkStart w:id="1205" w:name="_Toc503536171"/>
      <w:bookmarkStart w:id="1206" w:name="_Toc342296346"/>
      <w:bookmarkStart w:id="1207" w:name="_Toc4157297"/>
      <w:bookmarkStart w:id="1208" w:name="_Toc25154"/>
      <w:bookmarkStart w:id="1209" w:name="_Toc338944788"/>
      <w:r>
        <w:rPr>
          <w:rFonts w:hint="eastAsia" w:ascii="宋体" w:hAnsi="宋体" w:cs="宋体"/>
          <w:highlight w:val="none"/>
        </w:rPr>
        <w:t>13. 工程质量</w:t>
      </w:r>
      <w:bookmarkEnd w:id="1205"/>
      <w:bookmarkEnd w:id="1206"/>
      <w:bookmarkEnd w:id="1207"/>
      <w:bookmarkEnd w:id="1208"/>
      <w:bookmarkEnd w:id="1209"/>
    </w:p>
    <w:p w14:paraId="78E0092F">
      <w:pPr>
        <w:spacing w:line="360" w:lineRule="auto"/>
        <w:rPr>
          <w:rFonts w:hint="eastAsia" w:ascii="宋体" w:hAnsi="宋体" w:cs="宋体"/>
          <w:highlight w:val="none"/>
        </w:rPr>
      </w:pPr>
      <w:bookmarkStart w:id="1210" w:name="_Toc152045696"/>
      <w:bookmarkStart w:id="1211" w:name="_Toc152042474"/>
      <w:bookmarkStart w:id="1212" w:name="_Toc503536172"/>
      <w:bookmarkStart w:id="1213" w:name="_Toc179632714"/>
      <w:bookmarkStart w:id="1214" w:name="_Toc144974665"/>
      <w:bookmarkStart w:id="1215" w:name="_Toc338944789"/>
      <w:bookmarkStart w:id="1216" w:name="_Toc454359261"/>
      <w:bookmarkStart w:id="1217" w:name="_Toc342296347"/>
      <w:r>
        <w:rPr>
          <w:rFonts w:hint="eastAsia" w:ascii="宋体" w:hAnsi="宋体" w:cs="宋体"/>
          <w:highlight w:val="none"/>
        </w:rPr>
        <w:t>13.1 工程质量要求</w:t>
      </w:r>
      <w:bookmarkEnd w:id="1210"/>
      <w:bookmarkEnd w:id="1211"/>
      <w:bookmarkEnd w:id="1212"/>
      <w:bookmarkEnd w:id="1213"/>
      <w:bookmarkEnd w:id="1214"/>
      <w:bookmarkEnd w:id="1215"/>
      <w:bookmarkEnd w:id="1216"/>
      <w:bookmarkEnd w:id="1217"/>
    </w:p>
    <w:p w14:paraId="45CD4018">
      <w:pPr>
        <w:spacing w:line="360" w:lineRule="auto"/>
        <w:ind w:firstLine="420" w:firstLineChars="200"/>
        <w:rPr>
          <w:rFonts w:hint="eastAsia" w:ascii="宋体" w:hAnsi="宋体" w:cs="宋体"/>
          <w:highlight w:val="none"/>
        </w:rPr>
      </w:pPr>
      <w:r>
        <w:rPr>
          <w:rFonts w:hint="eastAsia" w:ascii="宋体" w:hAnsi="宋体" w:cs="宋体"/>
          <w:highlight w:val="none"/>
        </w:rPr>
        <w:t>13.1.1 工程质量验收按合同约定验收标准执行。</w:t>
      </w:r>
    </w:p>
    <w:p w14:paraId="6E20A179">
      <w:pPr>
        <w:spacing w:line="360" w:lineRule="auto"/>
        <w:ind w:firstLine="420" w:firstLineChars="200"/>
        <w:rPr>
          <w:rFonts w:hint="eastAsia" w:ascii="宋体" w:hAnsi="宋体" w:cs="宋体"/>
          <w:highlight w:val="none"/>
        </w:rPr>
      </w:pPr>
      <w:r>
        <w:rPr>
          <w:rFonts w:hint="eastAsia" w:ascii="宋体" w:hAnsi="宋体" w:cs="宋体"/>
          <w:highlight w:val="none"/>
        </w:rPr>
        <w:t>13.1.2 因承包人原因造成工程质量达不到合同约定验收标准的，监理人有权要求承包人返工直至符合合同要求为止，由此造成的费用增加和（或）工期延误由承包人承担。</w:t>
      </w:r>
    </w:p>
    <w:p w14:paraId="74DF871B">
      <w:pPr>
        <w:spacing w:line="360" w:lineRule="auto"/>
        <w:ind w:firstLine="420" w:firstLineChars="200"/>
        <w:rPr>
          <w:rFonts w:hint="eastAsia" w:ascii="宋体" w:hAnsi="宋体" w:cs="宋体"/>
          <w:highlight w:val="none"/>
        </w:rPr>
      </w:pPr>
      <w:r>
        <w:rPr>
          <w:rFonts w:hint="eastAsia" w:ascii="宋体" w:hAnsi="宋体" w:cs="宋体"/>
          <w:highlight w:val="none"/>
        </w:rPr>
        <w:t>13.1.3 因发包人原因造成工程质量达不到合同约定验收标准的，发包人应承担由于承包人返工造成的费用增加和（或）工期延误，并支付承包人合理利润。</w:t>
      </w:r>
    </w:p>
    <w:p w14:paraId="3E4F033B">
      <w:pPr>
        <w:spacing w:line="360" w:lineRule="auto"/>
        <w:rPr>
          <w:rFonts w:hint="eastAsia" w:ascii="宋体" w:hAnsi="宋体" w:cs="宋体"/>
          <w:highlight w:val="none"/>
        </w:rPr>
      </w:pPr>
      <w:bookmarkStart w:id="1218" w:name="_Toc338944790"/>
      <w:bookmarkStart w:id="1219" w:name="_Toc503536173"/>
      <w:bookmarkStart w:id="1220" w:name="_Toc454359262"/>
      <w:bookmarkStart w:id="1221" w:name="_Toc342296348"/>
      <w:r>
        <w:rPr>
          <w:rFonts w:hint="eastAsia" w:ascii="宋体" w:hAnsi="宋体" w:cs="宋体"/>
          <w:highlight w:val="none"/>
        </w:rPr>
        <w:t>13.2 承包人的质量管理</w:t>
      </w:r>
      <w:bookmarkEnd w:id="1218"/>
      <w:bookmarkEnd w:id="1219"/>
      <w:bookmarkEnd w:id="1220"/>
      <w:bookmarkEnd w:id="1221"/>
    </w:p>
    <w:p w14:paraId="783BC1FA">
      <w:pPr>
        <w:spacing w:line="360" w:lineRule="auto"/>
        <w:ind w:firstLine="420" w:firstLineChars="200"/>
        <w:rPr>
          <w:rFonts w:hint="eastAsia" w:ascii="宋体" w:hAnsi="宋体" w:cs="宋体"/>
          <w:highlight w:val="none"/>
        </w:rPr>
      </w:pPr>
      <w:r>
        <w:rPr>
          <w:rFonts w:hint="eastAsia" w:ascii="宋体" w:hAnsi="宋体" w:cs="宋体"/>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278D81F7">
      <w:pPr>
        <w:spacing w:line="360" w:lineRule="auto"/>
        <w:ind w:firstLine="420" w:firstLineChars="200"/>
        <w:rPr>
          <w:rFonts w:hint="eastAsia" w:ascii="宋体" w:hAnsi="宋体" w:cs="宋体"/>
          <w:highlight w:val="none"/>
        </w:rPr>
      </w:pPr>
      <w:r>
        <w:rPr>
          <w:rFonts w:hint="eastAsia" w:ascii="宋体" w:hAnsi="宋体" w:cs="宋体"/>
          <w:highlight w:val="none"/>
        </w:rPr>
        <w:t>13.2.2 承包人应加强对施工人员的质量教育和技术培训，定期考核施工人员的劳动技能，严格执行规范和操作规程。</w:t>
      </w:r>
    </w:p>
    <w:p w14:paraId="7ABFBB2A">
      <w:pPr>
        <w:spacing w:line="360" w:lineRule="auto"/>
        <w:rPr>
          <w:rFonts w:hint="eastAsia" w:ascii="宋体" w:hAnsi="宋体" w:cs="宋体"/>
          <w:highlight w:val="none"/>
        </w:rPr>
      </w:pPr>
      <w:bookmarkStart w:id="1222" w:name="_Toc342296349"/>
      <w:bookmarkStart w:id="1223" w:name="_Toc503536174"/>
      <w:bookmarkStart w:id="1224" w:name="_Toc338944791"/>
      <w:bookmarkStart w:id="1225" w:name="_Toc454359263"/>
      <w:r>
        <w:rPr>
          <w:rFonts w:hint="eastAsia" w:ascii="宋体" w:hAnsi="宋体" w:cs="宋体"/>
          <w:highlight w:val="none"/>
        </w:rPr>
        <w:t>13.3 承包人的质量检查</w:t>
      </w:r>
      <w:bookmarkEnd w:id="1222"/>
      <w:bookmarkEnd w:id="1223"/>
      <w:bookmarkEnd w:id="1224"/>
      <w:bookmarkEnd w:id="1225"/>
    </w:p>
    <w:p w14:paraId="287C43AE">
      <w:pPr>
        <w:spacing w:line="360" w:lineRule="auto"/>
        <w:ind w:firstLine="420" w:firstLineChars="200"/>
        <w:rPr>
          <w:rFonts w:hint="eastAsia" w:ascii="宋体" w:hAnsi="宋体" w:cs="宋体"/>
          <w:highlight w:val="none"/>
        </w:rPr>
      </w:pPr>
      <w:r>
        <w:rPr>
          <w:rFonts w:hint="eastAsia" w:ascii="宋体" w:hAnsi="宋体" w:cs="宋体"/>
          <w:highlight w:val="none"/>
        </w:rPr>
        <w:t>承包人应按合同约定对材料、工程设备以及工程的所有部位及其施工工艺进行全过程的质量检查和检验，并作详细记录，编制工程质量报表，报送监理人审查。</w:t>
      </w:r>
    </w:p>
    <w:p w14:paraId="423D22C8">
      <w:pPr>
        <w:spacing w:line="360" w:lineRule="auto"/>
        <w:rPr>
          <w:rFonts w:hint="eastAsia" w:ascii="宋体" w:hAnsi="宋体" w:cs="宋体"/>
          <w:highlight w:val="none"/>
        </w:rPr>
      </w:pPr>
      <w:bookmarkStart w:id="1226" w:name="_Toc342296350"/>
      <w:bookmarkStart w:id="1227" w:name="_Toc454359264"/>
      <w:bookmarkStart w:id="1228" w:name="_Toc503536175"/>
      <w:bookmarkStart w:id="1229" w:name="_Toc338944792"/>
      <w:r>
        <w:rPr>
          <w:rFonts w:hint="eastAsia" w:ascii="宋体" w:hAnsi="宋体" w:cs="宋体"/>
          <w:highlight w:val="none"/>
        </w:rPr>
        <w:t>13.4 监理人的质量检查</w:t>
      </w:r>
      <w:bookmarkEnd w:id="1226"/>
      <w:bookmarkEnd w:id="1227"/>
      <w:bookmarkEnd w:id="1228"/>
      <w:bookmarkEnd w:id="1229"/>
    </w:p>
    <w:p w14:paraId="3E6C31D1">
      <w:pPr>
        <w:spacing w:line="360" w:lineRule="auto"/>
        <w:ind w:firstLine="420" w:firstLineChars="200"/>
        <w:rPr>
          <w:rFonts w:hint="eastAsia" w:ascii="宋体" w:hAnsi="宋体" w:cs="宋体"/>
          <w:highlight w:val="none"/>
        </w:rPr>
      </w:pPr>
      <w:r>
        <w:rPr>
          <w:rFonts w:hint="eastAsia" w:ascii="宋体" w:hAnsi="宋体" w:cs="宋体"/>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7BFECA0">
      <w:pPr>
        <w:spacing w:line="360" w:lineRule="auto"/>
        <w:rPr>
          <w:rFonts w:hint="eastAsia" w:ascii="宋体" w:hAnsi="宋体" w:cs="宋体"/>
          <w:highlight w:val="none"/>
        </w:rPr>
      </w:pPr>
      <w:bookmarkStart w:id="1230" w:name="_Toc338944793"/>
      <w:bookmarkStart w:id="1231" w:name="_Toc342296351"/>
      <w:bookmarkStart w:id="1232" w:name="_Toc454359265"/>
      <w:bookmarkStart w:id="1233" w:name="_Toc503536176"/>
      <w:r>
        <w:rPr>
          <w:rFonts w:hint="eastAsia" w:ascii="宋体" w:hAnsi="宋体" w:cs="宋体"/>
          <w:highlight w:val="none"/>
        </w:rPr>
        <w:t>13.5 工程隐蔽部位覆盖前的检查</w:t>
      </w:r>
      <w:bookmarkEnd w:id="1230"/>
      <w:bookmarkEnd w:id="1231"/>
      <w:bookmarkEnd w:id="1232"/>
      <w:bookmarkEnd w:id="1233"/>
    </w:p>
    <w:p w14:paraId="78E59DD3">
      <w:pPr>
        <w:spacing w:line="360" w:lineRule="auto"/>
        <w:ind w:firstLine="420" w:firstLineChars="200"/>
        <w:rPr>
          <w:rFonts w:hint="eastAsia" w:ascii="宋体" w:hAnsi="宋体" w:cs="宋体"/>
          <w:highlight w:val="none"/>
        </w:rPr>
      </w:pPr>
      <w:r>
        <w:rPr>
          <w:rFonts w:hint="eastAsia" w:ascii="宋体" w:hAnsi="宋体" w:cs="宋体"/>
          <w:highlight w:val="none"/>
        </w:rPr>
        <w:t>13.5.1 通知监理人检查</w:t>
      </w:r>
    </w:p>
    <w:p w14:paraId="1BE4907B">
      <w:pPr>
        <w:spacing w:line="360" w:lineRule="auto"/>
        <w:ind w:firstLine="420" w:firstLineChars="200"/>
        <w:rPr>
          <w:rFonts w:hint="eastAsia" w:ascii="宋体" w:hAnsi="宋体" w:cs="宋体"/>
          <w:highlight w:val="none"/>
        </w:rPr>
      </w:pPr>
      <w:r>
        <w:rPr>
          <w:rFonts w:hint="eastAsia" w:ascii="宋体" w:hAnsi="宋体" w:cs="宋体"/>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A8776A8">
      <w:pPr>
        <w:spacing w:line="360" w:lineRule="auto"/>
        <w:ind w:firstLine="420" w:firstLineChars="200"/>
        <w:rPr>
          <w:rFonts w:hint="eastAsia" w:ascii="宋体" w:hAnsi="宋体" w:cs="宋体"/>
          <w:highlight w:val="none"/>
        </w:rPr>
      </w:pPr>
      <w:r>
        <w:rPr>
          <w:rFonts w:hint="eastAsia" w:ascii="宋体" w:hAnsi="宋体" w:cs="宋体"/>
          <w:highlight w:val="none"/>
        </w:rPr>
        <w:t>13.5.2 监理人未到场检查</w:t>
      </w:r>
    </w:p>
    <w:p w14:paraId="29DFD8CF">
      <w:pPr>
        <w:spacing w:line="360" w:lineRule="auto"/>
        <w:ind w:firstLine="420" w:firstLineChars="200"/>
        <w:rPr>
          <w:rFonts w:hint="eastAsia" w:ascii="宋体" w:hAnsi="宋体" w:cs="宋体"/>
          <w:highlight w:val="none"/>
        </w:rPr>
      </w:pPr>
      <w:r>
        <w:rPr>
          <w:rFonts w:hint="eastAsia" w:ascii="宋体" w:hAnsi="宋体" w:cs="宋体"/>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0B8D4582">
      <w:pPr>
        <w:spacing w:line="360" w:lineRule="auto"/>
        <w:ind w:firstLine="420" w:firstLineChars="200"/>
        <w:rPr>
          <w:rFonts w:hint="eastAsia" w:ascii="宋体" w:hAnsi="宋体" w:cs="宋体"/>
          <w:highlight w:val="none"/>
        </w:rPr>
      </w:pPr>
      <w:r>
        <w:rPr>
          <w:rFonts w:hint="eastAsia" w:ascii="宋体" w:hAnsi="宋体" w:cs="宋体"/>
          <w:highlight w:val="none"/>
        </w:rPr>
        <w:t>13.5.3 监理人重新检查</w:t>
      </w:r>
    </w:p>
    <w:p w14:paraId="45B04A91">
      <w:pPr>
        <w:spacing w:line="360" w:lineRule="auto"/>
        <w:ind w:firstLine="420" w:firstLineChars="200"/>
        <w:rPr>
          <w:rFonts w:hint="eastAsia" w:ascii="宋体" w:hAnsi="宋体" w:cs="宋体"/>
          <w:highlight w:val="none"/>
        </w:rPr>
      </w:pPr>
      <w:r>
        <w:rPr>
          <w:rFonts w:hint="eastAsia" w:ascii="宋体" w:hAnsi="宋体" w:cs="宋体"/>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7297B50">
      <w:pPr>
        <w:spacing w:line="360" w:lineRule="auto"/>
        <w:ind w:firstLine="420" w:firstLineChars="200"/>
        <w:rPr>
          <w:rFonts w:hint="eastAsia" w:ascii="宋体" w:hAnsi="宋体" w:cs="宋体"/>
          <w:highlight w:val="none"/>
        </w:rPr>
      </w:pPr>
      <w:r>
        <w:rPr>
          <w:rFonts w:hint="eastAsia" w:ascii="宋体" w:hAnsi="宋体" w:cs="宋体"/>
          <w:highlight w:val="none"/>
        </w:rPr>
        <w:t>13.5.4 承包人私自覆盖</w:t>
      </w:r>
    </w:p>
    <w:p w14:paraId="2D6C6F59">
      <w:pPr>
        <w:spacing w:line="360" w:lineRule="auto"/>
        <w:ind w:firstLine="420" w:firstLineChars="200"/>
        <w:rPr>
          <w:rFonts w:hint="eastAsia" w:ascii="宋体" w:hAnsi="宋体" w:cs="宋体"/>
          <w:highlight w:val="none"/>
        </w:rPr>
      </w:pPr>
      <w:r>
        <w:rPr>
          <w:rFonts w:hint="eastAsia" w:ascii="宋体" w:hAnsi="宋体" w:cs="宋体"/>
          <w:highlight w:val="none"/>
        </w:rPr>
        <w:t>承包人未通知监理人到场检查，私自将工程隐蔽部位覆盖的，监理人有权指示承包人钻孔探测或揭开检查，由此增加的费用和（或）工期延误由承包人承担。</w:t>
      </w:r>
    </w:p>
    <w:p w14:paraId="33F88785">
      <w:pPr>
        <w:spacing w:line="360" w:lineRule="auto"/>
        <w:rPr>
          <w:rFonts w:hint="eastAsia" w:ascii="宋体" w:hAnsi="宋体" w:cs="宋体"/>
          <w:highlight w:val="none"/>
        </w:rPr>
      </w:pPr>
      <w:bookmarkStart w:id="1234" w:name="_Toc152042479"/>
      <w:bookmarkStart w:id="1235" w:name="_Toc454359266"/>
      <w:bookmarkStart w:id="1236" w:name="_Toc338944794"/>
      <w:bookmarkStart w:id="1237" w:name="_Toc179632719"/>
      <w:bookmarkStart w:id="1238" w:name="_Toc503536177"/>
      <w:bookmarkStart w:id="1239" w:name="_Toc144974670"/>
      <w:bookmarkStart w:id="1240" w:name="_Toc152045701"/>
      <w:bookmarkStart w:id="1241" w:name="_Toc342296352"/>
      <w:r>
        <w:rPr>
          <w:rFonts w:hint="eastAsia" w:ascii="宋体" w:hAnsi="宋体" w:cs="宋体"/>
          <w:highlight w:val="none"/>
        </w:rPr>
        <w:t>13.6 清除不合格工程</w:t>
      </w:r>
      <w:bookmarkEnd w:id="1234"/>
      <w:bookmarkEnd w:id="1235"/>
      <w:bookmarkEnd w:id="1236"/>
      <w:bookmarkEnd w:id="1237"/>
      <w:bookmarkEnd w:id="1238"/>
      <w:bookmarkEnd w:id="1239"/>
      <w:bookmarkEnd w:id="1240"/>
      <w:bookmarkEnd w:id="1241"/>
    </w:p>
    <w:p w14:paraId="6073B927">
      <w:pPr>
        <w:spacing w:line="360" w:lineRule="auto"/>
        <w:ind w:firstLine="420" w:firstLineChars="200"/>
        <w:rPr>
          <w:rFonts w:hint="eastAsia" w:ascii="宋体" w:hAnsi="宋体" w:cs="宋体"/>
          <w:highlight w:val="none"/>
        </w:rPr>
      </w:pPr>
      <w:r>
        <w:rPr>
          <w:rFonts w:hint="eastAsia" w:ascii="宋体" w:hAnsi="宋体" w:cs="宋体"/>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2930414">
      <w:pPr>
        <w:spacing w:line="360" w:lineRule="auto"/>
        <w:ind w:firstLine="420" w:firstLineChars="200"/>
        <w:rPr>
          <w:rFonts w:hint="eastAsia" w:ascii="宋体" w:hAnsi="宋体" w:cs="宋体"/>
          <w:highlight w:val="none"/>
        </w:rPr>
      </w:pPr>
      <w:r>
        <w:rPr>
          <w:rFonts w:hint="eastAsia" w:ascii="宋体" w:hAnsi="宋体" w:cs="宋体"/>
          <w:highlight w:val="none"/>
        </w:rPr>
        <w:t>13.6.2 由于发包人提供的材料或工程设备不合格造成的工程不合格，需要承包人采取措施补救的，发包人应承担由此增加的费用和（或）工期延误，并支付承包人合理利润。</w:t>
      </w:r>
    </w:p>
    <w:p w14:paraId="6D105738">
      <w:pPr>
        <w:rPr>
          <w:rFonts w:hint="eastAsia" w:ascii="宋体" w:hAnsi="宋体" w:cs="宋体"/>
          <w:highlight w:val="none"/>
        </w:rPr>
      </w:pPr>
      <w:bookmarkStart w:id="1242" w:name="_Toc179632720"/>
      <w:bookmarkStart w:id="1243" w:name="_Toc342296353"/>
      <w:bookmarkStart w:id="1244" w:name="_Toc152042480"/>
      <w:bookmarkStart w:id="1245" w:name="_Toc338944795"/>
      <w:bookmarkStart w:id="1246" w:name="_Toc152045702"/>
      <w:bookmarkStart w:id="1247" w:name="_Toc503536178"/>
      <w:bookmarkStart w:id="1248" w:name="_Toc32519"/>
      <w:bookmarkStart w:id="1249" w:name="_Toc4157298"/>
      <w:bookmarkStart w:id="1250" w:name="_Toc144974671"/>
      <w:r>
        <w:rPr>
          <w:rFonts w:hint="eastAsia" w:ascii="宋体" w:hAnsi="宋体" w:cs="宋体"/>
          <w:highlight w:val="none"/>
        </w:rPr>
        <w:t>14. 试验和检验</w:t>
      </w:r>
      <w:bookmarkEnd w:id="1242"/>
      <w:bookmarkEnd w:id="1243"/>
      <w:bookmarkEnd w:id="1244"/>
      <w:bookmarkEnd w:id="1245"/>
      <w:bookmarkEnd w:id="1246"/>
      <w:bookmarkEnd w:id="1247"/>
      <w:bookmarkEnd w:id="1248"/>
      <w:bookmarkEnd w:id="1249"/>
      <w:bookmarkEnd w:id="1250"/>
    </w:p>
    <w:p w14:paraId="26EEE506">
      <w:pPr>
        <w:spacing w:line="360" w:lineRule="auto"/>
        <w:rPr>
          <w:rFonts w:hint="eastAsia" w:ascii="宋体" w:hAnsi="宋体" w:cs="宋体"/>
          <w:highlight w:val="none"/>
        </w:rPr>
      </w:pPr>
      <w:bookmarkStart w:id="1251" w:name="_Toc503536179"/>
      <w:bookmarkStart w:id="1252" w:name="_Toc179632721"/>
      <w:bookmarkStart w:id="1253" w:name="_Toc152042481"/>
      <w:bookmarkStart w:id="1254" w:name="_Toc342296354"/>
      <w:bookmarkStart w:id="1255" w:name="_Toc144974672"/>
      <w:bookmarkStart w:id="1256" w:name="_Toc152045703"/>
      <w:bookmarkStart w:id="1257" w:name="_Toc454359268"/>
      <w:bookmarkStart w:id="1258" w:name="_Toc338944796"/>
      <w:r>
        <w:rPr>
          <w:rFonts w:hint="eastAsia" w:ascii="宋体" w:hAnsi="宋体" w:cs="宋体"/>
          <w:highlight w:val="none"/>
        </w:rPr>
        <w:t>14.1 材料、工程设备和工程的试验和检验</w:t>
      </w:r>
      <w:bookmarkEnd w:id="1251"/>
      <w:bookmarkEnd w:id="1252"/>
      <w:bookmarkEnd w:id="1253"/>
      <w:bookmarkEnd w:id="1254"/>
      <w:bookmarkEnd w:id="1255"/>
      <w:bookmarkEnd w:id="1256"/>
      <w:bookmarkEnd w:id="1257"/>
      <w:bookmarkEnd w:id="1258"/>
    </w:p>
    <w:p w14:paraId="35D4DD63">
      <w:pPr>
        <w:spacing w:line="360" w:lineRule="auto"/>
        <w:ind w:firstLine="420" w:firstLineChars="200"/>
        <w:rPr>
          <w:rFonts w:hint="eastAsia" w:ascii="宋体" w:hAnsi="宋体" w:cs="宋体"/>
          <w:highlight w:val="none"/>
        </w:rPr>
      </w:pPr>
      <w:r>
        <w:rPr>
          <w:rFonts w:hint="eastAsia" w:ascii="宋体" w:hAnsi="宋体" w:cs="宋体"/>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23E005F">
      <w:pPr>
        <w:spacing w:line="360" w:lineRule="auto"/>
        <w:ind w:firstLine="420" w:firstLineChars="200"/>
        <w:rPr>
          <w:rFonts w:hint="eastAsia" w:ascii="宋体" w:hAnsi="宋体" w:cs="宋体"/>
          <w:highlight w:val="none"/>
        </w:rPr>
      </w:pPr>
      <w:r>
        <w:rPr>
          <w:rFonts w:hint="eastAsia" w:ascii="宋体" w:hAnsi="宋体" w:cs="宋体"/>
          <w:highlight w:val="none"/>
        </w:rPr>
        <w:t>14.1.2 监理人未按合同约定派员参加试验和检验的，除监理人另有指示外，承包人可自行试验和检验，并应立即将试验和检验结果报送监理人，监理人应签字确认。</w:t>
      </w:r>
    </w:p>
    <w:p w14:paraId="5FA11B72">
      <w:pPr>
        <w:spacing w:line="360" w:lineRule="auto"/>
        <w:ind w:firstLine="420" w:firstLineChars="200"/>
        <w:rPr>
          <w:rFonts w:hint="eastAsia" w:ascii="宋体" w:hAnsi="宋体" w:cs="宋体"/>
          <w:highlight w:val="none"/>
        </w:rPr>
      </w:pPr>
      <w:r>
        <w:rPr>
          <w:rFonts w:hint="eastAsia" w:ascii="宋体" w:hAnsi="宋体" w:cs="宋体"/>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2A6C393">
      <w:pPr>
        <w:spacing w:line="360" w:lineRule="auto"/>
        <w:rPr>
          <w:rFonts w:hint="eastAsia" w:ascii="宋体" w:hAnsi="宋体" w:cs="宋体"/>
          <w:highlight w:val="none"/>
        </w:rPr>
      </w:pPr>
      <w:bookmarkStart w:id="1259" w:name="_Toc179632722"/>
      <w:bookmarkStart w:id="1260" w:name="_Toc454359269"/>
      <w:bookmarkStart w:id="1261" w:name="_Toc152042482"/>
      <w:bookmarkStart w:id="1262" w:name="_Toc342296355"/>
      <w:bookmarkStart w:id="1263" w:name="_Toc503536180"/>
      <w:bookmarkStart w:id="1264" w:name="_Toc144974673"/>
      <w:bookmarkStart w:id="1265" w:name="_Toc152045704"/>
      <w:bookmarkStart w:id="1266" w:name="_Toc338944797"/>
      <w:r>
        <w:rPr>
          <w:rFonts w:hint="eastAsia" w:ascii="宋体" w:hAnsi="宋体" w:cs="宋体"/>
          <w:highlight w:val="none"/>
        </w:rPr>
        <w:t>14.2 现场材料试验</w:t>
      </w:r>
      <w:bookmarkEnd w:id="1259"/>
      <w:bookmarkEnd w:id="1260"/>
      <w:bookmarkEnd w:id="1261"/>
      <w:bookmarkEnd w:id="1262"/>
      <w:bookmarkEnd w:id="1263"/>
      <w:bookmarkEnd w:id="1264"/>
      <w:bookmarkEnd w:id="1265"/>
      <w:bookmarkEnd w:id="1266"/>
    </w:p>
    <w:p w14:paraId="12A9AC1B">
      <w:pPr>
        <w:spacing w:line="360" w:lineRule="auto"/>
        <w:ind w:firstLine="420" w:firstLineChars="200"/>
        <w:rPr>
          <w:rFonts w:hint="eastAsia" w:ascii="宋体" w:hAnsi="宋体" w:cs="宋体"/>
          <w:highlight w:val="none"/>
        </w:rPr>
      </w:pPr>
      <w:r>
        <w:rPr>
          <w:rFonts w:hint="eastAsia" w:ascii="宋体" w:hAnsi="宋体" w:cs="宋体"/>
          <w:highlight w:val="none"/>
        </w:rPr>
        <w:t>14.2.1 承包人根据合同约定或监理人指示进行的现场材料试验，应由承包人提供试验场所、试验人员、试验设备器材以及其他必要的试验条件。</w:t>
      </w:r>
    </w:p>
    <w:p w14:paraId="123C4926">
      <w:pPr>
        <w:spacing w:line="360" w:lineRule="auto"/>
        <w:ind w:firstLine="420" w:firstLineChars="200"/>
        <w:rPr>
          <w:rFonts w:hint="eastAsia" w:ascii="宋体" w:hAnsi="宋体" w:cs="宋体"/>
          <w:highlight w:val="none"/>
        </w:rPr>
      </w:pPr>
      <w:r>
        <w:rPr>
          <w:rFonts w:hint="eastAsia" w:ascii="宋体" w:hAnsi="宋体" w:cs="宋体"/>
          <w:highlight w:val="none"/>
        </w:rPr>
        <w:t>14.2.2 监理人在必要时可以使用承包人的试验场所、试验设备器材以及其他试验条件，进行以工程质量检查为目的的复核性材料试验，承包人应予以协助。</w:t>
      </w:r>
    </w:p>
    <w:p w14:paraId="2DCEF944">
      <w:pPr>
        <w:spacing w:line="360" w:lineRule="auto"/>
        <w:rPr>
          <w:rFonts w:hint="eastAsia" w:ascii="宋体" w:hAnsi="宋体" w:cs="宋体"/>
          <w:highlight w:val="none"/>
        </w:rPr>
      </w:pPr>
      <w:bookmarkStart w:id="1267" w:name="_Toc342296356"/>
      <w:bookmarkStart w:id="1268" w:name="_Toc152042483"/>
      <w:bookmarkStart w:id="1269" w:name="_Toc144974674"/>
      <w:bookmarkStart w:id="1270" w:name="_Toc454359270"/>
      <w:bookmarkStart w:id="1271" w:name="_Toc338944798"/>
      <w:bookmarkStart w:id="1272" w:name="_Toc179632723"/>
      <w:bookmarkStart w:id="1273" w:name="_Toc503536181"/>
      <w:bookmarkStart w:id="1274" w:name="_Toc152045705"/>
      <w:r>
        <w:rPr>
          <w:rFonts w:hint="eastAsia" w:ascii="宋体" w:hAnsi="宋体" w:cs="宋体"/>
          <w:highlight w:val="none"/>
        </w:rPr>
        <w:t>14.3 现场工艺试验</w:t>
      </w:r>
      <w:bookmarkEnd w:id="1267"/>
      <w:bookmarkEnd w:id="1268"/>
      <w:bookmarkEnd w:id="1269"/>
      <w:bookmarkEnd w:id="1270"/>
      <w:bookmarkEnd w:id="1271"/>
      <w:bookmarkEnd w:id="1272"/>
      <w:bookmarkEnd w:id="1273"/>
      <w:bookmarkEnd w:id="1274"/>
    </w:p>
    <w:p w14:paraId="783D83F6">
      <w:pPr>
        <w:spacing w:line="360" w:lineRule="auto"/>
        <w:ind w:firstLine="420" w:firstLineChars="200"/>
        <w:rPr>
          <w:rFonts w:hint="eastAsia" w:ascii="宋体" w:hAnsi="宋体" w:cs="宋体"/>
          <w:highlight w:val="none"/>
        </w:rPr>
      </w:pPr>
      <w:r>
        <w:rPr>
          <w:rFonts w:hint="eastAsia" w:ascii="宋体" w:hAnsi="宋体" w:cs="宋体"/>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6AFC6189">
      <w:pPr>
        <w:rPr>
          <w:rFonts w:hint="eastAsia" w:ascii="宋体" w:hAnsi="宋体" w:cs="宋体"/>
          <w:highlight w:val="none"/>
        </w:rPr>
      </w:pPr>
      <w:bookmarkStart w:id="1275" w:name="_Toc23292"/>
      <w:bookmarkStart w:id="1276" w:name="_Toc342296357"/>
      <w:bookmarkStart w:id="1277" w:name="_Toc4157299"/>
      <w:bookmarkStart w:id="1278" w:name="_Toc503536182"/>
      <w:bookmarkStart w:id="1279" w:name="_Toc338944799"/>
      <w:r>
        <w:rPr>
          <w:rFonts w:hint="eastAsia" w:ascii="宋体" w:hAnsi="宋体" w:cs="宋体"/>
          <w:highlight w:val="none"/>
        </w:rPr>
        <w:t>15. 变更</w:t>
      </w:r>
      <w:bookmarkEnd w:id="1275"/>
      <w:bookmarkEnd w:id="1276"/>
      <w:bookmarkEnd w:id="1277"/>
      <w:bookmarkEnd w:id="1278"/>
      <w:bookmarkEnd w:id="1279"/>
    </w:p>
    <w:p w14:paraId="6F36B7A2">
      <w:pPr>
        <w:spacing w:line="360" w:lineRule="auto"/>
        <w:rPr>
          <w:rFonts w:hint="eastAsia" w:ascii="宋体" w:hAnsi="宋体" w:cs="宋体"/>
          <w:highlight w:val="none"/>
        </w:rPr>
      </w:pPr>
      <w:bookmarkStart w:id="1280" w:name="_Toc338944800"/>
      <w:bookmarkStart w:id="1281" w:name="_Toc342296358"/>
      <w:bookmarkStart w:id="1282" w:name="_Toc503536183"/>
      <w:bookmarkStart w:id="1283" w:name="_Toc454359272"/>
      <w:r>
        <w:rPr>
          <w:rFonts w:hint="eastAsia" w:ascii="宋体" w:hAnsi="宋体" w:cs="宋体"/>
          <w:highlight w:val="none"/>
        </w:rPr>
        <w:t>15.1 变更的范围和内容</w:t>
      </w:r>
      <w:bookmarkEnd w:id="1280"/>
      <w:bookmarkEnd w:id="1281"/>
      <w:bookmarkEnd w:id="1282"/>
      <w:bookmarkEnd w:id="1283"/>
    </w:p>
    <w:p w14:paraId="212FAD3A">
      <w:pPr>
        <w:spacing w:line="360" w:lineRule="auto"/>
        <w:ind w:firstLine="404" w:firstLineChars="200"/>
        <w:rPr>
          <w:rFonts w:hint="eastAsia" w:ascii="宋体" w:hAnsi="宋体" w:cs="宋体"/>
          <w:spacing w:val="-4"/>
          <w:highlight w:val="none"/>
        </w:rPr>
      </w:pPr>
      <w:r>
        <w:rPr>
          <w:rFonts w:hint="eastAsia" w:ascii="宋体" w:hAnsi="宋体" w:cs="宋体"/>
          <w:spacing w:val="-4"/>
          <w:highlight w:val="none"/>
        </w:rPr>
        <w:t>除专用合同条款另有约定外，在履行合同中发生以下情形之一，应按照本条规定进行变更。</w:t>
      </w:r>
    </w:p>
    <w:p w14:paraId="3D1548C9">
      <w:pPr>
        <w:spacing w:line="360" w:lineRule="auto"/>
        <w:ind w:firstLine="359" w:firstLineChars="171"/>
        <w:rPr>
          <w:rFonts w:hint="eastAsia" w:ascii="宋体" w:hAnsi="宋体" w:cs="宋体"/>
          <w:highlight w:val="none"/>
        </w:rPr>
      </w:pPr>
      <w:r>
        <w:rPr>
          <w:rFonts w:hint="eastAsia" w:ascii="宋体" w:hAnsi="宋体" w:cs="宋体"/>
          <w:highlight w:val="none"/>
        </w:rPr>
        <w:t>（1）取消合同中任何一项工作，但被取消的工作不能转由发包人或其他人实施；</w:t>
      </w:r>
    </w:p>
    <w:p w14:paraId="74962221">
      <w:pPr>
        <w:spacing w:line="360" w:lineRule="auto"/>
        <w:ind w:firstLine="359" w:firstLineChars="171"/>
        <w:rPr>
          <w:rFonts w:hint="eastAsia" w:ascii="宋体" w:hAnsi="宋体" w:cs="宋体"/>
          <w:highlight w:val="none"/>
        </w:rPr>
      </w:pPr>
      <w:r>
        <w:rPr>
          <w:rFonts w:hint="eastAsia" w:ascii="宋体" w:hAnsi="宋体" w:cs="宋体"/>
          <w:highlight w:val="none"/>
        </w:rPr>
        <w:t>（2）改变合同中任何一项工作的质量或其他特性；</w:t>
      </w:r>
    </w:p>
    <w:p w14:paraId="3EA84765">
      <w:pPr>
        <w:spacing w:line="360" w:lineRule="auto"/>
        <w:ind w:firstLine="359" w:firstLineChars="171"/>
        <w:rPr>
          <w:rFonts w:hint="eastAsia" w:ascii="宋体" w:hAnsi="宋体" w:cs="宋体"/>
          <w:highlight w:val="none"/>
        </w:rPr>
      </w:pPr>
      <w:r>
        <w:rPr>
          <w:rFonts w:hint="eastAsia" w:ascii="宋体" w:hAnsi="宋体" w:cs="宋体"/>
          <w:highlight w:val="none"/>
        </w:rPr>
        <w:t>（3）改变合同工程的基线、标高、位置或尺寸；</w:t>
      </w:r>
    </w:p>
    <w:p w14:paraId="58C7CDD3">
      <w:pPr>
        <w:spacing w:line="360" w:lineRule="auto"/>
        <w:ind w:firstLine="359" w:firstLineChars="171"/>
        <w:rPr>
          <w:rFonts w:hint="eastAsia" w:ascii="宋体" w:hAnsi="宋体" w:cs="宋体"/>
          <w:highlight w:val="none"/>
        </w:rPr>
      </w:pPr>
      <w:r>
        <w:rPr>
          <w:rFonts w:hint="eastAsia" w:ascii="宋体" w:hAnsi="宋体" w:cs="宋体"/>
          <w:highlight w:val="none"/>
        </w:rPr>
        <w:t>（4）改变合同中任何一项工作的施工时间或改变已批准的施工工艺或顺序；</w:t>
      </w:r>
    </w:p>
    <w:p w14:paraId="042FF338">
      <w:pPr>
        <w:spacing w:line="360" w:lineRule="auto"/>
        <w:ind w:firstLine="359" w:firstLineChars="171"/>
        <w:rPr>
          <w:rFonts w:hint="eastAsia" w:ascii="宋体" w:hAnsi="宋体" w:cs="宋体"/>
          <w:highlight w:val="none"/>
        </w:rPr>
      </w:pPr>
      <w:r>
        <w:rPr>
          <w:rFonts w:hint="eastAsia" w:ascii="宋体" w:hAnsi="宋体" w:cs="宋体"/>
          <w:highlight w:val="none"/>
        </w:rPr>
        <w:t>（5）为完成工程需要追加的额外工作。</w:t>
      </w:r>
    </w:p>
    <w:p w14:paraId="3E925D79">
      <w:pPr>
        <w:spacing w:line="360" w:lineRule="auto"/>
        <w:rPr>
          <w:rFonts w:hint="eastAsia" w:ascii="宋体" w:hAnsi="宋体" w:cs="宋体"/>
          <w:highlight w:val="none"/>
        </w:rPr>
      </w:pPr>
      <w:bookmarkStart w:id="1284" w:name="_Toc179632726"/>
      <w:bookmarkStart w:id="1285" w:name="_Toc152045708"/>
      <w:bookmarkStart w:id="1286" w:name="_Toc144974677"/>
      <w:bookmarkStart w:id="1287" w:name="_Toc152042486"/>
      <w:bookmarkStart w:id="1288" w:name="_Toc454359273"/>
      <w:bookmarkStart w:id="1289" w:name="_Toc338944801"/>
      <w:bookmarkStart w:id="1290" w:name="_Toc342296359"/>
      <w:bookmarkStart w:id="1291" w:name="_Toc503536184"/>
      <w:r>
        <w:rPr>
          <w:rFonts w:hint="eastAsia" w:ascii="宋体" w:hAnsi="宋体" w:cs="宋体"/>
          <w:highlight w:val="none"/>
        </w:rPr>
        <w:t>15.2 变更权</w:t>
      </w:r>
      <w:bookmarkEnd w:id="1284"/>
      <w:bookmarkEnd w:id="1285"/>
      <w:bookmarkEnd w:id="1286"/>
      <w:bookmarkEnd w:id="1287"/>
      <w:bookmarkEnd w:id="1288"/>
      <w:bookmarkEnd w:id="1289"/>
      <w:bookmarkEnd w:id="1290"/>
      <w:bookmarkEnd w:id="1291"/>
    </w:p>
    <w:p w14:paraId="1018B24B">
      <w:pPr>
        <w:spacing w:line="360" w:lineRule="auto"/>
        <w:ind w:firstLine="420" w:firstLineChars="200"/>
        <w:rPr>
          <w:rFonts w:hint="eastAsia" w:ascii="宋体" w:hAnsi="宋体" w:cs="宋体"/>
          <w:highlight w:val="none"/>
        </w:rPr>
      </w:pPr>
      <w:r>
        <w:rPr>
          <w:rFonts w:hint="eastAsia" w:ascii="宋体" w:hAnsi="宋体" w:cs="宋体"/>
          <w:highlight w:val="none"/>
        </w:rPr>
        <w:t>在履行合同过程中，经发包人同意，监理人可按第15.3款约定的变更程序向承包人作出变更指示，承包人应遵照执行。没有监理人的变更指示，承包人不得擅自变更。</w:t>
      </w:r>
    </w:p>
    <w:p w14:paraId="1E7C97BA">
      <w:pPr>
        <w:spacing w:line="360" w:lineRule="auto"/>
        <w:rPr>
          <w:rFonts w:hint="eastAsia" w:ascii="宋体" w:hAnsi="宋体" w:cs="宋体"/>
          <w:highlight w:val="none"/>
        </w:rPr>
      </w:pPr>
      <w:bookmarkStart w:id="1292" w:name="_Toc342296360"/>
      <w:bookmarkStart w:id="1293" w:name="_Toc338944802"/>
      <w:bookmarkStart w:id="1294" w:name="_Toc454359274"/>
      <w:bookmarkStart w:id="1295" w:name="_Toc503536185"/>
      <w:r>
        <w:rPr>
          <w:rFonts w:hint="eastAsia" w:ascii="宋体" w:hAnsi="宋体" w:cs="宋体"/>
          <w:highlight w:val="none"/>
        </w:rPr>
        <w:t>15.3 变更程序</w:t>
      </w:r>
      <w:bookmarkEnd w:id="1292"/>
      <w:bookmarkEnd w:id="1293"/>
      <w:bookmarkEnd w:id="1294"/>
      <w:bookmarkEnd w:id="1295"/>
    </w:p>
    <w:p w14:paraId="2CD5820E">
      <w:pPr>
        <w:spacing w:line="360" w:lineRule="auto"/>
        <w:ind w:firstLine="420" w:firstLineChars="200"/>
        <w:rPr>
          <w:rFonts w:hint="eastAsia" w:ascii="宋体" w:hAnsi="宋体" w:cs="宋体"/>
          <w:highlight w:val="none"/>
        </w:rPr>
      </w:pPr>
      <w:r>
        <w:rPr>
          <w:rFonts w:hint="eastAsia" w:ascii="宋体" w:hAnsi="宋体" w:cs="宋体"/>
          <w:highlight w:val="none"/>
        </w:rPr>
        <w:t>15.3.1 变更的提出</w:t>
      </w:r>
    </w:p>
    <w:p w14:paraId="15EB1181">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760B411A">
      <w:pPr>
        <w:spacing w:line="360" w:lineRule="auto"/>
        <w:ind w:firstLine="420" w:firstLineChars="200"/>
        <w:rPr>
          <w:rFonts w:hint="eastAsia" w:ascii="宋体" w:hAnsi="宋体" w:cs="宋体"/>
          <w:highlight w:val="none"/>
        </w:rPr>
      </w:pPr>
      <w:r>
        <w:rPr>
          <w:rFonts w:hint="eastAsia" w:ascii="宋体" w:hAnsi="宋体" w:cs="宋体"/>
          <w:highlight w:val="none"/>
        </w:rPr>
        <w:t>（2）在合同履行过程中，发生第15.1款约定情形的，监理人应按照第15.3.3项约定向承包人发出变更指示。</w:t>
      </w:r>
    </w:p>
    <w:p w14:paraId="28CD67FA">
      <w:pPr>
        <w:spacing w:line="360" w:lineRule="auto"/>
        <w:ind w:firstLine="420" w:firstLineChars="200"/>
        <w:rPr>
          <w:rFonts w:hint="eastAsia" w:ascii="宋体" w:hAnsi="宋体" w:cs="宋体"/>
          <w:highlight w:val="none"/>
        </w:rPr>
      </w:pPr>
      <w:r>
        <w:rPr>
          <w:rFonts w:hint="eastAsia" w:ascii="宋体" w:hAnsi="宋体" w:cs="宋体"/>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B1A9A17">
      <w:pPr>
        <w:spacing w:line="360" w:lineRule="auto"/>
        <w:ind w:firstLine="420" w:firstLineChars="200"/>
        <w:rPr>
          <w:rFonts w:hint="eastAsia" w:ascii="宋体" w:hAnsi="宋体" w:cs="宋体"/>
          <w:highlight w:val="none"/>
        </w:rPr>
      </w:pPr>
      <w:r>
        <w:rPr>
          <w:rFonts w:hint="eastAsia" w:ascii="宋体" w:hAnsi="宋体" w:cs="宋体"/>
          <w:highlight w:val="none"/>
        </w:rPr>
        <w:t>（4）若承包人收到监理人的变更意向书后认为难以实施此项变更，应立即通知监理人，说明原因并附详细依据。监理人与承包人和发包人协商后确定撤销、改变或不改变原变更意向书。</w:t>
      </w:r>
    </w:p>
    <w:p w14:paraId="76964E00">
      <w:pPr>
        <w:spacing w:line="360" w:lineRule="auto"/>
        <w:ind w:firstLine="420" w:firstLineChars="200"/>
        <w:rPr>
          <w:rFonts w:hint="eastAsia" w:ascii="宋体" w:hAnsi="宋体" w:cs="宋体"/>
          <w:highlight w:val="none"/>
        </w:rPr>
      </w:pPr>
      <w:r>
        <w:rPr>
          <w:rFonts w:hint="eastAsia" w:ascii="宋体" w:hAnsi="宋体" w:cs="宋体"/>
          <w:highlight w:val="none"/>
        </w:rPr>
        <w:t>15.3.2 变更估价</w:t>
      </w:r>
    </w:p>
    <w:p w14:paraId="7F3B5AB2">
      <w:pPr>
        <w:spacing w:line="360" w:lineRule="auto"/>
        <w:ind w:firstLine="420" w:firstLineChars="200"/>
        <w:rPr>
          <w:rFonts w:hint="eastAsia" w:ascii="宋体" w:hAnsi="宋体" w:cs="宋体"/>
          <w:highlight w:val="none"/>
        </w:rPr>
      </w:pPr>
      <w:r>
        <w:rPr>
          <w:rFonts w:hint="eastAsia" w:ascii="宋体" w:hAnsi="宋体" w:cs="宋体"/>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31352E1">
      <w:pPr>
        <w:spacing w:line="360" w:lineRule="auto"/>
        <w:ind w:firstLine="420" w:firstLineChars="200"/>
        <w:rPr>
          <w:rFonts w:hint="eastAsia" w:ascii="宋体" w:hAnsi="宋体" w:cs="宋体"/>
          <w:highlight w:val="none"/>
        </w:rPr>
      </w:pPr>
      <w:r>
        <w:rPr>
          <w:rFonts w:hint="eastAsia" w:ascii="宋体" w:hAnsi="宋体" w:cs="宋体"/>
          <w:highlight w:val="none"/>
        </w:rPr>
        <w:t>（2）变更工作影响工期的，承包人应提出调整工期的具体细节。监理人认为有必要时，可要求承包人提交要求提前或延长工期的施工进度计划及相应施工措施等详细资料。</w:t>
      </w:r>
    </w:p>
    <w:p w14:paraId="375F5117">
      <w:pPr>
        <w:spacing w:line="360" w:lineRule="auto"/>
        <w:ind w:firstLine="420" w:firstLineChars="200"/>
        <w:rPr>
          <w:rFonts w:hint="eastAsia" w:ascii="宋体" w:hAnsi="宋体" w:cs="宋体"/>
          <w:highlight w:val="none"/>
        </w:rPr>
      </w:pPr>
      <w:r>
        <w:rPr>
          <w:rFonts w:hint="eastAsia" w:ascii="宋体" w:hAnsi="宋体" w:cs="宋体"/>
          <w:highlight w:val="none"/>
        </w:rPr>
        <w:t>（3）除专用合同条款对期限另有约定外，监理人收到承包人变更报价书后的14天内，根据第15.4款约定的估价原则，按照第3.5款商定或确定变更价格。</w:t>
      </w:r>
    </w:p>
    <w:p w14:paraId="5EB6A08B">
      <w:pPr>
        <w:spacing w:line="360" w:lineRule="auto"/>
        <w:ind w:firstLine="420" w:firstLineChars="200"/>
        <w:rPr>
          <w:rFonts w:hint="eastAsia" w:ascii="宋体" w:hAnsi="宋体" w:cs="宋体"/>
          <w:highlight w:val="none"/>
        </w:rPr>
      </w:pPr>
      <w:r>
        <w:rPr>
          <w:rFonts w:hint="eastAsia" w:ascii="宋体" w:hAnsi="宋体" w:cs="宋体"/>
          <w:highlight w:val="none"/>
        </w:rPr>
        <w:t>15.3.3 变更指示</w:t>
      </w:r>
    </w:p>
    <w:p w14:paraId="1F39CF63">
      <w:pPr>
        <w:spacing w:line="360" w:lineRule="auto"/>
        <w:ind w:firstLine="420" w:firstLineChars="200"/>
        <w:rPr>
          <w:rFonts w:hint="eastAsia" w:ascii="宋体" w:hAnsi="宋体" w:cs="宋体"/>
          <w:highlight w:val="none"/>
        </w:rPr>
      </w:pPr>
      <w:r>
        <w:rPr>
          <w:rFonts w:hint="eastAsia" w:ascii="宋体" w:hAnsi="宋体" w:cs="宋体"/>
          <w:highlight w:val="none"/>
        </w:rPr>
        <w:t>（1）变更指示只能由监理人发出。</w:t>
      </w:r>
    </w:p>
    <w:p w14:paraId="07D5C91B">
      <w:pPr>
        <w:spacing w:line="360" w:lineRule="auto"/>
        <w:ind w:firstLine="420" w:firstLineChars="200"/>
        <w:rPr>
          <w:rFonts w:hint="eastAsia" w:ascii="宋体" w:hAnsi="宋体" w:cs="宋体"/>
          <w:highlight w:val="none"/>
        </w:rPr>
      </w:pPr>
      <w:r>
        <w:rPr>
          <w:rFonts w:hint="eastAsia" w:ascii="宋体" w:hAnsi="宋体" w:cs="宋体"/>
          <w:highlight w:val="none"/>
        </w:rPr>
        <w:t>（2）变更指示应说明变更的目的、范围、变更内容以及变更的工程量及其进度和技术要求，并附有关图纸和文件。承包人收到变更指示后，应按变更指示进行变更工作。</w:t>
      </w:r>
    </w:p>
    <w:p w14:paraId="2F90D6DE">
      <w:pPr>
        <w:spacing w:line="360" w:lineRule="auto"/>
        <w:rPr>
          <w:rFonts w:hint="eastAsia" w:ascii="宋体" w:hAnsi="宋体" w:cs="宋体"/>
          <w:highlight w:val="none"/>
        </w:rPr>
      </w:pPr>
      <w:bookmarkStart w:id="1296" w:name="_Toc503536186"/>
      <w:bookmarkStart w:id="1297" w:name="_Toc454359275"/>
      <w:bookmarkStart w:id="1298" w:name="_Toc342296361"/>
      <w:bookmarkStart w:id="1299" w:name="_Toc338944803"/>
      <w:r>
        <w:rPr>
          <w:rFonts w:hint="eastAsia" w:ascii="宋体" w:hAnsi="宋体" w:cs="宋体"/>
          <w:highlight w:val="none"/>
        </w:rPr>
        <w:t>15.4 变更的估价原则</w:t>
      </w:r>
      <w:bookmarkEnd w:id="1296"/>
      <w:bookmarkEnd w:id="1297"/>
      <w:bookmarkEnd w:id="1298"/>
      <w:bookmarkEnd w:id="1299"/>
    </w:p>
    <w:p w14:paraId="628FD61E">
      <w:pPr>
        <w:spacing w:line="360" w:lineRule="auto"/>
        <w:ind w:firstLine="420" w:firstLineChars="200"/>
        <w:rPr>
          <w:rFonts w:hint="eastAsia" w:ascii="宋体" w:hAnsi="宋体" w:cs="宋体"/>
          <w:highlight w:val="none"/>
        </w:rPr>
      </w:pPr>
      <w:r>
        <w:rPr>
          <w:rFonts w:hint="eastAsia" w:ascii="宋体" w:hAnsi="宋体" w:cs="宋体"/>
          <w:highlight w:val="none"/>
        </w:rPr>
        <w:t>除专用合同条款另有约定外，因变更引起的价格调整按照本款约定处理。</w:t>
      </w:r>
    </w:p>
    <w:p w14:paraId="43162413">
      <w:pPr>
        <w:spacing w:line="360" w:lineRule="auto"/>
        <w:ind w:firstLine="420" w:firstLineChars="200"/>
        <w:rPr>
          <w:rFonts w:hint="eastAsia" w:ascii="宋体" w:hAnsi="宋体" w:cs="宋体"/>
          <w:highlight w:val="none"/>
        </w:rPr>
      </w:pPr>
      <w:r>
        <w:rPr>
          <w:rFonts w:hint="eastAsia" w:ascii="宋体" w:hAnsi="宋体" w:cs="宋体"/>
          <w:highlight w:val="none"/>
        </w:rPr>
        <w:t>15.4.1 已标价工程量清单中有适用于变更工作的子目的，采用该子目的单价。</w:t>
      </w:r>
    </w:p>
    <w:p w14:paraId="4372CB50">
      <w:pPr>
        <w:spacing w:line="360" w:lineRule="auto"/>
        <w:ind w:firstLine="420" w:firstLineChars="200"/>
        <w:rPr>
          <w:rFonts w:hint="eastAsia" w:ascii="宋体" w:hAnsi="宋体" w:cs="宋体"/>
          <w:highlight w:val="none"/>
        </w:rPr>
      </w:pPr>
      <w:r>
        <w:rPr>
          <w:rFonts w:hint="eastAsia" w:ascii="宋体" w:hAnsi="宋体" w:cs="宋体"/>
          <w:highlight w:val="none"/>
        </w:rPr>
        <w:t>15.4.2 已标价工程量清单中无适用于变更工作的子目，但有类似子目的，可在合理范围内参照类似子目的单价，由监理人按第3.5款商定或确定变更工作的单价。</w:t>
      </w:r>
    </w:p>
    <w:p w14:paraId="25EE90CF">
      <w:pPr>
        <w:spacing w:line="360" w:lineRule="auto"/>
        <w:ind w:firstLine="420" w:firstLineChars="200"/>
        <w:rPr>
          <w:rFonts w:hint="eastAsia" w:ascii="宋体" w:hAnsi="宋体" w:cs="宋体"/>
          <w:highlight w:val="none"/>
        </w:rPr>
      </w:pPr>
      <w:r>
        <w:rPr>
          <w:rFonts w:hint="eastAsia" w:ascii="宋体" w:hAnsi="宋体" w:cs="宋体"/>
          <w:highlight w:val="none"/>
        </w:rPr>
        <w:t>15.4.3 已标价工程量清单中无适用或类似子目的单价，可按照成本加利润的原则，由监理人按第3.5款商定或确定变更工作的单价。</w:t>
      </w:r>
    </w:p>
    <w:p w14:paraId="4C361962">
      <w:pPr>
        <w:spacing w:line="360" w:lineRule="auto"/>
        <w:rPr>
          <w:rFonts w:hint="eastAsia" w:ascii="宋体" w:hAnsi="宋体" w:cs="宋体"/>
          <w:highlight w:val="none"/>
        </w:rPr>
      </w:pPr>
      <w:bookmarkStart w:id="1300" w:name="_Toc503536187"/>
      <w:bookmarkStart w:id="1301" w:name="_Toc342296362"/>
      <w:bookmarkStart w:id="1302" w:name="_Toc338944804"/>
      <w:bookmarkStart w:id="1303" w:name="_Toc454359276"/>
      <w:r>
        <w:rPr>
          <w:rFonts w:hint="eastAsia" w:ascii="宋体" w:hAnsi="宋体" w:cs="宋体"/>
          <w:highlight w:val="none"/>
        </w:rPr>
        <w:t>15.5 承包人的合理化建议</w:t>
      </w:r>
      <w:bookmarkEnd w:id="1300"/>
      <w:bookmarkEnd w:id="1301"/>
      <w:bookmarkEnd w:id="1302"/>
      <w:bookmarkEnd w:id="1303"/>
    </w:p>
    <w:p w14:paraId="5278A9AE">
      <w:pPr>
        <w:spacing w:line="360" w:lineRule="auto"/>
        <w:ind w:firstLine="420" w:firstLineChars="200"/>
        <w:rPr>
          <w:rFonts w:hint="eastAsia" w:ascii="宋体" w:hAnsi="宋体" w:cs="宋体"/>
          <w:highlight w:val="none"/>
        </w:rPr>
      </w:pPr>
      <w:r>
        <w:rPr>
          <w:rFonts w:hint="eastAsia" w:ascii="宋体" w:hAnsi="宋体" w:cs="宋体"/>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A125352">
      <w:pPr>
        <w:spacing w:line="360" w:lineRule="auto"/>
        <w:ind w:firstLine="420" w:firstLineChars="200"/>
        <w:rPr>
          <w:rFonts w:hint="eastAsia" w:ascii="宋体" w:hAnsi="宋体" w:cs="宋体"/>
          <w:highlight w:val="none"/>
        </w:rPr>
      </w:pPr>
      <w:r>
        <w:rPr>
          <w:rFonts w:hint="eastAsia" w:ascii="宋体" w:hAnsi="宋体" w:cs="宋体"/>
          <w:highlight w:val="none"/>
        </w:rPr>
        <w:t>15.5.2 承包人提出的合理化建议降低了合同价格、缩短了工期或者提高了工程经济效益的，发包人可按国家有关规定在专用合同条款中约定给予奖励。</w:t>
      </w:r>
    </w:p>
    <w:p w14:paraId="2C136C33">
      <w:pPr>
        <w:spacing w:line="360" w:lineRule="auto"/>
        <w:rPr>
          <w:rFonts w:hint="eastAsia" w:ascii="宋体" w:hAnsi="宋体" w:cs="宋体"/>
          <w:highlight w:val="none"/>
        </w:rPr>
      </w:pPr>
      <w:bookmarkStart w:id="1304" w:name="_Toc338944805"/>
      <w:bookmarkStart w:id="1305" w:name="_Toc144974681"/>
      <w:bookmarkStart w:id="1306" w:name="_Toc342296363"/>
      <w:bookmarkStart w:id="1307" w:name="_Toc454359277"/>
      <w:bookmarkStart w:id="1308" w:name="_Toc179632730"/>
      <w:bookmarkStart w:id="1309" w:name="_Toc152042490"/>
      <w:bookmarkStart w:id="1310" w:name="_Toc503536188"/>
      <w:bookmarkStart w:id="1311" w:name="_Toc152045712"/>
      <w:r>
        <w:rPr>
          <w:rFonts w:hint="eastAsia" w:ascii="宋体" w:hAnsi="宋体" w:cs="宋体"/>
          <w:highlight w:val="none"/>
        </w:rPr>
        <w:t>15.6 暂列金额</w:t>
      </w:r>
      <w:bookmarkEnd w:id="1304"/>
      <w:bookmarkEnd w:id="1305"/>
      <w:bookmarkEnd w:id="1306"/>
      <w:bookmarkEnd w:id="1307"/>
      <w:bookmarkEnd w:id="1308"/>
      <w:bookmarkEnd w:id="1309"/>
      <w:bookmarkEnd w:id="1310"/>
      <w:bookmarkEnd w:id="1311"/>
    </w:p>
    <w:p w14:paraId="002A9A4D">
      <w:pPr>
        <w:spacing w:line="360" w:lineRule="auto"/>
        <w:ind w:firstLine="420" w:firstLineChars="200"/>
        <w:rPr>
          <w:rFonts w:hint="eastAsia" w:ascii="宋体" w:hAnsi="宋体" w:cs="宋体"/>
          <w:highlight w:val="none"/>
        </w:rPr>
      </w:pPr>
      <w:r>
        <w:rPr>
          <w:rFonts w:hint="eastAsia" w:ascii="宋体" w:hAnsi="宋体" w:cs="宋体"/>
          <w:highlight w:val="none"/>
        </w:rPr>
        <w:t>暂列金额只能按照监理人的指示使用，并对合同价格进行相应调整。</w:t>
      </w:r>
    </w:p>
    <w:p w14:paraId="7D6E312B">
      <w:pPr>
        <w:spacing w:line="360" w:lineRule="auto"/>
        <w:rPr>
          <w:rFonts w:hint="eastAsia" w:ascii="宋体" w:hAnsi="宋体" w:cs="宋体"/>
          <w:highlight w:val="none"/>
        </w:rPr>
      </w:pPr>
      <w:bookmarkStart w:id="1312" w:name="_Toc179632731"/>
      <w:bookmarkStart w:id="1313" w:name="_Toc503536189"/>
      <w:bookmarkStart w:id="1314" w:name="_Toc342296364"/>
      <w:bookmarkStart w:id="1315" w:name="_Toc454359278"/>
      <w:bookmarkStart w:id="1316" w:name="_Toc338944806"/>
      <w:bookmarkStart w:id="1317" w:name="_Toc152045713"/>
      <w:bookmarkStart w:id="1318" w:name="_Toc152042491"/>
      <w:bookmarkStart w:id="1319" w:name="_Toc144974682"/>
      <w:r>
        <w:rPr>
          <w:rFonts w:hint="eastAsia" w:ascii="宋体" w:hAnsi="宋体" w:cs="宋体"/>
          <w:highlight w:val="none"/>
        </w:rPr>
        <w:t>15.7 计日工</w:t>
      </w:r>
      <w:bookmarkEnd w:id="1312"/>
      <w:bookmarkEnd w:id="1313"/>
      <w:bookmarkEnd w:id="1314"/>
      <w:bookmarkEnd w:id="1315"/>
      <w:bookmarkEnd w:id="1316"/>
      <w:bookmarkEnd w:id="1317"/>
      <w:bookmarkEnd w:id="1318"/>
      <w:bookmarkEnd w:id="1319"/>
    </w:p>
    <w:p w14:paraId="07613D7B">
      <w:pPr>
        <w:spacing w:line="360" w:lineRule="auto"/>
        <w:ind w:firstLine="420" w:firstLineChars="200"/>
        <w:rPr>
          <w:rFonts w:hint="eastAsia" w:ascii="宋体" w:hAnsi="宋体" w:cs="宋体"/>
          <w:highlight w:val="none"/>
          <w:shd w:val="pct10" w:color="auto" w:fill="FFFFFF"/>
        </w:rPr>
      </w:pPr>
      <w:r>
        <w:rPr>
          <w:rFonts w:hint="eastAsia" w:ascii="宋体" w:hAnsi="宋体" w:cs="宋体"/>
          <w:highlight w:val="none"/>
        </w:rPr>
        <w:t>15.7.1 发包人认为有必要时，由监理人通知承包人以计日工方式实施变更的零星工作。其价款按列入已标价工程量清单中的计日工计价子目及其单价进行计算。</w:t>
      </w:r>
    </w:p>
    <w:p w14:paraId="3880471D">
      <w:pPr>
        <w:spacing w:line="360" w:lineRule="auto"/>
        <w:ind w:firstLine="420" w:firstLineChars="200"/>
        <w:rPr>
          <w:rFonts w:hint="eastAsia" w:ascii="宋体" w:hAnsi="宋体" w:cs="宋体"/>
          <w:highlight w:val="none"/>
        </w:rPr>
      </w:pPr>
      <w:r>
        <w:rPr>
          <w:rFonts w:hint="eastAsia" w:ascii="宋体" w:hAnsi="宋体" w:cs="宋体"/>
          <w:highlight w:val="none"/>
        </w:rPr>
        <w:t>15.7.2 采用计日工计价的任何一项变更工作，应从暂列金额中支付，承包人应在该项变更的实施过程中，每天提交以下报表和有关凭证报送监理人审批：</w:t>
      </w:r>
    </w:p>
    <w:p w14:paraId="2C34FC8D">
      <w:pPr>
        <w:spacing w:line="360" w:lineRule="auto"/>
        <w:ind w:firstLine="718" w:firstLineChars="342"/>
        <w:rPr>
          <w:rFonts w:hint="eastAsia" w:ascii="宋体" w:hAnsi="宋体" w:cs="宋体"/>
          <w:highlight w:val="none"/>
        </w:rPr>
      </w:pPr>
      <w:r>
        <w:rPr>
          <w:rFonts w:hint="eastAsia" w:ascii="宋体" w:hAnsi="宋体" w:cs="宋体"/>
          <w:highlight w:val="none"/>
        </w:rPr>
        <w:t>（1）工作名称、内容和数量；</w:t>
      </w:r>
    </w:p>
    <w:p w14:paraId="07C97EF9">
      <w:pPr>
        <w:spacing w:line="360" w:lineRule="auto"/>
        <w:ind w:firstLine="718" w:firstLineChars="342"/>
        <w:rPr>
          <w:rFonts w:hint="eastAsia" w:ascii="宋体" w:hAnsi="宋体" w:cs="宋体"/>
          <w:highlight w:val="none"/>
        </w:rPr>
      </w:pPr>
      <w:r>
        <w:rPr>
          <w:rFonts w:hint="eastAsia" w:ascii="宋体" w:hAnsi="宋体" w:cs="宋体"/>
          <w:highlight w:val="none"/>
        </w:rPr>
        <w:t>（2）投入该工作所有人员的姓名、工种、级别和耗用工时；</w:t>
      </w:r>
    </w:p>
    <w:p w14:paraId="5818D073">
      <w:pPr>
        <w:spacing w:line="360" w:lineRule="auto"/>
        <w:ind w:firstLine="718" w:firstLineChars="342"/>
        <w:rPr>
          <w:rFonts w:hint="eastAsia" w:ascii="宋体" w:hAnsi="宋体" w:cs="宋体"/>
          <w:highlight w:val="none"/>
        </w:rPr>
      </w:pPr>
      <w:r>
        <w:rPr>
          <w:rFonts w:hint="eastAsia" w:ascii="宋体" w:hAnsi="宋体" w:cs="宋体"/>
          <w:highlight w:val="none"/>
        </w:rPr>
        <w:t>（3）投入该工作的材料类别和数量；</w:t>
      </w:r>
    </w:p>
    <w:p w14:paraId="4B01BC3F">
      <w:pPr>
        <w:spacing w:line="360" w:lineRule="auto"/>
        <w:ind w:firstLine="718" w:firstLineChars="342"/>
        <w:rPr>
          <w:rFonts w:hint="eastAsia" w:ascii="宋体" w:hAnsi="宋体" w:cs="宋体"/>
          <w:highlight w:val="none"/>
        </w:rPr>
      </w:pPr>
      <w:r>
        <w:rPr>
          <w:rFonts w:hint="eastAsia" w:ascii="宋体" w:hAnsi="宋体" w:cs="宋体"/>
          <w:highlight w:val="none"/>
        </w:rPr>
        <w:t>（4）投入该工作的施工设备型号、台数和耗用台时；</w:t>
      </w:r>
    </w:p>
    <w:p w14:paraId="1C9F8904">
      <w:pPr>
        <w:spacing w:line="360" w:lineRule="auto"/>
        <w:ind w:firstLine="718" w:firstLineChars="342"/>
        <w:rPr>
          <w:rFonts w:hint="eastAsia" w:ascii="宋体" w:hAnsi="宋体" w:cs="宋体"/>
          <w:highlight w:val="none"/>
        </w:rPr>
      </w:pPr>
      <w:r>
        <w:rPr>
          <w:rFonts w:hint="eastAsia" w:ascii="宋体" w:hAnsi="宋体" w:cs="宋体"/>
          <w:highlight w:val="none"/>
        </w:rPr>
        <w:t>（5）监理人要求提交的其他资料和凭证。</w:t>
      </w:r>
    </w:p>
    <w:p w14:paraId="2F5826E9">
      <w:pPr>
        <w:spacing w:line="360" w:lineRule="auto"/>
        <w:ind w:firstLine="420" w:firstLineChars="200"/>
        <w:rPr>
          <w:rFonts w:hint="eastAsia" w:ascii="宋体" w:hAnsi="宋体" w:cs="宋体"/>
          <w:highlight w:val="none"/>
        </w:rPr>
      </w:pPr>
      <w:r>
        <w:rPr>
          <w:rFonts w:hint="eastAsia" w:ascii="宋体" w:hAnsi="宋体" w:cs="宋体"/>
          <w:highlight w:val="none"/>
        </w:rPr>
        <w:t>15.7.3 计日工由承包人汇总后，按第17.3.2项的约定列入进度付款申请单，由监理人复核并经发包人同意后列入进度付款。</w:t>
      </w:r>
    </w:p>
    <w:p w14:paraId="63D984EB">
      <w:pPr>
        <w:spacing w:line="360" w:lineRule="auto"/>
        <w:rPr>
          <w:rFonts w:hint="eastAsia" w:ascii="宋体" w:hAnsi="宋体" w:cs="宋体"/>
          <w:highlight w:val="none"/>
        </w:rPr>
      </w:pPr>
      <w:bookmarkStart w:id="1320" w:name="_Toc338944807"/>
      <w:bookmarkStart w:id="1321" w:name="_Toc342296365"/>
      <w:bookmarkStart w:id="1322" w:name="_Toc503536190"/>
      <w:bookmarkStart w:id="1323" w:name="_Toc454359279"/>
      <w:r>
        <w:rPr>
          <w:rFonts w:hint="eastAsia" w:ascii="宋体" w:hAnsi="宋体" w:cs="宋体"/>
          <w:highlight w:val="none"/>
        </w:rPr>
        <w:t>15.8 暂估价</w:t>
      </w:r>
      <w:bookmarkEnd w:id="1320"/>
      <w:bookmarkEnd w:id="1321"/>
      <w:bookmarkEnd w:id="1322"/>
      <w:bookmarkEnd w:id="1323"/>
    </w:p>
    <w:p w14:paraId="2ACD2821">
      <w:pPr>
        <w:spacing w:line="360" w:lineRule="auto"/>
        <w:rPr>
          <w:rFonts w:hint="eastAsia" w:ascii="宋体" w:hAnsi="宋体" w:cs="宋体"/>
          <w:highlight w:val="none"/>
        </w:rPr>
      </w:pPr>
      <w:r>
        <w:rPr>
          <w:rFonts w:hint="eastAsia" w:ascii="宋体" w:hAnsi="宋体" w:cs="宋体"/>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1B893E07">
      <w:pPr>
        <w:spacing w:line="360" w:lineRule="auto"/>
        <w:ind w:firstLine="420" w:firstLineChars="200"/>
        <w:rPr>
          <w:rFonts w:hint="eastAsia" w:ascii="宋体" w:hAnsi="宋体" w:cs="宋体"/>
          <w:highlight w:val="none"/>
        </w:rPr>
      </w:pPr>
      <w:r>
        <w:rPr>
          <w:rFonts w:hint="eastAsia" w:ascii="宋体" w:hAnsi="宋体" w:cs="宋体"/>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B1D4351">
      <w:pPr>
        <w:spacing w:line="360" w:lineRule="auto"/>
        <w:ind w:firstLine="420" w:firstLineChars="200"/>
        <w:rPr>
          <w:rFonts w:hint="eastAsia" w:ascii="宋体" w:hAnsi="宋体" w:cs="宋体"/>
          <w:highlight w:val="none"/>
        </w:rPr>
      </w:pPr>
      <w:r>
        <w:rPr>
          <w:rFonts w:hint="eastAsia" w:ascii="宋体" w:hAnsi="宋体" w:cs="宋体"/>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CAC8425">
      <w:pPr>
        <w:rPr>
          <w:rFonts w:hint="eastAsia" w:ascii="宋体" w:hAnsi="宋体" w:cs="宋体"/>
          <w:highlight w:val="none"/>
        </w:rPr>
      </w:pPr>
      <w:bookmarkStart w:id="1324" w:name="_Toc503536191"/>
      <w:bookmarkStart w:id="1325" w:name="_Toc4157300"/>
      <w:bookmarkStart w:id="1326" w:name="_Toc12479"/>
      <w:bookmarkStart w:id="1327" w:name="_Toc338944808"/>
      <w:bookmarkStart w:id="1328" w:name="_Toc342296366"/>
      <w:r>
        <w:rPr>
          <w:rFonts w:hint="eastAsia" w:ascii="宋体" w:hAnsi="宋体" w:cs="宋体"/>
          <w:highlight w:val="none"/>
        </w:rPr>
        <w:t>16. 价格调整</w:t>
      </w:r>
      <w:bookmarkEnd w:id="1324"/>
      <w:bookmarkEnd w:id="1325"/>
      <w:bookmarkEnd w:id="1326"/>
      <w:bookmarkEnd w:id="1327"/>
      <w:bookmarkEnd w:id="1328"/>
    </w:p>
    <w:p w14:paraId="715653E2">
      <w:pPr>
        <w:spacing w:line="360" w:lineRule="auto"/>
        <w:rPr>
          <w:rFonts w:hint="eastAsia" w:ascii="宋体" w:hAnsi="宋体" w:cs="宋体"/>
          <w:highlight w:val="none"/>
        </w:rPr>
      </w:pPr>
      <w:bookmarkStart w:id="1329" w:name="_Toc338944809"/>
      <w:bookmarkStart w:id="1330" w:name="_Toc503536192"/>
      <w:bookmarkStart w:id="1331" w:name="_Toc454359281"/>
      <w:bookmarkStart w:id="1332" w:name="_Toc342296367"/>
      <w:r>
        <w:rPr>
          <w:rFonts w:hint="eastAsia" w:ascii="宋体" w:hAnsi="宋体" w:cs="宋体"/>
          <w:highlight w:val="none"/>
        </w:rPr>
        <w:t>16.1 物价波动引起的价格调整</w:t>
      </w:r>
      <w:bookmarkEnd w:id="1329"/>
      <w:bookmarkEnd w:id="1330"/>
      <w:bookmarkEnd w:id="1331"/>
      <w:bookmarkEnd w:id="1332"/>
    </w:p>
    <w:p w14:paraId="17DCFA24">
      <w:pPr>
        <w:spacing w:line="360" w:lineRule="auto"/>
        <w:ind w:firstLine="420" w:firstLineChars="200"/>
        <w:rPr>
          <w:rFonts w:hint="eastAsia" w:ascii="宋体" w:hAnsi="宋体" w:cs="宋体"/>
          <w:highlight w:val="none"/>
        </w:rPr>
      </w:pPr>
      <w:r>
        <w:rPr>
          <w:rFonts w:hint="eastAsia" w:ascii="宋体" w:hAnsi="宋体" w:cs="宋体"/>
          <w:highlight w:val="none"/>
        </w:rPr>
        <w:t>除专用合同条款另有约定外，因物价波动引起的价格调整按照本款约定处理。</w:t>
      </w:r>
    </w:p>
    <w:p w14:paraId="1375066E">
      <w:pPr>
        <w:spacing w:line="360" w:lineRule="auto"/>
        <w:ind w:firstLine="420" w:firstLineChars="200"/>
        <w:rPr>
          <w:rFonts w:hint="eastAsia" w:ascii="宋体" w:hAnsi="宋体" w:cs="宋体"/>
          <w:highlight w:val="none"/>
        </w:rPr>
      </w:pPr>
      <w:r>
        <w:rPr>
          <w:rFonts w:hint="eastAsia" w:ascii="宋体" w:hAnsi="宋体" w:cs="宋体"/>
          <w:highlight w:val="none"/>
        </w:rPr>
        <w:t>16.1.1 采用价格指数调整价格差额</w:t>
      </w:r>
    </w:p>
    <w:p w14:paraId="0B846B27">
      <w:pPr>
        <w:spacing w:line="360" w:lineRule="auto"/>
        <w:ind w:firstLine="420" w:firstLineChars="200"/>
        <w:rPr>
          <w:rFonts w:hint="eastAsia" w:ascii="宋体" w:hAnsi="宋体" w:cs="宋体"/>
          <w:highlight w:val="none"/>
        </w:rPr>
      </w:pPr>
      <w:bookmarkStart w:id="1333" w:name="_Toc454359282"/>
      <w:bookmarkStart w:id="1334" w:name="_Toc503536193"/>
      <w:r>
        <w:rPr>
          <w:rFonts w:hint="eastAsia" w:ascii="宋体" w:hAnsi="宋体" w:cs="宋体"/>
          <w:highlight w:val="none"/>
        </w:rPr>
        <w:t>16.1.1.1 价格调整公式</w:t>
      </w:r>
      <w:bookmarkEnd w:id="1333"/>
      <w:bookmarkEnd w:id="1334"/>
    </w:p>
    <w:p w14:paraId="720F6BB1">
      <w:pPr>
        <w:spacing w:line="360" w:lineRule="auto"/>
        <w:ind w:firstLine="420" w:firstLineChars="200"/>
        <w:rPr>
          <w:rFonts w:hint="eastAsia" w:ascii="宋体" w:hAnsi="宋体" w:cs="宋体"/>
          <w:highlight w:val="none"/>
        </w:rPr>
      </w:pPr>
      <w:r>
        <w:rPr>
          <w:rFonts w:hint="eastAsia" w:ascii="宋体" w:hAnsi="宋体" w:cs="宋体"/>
          <w:highlight w:val="none"/>
        </w:rPr>
        <w:t>因人工、材料和设备等价格波动影响合同价格时，根据响应函附录中的价格指数和权重表约定的数据，按以下公式计算差额并调整合同价格。</w:t>
      </w:r>
    </w:p>
    <w:p w14:paraId="54A34BCD">
      <w:pPr>
        <w:autoSpaceDE w:val="0"/>
        <w:autoSpaceDN w:val="0"/>
        <w:adjustRightInd w:val="0"/>
        <w:spacing w:line="360" w:lineRule="auto"/>
        <w:ind w:right="248" w:firstLine="835" w:firstLineChars="398"/>
        <w:rPr>
          <w:rFonts w:hint="eastAsia" w:ascii="宋体" w:hAnsi="宋体" w:cs="宋体"/>
          <w:highlight w:val="none"/>
        </w:rPr>
      </w:pPr>
      <w:r>
        <w:rPr>
          <w:rFonts w:hint="eastAsia" w:ascii="宋体" w:hAnsi="宋体" w:cs="宋体"/>
          <w:position w:val="-34"/>
          <w:highlight w:val="none"/>
        </w:rPr>
        <w:drawing>
          <wp:inline distT="0" distB="0" distL="114300" distR="114300">
            <wp:extent cx="3901440" cy="499745"/>
            <wp:effectExtent l="0" t="0" r="381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7"/>
                    <a:stretch>
                      <a:fillRect/>
                    </a:stretch>
                  </pic:blipFill>
                  <pic:spPr>
                    <a:xfrm>
                      <a:off x="0" y="0"/>
                      <a:ext cx="3901440" cy="499745"/>
                    </a:xfrm>
                    <a:prstGeom prst="rect">
                      <a:avLst/>
                    </a:prstGeom>
                    <a:noFill/>
                    <a:ln>
                      <a:noFill/>
                    </a:ln>
                  </pic:spPr>
                </pic:pic>
              </a:graphicData>
            </a:graphic>
          </wp:inline>
        </w:drawing>
      </w:r>
    </w:p>
    <w:p w14:paraId="179FE3E6">
      <w:pPr>
        <w:tabs>
          <w:tab w:val="left" w:pos="1260"/>
        </w:tabs>
        <w:spacing w:line="360" w:lineRule="auto"/>
        <w:ind w:firstLine="420" w:firstLineChars="200"/>
        <w:rPr>
          <w:rFonts w:hint="eastAsia" w:ascii="宋体" w:hAnsi="宋体" w:cs="宋体"/>
          <w:highlight w:val="none"/>
        </w:rPr>
      </w:pPr>
    </w:p>
    <w:p w14:paraId="6BF69BA9">
      <w:pPr>
        <w:tabs>
          <w:tab w:val="left" w:pos="1260"/>
        </w:tabs>
        <w:spacing w:line="360" w:lineRule="auto"/>
        <w:ind w:firstLine="420" w:firstLineChars="200"/>
        <w:rPr>
          <w:rFonts w:hint="eastAsia" w:ascii="宋体" w:hAnsi="宋体" w:cs="宋体"/>
          <w:highlight w:val="none"/>
        </w:rPr>
      </w:pPr>
      <w:r>
        <w:rPr>
          <w:rFonts w:hint="eastAsia" w:ascii="宋体" w:hAnsi="宋体" w:cs="宋体"/>
          <w:highlight w:val="none"/>
        </w:rPr>
        <w:t>式中： △P -- 需调整的价格差额；</w:t>
      </w:r>
    </w:p>
    <w:p w14:paraId="6EBE8991">
      <w:pPr>
        <w:tabs>
          <w:tab w:val="left" w:pos="1260"/>
        </w:tabs>
        <w:spacing w:line="360" w:lineRule="auto"/>
        <w:rPr>
          <w:rFonts w:hint="eastAsia" w:ascii="宋体" w:hAnsi="宋体" w:cs="宋体"/>
          <w:highlight w:val="none"/>
        </w:rPr>
      </w:pPr>
      <w:r>
        <w:rPr>
          <w:rFonts w:hint="eastAsia" w:ascii="宋体" w:hAnsi="宋体" w:cs="宋体"/>
          <w:highlight w:val="none"/>
        </w:rPr>
        <w:tab/>
      </w:r>
      <w:r>
        <w:rPr>
          <w:rFonts w:hint="eastAsia" w:ascii="宋体" w:hAnsi="宋体" w:cs="宋体"/>
          <w:highlight w:val="none"/>
        </w:rPr>
        <w:t>P</w:t>
      </w:r>
      <w:r>
        <w:rPr>
          <w:rFonts w:hint="eastAsia" w:ascii="宋体" w:hAnsi="宋体" w:cs="宋体"/>
          <w:highlight w:val="none"/>
          <w:vertAlign w:val="subscript"/>
        </w:rPr>
        <w:t>0</w:t>
      </w:r>
      <w:r>
        <w:rPr>
          <w:rFonts w:hint="eastAsia" w:ascii="宋体" w:hAnsi="宋体" w:cs="宋体"/>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1EB08487">
      <w:pPr>
        <w:tabs>
          <w:tab w:val="left" w:pos="1260"/>
        </w:tabs>
        <w:spacing w:line="360" w:lineRule="auto"/>
        <w:rPr>
          <w:rFonts w:hint="eastAsia" w:ascii="宋体" w:hAnsi="宋体" w:cs="宋体"/>
          <w:highlight w:val="none"/>
        </w:rPr>
      </w:pPr>
      <w:r>
        <w:rPr>
          <w:rFonts w:hint="eastAsia" w:ascii="宋体" w:hAnsi="宋体" w:cs="宋体"/>
          <w:highlight w:val="none"/>
        </w:rPr>
        <w:tab/>
      </w:r>
      <w:bookmarkStart w:id="1335" w:name="_Toc152042495"/>
      <w:bookmarkStart w:id="1336" w:name="_Toc144974686"/>
      <w:r>
        <w:rPr>
          <w:rFonts w:hint="eastAsia" w:ascii="宋体" w:hAnsi="宋体" w:cs="宋体"/>
          <w:highlight w:val="none"/>
        </w:rPr>
        <w:t>A -- 定值权重(即不调部分的权重)；</w:t>
      </w:r>
      <w:bookmarkEnd w:id="1335"/>
      <w:bookmarkEnd w:id="1336"/>
    </w:p>
    <w:p w14:paraId="74D8E477">
      <w:pPr>
        <w:tabs>
          <w:tab w:val="left" w:pos="1260"/>
        </w:tabs>
        <w:spacing w:line="360" w:lineRule="auto"/>
        <w:rPr>
          <w:rFonts w:hint="eastAsia" w:ascii="宋体" w:hAnsi="宋体" w:cs="宋体"/>
          <w:highlight w:val="none"/>
        </w:rPr>
      </w:pPr>
      <w:r>
        <w:rPr>
          <w:rFonts w:hint="eastAsia" w:ascii="宋体" w:hAnsi="宋体" w:cs="宋体"/>
          <w:highlight w:val="none"/>
        </w:rPr>
        <w:tab/>
      </w:r>
      <w:r>
        <w:rPr>
          <w:rFonts w:hint="eastAsia" w:ascii="宋体" w:hAnsi="宋体" w:cs="宋体"/>
          <w:highlight w:val="none"/>
        </w:rPr>
        <w:t>B</w:t>
      </w:r>
      <w:r>
        <w:rPr>
          <w:rFonts w:hint="eastAsia" w:ascii="宋体" w:hAnsi="宋体" w:cs="宋体"/>
          <w:highlight w:val="none"/>
          <w:vertAlign w:val="subscript"/>
        </w:rPr>
        <w:t>1</w:t>
      </w:r>
      <w:r>
        <w:rPr>
          <w:rFonts w:hint="eastAsia" w:ascii="宋体" w:hAnsi="宋体" w:cs="宋体"/>
          <w:highlight w:val="none"/>
        </w:rPr>
        <w:t>; B</w:t>
      </w:r>
      <w:r>
        <w:rPr>
          <w:rFonts w:hint="eastAsia" w:ascii="宋体" w:hAnsi="宋体" w:cs="宋体"/>
          <w:highlight w:val="none"/>
          <w:vertAlign w:val="subscript"/>
        </w:rPr>
        <w:t>2</w:t>
      </w:r>
      <w:r>
        <w:rPr>
          <w:rFonts w:hint="eastAsia" w:ascii="宋体" w:hAnsi="宋体" w:cs="宋体"/>
          <w:highlight w:val="none"/>
        </w:rPr>
        <w:t xml:space="preserve"> ;B</w:t>
      </w:r>
      <w:r>
        <w:rPr>
          <w:rFonts w:hint="eastAsia" w:ascii="宋体" w:hAnsi="宋体" w:cs="宋体"/>
          <w:highlight w:val="none"/>
          <w:vertAlign w:val="subscript"/>
        </w:rPr>
        <w:t>3</w:t>
      </w:r>
      <w:r>
        <w:rPr>
          <w:rFonts w:hint="eastAsia" w:ascii="宋体" w:hAnsi="宋体" w:cs="宋体"/>
          <w:highlight w:val="none"/>
        </w:rPr>
        <w:t>·····B</w:t>
      </w:r>
      <w:r>
        <w:rPr>
          <w:rFonts w:hint="eastAsia" w:ascii="宋体" w:hAnsi="宋体" w:cs="宋体"/>
          <w:highlight w:val="none"/>
          <w:vertAlign w:val="subscript"/>
        </w:rPr>
        <w:t>n</w:t>
      </w:r>
      <w:r>
        <w:rPr>
          <w:rFonts w:hint="eastAsia" w:ascii="宋体" w:hAnsi="宋体" w:cs="宋体"/>
          <w:highlight w:val="none"/>
        </w:rPr>
        <w:t xml:space="preserve"> -- 各可调因子的变值权重(即可调部分的权重)为各可调因子在响应函投标总报价中所占的比例；</w:t>
      </w:r>
    </w:p>
    <w:p w14:paraId="3FC196A0">
      <w:pPr>
        <w:tabs>
          <w:tab w:val="left" w:pos="1260"/>
        </w:tabs>
        <w:spacing w:line="360" w:lineRule="auto"/>
        <w:rPr>
          <w:rFonts w:hint="eastAsia" w:ascii="宋体" w:hAnsi="宋体" w:cs="宋体"/>
          <w:highlight w:val="none"/>
        </w:rPr>
      </w:pPr>
      <w:r>
        <w:rPr>
          <w:rFonts w:hint="eastAsia" w:ascii="宋体" w:hAnsi="宋体" w:cs="宋体"/>
          <w:highlight w:val="none"/>
        </w:rPr>
        <w:tab/>
      </w:r>
      <w:r>
        <w:rPr>
          <w:rFonts w:hint="eastAsia" w:ascii="宋体" w:hAnsi="宋体" w:cs="宋体"/>
          <w:highlight w:val="none"/>
        </w:rPr>
        <w:t>F</w:t>
      </w:r>
      <w:r>
        <w:rPr>
          <w:rFonts w:hint="eastAsia" w:ascii="宋体" w:hAnsi="宋体" w:cs="宋体"/>
          <w:highlight w:val="none"/>
          <w:vertAlign w:val="subscript"/>
        </w:rPr>
        <w:t>t1</w:t>
      </w:r>
      <w:r>
        <w:rPr>
          <w:rFonts w:hint="eastAsia" w:ascii="宋体" w:hAnsi="宋体" w:cs="宋体"/>
          <w:highlight w:val="none"/>
        </w:rPr>
        <w:t xml:space="preserve"> ;F</w:t>
      </w:r>
      <w:r>
        <w:rPr>
          <w:rFonts w:hint="eastAsia" w:ascii="宋体" w:hAnsi="宋体" w:cs="宋体"/>
          <w:highlight w:val="none"/>
          <w:vertAlign w:val="subscript"/>
        </w:rPr>
        <w:t>t2</w:t>
      </w:r>
      <w:r>
        <w:rPr>
          <w:rFonts w:hint="eastAsia" w:ascii="宋体" w:hAnsi="宋体" w:cs="宋体"/>
          <w:highlight w:val="none"/>
        </w:rPr>
        <w:t xml:space="preserve"> ;F</w:t>
      </w:r>
      <w:r>
        <w:rPr>
          <w:rFonts w:hint="eastAsia" w:ascii="宋体" w:hAnsi="宋体" w:cs="宋体"/>
          <w:highlight w:val="none"/>
          <w:vertAlign w:val="subscript"/>
        </w:rPr>
        <w:t>t3</w:t>
      </w:r>
      <w:r>
        <w:rPr>
          <w:rFonts w:hint="eastAsia" w:ascii="宋体" w:hAnsi="宋体" w:cs="宋体"/>
          <w:highlight w:val="none"/>
        </w:rPr>
        <w:t>·····F</w:t>
      </w:r>
      <w:r>
        <w:rPr>
          <w:rFonts w:hint="eastAsia" w:ascii="宋体" w:hAnsi="宋体" w:cs="宋体"/>
          <w:highlight w:val="none"/>
          <w:vertAlign w:val="subscript"/>
        </w:rPr>
        <w:t>tn</w:t>
      </w:r>
      <w:r>
        <w:rPr>
          <w:rFonts w:hint="eastAsia" w:ascii="宋体" w:hAnsi="宋体" w:cs="宋体"/>
          <w:highlight w:val="none"/>
        </w:rPr>
        <w:t xml:space="preserve"> -- 各可调因子的现行价格指数，指第17.3.3项、第17.5.2项和第17.6.2项约定的付款证书相关周期最后一天的前42天的各可调因子的价格指数；</w:t>
      </w:r>
    </w:p>
    <w:p w14:paraId="00BC5976">
      <w:pPr>
        <w:tabs>
          <w:tab w:val="left" w:pos="1260"/>
        </w:tabs>
        <w:spacing w:line="360" w:lineRule="auto"/>
        <w:rPr>
          <w:rFonts w:hint="eastAsia" w:ascii="宋体" w:hAnsi="宋体" w:cs="宋体"/>
          <w:highlight w:val="none"/>
        </w:rPr>
      </w:pPr>
      <w:r>
        <w:rPr>
          <w:rFonts w:hint="eastAsia" w:ascii="宋体" w:hAnsi="宋体" w:cs="宋体"/>
          <w:highlight w:val="none"/>
        </w:rPr>
        <w:tab/>
      </w:r>
      <w:r>
        <w:rPr>
          <w:rFonts w:hint="eastAsia" w:ascii="宋体" w:hAnsi="宋体" w:cs="宋体"/>
          <w:highlight w:val="none"/>
        </w:rPr>
        <w:t>F</w:t>
      </w:r>
      <w:r>
        <w:rPr>
          <w:rFonts w:hint="eastAsia" w:ascii="宋体" w:hAnsi="宋体" w:cs="宋体"/>
          <w:highlight w:val="none"/>
          <w:vertAlign w:val="subscript"/>
        </w:rPr>
        <w:t>o1</w:t>
      </w:r>
      <w:r>
        <w:rPr>
          <w:rFonts w:hint="eastAsia" w:ascii="宋体" w:hAnsi="宋体" w:cs="宋体"/>
          <w:highlight w:val="none"/>
        </w:rPr>
        <w:t>; F</w:t>
      </w:r>
      <w:r>
        <w:rPr>
          <w:rFonts w:hint="eastAsia" w:ascii="宋体" w:hAnsi="宋体" w:cs="宋体"/>
          <w:highlight w:val="none"/>
          <w:vertAlign w:val="subscript"/>
        </w:rPr>
        <w:t>o2</w:t>
      </w:r>
      <w:r>
        <w:rPr>
          <w:rFonts w:hint="eastAsia" w:ascii="宋体" w:hAnsi="宋体" w:cs="宋体"/>
          <w:highlight w:val="none"/>
        </w:rPr>
        <w:t>; F</w:t>
      </w:r>
      <w:r>
        <w:rPr>
          <w:rFonts w:hint="eastAsia" w:ascii="宋体" w:hAnsi="宋体" w:cs="宋体"/>
          <w:highlight w:val="none"/>
          <w:vertAlign w:val="subscript"/>
        </w:rPr>
        <w:t>o3</w:t>
      </w:r>
      <w:r>
        <w:rPr>
          <w:rFonts w:hint="eastAsia" w:ascii="宋体" w:hAnsi="宋体" w:cs="宋体"/>
          <w:highlight w:val="none"/>
        </w:rPr>
        <w:t>·····F</w:t>
      </w:r>
      <w:r>
        <w:rPr>
          <w:rFonts w:hint="eastAsia" w:ascii="宋体" w:hAnsi="宋体" w:cs="宋体"/>
          <w:highlight w:val="none"/>
          <w:vertAlign w:val="subscript"/>
        </w:rPr>
        <w:t>on</w:t>
      </w:r>
      <w:r>
        <w:rPr>
          <w:rFonts w:hint="eastAsia" w:ascii="宋体" w:hAnsi="宋体" w:cs="宋体"/>
          <w:highlight w:val="none"/>
        </w:rPr>
        <w:t xml:space="preserve"> -- 各可调因子的基本价格指数，指基准日期的各可调因子的价格指数。</w:t>
      </w:r>
    </w:p>
    <w:p w14:paraId="54C0B578">
      <w:pPr>
        <w:spacing w:line="360" w:lineRule="auto"/>
        <w:ind w:firstLine="420" w:firstLineChars="200"/>
        <w:rPr>
          <w:rFonts w:hint="eastAsia" w:ascii="宋体" w:hAnsi="宋体" w:cs="宋体"/>
          <w:highlight w:val="none"/>
        </w:rPr>
      </w:pPr>
      <w:r>
        <w:rPr>
          <w:rFonts w:hint="eastAsia" w:ascii="宋体" w:hAnsi="宋体" w:cs="宋体"/>
          <w:highlight w:val="none"/>
        </w:rPr>
        <w:t>以上价格调整公式中的各可调因子、定值和变值权重，以及基本价格指数及其来源在响应函附录价格指数和权重表中约定。价格指数应首先采用有关部门提供的价格指数，缺乏上述价格指数时，可采用有关部门提供的价格代替。</w:t>
      </w:r>
    </w:p>
    <w:p w14:paraId="7FFE9FDF">
      <w:pPr>
        <w:spacing w:line="360" w:lineRule="auto"/>
        <w:ind w:firstLine="420" w:firstLineChars="200"/>
        <w:rPr>
          <w:rFonts w:hint="eastAsia" w:ascii="宋体" w:hAnsi="宋体" w:cs="宋体"/>
          <w:highlight w:val="none"/>
        </w:rPr>
      </w:pPr>
      <w:r>
        <w:rPr>
          <w:rFonts w:hint="eastAsia" w:ascii="宋体" w:hAnsi="宋体" w:cs="宋体"/>
          <w:highlight w:val="none"/>
        </w:rPr>
        <w:t>16.1.1.2 暂时确定调整差额</w:t>
      </w:r>
    </w:p>
    <w:p w14:paraId="66482D2A">
      <w:pPr>
        <w:spacing w:line="360" w:lineRule="auto"/>
        <w:ind w:firstLine="420" w:firstLineChars="200"/>
        <w:rPr>
          <w:rFonts w:hint="eastAsia" w:ascii="宋体" w:hAnsi="宋体" w:cs="宋体"/>
          <w:highlight w:val="none"/>
        </w:rPr>
      </w:pPr>
      <w:r>
        <w:rPr>
          <w:rFonts w:hint="eastAsia" w:ascii="宋体" w:hAnsi="宋体" w:cs="宋体"/>
          <w:highlight w:val="none"/>
        </w:rPr>
        <w:t>在计算调整差额时得不到现行价格指数的，可暂用上一次价格指数计算，并在以后的付款中再按实际价格指数进行调整。</w:t>
      </w:r>
    </w:p>
    <w:p w14:paraId="79F98789">
      <w:pPr>
        <w:spacing w:line="360" w:lineRule="auto"/>
        <w:ind w:firstLine="420" w:firstLineChars="200"/>
        <w:rPr>
          <w:rFonts w:hint="eastAsia" w:ascii="宋体" w:hAnsi="宋体" w:cs="宋体"/>
          <w:highlight w:val="none"/>
        </w:rPr>
      </w:pPr>
      <w:bookmarkStart w:id="1337" w:name="_Toc503536194"/>
      <w:bookmarkStart w:id="1338" w:name="_Toc454359283"/>
      <w:r>
        <w:rPr>
          <w:rFonts w:hint="eastAsia" w:ascii="宋体" w:hAnsi="宋体" w:cs="宋体"/>
          <w:highlight w:val="none"/>
        </w:rPr>
        <w:t>16.1.1.3 权重的调整</w:t>
      </w:r>
      <w:bookmarkEnd w:id="1337"/>
      <w:bookmarkEnd w:id="1338"/>
    </w:p>
    <w:p w14:paraId="74D18675">
      <w:pPr>
        <w:spacing w:line="360" w:lineRule="auto"/>
        <w:ind w:firstLine="420" w:firstLineChars="200"/>
        <w:rPr>
          <w:rFonts w:hint="eastAsia" w:ascii="宋体" w:hAnsi="宋体" w:cs="宋体"/>
          <w:highlight w:val="none"/>
        </w:rPr>
      </w:pPr>
      <w:r>
        <w:rPr>
          <w:rFonts w:hint="eastAsia" w:ascii="宋体" w:hAnsi="宋体" w:cs="宋体"/>
          <w:highlight w:val="none"/>
        </w:rPr>
        <w:t>按第15.1款约定的变更导致原定合同中的权重不合理时，由监理人与承包人和发包人协商后进行调整。</w:t>
      </w:r>
    </w:p>
    <w:p w14:paraId="252021BA">
      <w:pPr>
        <w:spacing w:line="360" w:lineRule="auto"/>
        <w:ind w:firstLine="420" w:firstLineChars="200"/>
        <w:rPr>
          <w:rFonts w:hint="eastAsia" w:ascii="宋体" w:hAnsi="宋体" w:cs="宋体"/>
          <w:highlight w:val="none"/>
        </w:rPr>
      </w:pPr>
      <w:r>
        <w:rPr>
          <w:rFonts w:hint="eastAsia" w:ascii="宋体" w:hAnsi="宋体" w:cs="宋体"/>
          <w:highlight w:val="none"/>
        </w:rPr>
        <w:t>16.1.1.4 承包人工期延误后的价格调整</w:t>
      </w:r>
    </w:p>
    <w:p w14:paraId="5CBAB3B6">
      <w:pPr>
        <w:spacing w:line="360" w:lineRule="auto"/>
        <w:ind w:firstLine="420" w:firstLineChars="200"/>
        <w:rPr>
          <w:rFonts w:hint="eastAsia" w:ascii="宋体" w:hAnsi="宋体" w:cs="宋体"/>
          <w:highlight w:val="none"/>
        </w:rPr>
      </w:pPr>
      <w:r>
        <w:rPr>
          <w:rFonts w:hint="eastAsia" w:ascii="宋体" w:hAnsi="宋体" w:cs="宋体"/>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018D307A">
      <w:pPr>
        <w:spacing w:line="360" w:lineRule="auto"/>
        <w:ind w:firstLine="420" w:firstLineChars="200"/>
        <w:rPr>
          <w:rFonts w:hint="eastAsia" w:ascii="宋体" w:hAnsi="宋体" w:cs="宋体"/>
          <w:highlight w:val="none"/>
        </w:rPr>
      </w:pPr>
      <w:r>
        <w:rPr>
          <w:rFonts w:hint="eastAsia" w:ascii="宋体" w:hAnsi="宋体" w:cs="宋体"/>
          <w:highlight w:val="none"/>
        </w:rPr>
        <w:t>16.1.2 采用造价信息调整价格差额</w:t>
      </w:r>
    </w:p>
    <w:p w14:paraId="20896641">
      <w:pPr>
        <w:spacing w:line="360" w:lineRule="auto"/>
        <w:ind w:firstLine="420" w:firstLineChars="200"/>
        <w:rPr>
          <w:rFonts w:hint="eastAsia" w:ascii="宋体" w:hAnsi="宋体" w:cs="宋体"/>
          <w:highlight w:val="none"/>
        </w:rPr>
      </w:pPr>
      <w:r>
        <w:rPr>
          <w:rFonts w:hint="eastAsia" w:ascii="宋体" w:hAnsi="宋体" w:cs="宋体"/>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2248C5A">
      <w:pPr>
        <w:spacing w:line="360" w:lineRule="auto"/>
        <w:rPr>
          <w:rFonts w:hint="eastAsia" w:ascii="宋体" w:hAnsi="宋体" w:cs="宋体"/>
          <w:highlight w:val="none"/>
        </w:rPr>
      </w:pPr>
      <w:bookmarkStart w:id="1339" w:name="_Toc179632735"/>
      <w:bookmarkStart w:id="1340" w:name="_Toc338944810"/>
      <w:bookmarkStart w:id="1341" w:name="_Toc152042496"/>
      <w:bookmarkStart w:id="1342" w:name="_Toc503536195"/>
      <w:bookmarkStart w:id="1343" w:name="_Toc152045717"/>
      <w:bookmarkStart w:id="1344" w:name="_Toc342296368"/>
      <w:bookmarkStart w:id="1345" w:name="_Toc144974688"/>
      <w:bookmarkStart w:id="1346" w:name="_Toc454359284"/>
      <w:r>
        <w:rPr>
          <w:rFonts w:hint="eastAsia" w:ascii="宋体" w:hAnsi="宋体" w:cs="宋体"/>
          <w:highlight w:val="none"/>
        </w:rPr>
        <w:t>16.2 法律变化引起的价格调整</w:t>
      </w:r>
      <w:bookmarkEnd w:id="1339"/>
      <w:bookmarkEnd w:id="1340"/>
      <w:bookmarkEnd w:id="1341"/>
      <w:bookmarkEnd w:id="1342"/>
      <w:bookmarkEnd w:id="1343"/>
      <w:bookmarkEnd w:id="1344"/>
      <w:bookmarkEnd w:id="1345"/>
      <w:bookmarkEnd w:id="1346"/>
    </w:p>
    <w:p w14:paraId="5F293BA3">
      <w:pPr>
        <w:spacing w:line="360" w:lineRule="auto"/>
        <w:ind w:firstLine="420" w:firstLineChars="200"/>
        <w:rPr>
          <w:rFonts w:hint="eastAsia" w:ascii="宋体" w:hAnsi="宋体" w:cs="宋体"/>
          <w:highlight w:val="none"/>
        </w:rPr>
      </w:pPr>
      <w:r>
        <w:rPr>
          <w:rFonts w:hint="eastAsia" w:ascii="宋体" w:hAnsi="宋体" w:cs="宋体"/>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BE1C3C4">
      <w:pPr>
        <w:rPr>
          <w:rFonts w:hint="eastAsia" w:ascii="宋体" w:hAnsi="宋体" w:cs="宋体"/>
          <w:highlight w:val="none"/>
        </w:rPr>
      </w:pPr>
      <w:bookmarkStart w:id="1347" w:name="_Toc12613"/>
      <w:bookmarkStart w:id="1348" w:name="_Toc338944811"/>
      <w:bookmarkStart w:id="1349" w:name="_Toc342296369"/>
      <w:bookmarkStart w:id="1350" w:name="_Toc4157301"/>
      <w:bookmarkStart w:id="1351" w:name="_Toc503536196"/>
      <w:r>
        <w:rPr>
          <w:rFonts w:hint="eastAsia" w:ascii="宋体" w:hAnsi="宋体" w:cs="宋体"/>
          <w:highlight w:val="none"/>
        </w:rPr>
        <w:t>17. 计量与支付</w:t>
      </w:r>
      <w:bookmarkEnd w:id="1347"/>
      <w:bookmarkEnd w:id="1348"/>
      <w:bookmarkEnd w:id="1349"/>
      <w:bookmarkEnd w:id="1350"/>
      <w:bookmarkEnd w:id="1351"/>
    </w:p>
    <w:p w14:paraId="2F201118">
      <w:pPr>
        <w:spacing w:line="360" w:lineRule="auto"/>
        <w:rPr>
          <w:rFonts w:hint="eastAsia" w:ascii="宋体" w:hAnsi="宋体" w:cs="宋体"/>
          <w:highlight w:val="none"/>
        </w:rPr>
      </w:pPr>
      <w:bookmarkStart w:id="1352" w:name="_Toc454359286"/>
      <w:bookmarkStart w:id="1353" w:name="_Toc338944812"/>
      <w:bookmarkStart w:id="1354" w:name="_Toc342296370"/>
      <w:bookmarkStart w:id="1355" w:name="_Toc503536197"/>
      <w:r>
        <w:rPr>
          <w:rFonts w:hint="eastAsia" w:ascii="宋体" w:hAnsi="宋体" w:cs="宋体"/>
          <w:highlight w:val="none"/>
        </w:rPr>
        <w:t>17.1 计量</w:t>
      </w:r>
      <w:bookmarkEnd w:id="1352"/>
      <w:bookmarkEnd w:id="1353"/>
      <w:bookmarkEnd w:id="1354"/>
      <w:bookmarkEnd w:id="1355"/>
    </w:p>
    <w:p w14:paraId="7C3C85DB">
      <w:pPr>
        <w:spacing w:line="360" w:lineRule="auto"/>
        <w:ind w:firstLine="420" w:firstLineChars="200"/>
        <w:rPr>
          <w:rFonts w:hint="eastAsia" w:ascii="宋体" w:hAnsi="宋体" w:cs="宋体"/>
          <w:highlight w:val="none"/>
        </w:rPr>
      </w:pPr>
      <w:r>
        <w:rPr>
          <w:rFonts w:hint="eastAsia" w:ascii="宋体" w:hAnsi="宋体" w:cs="宋体"/>
          <w:highlight w:val="none"/>
        </w:rPr>
        <w:t>17.1.1 计量单位</w:t>
      </w:r>
    </w:p>
    <w:p w14:paraId="38E80EFB">
      <w:pPr>
        <w:spacing w:line="360" w:lineRule="auto"/>
        <w:ind w:firstLine="420" w:firstLineChars="200"/>
        <w:rPr>
          <w:rFonts w:hint="eastAsia" w:ascii="宋体" w:hAnsi="宋体" w:cs="宋体"/>
          <w:highlight w:val="none"/>
        </w:rPr>
      </w:pPr>
      <w:r>
        <w:rPr>
          <w:rFonts w:hint="eastAsia" w:ascii="宋体" w:hAnsi="宋体" w:cs="宋体"/>
          <w:highlight w:val="none"/>
        </w:rPr>
        <w:t>计量采用国家法定的计量单位。</w:t>
      </w:r>
    </w:p>
    <w:p w14:paraId="399386BB">
      <w:pPr>
        <w:spacing w:line="360" w:lineRule="auto"/>
        <w:ind w:firstLine="420" w:firstLineChars="200"/>
        <w:rPr>
          <w:rFonts w:hint="eastAsia" w:ascii="宋体" w:hAnsi="宋体" w:cs="宋体"/>
          <w:highlight w:val="none"/>
        </w:rPr>
      </w:pPr>
      <w:r>
        <w:rPr>
          <w:rFonts w:hint="eastAsia" w:ascii="宋体" w:hAnsi="宋体" w:cs="宋体"/>
          <w:highlight w:val="none"/>
        </w:rPr>
        <w:t>17.1.2 计量方法</w:t>
      </w:r>
    </w:p>
    <w:p w14:paraId="6BA47BB6">
      <w:pPr>
        <w:spacing w:line="360" w:lineRule="auto"/>
        <w:ind w:firstLine="420" w:firstLineChars="200"/>
        <w:rPr>
          <w:rFonts w:hint="eastAsia" w:ascii="宋体" w:hAnsi="宋体" w:cs="宋体"/>
          <w:highlight w:val="none"/>
        </w:rPr>
      </w:pPr>
      <w:r>
        <w:rPr>
          <w:rFonts w:hint="eastAsia" w:ascii="宋体" w:hAnsi="宋体" w:cs="宋体"/>
          <w:highlight w:val="none"/>
        </w:rPr>
        <w:t>工程量清单中的工程量计算规则应按有关国家标准、行业标准的规定，并在合同中约定执行。</w:t>
      </w:r>
    </w:p>
    <w:p w14:paraId="202AF5C5">
      <w:pPr>
        <w:spacing w:line="360" w:lineRule="auto"/>
        <w:ind w:firstLine="420" w:firstLineChars="200"/>
        <w:rPr>
          <w:rFonts w:hint="eastAsia" w:ascii="宋体" w:hAnsi="宋体" w:cs="宋体"/>
          <w:highlight w:val="none"/>
        </w:rPr>
      </w:pPr>
      <w:r>
        <w:rPr>
          <w:rFonts w:hint="eastAsia" w:ascii="宋体" w:hAnsi="宋体" w:cs="宋体"/>
          <w:highlight w:val="none"/>
        </w:rPr>
        <w:t>17.1.3 计量周期</w:t>
      </w:r>
    </w:p>
    <w:p w14:paraId="2B235BC3">
      <w:pPr>
        <w:spacing w:line="360" w:lineRule="auto"/>
        <w:ind w:firstLine="420" w:firstLineChars="200"/>
        <w:rPr>
          <w:rFonts w:hint="eastAsia" w:ascii="宋体" w:hAnsi="宋体" w:cs="宋体"/>
          <w:highlight w:val="none"/>
        </w:rPr>
      </w:pPr>
      <w:r>
        <w:rPr>
          <w:rFonts w:hint="eastAsia" w:ascii="宋体" w:hAnsi="宋体" w:cs="宋体"/>
          <w:highlight w:val="none"/>
        </w:rPr>
        <w:t>除专用合同条款另有约定外，单价子目已完成工程量按月计量，总价子目的计量周期按批准的支付分解报告确定。</w:t>
      </w:r>
    </w:p>
    <w:p w14:paraId="06840F7A">
      <w:pPr>
        <w:spacing w:line="360" w:lineRule="auto"/>
        <w:ind w:firstLine="420" w:firstLineChars="200"/>
        <w:rPr>
          <w:rFonts w:hint="eastAsia" w:ascii="宋体" w:hAnsi="宋体" w:cs="宋体"/>
          <w:highlight w:val="none"/>
        </w:rPr>
      </w:pPr>
      <w:r>
        <w:rPr>
          <w:rFonts w:hint="eastAsia" w:ascii="宋体" w:hAnsi="宋体" w:cs="宋体"/>
          <w:highlight w:val="none"/>
        </w:rPr>
        <w:t>17.1.4 单价子目的计量</w:t>
      </w:r>
    </w:p>
    <w:p w14:paraId="13526150">
      <w:pPr>
        <w:spacing w:line="360" w:lineRule="auto"/>
        <w:ind w:firstLine="718" w:firstLineChars="342"/>
        <w:rPr>
          <w:rFonts w:hint="eastAsia" w:ascii="宋体" w:hAnsi="宋体" w:cs="宋体"/>
          <w:highlight w:val="none"/>
        </w:rPr>
      </w:pPr>
      <w:r>
        <w:rPr>
          <w:rFonts w:hint="eastAsia" w:ascii="宋体" w:hAnsi="宋体" w:cs="宋体"/>
          <w:highlight w:val="none"/>
        </w:rPr>
        <w:t>（1）已标价工程量清单中的单价子目工程量为估算工程量。结算工程量是承包人实际完成的，并按合同约定的计量方法进行计量的工程量。</w:t>
      </w:r>
    </w:p>
    <w:p w14:paraId="5A6BF10F">
      <w:pPr>
        <w:spacing w:line="360" w:lineRule="auto"/>
        <w:ind w:firstLine="718" w:firstLineChars="342"/>
        <w:rPr>
          <w:rFonts w:hint="eastAsia" w:ascii="宋体" w:hAnsi="宋体" w:cs="宋体"/>
          <w:highlight w:val="none"/>
        </w:rPr>
      </w:pPr>
      <w:r>
        <w:rPr>
          <w:rFonts w:hint="eastAsia" w:ascii="宋体" w:hAnsi="宋体" w:cs="宋体"/>
          <w:highlight w:val="none"/>
        </w:rPr>
        <w:t>（2）承包人对已完成的工程进行计量，向监理人提交进度付款申请单、已完成工程量报表和有关计量资料。</w:t>
      </w:r>
    </w:p>
    <w:p w14:paraId="7A0BB2B9">
      <w:pPr>
        <w:spacing w:line="360" w:lineRule="auto"/>
        <w:ind w:firstLine="718" w:firstLineChars="342"/>
        <w:rPr>
          <w:rFonts w:hint="eastAsia" w:ascii="宋体" w:hAnsi="宋体" w:cs="宋体"/>
          <w:highlight w:val="none"/>
        </w:rPr>
      </w:pPr>
      <w:r>
        <w:rPr>
          <w:rFonts w:hint="eastAsia" w:ascii="宋体" w:hAnsi="宋体" w:cs="宋体"/>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DD46117">
      <w:pPr>
        <w:spacing w:line="360" w:lineRule="auto"/>
        <w:ind w:firstLine="718" w:firstLineChars="342"/>
        <w:rPr>
          <w:rFonts w:hint="eastAsia" w:ascii="宋体" w:hAnsi="宋体" w:cs="宋体"/>
          <w:highlight w:val="none"/>
        </w:rPr>
      </w:pPr>
      <w:r>
        <w:rPr>
          <w:rFonts w:hint="eastAsia" w:ascii="宋体" w:hAnsi="宋体" w:cs="宋体"/>
          <w:highlight w:val="none"/>
        </w:rPr>
        <w:t>（4）监理人认为有必要时，可通知承包人共同进行联合测量、计量，承包人应遵照执行。</w:t>
      </w:r>
    </w:p>
    <w:p w14:paraId="479D68D3">
      <w:pPr>
        <w:spacing w:line="360" w:lineRule="auto"/>
        <w:ind w:firstLine="718" w:firstLineChars="342"/>
        <w:rPr>
          <w:rFonts w:hint="eastAsia" w:ascii="宋体" w:hAnsi="宋体" w:cs="宋体"/>
          <w:highlight w:val="none"/>
        </w:rPr>
      </w:pPr>
      <w:r>
        <w:rPr>
          <w:rFonts w:hint="eastAsia" w:ascii="宋体" w:hAnsi="宋体" w:cs="宋体"/>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CCB4CB4">
      <w:pPr>
        <w:spacing w:line="360" w:lineRule="auto"/>
        <w:ind w:firstLine="718" w:firstLineChars="342"/>
        <w:rPr>
          <w:rFonts w:hint="eastAsia" w:ascii="宋体" w:hAnsi="宋体" w:cs="宋体"/>
          <w:highlight w:val="none"/>
        </w:rPr>
      </w:pPr>
      <w:r>
        <w:rPr>
          <w:rFonts w:hint="eastAsia" w:ascii="宋体" w:hAnsi="宋体" w:cs="宋体"/>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E4A7E5E">
      <w:pPr>
        <w:spacing w:line="360" w:lineRule="auto"/>
        <w:ind w:firstLine="420" w:firstLineChars="200"/>
        <w:rPr>
          <w:rFonts w:hint="eastAsia" w:ascii="宋体" w:hAnsi="宋体" w:cs="宋体"/>
          <w:highlight w:val="none"/>
        </w:rPr>
      </w:pPr>
      <w:r>
        <w:rPr>
          <w:rFonts w:hint="eastAsia" w:ascii="宋体" w:hAnsi="宋体" w:cs="宋体"/>
          <w:highlight w:val="none"/>
        </w:rPr>
        <w:t>17.1.5 总价子目的计量</w:t>
      </w:r>
    </w:p>
    <w:p w14:paraId="2ADEA20F">
      <w:pPr>
        <w:spacing w:line="360" w:lineRule="auto"/>
        <w:ind w:firstLine="630" w:firstLineChars="300"/>
        <w:rPr>
          <w:rFonts w:hint="eastAsia" w:ascii="宋体" w:hAnsi="宋体" w:cs="宋体"/>
          <w:highlight w:val="none"/>
        </w:rPr>
      </w:pPr>
      <w:r>
        <w:rPr>
          <w:rFonts w:hint="eastAsia" w:ascii="宋体" w:hAnsi="宋体" w:cs="宋体"/>
          <w:highlight w:val="none"/>
        </w:rPr>
        <w:t>除专用合同条款另有约定外，总价子目的分解和计量按照下述约定进行。</w:t>
      </w:r>
    </w:p>
    <w:p w14:paraId="39FBDEFC">
      <w:pPr>
        <w:spacing w:line="360" w:lineRule="auto"/>
        <w:ind w:firstLine="630" w:firstLineChars="300"/>
        <w:rPr>
          <w:rFonts w:hint="eastAsia" w:ascii="宋体" w:hAnsi="宋体" w:cs="宋体"/>
          <w:highlight w:val="none"/>
        </w:rPr>
      </w:pPr>
      <w:r>
        <w:rPr>
          <w:rFonts w:hint="eastAsia" w:ascii="宋体" w:hAnsi="宋体" w:cs="宋体"/>
          <w:highlight w:val="none"/>
        </w:rPr>
        <w:t>（1）总价子目的计量和支付应以总价为基础，不因第16.1款中的因素而进行调整。承包人实际完成的工程量，是进行工程目标管理和控制进度支付的依据。</w:t>
      </w:r>
    </w:p>
    <w:p w14:paraId="0EA6329B">
      <w:pPr>
        <w:spacing w:line="360" w:lineRule="auto"/>
        <w:ind w:firstLine="630" w:firstLineChars="300"/>
        <w:rPr>
          <w:rFonts w:hint="eastAsia" w:ascii="宋体" w:hAnsi="宋体" w:cs="宋体"/>
          <w:highlight w:val="none"/>
        </w:rPr>
      </w:pPr>
      <w:r>
        <w:rPr>
          <w:rFonts w:hint="eastAsia" w:ascii="宋体" w:hAnsi="宋体" w:cs="宋体"/>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18F01B9C">
      <w:pPr>
        <w:spacing w:line="360" w:lineRule="auto"/>
        <w:ind w:firstLine="630" w:firstLineChars="300"/>
        <w:rPr>
          <w:rFonts w:hint="eastAsia" w:ascii="宋体" w:hAnsi="宋体" w:cs="宋体"/>
          <w:highlight w:val="none"/>
        </w:rPr>
      </w:pPr>
      <w:r>
        <w:rPr>
          <w:rFonts w:hint="eastAsia" w:ascii="宋体" w:hAnsi="宋体" w:cs="宋体"/>
          <w:highlight w:val="none"/>
        </w:rPr>
        <w:t>（3）监理人对承包人提交的上述资料进行复核，以确定分阶段实际完成的工程量和工程形象目标。对其有异议的，可要求承包人按第8.2款约定进行共同复核和抽样复测。</w:t>
      </w:r>
    </w:p>
    <w:p w14:paraId="4E5FE518">
      <w:pPr>
        <w:spacing w:line="360" w:lineRule="auto"/>
        <w:ind w:firstLine="600" w:firstLineChars="300"/>
        <w:rPr>
          <w:rFonts w:hint="eastAsia" w:ascii="宋体" w:hAnsi="宋体" w:cs="宋体"/>
          <w:highlight w:val="none"/>
        </w:rPr>
      </w:pPr>
      <w:r>
        <w:rPr>
          <w:rFonts w:hint="eastAsia" w:ascii="宋体" w:hAnsi="宋体" w:cs="宋体"/>
          <w:spacing w:val="-5"/>
          <w:highlight w:val="none"/>
        </w:rPr>
        <w:t>（4）除按照第15条约定的变更外，总价子目的工程量是承包人用于结算的最终工程量。</w:t>
      </w:r>
    </w:p>
    <w:p w14:paraId="4FE4B71D">
      <w:pPr>
        <w:spacing w:line="360" w:lineRule="auto"/>
        <w:rPr>
          <w:rFonts w:hint="eastAsia" w:ascii="宋体" w:hAnsi="宋体" w:cs="宋体"/>
          <w:highlight w:val="none"/>
        </w:rPr>
      </w:pPr>
      <w:bookmarkStart w:id="1356" w:name="_Toc342296371"/>
      <w:bookmarkStart w:id="1357" w:name="_Toc338944813"/>
      <w:bookmarkStart w:id="1358" w:name="_Toc503536198"/>
      <w:bookmarkStart w:id="1359" w:name="_Toc454359287"/>
      <w:r>
        <w:rPr>
          <w:rFonts w:hint="eastAsia" w:ascii="宋体" w:hAnsi="宋体" w:cs="宋体"/>
          <w:highlight w:val="none"/>
        </w:rPr>
        <w:t>17.2 预付款</w:t>
      </w:r>
      <w:bookmarkEnd w:id="1356"/>
      <w:bookmarkEnd w:id="1357"/>
      <w:bookmarkEnd w:id="1358"/>
      <w:bookmarkEnd w:id="1359"/>
    </w:p>
    <w:p w14:paraId="1451B4DF">
      <w:pPr>
        <w:spacing w:line="360" w:lineRule="auto"/>
        <w:ind w:firstLine="420" w:firstLineChars="200"/>
        <w:rPr>
          <w:rFonts w:hint="eastAsia" w:ascii="宋体" w:hAnsi="宋体" w:cs="宋体"/>
          <w:highlight w:val="none"/>
        </w:rPr>
      </w:pPr>
      <w:r>
        <w:rPr>
          <w:rFonts w:hint="eastAsia" w:ascii="宋体" w:hAnsi="宋体" w:cs="宋体"/>
          <w:highlight w:val="none"/>
        </w:rPr>
        <w:t>17.2.1 预付款</w:t>
      </w:r>
    </w:p>
    <w:p w14:paraId="1D94809E">
      <w:pPr>
        <w:spacing w:line="360" w:lineRule="auto"/>
        <w:ind w:firstLine="420" w:firstLineChars="200"/>
        <w:rPr>
          <w:rFonts w:hint="eastAsia" w:ascii="宋体" w:hAnsi="宋体" w:cs="宋体"/>
          <w:highlight w:val="none"/>
        </w:rPr>
      </w:pPr>
      <w:r>
        <w:rPr>
          <w:rFonts w:hint="eastAsia" w:ascii="宋体" w:hAnsi="宋体" w:cs="宋体"/>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6516EA50">
      <w:pPr>
        <w:spacing w:line="360" w:lineRule="auto"/>
        <w:ind w:firstLine="420" w:firstLineChars="200"/>
        <w:rPr>
          <w:rFonts w:hint="eastAsia" w:ascii="宋体" w:hAnsi="宋体" w:cs="宋体"/>
          <w:highlight w:val="none"/>
        </w:rPr>
      </w:pPr>
      <w:r>
        <w:rPr>
          <w:rFonts w:hint="eastAsia" w:ascii="宋体" w:hAnsi="宋体" w:cs="宋体"/>
          <w:highlight w:val="none"/>
        </w:rPr>
        <w:t>17.2.2 预付款保函</w:t>
      </w:r>
    </w:p>
    <w:p w14:paraId="3B27F2C1">
      <w:pPr>
        <w:spacing w:line="360" w:lineRule="auto"/>
        <w:ind w:firstLine="420" w:firstLineChars="200"/>
        <w:rPr>
          <w:rFonts w:hint="eastAsia" w:ascii="宋体" w:hAnsi="宋体" w:cs="宋体"/>
          <w:highlight w:val="none"/>
        </w:rPr>
      </w:pPr>
      <w:r>
        <w:rPr>
          <w:rFonts w:hint="eastAsia" w:ascii="宋体" w:hAnsi="宋体" w:cs="宋体"/>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06989AFA">
      <w:pPr>
        <w:spacing w:line="360" w:lineRule="auto"/>
        <w:ind w:firstLine="420" w:firstLineChars="200"/>
        <w:rPr>
          <w:rFonts w:hint="eastAsia" w:ascii="宋体" w:hAnsi="宋体" w:cs="宋体"/>
          <w:highlight w:val="none"/>
        </w:rPr>
      </w:pPr>
      <w:r>
        <w:rPr>
          <w:rFonts w:hint="eastAsia" w:ascii="宋体" w:hAnsi="宋体" w:cs="宋体"/>
          <w:highlight w:val="none"/>
        </w:rPr>
        <w:t>17.2.3 预付款的扣回与还清</w:t>
      </w:r>
    </w:p>
    <w:p w14:paraId="277E1987">
      <w:pPr>
        <w:spacing w:line="360" w:lineRule="auto"/>
        <w:ind w:firstLine="420" w:firstLineChars="200"/>
        <w:rPr>
          <w:rFonts w:hint="eastAsia" w:ascii="宋体" w:hAnsi="宋体" w:cs="宋体"/>
          <w:highlight w:val="none"/>
        </w:rPr>
      </w:pPr>
      <w:r>
        <w:rPr>
          <w:rFonts w:hint="eastAsia" w:ascii="宋体" w:hAnsi="宋体" w:cs="宋体"/>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2BA60611">
      <w:pPr>
        <w:spacing w:line="360" w:lineRule="auto"/>
        <w:rPr>
          <w:rFonts w:hint="eastAsia" w:ascii="宋体" w:hAnsi="宋体" w:cs="宋体"/>
          <w:highlight w:val="none"/>
        </w:rPr>
      </w:pPr>
      <w:bookmarkStart w:id="1360" w:name="_Toc338944814"/>
      <w:bookmarkStart w:id="1361" w:name="_Toc342296372"/>
      <w:bookmarkStart w:id="1362" w:name="_Toc503536199"/>
      <w:bookmarkStart w:id="1363" w:name="_Toc454359288"/>
      <w:r>
        <w:rPr>
          <w:rFonts w:hint="eastAsia" w:ascii="宋体" w:hAnsi="宋体" w:cs="宋体"/>
          <w:highlight w:val="none"/>
        </w:rPr>
        <w:t>17.3 工程进度付款</w:t>
      </w:r>
      <w:bookmarkEnd w:id="1360"/>
      <w:bookmarkEnd w:id="1361"/>
      <w:bookmarkEnd w:id="1362"/>
      <w:bookmarkEnd w:id="1363"/>
    </w:p>
    <w:p w14:paraId="1B439298">
      <w:pPr>
        <w:spacing w:line="360" w:lineRule="auto"/>
        <w:ind w:firstLine="420" w:firstLineChars="200"/>
        <w:rPr>
          <w:rFonts w:hint="eastAsia" w:ascii="宋体" w:hAnsi="宋体" w:cs="宋体"/>
          <w:highlight w:val="none"/>
        </w:rPr>
      </w:pPr>
      <w:r>
        <w:rPr>
          <w:rFonts w:hint="eastAsia" w:ascii="宋体" w:hAnsi="宋体" w:cs="宋体"/>
          <w:highlight w:val="none"/>
        </w:rPr>
        <w:t>17.3.1 付款周期</w:t>
      </w:r>
    </w:p>
    <w:p w14:paraId="0A5B9196">
      <w:pPr>
        <w:spacing w:line="360" w:lineRule="auto"/>
        <w:ind w:firstLine="420" w:firstLineChars="200"/>
        <w:rPr>
          <w:rFonts w:hint="eastAsia" w:ascii="宋体" w:hAnsi="宋体" w:cs="宋体"/>
          <w:highlight w:val="none"/>
        </w:rPr>
      </w:pPr>
      <w:r>
        <w:rPr>
          <w:rFonts w:hint="eastAsia" w:ascii="宋体" w:hAnsi="宋体" w:cs="宋体"/>
          <w:highlight w:val="none"/>
        </w:rPr>
        <w:t>付款周期同计量周期。</w:t>
      </w:r>
    </w:p>
    <w:p w14:paraId="75ECDC17">
      <w:pPr>
        <w:spacing w:line="360" w:lineRule="auto"/>
        <w:ind w:firstLine="420" w:firstLineChars="200"/>
        <w:rPr>
          <w:rFonts w:hint="eastAsia" w:ascii="宋体" w:hAnsi="宋体" w:cs="宋体"/>
          <w:highlight w:val="none"/>
        </w:rPr>
      </w:pPr>
      <w:r>
        <w:rPr>
          <w:rFonts w:hint="eastAsia" w:ascii="宋体" w:hAnsi="宋体" w:cs="宋体"/>
          <w:highlight w:val="none"/>
        </w:rPr>
        <w:t>17.3.2 进度付款申请单</w:t>
      </w:r>
    </w:p>
    <w:p w14:paraId="1AC44BD4">
      <w:pPr>
        <w:spacing w:line="360" w:lineRule="auto"/>
        <w:ind w:firstLine="420" w:firstLineChars="200"/>
        <w:rPr>
          <w:rFonts w:hint="eastAsia" w:ascii="宋体" w:hAnsi="宋体" w:cs="宋体"/>
          <w:dstrike/>
          <w:highlight w:val="none"/>
        </w:rPr>
      </w:pPr>
      <w:r>
        <w:rPr>
          <w:rFonts w:hint="eastAsia" w:ascii="宋体" w:hAnsi="宋体" w:cs="宋体"/>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79DC606">
      <w:pPr>
        <w:spacing w:line="360" w:lineRule="auto"/>
        <w:ind w:firstLine="420" w:firstLineChars="200"/>
        <w:rPr>
          <w:rFonts w:hint="eastAsia" w:ascii="宋体" w:hAnsi="宋体" w:cs="宋体"/>
          <w:highlight w:val="none"/>
        </w:rPr>
      </w:pPr>
      <w:r>
        <w:rPr>
          <w:rFonts w:hint="eastAsia" w:ascii="宋体" w:hAnsi="宋体" w:cs="宋体"/>
          <w:highlight w:val="none"/>
        </w:rPr>
        <w:t>（1）截至本次付款周期末已实施工程的价款；</w:t>
      </w:r>
    </w:p>
    <w:p w14:paraId="7AC2D55A">
      <w:pPr>
        <w:spacing w:line="360" w:lineRule="auto"/>
        <w:ind w:firstLine="420" w:firstLineChars="200"/>
        <w:rPr>
          <w:rFonts w:hint="eastAsia" w:ascii="宋体" w:hAnsi="宋体" w:cs="宋体"/>
          <w:highlight w:val="none"/>
        </w:rPr>
      </w:pPr>
      <w:r>
        <w:rPr>
          <w:rFonts w:hint="eastAsia" w:ascii="宋体" w:hAnsi="宋体" w:cs="宋体"/>
          <w:highlight w:val="none"/>
        </w:rPr>
        <w:t>（2）根据第15条应增加和扣减的变更金额；</w:t>
      </w:r>
    </w:p>
    <w:p w14:paraId="1F7FE398">
      <w:pPr>
        <w:spacing w:line="360" w:lineRule="auto"/>
        <w:ind w:firstLine="420" w:firstLineChars="200"/>
        <w:rPr>
          <w:rFonts w:hint="eastAsia" w:ascii="宋体" w:hAnsi="宋体" w:cs="宋体"/>
          <w:highlight w:val="none"/>
        </w:rPr>
      </w:pPr>
      <w:r>
        <w:rPr>
          <w:rFonts w:hint="eastAsia" w:ascii="宋体" w:hAnsi="宋体" w:cs="宋体"/>
          <w:highlight w:val="none"/>
        </w:rPr>
        <w:t>（3）根据第23条应增加和扣减的索赔金额；</w:t>
      </w:r>
    </w:p>
    <w:p w14:paraId="084B087A">
      <w:pPr>
        <w:spacing w:line="360" w:lineRule="auto"/>
        <w:ind w:firstLine="420" w:firstLineChars="200"/>
        <w:rPr>
          <w:rFonts w:hint="eastAsia" w:ascii="宋体" w:hAnsi="宋体" w:cs="宋体"/>
          <w:highlight w:val="none"/>
        </w:rPr>
      </w:pPr>
      <w:r>
        <w:rPr>
          <w:rFonts w:hint="eastAsia" w:ascii="宋体" w:hAnsi="宋体" w:cs="宋体"/>
          <w:highlight w:val="none"/>
        </w:rPr>
        <w:t>（4）根据第17.2款约定应支付的预付款和扣减的返还预付款；</w:t>
      </w:r>
    </w:p>
    <w:p w14:paraId="4190E405">
      <w:pPr>
        <w:spacing w:line="360" w:lineRule="auto"/>
        <w:ind w:firstLine="420" w:firstLineChars="200"/>
        <w:rPr>
          <w:rFonts w:hint="eastAsia" w:ascii="宋体" w:hAnsi="宋体" w:cs="宋体"/>
          <w:highlight w:val="none"/>
        </w:rPr>
      </w:pPr>
      <w:r>
        <w:rPr>
          <w:rFonts w:hint="eastAsia" w:ascii="宋体" w:hAnsi="宋体" w:cs="宋体"/>
          <w:highlight w:val="none"/>
        </w:rPr>
        <w:t>（5）根据第17.4.1项约定应扣减的质量保证金；</w:t>
      </w:r>
    </w:p>
    <w:p w14:paraId="6E887A64">
      <w:pPr>
        <w:spacing w:line="360" w:lineRule="auto"/>
        <w:ind w:firstLine="420" w:firstLineChars="200"/>
        <w:rPr>
          <w:rFonts w:hint="eastAsia" w:ascii="宋体" w:hAnsi="宋体" w:cs="宋体"/>
          <w:highlight w:val="none"/>
        </w:rPr>
      </w:pPr>
      <w:r>
        <w:rPr>
          <w:rFonts w:hint="eastAsia" w:ascii="宋体" w:hAnsi="宋体" w:cs="宋体"/>
          <w:highlight w:val="none"/>
        </w:rPr>
        <w:t>（6）根据合同应增加和扣减的其他金额。</w:t>
      </w:r>
    </w:p>
    <w:p w14:paraId="04CC41B9">
      <w:pPr>
        <w:spacing w:line="360" w:lineRule="auto"/>
        <w:ind w:firstLine="420" w:firstLineChars="200"/>
        <w:rPr>
          <w:rFonts w:hint="eastAsia" w:ascii="宋体" w:hAnsi="宋体" w:cs="宋体"/>
          <w:highlight w:val="none"/>
        </w:rPr>
      </w:pPr>
      <w:r>
        <w:rPr>
          <w:rFonts w:hint="eastAsia" w:ascii="宋体" w:hAnsi="宋体" w:cs="宋体"/>
          <w:highlight w:val="none"/>
        </w:rPr>
        <w:t>17.3.3 进度付款证书和支付时间</w:t>
      </w:r>
    </w:p>
    <w:p w14:paraId="2B01FF32">
      <w:pPr>
        <w:spacing w:line="360" w:lineRule="auto"/>
        <w:ind w:firstLine="630" w:firstLineChars="300"/>
        <w:rPr>
          <w:rFonts w:hint="eastAsia" w:ascii="宋体" w:hAnsi="宋体" w:cs="宋体"/>
          <w:highlight w:val="none"/>
        </w:rPr>
      </w:pPr>
      <w:r>
        <w:rPr>
          <w:rFonts w:hint="eastAsia" w:ascii="宋体" w:hAnsi="宋体" w:cs="宋体"/>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06A7E25B">
      <w:pPr>
        <w:spacing w:line="360" w:lineRule="auto"/>
        <w:ind w:firstLine="718" w:firstLineChars="342"/>
        <w:rPr>
          <w:rFonts w:hint="eastAsia" w:ascii="宋体" w:hAnsi="宋体" w:cs="宋体"/>
          <w:highlight w:val="none"/>
        </w:rPr>
      </w:pPr>
      <w:r>
        <w:rPr>
          <w:rFonts w:hint="eastAsia" w:ascii="宋体" w:hAnsi="宋体" w:cs="宋体"/>
          <w:highlight w:val="none"/>
        </w:rPr>
        <w:t>（2）发包人应在监理人收到进度付款申请单后的28天内，将进度应付款支付给承包人。发包人不按期支付的，按专用合同条款的约定支付逾期付款违约金。</w:t>
      </w:r>
    </w:p>
    <w:p w14:paraId="71A37195">
      <w:pPr>
        <w:spacing w:line="360" w:lineRule="auto"/>
        <w:ind w:firstLine="718" w:firstLineChars="342"/>
        <w:rPr>
          <w:rFonts w:hint="eastAsia" w:ascii="宋体" w:hAnsi="宋体" w:cs="宋体"/>
          <w:highlight w:val="none"/>
        </w:rPr>
      </w:pPr>
      <w:r>
        <w:rPr>
          <w:rFonts w:hint="eastAsia" w:ascii="宋体" w:hAnsi="宋体" w:cs="宋体"/>
          <w:highlight w:val="none"/>
        </w:rPr>
        <w:t>（3）监理人出具进度付款证书，不应视为监理人已同意、批准或接受了承包人完成的该部分工作。</w:t>
      </w:r>
    </w:p>
    <w:p w14:paraId="264947A2">
      <w:pPr>
        <w:spacing w:line="360" w:lineRule="auto"/>
        <w:ind w:firstLine="718" w:firstLineChars="342"/>
        <w:rPr>
          <w:rFonts w:hint="eastAsia" w:ascii="宋体" w:hAnsi="宋体" w:cs="宋体"/>
          <w:highlight w:val="none"/>
        </w:rPr>
      </w:pPr>
      <w:r>
        <w:rPr>
          <w:rFonts w:hint="eastAsia" w:ascii="宋体" w:hAnsi="宋体" w:cs="宋体"/>
          <w:highlight w:val="none"/>
        </w:rPr>
        <w:t>（4）进度付款涉及政府投资资金的，按照国库集中支付等国家相关规定和专用合同条款的约定办理。</w:t>
      </w:r>
    </w:p>
    <w:p w14:paraId="644DD7E8">
      <w:pPr>
        <w:spacing w:line="360" w:lineRule="auto"/>
        <w:ind w:firstLine="420" w:firstLineChars="200"/>
        <w:rPr>
          <w:rFonts w:hint="eastAsia" w:ascii="宋体" w:hAnsi="宋体" w:cs="宋体"/>
          <w:highlight w:val="none"/>
        </w:rPr>
      </w:pPr>
      <w:r>
        <w:rPr>
          <w:rFonts w:hint="eastAsia" w:ascii="宋体" w:hAnsi="宋体" w:cs="宋体"/>
          <w:highlight w:val="none"/>
        </w:rPr>
        <w:t>17.3.4 工程进度付款的修正</w:t>
      </w:r>
    </w:p>
    <w:p w14:paraId="1960D91E">
      <w:pPr>
        <w:spacing w:line="360" w:lineRule="auto"/>
        <w:ind w:firstLine="420" w:firstLineChars="200"/>
        <w:rPr>
          <w:rFonts w:hint="eastAsia" w:ascii="宋体" w:hAnsi="宋体" w:cs="宋体"/>
          <w:highlight w:val="none"/>
        </w:rPr>
      </w:pPr>
      <w:r>
        <w:rPr>
          <w:rFonts w:hint="eastAsia" w:ascii="宋体" w:hAnsi="宋体" w:cs="宋体"/>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337614B6">
      <w:pPr>
        <w:spacing w:line="360" w:lineRule="auto"/>
        <w:rPr>
          <w:rFonts w:hint="eastAsia" w:ascii="宋体" w:hAnsi="宋体" w:cs="宋体"/>
          <w:highlight w:val="none"/>
        </w:rPr>
      </w:pPr>
      <w:bookmarkStart w:id="1364" w:name="_Toc503536200"/>
      <w:bookmarkStart w:id="1365" w:name="_Toc342296373"/>
      <w:bookmarkStart w:id="1366" w:name="_Toc338944815"/>
      <w:bookmarkStart w:id="1367" w:name="_Toc454359289"/>
      <w:r>
        <w:rPr>
          <w:rFonts w:hint="eastAsia" w:ascii="宋体" w:hAnsi="宋体" w:cs="宋体"/>
          <w:highlight w:val="none"/>
        </w:rPr>
        <w:t>17.4 质量保证金</w:t>
      </w:r>
      <w:bookmarkEnd w:id="1364"/>
      <w:bookmarkEnd w:id="1365"/>
      <w:bookmarkEnd w:id="1366"/>
      <w:bookmarkEnd w:id="1367"/>
    </w:p>
    <w:p w14:paraId="54056887">
      <w:pPr>
        <w:spacing w:line="360" w:lineRule="auto"/>
        <w:ind w:firstLine="420" w:firstLineChars="200"/>
        <w:rPr>
          <w:rFonts w:hint="eastAsia" w:ascii="宋体" w:hAnsi="宋体" w:cs="宋体"/>
          <w:highlight w:val="none"/>
        </w:rPr>
      </w:pPr>
      <w:r>
        <w:rPr>
          <w:rFonts w:hint="eastAsia" w:ascii="宋体" w:hAnsi="宋体" w:cs="宋体"/>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6E87D7C9">
      <w:pPr>
        <w:spacing w:line="360" w:lineRule="auto"/>
        <w:ind w:firstLine="420" w:firstLineChars="200"/>
        <w:rPr>
          <w:rFonts w:hint="eastAsia" w:ascii="宋体" w:hAnsi="宋体" w:cs="宋体"/>
          <w:highlight w:val="none"/>
        </w:rPr>
      </w:pPr>
      <w:r>
        <w:rPr>
          <w:rFonts w:hint="eastAsia" w:ascii="宋体" w:hAnsi="宋体" w:cs="宋体"/>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C6E2491">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87DB3E7">
      <w:pPr>
        <w:spacing w:line="360" w:lineRule="auto"/>
        <w:rPr>
          <w:rFonts w:hint="eastAsia" w:ascii="宋体" w:hAnsi="宋体" w:cs="宋体"/>
          <w:highlight w:val="none"/>
        </w:rPr>
      </w:pPr>
      <w:bookmarkStart w:id="1368" w:name="_Toc503536201"/>
      <w:bookmarkStart w:id="1369" w:name="_Toc454359290"/>
      <w:bookmarkStart w:id="1370" w:name="_Toc342296374"/>
      <w:bookmarkStart w:id="1371" w:name="_Toc338944816"/>
      <w:r>
        <w:rPr>
          <w:rFonts w:hint="eastAsia" w:ascii="宋体" w:hAnsi="宋体" w:cs="宋体"/>
          <w:highlight w:val="none"/>
        </w:rPr>
        <w:t>17.5 竣工结算</w:t>
      </w:r>
      <w:bookmarkEnd w:id="1368"/>
      <w:bookmarkEnd w:id="1369"/>
      <w:bookmarkEnd w:id="1370"/>
      <w:bookmarkEnd w:id="1371"/>
    </w:p>
    <w:p w14:paraId="696B8E0A">
      <w:pPr>
        <w:spacing w:line="360" w:lineRule="auto"/>
        <w:ind w:firstLine="420" w:firstLineChars="200"/>
        <w:rPr>
          <w:rFonts w:hint="eastAsia" w:ascii="宋体" w:hAnsi="宋体" w:cs="宋体"/>
          <w:highlight w:val="none"/>
        </w:rPr>
      </w:pPr>
      <w:r>
        <w:rPr>
          <w:rFonts w:hint="eastAsia" w:ascii="宋体" w:hAnsi="宋体" w:cs="宋体"/>
          <w:highlight w:val="none"/>
        </w:rPr>
        <w:t>17.5.1 竣工付款申请单</w:t>
      </w:r>
    </w:p>
    <w:p w14:paraId="5E350FC4">
      <w:pPr>
        <w:spacing w:line="360" w:lineRule="auto"/>
        <w:ind w:firstLine="718" w:firstLineChars="342"/>
        <w:rPr>
          <w:rFonts w:hint="eastAsia" w:ascii="宋体" w:hAnsi="宋体" w:cs="宋体"/>
          <w:highlight w:val="none"/>
        </w:rPr>
      </w:pPr>
      <w:r>
        <w:rPr>
          <w:rFonts w:hint="eastAsia" w:ascii="宋体" w:hAnsi="宋体" w:cs="宋体"/>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34AAAEE4">
      <w:pPr>
        <w:spacing w:line="360" w:lineRule="auto"/>
        <w:ind w:firstLine="718" w:firstLineChars="342"/>
        <w:rPr>
          <w:rFonts w:hint="eastAsia" w:ascii="宋体" w:hAnsi="宋体" w:cs="宋体"/>
          <w:highlight w:val="none"/>
        </w:rPr>
      </w:pPr>
      <w:r>
        <w:rPr>
          <w:rFonts w:hint="eastAsia" w:ascii="宋体" w:hAnsi="宋体" w:cs="宋体"/>
          <w:highlight w:val="none"/>
        </w:rPr>
        <w:t>（2）监理人对竣工付款申请单有异议的，有权要求承包人进行修正和提供补充资料。经监理人和承包人协商后，由承包人向监理人提交修正后的竣工付款申请单。</w:t>
      </w:r>
    </w:p>
    <w:p w14:paraId="13042EC2">
      <w:pPr>
        <w:spacing w:line="360" w:lineRule="auto"/>
        <w:ind w:firstLine="420" w:firstLineChars="200"/>
        <w:rPr>
          <w:rFonts w:hint="eastAsia" w:ascii="宋体" w:hAnsi="宋体" w:cs="宋体"/>
          <w:highlight w:val="none"/>
        </w:rPr>
      </w:pPr>
      <w:r>
        <w:rPr>
          <w:rFonts w:hint="eastAsia" w:ascii="宋体" w:hAnsi="宋体" w:cs="宋体"/>
          <w:highlight w:val="none"/>
        </w:rPr>
        <w:t>17.5.2 竣工付款证书及支付时间</w:t>
      </w:r>
    </w:p>
    <w:p w14:paraId="2282785C">
      <w:pPr>
        <w:spacing w:line="360" w:lineRule="auto"/>
        <w:ind w:firstLine="718" w:firstLineChars="342"/>
        <w:rPr>
          <w:rFonts w:hint="eastAsia" w:ascii="宋体" w:hAnsi="宋体" w:cs="宋体"/>
          <w:highlight w:val="none"/>
        </w:rPr>
      </w:pPr>
      <w:r>
        <w:rPr>
          <w:rFonts w:hint="eastAsia" w:ascii="宋体" w:hAnsi="宋体" w:cs="宋体"/>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02501786">
      <w:pPr>
        <w:spacing w:line="360" w:lineRule="auto"/>
        <w:ind w:firstLine="718" w:firstLineChars="342"/>
        <w:rPr>
          <w:rFonts w:hint="eastAsia" w:ascii="宋体" w:hAnsi="宋体" w:cs="宋体"/>
          <w:highlight w:val="none"/>
        </w:rPr>
      </w:pPr>
      <w:r>
        <w:rPr>
          <w:rFonts w:hint="eastAsia" w:ascii="宋体" w:hAnsi="宋体" w:cs="宋体"/>
          <w:highlight w:val="none"/>
        </w:rPr>
        <w:t>（2）发包人应在监理人出具竣工付款证书后的14天内，将应支付款支付给承包人。发包人不按期支付的，按第17.3.3（2）目的约定，将逾期付款违约金支付给承包人。</w:t>
      </w:r>
    </w:p>
    <w:p w14:paraId="55A328B3">
      <w:pPr>
        <w:spacing w:line="360" w:lineRule="auto"/>
        <w:ind w:firstLine="718" w:firstLineChars="342"/>
        <w:rPr>
          <w:rFonts w:hint="eastAsia" w:ascii="宋体" w:hAnsi="宋体" w:cs="宋体"/>
          <w:highlight w:val="none"/>
        </w:rPr>
      </w:pPr>
      <w:r>
        <w:rPr>
          <w:rFonts w:hint="eastAsia" w:ascii="宋体" w:hAnsi="宋体" w:cs="宋体"/>
          <w:highlight w:val="none"/>
        </w:rPr>
        <w:t>（3）承包人对发包人签认的竣工付款证书有异议的，发包人可出具竣工付款申请单中承包人已同意部分的临时付款证书。存在争议的部分，按第24条的约定办理。</w:t>
      </w:r>
    </w:p>
    <w:p w14:paraId="6F5D3DA2">
      <w:pPr>
        <w:spacing w:line="360" w:lineRule="auto"/>
        <w:ind w:firstLine="630" w:firstLineChars="300"/>
        <w:rPr>
          <w:rFonts w:hint="eastAsia" w:ascii="宋体" w:hAnsi="宋体" w:cs="宋体"/>
          <w:highlight w:val="none"/>
        </w:rPr>
      </w:pPr>
      <w:r>
        <w:rPr>
          <w:rFonts w:hint="eastAsia" w:ascii="宋体" w:hAnsi="宋体" w:cs="宋体"/>
          <w:highlight w:val="none"/>
        </w:rPr>
        <w:t>（4）竣工付款涉及政府投资资金的，按第17.3.3（４）目的约定办理。</w:t>
      </w:r>
    </w:p>
    <w:p w14:paraId="67126231">
      <w:pPr>
        <w:spacing w:line="360" w:lineRule="auto"/>
        <w:rPr>
          <w:rFonts w:hint="eastAsia" w:ascii="宋体" w:hAnsi="宋体" w:cs="宋体"/>
          <w:highlight w:val="none"/>
        </w:rPr>
      </w:pPr>
      <w:bookmarkStart w:id="1372" w:name="_Toc342296375"/>
      <w:bookmarkStart w:id="1373" w:name="_Toc503536202"/>
      <w:bookmarkStart w:id="1374" w:name="_Toc338944817"/>
      <w:bookmarkStart w:id="1375" w:name="_Toc454359291"/>
      <w:r>
        <w:rPr>
          <w:rFonts w:hint="eastAsia" w:ascii="宋体" w:hAnsi="宋体" w:cs="宋体"/>
          <w:highlight w:val="none"/>
        </w:rPr>
        <w:t>17.6 最终结清</w:t>
      </w:r>
      <w:bookmarkEnd w:id="1372"/>
      <w:bookmarkEnd w:id="1373"/>
      <w:bookmarkEnd w:id="1374"/>
      <w:bookmarkEnd w:id="1375"/>
    </w:p>
    <w:p w14:paraId="474DD2D5">
      <w:pPr>
        <w:spacing w:line="360" w:lineRule="auto"/>
        <w:ind w:firstLine="420" w:firstLineChars="200"/>
        <w:rPr>
          <w:rFonts w:hint="eastAsia" w:ascii="宋体" w:hAnsi="宋体" w:cs="宋体"/>
          <w:highlight w:val="none"/>
        </w:rPr>
      </w:pPr>
      <w:r>
        <w:rPr>
          <w:rFonts w:hint="eastAsia" w:ascii="宋体" w:hAnsi="宋体" w:cs="宋体"/>
          <w:highlight w:val="none"/>
        </w:rPr>
        <w:t>17.6.1 最终结清申请单</w:t>
      </w:r>
    </w:p>
    <w:p w14:paraId="0F9E17D7">
      <w:pPr>
        <w:spacing w:line="360" w:lineRule="auto"/>
        <w:ind w:firstLine="718" w:firstLineChars="342"/>
        <w:rPr>
          <w:rFonts w:hint="eastAsia" w:ascii="宋体" w:hAnsi="宋体" w:cs="宋体"/>
          <w:highlight w:val="none"/>
        </w:rPr>
      </w:pPr>
      <w:r>
        <w:rPr>
          <w:rFonts w:hint="eastAsia" w:ascii="宋体" w:hAnsi="宋体" w:cs="宋体"/>
          <w:highlight w:val="none"/>
        </w:rPr>
        <w:t>（1）缺陷责任期终止证书签发后，承包人可按专用合同条款约定的份数和期限向监理人提交最终结清申请单，并提供相关证明材料。</w:t>
      </w:r>
    </w:p>
    <w:p w14:paraId="3F053A25">
      <w:pPr>
        <w:spacing w:line="360" w:lineRule="auto"/>
        <w:ind w:firstLine="718" w:firstLineChars="342"/>
        <w:rPr>
          <w:rFonts w:hint="eastAsia" w:ascii="宋体" w:hAnsi="宋体" w:cs="宋体"/>
          <w:highlight w:val="none"/>
        </w:rPr>
      </w:pPr>
      <w:r>
        <w:rPr>
          <w:rFonts w:hint="eastAsia" w:ascii="宋体" w:hAnsi="宋体" w:cs="宋体"/>
          <w:highlight w:val="none"/>
        </w:rPr>
        <w:t>（2）发包人对最终结清申请单内容有异议的，有权要求承包人进行修正和提供补充资料，由承包人向监理人提交修正后的最终结清申请单。</w:t>
      </w:r>
    </w:p>
    <w:p w14:paraId="46946945">
      <w:pPr>
        <w:spacing w:line="360" w:lineRule="auto"/>
        <w:ind w:firstLine="420" w:firstLineChars="200"/>
        <w:rPr>
          <w:rFonts w:hint="eastAsia" w:ascii="宋体" w:hAnsi="宋体" w:cs="宋体"/>
          <w:highlight w:val="none"/>
        </w:rPr>
      </w:pPr>
      <w:r>
        <w:rPr>
          <w:rFonts w:hint="eastAsia" w:ascii="宋体" w:hAnsi="宋体" w:cs="宋体"/>
          <w:highlight w:val="none"/>
        </w:rPr>
        <w:t>17.6.2 最终结清证书和支付时间</w:t>
      </w:r>
    </w:p>
    <w:p w14:paraId="46974F03">
      <w:pPr>
        <w:spacing w:line="360" w:lineRule="auto"/>
        <w:ind w:firstLine="718" w:firstLineChars="342"/>
        <w:rPr>
          <w:rFonts w:hint="eastAsia" w:ascii="宋体" w:hAnsi="宋体" w:cs="宋体"/>
          <w:highlight w:val="none"/>
        </w:rPr>
      </w:pPr>
      <w:r>
        <w:rPr>
          <w:rFonts w:hint="eastAsia" w:ascii="宋体" w:hAnsi="宋体" w:cs="宋体"/>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35BF02DA">
      <w:pPr>
        <w:spacing w:line="360" w:lineRule="auto"/>
        <w:ind w:firstLine="718" w:firstLineChars="342"/>
        <w:rPr>
          <w:rFonts w:hint="eastAsia" w:ascii="宋体" w:hAnsi="宋体" w:cs="宋体"/>
          <w:highlight w:val="none"/>
        </w:rPr>
      </w:pPr>
      <w:r>
        <w:rPr>
          <w:rFonts w:hint="eastAsia" w:ascii="宋体" w:hAnsi="宋体" w:cs="宋体"/>
          <w:highlight w:val="none"/>
        </w:rPr>
        <w:t>（2）发包人应在监理人出具最终结清证书后的14天内，将应支付款支付给承包人。发包人不按期支付的，按第17.3.3（2）目的约定，将逾期付款违约金支付给承包人。</w:t>
      </w:r>
    </w:p>
    <w:p w14:paraId="7BDD3A16">
      <w:pPr>
        <w:spacing w:line="360" w:lineRule="auto"/>
        <w:ind w:firstLine="718" w:firstLineChars="342"/>
        <w:rPr>
          <w:rFonts w:hint="eastAsia" w:ascii="宋体" w:hAnsi="宋体" w:cs="宋体"/>
          <w:highlight w:val="none"/>
        </w:rPr>
      </w:pPr>
      <w:r>
        <w:rPr>
          <w:rFonts w:hint="eastAsia" w:ascii="宋体" w:hAnsi="宋体" w:cs="宋体"/>
          <w:highlight w:val="none"/>
        </w:rPr>
        <w:t>（3）承包人对发包人签认的最终结清证书有异议的，按第24条的约定办理。</w:t>
      </w:r>
    </w:p>
    <w:p w14:paraId="710A5679">
      <w:pPr>
        <w:spacing w:line="360" w:lineRule="auto"/>
        <w:ind w:firstLine="718" w:firstLineChars="342"/>
        <w:rPr>
          <w:rFonts w:hint="eastAsia" w:ascii="宋体" w:hAnsi="宋体" w:cs="宋体"/>
          <w:highlight w:val="none"/>
        </w:rPr>
      </w:pPr>
      <w:r>
        <w:rPr>
          <w:rFonts w:hint="eastAsia" w:ascii="宋体" w:hAnsi="宋体" w:cs="宋体"/>
          <w:highlight w:val="none"/>
        </w:rPr>
        <w:t>（4）最终结清付款涉及政府投资资金的，按第17.3.3（４）目的约定办理。</w:t>
      </w:r>
    </w:p>
    <w:p w14:paraId="34A46328">
      <w:pPr>
        <w:rPr>
          <w:rFonts w:hint="eastAsia" w:ascii="宋体" w:hAnsi="宋体" w:cs="宋体"/>
          <w:highlight w:val="none"/>
        </w:rPr>
      </w:pPr>
      <w:bookmarkStart w:id="1376" w:name="_Toc503536203"/>
      <w:bookmarkStart w:id="1377" w:name="_Toc342296376"/>
      <w:bookmarkStart w:id="1378" w:name="_Toc11826"/>
      <w:bookmarkStart w:id="1379" w:name="_Toc4157302"/>
      <w:bookmarkStart w:id="1380" w:name="_Toc338944818"/>
      <w:r>
        <w:rPr>
          <w:rFonts w:hint="eastAsia" w:ascii="宋体" w:hAnsi="宋体" w:cs="宋体"/>
          <w:highlight w:val="none"/>
        </w:rPr>
        <w:t>18. 竣工验收</w:t>
      </w:r>
      <w:bookmarkEnd w:id="1376"/>
      <w:bookmarkEnd w:id="1377"/>
      <w:bookmarkEnd w:id="1378"/>
      <w:bookmarkEnd w:id="1379"/>
      <w:bookmarkEnd w:id="1380"/>
    </w:p>
    <w:p w14:paraId="217CD178">
      <w:pPr>
        <w:spacing w:line="360" w:lineRule="auto"/>
        <w:rPr>
          <w:rFonts w:hint="eastAsia" w:ascii="宋体" w:hAnsi="宋体" w:cs="宋体"/>
          <w:highlight w:val="none"/>
        </w:rPr>
      </w:pPr>
      <w:bookmarkStart w:id="1381" w:name="_Toc342296377"/>
      <w:bookmarkStart w:id="1382" w:name="_Toc152045726"/>
      <w:bookmarkStart w:id="1383" w:name="_Toc454359293"/>
      <w:bookmarkStart w:id="1384" w:name="_Toc179632744"/>
      <w:bookmarkStart w:id="1385" w:name="_Toc338944819"/>
      <w:bookmarkStart w:id="1386" w:name="_Toc503536204"/>
      <w:bookmarkStart w:id="1387" w:name="_Toc144974697"/>
      <w:bookmarkStart w:id="1388" w:name="_Toc152042505"/>
      <w:r>
        <w:rPr>
          <w:rFonts w:hint="eastAsia" w:ascii="宋体" w:hAnsi="宋体" w:cs="宋体"/>
          <w:highlight w:val="none"/>
        </w:rPr>
        <w:t>18.1 竣工验收的含义</w:t>
      </w:r>
      <w:bookmarkEnd w:id="1381"/>
      <w:bookmarkEnd w:id="1382"/>
      <w:bookmarkEnd w:id="1383"/>
      <w:bookmarkEnd w:id="1384"/>
      <w:bookmarkEnd w:id="1385"/>
      <w:bookmarkEnd w:id="1386"/>
      <w:bookmarkEnd w:id="1387"/>
      <w:bookmarkEnd w:id="1388"/>
    </w:p>
    <w:p w14:paraId="4C7CBD90">
      <w:pPr>
        <w:spacing w:line="360" w:lineRule="auto"/>
        <w:ind w:firstLine="420" w:firstLineChars="200"/>
        <w:rPr>
          <w:rFonts w:hint="eastAsia" w:ascii="宋体" w:hAnsi="宋体" w:cs="宋体"/>
          <w:highlight w:val="none"/>
        </w:rPr>
      </w:pPr>
      <w:r>
        <w:rPr>
          <w:rFonts w:hint="eastAsia" w:ascii="宋体" w:hAnsi="宋体" w:cs="宋体"/>
          <w:highlight w:val="none"/>
        </w:rPr>
        <w:t>18.1.1 竣工验收指承包人完成了全部合同工作后，发包人按合同要求进行的验收。</w:t>
      </w:r>
    </w:p>
    <w:p w14:paraId="68811666">
      <w:pPr>
        <w:spacing w:line="360" w:lineRule="auto"/>
        <w:ind w:firstLine="420" w:firstLineChars="200"/>
        <w:rPr>
          <w:rFonts w:hint="eastAsia" w:ascii="宋体" w:hAnsi="宋体" w:cs="宋体"/>
          <w:highlight w:val="none"/>
        </w:rPr>
      </w:pPr>
      <w:r>
        <w:rPr>
          <w:rFonts w:hint="eastAsia" w:ascii="宋体" w:hAnsi="宋体" w:cs="宋体"/>
          <w:highlight w:val="none"/>
        </w:rPr>
        <w:t>18.1.2 国家验收是政府有关部门根据法律、规范、规程和政策要求，针对发包人全面组织实施的整个工程正式交付投运前的验收。</w:t>
      </w:r>
    </w:p>
    <w:p w14:paraId="3B454622">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6BA06296">
      <w:pPr>
        <w:spacing w:line="360" w:lineRule="auto"/>
        <w:rPr>
          <w:rFonts w:hint="eastAsia" w:ascii="宋体" w:hAnsi="宋体" w:cs="宋体"/>
          <w:highlight w:val="none"/>
        </w:rPr>
      </w:pPr>
      <w:bookmarkStart w:id="1389" w:name="_Toc342296378"/>
      <w:bookmarkStart w:id="1390" w:name="_Toc503536205"/>
      <w:bookmarkStart w:id="1391" w:name="_Toc454359294"/>
      <w:bookmarkStart w:id="1392" w:name="_Toc338944820"/>
      <w:r>
        <w:rPr>
          <w:rFonts w:hint="eastAsia" w:ascii="宋体" w:hAnsi="宋体" w:cs="宋体"/>
          <w:highlight w:val="none"/>
        </w:rPr>
        <w:t>18.2 竣工验收申请报告</w:t>
      </w:r>
      <w:bookmarkEnd w:id="1389"/>
      <w:bookmarkEnd w:id="1390"/>
      <w:bookmarkEnd w:id="1391"/>
      <w:bookmarkEnd w:id="1392"/>
    </w:p>
    <w:p w14:paraId="02F30557">
      <w:pPr>
        <w:spacing w:line="360" w:lineRule="auto"/>
        <w:ind w:firstLine="420" w:firstLineChars="200"/>
        <w:rPr>
          <w:rFonts w:hint="eastAsia" w:ascii="宋体" w:hAnsi="宋体" w:cs="宋体"/>
          <w:highlight w:val="none"/>
        </w:rPr>
      </w:pPr>
      <w:r>
        <w:rPr>
          <w:rFonts w:hint="eastAsia" w:ascii="宋体" w:hAnsi="宋体" w:cs="宋体"/>
          <w:highlight w:val="none"/>
        </w:rPr>
        <w:t>当工程具备以下条件时，承包人即可向监理人报送竣工验收申请报告：</w:t>
      </w:r>
    </w:p>
    <w:p w14:paraId="40207CFF">
      <w:pPr>
        <w:spacing w:line="360" w:lineRule="auto"/>
        <w:ind w:firstLine="359" w:firstLineChars="171"/>
        <w:rPr>
          <w:rFonts w:hint="eastAsia" w:ascii="宋体" w:hAnsi="宋体" w:cs="宋体"/>
          <w:highlight w:val="none"/>
        </w:rPr>
      </w:pPr>
      <w:r>
        <w:rPr>
          <w:rFonts w:hint="eastAsia" w:ascii="宋体" w:hAnsi="宋体" w:cs="宋体"/>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39682ACA">
      <w:pPr>
        <w:spacing w:line="360" w:lineRule="auto"/>
        <w:ind w:firstLine="359" w:firstLineChars="171"/>
        <w:rPr>
          <w:rFonts w:hint="eastAsia" w:ascii="宋体" w:hAnsi="宋体" w:cs="宋体"/>
          <w:highlight w:val="none"/>
        </w:rPr>
      </w:pPr>
      <w:r>
        <w:rPr>
          <w:rFonts w:hint="eastAsia" w:ascii="宋体" w:hAnsi="宋体" w:cs="宋体"/>
          <w:highlight w:val="none"/>
        </w:rPr>
        <w:t xml:space="preserve">（2）已按合同约定的内容和份数备齐了符合要求的竣工资料； </w:t>
      </w:r>
    </w:p>
    <w:p w14:paraId="6C3E644B">
      <w:pPr>
        <w:spacing w:line="360" w:lineRule="auto"/>
        <w:ind w:firstLine="359" w:firstLineChars="171"/>
        <w:rPr>
          <w:rFonts w:hint="eastAsia" w:ascii="宋体" w:hAnsi="宋体" w:cs="宋体"/>
          <w:highlight w:val="none"/>
        </w:rPr>
      </w:pPr>
      <w:r>
        <w:rPr>
          <w:rFonts w:hint="eastAsia" w:ascii="宋体" w:hAnsi="宋体" w:cs="宋体"/>
          <w:highlight w:val="none"/>
        </w:rPr>
        <w:t>（3）已按监理人的要求编制了在缺陷责任期内完成的尾工（甩项）工程和缺陷修补工作清单以及相应施工计划；</w:t>
      </w:r>
    </w:p>
    <w:p w14:paraId="309A7414">
      <w:pPr>
        <w:spacing w:line="360" w:lineRule="auto"/>
        <w:ind w:firstLine="359" w:firstLineChars="171"/>
        <w:rPr>
          <w:rFonts w:hint="eastAsia" w:ascii="宋体" w:hAnsi="宋体" w:cs="宋体"/>
          <w:highlight w:val="none"/>
        </w:rPr>
      </w:pPr>
      <w:r>
        <w:rPr>
          <w:rFonts w:hint="eastAsia" w:ascii="宋体" w:hAnsi="宋体" w:cs="宋体"/>
          <w:highlight w:val="none"/>
        </w:rPr>
        <w:t>（4）监理人要求在竣工验收前应完成的其他工作；</w:t>
      </w:r>
    </w:p>
    <w:p w14:paraId="3063ED39">
      <w:pPr>
        <w:spacing w:line="360" w:lineRule="auto"/>
        <w:ind w:firstLine="359" w:firstLineChars="171"/>
        <w:rPr>
          <w:rFonts w:hint="eastAsia" w:ascii="宋体" w:hAnsi="宋体" w:cs="宋体"/>
          <w:highlight w:val="none"/>
        </w:rPr>
      </w:pPr>
      <w:r>
        <w:rPr>
          <w:rFonts w:hint="eastAsia" w:ascii="宋体" w:hAnsi="宋体" w:cs="宋体"/>
          <w:highlight w:val="none"/>
        </w:rPr>
        <w:t>（5）监理人要求提交的竣工验收资料清单。</w:t>
      </w:r>
    </w:p>
    <w:p w14:paraId="049061E7">
      <w:pPr>
        <w:spacing w:line="360" w:lineRule="auto"/>
        <w:rPr>
          <w:rFonts w:hint="eastAsia" w:ascii="宋体" w:hAnsi="宋体" w:cs="宋体"/>
          <w:highlight w:val="none"/>
        </w:rPr>
      </w:pPr>
      <w:bookmarkStart w:id="1393" w:name="_Toc342296379"/>
      <w:bookmarkStart w:id="1394" w:name="_Toc503536206"/>
      <w:bookmarkStart w:id="1395" w:name="_Toc454359295"/>
      <w:bookmarkStart w:id="1396" w:name="_Toc338944821"/>
      <w:r>
        <w:rPr>
          <w:rFonts w:hint="eastAsia" w:ascii="宋体" w:hAnsi="宋体" w:cs="宋体"/>
          <w:highlight w:val="none"/>
        </w:rPr>
        <w:t>18.3 验收</w:t>
      </w:r>
      <w:bookmarkEnd w:id="1393"/>
      <w:bookmarkEnd w:id="1394"/>
      <w:bookmarkEnd w:id="1395"/>
      <w:bookmarkEnd w:id="1396"/>
    </w:p>
    <w:p w14:paraId="32088541">
      <w:pPr>
        <w:spacing w:line="360" w:lineRule="auto"/>
        <w:ind w:firstLine="420" w:firstLineChars="200"/>
        <w:rPr>
          <w:rFonts w:hint="eastAsia" w:ascii="宋体" w:hAnsi="宋体" w:cs="宋体"/>
          <w:highlight w:val="none"/>
        </w:rPr>
      </w:pPr>
      <w:r>
        <w:rPr>
          <w:rFonts w:hint="eastAsia" w:ascii="宋体" w:hAnsi="宋体" w:cs="宋体"/>
          <w:highlight w:val="none"/>
        </w:rPr>
        <w:t>监理人收到承包人按第18.2款约定提交的竣工验收申请报告后，应审查申请报告的各项内容，并按以下不同情况进行处理。</w:t>
      </w:r>
    </w:p>
    <w:p w14:paraId="0BECDA25">
      <w:pPr>
        <w:spacing w:line="360" w:lineRule="auto"/>
        <w:ind w:firstLine="420" w:firstLineChars="200"/>
        <w:rPr>
          <w:rFonts w:hint="eastAsia" w:ascii="宋体" w:hAnsi="宋体" w:cs="宋体"/>
          <w:highlight w:val="none"/>
        </w:rPr>
      </w:pPr>
      <w:r>
        <w:rPr>
          <w:rFonts w:hint="eastAsia" w:ascii="宋体" w:hAnsi="宋体" w:cs="宋体"/>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18797484">
      <w:pPr>
        <w:spacing w:line="360" w:lineRule="auto"/>
        <w:ind w:firstLine="420" w:firstLineChars="200"/>
        <w:rPr>
          <w:rFonts w:hint="eastAsia" w:ascii="宋体" w:hAnsi="宋体" w:cs="宋体"/>
          <w:highlight w:val="none"/>
        </w:rPr>
      </w:pPr>
      <w:r>
        <w:rPr>
          <w:rFonts w:hint="eastAsia" w:ascii="宋体" w:hAnsi="宋体" w:cs="宋体"/>
          <w:highlight w:val="none"/>
        </w:rPr>
        <w:t>18.3.2 监理人审查后认为已具备竣工验收条件的，应在收到竣工验收申请报告后的28天内提请发包人进行工程验收。</w:t>
      </w:r>
    </w:p>
    <w:p w14:paraId="0677B2D7">
      <w:pPr>
        <w:spacing w:line="360" w:lineRule="auto"/>
        <w:ind w:firstLine="420" w:firstLineChars="200"/>
        <w:rPr>
          <w:rFonts w:hint="eastAsia" w:ascii="宋体" w:hAnsi="宋体" w:cs="宋体"/>
          <w:highlight w:val="none"/>
        </w:rPr>
      </w:pPr>
      <w:r>
        <w:rPr>
          <w:rFonts w:hint="eastAsia" w:ascii="宋体" w:hAnsi="宋体" w:cs="宋体"/>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39148F23">
      <w:pPr>
        <w:spacing w:line="360" w:lineRule="auto"/>
        <w:ind w:firstLine="420" w:firstLineChars="200"/>
        <w:rPr>
          <w:rFonts w:hint="eastAsia" w:ascii="宋体" w:hAnsi="宋体" w:cs="宋体"/>
          <w:highlight w:val="none"/>
        </w:rPr>
      </w:pPr>
      <w:r>
        <w:rPr>
          <w:rFonts w:hint="eastAsia" w:ascii="宋体" w:hAnsi="宋体" w:cs="宋体"/>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4C411EC">
      <w:pPr>
        <w:spacing w:line="360" w:lineRule="auto"/>
        <w:ind w:firstLine="420" w:firstLineChars="200"/>
        <w:rPr>
          <w:rFonts w:hint="eastAsia" w:ascii="宋体" w:hAnsi="宋体" w:cs="宋体"/>
          <w:highlight w:val="none"/>
        </w:rPr>
      </w:pPr>
      <w:r>
        <w:rPr>
          <w:rFonts w:hint="eastAsia" w:ascii="宋体" w:hAnsi="宋体" w:cs="宋体"/>
          <w:highlight w:val="none"/>
        </w:rPr>
        <w:t>18.3.5 除专用合同条款另有约定外，经验收合格工程的实际竣工日期，以提交竣工验收申请报告的日期为准，并在工程接收证书中写明。</w:t>
      </w:r>
    </w:p>
    <w:p w14:paraId="50F06D44">
      <w:pPr>
        <w:spacing w:line="360" w:lineRule="auto"/>
        <w:ind w:firstLine="420" w:firstLineChars="200"/>
        <w:rPr>
          <w:rFonts w:hint="eastAsia" w:ascii="宋体" w:hAnsi="宋体" w:cs="宋体"/>
          <w:highlight w:val="none"/>
        </w:rPr>
      </w:pPr>
      <w:r>
        <w:rPr>
          <w:rFonts w:hint="eastAsia" w:ascii="宋体" w:hAnsi="宋体" w:cs="宋体"/>
          <w:highlight w:val="none"/>
        </w:rPr>
        <w:t>18.3.6 发包人在收到承包人竣工验收申请报告56天后未进行验收的，视为验收合格，实际竣工日期以提交竣工验收申请报告的日期为准，但发包人由于不可抗力不能进行验收的除外。</w:t>
      </w:r>
    </w:p>
    <w:p w14:paraId="329C9E13">
      <w:pPr>
        <w:spacing w:line="360" w:lineRule="auto"/>
        <w:rPr>
          <w:rFonts w:hint="eastAsia" w:ascii="宋体" w:hAnsi="宋体" w:cs="宋体"/>
          <w:highlight w:val="none"/>
        </w:rPr>
      </w:pPr>
      <w:bookmarkStart w:id="1397" w:name="_Toc152042508"/>
      <w:bookmarkStart w:id="1398" w:name="_Toc144974700"/>
      <w:bookmarkStart w:id="1399" w:name="_Toc338944822"/>
      <w:bookmarkStart w:id="1400" w:name="_Toc454359296"/>
      <w:bookmarkStart w:id="1401" w:name="_Toc179632747"/>
      <w:bookmarkStart w:id="1402" w:name="_Toc152045729"/>
      <w:bookmarkStart w:id="1403" w:name="_Toc503536207"/>
      <w:bookmarkStart w:id="1404" w:name="_Toc342296380"/>
      <w:r>
        <w:rPr>
          <w:rFonts w:hint="eastAsia" w:ascii="宋体" w:hAnsi="宋体" w:cs="宋体"/>
          <w:highlight w:val="none"/>
        </w:rPr>
        <w:t>18.4 单位工程验收</w:t>
      </w:r>
      <w:bookmarkEnd w:id="1397"/>
      <w:bookmarkEnd w:id="1398"/>
      <w:bookmarkEnd w:id="1399"/>
      <w:bookmarkEnd w:id="1400"/>
      <w:bookmarkEnd w:id="1401"/>
      <w:bookmarkEnd w:id="1402"/>
      <w:bookmarkEnd w:id="1403"/>
      <w:bookmarkEnd w:id="1404"/>
    </w:p>
    <w:p w14:paraId="3D69069C">
      <w:pPr>
        <w:spacing w:line="360" w:lineRule="auto"/>
        <w:ind w:firstLine="420" w:firstLineChars="200"/>
        <w:rPr>
          <w:rFonts w:hint="eastAsia" w:ascii="宋体" w:hAnsi="宋体" w:cs="宋体"/>
          <w:highlight w:val="none"/>
        </w:rPr>
      </w:pPr>
      <w:r>
        <w:rPr>
          <w:rFonts w:hint="eastAsia" w:ascii="宋体" w:hAnsi="宋体" w:cs="宋体"/>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012F61FF">
      <w:pPr>
        <w:spacing w:line="360" w:lineRule="auto"/>
        <w:ind w:firstLine="420" w:firstLineChars="200"/>
        <w:rPr>
          <w:rFonts w:hint="eastAsia" w:ascii="宋体" w:hAnsi="宋体" w:cs="宋体"/>
          <w:highlight w:val="none"/>
        </w:rPr>
      </w:pPr>
      <w:r>
        <w:rPr>
          <w:rFonts w:hint="eastAsia" w:ascii="宋体" w:hAnsi="宋体" w:cs="宋体"/>
          <w:highlight w:val="none"/>
        </w:rPr>
        <w:t>18.4.2 发包人在全部工程竣工前，使用已接收的单位工程导致承包人费用增加的，发包人应承担由此增加的费用和（或）工期延误，并支付承包人合理利润。</w:t>
      </w:r>
    </w:p>
    <w:p w14:paraId="11CF2684">
      <w:pPr>
        <w:spacing w:line="360" w:lineRule="auto"/>
        <w:rPr>
          <w:rFonts w:hint="eastAsia" w:ascii="宋体" w:hAnsi="宋体" w:cs="宋体"/>
          <w:highlight w:val="none"/>
        </w:rPr>
      </w:pPr>
      <w:bookmarkStart w:id="1405" w:name="_Toc503536208"/>
      <w:bookmarkStart w:id="1406" w:name="_Toc338944823"/>
      <w:bookmarkStart w:id="1407" w:name="_Toc342296381"/>
      <w:bookmarkStart w:id="1408" w:name="_Toc454359297"/>
      <w:r>
        <w:rPr>
          <w:rFonts w:hint="eastAsia" w:ascii="宋体" w:hAnsi="宋体" w:cs="宋体"/>
          <w:highlight w:val="none"/>
        </w:rPr>
        <w:t>18.5 施工期运行</w:t>
      </w:r>
      <w:bookmarkEnd w:id="1405"/>
      <w:bookmarkEnd w:id="1406"/>
      <w:bookmarkEnd w:id="1407"/>
      <w:bookmarkEnd w:id="1408"/>
    </w:p>
    <w:p w14:paraId="5305563E">
      <w:pPr>
        <w:spacing w:line="360" w:lineRule="auto"/>
        <w:ind w:firstLine="420" w:firstLineChars="200"/>
        <w:rPr>
          <w:rFonts w:hint="eastAsia" w:ascii="宋体" w:hAnsi="宋体" w:cs="宋体"/>
          <w:highlight w:val="none"/>
        </w:rPr>
      </w:pPr>
      <w:r>
        <w:rPr>
          <w:rFonts w:hint="eastAsia" w:ascii="宋体" w:hAnsi="宋体" w:cs="宋体"/>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0ECA6806">
      <w:pPr>
        <w:spacing w:line="360" w:lineRule="auto"/>
        <w:ind w:firstLine="420" w:firstLineChars="200"/>
        <w:rPr>
          <w:rFonts w:hint="eastAsia" w:ascii="宋体" w:hAnsi="宋体" w:cs="宋体"/>
          <w:highlight w:val="none"/>
        </w:rPr>
      </w:pPr>
      <w:r>
        <w:rPr>
          <w:rFonts w:hint="eastAsia" w:ascii="宋体" w:hAnsi="宋体" w:cs="宋体"/>
          <w:highlight w:val="none"/>
        </w:rPr>
        <w:t>18.5.2 在施工期运行中发现工程或工程设备损坏或存在缺陷的，由承包人按第19.2款约定进行修复。</w:t>
      </w:r>
    </w:p>
    <w:p w14:paraId="060561BC">
      <w:pPr>
        <w:spacing w:line="360" w:lineRule="auto"/>
        <w:rPr>
          <w:rFonts w:hint="eastAsia" w:ascii="宋体" w:hAnsi="宋体" w:cs="宋体"/>
          <w:highlight w:val="none"/>
        </w:rPr>
      </w:pPr>
      <w:bookmarkStart w:id="1409" w:name="_Toc503536209"/>
      <w:bookmarkStart w:id="1410" w:name="_Toc454359298"/>
      <w:bookmarkStart w:id="1411" w:name="_Toc338944824"/>
      <w:bookmarkStart w:id="1412" w:name="_Toc342296382"/>
      <w:r>
        <w:rPr>
          <w:rFonts w:hint="eastAsia" w:ascii="宋体" w:hAnsi="宋体" w:cs="宋体"/>
          <w:highlight w:val="none"/>
        </w:rPr>
        <w:t>18.6 试运行</w:t>
      </w:r>
      <w:bookmarkEnd w:id="1409"/>
      <w:bookmarkEnd w:id="1410"/>
      <w:bookmarkEnd w:id="1411"/>
      <w:bookmarkEnd w:id="1412"/>
    </w:p>
    <w:p w14:paraId="17831B94">
      <w:pPr>
        <w:spacing w:line="360" w:lineRule="auto"/>
        <w:ind w:firstLine="420" w:firstLineChars="200"/>
        <w:rPr>
          <w:rFonts w:hint="eastAsia" w:ascii="宋体" w:hAnsi="宋体" w:cs="宋体"/>
          <w:highlight w:val="none"/>
        </w:rPr>
      </w:pPr>
      <w:r>
        <w:rPr>
          <w:rFonts w:hint="eastAsia" w:ascii="宋体" w:hAnsi="宋体" w:cs="宋体"/>
          <w:highlight w:val="none"/>
        </w:rPr>
        <w:t>18.6.1 除专用合同条款另有约定外，承包人应按专用合同条款约定进行工程及工程设备试运行，负责提供试运行所需的人员、器材和必要的条件，并承担全部试运行费用。</w:t>
      </w:r>
    </w:p>
    <w:p w14:paraId="1BC5ABAC">
      <w:pPr>
        <w:spacing w:line="360" w:lineRule="auto"/>
        <w:ind w:firstLine="420" w:firstLineChars="200"/>
        <w:rPr>
          <w:rFonts w:hint="eastAsia" w:ascii="宋体" w:hAnsi="宋体" w:cs="宋体"/>
          <w:highlight w:val="none"/>
        </w:rPr>
      </w:pPr>
      <w:r>
        <w:rPr>
          <w:rFonts w:hint="eastAsia" w:ascii="宋体" w:hAnsi="宋体" w:cs="宋体"/>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0957B416">
      <w:pPr>
        <w:spacing w:line="360" w:lineRule="auto"/>
        <w:rPr>
          <w:rFonts w:hint="eastAsia" w:ascii="宋体" w:hAnsi="宋体" w:cs="宋体"/>
          <w:highlight w:val="none"/>
        </w:rPr>
      </w:pPr>
      <w:bookmarkStart w:id="1413" w:name="_Toc342296383"/>
      <w:bookmarkStart w:id="1414" w:name="_Toc503536210"/>
      <w:bookmarkStart w:id="1415" w:name="_Toc454359299"/>
      <w:bookmarkStart w:id="1416" w:name="_Toc338944825"/>
      <w:r>
        <w:rPr>
          <w:rFonts w:hint="eastAsia" w:ascii="宋体" w:hAnsi="宋体" w:cs="宋体"/>
          <w:highlight w:val="none"/>
        </w:rPr>
        <w:t>18.7 竣工清场</w:t>
      </w:r>
      <w:bookmarkEnd w:id="1413"/>
      <w:bookmarkEnd w:id="1414"/>
      <w:bookmarkEnd w:id="1415"/>
      <w:bookmarkEnd w:id="1416"/>
    </w:p>
    <w:p w14:paraId="04A4783A">
      <w:pPr>
        <w:spacing w:line="360" w:lineRule="auto"/>
        <w:ind w:firstLine="420" w:firstLineChars="200"/>
        <w:rPr>
          <w:rFonts w:hint="eastAsia" w:ascii="宋体" w:hAnsi="宋体" w:cs="宋体"/>
          <w:highlight w:val="none"/>
        </w:rPr>
      </w:pPr>
      <w:r>
        <w:rPr>
          <w:rFonts w:hint="eastAsia" w:ascii="宋体" w:hAnsi="宋体" w:cs="宋体"/>
          <w:highlight w:val="none"/>
        </w:rPr>
        <w:t>18.7.1 除合同另有约定外，工程接收证书颁发后，承包人应按以下要求对施工场地进行清理，直至监理人检验合格为止。竣工清场费用由承包人承担。</w:t>
      </w:r>
    </w:p>
    <w:p w14:paraId="34A50071">
      <w:pPr>
        <w:spacing w:line="360" w:lineRule="auto"/>
        <w:ind w:firstLine="718" w:firstLineChars="342"/>
        <w:rPr>
          <w:rFonts w:hint="eastAsia" w:ascii="宋体" w:hAnsi="宋体" w:cs="宋体"/>
          <w:highlight w:val="none"/>
        </w:rPr>
      </w:pPr>
      <w:r>
        <w:rPr>
          <w:rFonts w:hint="eastAsia" w:ascii="宋体" w:hAnsi="宋体" w:cs="宋体"/>
          <w:highlight w:val="none"/>
        </w:rPr>
        <w:t>（1）施工场地内残留的垃圾已全部清除出场；</w:t>
      </w:r>
    </w:p>
    <w:p w14:paraId="390ED1CF">
      <w:pPr>
        <w:spacing w:line="360" w:lineRule="auto"/>
        <w:ind w:firstLine="718" w:firstLineChars="342"/>
        <w:rPr>
          <w:rFonts w:hint="eastAsia" w:ascii="宋体" w:hAnsi="宋体" w:cs="宋体"/>
          <w:highlight w:val="none"/>
        </w:rPr>
      </w:pPr>
      <w:r>
        <w:rPr>
          <w:rFonts w:hint="eastAsia" w:ascii="宋体" w:hAnsi="宋体" w:cs="宋体"/>
          <w:highlight w:val="none"/>
        </w:rPr>
        <w:t>（2）临时工程已拆除，场地已按合同要求进行清理、平整或复原；</w:t>
      </w:r>
    </w:p>
    <w:p w14:paraId="0893B51D">
      <w:pPr>
        <w:spacing w:line="360" w:lineRule="auto"/>
        <w:ind w:firstLine="718" w:firstLineChars="342"/>
        <w:rPr>
          <w:rFonts w:hint="eastAsia" w:ascii="宋体" w:hAnsi="宋体" w:cs="宋体"/>
          <w:highlight w:val="none"/>
        </w:rPr>
      </w:pPr>
      <w:r>
        <w:rPr>
          <w:rFonts w:hint="eastAsia" w:ascii="宋体" w:hAnsi="宋体" w:cs="宋体"/>
          <w:highlight w:val="none"/>
        </w:rPr>
        <w:t>（3）按合同约定应撤离的承包人设备和剩余的材料，包括废弃的施工设备和材料，已按计划撤离施工场地；</w:t>
      </w:r>
    </w:p>
    <w:p w14:paraId="2597D4E1">
      <w:pPr>
        <w:spacing w:line="360" w:lineRule="auto"/>
        <w:ind w:firstLine="718" w:firstLineChars="342"/>
        <w:rPr>
          <w:rFonts w:hint="eastAsia" w:ascii="宋体" w:hAnsi="宋体" w:cs="宋体"/>
          <w:highlight w:val="none"/>
        </w:rPr>
      </w:pPr>
      <w:r>
        <w:rPr>
          <w:rFonts w:hint="eastAsia" w:ascii="宋体" w:hAnsi="宋体" w:cs="宋体"/>
          <w:highlight w:val="none"/>
        </w:rPr>
        <w:t>（4）工程建筑物周边及其附近道路、河道的施工堆积物，已按监理人指示全部清理；</w:t>
      </w:r>
    </w:p>
    <w:p w14:paraId="4CCE902F">
      <w:pPr>
        <w:spacing w:line="360" w:lineRule="auto"/>
        <w:ind w:firstLine="718" w:firstLineChars="342"/>
        <w:rPr>
          <w:rFonts w:hint="eastAsia" w:ascii="宋体" w:hAnsi="宋体" w:cs="宋体"/>
          <w:highlight w:val="none"/>
        </w:rPr>
      </w:pPr>
      <w:r>
        <w:rPr>
          <w:rFonts w:hint="eastAsia" w:ascii="宋体" w:hAnsi="宋体" w:cs="宋体"/>
          <w:highlight w:val="none"/>
        </w:rPr>
        <w:t>（5）监理人指示的其他场地清理工作已全部完成。</w:t>
      </w:r>
    </w:p>
    <w:p w14:paraId="2B7E29C0">
      <w:pPr>
        <w:spacing w:line="360" w:lineRule="auto"/>
        <w:ind w:firstLine="420" w:firstLineChars="200"/>
        <w:rPr>
          <w:rFonts w:hint="eastAsia" w:ascii="宋体" w:hAnsi="宋体" w:cs="宋体"/>
          <w:highlight w:val="none"/>
        </w:rPr>
      </w:pPr>
      <w:r>
        <w:rPr>
          <w:rFonts w:hint="eastAsia" w:ascii="宋体" w:hAnsi="宋体" w:cs="宋体"/>
          <w:highlight w:val="none"/>
        </w:rPr>
        <w:t>18.7.2 承包人未按监理人的要求恢复临时占地，或者场地清理未达到合同约定的，发包人有权委托其他人恢复或清理，所发生的金额从拟支付给承包人的款项中扣除。</w:t>
      </w:r>
    </w:p>
    <w:p w14:paraId="221479F4">
      <w:pPr>
        <w:spacing w:line="360" w:lineRule="auto"/>
        <w:rPr>
          <w:rFonts w:hint="eastAsia" w:ascii="宋体" w:hAnsi="宋体" w:cs="宋体"/>
          <w:highlight w:val="none"/>
        </w:rPr>
      </w:pPr>
      <w:bookmarkStart w:id="1417" w:name="_Toc338944826"/>
      <w:bookmarkStart w:id="1418" w:name="_Toc454359300"/>
      <w:bookmarkStart w:id="1419" w:name="_Toc503536211"/>
      <w:bookmarkStart w:id="1420" w:name="_Toc342296384"/>
      <w:r>
        <w:rPr>
          <w:rFonts w:hint="eastAsia" w:ascii="宋体" w:hAnsi="宋体" w:cs="宋体"/>
          <w:highlight w:val="none"/>
        </w:rPr>
        <w:t>18.8 施工队伍的撤离</w:t>
      </w:r>
      <w:bookmarkEnd w:id="1417"/>
      <w:bookmarkEnd w:id="1418"/>
      <w:bookmarkEnd w:id="1419"/>
      <w:bookmarkEnd w:id="1420"/>
    </w:p>
    <w:p w14:paraId="069738E5">
      <w:pPr>
        <w:spacing w:line="360" w:lineRule="auto"/>
        <w:ind w:firstLine="420" w:firstLineChars="200"/>
        <w:rPr>
          <w:rFonts w:hint="eastAsia" w:ascii="宋体" w:hAnsi="宋体" w:cs="宋体"/>
          <w:highlight w:val="none"/>
        </w:rPr>
      </w:pPr>
      <w:r>
        <w:rPr>
          <w:rFonts w:hint="eastAsia" w:ascii="宋体" w:hAnsi="宋体" w:cs="宋体"/>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26E65F5">
      <w:pPr>
        <w:rPr>
          <w:rFonts w:hint="eastAsia" w:ascii="宋体" w:hAnsi="宋体" w:cs="宋体"/>
          <w:highlight w:val="none"/>
        </w:rPr>
      </w:pPr>
      <w:bookmarkStart w:id="1421" w:name="_Toc28701"/>
      <w:bookmarkStart w:id="1422" w:name="_Toc503536212"/>
      <w:bookmarkStart w:id="1423" w:name="_Toc338944827"/>
      <w:bookmarkStart w:id="1424" w:name="_Toc4157303"/>
      <w:bookmarkStart w:id="1425" w:name="_Toc342296385"/>
      <w:r>
        <w:rPr>
          <w:rFonts w:hint="eastAsia" w:ascii="宋体" w:hAnsi="宋体" w:cs="宋体"/>
          <w:highlight w:val="none"/>
        </w:rPr>
        <w:t>19. 缺陷责任与保修责任</w:t>
      </w:r>
      <w:bookmarkEnd w:id="1421"/>
      <w:bookmarkEnd w:id="1422"/>
      <w:bookmarkEnd w:id="1423"/>
      <w:bookmarkEnd w:id="1424"/>
      <w:bookmarkEnd w:id="1425"/>
    </w:p>
    <w:p w14:paraId="104A4DC3">
      <w:pPr>
        <w:spacing w:line="360" w:lineRule="auto"/>
        <w:rPr>
          <w:rFonts w:hint="eastAsia" w:ascii="宋体" w:hAnsi="宋体" w:cs="宋体"/>
          <w:highlight w:val="none"/>
        </w:rPr>
      </w:pPr>
      <w:bookmarkStart w:id="1426" w:name="_Toc454359302"/>
      <w:bookmarkStart w:id="1427" w:name="_Toc179632753"/>
      <w:bookmarkStart w:id="1428" w:name="_Toc152042514"/>
      <w:bookmarkStart w:id="1429" w:name="_Toc144974706"/>
      <w:bookmarkStart w:id="1430" w:name="_Toc503536213"/>
      <w:bookmarkStart w:id="1431" w:name="_Toc152045735"/>
      <w:bookmarkStart w:id="1432" w:name="_Toc342296386"/>
      <w:bookmarkStart w:id="1433" w:name="_Toc338944828"/>
      <w:r>
        <w:rPr>
          <w:rFonts w:hint="eastAsia" w:ascii="宋体" w:hAnsi="宋体" w:cs="宋体"/>
          <w:highlight w:val="none"/>
        </w:rPr>
        <w:t>19.1 缺陷责任期的起算时间</w:t>
      </w:r>
      <w:bookmarkEnd w:id="1426"/>
      <w:bookmarkEnd w:id="1427"/>
      <w:bookmarkEnd w:id="1428"/>
      <w:bookmarkEnd w:id="1429"/>
      <w:bookmarkEnd w:id="1430"/>
      <w:bookmarkEnd w:id="1431"/>
      <w:bookmarkEnd w:id="1432"/>
      <w:bookmarkEnd w:id="1433"/>
    </w:p>
    <w:p w14:paraId="0D95D8BB">
      <w:pPr>
        <w:spacing w:line="360" w:lineRule="auto"/>
        <w:ind w:firstLine="420" w:firstLineChars="200"/>
        <w:rPr>
          <w:rFonts w:hint="eastAsia" w:ascii="宋体" w:hAnsi="宋体" w:cs="宋体"/>
          <w:highlight w:val="none"/>
        </w:rPr>
      </w:pPr>
      <w:r>
        <w:rPr>
          <w:rFonts w:hint="eastAsia" w:ascii="宋体" w:hAnsi="宋体" w:cs="宋体"/>
          <w:highlight w:val="none"/>
        </w:rPr>
        <w:t>缺陷责任期自实际竣工日期起计算。在全部工程竣工验收前，已经发包人提前验收的单位工程，其缺陷责任期的起算日期相应提前。</w:t>
      </w:r>
    </w:p>
    <w:p w14:paraId="48A83BD3">
      <w:pPr>
        <w:spacing w:line="360" w:lineRule="auto"/>
        <w:rPr>
          <w:rFonts w:hint="eastAsia" w:ascii="宋体" w:hAnsi="宋体" w:cs="宋体"/>
          <w:highlight w:val="none"/>
        </w:rPr>
      </w:pPr>
      <w:bookmarkStart w:id="1434" w:name="_Toc338944829"/>
      <w:bookmarkStart w:id="1435" w:name="_Toc144974707"/>
      <w:bookmarkStart w:id="1436" w:name="_Toc179632754"/>
      <w:bookmarkStart w:id="1437" w:name="_Toc152042515"/>
      <w:bookmarkStart w:id="1438" w:name="_Toc152045736"/>
      <w:bookmarkStart w:id="1439" w:name="_Toc454359303"/>
      <w:bookmarkStart w:id="1440" w:name="_Toc342296387"/>
      <w:bookmarkStart w:id="1441" w:name="_Toc503536214"/>
      <w:r>
        <w:rPr>
          <w:rFonts w:hint="eastAsia" w:ascii="宋体" w:hAnsi="宋体" w:cs="宋体"/>
          <w:highlight w:val="none"/>
        </w:rPr>
        <w:t>19.2 缺陷责任</w:t>
      </w:r>
      <w:bookmarkEnd w:id="1434"/>
      <w:bookmarkEnd w:id="1435"/>
      <w:bookmarkEnd w:id="1436"/>
      <w:bookmarkEnd w:id="1437"/>
      <w:bookmarkEnd w:id="1438"/>
      <w:bookmarkEnd w:id="1439"/>
      <w:bookmarkEnd w:id="1440"/>
      <w:bookmarkEnd w:id="1441"/>
    </w:p>
    <w:p w14:paraId="790BE8D6">
      <w:pPr>
        <w:spacing w:line="360" w:lineRule="auto"/>
        <w:ind w:firstLine="420" w:firstLineChars="200"/>
        <w:rPr>
          <w:rFonts w:hint="eastAsia" w:ascii="宋体" w:hAnsi="宋体" w:cs="宋体"/>
          <w:highlight w:val="none"/>
        </w:rPr>
      </w:pPr>
      <w:r>
        <w:rPr>
          <w:rFonts w:hint="eastAsia" w:ascii="宋体" w:hAnsi="宋体" w:cs="宋体"/>
          <w:highlight w:val="none"/>
        </w:rPr>
        <w:t>19.2.1 承包人应在缺陷责任期内对已交付使用的工程承担缺陷责任。</w:t>
      </w:r>
    </w:p>
    <w:p w14:paraId="58F05C1E">
      <w:pPr>
        <w:spacing w:line="360" w:lineRule="auto"/>
        <w:ind w:firstLine="420" w:firstLineChars="200"/>
        <w:rPr>
          <w:rFonts w:hint="eastAsia" w:ascii="宋体" w:hAnsi="宋体" w:cs="宋体"/>
          <w:highlight w:val="none"/>
        </w:rPr>
      </w:pPr>
      <w:r>
        <w:rPr>
          <w:rFonts w:hint="eastAsia" w:ascii="宋体" w:hAnsi="宋体" w:cs="宋体"/>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180AC6D7">
      <w:pPr>
        <w:spacing w:line="360" w:lineRule="auto"/>
        <w:ind w:firstLine="420" w:firstLineChars="200"/>
        <w:rPr>
          <w:rFonts w:hint="eastAsia" w:ascii="宋体" w:hAnsi="宋体" w:cs="宋体"/>
          <w:highlight w:val="none"/>
        </w:rPr>
      </w:pPr>
      <w:r>
        <w:rPr>
          <w:rFonts w:hint="eastAsia" w:ascii="宋体" w:hAnsi="宋体" w:cs="宋体"/>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07AD4B5">
      <w:pPr>
        <w:spacing w:line="360" w:lineRule="auto"/>
        <w:ind w:firstLine="420" w:firstLineChars="200"/>
        <w:rPr>
          <w:rFonts w:hint="eastAsia" w:ascii="宋体" w:hAnsi="宋体" w:cs="宋体"/>
          <w:highlight w:val="none"/>
        </w:rPr>
      </w:pPr>
      <w:r>
        <w:rPr>
          <w:rFonts w:hint="eastAsia" w:ascii="宋体" w:hAnsi="宋体" w:cs="宋体"/>
          <w:highlight w:val="none"/>
        </w:rPr>
        <w:t>19.2.4 承包人不能在合理时间内修复缺陷的，发包人可自行修复或委托其他人修复，所需费用和利润的承担，按第19.2.3项约定办理。</w:t>
      </w:r>
    </w:p>
    <w:p w14:paraId="333F2335">
      <w:pPr>
        <w:spacing w:line="360" w:lineRule="auto"/>
        <w:rPr>
          <w:rFonts w:hint="eastAsia" w:ascii="宋体" w:hAnsi="宋体" w:cs="宋体"/>
          <w:highlight w:val="none"/>
        </w:rPr>
      </w:pPr>
      <w:bookmarkStart w:id="1442" w:name="_Toc152042516"/>
      <w:bookmarkStart w:id="1443" w:name="_Toc454359304"/>
      <w:bookmarkStart w:id="1444" w:name="_Toc342296388"/>
      <w:bookmarkStart w:id="1445" w:name="_Toc179632755"/>
      <w:bookmarkStart w:id="1446" w:name="_Toc152045737"/>
      <w:bookmarkStart w:id="1447" w:name="_Toc503536215"/>
      <w:bookmarkStart w:id="1448" w:name="_Toc338944830"/>
      <w:bookmarkStart w:id="1449" w:name="_Toc144974708"/>
      <w:r>
        <w:rPr>
          <w:rFonts w:hint="eastAsia" w:ascii="宋体" w:hAnsi="宋体" w:cs="宋体"/>
          <w:highlight w:val="none"/>
        </w:rPr>
        <w:t>19.3 缺陷责任期的延长</w:t>
      </w:r>
      <w:bookmarkEnd w:id="1442"/>
      <w:bookmarkEnd w:id="1443"/>
      <w:bookmarkEnd w:id="1444"/>
      <w:bookmarkEnd w:id="1445"/>
      <w:bookmarkEnd w:id="1446"/>
      <w:bookmarkEnd w:id="1447"/>
      <w:bookmarkEnd w:id="1448"/>
      <w:bookmarkEnd w:id="1449"/>
    </w:p>
    <w:p w14:paraId="1836810C">
      <w:pPr>
        <w:spacing w:line="360" w:lineRule="auto"/>
        <w:ind w:firstLine="420" w:firstLineChars="200"/>
        <w:rPr>
          <w:rFonts w:hint="eastAsia" w:ascii="宋体" w:hAnsi="宋体" w:cs="宋体"/>
          <w:highlight w:val="none"/>
        </w:rPr>
      </w:pPr>
      <w:r>
        <w:rPr>
          <w:rFonts w:hint="eastAsia" w:ascii="宋体" w:hAnsi="宋体" w:cs="宋体"/>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7E016633">
      <w:pPr>
        <w:spacing w:line="360" w:lineRule="auto"/>
        <w:rPr>
          <w:rFonts w:hint="eastAsia" w:ascii="宋体" w:hAnsi="宋体" w:cs="宋体"/>
          <w:highlight w:val="none"/>
        </w:rPr>
      </w:pPr>
      <w:bookmarkStart w:id="1450" w:name="_Toc342296389"/>
      <w:bookmarkStart w:id="1451" w:name="_Toc503536216"/>
      <w:bookmarkStart w:id="1452" w:name="_Toc338944831"/>
      <w:bookmarkStart w:id="1453" w:name="_Toc454359305"/>
      <w:bookmarkStart w:id="1454" w:name="_Toc179632756"/>
      <w:bookmarkStart w:id="1455" w:name="_Toc144974709"/>
      <w:bookmarkStart w:id="1456" w:name="_Toc152042517"/>
      <w:bookmarkStart w:id="1457" w:name="_Toc152045738"/>
      <w:r>
        <w:rPr>
          <w:rFonts w:hint="eastAsia" w:ascii="宋体" w:hAnsi="宋体" w:cs="宋体"/>
          <w:highlight w:val="none"/>
        </w:rPr>
        <w:t>19.4 进一步试验和试运行</w:t>
      </w:r>
      <w:bookmarkEnd w:id="1450"/>
      <w:bookmarkEnd w:id="1451"/>
      <w:bookmarkEnd w:id="1452"/>
      <w:bookmarkEnd w:id="1453"/>
      <w:bookmarkEnd w:id="1454"/>
      <w:bookmarkEnd w:id="1455"/>
      <w:bookmarkEnd w:id="1456"/>
      <w:bookmarkEnd w:id="1457"/>
    </w:p>
    <w:p w14:paraId="16BA9F40">
      <w:pPr>
        <w:spacing w:line="360" w:lineRule="auto"/>
        <w:ind w:firstLine="420" w:firstLineChars="200"/>
        <w:rPr>
          <w:rFonts w:hint="eastAsia" w:ascii="宋体" w:hAnsi="宋体" w:cs="宋体"/>
          <w:highlight w:val="none"/>
        </w:rPr>
      </w:pPr>
      <w:r>
        <w:rPr>
          <w:rFonts w:hint="eastAsia" w:ascii="宋体" w:hAnsi="宋体" w:cs="宋体"/>
          <w:highlight w:val="none"/>
        </w:rPr>
        <w:t>任何一项缺陷或损坏修复后，经检查证明其影响了工程或工程设备的使用性能，承包人应重新进行合同约定的试验和试运行，试验和试运行的全部费用应由责任方承担。</w:t>
      </w:r>
    </w:p>
    <w:p w14:paraId="107C234F">
      <w:pPr>
        <w:spacing w:line="360" w:lineRule="auto"/>
        <w:rPr>
          <w:rFonts w:hint="eastAsia" w:ascii="宋体" w:hAnsi="宋体" w:cs="宋体"/>
          <w:highlight w:val="none"/>
        </w:rPr>
      </w:pPr>
      <w:bookmarkStart w:id="1458" w:name="_Toc152045739"/>
      <w:bookmarkStart w:id="1459" w:name="_Toc503536217"/>
      <w:bookmarkStart w:id="1460" w:name="_Toc338944832"/>
      <w:bookmarkStart w:id="1461" w:name="_Toc144974710"/>
      <w:bookmarkStart w:id="1462" w:name="_Toc342296390"/>
      <w:bookmarkStart w:id="1463" w:name="_Toc454359306"/>
      <w:bookmarkStart w:id="1464" w:name="_Toc179632757"/>
      <w:bookmarkStart w:id="1465" w:name="_Toc152042518"/>
      <w:r>
        <w:rPr>
          <w:rFonts w:hint="eastAsia" w:ascii="宋体" w:hAnsi="宋体" w:cs="宋体"/>
          <w:highlight w:val="none"/>
        </w:rPr>
        <w:t>19.5 承包人的进入权</w:t>
      </w:r>
      <w:bookmarkEnd w:id="1458"/>
      <w:bookmarkEnd w:id="1459"/>
      <w:bookmarkEnd w:id="1460"/>
      <w:bookmarkEnd w:id="1461"/>
      <w:bookmarkEnd w:id="1462"/>
      <w:bookmarkEnd w:id="1463"/>
      <w:bookmarkEnd w:id="1464"/>
      <w:bookmarkEnd w:id="1465"/>
    </w:p>
    <w:p w14:paraId="05634500">
      <w:pPr>
        <w:spacing w:line="360" w:lineRule="auto"/>
        <w:ind w:firstLine="420" w:firstLineChars="200"/>
        <w:rPr>
          <w:rFonts w:hint="eastAsia" w:ascii="宋体" w:hAnsi="宋体" w:cs="宋体"/>
          <w:highlight w:val="none"/>
        </w:rPr>
      </w:pPr>
      <w:r>
        <w:rPr>
          <w:rFonts w:hint="eastAsia" w:ascii="宋体" w:hAnsi="宋体" w:cs="宋体"/>
          <w:highlight w:val="none"/>
        </w:rPr>
        <w:t>缺陷责任期内承包人为缺陷修复工作需要，有权进入工程现场，但应遵守发包人的保安和保密规定。</w:t>
      </w:r>
    </w:p>
    <w:p w14:paraId="4C5AC66C">
      <w:pPr>
        <w:spacing w:line="360" w:lineRule="auto"/>
        <w:rPr>
          <w:rFonts w:hint="eastAsia" w:ascii="宋体" w:hAnsi="宋体" w:cs="宋体"/>
          <w:highlight w:val="none"/>
        </w:rPr>
      </w:pPr>
      <w:bookmarkStart w:id="1466" w:name="_Toc152045740"/>
      <w:bookmarkStart w:id="1467" w:name="_Toc152042519"/>
      <w:bookmarkStart w:id="1468" w:name="_Toc179632758"/>
      <w:bookmarkStart w:id="1469" w:name="_Toc342296391"/>
      <w:bookmarkStart w:id="1470" w:name="_Toc454359307"/>
      <w:bookmarkStart w:id="1471" w:name="_Toc503536218"/>
      <w:bookmarkStart w:id="1472" w:name="_Toc338944833"/>
      <w:bookmarkStart w:id="1473" w:name="_Toc144974711"/>
      <w:r>
        <w:rPr>
          <w:rFonts w:hint="eastAsia" w:ascii="宋体" w:hAnsi="宋体" w:cs="宋体"/>
          <w:highlight w:val="none"/>
        </w:rPr>
        <w:t>19.6 缺陷责任期终止证书</w:t>
      </w:r>
      <w:bookmarkEnd w:id="1466"/>
      <w:bookmarkEnd w:id="1467"/>
      <w:bookmarkEnd w:id="1468"/>
      <w:bookmarkEnd w:id="1469"/>
      <w:bookmarkEnd w:id="1470"/>
      <w:bookmarkEnd w:id="1471"/>
      <w:bookmarkEnd w:id="1472"/>
      <w:bookmarkEnd w:id="1473"/>
    </w:p>
    <w:p w14:paraId="517B0AA1">
      <w:pPr>
        <w:spacing w:line="360" w:lineRule="auto"/>
        <w:ind w:firstLine="420" w:firstLineChars="200"/>
        <w:rPr>
          <w:rFonts w:hint="eastAsia" w:ascii="宋体" w:hAnsi="宋体" w:cs="宋体"/>
          <w:highlight w:val="none"/>
        </w:rPr>
      </w:pPr>
      <w:r>
        <w:rPr>
          <w:rFonts w:hint="eastAsia" w:ascii="宋体" w:hAnsi="宋体" w:cs="宋体"/>
          <w:highlight w:val="none"/>
        </w:rPr>
        <w:t>在第1.1.4.5目约定的缺陷责任期，包括根据第19.3款延长的期限终止后14天内，由监理人向承包人出具经发包人签认的缺陷责任期终止证书，并退还剩余的质量保证金。</w:t>
      </w:r>
    </w:p>
    <w:p w14:paraId="7853A3D1">
      <w:pPr>
        <w:spacing w:line="360" w:lineRule="auto"/>
        <w:rPr>
          <w:rFonts w:hint="eastAsia" w:ascii="宋体" w:hAnsi="宋体" w:cs="宋体"/>
          <w:highlight w:val="none"/>
        </w:rPr>
      </w:pPr>
      <w:bookmarkStart w:id="1474" w:name="_Toc338944834"/>
      <w:bookmarkStart w:id="1475" w:name="_Toc503536219"/>
      <w:bookmarkStart w:id="1476" w:name="_Toc342296392"/>
      <w:bookmarkStart w:id="1477" w:name="_Toc454359308"/>
      <w:r>
        <w:rPr>
          <w:rFonts w:hint="eastAsia" w:ascii="宋体" w:hAnsi="宋体" w:cs="宋体"/>
          <w:highlight w:val="none"/>
        </w:rPr>
        <w:t>19.7 保修责任</w:t>
      </w:r>
      <w:bookmarkEnd w:id="1474"/>
      <w:bookmarkEnd w:id="1475"/>
      <w:bookmarkEnd w:id="1476"/>
      <w:bookmarkEnd w:id="1477"/>
    </w:p>
    <w:p w14:paraId="3BC08741">
      <w:pPr>
        <w:spacing w:line="360" w:lineRule="auto"/>
        <w:ind w:firstLine="420" w:firstLineChars="200"/>
        <w:rPr>
          <w:rFonts w:hint="eastAsia" w:ascii="宋体" w:hAnsi="宋体" w:cs="宋体"/>
          <w:highlight w:val="none"/>
        </w:rPr>
      </w:pPr>
      <w:r>
        <w:rPr>
          <w:rFonts w:hint="eastAsia" w:ascii="宋体" w:hAnsi="宋体" w:cs="宋体"/>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411AC0B">
      <w:pPr>
        <w:rPr>
          <w:rFonts w:hint="eastAsia" w:ascii="宋体" w:hAnsi="宋体" w:cs="宋体"/>
          <w:highlight w:val="none"/>
        </w:rPr>
      </w:pPr>
      <w:bookmarkStart w:id="1478" w:name="_Toc9141"/>
      <w:bookmarkStart w:id="1479" w:name="_Toc503536220"/>
      <w:bookmarkStart w:id="1480" w:name="_Toc4157304"/>
      <w:bookmarkStart w:id="1481" w:name="_Toc342296393"/>
      <w:bookmarkStart w:id="1482" w:name="_Toc338944835"/>
      <w:r>
        <w:rPr>
          <w:rFonts w:hint="eastAsia" w:ascii="宋体" w:hAnsi="宋体" w:cs="宋体"/>
          <w:highlight w:val="none"/>
        </w:rPr>
        <w:t>20. 保险</w:t>
      </w:r>
      <w:bookmarkEnd w:id="1478"/>
      <w:bookmarkEnd w:id="1479"/>
      <w:bookmarkEnd w:id="1480"/>
      <w:bookmarkEnd w:id="1481"/>
      <w:bookmarkEnd w:id="1482"/>
    </w:p>
    <w:p w14:paraId="1501FD43">
      <w:pPr>
        <w:spacing w:line="360" w:lineRule="auto"/>
        <w:rPr>
          <w:rFonts w:hint="eastAsia" w:ascii="宋体" w:hAnsi="宋体" w:cs="宋体"/>
          <w:highlight w:val="none"/>
        </w:rPr>
      </w:pPr>
      <w:bookmarkStart w:id="1483" w:name="_Toc454359310"/>
      <w:bookmarkStart w:id="1484" w:name="_Toc503536221"/>
      <w:bookmarkStart w:id="1485" w:name="_Toc342296394"/>
      <w:bookmarkStart w:id="1486" w:name="_Toc338944836"/>
      <w:r>
        <w:rPr>
          <w:rFonts w:hint="eastAsia" w:ascii="宋体" w:hAnsi="宋体" w:cs="宋体"/>
          <w:highlight w:val="none"/>
        </w:rPr>
        <w:t>20.1 工程保险</w:t>
      </w:r>
      <w:bookmarkEnd w:id="1483"/>
      <w:bookmarkEnd w:id="1484"/>
      <w:bookmarkEnd w:id="1485"/>
      <w:bookmarkEnd w:id="1486"/>
    </w:p>
    <w:p w14:paraId="085DAFF6">
      <w:pPr>
        <w:spacing w:line="360" w:lineRule="auto"/>
        <w:ind w:firstLine="420" w:firstLineChars="200"/>
        <w:rPr>
          <w:rFonts w:hint="eastAsia" w:ascii="宋体" w:hAnsi="宋体" w:cs="宋体"/>
          <w:highlight w:val="none"/>
        </w:rPr>
      </w:pPr>
      <w:r>
        <w:rPr>
          <w:rFonts w:hint="eastAsia" w:ascii="宋体" w:hAnsi="宋体" w:cs="宋体"/>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D3421D3">
      <w:pPr>
        <w:spacing w:line="360" w:lineRule="auto"/>
        <w:rPr>
          <w:rFonts w:hint="eastAsia" w:ascii="宋体" w:hAnsi="宋体" w:cs="宋体"/>
          <w:highlight w:val="none"/>
        </w:rPr>
      </w:pPr>
      <w:bookmarkStart w:id="1487" w:name="_Toc342296395"/>
      <w:bookmarkStart w:id="1488" w:name="_Toc338944837"/>
      <w:bookmarkStart w:id="1489" w:name="_Toc454359311"/>
      <w:bookmarkStart w:id="1490" w:name="_Toc503536222"/>
      <w:r>
        <w:rPr>
          <w:rFonts w:hint="eastAsia" w:ascii="宋体" w:hAnsi="宋体" w:cs="宋体"/>
          <w:highlight w:val="none"/>
        </w:rPr>
        <w:t>20.2 人员工伤事故的保险</w:t>
      </w:r>
      <w:bookmarkEnd w:id="1487"/>
      <w:bookmarkEnd w:id="1488"/>
      <w:bookmarkEnd w:id="1489"/>
      <w:bookmarkEnd w:id="1490"/>
    </w:p>
    <w:p w14:paraId="24024AA2">
      <w:pPr>
        <w:spacing w:line="360" w:lineRule="auto"/>
        <w:ind w:firstLine="420" w:firstLineChars="200"/>
        <w:rPr>
          <w:rFonts w:hint="eastAsia" w:ascii="宋体" w:hAnsi="宋体" w:cs="宋体"/>
          <w:highlight w:val="none"/>
        </w:rPr>
      </w:pPr>
      <w:r>
        <w:rPr>
          <w:rFonts w:hint="eastAsia" w:ascii="宋体" w:hAnsi="宋体" w:cs="宋体"/>
          <w:highlight w:val="none"/>
        </w:rPr>
        <w:t>20.2.1 承包人员工伤事故的保险</w:t>
      </w:r>
    </w:p>
    <w:p w14:paraId="06F5FE6C">
      <w:pPr>
        <w:spacing w:line="360" w:lineRule="auto"/>
        <w:ind w:firstLine="420" w:firstLineChars="200"/>
        <w:rPr>
          <w:rFonts w:hint="eastAsia" w:ascii="宋体" w:hAnsi="宋体" w:cs="宋体"/>
          <w:highlight w:val="none"/>
        </w:rPr>
      </w:pPr>
      <w:r>
        <w:rPr>
          <w:rFonts w:hint="eastAsia" w:ascii="宋体" w:hAnsi="宋体" w:cs="宋体"/>
          <w:highlight w:val="none"/>
        </w:rPr>
        <w:t>承包人应依照有关法律规定参加工伤保险，为其履行合同所雇佣的全部人员，缴纳工伤保险费，并要求其分包人也进行此项保险。</w:t>
      </w:r>
    </w:p>
    <w:p w14:paraId="262E3959">
      <w:pPr>
        <w:spacing w:line="360" w:lineRule="auto"/>
        <w:ind w:firstLine="420" w:firstLineChars="200"/>
        <w:rPr>
          <w:rFonts w:hint="eastAsia" w:ascii="宋体" w:hAnsi="宋体" w:cs="宋体"/>
          <w:highlight w:val="none"/>
        </w:rPr>
      </w:pPr>
      <w:r>
        <w:rPr>
          <w:rFonts w:hint="eastAsia" w:ascii="宋体" w:hAnsi="宋体" w:cs="宋体"/>
          <w:highlight w:val="none"/>
        </w:rPr>
        <w:t>20.2.2 发包人员工伤事故的保险</w:t>
      </w:r>
    </w:p>
    <w:p w14:paraId="565AC314">
      <w:pPr>
        <w:spacing w:line="360" w:lineRule="auto"/>
        <w:ind w:firstLine="420" w:firstLineChars="200"/>
        <w:rPr>
          <w:rFonts w:hint="eastAsia" w:ascii="宋体" w:hAnsi="宋体" w:cs="宋体"/>
          <w:highlight w:val="none"/>
        </w:rPr>
      </w:pPr>
      <w:r>
        <w:rPr>
          <w:rFonts w:hint="eastAsia" w:ascii="宋体" w:hAnsi="宋体" w:cs="宋体"/>
          <w:highlight w:val="none"/>
        </w:rPr>
        <w:t>发包人应依照有关法律规定参加工伤保险，为其现场机构雇佣的全部人员，缴纳工伤保险费，并要求其监理人也进行此项保险。</w:t>
      </w:r>
    </w:p>
    <w:p w14:paraId="72FAB57F">
      <w:pPr>
        <w:spacing w:line="360" w:lineRule="auto"/>
        <w:rPr>
          <w:rFonts w:hint="eastAsia" w:ascii="宋体" w:hAnsi="宋体" w:cs="宋体"/>
          <w:highlight w:val="none"/>
        </w:rPr>
      </w:pPr>
      <w:bookmarkStart w:id="1491" w:name="_Toc338944838"/>
      <w:bookmarkStart w:id="1492" w:name="_Toc454359312"/>
      <w:bookmarkStart w:id="1493" w:name="_Toc342296396"/>
      <w:bookmarkStart w:id="1494" w:name="_Toc179632763"/>
      <w:bookmarkStart w:id="1495" w:name="_Toc152045745"/>
      <w:bookmarkStart w:id="1496" w:name="_Toc503536223"/>
      <w:bookmarkStart w:id="1497" w:name="_Toc152042524"/>
      <w:bookmarkStart w:id="1498" w:name="_Toc144974716"/>
      <w:r>
        <w:rPr>
          <w:rFonts w:hint="eastAsia" w:ascii="宋体" w:hAnsi="宋体" w:cs="宋体"/>
          <w:highlight w:val="none"/>
        </w:rPr>
        <w:t>20.3 人身意外伤害险</w:t>
      </w:r>
      <w:bookmarkEnd w:id="1491"/>
      <w:bookmarkEnd w:id="1492"/>
      <w:bookmarkEnd w:id="1493"/>
      <w:bookmarkEnd w:id="1494"/>
      <w:bookmarkEnd w:id="1495"/>
      <w:bookmarkEnd w:id="1496"/>
      <w:bookmarkEnd w:id="1497"/>
      <w:bookmarkEnd w:id="1498"/>
    </w:p>
    <w:p w14:paraId="1711C42C">
      <w:pPr>
        <w:spacing w:line="360" w:lineRule="auto"/>
        <w:ind w:firstLine="420" w:firstLineChars="200"/>
        <w:rPr>
          <w:rFonts w:hint="eastAsia" w:ascii="宋体" w:hAnsi="宋体" w:cs="宋体"/>
          <w:highlight w:val="none"/>
        </w:rPr>
      </w:pPr>
      <w:r>
        <w:rPr>
          <w:rFonts w:hint="eastAsia" w:ascii="宋体" w:hAnsi="宋体" w:cs="宋体"/>
          <w:highlight w:val="none"/>
        </w:rPr>
        <w:t>20.3.1 发包人应在整个施工期间为其现场机构雇用的全部人员，投保人身意外伤害险，缴纳保险费，并要求其监理人也进行此项保险。</w:t>
      </w:r>
    </w:p>
    <w:p w14:paraId="1F9F895A">
      <w:pPr>
        <w:spacing w:line="360" w:lineRule="auto"/>
        <w:ind w:firstLine="420" w:firstLineChars="200"/>
        <w:rPr>
          <w:rFonts w:hint="eastAsia" w:ascii="宋体" w:hAnsi="宋体" w:cs="宋体"/>
          <w:highlight w:val="none"/>
        </w:rPr>
      </w:pPr>
      <w:r>
        <w:rPr>
          <w:rFonts w:hint="eastAsia" w:ascii="宋体" w:hAnsi="宋体" w:cs="宋体"/>
          <w:highlight w:val="none"/>
        </w:rPr>
        <w:t>20.3.2 承包人应在整个施工期间为其现场机构雇用的全部人员，投保人身意外伤害险，缴纳保险费，并要求其分包人也进行此项保险。</w:t>
      </w:r>
    </w:p>
    <w:p w14:paraId="46651278">
      <w:pPr>
        <w:spacing w:line="360" w:lineRule="auto"/>
        <w:rPr>
          <w:rFonts w:hint="eastAsia" w:ascii="宋体" w:hAnsi="宋体" w:cs="宋体"/>
          <w:highlight w:val="none"/>
        </w:rPr>
      </w:pPr>
      <w:bookmarkStart w:id="1499" w:name="_Toc503536224"/>
      <w:bookmarkStart w:id="1500" w:name="_Toc338944839"/>
      <w:bookmarkStart w:id="1501" w:name="_Toc342296397"/>
      <w:bookmarkStart w:id="1502" w:name="_Toc454359313"/>
      <w:r>
        <w:rPr>
          <w:rFonts w:hint="eastAsia" w:ascii="宋体" w:hAnsi="宋体" w:cs="宋体"/>
          <w:highlight w:val="none"/>
        </w:rPr>
        <w:t>20.4 第三者责任险</w:t>
      </w:r>
      <w:bookmarkEnd w:id="1499"/>
      <w:bookmarkEnd w:id="1500"/>
      <w:bookmarkEnd w:id="1501"/>
      <w:bookmarkEnd w:id="1502"/>
    </w:p>
    <w:p w14:paraId="2E825817">
      <w:pPr>
        <w:spacing w:line="360" w:lineRule="auto"/>
        <w:ind w:firstLine="420" w:firstLineChars="200"/>
        <w:rPr>
          <w:rFonts w:hint="eastAsia" w:ascii="宋体" w:hAnsi="宋体" w:cs="宋体"/>
          <w:highlight w:val="none"/>
        </w:rPr>
      </w:pPr>
      <w:r>
        <w:rPr>
          <w:rFonts w:hint="eastAsia" w:ascii="宋体" w:hAnsi="宋体" w:cs="宋体"/>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97A43AB">
      <w:pPr>
        <w:spacing w:line="360" w:lineRule="auto"/>
        <w:ind w:firstLine="404" w:firstLineChars="200"/>
        <w:rPr>
          <w:rFonts w:hint="eastAsia" w:ascii="宋体" w:hAnsi="宋体" w:cs="宋体"/>
          <w:spacing w:val="-4"/>
          <w:highlight w:val="none"/>
        </w:rPr>
      </w:pPr>
      <w:r>
        <w:rPr>
          <w:rFonts w:hint="eastAsia" w:ascii="宋体" w:hAnsi="宋体" w:cs="宋体"/>
          <w:spacing w:val="-4"/>
          <w:highlight w:val="none"/>
        </w:rPr>
        <w:t>20.4.2 在缺陷责任期终止证书颁发前，承包人应以承包人和发包人的共同名义，投保第20.4.1项约定的第三者责任险，其保险费率、保险金额等有关内容在专用合同条款中约定。</w:t>
      </w:r>
    </w:p>
    <w:p w14:paraId="4282E4BE">
      <w:pPr>
        <w:spacing w:line="360" w:lineRule="auto"/>
        <w:rPr>
          <w:rFonts w:hint="eastAsia" w:ascii="宋体" w:hAnsi="宋体" w:cs="宋体"/>
          <w:highlight w:val="none"/>
        </w:rPr>
      </w:pPr>
      <w:bookmarkStart w:id="1503" w:name="_Toc338944840"/>
      <w:bookmarkStart w:id="1504" w:name="_Toc342296398"/>
      <w:bookmarkStart w:id="1505" w:name="_Toc503536225"/>
      <w:bookmarkStart w:id="1506" w:name="_Toc454359314"/>
      <w:r>
        <w:rPr>
          <w:rFonts w:hint="eastAsia" w:ascii="宋体" w:hAnsi="宋体" w:cs="宋体"/>
          <w:highlight w:val="none"/>
        </w:rPr>
        <w:t>20.5 其他保险</w:t>
      </w:r>
      <w:bookmarkEnd w:id="1503"/>
      <w:bookmarkEnd w:id="1504"/>
      <w:bookmarkEnd w:id="1505"/>
      <w:bookmarkEnd w:id="1506"/>
    </w:p>
    <w:p w14:paraId="328E1CE6">
      <w:pPr>
        <w:spacing w:line="360" w:lineRule="auto"/>
        <w:ind w:firstLine="404" w:firstLineChars="200"/>
        <w:rPr>
          <w:rFonts w:hint="eastAsia" w:ascii="宋体" w:hAnsi="宋体" w:cs="宋体"/>
          <w:highlight w:val="none"/>
        </w:rPr>
      </w:pPr>
      <w:r>
        <w:rPr>
          <w:rFonts w:hint="eastAsia" w:ascii="宋体" w:hAnsi="宋体" w:cs="宋体"/>
          <w:spacing w:val="-4"/>
          <w:highlight w:val="none"/>
        </w:rPr>
        <w:t>除专用合同条款另有约定外，承包人应为其施工设备、进场的材料和工程设备等办理保险。</w:t>
      </w:r>
    </w:p>
    <w:p w14:paraId="10F76F29">
      <w:pPr>
        <w:spacing w:line="360" w:lineRule="auto"/>
        <w:rPr>
          <w:rFonts w:hint="eastAsia" w:ascii="宋体" w:hAnsi="宋体" w:cs="宋体"/>
          <w:highlight w:val="none"/>
        </w:rPr>
      </w:pPr>
      <w:bookmarkStart w:id="1507" w:name="_Toc338944841"/>
      <w:bookmarkStart w:id="1508" w:name="_Toc454359315"/>
      <w:bookmarkStart w:id="1509" w:name="_Toc503536226"/>
      <w:bookmarkStart w:id="1510" w:name="_Toc342296399"/>
      <w:r>
        <w:rPr>
          <w:rFonts w:hint="eastAsia" w:ascii="宋体" w:hAnsi="宋体" w:cs="宋体"/>
          <w:highlight w:val="none"/>
        </w:rPr>
        <w:t>20.6 对各项保险的一般要求</w:t>
      </w:r>
      <w:bookmarkEnd w:id="1507"/>
      <w:bookmarkEnd w:id="1508"/>
      <w:bookmarkEnd w:id="1509"/>
      <w:bookmarkEnd w:id="1510"/>
    </w:p>
    <w:p w14:paraId="7F7035EE">
      <w:pPr>
        <w:spacing w:line="360" w:lineRule="auto"/>
        <w:ind w:firstLine="420" w:firstLineChars="200"/>
        <w:rPr>
          <w:rFonts w:hint="eastAsia" w:ascii="宋体" w:hAnsi="宋体" w:cs="宋体"/>
          <w:highlight w:val="none"/>
        </w:rPr>
      </w:pPr>
      <w:r>
        <w:rPr>
          <w:rFonts w:hint="eastAsia" w:ascii="宋体" w:hAnsi="宋体" w:cs="宋体"/>
          <w:highlight w:val="none"/>
        </w:rPr>
        <w:t>20.6.1 保险凭证</w:t>
      </w:r>
    </w:p>
    <w:p w14:paraId="0ED1FAF4">
      <w:pPr>
        <w:spacing w:line="360" w:lineRule="auto"/>
        <w:ind w:firstLine="420" w:firstLineChars="200"/>
        <w:rPr>
          <w:rFonts w:hint="eastAsia" w:ascii="宋体" w:hAnsi="宋体" w:cs="宋体"/>
          <w:highlight w:val="none"/>
        </w:rPr>
      </w:pPr>
      <w:r>
        <w:rPr>
          <w:rFonts w:hint="eastAsia" w:ascii="宋体" w:hAnsi="宋体" w:cs="宋体"/>
          <w:highlight w:val="none"/>
        </w:rPr>
        <w:t>承包人应在专用合同条款约定的期限内向发包人提交各项保险生效的证据和保险单副本，保险单必须与专用合同条款约定的条件保持一致。</w:t>
      </w:r>
    </w:p>
    <w:p w14:paraId="28951020">
      <w:pPr>
        <w:spacing w:line="360" w:lineRule="auto"/>
        <w:ind w:firstLine="420" w:firstLineChars="200"/>
        <w:rPr>
          <w:rFonts w:hint="eastAsia" w:ascii="宋体" w:hAnsi="宋体" w:cs="宋体"/>
          <w:highlight w:val="none"/>
        </w:rPr>
      </w:pPr>
      <w:r>
        <w:rPr>
          <w:rFonts w:hint="eastAsia" w:ascii="宋体" w:hAnsi="宋体" w:cs="宋体"/>
          <w:highlight w:val="none"/>
        </w:rPr>
        <w:t>20.6.2 保险合同条款的变动</w:t>
      </w:r>
    </w:p>
    <w:p w14:paraId="799858EA">
      <w:pPr>
        <w:spacing w:line="360" w:lineRule="auto"/>
        <w:ind w:firstLine="420" w:firstLineChars="200"/>
        <w:rPr>
          <w:rFonts w:hint="eastAsia" w:ascii="宋体" w:hAnsi="宋体" w:cs="宋体"/>
          <w:highlight w:val="none"/>
        </w:rPr>
      </w:pPr>
      <w:r>
        <w:rPr>
          <w:rFonts w:hint="eastAsia" w:ascii="宋体" w:hAnsi="宋体" w:cs="宋体"/>
          <w:highlight w:val="none"/>
        </w:rPr>
        <w:t>承包人需要变动保险合同条款时，应事先征得发包人同意，并通知监理人。保险人作出变动的，承包人应在收到保险人通知后立即通知发包人和监理人。</w:t>
      </w:r>
    </w:p>
    <w:p w14:paraId="6497F92C">
      <w:pPr>
        <w:spacing w:line="360" w:lineRule="auto"/>
        <w:ind w:firstLine="420" w:firstLineChars="200"/>
        <w:rPr>
          <w:rFonts w:hint="eastAsia" w:ascii="宋体" w:hAnsi="宋体" w:cs="宋体"/>
          <w:highlight w:val="none"/>
        </w:rPr>
      </w:pPr>
      <w:r>
        <w:rPr>
          <w:rFonts w:hint="eastAsia" w:ascii="宋体" w:hAnsi="宋体" w:cs="宋体"/>
          <w:highlight w:val="none"/>
        </w:rPr>
        <w:t>20.6.3 持续保险</w:t>
      </w:r>
    </w:p>
    <w:p w14:paraId="353F0A0A">
      <w:pPr>
        <w:spacing w:line="360" w:lineRule="auto"/>
        <w:ind w:firstLine="420" w:firstLineChars="200"/>
        <w:rPr>
          <w:rFonts w:hint="eastAsia" w:ascii="宋体" w:hAnsi="宋体" w:cs="宋体"/>
          <w:highlight w:val="none"/>
        </w:rPr>
      </w:pPr>
      <w:r>
        <w:rPr>
          <w:rFonts w:hint="eastAsia" w:ascii="宋体" w:hAnsi="宋体" w:cs="宋体"/>
          <w:highlight w:val="none"/>
        </w:rPr>
        <w:t>承包人应与保险人保持联系，使保险人能够随时了解工程实施中的变动，并确保按保险合同条款要求持续保险。</w:t>
      </w:r>
    </w:p>
    <w:p w14:paraId="4E71018A">
      <w:pPr>
        <w:spacing w:line="360" w:lineRule="auto"/>
        <w:ind w:firstLine="420" w:firstLineChars="200"/>
        <w:rPr>
          <w:rFonts w:hint="eastAsia" w:ascii="宋体" w:hAnsi="宋体" w:cs="宋体"/>
          <w:highlight w:val="none"/>
        </w:rPr>
      </w:pPr>
      <w:r>
        <w:rPr>
          <w:rFonts w:hint="eastAsia" w:ascii="宋体" w:hAnsi="宋体" w:cs="宋体"/>
          <w:highlight w:val="none"/>
        </w:rPr>
        <w:t>20.6.4 保险金不足的补偿</w:t>
      </w:r>
    </w:p>
    <w:p w14:paraId="6054F827">
      <w:pPr>
        <w:spacing w:line="360" w:lineRule="auto"/>
        <w:ind w:firstLine="420" w:firstLineChars="200"/>
        <w:rPr>
          <w:rFonts w:hint="eastAsia" w:ascii="宋体" w:hAnsi="宋体" w:cs="宋体"/>
          <w:highlight w:val="none"/>
        </w:rPr>
      </w:pPr>
      <w:r>
        <w:rPr>
          <w:rFonts w:hint="eastAsia" w:ascii="宋体" w:hAnsi="宋体" w:cs="宋体"/>
          <w:highlight w:val="none"/>
        </w:rPr>
        <w:t>保险金不足以补偿损失的，应由承包人和（或）发包人按合同约定负责补偿。</w:t>
      </w:r>
    </w:p>
    <w:p w14:paraId="36C0D506">
      <w:pPr>
        <w:spacing w:line="360" w:lineRule="auto"/>
        <w:ind w:firstLine="420" w:firstLineChars="200"/>
        <w:rPr>
          <w:rFonts w:hint="eastAsia" w:ascii="宋体" w:hAnsi="宋体" w:cs="宋体"/>
          <w:highlight w:val="none"/>
        </w:rPr>
      </w:pPr>
      <w:r>
        <w:rPr>
          <w:rFonts w:hint="eastAsia" w:ascii="宋体" w:hAnsi="宋体" w:cs="宋体"/>
          <w:highlight w:val="none"/>
        </w:rPr>
        <w:t>20.6.5 未按约定投保的补救</w:t>
      </w:r>
    </w:p>
    <w:p w14:paraId="1EB90D64">
      <w:pPr>
        <w:spacing w:line="360" w:lineRule="auto"/>
        <w:ind w:firstLine="420" w:firstLineChars="200"/>
        <w:rPr>
          <w:rFonts w:hint="eastAsia" w:ascii="宋体" w:hAnsi="宋体" w:cs="宋体"/>
          <w:highlight w:val="none"/>
        </w:rPr>
      </w:pPr>
      <w:r>
        <w:rPr>
          <w:rFonts w:hint="eastAsia" w:ascii="宋体" w:hAnsi="宋体" w:cs="宋体"/>
          <w:highlight w:val="none"/>
        </w:rPr>
        <w:t>（1）由于负有投保义务的一方当事人未按合同约定办理保险，或未能使保险持续有效的，另一方当事人可代为办理，所需费用由对方当事人承担。</w:t>
      </w:r>
    </w:p>
    <w:p w14:paraId="3C43705F">
      <w:pPr>
        <w:spacing w:line="360" w:lineRule="auto"/>
        <w:ind w:firstLine="420" w:firstLineChars="200"/>
        <w:rPr>
          <w:rFonts w:hint="eastAsia" w:ascii="宋体" w:hAnsi="宋体" w:cs="宋体"/>
          <w:highlight w:val="none"/>
        </w:rPr>
      </w:pPr>
      <w:r>
        <w:rPr>
          <w:rFonts w:hint="eastAsia" w:ascii="宋体" w:hAnsi="宋体" w:cs="宋体"/>
          <w:highlight w:val="none"/>
        </w:rPr>
        <w:t>（2）由于负有投保义务的一方当事人未按合同约定办理某项保险，导致受益人未能得到保险人的赔偿，原应从该项保险得到的保险金应由负有投保义务的一方当事人支付。</w:t>
      </w:r>
    </w:p>
    <w:p w14:paraId="023ACB73">
      <w:pPr>
        <w:spacing w:line="360" w:lineRule="auto"/>
        <w:ind w:firstLine="420" w:firstLineChars="200"/>
        <w:rPr>
          <w:rFonts w:hint="eastAsia" w:ascii="宋体" w:hAnsi="宋体" w:cs="宋体"/>
          <w:highlight w:val="none"/>
        </w:rPr>
      </w:pPr>
      <w:r>
        <w:rPr>
          <w:rFonts w:hint="eastAsia" w:ascii="宋体" w:hAnsi="宋体" w:cs="宋体"/>
          <w:highlight w:val="none"/>
        </w:rPr>
        <w:t>20.6.6 报告义务</w:t>
      </w:r>
    </w:p>
    <w:p w14:paraId="249BB393">
      <w:pPr>
        <w:spacing w:line="360" w:lineRule="auto"/>
        <w:ind w:firstLine="420" w:firstLineChars="200"/>
        <w:rPr>
          <w:rFonts w:hint="eastAsia" w:ascii="宋体" w:hAnsi="宋体" w:cs="宋体"/>
          <w:highlight w:val="none"/>
        </w:rPr>
      </w:pPr>
      <w:r>
        <w:rPr>
          <w:rFonts w:hint="eastAsia" w:ascii="宋体" w:hAnsi="宋体" w:cs="宋体"/>
          <w:highlight w:val="none"/>
        </w:rPr>
        <w:t>当保险事故发生时，投保人应按照保险单规定的条件和期限及时向保险人报告。</w:t>
      </w:r>
    </w:p>
    <w:p w14:paraId="0444DC1C">
      <w:pPr>
        <w:rPr>
          <w:rFonts w:hint="eastAsia" w:ascii="宋体" w:hAnsi="宋体" w:cs="宋体"/>
          <w:highlight w:val="none"/>
        </w:rPr>
      </w:pPr>
      <w:bookmarkStart w:id="1511" w:name="_Toc29329"/>
      <w:bookmarkStart w:id="1512" w:name="_Toc503536227"/>
      <w:bookmarkStart w:id="1513" w:name="_Toc342296400"/>
      <w:bookmarkStart w:id="1514" w:name="_Toc338944842"/>
      <w:bookmarkStart w:id="1515" w:name="_Toc4157305"/>
      <w:r>
        <w:rPr>
          <w:rFonts w:hint="eastAsia" w:ascii="宋体" w:hAnsi="宋体" w:cs="宋体"/>
          <w:highlight w:val="none"/>
        </w:rPr>
        <w:t>21. 不可抗力</w:t>
      </w:r>
      <w:bookmarkEnd w:id="1511"/>
      <w:bookmarkEnd w:id="1512"/>
      <w:bookmarkEnd w:id="1513"/>
      <w:bookmarkEnd w:id="1514"/>
      <w:bookmarkEnd w:id="1515"/>
    </w:p>
    <w:p w14:paraId="60BCD026">
      <w:pPr>
        <w:spacing w:line="360" w:lineRule="auto"/>
        <w:rPr>
          <w:rFonts w:hint="eastAsia" w:ascii="宋体" w:hAnsi="宋体" w:cs="宋体"/>
          <w:highlight w:val="none"/>
        </w:rPr>
      </w:pPr>
      <w:bookmarkStart w:id="1516" w:name="_Toc454359317"/>
      <w:bookmarkStart w:id="1517" w:name="_Toc342296401"/>
      <w:bookmarkStart w:id="1518" w:name="_Toc338944843"/>
      <w:bookmarkStart w:id="1519" w:name="_Toc503536228"/>
      <w:r>
        <w:rPr>
          <w:rFonts w:hint="eastAsia" w:ascii="宋体" w:hAnsi="宋体" w:cs="宋体"/>
          <w:highlight w:val="none"/>
        </w:rPr>
        <w:t>21.1 不可抗力的确认</w:t>
      </w:r>
      <w:bookmarkEnd w:id="1516"/>
      <w:bookmarkEnd w:id="1517"/>
      <w:bookmarkEnd w:id="1518"/>
      <w:bookmarkEnd w:id="1519"/>
    </w:p>
    <w:p w14:paraId="468A2190">
      <w:pPr>
        <w:spacing w:line="360" w:lineRule="auto"/>
        <w:ind w:firstLine="420" w:firstLineChars="200"/>
        <w:rPr>
          <w:rFonts w:hint="eastAsia" w:ascii="宋体" w:hAnsi="宋体" w:cs="宋体"/>
          <w:highlight w:val="none"/>
        </w:rPr>
      </w:pPr>
      <w:r>
        <w:rPr>
          <w:rFonts w:hint="eastAsia" w:ascii="宋体" w:hAnsi="宋体" w:cs="宋体"/>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3C367066">
      <w:pPr>
        <w:spacing w:line="360" w:lineRule="auto"/>
        <w:ind w:firstLine="420" w:firstLineChars="200"/>
        <w:rPr>
          <w:rFonts w:hint="eastAsia" w:ascii="宋体" w:hAnsi="宋体" w:cs="宋体"/>
          <w:highlight w:val="none"/>
        </w:rPr>
      </w:pPr>
      <w:r>
        <w:rPr>
          <w:rFonts w:hint="eastAsia" w:ascii="宋体" w:hAnsi="宋体" w:cs="宋体"/>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F82BFCA">
      <w:pPr>
        <w:spacing w:line="360" w:lineRule="auto"/>
        <w:rPr>
          <w:rFonts w:hint="eastAsia" w:ascii="宋体" w:hAnsi="宋体" w:cs="宋体"/>
          <w:highlight w:val="none"/>
        </w:rPr>
      </w:pPr>
      <w:bookmarkStart w:id="1520" w:name="_Toc338944844"/>
      <w:bookmarkStart w:id="1521" w:name="_Toc342296402"/>
      <w:bookmarkStart w:id="1522" w:name="_Toc503536229"/>
      <w:bookmarkStart w:id="1523" w:name="_Toc152042530"/>
      <w:bookmarkStart w:id="1524" w:name="_Toc179632769"/>
      <w:bookmarkStart w:id="1525" w:name="_Toc152045751"/>
      <w:bookmarkStart w:id="1526" w:name="_Toc454359318"/>
      <w:bookmarkStart w:id="1527" w:name="_Toc144974722"/>
      <w:r>
        <w:rPr>
          <w:rFonts w:hint="eastAsia" w:ascii="宋体" w:hAnsi="宋体" w:cs="宋体"/>
          <w:highlight w:val="none"/>
        </w:rPr>
        <w:t>21.2 不可抗力的通知</w:t>
      </w:r>
      <w:bookmarkEnd w:id="1520"/>
      <w:bookmarkEnd w:id="1521"/>
      <w:bookmarkEnd w:id="1522"/>
      <w:bookmarkEnd w:id="1523"/>
      <w:bookmarkEnd w:id="1524"/>
      <w:bookmarkEnd w:id="1525"/>
      <w:bookmarkEnd w:id="1526"/>
      <w:bookmarkEnd w:id="1527"/>
    </w:p>
    <w:p w14:paraId="26046DD8">
      <w:pPr>
        <w:spacing w:line="360" w:lineRule="auto"/>
        <w:ind w:firstLine="420" w:firstLineChars="200"/>
        <w:rPr>
          <w:rFonts w:hint="eastAsia" w:ascii="宋体" w:hAnsi="宋体" w:cs="宋体"/>
          <w:highlight w:val="none"/>
        </w:rPr>
      </w:pPr>
      <w:r>
        <w:rPr>
          <w:rFonts w:hint="eastAsia" w:ascii="宋体" w:hAnsi="宋体" w:cs="宋体"/>
          <w:highlight w:val="none"/>
        </w:rPr>
        <w:t>21.2.1 合同一方当事人遇到不可抗力事件，使其履行合同义务受到阻碍时，应立即通知合同另一方当事人和监理人，书面说明不可抗力和受阻碍的详细情况，并提供必要的证明。</w:t>
      </w:r>
    </w:p>
    <w:p w14:paraId="12F6B98F">
      <w:pPr>
        <w:spacing w:line="360" w:lineRule="auto"/>
        <w:ind w:firstLine="420" w:firstLineChars="200"/>
        <w:rPr>
          <w:rFonts w:hint="eastAsia" w:ascii="宋体" w:hAnsi="宋体" w:cs="宋体"/>
          <w:highlight w:val="none"/>
        </w:rPr>
      </w:pPr>
      <w:r>
        <w:rPr>
          <w:rFonts w:hint="eastAsia" w:ascii="宋体" w:hAnsi="宋体" w:cs="宋体"/>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1E395E5F">
      <w:pPr>
        <w:spacing w:line="360" w:lineRule="auto"/>
        <w:rPr>
          <w:rFonts w:hint="eastAsia" w:ascii="宋体" w:hAnsi="宋体" w:cs="宋体"/>
          <w:highlight w:val="none"/>
        </w:rPr>
      </w:pPr>
      <w:bookmarkStart w:id="1528" w:name="_Toc454359319"/>
      <w:bookmarkStart w:id="1529" w:name="_Toc338944845"/>
      <w:bookmarkStart w:id="1530" w:name="_Toc503536230"/>
      <w:bookmarkStart w:id="1531" w:name="_Toc342296403"/>
      <w:r>
        <w:rPr>
          <w:rFonts w:hint="eastAsia" w:ascii="宋体" w:hAnsi="宋体" w:cs="宋体"/>
          <w:highlight w:val="none"/>
        </w:rPr>
        <w:t>21.3 不可抗力后果及其处理</w:t>
      </w:r>
      <w:bookmarkEnd w:id="1528"/>
      <w:bookmarkEnd w:id="1529"/>
      <w:bookmarkEnd w:id="1530"/>
      <w:bookmarkEnd w:id="1531"/>
    </w:p>
    <w:p w14:paraId="19E61790">
      <w:pPr>
        <w:spacing w:line="360" w:lineRule="auto"/>
        <w:ind w:firstLine="420" w:firstLineChars="200"/>
        <w:rPr>
          <w:rFonts w:hint="eastAsia" w:ascii="宋体" w:hAnsi="宋体" w:cs="宋体"/>
          <w:highlight w:val="none"/>
        </w:rPr>
      </w:pPr>
      <w:r>
        <w:rPr>
          <w:rFonts w:hint="eastAsia" w:ascii="宋体" w:hAnsi="宋体" w:cs="宋体"/>
          <w:highlight w:val="none"/>
        </w:rPr>
        <w:t>21.3.1 不可抗力造成损害的责任</w:t>
      </w:r>
    </w:p>
    <w:p w14:paraId="2B22B9DE">
      <w:pPr>
        <w:spacing w:line="360" w:lineRule="auto"/>
        <w:ind w:firstLine="420" w:firstLineChars="200"/>
        <w:rPr>
          <w:rFonts w:hint="eastAsia" w:ascii="宋体" w:hAnsi="宋体" w:cs="宋体"/>
          <w:highlight w:val="none"/>
        </w:rPr>
      </w:pPr>
      <w:r>
        <w:rPr>
          <w:rFonts w:hint="eastAsia" w:ascii="宋体" w:hAnsi="宋体" w:cs="宋体"/>
          <w:highlight w:val="none"/>
        </w:rPr>
        <w:t>除专用合同条款另有约定外，不可抗力导致的人员伤亡、财产损失、费用增加和（或）工期延误等后果，由合同双方按以下原则承担：</w:t>
      </w:r>
    </w:p>
    <w:p w14:paraId="6E414938">
      <w:pPr>
        <w:spacing w:line="360" w:lineRule="auto"/>
        <w:ind w:firstLine="718" w:firstLineChars="342"/>
        <w:rPr>
          <w:rFonts w:hint="eastAsia" w:ascii="宋体" w:hAnsi="宋体" w:cs="宋体"/>
          <w:highlight w:val="none"/>
        </w:rPr>
      </w:pPr>
      <w:r>
        <w:rPr>
          <w:rFonts w:hint="eastAsia" w:ascii="宋体" w:hAnsi="宋体" w:cs="宋体"/>
          <w:highlight w:val="none"/>
        </w:rPr>
        <w:t>（1）永久工程，包括已运至施工场地的材料和工程设备的损害，以及因工程损害造成的第三者人员伤亡和财产损失由发包人承担；</w:t>
      </w:r>
    </w:p>
    <w:p w14:paraId="59A2E5CC">
      <w:pPr>
        <w:spacing w:line="360" w:lineRule="auto"/>
        <w:ind w:firstLine="718" w:firstLineChars="342"/>
        <w:rPr>
          <w:rFonts w:hint="eastAsia" w:ascii="宋体" w:hAnsi="宋体" w:cs="宋体"/>
          <w:highlight w:val="none"/>
        </w:rPr>
      </w:pPr>
      <w:r>
        <w:rPr>
          <w:rFonts w:hint="eastAsia" w:ascii="宋体" w:hAnsi="宋体" w:cs="宋体"/>
          <w:highlight w:val="none"/>
        </w:rPr>
        <w:t>（2）承包人设备的损坏由承包人承担；</w:t>
      </w:r>
    </w:p>
    <w:p w14:paraId="5956B812">
      <w:pPr>
        <w:spacing w:line="360" w:lineRule="auto"/>
        <w:ind w:firstLine="718" w:firstLineChars="342"/>
        <w:rPr>
          <w:rFonts w:hint="eastAsia" w:ascii="宋体" w:hAnsi="宋体" w:cs="宋体"/>
          <w:highlight w:val="none"/>
        </w:rPr>
      </w:pPr>
      <w:r>
        <w:rPr>
          <w:rFonts w:hint="eastAsia" w:ascii="宋体" w:hAnsi="宋体" w:cs="宋体"/>
          <w:highlight w:val="none"/>
        </w:rPr>
        <w:t>（3）发包人和承包人各自承担其人员伤亡和其他财产损失及其相关费用；</w:t>
      </w:r>
    </w:p>
    <w:p w14:paraId="6EE07921">
      <w:pPr>
        <w:spacing w:line="360" w:lineRule="auto"/>
        <w:ind w:firstLine="718" w:firstLineChars="342"/>
        <w:rPr>
          <w:rFonts w:hint="eastAsia" w:ascii="宋体" w:hAnsi="宋体" w:cs="宋体"/>
          <w:highlight w:val="none"/>
        </w:rPr>
      </w:pPr>
      <w:r>
        <w:rPr>
          <w:rFonts w:hint="eastAsia" w:ascii="宋体" w:hAnsi="宋体" w:cs="宋体"/>
          <w:highlight w:val="none"/>
        </w:rPr>
        <w:t>（4）承包人的停工损失由承包人承担，但停工期间应监理人要求照管工程和清理、修复工程的金额由发包人承担；</w:t>
      </w:r>
    </w:p>
    <w:p w14:paraId="3493EB16">
      <w:pPr>
        <w:spacing w:line="360" w:lineRule="auto"/>
        <w:ind w:firstLine="718" w:firstLineChars="342"/>
        <w:rPr>
          <w:rFonts w:hint="eastAsia" w:ascii="宋体" w:hAnsi="宋体" w:cs="宋体"/>
          <w:highlight w:val="none"/>
        </w:rPr>
      </w:pPr>
      <w:r>
        <w:rPr>
          <w:rFonts w:hint="eastAsia" w:ascii="宋体" w:hAnsi="宋体" w:cs="宋体"/>
          <w:highlight w:val="none"/>
        </w:rPr>
        <w:t>（5）不能按期竣工的，应合理延长工期，承包人不需支付逾期竣工违约金。发包人要求赶工的，承包人应采取赶工措施，赶工费用由发包人承担。</w:t>
      </w:r>
    </w:p>
    <w:p w14:paraId="29AE8DD3">
      <w:pPr>
        <w:spacing w:line="360" w:lineRule="auto"/>
        <w:ind w:firstLine="420" w:firstLineChars="200"/>
        <w:rPr>
          <w:rFonts w:hint="eastAsia" w:ascii="宋体" w:hAnsi="宋体" w:cs="宋体"/>
          <w:highlight w:val="none"/>
        </w:rPr>
      </w:pPr>
      <w:r>
        <w:rPr>
          <w:rFonts w:hint="eastAsia" w:ascii="宋体" w:hAnsi="宋体" w:cs="宋体"/>
          <w:highlight w:val="none"/>
        </w:rPr>
        <w:t>21.3.2 延迟履行期间发生的不可抗力</w:t>
      </w:r>
    </w:p>
    <w:p w14:paraId="2883A189">
      <w:pPr>
        <w:spacing w:line="360" w:lineRule="auto"/>
        <w:ind w:firstLine="420" w:firstLineChars="200"/>
        <w:rPr>
          <w:rFonts w:hint="eastAsia" w:ascii="宋体" w:hAnsi="宋体" w:cs="宋体"/>
          <w:highlight w:val="none"/>
        </w:rPr>
      </w:pPr>
      <w:r>
        <w:rPr>
          <w:rFonts w:hint="eastAsia" w:ascii="宋体" w:hAnsi="宋体" w:cs="宋体"/>
          <w:highlight w:val="none"/>
        </w:rPr>
        <w:t>合同一方当事人延迟履行，在延迟履行期间发生不可抗力的，不免除其责任。</w:t>
      </w:r>
    </w:p>
    <w:p w14:paraId="5CD8BBFE">
      <w:pPr>
        <w:spacing w:line="360" w:lineRule="auto"/>
        <w:ind w:firstLine="420" w:firstLineChars="200"/>
        <w:rPr>
          <w:rFonts w:hint="eastAsia" w:ascii="宋体" w:hAnsi="宋体" w:cs="宋体"/>
          <w:highlight w:val="none"/>
        </w:rPr>
      </w:pPr>
      <w:r>
        <w:rPr>
          <w:rFonts w:hint="eastAsia" w:ascii="宋体" w:hAnsi="宋体" w:cs="宋体"/>
          <w:highlight w:val="none"/>
        </w:rPr>
        <w:t>21.3.3 避免和减少不可抗力损失</w:t>
      </w:r>
    </w:p>
    <w:p w14:paraId="01B0D419">
      <w:pPr>
        <w:spacing w:line="360" w:lineRule="auto"/>
        <w:ind w:firstLine="420" w:firstLineChars="200"/>
        <w:rPr>
          <w:rFonts w:hint="eastAsia" w:ascii="宋体" w:hAnsi="宋体" w:cs="宋体"/>
          <w:highlight w:val="none"/>
        </w:rPr>
      </w:pPr>
      <w:r>
        <w:rPr>
          <w:rFonts w:hint="eastAsia" w:ascii="宋体" w:hAnsi="宋体" w:cs="宋体"/>
          <w:highlight w:val="none"/>
        </w:rPr>
        <w:t>不可抗力发生后，发包人和承包人均应采取措施尽量避免和减少损失的扩大，任何一方没有采取有效措施导致损失扩大的，应对扩大的损失承担责任。</w:t>
      </w:r>
    </w:p>
    <w:p w14:paraId="77C567DE">
      <w:pPr>
        <w:spacing w:line="360" w:lineRule="auto"/>
        <w:ind w:firstLine="420" w:firstLineChars="200"/>
        <w:rPr>
          <w:rFonts w:hint="eastAsia" w:ascii="宋体" w:hAnsi="宋体" w:cs="宋体"/>
          <w:highlight w:val="none"/>
        </w:rPr>
      </w:pPr>
      <w:r>
        <w:rPr>
          <w:rFonts w:hint="eastAsia" w:ascii="宋体" w:hAnsi="宋体" w:cs="宋体"/>
          <w:highlight w:val="none"/>
        </w:rPr>
        <w:t>21.3.4 因不可抗力解除合同</w:t>
      </w:r>
    </w:p>
    <w:p w14:paraId="6B2EB6F8">
      <w:pPr>
        <w:spacing w:line="360" w:lineRule="auto"/>
        <w:ind w:firstLine="420" w:firstLineChars="200"/>
        <w:rPr>
          <w:rFonts w:hint="eastAsia" w:ascii="宋体" w:hAnsi="宋体" w:cs="宋体"/>
          <w:highlight w:val="none"/>
        </w:rPr>
      </w:pPr>
      <w:r>
        <w:rPr>
          <w:rFonts w:hint="eastAsia" w:ascii="宋体" w:hAnsi="宋体" w:cs="宋体"/>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A2E3AA8">
      <w:pPr>
        <w:rPr>
          <w:rFonts w:hint="eastAsia" w:ascii="宋体" w:hAnsi="宋体" w:cs="宋体"/>
          <w:highlight w:val="none"/>
        </w:rPr>
      </w:pPr>
      <w:bookmarkStart w:id="1532" w:name="_Toc179632771"/>
      <w:bookmarkStart w:id="1533" w:name="_Toc342296404"/>
      <w:bookmarkStart w:id="1534" w:name="_Toc152045753"/>
      <w:bookmarkStart w:id="1535" w:name="_Toc152042532"/>
      <w:bookmarkStart w:id="1536" w:name="_Toc144974724"/>
      <w:bookmarkStart w:id="1537" w:name="_Toc503536231"/>
      <w:bookmarkStart w:id="1538" w:name="_Toc338944846"/>
      <w:bookmarkStart w:id="1539" w:name="_Toc2052"/>
      <w:bookmarkStart w:id="1540" w:name="_Toc4157306"/>
      <w:r>
        <w:rPr>
          <w:rFonts w:hint="eastAsia" w:ascii="宋体" w:hAnsi="宋体" w:cs="宋体"/>
          <w:highlight w:val="none"/>
        </w:rPr>
        <w:t>22. 违约</w:t>
      </w:r>
      <w:bookmarkEnd w:id="1532"/>
      <w:bookmarkEnd w:id="1533"/>
      <w:bookmarkEnd w:id="1534"/>
      <w:bookmarkEnd w:id="1535"/>
      <w:bookmarkEnd w:id="1536"/>
      <w:bookmarkEnd w:id="1537"/>
      <w:bookmarkEnd w:id="1538"/>
      <w:bookmarkEnd w:id="1539"/>
      <w:bookmarkEnd w:id="1540"/>
    </w:p>
    <w:p w14:paraId="5A8D34E4">
      <w:pPr>
        <w:spacing w:line="360" w:lineRule="auto"/>
        <w:rPr>
          <w:rFonts w:hint="eastAsia" w:ascii="宋体" w:hAnsi="宋体" w:cs="宋体"/>
          <w:highlight w:val="none"/>
        </w:rPr>
      </w:pPr>
      <w:bookmarkStart w:id="1541" w:name="_Toc338944847"/>
      <w:bookmarkStart w:id="1542" w:name="_Toc152045754"/>
      <w:bookmarkStart w:id="1543" w:name="_Toc179632772"/>
      <w:bookmarkStart w:id="1544" w:name="_Toc342296405"/>
      <w:bookmarkStart w:id="1545" w:name="_Toc503536232"/>
      <w:bookmarkStart w:id="1546" w:name="_Toc144974725"/>
      <w:bookmarkStart w:id="1547" w:name="_Toc454359321"/>
      <w:bookmarkStart w:id="1548" w:name="_Toc152042533"/>
      <w:r>
        <w:rPr>
          <w:rFonts w:hint="eastAsia" w:ascii="宋体" w:hAnsi="宋体" w:cs="宋体"/>
          <w:highlight w:val="none"/>
        </w:rPr>
        <w:t>22.1 承包人违约</w:t>
      </w:r>
      <w:bookmarkEnd w:id="1541"/>
      <w:bookmarkEnd w:id="1542"/>
      <w:bookmarkEnd w:id="1543"/>
      <w:bookmarkEnd w:id="1544"/>
      <w:bookmarkEnd w:id="1545"/>
      <w:bookmarkEnd w:id="1546"/>
      <w:bookmarkEnd w:id="1547"/>
      <w:bookmarkEnd w:id="1548"/>
    </w:p>
    <w:p w14:paraId="76330463">
      <w:pPr>
        <w:spacing w:line="360" w:lineRule="auto"/>
        <w:ind w:firstLine="420" w:firstLineChars="200"/>
        <w:rPr>
          <w:rFonts w:hint="eastAsia" w:ascii="宋体" w:hAnsi="宋体" w:cs="宋体"/>
          <w:highlight w:val="none"/>
        </w:rPr>
      </w:pPr>
      <w:r>
        <w:rPr>
          <w:rFonts w:hint="eastAsia" w:ascii="宋体" w:hAnsi="宋体" w:cs="宋体"/>
          <w:highlight w:val="none"/>
        </w:rPr>
        <w:t>22.1.1 承包人违约的情形</w:t>
      </w:r>
    </w:p>
    <w:p w14:paraId="1E3C49F2">
      <w:pPr>
        <w:spacing w:line="360" w:lineRule="auto"/>
        <w:ind w:firstLine="420" w:firstLineChars="200"/>
        <w:rPr>
          <w:rFonts w:hint="eastAsia" w:ascii="宋体" w:hAnsi="宋体" w:cs="宋体"/>
          <w:highlight w:val="none"/>
        </w:rPr>
      </w:pPr>
      <w:r>
        <w:rPr>
          <w:rFonts w:hint="eastAsia" w:ascii="宋体" w:hAnsi="宋体" w:cs="宋体"/>
          <w:highlight w:val="none"/>
        </w:rPr>
        <w:t>在履行合同过程中发生的下列情况属承包人违约：</w:t>
      </w:r>
    </w:p>
    <w:p w14:paraId="09ED85AF">
      <w:pPr>
        <w:spacing w:line="360" w:lineRule="auto"/>
        <w:ind w:firstLine="718" w:firstLineChars="342"/>
        <w:rPr>
          <w:rFonts w:hint="eastAsia" w:ascii="宋体" w:hAnsi="宋体" w:cs="宋体"/>
          <w:highlight w:val="none"/>
        </w:rPr>
      </w:pPr>
      <w:r>
        <w:rPr>
          <w:rFonts w:hint="eastAsia" w:ascii="宋体" w:hAnsi="宋体" w:cs="宋体"/>
          <w:highlight w:val="none"/>
        </w:rPr>
        <w:t>（1）承包人违反第1.8款或第4.3款的约定，私自将合同的全部或部分权利转让给其他人，或私自将合同的全部或部分义务转移给其他人；</w:t>
      </w:r>
    </w:p>
    <w:p w14:paraId="782E49F6">
      <w:pPr>
        <w:spacing w:line="360" w:lineRule="auto"/>
        <w:ind w:firstLine="718" w:firstLineChars="342"/>
        <w:rPr>
          <w:rFonts w:hint="eastAsia" w:ascii="宋体" w:hAnsi="宋体" w:cs="宋体"/>
          <w:highlight w:val="none"/>
        </w:rPr>
      </w:pPr>
      <w:r>
        <w:rPr>
          <w:rFonts w:hint="eastAsia" w:ascii="宋体" w:hAnsi="宋体" w:cs="宋体"/>
          <w:highlight w:val="none"/>
        </w:rPr>
        <w:t>（2）承包人违反第5.3款或第6.4款的约定，未经监理人批准，私自将已按合同约定进入施工场地的施工设备、临时设施或材料撤离施工场地；</w:t>
      </w:r>
    </w:p>
    <w:p w14:paraId="22D855D5">
      <w:pPr>
        <w:spacing w:line="360" w:lineRule="auto"/>
        <w:ind w:firstLine="718" w:firstLineChars="342"/>
        <w:rPr>
          <w:rFonts w:hint="eastAsia" w:ascii="宋体" w:hAnsi="宋体" w:cs="宋体"/>
          <w:highlight w:val="none"/>
        </w:rPr>
      </w:pPr>
      <w:r>
        <w:rPr>
          <w:rFonts w:hint="eastAsia" w:ascii="宋体" w:hAnsi="宋体" w:cs="宋体"/>
          <w:highlight w:val="none"/>
        </w:rPr>
        <w:t>（3）承包人违反第5.4款的约定使用了不合格材料或工程设备，工程质量达不到标准要求，又拒绝清除不合格工程；</w:t>
      </w:r>
    </w:p>
    <w:p w14:paraId="6061A2C5">
      <w:pPr>
        <w:spacing w:line="360" w:lineRule="auto"/>
        <w:ind w:firstLine="718" w:firstLineChars="342"/>
        <w:rPr>
          <w:rFonts w:hint="eastAsia" w:ascii="宋体" w:hAnsi="宋体" w:cs="宋体"/>
          <w:highlight w:val="none"/>
        </w:rPr>
      </w:pPr>
      <w:r>
        <w:rPr>
          <w:rFonts w:hint="eastAsia" w:ascii="宋体" w:hAnsi="宋体" w:cs="宋体"/>
          <w:highlight w:val="none"/>
        </w:rPr>
        <w:t>（4）承包人未能按合同进度计划及时完成合同约定的工作，已造成或预期造成工期延误；</w:t>
      </w:r>
    </w:p>
    <w:p w14:paraId="1CAE49F8">
      <w:pPr>
        <w:spacing w:line="360" w:lineRule="auto"/>
        <w:ind w:firstLine="718" w:firstLineChars="342"/>
        <w:rPr>
          <w:rFonts w:hint="eastAsia" w:ascii="宋体" w:hAnsi="宋体" w:cs="宋体"/>
          <w:highlight w:val="none"/>
        </w:rPr>
      </w:pPr>
      <w:r>
        <w:rPr>
          <w:rFonts w:hint="eastAsia" w:ascii="宋体" w:hAnsi="宋体" w:cs="宋体"/>
          <w:highlight w:val="none"/>
        </w:rPr>
        <w:t>（5）承包人在缺陷责任期内，未能对工程接收证书所列的缺陷清单的内容或缺陷责任期内发生的缺陷进行修复，而又拒绝按监理人指示再进行修补；</w:t>
      </w:r>
    </w:p>
    <w:p w14:paraId="65585FDF">
      <w:pPr>
        <w:spacing w:line="360" w:lineRule="auto"/>
        <w:ind w:firstLine="718" w:firstLineChars="342"/>
        <w:rPr>
          <w:rFonts w:hint="eastAsia" w:ascii="宋体" w:hAnsi="宋体" w:cs="宋体"/>
          <w:highlight w:val="none"/>
        </w:rPr>
      </w:pPr>
      <w:r>
        <w:rPr>
          <w:rFonts w:hint="eastAsia" w:ascii="宋体" w:hAnsi="宋体" w:cs="宋体"/>
          <w:highlight w:val="none"/>
        </w:rPr>
        <w:t>（6）承包人无法继续履行或明确表示不履行或实质上已停止履行合同；</w:t>
      </w:r>
    </w:p>
    <w:p w14:paraId="0A62D15F">
      <w:pPr>
        <w:spacing w:line="360" w:lineRule="auto"/>
        <w:ind w:firstLine="718" w:firstLineChars="342"/>
        <w:rPr>
          <w:rFonts w:hint="eastAsia" w:ascii="宋体" w:hAnsi="宋体" w:cs="宋体"/>
          <w:highlight w:val="none"/>
        </w:rPr>
      </w:pPr>
      <w:r>
        <w:rPr>
          <w:rFonts w:hint="eastAsia" w:ascii="宋体" w:hAnsi="宋体" w:cs="宋体"/>
          <w:highlight w:val="none"/>
        </w:rPr>
        <w:t>（7）承包人不按合同约定履行义务的其他情况。</w:t>
      </w:r>
    </w:p>
    <w:p w14:paraId="0C06D772">
      <w:pPr>
        <w:spacing w:line="360" w:lineRule="auto"/>
        <w:ind w:firstLine="420" w:firstLineChars="200"/>
        <w:rPr>
          <w:rFonts w:hint="eastAsia" w:ascii="宋体" w:hAnsi="宋体" w:cs="宋体"/>
          <w:highlight w:val="none"/>
        </w:rPr>
      </w:pPr>
      <w:r>
        <w:rPr>
          <w:rFonts w:hint="eastAsia" w:ascii="宋体" w:hAnsi="宋体" w:cs="宋体"/>
          <w:highlight w:val="none"/>
        </w:rPr>
        <w:t>22.1.2 对承包人违约的处理</w:t>
      </w:r>
    </w:p>
    <w:p w14:paraId="7D83F126">
      <w:pPr>
        <w:spacing w:line="360" w:lineRule="auto"/>
        <w:ind w:firstLine="718" w:firstLineChars="342"/>
        <w:rPr>
          <w:rFonts w:hint="eastAsia" w:ascii="宋体" w:hAnsi="宋体" w:cs="宋体"/>
          <w:highlight w:val="none"/>
        </w:rPr>
      </w:pPr>
      <w:r>
        <w:rPr>
          <w:rFonts w:hint="eastAsia" w:ascii="宋体" w:hAnsi="宋体" w:cs="宋体"/>
          <w:highlight w:val="none"/>
        </w:rPr>
        <w:t>（1）承包人发生第22.1.1（6）目约定的违约情况时，发包人可通知承包人立即解除合同，并按有关法律处理。</w:t>
      </w:r>
    </w:p>
    <w:p w14:paraId="49C73C9C">
      <w:pPr>
        <w:spacing w:line="360" w:lineRule="auto"/>
        <w:ind w:firstLine="718" w:firstLineChars="342"/>
        <w:rPr>
          <w:rFonts w:hint="eastAsia" w:ascii="宋体" w:hAnsi="宋体" w:cs="宋体"/>
          <w:highlight w:val="none"/>
        </w:rPr>
      </w:pPr>
      <w:r>
        <w:rPr>
          <w:rFonts w:hint="eastAsia" w:ascii="宋体" w:hAnsi="宋体" w:cs="宋体"/>
          <w:highlight w:val="none"/>
        </w:rPr>
        <w:t>（2）承包人发生除第22.1.1（6）目约定以外的其他违约情况时，监理人可向承包人发出整改通知，要求其在指定的期限内改正。承包人应承担其违约所引起的费用增加和（或）工期延误。</w:t>
      </w:r>
    </w:p>
    <w:p w14:paraId="7B6D059C">
      <w:pPr>
        <w:spacing w:line="360" w:lineRule="auto"/>
        <w:ind w:firstLine="718" w:firstLineChars="342"/>
        <w:rPr>
          <w:rFonts w:hint="eastAsia" w:ascii="宋体" w:hAnsi="宋体" w:cs="宋体"/>
          <w:highlight w:val="none"/>
        </w:rPr>
      </w:pPr>
      <w:r>
        <w:rPr>
          <w:rFonts w:hint="eastAsia" w:ascii="宋体" w:hAnsi="宋体" w:cs="宋体"/>
          <w:highlight w:val="none"/>
        </w:rPr>
        <w:t>（3）经检查证明承包人已采取了有效措施纠正违约行为，具备复工条件的，可由监理人签发复工通知复工。</w:t>
      </w:r>
    </w:p>
    <w:p w14:paraId="207D22D1">
      <w:pPr>
        <w:spacing w:line="360" w:lineRule="auto"/>
        <w:ind w:firstLine="420" w:firstLineChars="200"/>
        <w:rPr>
          <w:rFonts w:hint="eastAsia" w:ascii="宋体" w:hAnsi="宋体" w:cs="宋体"/>
          <w:highlight w:val="none"/>
        </w:rPr>
      </w:pPr>
      <w:r>
        <w:rPr>
          <w:rFonts w:hint="eastAsia" w:ascii="宋体" w:hAnsi="宋体" w:cs="宋体"/>
          <w:highlight w:val="none"/>
        </w:rPr>
        <w:t>22.1.3 承包人违约解除合同</w:t>
      </w:r>
    </w:p>
    <w:p w14:paraId="7BAD6A30">
      <w:pPr>
        <w:spacing w:line="360" w:lineRule="auto"/>
        <w:ind w:firstLine="420" w:firstLineChars="200"/>
        <w:rPr>
          <w:rFonts w:hint="eastAsia" w:ascii="宋体" w:hAnsi="宋体" w:cs="宋体"/>
          <w:highlight w:val="none"/>
        </w:rPr>
      </w:pPr>
      <w:r>
        <w:rPr>
          <w:rFonts w:hint="eastAsia" w:ascii="宋体" w:hAnsi="宋体" w:cs="宋体"/>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46CFB178">
      <w:pPr>
        <w:spacing w:line="360" w:lineRule="auto"/>
        <w:ind w:firstLine="420" w:firstLineChars="200"/>
        <w:rPr>
          <w:rFonts w:hint="eastAsia" w:ascii="宋体" w:hAnsi="宋体" w:cs="宋体"/>
          <w:highlight w:val="none"/>
        </w:rPr>
      </w:pPr>
      <w:r>
        <w:rPr>
          <w:rFonts w:hint="eastAsia" w:ascii="宋体" w:hAnsi="宋体" w:cs="宋体"/>
          <w:highlight w:val="none"/>
        </w:rPr>
        <w:t>22.1.4 合同解除后的估价、付款和结清</w:t>
      </w:r>
    </w:p>
    <w:p w14:paraId="28D81027">
      <w:pPr>
        <w:spacing w:line="360" w:lineRule="auto"/>
        <w:ind w:firstLine="718" w:firstLineChars="342"/>
        <w:rPr>
          <w:rFonts w:hint="eastAsia" w:ascii="宋体" w:hAnsi="宋体" w:cs="宋体"/>
          <w:highlight w:val="none"/>
        </w:rPr>
      </w:pPr>
      <w:r>
        <w:rPr>
          <w:rFonts w:hint="eastAsia" w:ascii="宋体" w:hAnsi="宋体" w:cs="宋体"/>
          <w:highlight w:val="none"/>
        </w:rPr>
        <w:t xml:space="preserve">（1）合同解除后，监理人按第3.5款商定或确定承包人实际完成工作的价值，以及承包人已提供的材料、施工设备、工程设备和临时工程等的价值。 </w:t>
      </w:r>
    </w:p>
    <w:p w14:paraId="03F06D8E">
      <w:pPr>
        <w:spacing w:line="360" w:lineRule="auto"/>
        <w:ind w:firstLine="718" w:firstLineChars="342"/>
        <w:rPr>
          <w:rFonts w:hint="eastAsia" w:ascii="宋体" w:hAnsi="宋体" w:cs="宋体"/>
          <w:highlight w:val="none"/>
        </w:rPr>
      </w:pPr>
      <w:r>
        <w:rPr>
          <w:rFonts w:hint="eastAsia" w:ascii="宋体" w:hAnsi="宋体" w:cs="宋体"/>
          <w:highlight w:val="none"/>
        </w:rPr>
        <w:t xml:space="preserve">（2）合同解除后，发包人应暂停对承包人的一切付款，查清各项付款和已扣款金额，包括承包人应支付的违约金。 </w:t>
      </w:r>
    </w:p>
    <w:p w14:paraId="39A79BB4">
      <w:pPr>
        <w:spacing w:line="360" w:lineRule="auto"/>
        <w:ind w:firstLine="718" w:firstLineChars="342"/>
        <w:rPr>
          <w:rFonts w:hint="eastAsia" w:ascii="宋体" w:hAnsi="宋体" w:cs="宋体"/>
          <w:highlight w:val="none"/>
        </w:rPr>
      </w:pPr>
      <w:r>
        <w:rPr>
          <w:rFonts w:hint="eastAsia" w:ascii="宋体" w:hAnsi="宋体" w:cs="宋体"/>
          <w:highlight w:val="none"/>
        </w:rPr>
        <w:t>（3）合同解除后，发包人应按第23.4款的约定向承包人索赔由于解除合同给发包人造成的损失。</w:t>
      </w:r>
    </w:p>
    <w:p w14:paraId="6E0D2E4A">
      <w:pPr>
        <w:spacing w:line="360" w:lineRule="auto"/>
        <w:ind w:firstLine="718" w:firstLineChars="342"/>
        <w:rPr>
          <w:rFonts w:hint="eastAsia" w:ascii="宋体" w:hAnsi="宋体" w:cs="宋体"/>
          <w:highlight w:val="none"/>
        </w:rPr>
      </w:pPr>
      <w:r>
        <w:rPr>
          <w:rFonts w:hint="eastAsia" w:ascii="宋体" w:hAnsi="宋体" w:cs="宋体"/>
          <w:highlight w:val="none"/>
        </w:rPr>
        <w:t>（4）合同双方确认上述往来款项后，出具最终结清付款证书，结清全部合同款项。</w:t>
      </w:r>
    </w:p>
    <w:p w14:paraId="0AB5CE4A">
      <w:pPr>
        <w:spacing w:line="360" w:lineRule="auto"/>
        <w:ind w:firstLine="718" w:firstLineChars="342"/>
        <w:rPr>
          <w:rFonts w:hint="eastAsia" w:ascii="宋体" w:hAnsi="宋体" w:cs="宋体"/>
          <w:highlight w:val="none"/>
        </w:rPr>
      </w:pPr>
      <w:r>
        <w:rPr>
          <w:rFonts w:hint="eastAsia" w:ascii="宋体" w:hAnsi="宋体" w:cs="宋体"/>
          <w:highlight w:val="none"/>
        </w:rPr>
        <w:t>（5）发包人和承包人未能就解除合同后的结清达成一致而形成争议的，按第24条的约定办理。</w:t>
      </w:r>
    </w:p>
    <w:p w14:paraId="7BB794AB">
      <w:pPr>
        <w:spacing w:line="360" w:lineRule="auto"/>
        <w:ind w:firstLine="420" w:firstLineChars="200"/>
        <w:rPr>
          <w:rFonts w:hint="eastAsia" w:ascii="宋体" w:hAnsi="宋体" w:cs="宋体"/>
          <w:highlight w:val="none"/>
        </w:rPr>
      </w:pPr>
      <w:r>
        <w:rPr>
          <w:rFonts w:hint="eastAsia" w:ascii="宋体" w:hAnsi="宋体" w:cs="宋体"/>
          <w:highlight w:val="none"/>
        </w:rPr>
        <w:t>22.1.5 协议利益的转让</w:t>
      </w:r>
    </w:p>
    <w:p w14:paraId="4CCF4F45">
      <w:pPr>
        <w:spacing w:line="360" w:lineRule="auto"/>
        <w:ind w:firstLine="420" w:firstLineChars="200"/>
        <w:rPr>
          <w:rFonts w:hint="eastAsia" w:ascii="宋体" w:hAnsi="宋体" w:cs="宋体"/>
          <w:highlight w:val="none"/>
        </w:rPr>
      </w:pPr>
      <w:r>
        <w:rPr>
          <w:rFonts w:hint="eastAsia" w:ascii="宋体" w:hAnsi="宋体" w:cs="宋体"/>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820DA50">
      <w:pPr>
        <w:spacing w:line="360" w:lineRule="auto"/>
        <w:ind w:firstLine="420" w:firstLineChars="200"/>
        <w:rPr>
          <w:rFonts w:hint="eastAsia" w:ascii="宋体" w:hAnsi="宋体" w:cs="宋体"/>
          <w:highlight w:val="none"/>
        </w:rPr>
      </w:pPr>
      <w:r>
        <w:rPr>
          <w:rFonts w:hint="eastAsia" w:ascii="宋体" w:hAnsi="宋体" w:cs="宋体"/>
          <w:highlight w:val="none"/>
        </w:rPr>
        <w:t>22.1.6 紧急情况下无能力或不愿进行抢救</w:t>
      </w:r>
    </w:p>
    <w:p w14:paraId="2F641D82">
      <w:pPr>
        <w:spacing w:line="360" w:lineRule="auto"/>
        <w:ind w:firstLine="420" w:firstLineChars="200"/>
        <w:rPr>
          <w:rFonts w:hint="eastAsia" w:ascii="宋体" w:hAnsi="宋体" w:cs="宋体"/>
          <w:highlight w:val="none"/>
        </w:rPr>
      </w:pPr>
      <w:r>
        <w:rPr>
          <w:rFonts w:hint="eastAsia" w:ascii="宋体" w:hAnsi="宋体" w:cs="宋体"/>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ECCD407">
      <w:pPr>
        <w:spacing w:line="360" w:lineRule="auto"/>
        <w:rPr>
          <w:rFonts w:hint="eastAsia" w:ascii="宋体" w:hAnsi="宋体" w:cs="宋体"/>
          <w:highlight w:val="none"/>
        </w:rPr>
      </w:pPr>
      <w:bookmarkStart w:id="1549" w:name="_Toc144974726"/>
      <w:bookmarkStart w:id="1550" w:name="_Toc503536233"/>
      <w:bookmarkStart w:id="1551" w:name="_Toc179632773"/>
      <w:bookmarkStart w:id="1552" w:name="_Toc152045755"/>
      <w:bookmarkStart w:id="1553" w:name="_Toc454359322"/>
      <w:bookmarkStart w:id="1554" w:name="_Toc152042534"/>
      <w:bookmarkStart w:id="1555" w:name="_Toc338944848"/>
      <w:bookmarkStart w:id="1556" w:name="_Toc342296406"/>
      <w:r>
        <w:rPr>
          <w:rFonts w:hint="eastAsia" w:ascii="宋体" w:hAnsi="宋体" w:cs="宋体"/>
          <w:highlight w:val="none"/>
        </w:rPr>
        <w:t>22.2 发包人违约</w:t>
      </w:r>
      <w:bookmarkEnd w:id="1549"/>
      <w:bookmarkEnd w:id="1550"/>
      <w:bookmarkEnd w:id="1551"/>
      <w:bookmarkEnd w:id="1552"/>
      <w:bookmarkEnd w:id="1553"/>
      <w:bookmarkEnd w:id="1554"/>
      <w:bookmarkEnd w:id="1555"/>
      <w:bookmarkEnd w:id="1556"/>
    </w:p>
    <w:p w14:paraId="02EED52E">
      <w:pPr>
        <w:spacing w:line="360" w:lineRule="auto"/>
        <w:ind w:firstLine="420" w:firstLineChars="200"/>
        <w:rPr>
          <w:rFonts w:hint="eastAsia" w:ascii="宋体" w:hAnsi="宋体" w:cs="宋体"/>
          <w:highlight w:val="none"/>
        </w:rPr>
      </w:pPr>
      <w:r>
        <w:rPr>
          <w:rFonts w:hint="eastAsia" w:ascii="宋体" w:hAnsi="宋体" w:cs="宋体"/>
          <w:highlight w:val="none"/>
        </w:rPr>
        <w:t>22.2.1 发包人违约的情形</w:t>
      </w:r>
    </w:p>
    <w:p w14:paraId="1F7507E0">
      <w:pPr>
        <w:spacing w:line="360" w:lineRule="auto"/>
        <w:ind w:firstLine="420" w:firstLineChars="200"/>
        <w:rPr>
          <w:rFonts w:hint="eastAsia" w:ascii="宋体" w:hAnsi="宋体" w:cs="宋体"/>
          <w:highlight w:val="none"/>
        </w:rPr>
      </w:pPr>
      <w:r>
        <w:rPr>
          <w:rFonts w:hint="eastAsia" w:ascii="宋体" w:hAnsi="宋体" w:cs="宋体"/>
          <w:highlight w:val="none"/>
        </w:rPr>
        <w:t>在履行合同过程中发生的下列情形，属发包人违约：</w:t>
      </w:r>
    </w:p>
    <w:p w14:paraId="67BBDEC3">
      <w:pPr>
        <w:spacing w:line="360" w:lineRule="auto"/>
        <w:ind w:firstLine="718" w:firstLineChars="342"/>
        <w:rPr>
          <w:rFonts w:hint="eastAsia" w:ascii="宋体" w:hAnsi="宋体" w:cs="宋体"/>
          <w:highlight w:val="none"/>
        </w:rPr>
      </w:pPr>
      <w:r>
        <w:rPr>
          <w:rFonts w:hint="eastAsia" w:ascii="宋体" w:hAnsi="宋体" w:cs="宋体"/>
          <w:highlight w:val="none"/>
        </w:rPr>
        <w:t>（1）发包人未能按合同约定支付预付款或合同价款，或拖延、拒绝批准付款申请和支付凭证，导致付款延误的；</w:t>
      </w:r>
    </w:p>
    <w:p w14:paraId="2D5DCD23">
      <w:pPr>
        <w:spacing w:line="360" w:lineRule="auto"/>
        <w:ind w:firstLine="718" w:firstLineChars="342"/>
        <w:rPr>
          <w:rFonts w:hint="eastAsia" w:ascii="宋体" w:hAnsi="宋体" w:cs="宋体"/>
          <w:highlight w:val="none"/>
        </w:rPr>
      </w:pPr>
      <w:r>
        <w:rPr>
          <w:rFonts w:hint="eastAsia" w:ascii="宋体" w:hAnsi="宋体" w:cs="宋体"/>
          <w:highlight w:val="none"/>
        </w:rPr>
        <w:t>（2）发包人原因造成停工的；</w:t>
      </w:r>
    </w:p>
    <w:p w14:paraId="02937995">
      <w:pPr>
        <w:spacing w:line="360" w:lineRule="auto"/>
        <w:ind w:firstLine="718" w:firstLineChars="342"/>
        <w:rPr>
          <w:rFonts w:hint="eastAsia" w:ascii="宋体" w:hAnsi="宋体" w:cs="宋体"/>
          <w:highlight w:val="none"/>
        </w:rPr>
      </w:pPr>
      <w:r>
        <w:rPr>
          <w:rFonts w:hint="eastAsia" w:ascii="宋体" w:hAnsi="宋体" w:cs="宋体"/>
          <w:highlight w:val="none"/>
        </w:rPr>
        <w:t>（3）监理人无正当理由没有在约定期限内发出复工指示，导致承包人无法复工的；</w:t>
      </w:r>
    </w:p>
    <w:p w14:paraId="6EABEFA4">
      <w:pPr>
        <w:spacing w:line="360" w:lineRule="auto"/>
        <w:ind w:firstLine="718" w:firstLineChars="342"/>
        <w:rPr>
          <w:rFonts w:hint="eastAsia" w:ascii="宋体" w:hAnsi="宋体" w:cs="宋体"/>
          <w:highlight w:val="none"/>
        </w:rPr>
      </w:pPr>
      <w:r>
        <w:rPr>
          <w:rFonts w:hint="eastAsia" w:ascii="宋体" w:hAnsi="宋体" w:cs="宋体"/>
          <w:highlight w:val="none"/>
        </w:rPr>
        <w:t>（4）发包人无法继续履行或明确表示不履行或实质上已停止履行合同的；</w:t>
      </w:r>
    </w:p>
    <w:p w14:paraId="55154E5B">
      <w:pPr>
        <w:spacing w:line="360" w:lineRule="auto"/>
        <w:ind w:firstLine="718" w:firstLineChars="342"/>
        <w:rPr>
          <w:rFonts w:hint="eastAsia" w:ascii="宋体" w:hAnsi="宋体" w:cs="宋体"/>
          <w:highlight w:val="none"/>
        </w:rPr>
      </w:pPr>
      <w:r>
        <w:rPr>
          <w:rFonts w:hint="eastAsia" w:ascii="宋体" w:hAnsi="宋体" w:cs="宋体"/>
          <w:highlight w:val="none"/>
        </w:rPr>
        <w:t>（5）发包人不履行合同约定其他义务的。</w:t>
      </w:r>
    </w:p>
    <w:p w14:paraId="2D6BD97E">
      <w:pPr>
        <w:spacing w:line="360" w:lineRule="auto"/>
        <w:ind w:firstLine="420" w:firstLineChars="200"/>
        <w:rPr>
          <w:rFonts w:hint="eastAsia" w:ascii="宋体" w:hAnsi="宋体" w:cs="宋体"/>
          <w:highlight w:val="none"/>
        </w:rPr>
      </w:pPr>
      <w:r>
        <w:rPr>
          <w:rFonts w:hint="eastAsia" w:ascii="宋体" w:hAnsi="宋体" w:cs="宋体"/>
          <w:highlight w:val="none"/>
        </w:rPr>
        <w:t>22.2.2 承包人有权暂停施工</w:t>
      </w:r>
    </w:p>
    <w:p w14:paraId="1D8387D9">
      <w:pPr>
        <w:spacing w:line="360" w:lineRule="auto"/>
        <w:ind w:firstLine="420" w:firstLineChars="200"/>
        <w:rPr>
          <w:rFonts w:hint="eastAsia" w:ascii="宋体" w:hAnsi="宋体" w:cs="宋体"/>
          <w:highlight w:val="none"/>
        </w:rPr>
      </w:pPr>
      <w:r>
        <w:rPr>
          <w:rFonts w:hint="eastAsia" w:ascii="宋体" w:hAnsi="宋体" w:cs="宋体"/>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9FF57D6">
      <w:pPr>
        <w:spacing w:line="360" w:lineRule="auto"/>
        <w:ind w:firstLine="420" w:firstLineChars="200"/>
        <w:rPr>
          <w:rFonts w:hint="eastAsia" w:ascii="宋体" w:hAnsi="宋体" w:cs="宋体"/>
          <w:highlight w:val="none"/>
        </w:rPr>
      </w:pPr>
      <w:r>
        <w:rPr>
          <w:rFonts w:hint="eastAsia" w:ascii="宋体" w:hAnsi="宋体" w:cs="宋体"/>
          <w:highlight w:val="none"/>
        </w:rPr>
        <w:t xml:space="preserve">22.2.3 发包人违约解除合同 </w:t>
      </w:r>
    </w:p>
    <w:p w14:paraId="33D99BF0">
      <w:pPr>
        <w:spacing w:line="360" w:lineRule="auto"/>
        <w:ind w:firstLine="718" w:firstLineChars="342"/>
        <w:rPr>
          <w:rFonts w:hint="eastAsia" w:ascii="宋体" w:hAnsi="宋体" w:cs="宋体"/>
          <w:highlight w:val="none"/>
        </w:rPr>
      </w:pPr>
      <w:r>
        <w:rPr>
          <w:rFonts w:hint="eastAsia" w:ascii="宋体" w:hAnsi="宋体" w:cs="宋体"/>
          <w:highlight w:val="none"/>
        </w:rPr>
        <w:t xml:space="preserve">（1）发生第22.2.1（4）目的违约情况时，承包人可书面通知发包人解除合同。   </w:t>
      </w:r>
    </w:p>
    <w:p w14:paraId="3E400EF1">
      <w:pPr>
        <w:spacing w:line="360" w:lineRule="auto"/>
        <w:ind w:firstLine="718" w:firstLineChars="342"/>
        <w:rPr>
          <w:rFonts w:hint="eastAsia" w:ascii="宋体" w:hAnsi="宋体" w:cs="宋体"/>
          <w:highlight w:val="none"/>
        </w:rPr>
      </w:pPr>
      <w:r>
        <w:rPr>
          <w:rFonts w:hint="eastAsia" w:ascii="宋体" w:hAnsi="宋体" w:cs="宋体"/>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3A8A1BB4">
      <w:pPr>
        <w:spacing w:line="360" w:lineRule="auto"/>
        <w:ind w:firstLine="420" w:firstLineChars="200"/>
        <w:rPr>
          <w:rFonts w:hint="eastAsia" w:ascii="宋体" w:hAnsi="宋体" w:cs="宋体"/>
          <w:highlight w:val="none"/>
        </w:rPr>
      </w:pPr>
      <w:r>
        <w:rPr>
          <w:rFonts w:hint="eastAsia" w:ascii="宋体" w:hAnsi="宋体" w:cs="宋体"/>
          <w:highlight w:val="none"/>
        </w:rPr>
        <w:t>22.2.4 解除合同后的付款</w:t>
      </w:r>
    </w:p>
    <w:p w14:paraId="5F558E4C">
      <w:pPr>
        <w:spacing w:line="360" w:lineRule="auto"/>
        <w:ind w:firstLine="420" w:firstLineChars="200"/>
        <w:rPr>
          <w:rFonts w:hint="eastAsia" w:ascii="宋体" w:hAnsi="宋体" w:cs="宋体"/>
          <w:highlight w:val="none"/>
        </w:rPr>
      </w:pPr>
      <w:r>
        <w:rPr>
          <w:rFonts w:hint="eastAsia" w:ascii="宋体" w:hAnsi="宋体" w:cs="宋体"/>
          <w:highlight w:val="none"/>
        </w:rPr>
        <w:t>因发包人违约解除合同的，发包人应在解除合同后28天内向承包人支付下列金额，承包人应在此期限内及时向发包人提交要求支付下列金额的有关资料和凭证：</w:t>
      </w:r>
    </w:p>
    <w:p w14:paraId="7040E581">
      <w:pPr>
        <w:spacing w:line="360" w:lineRule="auto"/>
        <w:ind w:firstLine="718" w:firstLineChars="342"/>
        <w:rPr>
          <w:rFonts w:hint="eastAsia" w:ascii="宋体" w:hAnsi="宋体" w:cs="宋体"/>
          <w:highlight w:val="none"/>
        </w:rPr>
      </w:pPr>
      <w:r>
        <w:rPr>
          <w:rFonts w:hint="eastAsia" w:ascii="宋体" w:hAnsi="宋体" w:cs="宋体"/>
          <w:highlight w:val="none"/>
        </w:rPr>
        <w:t>（1）合同解除日以前所完成工作的价款；</w:t>
      </w:r>
    </w:p>
    <w:p w14:paraId="04B17549">
      <w:pPr>
        <w:spacing w:line="360" w:lineRule="auto"/>
        <w:ind w:firstLine="718" w:firstLineChars="342"/>
        <w:rPr>
          <w:rFonts w:hint="eastAsia" w:ascii="宋体" w:hAnsi="宋体" w:cs="宋体"/>
          <w:highlight w:val="none"/>
        </w:rPr>
      </w:pPr>
      <w:r>
        <w:rPr>
          <w:rFonts w:hint="eastAsia" w:ascii="宋体" w:hAnsi="宋体" w:cs="宋体"/>
          <w:highlight w:val="none"/>
        </w:rPr>
        <w:t>（2）承包人为该工程施工订购并已付款的材料、工程设备和其他物品的金额。发包人付还后，该材料、工程设备和其他物品归发包人所有；</w:t>
      </w:r>
    </w:p>
    <w:p w14:paraId="26ED28E5">
      <w:pPr>
        <w:spacing w:line="360" w:lineRule="auto"/>
        <w:ind w:firstLine="718" w:firstLineChars="342"/>
        <w:rPr>
          <w:rFonts w:hint="eastAsia" w:ascii="宋体" w:hAnsi="宋体" w:cs="宋体"/>
          <w:highlight w:val="none"/>
        </w:rPr>
      </w:pPr>
      <w:r>
        <w:rPr>
          <w:rFonts w:hint="eastAsia" w:ascii="宋体" w:hAnsi="宋体" w:cs="宋体"/>
          <w:highlight w:val="none"/>
        </w:rPr>
        <w:t>（3）承包人为完成工程所发生的，而发包人未支付的金额；</w:t>
      </w:r>
    </w:p>
    <w:p w14:paraId="73469595">
      <w:pPr>
        <w:spacing w:line="360" w:lineRule="auto"/>
        <w:ind w:firstLine="718" w:firstLineChars="342"/>
        <w:rPr>
          <w:rFonts w:hint="eastAsia" w:ascii="宋体" w:hAnsi="宋体" w:cs="宋体"/>
          <w:highlight w:val="none"/>
        </w:rPr>
      </w:pPr>
      <w:r>
        <w:rPr>
          <w:rFonts w:hint="eastAsia" w:ascii="宋体" w:hAnsi="宋体" w:cs="宋体"/>
          <w:highlight w:val="none"/>
        </w:rPr>
        <w:t>（4）承包人撤离施工场地以及遣散承包人人员的金额；</w:t>
      </w:r>
    </w:p>
    <w:p w14:paraId="75E55E66">
      <w:pPr>
        <w:spacing w:line="360" w:lineRule="auto"/>
        <w:ind w:firstLine="718" w:firstLineChars="342"/>
        <w:rPr>
          <w:rFonts w:hint="eastAsia" w:ascii="宋体" w:hAnsi="宋体" w:cs="宋体"/>
          <w:highlight w:val="none"/>
        </w:rPr>
      </w:pPr>
      <w:r>
        <w:rPr>
          <w:rFonts w:hint="eastAsia" w:ascii="宋体" w:hAnsi="宋体" w:cs="宋体"/>
          <w:highlight w:val="none"/>
        </w:rPr>
        <w:t>（5）由于解除合同应赔偿的承包人损失；</w:t>
      </w:r>
    </w:p>
    <w:p w14:paraId="7B637732">
      <w:pPr>
        <w:spacing w:line="360" w:lineRule="auto"/>
        <w:ind w:firstLine="718" w:firstLineChars="342"/>
        <w:rPr>
          <w:rFonts w:hint="eastAsia" w:ascii="宋体" w:hAnsi="宋体" w:cs="宋体"/>
          <w:highlight w:val="none"/>
        </w:rPr>
      </w:pPr>
      <w:r>
        <w:rPr>
          <w:rFonts w:hint="eastAsia" w:ascii="宋体" w:hAnsi="宋体" w:cs="宋体"/>
          <w:highlight w:val="none"/>
        </w:rPr>
        <w:t>（6）按合同约定在合同解除日前应支付给承包人的其他金额。</w:t>
      </w:r>
    </w:p>
    <w:p w14:paraId="31E0BB04">
      <w:pPr>
        <w:spacing w:line="360" w:lineRule="auto"/>
        <w:ind w:firstLine="420" w:firstLineChars="200"/>
        <w:rPr>
          <w:rFonts w:hint="eastAsia" w:ascii="宋体" w:hAnsi="宋体" w:cs="宋体"/>
          <w:highlight w:val="none"/>
        </w:rPr>
      </w:pPr>
      <w:r>
        <w:rPr>
          <w:rFonts w:hint="eastAsia" w:ascii="宋体" w:hAnsi="宋体" w:cs="宋体"/>
          <w:highlight w:val="none"/>
        </w:rPr>
        <w:t>发包人应按本项约定支付上述金额并退还质量保证金和履约担保，但有权要求承包人支付应偿还给发包人的各项金额。</w:t>
      </w:r>
    </w:p>
    <w:p w14:paraId="15735A0E">
      <w:pPr>
        <w:spacing w:line="360" w:lineRule="auto"/>
        <w:ind w:firstLine="420" w:firstLineChars="200"/>
        <w:rPr>
          <w:rFonts w:hint="eastAsia" w:ascii="宋体" w:hAnsi="宋体" w:cs="宋体"/>
          <w:highlight w:val="none"/>
        </w:rPr>
      </w:pPr>
      <w:r>
        <w:rPr>
          <w:rFonts w:hint="eastAsia" w:ascii="宋体" w:hAnsi="宋体" w:cs="宋体"/>
          <w:highlight w:val="none"/>
        </w:rPr>
        <w:t>22.2.5 解除合同后的承包人撤离</w:t>
      </w:r>
    </w:p>
    <w:p w14:paraId="05527726">
      <w:pPr>
        <w:spacing w:line="360" w:lineRule="auto"/>
        <w:ind w:firstLine="420" w:firstLineChars="200"/>
        <w:rPr>
          <w:rFonts w:hint="eastAsia" w:ascii="宋体" w:hAnsi="宋体" w:cs="宋体"/>
          <w:highlight w:val="none"/>
        </w:rPr>
      </w:pPr>
      <w:r>
        <w:rPr>
          <w:rFonts w:hint="eastAsia" w:ascii="宋体" w:hAnsi="宋体" w:cs="宋体"/>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47B198CA">
      <w:pPr>
        <w:spacing w:line="360" w:lineRule="auto"/>
        <w:rPr>
          <w:rFonts w:hint="eastAsia" w:ascii="宋体" w:hAnsi="宋体" w:cs="宋体"/>
          <w:highlight w:val="none"/>
        </w:rPr>
      </w:pPr>
      <w:bookmarkStart w:id="1557" w:name="_Toc503536234"/>
      <w:bookmarkStart w:id="1558" w:name="_Toc342296407"/>
      <w:bookmarkStart w:id="1559" w:name="_Toc454359323"/>
      <w:bookmarkStart w:id="1560" w:name="_Toc152042535"/>
      <w:bookmarkStart w:id="1561" w:name="_Toc338944849"/>
      <w:bookmarkStart w:id="1562" w:name="_Toc152045756"/>
      <w:bookmarkStart w:id="1563" w:name="_Toc179632774"/>
      <w:r>
        <w:rPr>
          <w:rFonts w:hint="eastAsia" w:ascii="宋体" w:hAnsi="宋体" w:cs="宋体"/>
          <w:highlight w:val="none"/>
        </w:rPr>
        <w:t>22.3 第三人造成的违约</w:t>
      </w:r>
      <w:bookmarkEnd w:id="1557"/>
      <w:bookmarkEnd w:id="1558"/>
      <w:bookmarkEnd w:id="1559"/>
      <w:bookmarkEnd w:id="1560"/>
      <w:bookmarkEnd w:id="1561"/>
      <w:bookmarkEnd w:id="1562"/>
      <w:bookmarkEnd w:id="1563"/>
    </w:p>
    <w:p w14:paraId="033F48C4">
      <w:pPr>
        <w:spacing w:line="360" w:lineRule="auto"/>
        <w:ind w:firstLine="420" w:firstLineChars="200"/>
        <w:rPr>
          <w:rFonts w:hint="eastAsia" w:ascii="宋体" w:hAnsi="宋体" w:cs="宋体"/>
          <w:highlight w:val="none"/>
        </w:rPr>
      </w:pPr>
      <w:r>
        <w:rPr>
          <w:rFonts w:hint="eastAsia" w:ascii="宋体" w:hAnsi="宋体" w:cs="宋体"/>
          <w:highlight w:val="none"/>
        </w:rPr>
        <w:t>在履行合同过程中，一方当事人因第三人的原因造成违约的，应当向对方当事人承担违约责任。一方当事人和第三人之间的纠纷，依照法律规定或者按照约定解决。</w:t>
      </w:r>
    </w:p>
    <w:p w14:paraId="2DD73057">
      <w:pPr>
        <w:rPr>
          <w:rFonts w:hint="eastAsia" w:ascii="宋体" w:hAnsi="宋体" w:cs="宋体"/>
          <w:highlight w:val="none"/>
        </w:rPr>
      </w:pPr>
      <w:bookmarkStart w:id="1564" w:name="_Toc4157307"/>
      <w:bookmarkStart w:id="1565" w:name="_Toc503536235"/>
      <w:bookmarkStart w:id="1566" w:name="_Toc342296408"/>
      <w:bookmarkStart w:id="1567" w:name="_Toc152042536"/>
      <w:bookmarkStart w:id="1568" w:name="_Toc144974727"/>
      <w:bookmarkStart w:id="1569" w:name="_Toc338944850"/>
      <w:bookmarkStart w:id="1570" w:name="_Toc179632775"/>
      <w:bookmarkStart w:id="1571" w:name="_Toc17605"/>
      <w:bookmarkStart w:id="1572" w:name="_Toc152045757"/>
      <w:r>
        <w:rPr>
          <w:rFonts w:hint="eastAsia" w:ascii="宋体" w:hAnsi="宋体" w:cs="宋体"/>
          <w:highlight w:val="none"/>
        </w:rPr>
        <w:t>23. 索赔</w:t>
      </w:r>
      <w:bookmarkEnd w:id="1564"/>
      <w:bookmarkEnd w:id="1565"/>
      <w:bookmarkEnd w:id="1566"/>
      <w:bookmarkEnd w:id="1567"/>
      <w:bookmarkEnd w:id="1568"/>
      <w:bookmarkEnd w:id="1569"/>
      <w:bookmarkEnd w:id="1570"/>
      <w:bookmarkEnd w:id="1571"/>
      <w:bookmarkEnd w:id="1572"/>
    </w:p>
    <w:p w14:paraId="336648BC">
      <w:pPr>
        <w:spacing w:line="360" w:lineRule="auto"/>
        <w:rPr>
          <w:rFonts w:hint="eastAsia" w:ascii="宋体" w:hAnsi="宋体" w:cs="宋体"/>
          <w:highlight w:val="none"/>
        </w:rPr>
      </w:pPr>
      <w:bookmarkStart w:id="1573" w:name="_Toc144974728"/>
      <w:bookmarkStart w:id="1574" w:name="_Toc342296409"/>
      <w:bookmarkStart w:id="1575" w:name="_Toc152045758"/>
      <w:bookmarkStart w:id="1576" w:name="_Toc338944851"/>
      <w:bookmarkStart w:id="1577" w:name="_Toc152042537"/>
      <w:bookmarkStart w:id="1578" w:name="_Toc179632776"/>
      <w:bookmarkStart w:id="1579" w:name="_Toc503536236"/>
      <w:bookmarkStart w:id="1580" w:name="_Toc454359325"/>
      <w:r>
        <w:rPr>
          <w:rFonts w:hint="eastAsia" w:ascii="宋体" w:hAnsi="宋体" w:cs="宋体"/>
          <w:highlight w:val="none"/>
        </w:rPr>
        <w:t>23.1 承包人索赔的提出</w:t>
      </w:r>
      <w:bookmarkEnd w:id="1573"/>
      <w:bookmarkEnd w:id="1574"/>
      <w:bookmarkEnd w:id="1575"/>
      <w:bookmarkEnd w:id="1576"/>
      <w:bookmarkEnd w:id="1577"/>
      <w:bookmarkEnd w:id="1578"/>
      <w:bookmarkEnd w:id="1579"/>
      <w:bookmarkEnd w:id="1580"/>
    </w:p>
    <w:p w14:paraId="76011794">
      <w:pPr>
        <w:spacing w:line="360" w:lineRule="auto"/>
        <w:ind w:firstLine="420" w:firstLineChars="200"/>
        <w:rPr>
          <w:rFonts w:hint="eastAsia" w:ascii="宋体" w:hAnsi="宋体" w:cs="宋体"/>
          <w:highlight w:val="none"/>
        </w:rPr>
      </w:pPr>
      <w:r>
        <w:rPr>
          <w:rFonts w:hint="eastAsia" w:ascii="宋体" w:hAnsi="宋体" w:cs="宋体"/>
          <w:highlight w:val="none"/>
        </w:rPr>
        <w:t>根据合同约定，承包人认为有权得到追加付款和（或）延长工期的，应按以下程序向发包人提出索赔：</w:t>
      </w:r>
    </w:p>
    <w:p w14:paraId="22F28D51">
      <w:pPr>
        <w:spacing w:line="360" w:lineRule="auto"/>
        <w:ind w:firstLine="359" w:firstLineChars="171"/>
        <w:rPr>
          <w:rFonts w:hint="eastAsia" w:ascii="宋体" w:hAnsi="宋体" w:cs="宋体"/>
          <w:highlight w:val="none"/>
        </w:rPr>
      </w:pPr>
      <w:r>
        <w:rPr>
          <w:rFonts w:hint="eastAsia" w:ascii="宋体" w:hAnsi="宋体" w:cs="宋体"/>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E241C57">
      <w:pPr>
        <w:spacing w:line="360" w:lineRule="auto"/>
        <w:ind w:firstLine="359" w:firstLineChars="171"/>
        <w:rPr>
          <w:rFonts w:hint="eastAsia" w:ascii="宋体" w:hAnsi="宋体" w:cs="宋体"/>
          <w:highlight w:val="none"/>
        </w:rPr>
      </w:pPr>
      <w:r>
        <w:rPr>
          <w:rFonts w:hint="eastAsia" w:ascii="宋体" w:hAnsi="宋体" w:cs="宋体"/>
          <w:highlight w:val="none"/>
        </w:rPr>
        <w:t>（2）承包人应在发出索赔意向通知书后28天内，向监理人正式递交索赔通知书。索赔通知书应详细说明索赔理由以及要求追加的付款金额和（或）延长的工期，并附必要的记录和证明材料；</w:t>
      </w:r>
    </w:p>
    <w:p w14:paraId="5A600D1F">
      <w:pPr>
        <w:spacing w:line="360" w:lineRule="auto"/>
        <w:ind w:firstLine="359" w:firstLineChars="171"/>
        <w:rPr>
          <w:rFonts w:hint="eastAsia" w:ascii="宋体" w:hAnsi="宋体" w:cs="宋体"/>
          <w:highlight w:val="none"/>
        </w:rPr>
      </w:pPr>
      <w:r>
        <w:rPr>
          <w:rFonts w:hint="eastAsia" w:ascii="宋体" w:hAnsi="宋体" w:cs="宋体"/>
          <w:highlight w:val="none"/>
        </w:rPr>
        <w:t>（3）索赔事件具有连续影响的，承包人应按合理时间间隔继续递交延续索赔通知，说明连续影响的实际情况和记录，列出累计的追加付款金额和（或）工期延长天数；</w:t>
      </w:r>
    </w:p>
    <w:p w14:paraId="31E43E19">
      <w:pPr>
        <w:spacing w:line="360" w:lineRule="auto"/>
        <w:ind w:firstLine="359" w:firstLineChars="171"/>
        <w:rPr>
          <w:rFonts w:hint="eastAsia" w:ascii="宋体" w:hAnsi="宋体" w:cs="宋体"/>
          <w:highlight w:val="none"/>
        </w:rPr>
      </w:pPr>
      <w:r>
        <w:rPr>
          <w:rFonts w:hint="eastAsia" w:ascii="宋体" w:hAnsi="宋体" w:cs="宋体"/>
          <w:highlight w:val="none"/>
        </w:rPr>
        <w:t>（4）在索赔事件影响结束后的28天内，承包人应向监理人递交最终索赔通知书，说明最终要求索赔的追加付款金额和延长的工期，并附必要的记录和证明材料。</w:t>
      </w:r>
    </w:p>
    <w:p w14:paraId="1C2F04C6">
      <w:pPr>
        <w:spacing w:line="360" w:lineRule="auto"/>
        <w:rPr>
          <w:rFonts w:hint="eastAsia" w:ascii="宋体" w:hAnsi="宋体" w:cs="宋体"/>
          <w:highlight w:val="none"/>
        </w:rPr>
      </w:pPr>
      <w:bookmarkStart w:id="1581" w:name="_Toc454359326"/>
      <w:bookmarkStart w:id="1582" w:name="_Toc338944852"/>
      <w:bookmarkStart w:id="1583" w:name="_Toc179632777"/>
      <w:bookmarkStart w:id="1584" w:name="_Toc503536237"/>
      <w:bookmarkStart w:id="1585" w:name="_Toc152042538"/>
      <w:bookmarkStart w:id="1586" w:name="_Toc144974729"/>
      <w:bookmarkStart w:id="1587" w:name="_Toc152045759"/>
      <w:bookmarkStart w:id="1588" w:name="_Toc342296410"/>
      <w:r>
        <w:rPr>
          <w:rFonts w:hint="eastAsia" w:ascii="宋体" w:hAnsi="宋体" w:cs="宋体"/>
          <w:highlight w:val="none"/>
        </w:rPr>
        <w:t>23.2 承包人索赔处理程序</w:t>
      </w:r>
      <w:bookmarkEnd w:id="1581"/>
      <w:bookmarkEnd w:id="1582"/>
      <w:bookmarkEnd w:id="1583"/>
      <w:bookmarkEnd w:id="1584"/>
      <w:bookmarkEnd w:id="1585"/>
      <w:bookmarkEnd w:id="1586"/>
      <w:bookmarkEnd w:id="1587"/>
      <w:bookmarkEnd w:id="1588"/>
    </w:p>
    <w:p w14:paraId="52D6E28A">
      <w:pPr>
        <w:spacing w:line="360" w:lineRule="auto"/>
        <w:ind w:firstLine="359" w:firstLineChars="171"/>
        <w:rPr>
          <w:rFonts w:hint="eastAsia" w:ascii="宋体" w:hAnsi="宋体" w:cs="宋体"/>
          <w:highlight w:val="none"/>
        </w:rPr>
      </w:pPr>
      <w:r>
        <w:rPr>
          <w:rFonts w:hint="eastAsia" w:ascii="宋体" w:hAnsi="宋体" w:cs="宋体"/>
          <w:highlight w:val="none"/>
        </w:rPr>
        <w:t>（1）监理人收到承包人提交的索赔通知书后，应及时审查索赔通知书的内容、查验承包人的记录和证明材料，必要时监理人可要求承包人提交全部原始记录副本。</w:t>
      </w:r>
    </w:p>
    <w:p w14:paraId="18BDB455">
      <w:pPr>
        <w:spacing w:line="360" w:lineRule="auto"/>
        <w:ind w:firstLine="359" w:firstLineChars="171"/>
        <w:rPr>
          <w:rFonts w:hint="eastAsia" w:ascii="宋体" w:hAnsi="宋体" w:cs="宋体"/>
          <w:highlight w:val="none"/>
        </w:rPr>
      </w:pPr>
      <w:r>
        <w:rPr>
          <w:rFonts w:hint="eastAsia" w:ascii="宋体" w:hAnsi="宋体" w:cs="宋体"/>
          <w:highlight w:val="none"/>
        </w:rPr>
        <w:t>（2）监理人应按第3.5款商定或确定追加的付款和（或）延长的工期，并在收到上述索赔通知书或有关索赔的进一步证明材料后的42天内，将索赔处理结果答复承包人。</w:t>
      </w:r>
    </w:p>
    <w:p w14:paraId="40BBDF72">
      <w:pPr>
        <w:spacing w:line="360" w:lineRule="auto"/>
        <w:ind w:firstLine="359" w:firstLineChars="171"/>
        <w:rPr>
          <w:rFonts w:hint="eastAsia" w:ascii="宋体" w:hAnsi="宋体" w:cs="宋体"/>
          <w:highlight w:val="none"/>
        </w:rPr>
      </w:pPr>
      <w:r>
        <w:rPr>
          <w:rFonts w:hint="eastAsia" w:ascii="宋体" w:hAnsi="宋体" w:cs="宋体"/>
          <w:highlight w:val="none"/>
        </w:rPr>
        <w:t>（3）承包人接受索赔处理结果的，发包人应在作出索赔处理结果答复后28天内完成赔付。承包人不接受索赔处理结果的，按第24条的约定办理。</w:t>
      </w:r>
    </w:p>
    <w:p w14:paraId="0277E598">
      <w:pPr>
        <w:spacing w:line="360" w:lineRule="auto"/>
        <w:rPr>
          <w:rFonts w:hint="eastAsia" w:ascii="宋体" w:hAnsi="宋体" w:cs="宋体"/>
          <w:highlight w:val="none"/>
        </w:rPr>
      </w:pPr>
      <w:bookmarkStart w:id="1589" w:name="_Toc144974730"/>
      <w:bookmarkStart w:id="1590" w:name="_Toc179632778"/>
      <w:bookmarkStart w:id="1591" w:name="_Toc454359327"/>
      <w:bookmarkStart w:id="1592" w:name="_Toc503536238"/>
      <w:bookmarkStart w:id="1593" w:name="_Toc342296411"/>
      <w:bookmarkStart w:id="1594" w:name="_Toc152045760"/>
      <w:bookmarkStart w:id="1595" w:name="_Toc152042539"/>
      <w:bookmarkStart w:id="1596" w:name="_Toc338944853"/>
      <w:r>
        <w:rPr>
          <w:rFonts w:hint="eastAsia" w:ascii="宋体" w:hAnsi="宋体" w:cs="宋体"/>
          <w:highlight w:val="none"/>
        </w:rPr>
        <w:t>23.3 承包人提出索赔的期限</w:t>
      </w:r>
      <w:bookmarkEnd w:id="1589"/>
      <w:bookmarkEnd w:id="1590"/>
      <w:bookmarkEnd w:id="1591"/>
      <w:bookmarkEnd w:id="1592"/>
      <w:bookmarkEnd w:id="1593"/>
      <w:bookmarkEnd w:id="1594"/>
      <w:bookmarkEnd w:id="1595"/>
      <w:bookmarkEnd w:id="1596"/>
    </w:p>
    <w:p w14:paraId="4CAFAF24">
      <w:pPr>
        <w:spacing w:line="360" w:lineRule="auto"/>
        <w:ind w:firstLine="420" w:firstLineChars="200"/>
        <w:rPr>
          <w:rFonts w:hint="eastAsia" w:ascii="宋体" w:hAnsi="宋体" w:cs="宋体"/>
          <w:highlight w:val="none"/>
        </w:rPr>
      </w:pPr>
      <w:r>
        <w:rPr>
          <w:rFonts w:hint="eastAsia" w:ascii="宋体" w:hAnsi="宋体" w:cs="宋体"/>
          <w:highlight w:val="none"/>
        </w:rPr>
        <w:t>23.3.1 承包人按第17.5款的约定接受了竣工付款证书后，应被认为已无权再提出在合同工程接收证书颁发前所发生的任何索赔。</w:t>
      </w:r>
    </w:p>
    <w:p w14:paraId="0ADED765">
      <w:pPr>
        <w:spacing w:line="360" w:lineRule="auto"/>
        <w:ind w:firstLine="420" w:firstLineChars="200"/>
        <w:rPr>
          <w:rFonts w:hint="eastAsia" w:ascii="宋体" w:hAnsi="宋体" w:cs="宋体"/>
          <w:highlight w:val="none"/>
          <w:shd w:val="pct10" w:color="auto" w:fill="FFFFFF"/>
        </w:rPr>
      </w:pPr>
      <w:r>
        <w:rPr>
          <w:rFonts w:hint="eastAsia" w:ascii="宋体" w:hAnsi="宋体" w:cs="宋体"/>
          <w:highlight w:val="none"/>
        </w:rPr>
        <w:t xml:space="preserve">23.3.2 承包人按第17.6款的约定提交的最终结清申请单中，只限于提出工程接收证书颁发后发生的索赔。提出索赔的期限自接受最终结清证书时终止。 </w:t>
      </w:r>
    </w:p>
    <w:p w14:paraId="21F9E39B">
      <w:pPr>
        <w:spacing w:line="360" w:lineRule="auto"/>
        <w:rPr>
          <w:rFonts w:hint="eastAsia" w:ascii="宋体" w:hAnsi="宋体" w:cs="宋体"/>
          <w:highlight w:val="none"/>
        </w:rPr>
      </w:pPr>
      <w:bookmarkStart w:id="1597" w:name="_Toc503536239"/>
      <w:bookmarkStart w:id="1598" w:name="_Toc338944854"/>
      <w:bookmarkStart w:id="1599" w:name="_Toc454359328"/>
      <w:bookmarkStart w:id="1600" w:name="_Toc152045761"/>
      <w:bookmarkStart w:id="1601" w:name="_Toc144974731"/>
      <w:bookmarkStart w:id="1602" w:name="_Toc152042540"/>
      <w:bookmarkStart w:id="1603" w:name="_Toc342296412"/>
      <w:bookmarkStart w:id="1604" w:name="_Toc179632779"/>
      <w:r>
        <w:rPr>
          <w:rFonts w:hint="eastAsia" w:ascii="宋体" w:hAnsi="宋体" w:cs="宋体"/>
          <w:highlight w:val="none"/>
        </w:rPr>
        <w:t>23.4 发包人的索赔</w:t>
      </w:r>
      <w:bookmarkEnd w:id="1597"/>
      <w:bookmarkEnd w:id="1598"/>
      <w:bookmarkEnd w:id="1599"/>
      <w:bookmarkEnd w:id="1600"/>
      <w:bookmarkEnd w:id="1601"/>
      <w:bookmarkEnd w:id="1602"/>
      <w:bookmarkEnd w:id="1603"/>
      <w:bookmarkEnd w:id="1604"/>
    </w:p>
    <w:p w14:paraId="0A9D87B4">
      <w:pPr>
        <w:spacing w:line="360" w:lineRule="auto"/>
        <w:ind w:firstLine="420" w:firstLineChars="200"/>
        <w:rPr>
          <w:rFonts w:hint="eastAsia" w:ascii="宋体" w:hAnsi="宋体" w:cs="宋体"/>
          <w:highlight w:val="none"/>
        </w:rPr>
      </w:pPr>
      <w:r>
        <w:rPr>
          <w:rFonts w:hint="eastAsia" w:ascii="宋体" w:hAnsi="宋体" w:cs="宋体"/>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586BC86D">
      <w:pPr>
        <w:spacing w:line="360" w:lineRule="auto"/>
        <w:ind w:firstLine="420" w:firstLineChars="200"/>
        <w:rPr>
          <w:rFonts w:hint="eastAsia" w:ascii="宋体" w:hAnsi="宋体" w:cs="宋体"/>
          <w:highlight w:val="none"/>
        </w:rPr>
      </w:pPr>
      <w:r>
        <w:rPr>
          <w:rFonts w:hint="eastAsia" w:ascii="宋体" w:hAnsi="宋体" w:cs="宋体"/>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9F4D4BD">
      <w:pPr>
        <w:rPr>
          <w:rFonts w:hint="eastAsia" w:ascii="宋体" w:hAnsi="宋体" w:cs="宋体"/>
          <w:highlight w:val="none"/>
        </w:rPr>
      </w:pPr>
      <w:bookmarkStart w:id="1605" w:name="_Toc342296413"/>
      <w:bookmarkStart w:id="1606" w:name="_Toc19875"/>
      <w:bookmarkStart w:id="1607" w:name="_Toc338944855"/>
      <w:bookmarkStart w:id="1608" w:name="_Toc503536240"/>
      <w:bookmarkStart w:id="1609" w:name="_Toc4157308"/>
      <w:r>
        <w:rPr>
          <w:rFonts w:hint="eastAsia" w:ascii="宋体" w:hAnsi="宋体" w:cs="宋体"/>
          <w:highlight w:val="none"/>
        </w:rPr>
        <w:t>24. 争议的解决</w:t>
      </w:r>
      <w:bookmarkEnd w:id="1605"/>
      <w:bookmarkEnd w:id="1606"/>
      <w:bookmarkEnd w:id="1607"/>
      <w:bookmarkEnd w:id="1608"/>
      <w:bookmarkEnd w:id="1609"/>
    </w:p>
    <w:p w14:paraId="00923A05">
      <w:pPr>
        <w:spacing w:line="360" w:lineRule="auto"/>
        <w:rPr>
          <w:rFonts w:hint="eastAsia" w:ascii="宋体" w:hAnsi="宋体" w:cs="宋体"/>
          <w:highlight w:val="none"/>
        </w:rPr>
      </w:pPr>
      <w:bookmarkStart w:id="1610" w:name="_Toc342296414"/>
      <w:bookmarkStart w:id="1611" w:name="_Toc503536241"/>
      <w:bookmarkStart w:id="1612" w:name="_Toc338944856"/>
      <w:bookmarkStart w:id="1613" w:name="_Toc454359330"/>
      <w:r>
        <w:rPr>
          <w:rFonts w:hint="eastAsia" w:ascii="宋体" w:hAnsi="宋体" w:cs="宋体"/>
          <w:highlight w:val="none"/>
        </w:rPr>
        <w:t>24.1 争议的解决方式</w:t>
      </w:r>
      <w:bookmarkEnd w:id="1610"/>
      <w:bookmarkEnd w:id="1611"/>
      <w:bookmarkEnd w:id="1612"/>
      <w:bookmarkEnd w:id="1613"/>
    </w:p>
    <w:p w14:paraId="04C87FC0">
      <w:pPr>
        <w:spacing w:line="360" w:lineRule="auto"/>
        <w:ind w:firstLine="420" w:firstLineChars="200"/>
        <w:rPr>
          <w:rFonts w:hint="eastAsia" w:ascii="宋体" w:hAnsi="宋体" w:cs="宋体"/>
          <w:highlight w:val="none"/>
        </w:rPr>
      </w:pPr>
      <w:r>
        <w:rPr>
          <w:rFonts w:hint="eastAsia" w:ascii="宋体" w:hAnsi="宋体" w:cs="宋体"/>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1AD9A97E">
      <w:pPr>
        <w:spacing w:line="360" w:lineRule="auto"/>
        <w:ind w:firstLine="420" w:firstLineChars="200"/>
        <w:rPr>
          <w:rFonts w:hint="eastAsia" w:ascii="宋体" w:hAnsi="宋体" w:cs="宋体"/>
          <w:highlight w:val="none"/>
        </w:rPr>
      </w:pPr>
      <w:r>
        <w:rPr>
          <w:rFonts w:hint="eastAsia" w:ascii="宋体" w:hAnsi="宋体" w:cs="宋体"/>
          <w:highlight w:val="none"/>
        </w:rPr>
        <w:t>（1）向约定的仲裁委员会申请仲裁；</w:t>
      </w:r>
    </w:p>
    <w:p w14:paraId="2B48035A">
      <w:pPr>
        <w:spacing w:line="360" w:lineRule="auto"/>
        <w:ind w:firstLine="420" w:firstLineChars="200"/>
        <w:rPr>
          <w:rFonts w:hint="eastAsia" w:ascii="宋体" w:hAnsi="宋体" w:cs="宋体"/>
          <w:highlight w:val="none"/>
        </w:rPr>
      </w:pPr>
      <w:r>
        <w:rPr>
          <w:rFonts w:hint="eastAsia" w:ascii="宋体" w:hAnsi="宋体" w:cs="宋体"/>
          <w:highlight w:val="none"/>
        </w:rPr>
        <w:t>（2）向有管辖权的人民法院提起诉讼。</w:t>
      </w:r>
    </w:p>
    <w:p w14:paraId="04B54D35">
      <w:pPr>
        <w:spacing w:line="360" w:lineRule="auto"/>
        <w:rPr>
          <w:rFonts w:hint="eastAsia" w:ascii="宋体" w:hAnsi="宋体" w:cs="宋体"/>
          <w:highlight w:val="none"/>
        </w:rPr>
      </w:pPr>
      <w:bookmarkStart w:id="1614" w:name="_Toc338944857"/>
      <w:bookmarkStart w:id="1615" w:name="_Toc454359331"/>
      <w:bookmarkStart w:id="1616" w:name="_Toc503536242"/>
      <w:bookmarkStart w:id="1617" w:name="_Toc342296415"/>
      <w:r>
        <w:rPr>
          <w:rFonts w:hint="eastAsia" w:ascii="宋体" w:hAnsi="宋体" w:cs="宋体"/>
          <w:highlight w:val="none"/>
        </w:rPr>
        <w:t>24.2 友好解决</w:t>
      </w:r>
      <w:bookmarkEnd w:id="1614"/>
      <w:bookmarkEnd w:id="1615"/>
      <w:bookmarkEnd w:id="1616"/>
      <w:bookmarkEnd w:id="1617"/>
    </w:p>
    <w:p w14:paraId="3A5F9A3F">
      <w:pPr>
        <w:spacing w:line="360" w:lineRule="auto"/>
        <w:ind w:firstLine="420" w:firstLineChars="200"/>
        <w:rPr>
          <w:rFonts w:hint="eastAsia" w:ascii="宋体" w:hAnsi="宋体" w:cs="宋体"/>
          <w:highlight w:val="none"/>
        </w:rPr>
      </w:pPr>
      <w:r>
        <w:rPr>
          <w:rFonts w:hint="eastAsia" w:ascii="宋体" w:hAnsi="宋体" w:cs="宋体"/>
          <w:highlight w:val="none"/>
        </w:rPr>
        <w:t>在提请争议评审、仲裁或者诉讼前，以及在争议评审、仲裁或诉讼过程中，发包人和承包人均可共同努力友好协商解决争议。</w:t>
      </w:r>
    </w:p>
    <w:p w14:paraId="00AD36A0">
      <w:pPr>
        <w:spacing w:line="360" w:lineRule="auto"/>
        <w:rPr>
          <w:rFonts w:hint="eastAsia" w:ascii="宋体" w:hAnsi="宋体" w:cs="宋体"/>
          <w:highlight w:val="none"/>
        </w:rPr>
      </w:pPr>
      <w:bookmarkStart w:id="1618" w:name="_Toc503536243"/>
      <w:bookmarkStart w:id="1619" w:name="_Toc342296416"/>
      <w:bookmarkStart w:id="1620" w:name="_Toc454359332"/>
      <w:bookmarkStart w:id="1621" w:name="_Toc338944858"/>
      <w:r>
        <w:rPr>
          <w:rFonts w:hint="eastAsia" w:ascii="宋体" w:hAnsi="宋体" w:cs="宋体"/>
          <w:highlight w:val="none"/>
        </w:rPr>
        <w:t>24.3 争议评审</w:t>
      </w:r>
      <w:bookmarkEnd w:id="1618"/>
      <w:bookmarkEnd w:id="1619"/>
      <w:bookmarkEnd w:id="1620"/>
      <w:bookmarkEnd w:id="1621"/>
    </w:p>
    <w:p w14:paraId="101537BF">
      <w:pPr>
        <w:spacing w:line="360" w:lineRule="auto"/>
        <w:ind w:firstLine="420" w:firstLineChars="200"/>
        <w:rPr>
          <w:rFonts w:hint="eastAsia" w:ascii="宋体" w:hAnsi="宋体" w:cs="宋体"/>
          <w:highlight w:val="none"/>
        </w:rPr>
      </w:pPr>
      <w:r>
        <w:rPr>
          <w:rFonts w:hint="eastAsia" w:ascii="宋体" w:hAnsi="宋体" w:cs="宋体"/>
          <w:highlight w:val="none"/>
        </w:rPr>
        <w:t>24.3.1 采用争议评审的，发包人和承包人应在开工日后的28天内或在争议发生后，协商成立争议评审组。争议评审组由有合同管理和工程实践经验的专家组成。</w:t>
      </w:r>
    </w:p>
    <w:p w14:paraId="190866E4">
      <w:pPr>
        <w:spacing w:line="360" w:lineRule="auto"/>
        <w:ind w:firstLine="420" w:firstLineChars="200"/>
        <w:rPr>
          <w:rFonts w:hint="eastAsia" w:ascii="宋体" w:hAnsi="宋体" w:cs="宋体"/>
          <w:highlight w:val="none"/>
        </w:rPr>
      </w:pPr>
      <w:r>
        <w:rPr>
          <w:rFonts w:hint="eastAsia" w:ascii="宋体" w:hAnsi="宋体" w:cs="宋体"/>
          <w:highlight w:val="none"/>
        </w:rPr>
        <w:t>24.3.2 合同双方的争议，应首先由申请人向争议评审组提交一份详细的评审申请报告，并附必要的文件、图纸和证明材料，申请人还应将上述报告的副本同时提交给被申请人和监理人。</w:t>
      </w:r>
    </w:p>
    <w:p w14:paraId="72600943">
      <w:pPr>
        <w:spacing w:line="360" w:lineRule="auto"/>
        <w:ind w:firstLine="420" w:firstLineChars="200"/>
        <w:rPr>
          <w:rFonts w:hint="eastAsia" w:ascii="宋体" w:hAnsi="宋体" w:cs="宋体"/>
          <w:highlight w:val="none"/>
        </w:rPr>
      </w:pPr>
      <w:r>
        <w:rPr>
          <w:rFonts w:hint="eastAsia" w:ascii="宋体" w:hAnsi="宋体" w:cs="宋体"/>
          <w:highlight w:val="none"/>
        </w:rPr>
        <w:t>24.3.3 被申请人在收到申请人评审申请报告副本后的28天内，向争议评审组提交一份答辩报告，并附证明材料。被申请人应将答辩报告的副本同时提交给申请人和监理人。</w:t>
      </w:r>
    </w:p>
    <w:p w14:paraId="69503C05">
      <w:pPr>
        <w:spacing w:line="360" w:lineRule="auto"/>
        <w:ind w:firstLine="420" w:firstLineChars="200"/>
        <w:rPr>
          <w:rFonts w:hint="eastAsia" w:ascii="宋体" w:hAnsi="宋体" w:cs="宋体"/>
          <w:highlight w:val="none"/>
        </w:rPr>
      </w:pPr>
      <w:r>
        <w:rPr>
          <w:rFonts w:hint="eastAsia" w:ascii="宋体" w:hAnsi="宋体" w:cs="宋体"/>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461B8AF8">
      <w:pPr>
        <w:spacing w:line="360" w:lineRule="auto"/>
        <w:ind w:firstLine="420" w:firstLineChars="200"/>
        <w:rPr>
          <w:rFonts w:hint="eastAsia" w:ascii="宋体" w:hAnsi="宋体" w:cs="宋体"/>
          <w:highlight w:val="none"/>
        </w:rPr>
      </w:pPr>
      <w:r>
        <w:rPr>
          <w:rFonts w:hint="eastAsia" w:ascii="宋体" w:hAnsi="宋体" w:cs="宋体"/>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29AF2F4D">
      <w:pPr>
        <w:spacing w:line="360" w:lineRule="auto"/>
        <w:ind w:firstLine="420" w:firstLineChars="200"/>
        <w:rPr>
          <w:rFonts w:hint="eastAsia" w:ascii="宋体" w:hAnsi="宋体" w:cs="宋体"/>
          <w:highlight w:val="none"/>
        </w:rPr>
      </w:pPr>
      <w:r>
        <w:rPr>
          <w:rFonts w:hint="eastAsia" w:ascii="宋体" w:hAnsi="宋体" w:cs="宋体"/>
          <w:highlight w:val="none"/>
        </w:rPr>
        <w:t>24.3.6 发包人和承包人接受评审意见的，由监理人根据评审意见拟定执行协议，经争议双方签字后作为合同的补充文件，并遵照执行。</w:t>
      </w:r>
    </w:p>
    <w:p w14:paraId="40B66355">
      <w:pPr>
        <w:spacing w:line="360" w:lineRule="auto"/>
        <w:ind w:firstLine="420" w:firstLineChars="200"/>
        <w:rPr>
          <w:rFonts w:hint="eastAsia" w:ascii="宋体" w:hAnsi="宋体" w:cs="宋体"/>
          <w:highlight w:val="none"/>
        </w:rPr>
      </w:pPr>
      <w:r>
        <w:rPr>
          <w:rFonts w:hint="eastAsia" w:ascii="宋体" w:hAnsi="宋体" w:cs="宋体"/>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300D7CDC">
      <w:pPr>
        <w:spacing w:line="360" w:lineRule="auto"/>
        <w:rPr>
          <w:rFonts w:hint="eastAsia" w:ascii="宋体" w:hAnsi="宋体" w:cs="宋体"/>
          <w:highlight w:val="none"/>
        </w:rPr>
      </w:pPr>
    </w:p>
    <w:p w14:paraId="107BDA9E">
      <w:pPr>
        <w:spacing w:line="360" w:lineRule="auto"/>
        <w:rPr>
          <w:rFonts w:hint="eastAsia" w:ascii="宋体" w:hAnsi="宋体" w:cs="宋体"/>
          <w:highlight w:val="none"/>
        </w:rPr>
      </w:pPr>
    </w:p>
    <w:p w14:paraId="7A7E98F1">
      <w:pPr>
        <w:spacing w:line="360" w:lineRule="auto"/>
        <w:rPr>
          <w:rFonts w:hint="eastAsia" w:ascii="宋体" w:hAnsi="宋体" w:cs="宋体"/>
          <w:highlight w:val="none"/>
        </w:rPr>
        <w:sectPr>
          <w:footerReference r:id="rId11" w:type="default"/>
          <w:pgSz w:w="11906" w:h="16838"/>
          <w:pgMar w:top="1440" w:right="1800" w:bottom="1440" w:left="1800" w:header="851" w:footer="992" w:gutter="0"/>
          <w:cols w:space="720" w:num="1"/>
          <w:docGrid w:linePitch="312" w:charSpace="0"/>
        </w:sectPr>
      </w:pPr>
    </w:p>
    <w:p w14:paraId="65BE4292">
      <w:pPr>
        <w:keepNext/>
        <w:keepLines/>
        <w:spacing w:after="213" w:line="259" w:lineRule="auto"/>
        <w:ind w:right="1269"/>
        <w:jc w:val="center"/>
        <w:outlineLvl w:val="2"/>
        <w:rPr>
          <w:rFonts w:hint="eastAsia" w:ascii="宋体" w:hAnsi="宋体" w:cs="宋体"/>
          <w:b/>
          <w:sz w:val="28"/>
          <w:highlight w:val="none"/>
        </w:rPr>
      </w:pPr>
      <w:bookmarkStart w:id="1622" w:name="_Toc4157309"/>
      <w:bookmarkStart w:id="1623" w:name="_Toc11661"/>
      <w:bookmarkStart w:id="1624" w:name="_Toc24313"/>
      <w:bookmarkStart w:id="1625" w:name="_Toc4699"/>
      <w:bookmarkStart w:id="1626" w:name="_Toc69992960"/>
      <w:r>
        <w:rPr>
          <w:rFonts w:hint="eastAsia" w:ascii="宋体" w:hAnsi="宋体" w:cs="宋体"/>
          <w:b/>
          <w:sz w:val="28"/>
          <w:highlight w:val="none"/>
        </w:rPr>
        <w:t>三、专用合同条款</w:t>
      </w:r>
      <w:bookmarkEnd w:id="1622"/>
      <w:bookmarkEnd w:id="1623"/>
      <w:bookmarkEnd w:id="1624"/>
      <w:bookmarkEnd w:id="1625"/>
      <w:bookmarkEnd w:id="1626"/>
    </w:p>
    <w:p w14:paraId="4F0CBFF8">
      <w:pPr>
        <w:rPr>
          <w:rFonts w:hint="eastAsia" w:ascii="宋体" w:hAnsi="宋体" w:cs="宋体"/>
          <w:highlight w:val="none"/>
        </w:rPr>
      </w:pPr>
      <w:bookmarkStart w:id="1627" w:name="_Toc4157310"/>
      <w:bookmarkStart w:id="1628" w:name="_Toc241459659"/>
      <w:bookmarkStart w:id="1629" w:name="_Toc503536245"/>
      <w:bookmarkStart w:id="1630" w:name="_Toc4141"/>
      <w:bookmarkStart w:id="1631" w:name="_Toc342296418"/>
      <w:r>
        <w:rPr>
          <w:rFonts w:hint="eastAsia" w:ascii="宋体" w:hAnsi="宋体" w:cs="宋体"/>
          <w:highlight w:val="none"/>
        </w:rPr>
        <w:t>1. 一般约定</w:t>
      </w:r>
      <w:bookmarkEnd w:id="1627"/>
      <w:bookmarkEnd w:id="1628"/>
      <w:bookmarkEnd w:id="1629"/>
      <w:bookmarkEnd w:id="1630"/>
      <w:bookmarkEnd w:id="1631"/>
    </w:p>
    <w:p w14:paraId="372D5A45">
      <w:pPr>
        <w:spacing w:line="360" w:lineRule="auto"/>
        <w:rPr>
          <w:rFonts w:hint="eastAsia" w:ascii="宋体" w:hAnsi="宋体" w:cs="宋体"/>
          <w:highlight w:val="none"/>
        </w:rPr>
      </w:pPr>
      <w:bookmarkStart w:id="1632" w:name="_Toc342296419"/>
      <w:bookmarkStart w:id="1633" w:name="_Toc152045612"/>
      <w:bookmarkStart w:id="1634" w:name="_Toc454359335"/>
      <w:bookmarkStart w:id="1635" w:name="_Toc241459660"/>
      <w:bookmarkStart w:id="1636" w:name="_Toc503536246"/>
      <w:bookmarkStart w:id="1637" w:name="_Toc179632630"/>
      <w:bookmarkStart w:id="1638" w:name="_Toc144974580"/>
      <w:bookmarkStart w:id="1639" w:name="_Toc152042390"/>
      <w:r>
        <w:rPr>
          <w:rFonts w:hint="eastAsia" w:ascii="宋体" w:hAnsi="宋体" w:cs="宋体"/>
          <w:highlight w:val="none"/>
        </w:rPr>
        <w:t>1.1 词语定义</w:t>
      </w:r>
      <w:bookmarkEnd w:id="1632"/>
      <w:bookmarkEnd w:id="1633"/>
      <w:bookmarkEnd w:id="1634"/>
      <w:bookmarkEnd w:id="1635"/>
      <w:bookmarkEnd w:id="1636"/>
      <w:bookmarkEnd w:id="1637"/>
      <w:bookmarkEnd w:id="1638"/>
      <w:bookmarkEnd w:id="1639"/>
    </w:p>
    <w:p w14:paraId="61ECE65A">
      <w:pPr>
        <w:spacing w:line="360" w:lineRule="auto"/>
        <w:ind w:firstLine="420" w:firstLineChars="200"/>
        <w:rPr>
          <w:rFonts w:hint="eastAsia" w:ascii="宋体" w:hAnsi="宋体" w:cs="宋体"/>
          <w:highlight w:val="none"/>
        </w:rPr>
      </w:pPr>
      <w:r>
        <w:rPr>
          <w:rFonts w:hint="eastAsia" w:ascii="宋体" w:hAnsi="宋体" w:cs="宋体"/>
          <w:highlight w:val="none"/>
        </w:rPr>
        <w:t>1.1.2合同当事人和人员</w:t>
      </w:r>
    </w:p>
    <w:p w14:paraId="584DEA01">
      <w:pPr>
        <w:spacing w:line="360" w:lineRule="auto"/>
        <w:ind w:firstLine="420" w:firstLineChars="200"/>
        <w:rPr>
          <w:rFonts w:hint="eastAsia" w:ascii="宋体" w:hAnsi="宋体" w:cs="宋体"/>
          <w:highlight w:val="none"/>
        </w:rPr>
      </w:pPr>
      <w:r>
        <w:rPr>
          <w:rFonts w:hint="eastAsia" w:ascii="宋体" w:hAnsi="宋体" w:cs="宋体"/>
          <w:highlight w:val="none"/>
        </w:rPr>
        <w:t>1.1.2.2发包人：</w:t>
      </w:r>
      <w:r>
        <w:rPr>
          <w:rFonts w:hint="eastAsia" w:ascii="宋体" w:hAnsi="宋体" w:cs="宋体"/>
          <w:highlight w:val="none"/>
          <w:u w:val="single"/>
        </w:rPr>
        <w:t xml:space="preserve">                        </w:t>
      </w:r>
      <w:r>
        <w:rPr>
          <w:rFonts w:hint="eastAsia" w:ascii="宋体" w:hAnsi="宋体" w:cs="宋体"/>
          <w:highlight w:val="none"/>
        </w:rPr>
        <w:t>。</w:t>
      </w:r>
    </w:p>
    <w:p w14:paraId="40170400">
      <w:pPr>
        <w:spacing w:line="360" w:lineRule="auto"/>
        <w:ind w:firstLine="420" w:firstLineChars="200"/>
        <w:rPr>
          <w:rFonts w:hint="eastAsia" w:ascii="宋体" w:hAnsi="宋体" w:cs="宋体"/>
          <w:highlight w:val="none"/>
        </w:rPr>
      </w:pPr>
      <w:r>
        <w:rPr>
          <w:rFonts w:hint="eastAsia" w:ascii="宋体" w:hAnsi="宋体" w:cs="宋体"/>
          <w:highlight w:val="none"/>
        </w:rPr>
        <w:t>1.1.2.6监理人：。</w:t>
      </w:r>
    </w:p>
    <w:p w14:paraId="4E015375">
      <w:pPr>
        <w:spacing w:line="360" w:lineRule="auto"/>
        <w:ind w:firstLine="420" w:firstLineChars="200"/>
        <w:rPr>
          <w:rFonts w:hint="eastAsia" w:ascii="宋体" w:hAnsi="宋体" w:cs="宋体"/>
          <w:highlight w:val="none"/>
        </w:rPr>
      </w:pPr>
      <w:r>
        <w:rPr>
          <w:rFonts w:hint="eastAsia" w:ascii="宋体" w:hAnsi="宋体" w:cs="宋体"/>
          <w:highlight w:val="none"/>
        </w:rPr>
        <w:t>1.1.2.8发包人代表：指发包人指定的派驻施工场地（现场）的全权代表。</w:t>
      </w:r>
    </w:p>
    <w:p w14:paraId="23EB9914">
      <w:pPr>
        <w:spacing w:line="360" w:lineRule="auto"/>
        <w:ind w:firstLine="420" w:firstLineChars="200"/>
        <w:rPr>
          <w:rFonts w:hint="eastAsia" w:ascii="宋体" w:hAnsi="宋体" w:cs="宋体"/>
          <w:highlight w:val="none"/>
        </w:rPr>
      </w:pPr>
      <w:r>
        <w:rPr>
          <w:rFonts w:hint="eastAsia" w:ascii="宋体" w:hAnsi="宋体" w:cs="宋体"/>
          <w:highlight w:val="none"/>
        </w:rPr>
        <w:t>姓    名：</w:t>
      </w:r>
      <w:r>
        <w:rPr>
          <w:rFonts w:hint="eastAsia" w:ascii="宋体" w:hAnsi="宋体" w:cs="宋体"/>
          <w:highlight w:val="none"/>
          <w:u w:val="single"/>
        </w:rPr>
        <w:t xml:space="preserve">             /                           </w:t>
      </w:r>
      <w:r>
        <w:rPr>
          <w:rFonts w:hint="eastAsia" w:ascii="宋体" w:hAnsi="宋体" w:cs="宋体"/>
          <w:highlight w:val="none"/>
        </w:rPr>
        <w:t>。</w:t>
      </w:r>
    </w:p>
    <w:p w14:paraId="205C6B7C">
      <w:pPr>
        <w:spacing w:line="360" w:lineRule="auto"/>
        <w:ind w:firstLine="420" w:firstLineChars="200"/>
        <w:rPr>
          <w:rFonts w:hint="eastAsia" w:ascii="宋体" w:hAnsi="宋体" w:cs="宋体"/>
          <w:highlight w:val="none"/>
        </w:rPr>
      </w:pPr>
      <w:r>
        <w:rPr>
          <w:rFonts w:hint="eastAsia" w:ascii="宋体" w:hAnsi="宋体" w:cs="宋体"/>
          <w:highlight w:val="none"/>
        </w:rPr>
        <w:t>职    称：</w:t>
      </w:r>
      <w:r>
        <w:rPr>
          <w:rFonts w:hint="eastAsia" w:ascii="宋体" w:hAnsi="宋体" w:cs="宋体"/>
          <w:highlight w:val="none"/>
          <w:u w:val="single"/>
        </w:rPr>
        <w:t xml:space="preserve">             /                           </w:t>
      </w:r>
      <w:r>
        <w:rPr>
          <w:rFonts w:hint="eastAsia" w:ascii="宋体" w:hAnsi="宋体" w:cs="宋体"/>
          <w:highlight w:val="none"/>
        </w:rPr>
        <w:t>。</w:t>
      </w:r>
    </w:p>
    <w:p w14:paraId="14943803">
      <w:pPr>
        <w:spacing w:line="360" w:lineRule="auto"/>
        <w:ind w:firstLine="420" w:firstLineChars="200"/>
        <w:rPr>
          <w:rFonts w:hint="eastAsia" w:ascii="宋体" w:hAnsi="宋体" w:cs="宋体"/>
          <w:highlight w:val="none"/>
        </w:rPr>
      </w:pPr>
      <w:r>
        <w:rPr>
          <w:rFonts w:hint="eastAsia" w:ascii="宋体" w:hAnsi="宋体" w:cs="宋体"/>
          <w:highlight w:val="none"/>
        </w:rPr>
        <w:t>联系电话：</w:t>
      </w:r>
      <w:r>
        <w:rPr>
          <w:rFonts w:hint="eastAsia" w:ascii="宋体" w:hAnsi="宋体" w:cs="宋体"/>
          <w:highlight w:val="none"/>
          <w:u w:val="single"/>
        </w:rPr>
        <w:t xml:space="preserve">              /                          </w:t>
      </w:r>
      <w:r>
        <w:rPr>
          <w:rFonts w:hint="eastAsia" w:ascii="宋体" w:hAnsi="宋体" w:cs="宋体"/>
          <w:highlight w:val="none"/>
        </w:rPr>
        <w:t>。</w:t>
      </w:r>
    </w:p>
    <w:p w14:paraId="153574E7">
      <w:pPr>
        <w:spacing w:line="360" w:lineRule="auto"/>
        <w:ind w:firstLine="420" w:firstLineChars="200"/>
        <w:rPr>
          <w:rFonts w:hint="eastAsia" w:ascii="宋体" w:hAnsi="宋体" w:cs="宋体"/>
          <w:highlight w:val="none"/>
        </w:rPr>
      </w:pPr>
      <w:r>
        <w:rPr>
          <w:rFonts w:hint="eastAsia" w:ascii="宋体" w:hAnsi="宋体" w:cs="宋体"/>
          <w:highlight w:val="none"/>
        </w:rPr>
        <w:t>电子信箱：</w:t>
      </w:r>
      <w:r>
        <w:rPr>
          <w:rFonts w:hint="eastAsia" w:ascii="宋体" w:hAnsi="宋体" w:cs="宋体"/>
          <w:highlight w:val="none"/>
          <w:u w:val="single"/>
        </w:rPr>
        <w:t xml:space="preserve">            /                            </w:t>
      </w:r>
      <w:r>
        <w:rPr>
          <w:rFonts w:hint="eastAsia" w:ascii="宋体" w:hAnsi="宋体" w:cs="宋体"/>
          <w:highlight w:val="none"/>
        </w:rPr>
        <w:t>。</w:t>
      </w:r>
    </w:p>
    <w:p w14:paraId="3ED28308">
      <w:pPr>
        <w:spacing w:line="360" w:lineRule="auto"/>
        <w:ind w:firstLine="420" w:firstLineChars="200"/>
        <w:rPr>
          <w:rFonts w:hint="eastAsia" w:ascii="宋体" w:hAnsi="宋体" w:cs="宋体"/>
          <w:highlight w:val="none"/>
        </w:rPr>
      </w:pPr>
      <w:r>
        <w:rPr>
          <w:rFonts w:hint="eastAsia" w:ascii="宋体" w:hAnsi="宋体" w:cs="宋体"/>
          <w:highlight w:val="none"/>
        </w:rPr>
        <w:t>通信地址：</w:t>
      </w:r>
      <w:r>
        <w:rPr>
          <w:rFonts w:hint="eastAsia" w:ascii="宋体" w:hAnsi="宋体" w:cs="宋体"/>
          <w:highlight w:val="none"/>
          <w:u w:val="single"/>
        </w:rPr>
        <w:t xml:space="preserve">          /                              </w:t>
      </w:r>
      <w:r>
        <w:rPr>
          <w:rFonts w:hint="eastAsia" w:ascii="宋体" w:hAnsi="宋体" w:cs="宋体"/>
          <w:highlight w:val="none"/>
        </w:rPr>
        <w:t>。</w:t>
      </w:r>
    </w:p>
    <w:p w14:paraId="2CF99DD4">
      <w:pPr>
        <w:spacing w:line="360" w:lineRule="auto"/>
        <w:ind w:firstLine="420" w:firstLineChars="200"/>
        <w:rPr>
          <w:rFonts w:hint="eastAsia" w:ascii="宋体" w:hAnsi="宋体" w:cs="宋体"/>
          <w:highlight w:val="none"/>
        </w:rPr>
      </w:pPr>
      <w:r>
        <w:rPr>
          <w:rFonts w:hint="eastAsia" w:ascii="宋体" w:hAnsi="宋体" w:cs="宋体"/>
          <w:highlight w:val="none"/>
        </w:rPr>
        <w:t>1.1.2.9专业分包人：指根据合同条款第15.8.1项的约定，由发包人和承包人以招标方式选择的分包人。</w:t>
      </w:r>
    </w:p>
    <w:p w14:paraId="7F289246">
      <w:pPr>
        <w:spacing w:line="360" w:lineRule="auto"/>
        <w:ind w:firstLine="420" w:firstLineChars="200"/>
        <w:rPr>
          <w:rFonts w:hint="eastAsia" w:ascii="宋体" w:hAnsi="宋体" w:cs="宋体"/>
          <w:highlight w:val="none"/>
        </w:rPr>
      </w:pPr>
      <w:r>
        <w:rPr>
          <w:rFonts w:hint="eastAsia" w:ascii="宋体" w:hAnsi="宋体" w:cs="宋体"/>
          <w:highlight w:val="none"/>
        </w:rPr>
        <w:t>1.1.2.10专项供应商：指根据合同条款第15.8.1项的约定，由发包人和承包人以招标方式选择的供应商。</w:t>
      </w:r>
    </w:p>
    <w:p w14:paraId="5280737A">
      <w:pPr>
        <w:spacing w:line="360" w:lineRule="auto"/>
        <w:ind w:firstLine="420" w:firstLineChars="200"/>
        <w:rPr>
          <w:rFonts w:hint="eastAsia" w:ascii="宋体" w:hAnsi="宋体" w:cs="宋体"/>
          <w:highlight w:val="none"/>
          <w:u w:val="single"/>
        </w:rPr>
      </w:pPr>
      <w:r>
        <w:rPr>
          <w:rFonts w:hint="eastAsia" w:ascii="宋体" w:hAnsi="宋体" w:cs="宋体"/>
          <w:highlight w:val="none"/>
        </w:rPr>
        <w:t>1.1.2.11独立承包人：指与发包人直接订立工程承包合同，负责实施与工程有关的其他工作的当事人。</w:t>
      </w:r>
    </w:p>
    <w:p w14:paraId="24DAE677">
      <w:pPr>
        <w:spacing w:line="360" w:lineRule="auto"/>
        <w:ind w:firstLine="420" w:firstLineChars="200"/>
        <w:rPr>
          <w:rFonts w:hint="eastAsia" w:ascii="宋体" w:hAnsi="宋体" w:cs="宋体"/>
          <w:highlight w:val="none"/>
        </w:rPr>
      </w:pPr>
      <w:r>
        <w:rPr>
          <w:rFonts w:hint="eastAsia" w:ascii="宋体" w:hAnsi="宋体" w:cs="宋体"/>
          <w:highlight w:val="none"/>
        </w:rPr>
        <w:t>1.1.3工程和设备</w:t>
      </w:r>
    </w:p>
    <w:p w14:paraId="7CC82038">
      <w:pPr>
        <w:spacing w:line="360" w:lineRule="auto"/>
        <w:ind w:firstLine="420" w:firstLineChars="200"/>
        <w:rPr>
          <w:rFonts w:hint="eastAsia" w:ascii="宋体" w:hAnsi="宋体" w:cs="宋体"/>
          <w:highlight w:val="none"/>
          <w:u w:val="single"/>
        </w:rPr>
      </w:pPr>
      <w:r>
        <w:rPr>
          <w:rFonts w:hint="eastAsia" w:ascii="宋体" w:hAnsi="宋体" w:cs="宋体"/>
          <w:highlight w:val="none"/>
        </w:rPr>
        <w:t>1.1.3.2永久工程：</w:t>
      </w:r>
      <w:r>
        <w:rPr>
          <w:rFonts w:hint="eastAsia" w:ascii="宋体" w:hAnsi="宋体" w:cs="宋体"/>
          <w:highlight w:val="none"/>
          <w:u w:val="single"/>
        </w:rPr>
        <w:t xml:space="preserve"> 按合同约定建造并移交给发包人的工程 </w:t>
      </w:r>
      <w:r>
        <w:rPr>
          <w:rFonts w:hint="eastAsia" w:ascii="宋体" w:hAnsi="宋体" w:cs="宋体"/>
          <w:highlight w:val="none"/>
        </w:rPr>
        <w:t>。</w:t>
      </w:r>
    </w:p>
    <w:p w14:paraId="2488FF01">
      <w:pPr>
        <w:spacing w:line="360" w:lineRule="auto"/>
        <w:ind w:firstLine="420" w:firstLineChars="200"/>
        <w:rPr>
          <w:rFonts w:hint="eastAsia" w:ascii="宋体" w:hAnsi="宋体" w:cs="宋体"/>
          <w:highlight w:val="none"/>
        </w:rPr>
      </w:pPr>
      <w:r>
        <w:rPr>
          <w:rFonts w:hint="eastAsia" w:ascii="宋体" w:hAnsi="宋体" w:cs="宋体"/>
          <w:highlight w:val="none"/>
        </w:rPr>
        <w:t>1.1.3.3临时工程：</w:t>
      </w:r>
      <w:r>
        <w:rPr>
          <w:rFonts w:hint="eastAsia" w:ascii="宋体" w:hAnsi="宋体" w:cs="宋体"/>
          <w:highlight w:val="none"/>
          <w:u w:val="single"/>
        </w:rPr>
        <w:t xml:space="preserve"> 承包人为完成永久工程所修建的临时性工程并在本工程竣工后或发包人要求是承包人需予以全部拆除的工程。包括临时道路、施工供水工程、施工供电工程等 </w:t>
      </w:r>
      <w:r>
        <w:rPr>
          <w:rFonts w:hint="eastAsia" w:ascii="宋体" w:hAnsi="宋体" w:cs="宋体"/>
          <w:highlight w:val="none"/>
        </w:rPr>
        <w:t>。</w:t>
      </w:r>
    </w:p>
    <w:p w14:paraId="36AB8A2D">
      <w:pPr>
        <w:spacing w:line="360" w:lineRule="auto"/>
        <w:ind w:firstLine="420" w:firstLineChars="200"/>
        <w:rPr>
          <w:rFonts w:hint="eastAsia" w:ascii="宋体" w:hAnsi="宋体" w:cs="宋体"/>
          <w:highlight w:val="none"/>
        </w:rPr>
      </w:pPr>
      <w:r>
        <w:rPr>
          <w:rFonts w:hint="eastAsia" w:ascii="宋体" w:hAnsi="宋体" w:cs="宋体"/>
          <w:highlight w:val="none"/>
        </w:rPr>
        <w:t>1.1.3.4单位工程：指具有相对独立的设计文件，能够独立组织施工并能形成独立使用功能的永久工程的组成部分。</w:t>
      </w:r>
    </w:p>
    <w:p w14:paraId="6DE0BEC1">
      <w:pPr>
        <w:spacing w:line="360" w:lineRule="auto"/>
        <w:ind w:firstLine="420" w:firstLineChars="200"/>
        <w:rPr>
          <w:rFonts w:hint="eastAsia" w:ascii="宋体" w:hAnsi="宋体" w:cs="宋体"/>
          <w:highlight w:val="none"/>
          <w:u w:val="single"/>
        </w:rPr>
      </w:pPr>
      <w:r>
        <w:rPr>
          <w:rFonts w:hint="eastAsia" w:ascii="宋体" w:hAnsi="宋体" w:cs="宋体"/>
          <w:highlight w:val="none"/>
        </w:rPr>
        <w:t>1.1.3.10永久占地：</w:t>
      </w:r>
      <w:r>
        <w:rPr>
          <w:rFonts w:hint="eastAsia" w:ascii="宋体" w:hAnsi="宋体" w:cs="宋体"/>
          <w:highlight w:val="none"/>
          <w:u w:val="single"/>
        </w:rPr>
        <w:t xml:space="preserve"> 为实施本合同工程需要永久占地范围</w:t>
      </w:r>
      <w:r>
        <w:rPr>
          <w:rFonts w:hint="eastAsia" w:ascii="宋体" w:hAnsi="宋体" w:cs="宋体"/>
          <w:highlight w:val="none"/>
        </w:rPr>
        <w:t>。</w:t>
      </w:r>
    </w:p>
    <w:p w14:paraId="6202ED38">
      <w:pPr>
        <w:spacing w:line="360" w:lineRule="auto"/>
        <w:ind w:firstLine="420" w:firstLineChars="200"/>
        <w:rPr>
          <w:rFonts w:hint="eastAsia" w:ascii="宋体" w:hAnsi="宋体" w:cs="宋体"/>
          <w:highlight w:val="none"/>
        </w:rPr>
      </w:pPr>
      <w:r>
        <w:rPr>
          <w:rFonts w:hint="eastAsia" w:ascii="宋体" w:hAnsi="宋体" w:cs="宋体"/>
          <w:highlight w:val="none"/>
        </w:rPr>
        <w:t>1.1.3.11临时占地：</w:t>
      </w:r>
      <w:r>
        <w:rPr>
          <w:rFonts w:hint="eastAsia" w:ascii="宋体" w:hAnsi="宋体" w:cs="宋体"/>
          <w:highlight w:val="none"/>
          <w:u w:val="single"/>
        </w:rPr>
        <w:t xml:space="preserve"> 不提供改造范围以外的临时场地 </w:t>
      </w:r>
      <w:r>
        <w:rPr>
          <w:rFonts w:hint="eastAsia" w:ascii="宋体" w:hAnsi="宋体" w:cs="宋体"/>
          <w:highlight w:val="none"/>
        </w:rPr>
        <w:t>。</w:t>
      </w:r>
    </w:p>
    <w:p w14:paraId="255367F8">
      <w:pPr>
        <w:spacing w:line="360" w:lineRule="auto"/>
        <w:ind w:firstLine="420" w:firstLineChars="200"/>
        <w:rPr>
          <w:rFonts w:hint="eastAsia" w:ascii="宋体" w:hAnsi="宋体" w:cs="宋体"/>
          <w:highlight w:val="none"/>
        </w:rPr>
      </w:pPr>
      <w:r>
        <w:rPr>
          <w:rFonts w:hint="eastAsia" w:ascii="宋体" w:hAnsi="宋体" w:cs="宋体"/>
          <w:highlight w:val="none"/>
        </w:rPr>
        <w:t>1.1.4日期</w:t>
      </w:r>
    </w:p>
    <w:p w14:paraId="0BC85AC8">
      <w:pPr>
        <w:spacing w:line="360" w:lineRule="auto"/>
        <w:ind w:firstLine="420" w:firstLineChars="200"/>
        <w:rPr>
          <w:rFonts w:hint="eastAsia" w:ascii="宋体" w:hAnsi="宋体" w:cs="宋体"/>
          <w:highlight w:val="none"/>
          <w:u w:val="single"/>
        </w:rPr>
      </w:pPr>
      <w:r>
        <w:rPr>
          <w:rFonts w:hint="eastAsia" w:ascii="宋体" w:hAnsi="宋体" w:cs="宋体"/>
          <w:highlight w:val="none"/>
        </w:rPr>
        <w:t>1.1.4.5缺陷责任期期限（养护期）：</w:t>
      </w:r>
      <w:r>
        <w:rPr>
          <w:rFonts w:hint="eastAsia" w:ascii="宋体" w:hAnsi="宋体" w:cs="宋体"/>
          <w:highlight w:val="none"/>
          <w:u w:val="single"/>
        </w:rPr>
        <w:t xml:space="preserve"> 24个 </w:t>
      </w:r>
      <w:r>
        <w:rPr>
          <w:rFonts w:hint="eastAsia" w:ascii="宋体" w:hAnsi="宋体" w:cs="宋体"/>
          <w:highlight w:val="none"/>
        </w:rPr>
        <w:t>月。</w:t>
      </w:r>
    </w:p>
    <w:p w14:paraId="204F5B49">
      <w:pPr>
        <w:spacing w:line="360" w:lineRule="auto"/>
        <w:ind w:firstLine="420" w:firstLineChars="200"/>
        <w:rPr>
          <w:rFonts w:hint="eastAsia" w:ascii="宋体" w:hAnsi="宋体" w:cs="宋体"/>
          <w:highlight w:val="none"/>
        </w:rPr>
      </w:pPr>
      <w:r>
        <w:rPr>
          <w:rFonts w:hint="eastAsia" w:ascii="宋体" w:hAnsi="宋体" w:cs="宋体"/>
          <w:highlight w:val="none"/>
        </w:rPr>
        <w:t>1.1.4.8保修期：是根据现行有关法律规定，在合同条款第19.7款中约定的由承包人负责对合同约定的保修范围内发生的质量问题履行保修义务并对造成的损失承担赔偿责任的期限。</w:t>
      </w:r>
    </w:p>
    <w:p w14:paraId="1F6DD4F1">
      <w:pPr>
        <w:spacing w:line="360" w:lineRule="auto"/>
        <w:ind w:firstLine="420" w:firstLineChars="200"/>
        <w:rPr>
          <w:rFonts w:hint="eastAsia" w:ascii="宋体" w:hAnsi="宋体" w:cs="宋体"/>
          <w:highlight w:val="none"/>
        </w:rPr>
      </w:pPr>
      <w:r>
        <w:rPr>
          <w:rFonts w:hint="eastAsia" w:ascii="宋体" w:hAnsi="宋体" w:cs="宋体"/>
          <w:highlight w:val="none"/>
        </w:rPr>
        <w:t>1.1.6其他</w:t>
      </w:r>
    </w:p>
    <w:p w14:paraId="538ED7B9">
      <w:pPr>
        <w:spacing w:line="360" w:lineRule="auto"/>
        <w:ind w:firstLine="420" w:firstLineChars="200"/>
        <w:rPr>
          <w:rFonts w:hint="eastAsia" w:ascii="宋体" w:hAnsi="宋体" w:cs="宋体"/>
          <w:highlight w:val="none"/>
        </w:rPr>
      </w:pPr>
      <w:r>
        <w:rPr>
          <w:rFonts w:hint="eastAsia" w:ascii="宋体" w:hAnsi="宋体" w:cs="宋体"/>
          <w:highlight w:val="none"/>
        </w:rPr>
        <w:t>1.1.6.2材料：指构成或将构成永久工程组成部分的各类物品(工程设备除外)，包括合同中可能约定的承包人仅负责供应的材料。</w:t>
      </w:r>
    </w:p>
    <w:p w14:paraId="29F6BA90">
      <w:pPr>
        <w:spacing w:line="360" w:lineRule="auto"/>
        <w:ind w:firstLine="420" w:firstLineChars="200"/>
        <w:rPr>
          <w:rFonts w:hint="eastAsia" w:ascii="宋体" w:hAnsi="宋体" w:cs="宋体"/>
          <w:highlight w:val="none"/>
        </w:rPr>
      </w:pPr>
      <w:r>
        <w:rPr>
          <w:rFonts w:hint="eastAsia" w:ascii="宋体" w:hAnsi="宋体" w:cs="宋体"/>
          <w:highlight w:val="none"/>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795FDE6E">
      <w:pPr>
        <w:spacing w:line="360" w:lineRule="auto"/>
        <w:ind w:firstLine="420" w:firstLineChars="200"/>
        <w:rPr>
          <w:rFonts w:hint="eastAsia" w:ascii="宋体" w:hAnsi="宋体" w:cs="宋体"/>
          <w:highlight w:val="none"/>
        </w:rPr>
      </w:pPr>
      <w:bookmarkStart w:id="1640" w:name="_Toc454359336"/>
      <w:bookmarkStart w:id="1641" w:name="_Toc503536247"/>
      <w:r>
        <w:rPr>
          <w:rFonts w:hint="eastAsia" w:ascii="宋体" w:hAnsi="宋体" w:cs="宋体"/>
          <w:highlight w:val="none"/>
        </w:rPr>
        <w:t>1.1.6.4 除另有特别指明外，专用合同条款中使用的措辞“合同条款”指通用合同条款和（或）专用合同条款。</w:t>
      </w:r>
      <w:bookmarkEnd w:id="1640"/>
      <w:bookmarkEnd w:id="1641"/>
    </w:p>
    <w:p w14:paraId="6DE52409">
      <w:pPr>
        <w:spacing w:line="360" w:lineRule="auto"/>
        <w:rPr>
          <w:rFonts w:hint="eastAsia" w:ascii="宋体" w:hAnsi="宋体" w:cs="宋体"/>
          <w:highlight w:val="none"/>
        </w:rPr>
      </w:pPr>
      <w:bookmarkStart w:id="1642" w:name="_Toc179632633"/>
      <w:bookmarkStart w:id="1643" w:name="_Toc152045615"/>
      <w:bookmarkStart w:id="1644" w:name="_Toc144974583"/>
      <w:bookmarkStart w:id="1645" w:name="_Toc241459661"/>
      <w:bookmarkStart w:id="1646" w:name="_Toc342296420"/>
      <w:bookmarkStart w:id="1647" w:name="_Toc503536248"/>
      <w:bookmarkStart w:id="1648" w:name="_Toc454359337"/>
      <w:bookmarkStart w:id="1649" w:name="_Toc152042393"/>
      <w:r>
        <w:rPr>
          <w:rFonts w:hint="eastAsia" w:ascii="宋体" w:hAnsi="宋体" w:cs="宋体"/>
          <w:highlight w:val="none"/>
        </w:rPr>
        <w:t>1.4 合同文件的优先顺序</w:t>
      </w:r>
      <w:bookmarkEnd w:id="1642"/>
      <w:bookmarkEnd w:id="1643"/>
      <w:bookmarkEnd w:id="1644"/>
      <w:bookmarkEnd w:id="1645"/>
      <w:bookmarkEnd w:id="1646"/>
      <w:bookmarkEnd w:id="1647"/>
      <w:bookmarkEnd w:id="1648"/>
      <w:bookmarkEnd w:id="1649"/>
    </w:p>
    <w:p w14:paraId="0AA453B3">
      <w:pPr>
        <w:spacing w:line="360" w:lineRule="auto"/>
        <w:ind w:firstLine="482"/>
        <w:rPr>
          <w:rFonts w:hint="eastAsia" w:ascii="宋体" w:hAnsi="宋体" w:cs="宋体"/>
          <w:highlight w:val="none"/>
        </w:rPr>
      </w:pPr>
      <w:r>
        <w:rPr>
          <w:rFonts w:hint="eastAsia" w:ascii="宋体" w:hAnsi="宋体" w:cs="宋体"/>
          <w:highlight w:val="none"/>
        </w:rPr>
        <w:t>合同文件的优先解释顺序如下：</w:t>
      </w:r>
    </w:p>
    <w:p w14:paraId="5D2BB931">
      <w:pPr>
        <w:spacing w:line="360" w:lineRule="auto"/>
        <w:ind w:firstLine="482"/>
        <w:rPr>
          <w:rFonts w:hint="eastAsia" w:ascii="宋体" w:hAnsi="宋体" w:cs="宋体"/>
          <w:highlight w:val="none"/>
        </w:rPr>
      </w:pPr>
      <w:r>
        <w:rPr>
          <w:rFonts w:hint="eastAsia" w:ascii="宋体" w:hAnsi="宋体" w:cs="宋体"/>
          <w:highlight w:val="none"/>
        </w:rPr>
        <w:t>（1）合同协议书；</w:t>
      </w:r>
    </w:p>
    <w:p w14:paraId="716C6B5C">
      <w:pPr>
        <w:spacing w:line="360" w:lineRule="auto"/>
        <w:ind w:firstLine="482"/>
        <w:rPr>
          <w:rFonts w:hint="eastAsia" w:ascii="宋体" w:hAnsi="宋体" w:cs="宋体"/>
          <w:highlight w:val="none"/>
        </w:rPr>
      </w:pPr>
      <w:r>
        <w:rPr>
          <w:rFonts w:hint="eastAsia" w:ascii="宋体" w:hAnsi="宋体" w:cs="宋体"/>
          <w:highlight w:val="none"/>
        </w:rPr>
        <w:t>（2）成交通知书；</w:t>
      </w:r>
    </w:p>
    <w:p w14:paraId="675F8B1A">
      <w:pPr>
        <w:spacing w:line="360" w:lineRule="auto"/>
        <w:ind w:firstLine="482"/>
        <w:rPr>
          <w:rFonts w:hint="eastAsia" w:ascii="宋体" w:hAnsi="宋体" w:cs="宋体"/>
          <w:highlight w:val="none"/>
        </w:rPr>
      </w:pPr>
      <w:r>
        <w:rPr>
          <w:rFonts w:hint="eastAsia" w:ascii="宋体" w:hAnsi="宋体" w:cs="宋体"/>
          <w:highlight w:val="none"/>
        </w:rPr>
        <w:t>（3）响应函及最终报价表；</w:t>
      </w:r>
    </w:p>
    <w:p w14:paraId="576846D3">
      <w:pPr>
        <w:spacing w:line="360" w:lineRule="auto"/>
        <w:ind w:firstLine="482"/>
        <w:rPr>
          <w:rFonts w:hint="eastAsia" w:ascii="宋体" w:hAnsi="宋体" w:cs="宋体"/>
          <w:highlight w:val="none"/>
        </w:rPr>
      </w:pPr>
      <w:r>
        <w:rPr>
          <w:rFonts w:hint="eastAsia" w:ascii="宋体" w:hAnsi="宋体" w:cs="宋体"/>
          <w:highlight w:val="none"/>
        </w:rPr>
        <w:t>（4）专用合同条款；</w:t>
      </w:r>
    </w:p>
    <w:p w14:paraId="5671F972">
      <w:pPr>
        <w:spacing w:line="360" w:lineRule="auto"/>
        <w:ind w:firstLine="482"/>
        <w:rPr>
          <w:rFonts w:hint="eastAsia" w:ascii="宋体" w:hAnsi="宋体" w:cs="宋体"/>
          <w:highlight w:val="none"/>
        </w:rPr>
      </w:pPr>
      <w:r>
        <w:rPr>
          <w:rFonts w:hint="eastAsia" w:ascii="宋体" w:hAnsi="宋体" w:cs="宋体"/>
          <w:highlight w:val="none"/>
        </w:rPr>
        <w:t>（5）通用合同条款；</w:t>
      </w:r>
    </w:p>
    <w:p w14:paraId="6D7B80B9">
      <w:pPr>
        <w:spacing w:line="360" w:lineRule="auto"/>
        <w:ind w:firstLine="482"/>
        <w:rPr>
          <w:rFonts w:hint="eastAsia" w:ascii="宋体" w:hAnsi="宋体" w:cs="宋体"/>
          <w:highlight w:val="none"/>
        </w:rPr>
      </w:pPr>
      <w:r>
        <w:rPr>
          <w:rFonts w:hint="eastAsia" w:ascii="宋体" w:hAnsi="宋体" w:cs="宋体"/>
          <w:highlight w:val="none"/>
        </w:rPr>
        <w:t>（6）竞争性磋商文件及</w:t>
      </w:r>
      <w:r>
        <w:rPr>
          <w:rFonts w:hint="eastAsia" w:ascii="宋体" w:hAnsi="宋体" w:cs="宋体"/>
          <w:highlight w:val="none"/>
          <w:u w:val="single"/>
        </w:rPr>
        <w:t>已标价工程量清单</w:t>
      </w:r>
      <w:r>
        <w:rPr>
          <w:rFonts w:hint="eastAsia" w:ascii="宋体" w:hAnsi="宋体" w:cs="宋体"/>
          <w:highlight w:val="none"/>
        </w:rPr>
        <w:t>；</w:t>
      </w:r>
    </w:p>
    <w:p w14:paraId="36063224">
      <w:pPr>
        <w:spacing w:line="360" w:lineRule="auto"/>
        <w:ind w:firstLine="482"/>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u w:val="single"/>
        </w:rPr>
        <w:t>技术需求书</w:t>
      </w:r>
      <w:r>
        <w:rPr>
          <w:rFonts w:hint="eastAsia" w:ascii="宋体" w:hAnsi="宋体" w:cs="宋体"/>
          <w:highlight w:val="none"/>
        </w:rPr>
        <w:t>；</w:t>
      </w:r>
    </w:p>
    <w:p w14:paraId="26BE6F83">
      <w:pPr>
        <w:spacing w:line="360" w:lineRule="auto"/>
        <w:ind w:firstLine="482"/>
        <w:rPr>
          <w:rFonts w:hint="eastAsia" w:ascii="宋体" w:hAnsi="宋体" w:cs="宋体"/>
          <w:highlight w:val="none"/>
        </w:rPr>
      </w:pPr>
      <w:r>
        <w:rPr>
          <w:rFonts w:hint="eastAsia" w:ascii="宋体" w:hAnsi="宋体" w:cs="宋体"/>
          <w:highlight w:val="none"/>
        </w:rPr>
        <w:t>（8）</w:t>
      </w:r>
      <w:r>
        <w:rPr>
          <w:rFonts w:hint="eastAsia" w:ascii="宋体" w:hAnsi="宋体" w:cs="宋体"/>
          <w:highlight w:val="none"/>
          <w:u w:val="single"/>
        </w:rPr>
        <w:t xml:space="preserve">图纸 </w:t>
      </w:r>
      <w:r>
        <w:rPr>
          <w:rFonts w:hint="eastAsia" w:ascii="宋体" w:hAnsi="宋体" w:cs="宋体"/>
          <w:highlight w:val="none"/>
        </w:rPr>
        <w:t xml:space="preserve"> ；</w:t>
      </w:r>
    </w:p>
    <w:p w14:paraId="72C8C5A9">
      <w:pPr>
        <w:spacing w:line="360" w:lineRule="auto"/>
        <w:ind w:firstLine="480"/>
        <w:rPr>
          <w:rFonts w:hint="eastAsia" w:ascii="宋体" w:hAnsi="宋体" w:cs="宋体"/>
          <w:highlight w:val="none"/>
        </w:rPr>
      </w:pPr>
      <w:r>
        <w:rPr>
          <w:rFonts w:hint="eastAsia" w:ascii="宋体" w:hAnsi="宋体" w:cs="宋体"/>
          <w:highlight w:val="none"/>
        </w:rPr>
        <w:t>（9）</w:t>
      </w:r>
      <w:r>
        <w:rPr>
          <w:rFonts w:hint="eastAsia" w:ascii="宋体" w:hAnsi="宋体" w:cs="宋体"/>
          <w:highlight w:val="none"/>
          <w:u w:val="single"/>
        </w:rPr>
        <w:t>施工组织设计</w:t>
      </w:r>
      <w:r>
        <w:rPr>
          <w:rFonts w:hint="eastAsia" w:ascii="宋体" w:hAnsi="宋体" w:cs="宋体"/>
          <w:highlight w:val="none"/>
        </w:rPr>
        <w:t>。</w:t>
      </w:r>
    </w:p>
    <w:p w14:paraId="1B53D2C4">
      <w:pPr>
        <w:spacing w:line="360" w:lineRule="auto"/>
        <w:ind w:firstLine="480"/>
        <w:rPr>
          <w:rFonts w:hint="eastAsia" w:ascii="宋体" w:hAnsi="宋体" w:cs="宋体"/>
          <w:highlight w:val="none"/>
        </w:rPr>
      </w:pPr>
      <w:r>
        <w:rPr>
          <w:rFonts w:hint="eastAsia" w:ascii="宋体" w:hAnsi="宋体" w:cs="宋体"/>
          <w:highlight w:val="none"/>
        </w:rPr>
        <w:t>（说明：（6）、（7）、（8）填空内容分别限于技术标准和要求、图纸、已标价工程量清单三者之一。）</w:t>
      </w:r>
    </w:p>
    <w:p w14:paraId="79C9721B">
      <w:pPr>
        <w:spacing w:line="360" w:lineRule="auto"/>
        <w:ind w:firstLine="420" w:firstLineChars="200"/>
        <w:rPr>
          <w:rFonts w:hint="eastAsia" w:ascii="宋体" w:hAnsi="宋体" w:cs="宋体"/>
          <w:highlight w:val="none"/>
        </w:rPr>
      </w:pPr>
      <w:r>
        <w:rPr>
          <w:rFonts w:hint="eastAsia" w:ascii="宋体" w:hAnsi="宋体" w:cs="宋体"/>
          <w:highlight w:val="none"/>
        </w:rPr>
        <w:t>合同协议书中约定采用总价合同形式的，除非合同另有约定，已标价工程量清单中的各项工程量对合同双方不具合同约束力。</w:t>
      </w:r>
    </w:p>
    <w:p w14:paraId="402B6BE5">
      <w:pPr>
        <w:spacing w:line="360" w:lineRule="auto"/>
        <w:ind w:firstLine="420" w:firstLineChars="200"/>
        <w:rPr>
          <w:rFonts w:hint="eastAsia" w:ascii="宋体" w:hAnsi="宋体" w:cs="宋体"/>
          <w:highlight w:val="none"/>
        </w:rPr>
      </w:pPr>
      <w:r>
        <w:rPr>
          <w:rFonts w:hint="eastAsia" w:ascii="宋体" w:hAnsi="宋体" w:cs="宋体"/>
          <w:highlight w:val="none"/>
        </w:rPr>
        <w:t>图纸与技术标准和要求之间有矛盾或者不一致的，以其中要求较严格的标准为准。</w:t>
      </w:r>
    </w:p>
    <w:p w14:paraId="5CD71438">
      <w:pPr>
        <w:spacing w:line="360" w:lineRule="auto"/>
        <w:ind w:firstLine="420" w:firstLineChars="200"/>
        <w:rPr>
          <w:rFonts w:hint="eastAsia" w:ascii="宋体" w:hAnsi="宋体" w:cs="宋体"/>
          <w:highlight w:val="none"/>
        </w:rPr>
      </w:pPr>
      <w:r>
        <w:rPr>
          <w:rFonts w:hint="eastAsia" w:ascii="宋体" w:hAnsi="宋体" w:cs="宋体"/>
          <w:highlight w:val="none"/>
        </w:rPr>
        <w:t>合同双方在合同履行过程中签订的补充协议亦构成合同文件的组成部分，其解释顺序视其内容与其他合同文件的相互关系而定。</w:t>
      </w:r>
    </w:p>
    <w:p w14:paraId="422F94FD">
      <w:pPr>
        <w:spacing w:line="360" w:lineRule="auto"/>
        <w:rPr>
          <w:rFonts w:hint="eastAsia" w:ascii="宋体" w:hAnsi="宋体" w:cs="宋体"/>
          <w:highlight w:val="none"/>
        </w:rPr>
      </w:pPr>
      <w:bookmarkStart w:id="1650" w:name="_Toc144974584"/>
      <w:bookmarkStart w:id="1651" w:name="_Toc342296421"/>
      <w:bookmarkStart w:id="1652" w:name="_Toc179632634"/>
      <w:bookmarkStart w:id="1653" w:name="_Toc152042394"/>
      <w:bookmarkStart w:id="1654" w:name="_Toc152045616"/>
      <w:bookmarkStart w:id="1655" w:name="_Toc454359338"/>
      <w:bookmarkStart w:id="1656" w:name="_Toc241459662"/>
      <w:bookmarkStart w:id="1657" w:name="_Toc503536249"/>
      <w:r>
        <w:rPr>
          <w:rFonts w:hint="eastAsia" w:ascii="宋体" w:hAnsi="宋体" w:cs="宋体"/>
          <w:highlight w:val="none"/>
        </w:rPr>
        <w:t>1.5 合同协议书</w:t>
      </w:r>
      <w:bookmarkEnd w:id="1650"/>
      <w:bookmarkEnd w:id="1651"/>
      <w:bookmarkEnd w:id="1652"/>
      <w:bookmarkEnd w:id="1653"/>
      <w:bookmarkEnd w:id="1654"/>
      <w:bookmarkEnd w:id="1655"/>
      <w:bookmarkEnd w:id="1656"/>
      <w:bookmarkEnd w:id="1657"/>
    </w:p>
    <w:p w14:paraId="36739649">
      <w:pPr>
        <w:spacing w:line="360" w:lineRule="auto"/>
        <w:ind w:firstLine="420" w:firstLineChars="200"/>
        <w:rPr>
          <w:rFonts w:hint="eastAsia" w:ascii="宋体" w:hAnsi="宋体" w:cs="宋体"/>
          <w:highlight w:val="none"/>
          <w:u w:val="single"/>
        </w:rPr>
      </w:pPr>
      <w:r>
        <w:rPr>
          <w:rFonts w:hint="eastAsia" w:ascii="宋体" w:hAnsi="宋体" w:cs="宋体"/>
          <w:highlight w:val="none"/>
        </w:rPr>
        <w:t>合同生效的条件：</w:t>
      </w:r>
      <w:r>
        <w:rPr>
          <w:rFonts w:hint="eastAsia" w:ascii="宋体" w:hAnsi="宋体" w:cs="宋体"/>
          <w:highlight w:val="none"/>
          <w:u w:val="single"/>
        </w:rPr>
        <w:t xml:space="preserve"> 双方签字或盖章</w:t>
      </w:r>
      <w:r>
        <w:rPr>
          <w:rFonts w:hint="eastAsia" w:ascii="宋体" w:hAnsi="宋体" w:cs="宋体"/>
          <w:highlight w:val="none"/>
        </w:rPr>
        <w:t>。</w:t>
      </w:r>
    </w:p>
    <w:p w14:paraId="0B594956">
      <w:pPr>
        <w:spacing w:line="360" w:lineRule="auto"/>
        <w:rPr>
          <w:rFonts w:hint="eastAsia" w:ascii="宋体" w:hAnsi="宋体" w:cs="宋体"/>
          <w:highlight w:val="none"/>
        </w:rPr>
      </w:pPr>
      <w:bookmarkStart w:id="1658" w:name="_Toc144974585"/>
      <w:bookmarkStart w:id="1659" w:name="_Toc179632635"/>
      <w:bookmarkStart w:id="1660" w:name="_Toc342296422"/>
      <w:bookmarkStart w:id="1661" w:name="_Toc152045617"/>
      <w:bookmarkStart w:id="1662" w:name="_Toc454359339"/>
      <w:bookmarkStart w:id="1663" w:name="_Toc241459663"/>
      <w:bookmarkStart w:id="1664" w:name="_Toc503536250"/>
      <w:bookmarkStart w:id="1665" w:name="_Toc152042395"/>
      <w:r>
        <w:rPr>
          <w:rFonts w:hint="eastAsia" w:ascii="宋体" w:hAnsi="宋体" w:cs="宋体"/>
          <w:highlight w:val="none"/>
        </w:rPr>
        <w:t>1.6 图纸和承包人文件</w:t>
      </w:r>
      <w:bookmarkEnd w:id="1658"/>
      <w:bookmarkEnd w:id="1659"/>
      <w:bookmarkEnd w:id="1660"/>
      <w:bookmarkEnd w:id="1661"/>
      <w:bookmarkEnd w:id="1662"/>
      <w:bookmarkEnd w:id="1663"/>
      <w:bookmarkEnd w:id="1664"/>
      <w:bookmarkEnd w:id="1665"/>
    </w:p>
    <w:p w14:paraId="7B5F2169">
      <w:pPr>
        <w:spacing w:line="360" w:lineRule="auto"/>
        <w:ind w:firstLine="420" w:firstLineChars="200"/>
        <w:rPr>
          <w:rFonts w:hint="eastAsia" w:ascii="宋体" w:hAnsi="宋体" w:cs="宋体"/>
          <w:highlight w:val="none"/>
        </w:rPr>
      </w:pPr>
      <w:r>
        <w:rPr>
          <w:rFonts w:hint="eastAsia" w:ascii="宋体" w:hAnsi="宋体" w:cs="宋体"/>
          <w:highlight w:val="none"/>
        </w:rPr>
        <w:t>1.6.1图纸的提供</w:t>
      </w:r>
    </w:p>
    <w:p w14:paraId="0B91A9B1">
      <w:pPr>
        <w:spacing w:line="360" w:lineRule="auto"/>
        <w:ind w:firstLine="315" w:firstLineChars="150"/>
        <w:rPr>
          <w:rFonts w:hint="eastAsia" w:ascii="宋体" w:hAnsi="宋体" w:cs="宋体"/>
          <w:highlight w:val="none"/>
        </w:rPr>
      </w:pPr>
      <w:r>
        <w:rPr>
          <w:rFonts w:hint="eastAsia" w:ascii="宋体" w:hAnsi="宋体" w:cs="宋体"/>
          <w:highlight w:val="none"/>
        </w:rPr>
        <w:t>（1） 发包人按照合同条款本项的约定向承包人提供图纸。承包人需要增加图纸套数的，发包人应代为复制，复制费用由承包人承担。</w:t>
      </w:r>
    </w:p>
    <w:p w14:paraId="6E27982E">
      <w:pPr>
        <w:spacing w:line="360" w:lineRule="auto"/>
        <w:ind w:firstLine="315" w:firstLineChars="150"/>
        <w:rPr>
          <w:rFonts w:hint="eastAsia" w:ascii="宋体" w:hAnsi="宋体" w:cs="宋体"/>
          <w:highlight w:val="none"/>
        </w:rPr>
      </w:pPr>
      <w:r>
        <w:rPr>
          <w:rFonts w:hint="eastAsia" w:ascii="宋体" w:hAnsi="宋体" w:cs="宋体"/>
          <w:highlight w:val="none"/>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0006155A">
      <w:pPr>
        <w:spacing w:line="360" w:lineRule="auto"/>
        <w:ind w:firstLine="315" w:firstLineChars="150"/>
        <w:rPr>
          <w:rFonts w:hint="eastAsia" w:ascii="宋体" w:hAnsi="宋体" w:cs="宋体"/>
          <w:highlight w:val="none"/>
        </w:rPr>
      </w:pPr>
      <w:r>
        <w:rPr>
          <w:rFonts w:hint="eastAsia" w:ascii="宋体" w:hAnsi="宋体" w:cs="宋体"/>
          <w:highlight w:val="none"/>
        </w:rPr>
        <w:t>（3）发包人提供图纸的期限：</w:t>
      </w:r>
      <w:r>
        <w:rPr>
          <w:rFonts w:hint="eastAsia" w:ascii="宋体" w:hAnsi="宋体" w:cs="宋体"/>
          <w:highlight w:val="none"/>
          <w:u w:val="single"/>
        </w:rPr>
        <w:t xml:space="preserve">  开工前7天内  </w:t>
      </w:r>
      <w:r>
        <w:rPr>
          <w:rFonts w:hint="eastAsia" w:ascii="宋体" w:hAnsi="宋体" w:cs="宋体"/>
          <w:highlight w:val="none"/>
        </w:rPr>
        <w:t>。</w:t>
      </w:r>
    </w:p>
    <w:p w14:paraId="046DBBE5">
      <w:pPr>
        <w:spacing w:line="360" w:lineRule="auto"/>
        <w:ind w:firstLine="315" w:firstLineChars="150"/>
        <w:rPr>
          <w:rFonts w:hint="eastAsia" w:ascii="宋体" w:hAnsi="宋体" w:cs="宋体"/>
          <w:highlight w:val="none"/>
        </w:rPr>
      </w:pPr>
      <w:r>
        <w:rPr>
          <w:rFonts w:hint="eastAsia" w:ascii="宋体" w:hAnsi="宋体" w:cs="宋体"/>
          <w:highlight w:val="none"/>
        </w:rPr>
        <w:t>（4）发包人提供图纸的数量：</w:t>
      </w:r>
      <w:r>
        <w:rPr>
          <w:rFonts w:hint="eastAsia" w:ascii="宋体" w:hAnsi="宋体" w:cs="宋体"/>
          <w:highlight w:val="none"/>
          <w:u w:val="single"/>
        </w:rPr>
        <w:t xml:space="preserve">  4套  </w:t>
      </w:r>
      <w:r>
        <w:rPr>
          <w:rFonts w:hint="eastAsia" w:ascii="宋体" w:hAnsi="宋体" w:cs="宋体"/>
          <w:highlight w:val="none"/>
        </w:rPr>
        <w:t>。</w:t>
      </w:r>
    </w:p>
    <w:p w14:paraId="00CDFB64">
      <w:pPr>
        <w:spacing w:line="360" w:lineRule="auto"/>
        <w:ind w:firstLine="420" w:firstLineChars="200"/>
        <w:rPr>
          <w:rFonts w:hint="eastAsia" w:ascii="宋体" w:hAnsi="宋体" w:cs="宋体"/>
          <w:highlight w:val="none"/>
        </w:rPr>
      </w:pPr>
      <w:r>
        <w:rPr>
          <w:rFonts w:hint="eastAsia" w:ascii="宋体" w:hAnsi="宋体" w:cs="宋体"/>
          <w:highlight w:val="none"/>
        </w:rPr>
        <w:t>1.6.2 承包人提供的文件</w:t>
      </w:r>
    </w:p>
    <w:p w14:paraId="7931D920">
      <w:pPr>
        <w:spacing w:line="360" w:lineRule="auto"/>
        <w:ind w:firstLine="315" w:firstLineChars="150"/>
        <w:rPr>
          <w:rFonts w:hint="eastAsia" w:ascii="宋体" w:hAnsi="宋体" w:cs="宋体"/>
          <w:highlight w:val="none"/>
          <w:u w:val="single"/>
        </w:rPr>
      </w:pPr>
      <w:r>
        <w:rPr>
          <w:rFonts w:hint="eastAsia" w:ascii="宋体" w:hAnsi="宋体" w:cs="宋体"/>
          <w:highlight w:val="none"/>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cs="宋体"/>
          <w:highlight w:val="none"/>
          <w:u w:val="single"/>
        </w:rPr>
        <w:t xml:space="preserve"> 承包人应当按照工程技术规范的相关要求需要制作加工图、大样图、安装图，协调配合图等图纸；按照合同文件要求提交施工组织设计、进度报表等文件</w:t>
      </w:r>
      <w:r>
        <w:rPr>
          <w:rFonts w:hint="eastAsia" w:ascii="宋体" w:hAnsi="宋体" w:cs="宋体"/>
          <w:highlight w:val="none"/>
        </w:rPr>
        <w:t>。</w:t>
      </w:r>
    </w:p>
    <w:p w14:paraId="0863984F">
      <w:pPr>
        <w:spacing w:line="360" w:lineRule="auto"/>
        <w:ind w:firstLine="315" w:firstLineChars="150"/>
        <w:rPr>
          <w:rFonts w:hint="eastAsia" w:ascii="宋体" w:hAnsi="宋体" w:cs="宋体"/>
          <w:highlight w:val="none"/>
        </w:rPr>
      </w:pPr>
      <w:r>
        <w:rPr>
          <w:rFonts w:hint="eastAsia" w:ascii="宋体" w:hAnsi="宋体" w:cs="宋体"/>
          <w:highlight w:val="none"/>
        </w:rPr>
        <w:t>（2）承包人提供文件的期限：</w:t>
      </w:r>
      <w:r>
        <w:rPr>
          <w:rFonts w:hint="eastAsia" w:ascii="宋体" w:hAnsi="宋体" w:cs="宋体"/>
          <w:highlight w:val="none"/>
          <w:u w:val="single"/>
        </w:rPr>
        <w:t xml:space="preserve">   开工前10日内  </w:t>
      </w:r>
      <w:r>
        <w:rPr>
          <w:rFonts w:hint="eastAsia" w:ascii="宋体" w:hAnsi="宋体" w:cs="宋体"/>
          <w:highlight w:val="none"/>
        </w:rPr>
        <w:t>。</w:t>
      </w:r>
    </w:p>
    <w:p w14:paraId="6FD6C8EA">
      <w:pPr>
        <w:spacing w:line="360" w:lineRule="auto"/>
        <w:ind w:firstLine="315" w:firstLineChars="150"/>
        <w:rPr>
          <w:rFonts w:hint="eastAsia" w:ascii="宋体" w:hAnsi="宋体" w:cs="宋体"/>
          <w:highlight w:val="none"/>
          <w:u w:val="single"/>
        </w:rPr>
      </w:pPr>
      <w:r>
        <w:rPr>
          <w:rFonts w:hint="eastAsia" w:ascii="宋体" w:hAnsi="宋体" w:cs="宋体"/>
          <w:highlight w:val="none"/>
        </w:rPr>
        <w:t>（3）承包人提供文件的数量：</w:t>
      </w:r>
      <w:r>
        <w:rPr>
          <w:rFonts w:hint="eastAsia" w:ascii="宋体" w:hAnsi="宋体" w:cs="宋体"/>
          <w:highlight w:val="none"/>
          <w:u w:val="single"/>
        </w:rPr>
        <w:t xml:space="preserve">   一式四份   </w:t>
      </w:r>
      <w:r>
        <w:rPr>
          <w:rFonts w:hint="eastAsia" w:ascii="宋体" w:hAnsi="宋体" w:cs="宋体"/>
          <w:highlight w:val="none"/>
        </w:rPr>
        <w:t>。</w:t>
      </w:r>
    </w:p>
    <w:p w14:paraId="1DE6BE62">
      <w:pPr>
        <w:spacing w:line="360" w:lineRule="auto"/>
        <w:ind w:firstLine="315" w:firstLineChars="150"/>
        <w:rPr>
          <w:rFonts w:hint="eastAsia" w:ascii="宋体" w:hAnsi="宋体" w:cs="宋体"/>
          <w:highlight w:val="none"/>
        </w:rPr>
      </w:pPr>
      <w:r>
        <w:rPr>
          <w:rFonts w:hint="eastAsia" w:ascii="宋体" w:hAnsi="宋体" w:cs="宋体"/>
          <w:highlight w:val="none"/>
        </w:rPr>
        <w:t>（4）监理人批复承包人提供文件的期限：</w:t>
      </w:r>
      <w:r>
        <w:rPr>
          <w:rFonts w:hint="eastAsia" w:ascii="宋体" w:hAnsi="宋体" w:cs="宋体"/>
          <w:highlight w:val="none"/>
          <w:u w:val="single"/>
        </w:rPr>
        <w:t xml:space="preserve">  收到承包人提交的上述资料7日内   </w:t>
      </w:r>
      <w:r>
        <w:rPr>
          <w:rFonts w:hint="eastAsia" w:ascii="宋体" w:hAnsi="宋体" w:cs="宋体"/>
          <w:highlight w:val="none"/>
        </w:rPr>
        <w:t>。</w:t>
      </w:r>
    </w:p>
    <w:p w14:paraId="3822755E">
      <w:pPr>
        <w:spacing w:line="360" w:lineRule="auto"/>
        <w:ind w:firstLine="315" w:firstLineChars="150"/>
        <w:rPr>
          <w:rFonts w:hint="eastAsia" w:ascii="宋体" w:hAnsi="宋体" w:cs="宋体"/>
          <w:highlight w:val="none"/>
        </w:rPr>
      </w:pPr>
      <w:r>
        <w:rPr>
          <w:rFonts w:hint="eastAsia" w:ascii="宋体" w:hAnsi="宋体" w:cs="宋体"/>
          <w:highlight w:val="none"/>
        </w:rPr>
        <w:t>（5）其他约定：</w:t>
      </w:r>
      <w:r>
        <w:rPr>
          <w:rFonts w:hint="eastAsia" w:ascii="宋体" w:hAnsi="宋体" w:cs="宋体"/>
          <w:highlight w:val="none"/>
          <w:u w:val="single"/>
        </w:rPr>
        <w:t>监理人对施工组织设计和承包人制作的加工图、大样图、安装图及协调配合图等图纸和文件的批准并不能接触承包人根据本合同约定应当承担的责任。上述生深化设计或加工图、大样图、安装图及协调配合图若存在缺陷造成的工期延误或返工，即使该等已经过发包人审批，承包人仍需承担相关责任和费用，工期不予补偿</w:t>
      </w:r>
      <w:r>
        <w:rPr>
          <w:rFonts w:hint="eastAsia" w:ascii="宋体" w:hAnsi="宋体" w:cs="宋体"/>
          <w:highlight w:val="none"/>
        </w:rPr>
        <w:t>。</w:t>
      </w:r>
    </w:p>
    <w:p w14:paraId="1CFD60BB">
      <w:pPr>
        <w:spacing w:line="360" w:lineRule="auto"/>
        <w:ind w:firstLine="420" w:firstLineChars="200"/>
        <w:rPr>
          <w:rFonts w:hint="eastAsia" w:ascii="宋体" w:hAnsi="宋体" w:cs="宋体"/>
          <w:highlight w:val="none"/>
        </w:rPr>
      </w:pPr>
      <w:r>
        <w:rPr>
          <w:rFonts w:hint="eastAsia" w:ascii="宋体" w:hAnsi="宋体" w:cs="宋体"/>
          <w:highlight w:val="none"/>
        </w:rPr>
        <w:t>1.6.3 图纸的修改</w:t>
      </w:r>
    </w:p>
    <w:p w14:paraId="3F74A7A5">
      <w:pPr>
        <w:spacing w:line="360" w:lineRule="auto"/>
        <w:ind w:firstLine="420" w:firstLineChars="200"/>
        <w:rPr>
          <w:rFonts w:hint="eastAsia" w:ascii="宋体" w:hAnsi="宋体" w:cs="宋体"/>
          <w:highlight w:val="none"/>
        </w:rPr>
      </w:pPr>
      <w:r>
        <w:rPr>
          <w:rFonts w:hint="eastAsia" w:ascii="宋体" w:hAnsi="宋体" w:cs="宋体"/>
          <w:highlight w:val="none"/>
        </w:rPr>
        <w:t>监理人应当按照合同条款第1.6.1（2）目约定的有合同约束力的图纸供应计划，签发图纸修改图给承包人。</w:t>
      </w:r>
    </w:p>
    <w:p w14:paraId="79504A3E">
      <w:pPr>
        <w:spacing w:line="360" w:lineRule="auto"/>
        <w:rPr>
          <w:rFonts w:hint="eastAsia" w:ascii="宋体" w:hAnsi="宋体" w:cs="宋体"/>
          <w:highlight w:val="none"/>
        </w:rPr>
      </w:pPr>
      <w:bookmarkStart w:id="1666" w:name="_Toc503536251"/>
      <w:bookmarkStart w:id="1667" w:name="_Toc144974586"/>
      <w:bookmarkStart w:id="1668" w:name="_Toc179632636"/>
      <w:bookmarkStart w:id="1669" w:name="_Toc454359340"/>
      <w:bookmarkStart w:id="1670" w:name="_Toc241459664"/>
      <w:bookmarkStart w:id="1671" w:name="_Toc342296423"/>
      <w:bookmarkStart w:id="1672" w:name="_Toc152042396"/>
      <w:bookmarkStart w:id="1673" w:name="_Toc152045618"/>
      <w:r>
        <w:rPr>
          <w:rFonts w:hint="eastAsia" w:ascii="宋体" w:hAnsi="宋体" w:cs="宋体"/>
          <w:highlight w:val="none"/>
        </w:rPr>
        <w:t>1.7 联 络</w:t>
      </w:r>
      <w:bookmarkEnd w:id="1666"/>
      <w:bookmarkEnd w:id="1667"/>
      <w:bookmarkEnd w:id="1668"/>
      <w:bookmarkEnd w:id="1669"/>
      <w:bookmarkEnd w:id="1670"/>
      <w:bookmarkEnd w:id="1671"/>
      <w:bookmarkEnd w:id="1672"/>
      <w:bookmarkEnd w:id="1673"/>
    </w:p>
    <w:p w14:paraId="183D1C8B">
      <w:pPr>
        <w:spacing w:line="360" w:lineRule="auto"/>
        <w:ind w:firstLine="420" w:firstLineChars="200"/>
        <w:rPr>
          <w:rFonts w:hint="eastAsia" w:ascii="宋体" w:hAnsi="宋体" w:cs="宋体"/>
          <w:highlight w:val="none"/>
        </w:rPr>
      </w:pPr>
      <w:r>
        <w:rPr>
          <w:rFonts w:hint="eastAsia" w:ascii="宋体" w:hAnsi="宋体" w:cs="宋体"/>
          <w:highlight w:val="none"/>
        </w:rPr>
        <w:t>1.7.2联络来往函件的送达和接收</w:t>
      </w:r>
    </w:p>
    <w:p w14:paraId="7B7CC940">
      <w:pPr>
        <w:spacing w:line="360" w:lineRule="auto"/>
        <w:ind w:firstLine="315" w:firstLineChars="150"/>
        <w:rPr>
          <w:rFonts w:hint="eastAsia" w:ascii="宋体" w:hAnsi="宋体" w:cs="宋体"/>
          <w:highlight w:val="none"/>
        </w:rPr>
      </w:pPr>
      <w:r>
        <w:rPr>
          <w:rFonts w:hint="eastAsia" w:ascii="宋体" w:hAnsi="宋体" w:cs="宋体"/>
          <w:highlight w:val="none"/>
        </w:rPr>
        <w:t>（1）联络来往信函的送达期限：合同约定了发出期限的，送达期限为合同约定的发出期限后的24小时内；合同约定了通知、提供或者报送期限的，通知、提供或者报送期限即为送达期限。</w:t>
      </w:r>
    </w:p>
    <w:p w14:paraId="7D418466">
      <w:pPr>
        <w:spacing w:line="360" w:lineRule="auto"/>
        <w:ind w:firstLine="315" w:firstLineChars="150"/>
        <w:rPr>
          <w:rFonts w:hint="eastAsia" w:ascii="宋体" w:hAnsi="宋体" w:cs="宋体"/>
          <w:highlight w:val="none"/>
        </w:rPr>
      </w:pPr>
      <w:r>
        <w:rPr>
          <w:rFonts w:hint="eastAsia" w:ascii="宋体" w:hAnsi="宋体" w:cs="宋体"/>
          <w:highlight w:val="none"/>
        </w:rPr>
        <w:t>（2）发包人指定的接收地点：</w:t>
      </w:r>
      <w:r>
        <w:rPr>
          <w:rFonts w:hint="eastAsia" w:ascii="宋体" w:hAnsi="宋体" w:cs="宋体"/>
          <w:highlight w:val="none"/>
          <w:u w:val="single"/>
        </w:rPr>
        <w:t xml:space="preserve">  本项目所在地  </w:t>
      </w:r>
      <w:r>
        <w:rPr>
          <w:rFonts w:hint="eastAsia" w:ascii="宋体" w:hAnsi="宋体" w:cs="宋体"/>
          <w:highlight w:val="none"/>
        </w:rPr>
        <w:t>。</w:t>
      </w:r>
    </w:p>
    <w:p w14:paraId="5581297A">
      <w:pPr>
        <w:spacing w:line="360" w:lineRule="auto"/>
        <w:ind w:firstLine="315" w:firstLineChars="150"/>
        <w:rPr>
          <w:rFonts w:hint="eastAsia" w:ascii="宋体" w:hAnsi="宋体" w:cs="宋体"/>
          <w:highlight w:val="none"/>
        </w:rPr>
      </w:pPr>
      <w:r>
        <w:rPr>
          <w:rFonts w:hint="eastAsia" w:ascii="宋体" w:hAnsi="宋体" w:cs="宋体"/>
          <w:highlight w:val="none"/>
        </w:rPr>
        <w:t>（3）发包人指定的接收人为：</w:t>
      </w:r>
      <w:r>
        <w:rPr>
          <w:rFonts w:hint="eastAsia" w:ascii="宋体" w:hAnsi="宋体" w:cs="宋体"/>
          <w:highlight w:val="none"/>
          <w:u w:val="single"/>
        </w:rPr>
        <w:t xml:space="preserve">  项目部负责人  </w:t>
      </w:r>
      <w:r>
        <w:rPr>
          <w:rFonts w:hint="eastAsia" w:ascii="宋体" w:hAnsi="宋体" w:cs="宋体"/>
          <w:highlight w:val="none"/>
        </w:rPr>
        <w:t>。</w:t>
      </w:r>
    </w:p>
    <w:p w14:paraId="572100DD">
      <w:pPr>
        <w:spacing w:line="360" w:lineRule="auto"/>
        <w:ind w:firstLine="315" w:firstLineChars="150"/>
        <w:rPr>
          <w:rFonts w:hint="eastAsia" w:ascii="宋体" w:hAnsi="宋体" w:cs="宋体"/>
          <w:highlight w:val="none"/>
        </w:rPr>
      </w:pPr>
      <w:r>
        <w:rPr>
          <w:rFonts w:hint="eastAsia" w:ascii="宋体" w:hAnsi="宋体" w:cs="宋体"/>
          <w:highlight w:val="none"/>
        </w:rPr>
        <w:t>（4）监理人指定的接收地点：</w:t>
      </w:r>
      <w:r>
        <w:rPr>
          <w:rFonts w:hint="eastAsia" w:ascii="宋体" w:hAnsi="宋体" w:cs="宋体"/>
          <w:highlight w:val="none"/>
          <w:u w:val="single"/>
        </w:rPr>
        <w:t xml:space="preserve">  本项目所在地  </w:t>
      </w:r>
      <w:r>
        <w:rPr>
          <w:rFonts w:hint="eastAsia" w:ascii="宋体" w:hAnsi="宋体" w:cs="宋体"/>
          <w:highlight w:val="none"/>
        </w:rPr>
        <w:t>。</w:t>
      </w:r>
    </w:p>
    <w:p w14:paraId="282B0C6E">
      <w:pPr>
        <w:spacing w:line="360" w:lineRule="auto"/>
        <w:ind w:firstLine="315" w:firstLineChars="150"/>
        <w:rPr>
          <w:rFonts w:hint="eastAsia" w:ascii="宋体" w:hAnsi="宋体" w:cs="宋体"/>
          <w:highlight w:val="none"/>
        </w:rPr>
      </w:pPr>
      <w:r>
        <w:rPr>
          <w:rFonts w:hint="eastAsia" w:ascii="宋体" w:hAnsi="宋体" w:cs="宋体"/>
          <w:highlight w:val="none"/>
        </w:rPr>
        <w:t>（5）监理人指定的接收人为：</w:t>
      </w:r>
      <w:r>
        <w:rPr>
          <w:rFonts w:hint="eastAsia" w:ascii="宋体" w:hAnsi="宋体" w:cs="宋体"/>
          <w:highlight w:val="none"/>
          <w:u w:val="single"/>
        </w:rPr>
        <w:t xml:space="preserve">  本项目总监理工程师  </w:t>
      </w:r>
      <w:r>
        <w:rPr>
          <w:rFonts w:hint="eastAsia" w:ascii="宋体" w:hAnsi="宋体" w:cs="宋体"/>
          <w:highlight w:val="none"/>
        </w:rPr>
        <w:t>。</w:t>
      </w:r>
    </w:p>
    <w:p w14:paraId="1688B241">
      <w:pPr>
        <w:spacing w:line="360" w:lineRule="auto"/>
        <w:ind w:firstLine="315" w:firstLineChars="150"/>
        <w:rPr>
          <w:rFonts w:hint="eastAsia" w:ascii="宋体" w:hAnsi="宋体" w:cs="宋体"/>
          <w:highlight w:val="none"/>
        </w:rPr>
      </w:pPr>
      <w:r>
        <w:rPr>
          <w:rFonts w:hint="eastAsia" w:ascii="宋体" w:hAnsi="宋体" w:cs="宋体"/>
          <w:highlight w:val="none"/>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152B165F">
      <w:pPr>
        <w:spacing w:line="360" w:lineRule="auto"/>
        <w:ind w:firstLine="315" w:firstLineChars="150"/>
        <w:rPr>
          <w:rFonts w:hint="eastAsia" w:ascii="宋体" w:hAnsi="宋体" w:cs="宋体"/>
          <w:highlight w:val="none"/>
        </w:rPr>
      </w:pPr>
      <w:r>
        <w:rPr>
          <w:rFonts w:hint="eastAsia" w:ascii="宋体" w:hAnsi="宋体" w:cs="宋体"/>
          <w:highlight w:val="none"/>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3105FB2D">
      <w:pPr>
        <w:spacing w:line="360" w:lineRule="auto"/>
        <w:ind w:firstLine="315" w:firstLineChars="150"/>
        <w:rPr>
          <w:rFonts w:hint="eastAsia" w:ascii="宋体" w:hAnsi="宋体" w:cs="宋体"/>
          <w:highlight w:val="none"/>
        </w:rPr>
      </w:pPr>
      <w:r>
        <w:rPr>
          <w:rFonts w:hint="eastAsia" w:ascii="宋体" w:hAnsi="宋体" w:cs="宋体"/>
          <w:highlight w:val="none"/>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4D81BDD2">
      <w:pPr>
        <w:rPr>
          <w:rFonts w:hint="eastAsia" w:ascii="宋体" w:hAnsi="宋体" w:cs="宋体"/>
          <w:highlight w:val="none"/>
        </w:rPr>
      </w:pPr>
      <w:bookmarkStart w:id="1674" w:name="_Toc241459665"/>
      <w:bookmarkStart w:id="1675" w:name="_Toc4157311"/>
      <w:bookmarkStart w:id="1676" w:name="_Toc13559"/>
      <w:bookmarkStart w:id="1677" w:name="_Toc503536252"/>
      <w:bookmarkStart w:id="1678" w:name="_Toc144974592"/>
      <w:bookmarkStart w:id="1679" w:name="_Toc342296424"/>
      <w:bookmarkStart w:id="1680" w:name="_Toc179632642"/>
      <w:bookmarkStart w:id="1681" w:name="_Toc152042402"/>
      <w:bookmarkStart w:id="1682" w:name="_Toc152045624"/>
      <w:r>
        <w:rPr>
          <w:rFonts w:hint="eastAsia" w:ascii="宋体" w:hAnsi="宋体" w:cs="宋体"/>
          <w:highlight w:val="none"/>
        </w:rPr>
        <w:t>2. 发包人义务</w:t>
      </w:r>
      <w:bookmarkEnd w:id="1674"/>
      <w:bookmarkEnd w:id="1675"/>
      <w:bookmarkEnd w:id="1676"/>
      <w:bookmarkEnd w:id="1677"/>
      <w:bookmarkEnd w:id="1678"/>
      <w:bookmarkEnd w:id="1679"/>
      <w:bookmarkEnd w:id="1680"/>
      <w:bookmarkEnd w:id="1681"/>
      <w:bookmarkEnd w:id="1682"/>
    </w:p>
    <w:p w14:paraId="055BFE47">
      <w:pPr>
        <w:spacing w:line="360" w:lineRule="auto"/>
        <w:rPr>
          <w:rFonts w:hint="eastAsia" w:ascii="宋体" w:hAnsi="宋体" w:cs="宋体"/>
          <w:highlight w:val="none"/>
        </w:rPr>
      </w:pPr>
      <w:bookmarkStart w:id="1683" w:name="_Toc503536253"/>
      <w:bookmarkStart w:id="1684" w:name="_Toc144974595"/>
      <w:bookmarkStart w:id="1685" w:name="_Toc241459666"/>
      <w:bookmarkStart w:id="1686" w:name="_Toc152045627"/>
      <w:bookmarkStart w:id="1687" w:name="_Toc454359342"/>
      <w:bookmarkStart w:id="1688" w:name="_Toc342296425"/>
      <w:bookmarkStart w:id="1689" w:name="_Toc179632645"/>
      <w:bookmarkStart w:id="1690" w:name="_Toc152042405"/>
      <w:r>
        <w:rPr>
          <w:rFonts w:hint="eastAsia" w:ascii="宋体" w:hAnsi="宋体" w:cs="宋体"/>
          <w:highlight w:val="none"/>
        </w:rPr>
        <w:t>2.3 提供施工场地</w:t>
      </w:r>
      <w:bookmarkEnd w:id="1683"/>
      <w:bookmarkEnd w:id="1684"/>
      <w:bookmarkEnd w:id="1685"/>
      <w:bookmarkEnd w:id="1686"/>
      <w:bookmarkEnd w:id="1687"/>
      <w:bookmarkEnd w:id="1688"/>
      <w:bookmarkEnd w:id="1689"/>
      <w:bookmarkEnd w:id="1690"/>
    </w:p>
    <w:p w14:paraId="3536AD3B">
      <w:pPr>
        <w:spacing w:line="360" w:lineRule="auto"/>
        <w:ind w:firstLine="420" w:firstLineChars="200"/>
        <w:rPr>
          <w:rFonts w:hint="eastAsia" w:ascii="宋体" w:hAnsi="宋体" w:cs="宋体"/>
          <w:highlight w:val="none"/>
        </w:rPr>
      </w:pPr>
      <w:r>
        <w:rPr>
          <w:rFonts w:hint="eastAsia" w:ascii="宋体" w:hAnsi="宋体" w:cs="宋体"/>
          <w:highlight w:val="none"/>
        </w:rPr>
        <w:t>施工场地应当在监理人发出的开工通知中载明的开工日期前</w:t>
      </w:r>
      <w:r>
        <w:rPr>
          <w:rFonts w:hint="eastAsia" w:ascii="宋体" w:hAnsi="宋体" w:cs="宋体"/>
          <w:highlight w:val="none"/>
          <w:u w:val="single"/>
        </w:rPr>
        <w:t xml:space="preserve"> 7 </w:t>
      </w:r>
      <w:r>
        <w:rPr>
          <w:rFonts w:hint="eastAsia" w:ascii="宋体" w:hAnsi="宋体" w:cs="宋体"/>
          <w:highlight w:val="none"/>
        </w:rPr>
        <w:t>天具备施工条件并移交给承包人，具体施工条件在 “技术标准和要求”第一节“一般要求”中约定。发包人最迟应当在移交施工场地的同时向承包人提供施工场地内地下管线和地下设施等有关资料，并保证资料的真实、准确和完整。</w:t>
      </w:r>
    </w:p>
    <w:p w14:paraId="0DA07632">
      <w:pPr>
        <w:spacing w:line="360" w:lineRule="auto"/>
        <w:rPr>
          <w:rFonts w:hint="eastAsia" w:ascii="宋体" w:hAnsi="宋体" w:cs="宋体"/>
          <w:highlight w:val="none"/>
        </w:rPr>
      </w:pPr>
      <w:bookmarkStart w:id="1691" w:name="_Toc241459667"/>
      <w:bookmarkStart w:id="1692" w:name="_Toc152042407"/>
      <w:bookmarkStart w:id="1693" w:name="_Toc144974597"/>
      <w:bookmarkStart w:id="1694" w:name="_Toc503536254"/>
      <w:bookmarkStart w:id="1695" w:name="_Toc152045629"/>
      <w:bookmarkStart w:id="1696" w:name="_Toc342296426"/>
      <w:bookmarkStart w:id="1697" w:name="_Toc454359343"/>
      <w:bookmarkStart w:id="1698" w:name="_Toc179632647"/>
      <w:r>
        <w:rPr>
          <w:rFonts w:hint="eastAsia" w:ascii="宋体" w:hAnsi="宋体" w:cs="宋体"/>
          <w:highlight w:val="none"/>
        </w:rPr>
        <w:t>2.5 组织设计交底</w:t>
      </w:r>
      <w:bookmarkEnd w:id="1691"/>
      <w:bookmarkEnd w:id="1692"/>
      <w:bookmarkEnd w:id="1693"/>
      <w:bookmarkEnd w:id="1694"/>
      <w:bookmarkEnd w:id="1695"/>
      <w:bookmarkEnd w:id="1696"/>
      <w:bookmarkEnd w:id="1697"/>
      <w:bookmarkEnd w:id="1698"/>
    </w:p>
    <w:p w14:paraId="5FE313C2">
      <w:pPr>
        <w:spacing w:line="360" w:lineRule="auto"/>
        <w:ind w:firstLine="420" w:firstLineChars="200"/>
        <w:rPr>
          <w:rFonts w:hint="eastAsia" w:ascii="宋体" w:hAnsi="宋体" w:cs="宋体"/>
          <w:highlight w:val="none"/>
        </w:rPr>
      </w:pPr>
      <w:bookmarkStart w:id="1699" w:name="_Toc144974598"/>
      <w:bookmarkStart w:id="1700" w:name="_Toc179632648"/>
      <w:bookmarkStart w:id="1701" w:name="_Toc152045630"/>
      <w:bookmarkStart w:id="1702" w:name="_Toc152042408"/>
      <w:r>
        <w:rPr>
          <w:rFonts w:hint="eastAsia" w:ascii="宋体" w:hAnsi="宋体" w:cs="宋体"/>
          <w:highlight w:val="none"/>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bookmarkEnd w:id="1699"/>
      <w:bookmarkEnd w:id="1700"/>
      <w:bookmarkEnd w:id="1701"/>
      <w:bookmarkEnd w:id="1702"/>
    </w:p>
    <w:p w14:paraId="2579F124">
      <w:pPr>
        <w:spacing w:line="360" w:lineRule="auto"/>
        <w:rPr>
          <w:rFonts w:hint="eastAsia" w:ascii="宋体" w:hAnsi="宋体" w:cs="宋体"/>
          <w:highlight w:val="none"/>
        </w:rPr>
      </w:pPr>
      <w:bookmarkStart w:id="1703" w:name="_Toc342296427"/>
      <w:bookmarkStart w:id="1704" w:name="_Toc179632650"/>
      <w:bookmarkStart w:id="1705" w:name="_Toc454359344"/>
      <w:bookmarkStart w:id="1706" w:name="_Toc152042410"/>
      <w:bookmarkStart w:id="1707" w:name="_Toc144974600"/>
      <w:bookmarkStart w:id="1708" w:name="_Toc503536255"/>
      <w:bookmarkStart w:id="1709" w:name="_Toc241459668"/>
      <w:bookmarkStart w:id="1710" w:name="_Toc152045632"/>
      <w:r>
        <w:rPr>
          <w:rFonts w:hint="eastAsia" w:ascii="宋体" w:hAnsi="宋体" w:cs="宋体"/>
          <w:highlight w:val="none"/>
        </w:rPr>
        <w:t>2.8 其他义务</w:t>
      </w:r>
      <w:bookmarkEnd w:id="1703"/>
      <w:bookmarkEnd w:id="1704"/>
      <w:bookmarkEnd w:id="1705"/>
      <w:bookmarkEnd w:id="1706"/>
      <w:bookmarkEnd w:id="1707"/>
      <w:bookmarkEnd w:id="1708"/>
      <w:bookmarkEnd w:id="1709"/>
      <w:bookmarkEnd w:id="1710"/>
    </w:p>
    <w:p w14:paraId="5224A8A0">
      <w:pPr>
        <w:spacing w:line="360" w:lineRule="auto"/>
        <w:ind w:firstLine="420" w:firstLineChars="200"/>
        <w:rPr>
          <w:rFonts w:hint="eastAsia" w:ascii="宋体" w:hAnsi="宋体" w:cs="宋体"/>
          <w:highlight w:val="none"/>
        </w:rPr>
      </w:pPr>
      <w:r>
        <w:rPr>
          <w:rFonts w:hint="eastAsia" w:ascii="宋体" w:hAnsi="宋体" w:cs="宋体"/>
          <w:highlight w:val="none"/>
        </w:rPr>
        <w:t>（1）向承包人提交对等的支付担保。在承包人按合同条款第4.2条向发包人递交符合合同约定的履约担保的同时，发包人应当按照金额和条件对等的原则和竞争性磋商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6365E4F4">
      <w:pPr>
        <w:spacing w:line="360" w:lineRule="auto"/>
        <w:ind w:firstLine="315" w:firstLineChars="150"/>
        <w:rPr>
          <w:rFonts w:hint="eastAsia" w:ascii="宋体" w:hAnsi="宋体" w:cs="宋体"/>
          <w:highlight w:val="none"/>
        </w:rPr>
      </w:pPr>
      <w:r>
        <w:rPr>
          <w:rFonts w:hint="eastAsia" w:ascii="宋体" w:hAnsi="宋体" w:cs="宋体"/>
          <w:highlight w:val="none"/>
        </w:rPr>
        <w:t>（2）按有关规定及时办理工程质量监督手续。</w:t>
      </w:r>
    </w:p>
    <w:p w14:paraId="570D54E2">
      <w:pPr>
        <w:spacing w:line="360" w:lineRule="auto"/>
        <w:ind w:firstLine="315" w:firstLineChars="150"/>
        <w:rPr>
          <w:rFonts w:hint="eastAsia" w:ascii="宋体" w:hAnsi="宋体" w:cs="宋体"/>
          <w:highlight w:val="none"/>
        </w:rPr>
      </w:pPr>
      <w:r>
        <w:rPr>
          <w:rFonts w:hint="eastAsia" w:ascii="宋体" w:hAnsi="宋体" w:cs="宋体"/>
          <w:highlight w:val="none"/>
        </w:rPr>
        <w:t>（3）根据交通运输行政主管部门和（或）城市建设档案管理机构的规定，收集、整理、立卷、归档工程资料，并按规定时间向交通运输行政主管部门或者城市建设档案管理机构移交规定的工程档案。</w:t>
      </w:r>
    </w:p>
    <w:p w14:paraId="357E3FB0">
      <w:pPr>
        <w:spacing w:line="360" w:lineRule="auto"/>
        <w:ind w:firstLine="315" w:firstLineChars="150"/>
        <w:rPr>
          <w:rFonts w:hint="eastAsia" w:ascii="宋体" w:hAnsi="宋体" w:cs="宋体"/>
          <w:highlight w:val="none"/>
        </w:rPr>
      </w:pPr>
      <w:r>
        <w:rPr>
          <w:rFonts w:hint="eastAsia" w:ascii="宋体" w:hAnsi="宋体" w:cs="宋体"/>
          <w:highlight w:val="none"/>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75E17C2">
      <w:pPr>
        <w:spacing w:line="360" w:lineRule="auto"/>
        <w:ind w:firstLine="315" w:firstLineChars="150"/>
        <w:rPr>
          <w:rFonts w:hint="eastAsia" w:ascii="宋体" w:hAnsi="宋体" w:cs="宋体"/>
          <w:highlight w:val="none"/>
          <w:u w:val="single"/>
        </w:rPr>
      </w:pPr>
      <w:r>
        <w:rPr>
          <w:rFonts w:hint="eastAsia" w:ascii="宋体" w:hAnsi="宋体" w:cs="宋体"/>
          <w:highlight w:val="none"/>
        </w:rPr>
        <w:t>（5）发包人应当履行合同约定的其他义务以及下述义务：</w:t>
      </w:r>
      <w:r>
        <w:rPr>
          <w:rFonts w:hint="eastAsia" w:ascii="宋体" w:hAnsi="宋体" w:cs="宋体"/>
          <w:highlight w:val="none"/>
          <w:u w:val="single"/>
        </w:rPr>
        <w:t xml:space="preserve">  /  </w:t>
      </w:r>
    </w:p>
    <w:p w14:paraId="7FC238A0">
      <w:pPr>
        <w:rPr>
          <w:rFonts w:hint="eastAsia" w:ascii="宋体" w:hAnsi="宋体" w:cs="宋体"/>
          <w:highlight w:val="none"/>
        </w:rPr>
      </w:pPr>
      <w:bookmarkStart w:id="1711" w:name="_Toc152045633"/>
      <w:bookmarkStart w:id="1712" w:name="_Toc152042411"/>
      <w:bookmarkStart w:id="1713" w:name="_Toc503536256"/>
      <w:bookmarkStart w:id="1714" w:name="_Toc4157312"/>
      <w:bookmarkStart w:id="1715" w:name="_Toc342296428"/>
      <w:bookmarkStart w:id="1716" w:name="_Toc9547"/>
      <w:bookmarkStart w:id="1717" w:name="_Toc241459669"/>
      <w:bookmarkStart w:id="1718" w:name="_Toc179632651"/>
      <w:bookmarkStart w:id="1719" w:name="_Toc144974601"/>
      <w:r>
        <w:rPr>
          <w:rFonts w:hint="eastAsia" w:ascii="宋体" w:hAnsi="宋体" w:cs="宋体"/>
          <w:highlight w:val="none"/>
        </w:rPr>
        <w:t>3. 监理人</w:t>
      </w:r>
      <w:bookmarkEnd w:id="1711"/>
      <w:bookmarkEnd w:id="1712"/>
      <w:bookmarkEnd w:id="1713"/>
      <w:bookmarkEnd w:id="1714"/>
      <w:bookmarkEnd w:id="1715"/>
      <w:bookmarkEnd w:id="1716"/>
      <w:bookmarkEnd w:id="1717"/>
      <w:bookmarkEnd w:id="1718"/>
      <w:bookmarkEnd w:id="1719"/>
    </w:p>
    <w:p w14:paraId="59035972">
      <w:pPr>
        <w:spacing w:line="360" w:lineRule="auto"/>
        <w:rPr>
          <w:rFonts w:hint="eastAsia" w:ascii="宋体" w:hAnsi="宋体" w:cs="宋体"/>
          <w:highlight w:val="none"/>
        </w:rPr>
      </w:pPr>
      <w:bookmarkStart w:id="1720" w:name="_Toc503536257"/>
      <w:bookmarkStart w:id="1721" w:name="_Toc179632652"/>
      <w:bookmarkStart w:id="1722" w:name="_Toc342296429"/>
      <w:bookmarkStart w:id="1723" w:name="_Toc152045634"/>
      <w:bookmarkStart w:id="1724" w:name="_Toc454359346"/>
      <w:bookmarkStart w:id="1725" w:name="_Toc241459670"/>
      <w:bookmarkStart w:id="1726" w:name="_Toc152042412"/>
      <w:bookmarkStart w:id="1727" w:name="_Toc144974602"/>
      <w:r>
        <w:rPr>
          <w:rFonts w:hint="eastAsia" w:ascii="宋体" w:hAnsi="宋体" w:cs="宋体"/>
          <w:highlight w:val="none"/>
        </w:rPr>
        <w:t>3.1 监理人的职责和权力</w:t>
      </w:r>
      <w:bookmarkEnd w:id="1720"/>
      <w:bookmarkEnd w:id="1721"/>
      <w:bookmarkEnd w:id="1722"/>
      <w:bookmarkEnd w:id="1723"/>
      <w:bookmarkEnd w:id="1724"/>
      <w:bookmarkEnd w:id="1725"/>
      <w:bookmarkEnd w:id="1726"/>
      <w:bookmarkEnd w:id="1727"/>
    </w:p>
    <w:p w14:paraId="708B460C">
      <w:pPr>
        <w:spacing w:line="360" w:lineRule="auto"/>
        <w:ind w:firstLine="420" w:firstLineChars="200"/>
        <w:rPr>
          <w:rFonts w:hint="eastAsia" w:ascii="宋体" w:hAnsi="宋体" w:cs="宋体"/>
          <w:highlight w:val="none"/>
        </w:rPr>
      </w:pPr>
      <w:r>
        <w:rPr>
          <w:rFonts w:hint="eastAsia" w:ascii="宋体" w:hAnsi="宋体" w:cs="宋体"/>
          <w:highlight w:val="none"/>
        </w:rPr>
        <w:t>3.1.1须经发包人批准行使的权力：</w:t>
      </w:r>
      <w:r>
        <w:rPr>
          <w:rFonts w:hint="eastAsia" w:ascii="宋体" w:hAnsi="宋体" w:cs="宋体"/>
          <w:highlight w:val="none"/>
          <w:u w:val="single"/>
        </w:rPr>
        <w:t xml:space="preserve">（1）经发包人同意后签署开、停、复工令等，且需经发包人书面授权后行使；（2）对设计变更、工程造价及有关工期的调整等需报请发包人同意后方可签认等   </w:t>
      </w:r>
      <w:r>
        <w:rPr>
          <w:rFonts w:hint="eastAsia" w:ascii="宋体" w:hAnsi="宋体" w:cs="宋体"/>
          <w:highlight w:val="none"/>
        </w:rPr>
        <w:t>。</w:t>
      </w:r>
    </w:p>
    <w:p w14:paraId="2A0B402F">
      <w:pPr>
        <w:spacing w:line="360" w:lineRule="auto"/>
        <w:ind w:firstLine="420" w:firstLineChars="200"/>
        <w:rPr>
          <w:rFonts w:hint="eastAsia" w:ascii="宋体" w:hAnsi="宋体" w:cs="宋体"/>
          <w:highlight w:val="none"/>
        </w:rPr>
      </w:pPr>
      <w:r>
        <w:rPr>
          <w:rFonts w:hint="eastAsia" w:ascii="宋体" w:hAnsi="宋体" w:cs="宋体"/>
          <w:highlight w:val="none"/>
        </w:rPr>
        <w:t>不管通用合同条款第3.1.1项如何约定，监理人履行须经发包人批准行使的权力时，应当向承包人出示其行使该权力已经取得发包人批准的文件或者其他合法有效的证明。</w:t>
      </w:r>
    </w:p>
    <w:p w14:paraId="0CAA0E70">
      <w:pPr>
        <w:spacing w:line="360" w:lineRule="auto"/>
        <w:rPr>
          <w:rFonts w:hint="eastAsia" w:ascii="宋体" w:hAnsi="宋体" w:cs="宋体"/>
          <w:highlight w:val="none"/>
        </w:rPr>
      </w:pPr>
      <w:bookmarkStart w:id="1728" w:name="_Toc241459671"/>
      <w:bookmarkStart w:id="1729" w:name="_Toc342296430"/>
      <w:bookmarkStart w:id="1730" w:name="_Toc152045636"/>
      <w:bookmarkStart w:id="1731" w:name="_Toc179632654"/>
      <w:bookmarkStart w:id="1732" w:name="_Toc503536258"/>
      <w:bookmarkStart w:id="1733" w:name="_Toc454359347"/>
      <w:bookmarkStart w:id="1734" w:name="_Toc152042414"/>
      <w:bookmarkStart w:id="1735" w:name="_Toc144974604"/>
      <w:r>
        <w:rPr>
          <w:rFonts w:hint="eastAsia" w:ascii="宋体" w:hAnsi="宋体" w:cs="宋体"/>
          <w:highlight w:val="none"/>
        </w:rPr>
        <w:t>3.3 监理人员</w:t>
      </w:r>
      <w:bookmarkEnd w:id="1728"/>
      <w:bookmarkEnd w:id="1729"/>
      <w:bookmarkEnd w:id="1730"/>
      <w:bookmarkEnd w:id="1731"/>
      <w:bookmarkEnd w:id="1732"/>
      <w:bookmarkEnd w:id="1733"/>
      <w:bookmarkEnd w:id="1734"/>
      <w:bookmarkEnd w:id="1735"/>
    </w:p>
    <w:p w14:paraId="72F89D7A">
      <w:pPr>
        <w:spacing w:line="360" w:lineRule="auto"/>
        <w:ind w:firstLine="420" w:firstLineChars="200"/>
        <w:rPr>
          <w:rFonts w:hint="eastAsia" w:ascii="宋体" w:hAnsi="宋体" w:cs="宋体"/>
          <w:highlight w:val="none"/>
        </w:rPr>
      </w:pPr>
      <w:r>
        <w:rPr>
          <w:rFonts w:hint="eastAsia" w:ascii="宋体" w:hAnsi="宋体" w:cs="宋体"/>
          <w:highlight w:val="none"/>
        </w:rPr>
        <w:t>3.3.4 总监理工程师不应将第3.5款约定应由总监理工程师作出确定的权力授权或者委托给其他监理人员。</w:t>
      </w:r>
    </w:p>
    <w:p w14:paraId="46BE3367">
      <w:pPr>
        <w:spacing w:line="360" w:lineRule="auto"/>
        <w:rPr>
          <w:rFonts w:hint="eastAsia" w:ascii="宋体" w:hAnsi="宋体" w:cs="宋体"/>
          <w:highlight w:val="none"/>
        </w:rPr>
      </w:pPr>
      <w:bookmarkStart w:id="1736" w:name="_Toc454359348"/>
      <w:bookmarkStart w:id="1737" w:name="_Toc152042415"/>
      <w:bookmarkStart w:id="1738" w:name="_Toc342296431"/>
      <w:bookmarkStart w:id="1739" w:name="_Toc144974605"/>
      <w:bookmarkStart w:id="1740" w:name="_Toc503536259"/>
      <w:bookmarkStart w:id="1741" w:name="_Toc179632655"/>
      <w:bookmarkStart w:id="1742" w:name="_Toc152045637"/>
      <w:bookmarkStart w:id="1743" w:name="_Toc241459672"/>
      <w:r>
        <w:rPr>
          <w:rFonts w:hint="eastAsia" w:ascii="宋体" w:hAnsi="宋体" w:cs="宋体"/>
          <w:highlight w:val="none"/>
        </w:rPr>
        <w:t>3.4 监理人的指示</w:t>
      </w:r>
      <w:bookmarkEnd w:id="1736"/>
      <w:bookmarkEnd w:id="1737"/>
      <w:bookmarkEnd w:id="1738"/>
      <w:bookmarkEnd w:id="1739"/>
      <w:bookmarkEnd w:id="1740"/>
      <w:bookmarkEnd w:id="1741"/>
      <w:bookmarkEnd w:id="1742"/>
      <w:bookmarkEnd w:id="1743"/>
    </w:p>
    <w:p w14:paraId="09C6C76B">
      <w:pPr>
        <w:spacing w:line="360" w:lineRule="auto"/>
        <w:ind w:firstLine="420" w:firstLineChars="200"/>
        <w:rPr>
          <w:rFonts w:hint="eastAsia" w:ascii="宋体" w:hAnsi="宋体" w:cs="宋体"/>
          <w:highlight w:val="none"/>
        </w:rPr>
      </w:pPr>
      <w:r>
        <w:rPr>
          <w:rFonts w:hint="eastAsia" w:ascii="宋体" w:hAnsi="宋体" w:cs="宋体"/>
          <w:highlight w:val="none"/>
        </w:rPr>
        <w:t>3.4.4除通用合同条款已有的专门约定外，承包人只能从总监理工程师或按第3.3.1项授权的监理人员处取得指示，发包人应当通过监理人向承包人发出指示。</w:t>
      </w:r>
      <w:bookmarkStart w:id="1744" w:name="_Toc179632657"/>
      <w:bookmarkStart w:id="1745" w:name="_Toc152042417"/>
      <w:bookmarkStart w:id="1746" w:name="_Toc144974607"/>
      <w:bookmarkStart w:id="1747" w:name="_Toc152045639"/>
    </w:p>
    <w:p w14:paraId="29DD14E9">
      <w:pPr>
        <w:spacing w:line="360" w:lineRule="auto"/>
        <w:rPr>
          <w:rFonts w:hint="eastAsia" w:ascii="宋体" w:hAnsi="宋体" w:cs="宋体"/>
          <w:highlight w:val="none"/>
        </w:rPr>
      </w:pPr>
      <w:bookmarkStart w:id="1748" w:name="_Toc454359349"/>
      <w:bookmarkStart w:id="1749" w:name="_Toc342296432"/>
      <w:bookmarkStart w:id="1750" w:name="_Toc241459673"/>
      <w:bookmarkStart w:id="1751" w:name="_Toc503536260"/>
      <w:r>
        <w:rPr>
          <w:rFonts w:hint="eastAsia" w:ascii="宋体" w:hAnsi="宋体" w:cs="宋体"/>
          <w:highlight w:val="none"/>
        </w:rPr>
        <w:t>3.6 监理人的宽恕</w:t>
      </w:r>
      <w:bookmarkEnd w:id="1748"/>
      <w:bookmarkEnd w:id="1749"/>
      <w:bookmarkEnd w:id="1750"/>
      <w:bookmarkEnd w:id="1751"/>
    </w:p>
    <w:p w14:paraId="2177FB99">
      <w:pPr>
        <w:spacing w:line="360" w:lineRule="auto"/>
        <w:ind w:firstLine="420" w:firstLineChars="200"/>
        <w:rPr>
          <w:rFonts w:hint="eastAsia" w:ascii="宋体" w:hAnsi="宋体" w:cs="宋体"/>
          <w:highlight w:val="none"/>
        </w:rPr>
      </w:pPr>
      <w:r>
        <w:rPr>
          <w:rFonts w:hint="eastAsia" w:ascii="宋体" w:hAnsi="宋体" w:cs="宋体"/>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12FBE4F7">
      <w:pPr>
        <w:rPr>
          <w:rFonts w:hint="eastAsia" w:ascii="宋体" w:hAnsi="宋体" w:cs="宋体"/>
          <w:highlight w:val="none"/>
        </w:rPr>
      </w:pPr>
      <w:bookmarkStart w:id="1752" w:name="_Toc342296433"/>
      <w:bookmarkStart w:id="1753" w:name="_Toc4157313"/>
      <w:bookmarkStart w:id="1754" w:name="_Toc19435"/>
      <w:bookmarkStart w:id="1755" w:name="_Toc241459674"/>
      <w:bookmarkStart w:id="1756" w:name="_Toc503536261"/>
      <w:r>
        <w:rPr>
          <w:rFonts w:hint="eastAsia" w:ascii="宋体" w:hAnsi="宋体" w:cs="宋体"/>
          <w:highlight w:val="none"/>
        </w:rPr>
        <w:t>4. 承包人</w:t>
      </w:r>
      <w:bookmarkEnd w:id="1744"/>
      <w:bookmarkEnd w:id="1745"/>
      <w:bookmarkEnd w:id="1746"/>
      <w:bookmarkEnd w:id="1747"/>
      <w:bookmarkEnd w:id="1752"/>
      <w:bookmarkEnd w:id="1753"/>
      <w:bookmarkEnd w:id="1754"/>
      <w:bookmarkEnd w:id="1755"/>
      <w:bookmarkEnd w:id="1756"/>
    </w:p>
    <w:p w14:paraId="648B9D0A">
      <w:pPr>
        <w:spacing w:line="360" w:lineRule="auto"/>
        <w:rPr>
          <w:rFonts w:hint="eastAsia" w:ascii="宋体" w:hAnsi="宋体" w:cs="宋体"/>
          <w:highlight w:val="none"/>
        </w:rPr>
      </w:pPr>
      <w:bookmarkStart w:id="1757" w:name="_Toc241459675"/>
      <w:bookmarkStart w:id="1758" w:name="_Toc152045640"/>
      <w:bookmarkStart w:id="1759" w:name="_Toc503536262"/>
      <w:bookmarkStart w:id="1760" w:name="_Toc342296434"/>
      <w:bookmarkStart w:id="1761" w:name="_Toc179632658"/>
      <w:bookmarkStart w:id="1762" w:name="_Toc152042418"/>
      <w:bookmarkStart w:id="1763" w:name="_Toc454359351"/>
      <w:bookmarkStart w:id="1764" w:name="_Toc144974608"/>
      <w:r>
        <w:rPr>
          <w:rFonts w:hint="eastAsia" w:ascii="宋体" w:hAnsi="宋体" w:cs="宋体"/>
          <w:highlight w:val="none"/>
        </w:rPr>
        <w:t>4.1 承包人的一般义务</w:t>
      </w:r>
      <w:bookmarkEnd w:id="1757"/>
      <w:bookmarkEnd w:id="1758"/>
      <w:bookmarkEnd w:id="1759"/>
      <w:bookmarkEnd w:id="1760"/>
      <w:bookmarkEnd w:id="1761"/>
      <w:bookmarkEnd w:id="1762"/>
      <w:bookmarkEnd w:id="1763"/>
      <w:bookmarkEnd w:id="1764"/>
    </w:p>
    <w:p w14:paraId="5B146325">
      <w:pPr>
        <w:spacing w:line="360" w:lineRule="auto"/>
        <w:ind w:firstLine="420" w:firstLineChars="200"/>
        <w:rPr>
          <w:rFonts w:hint="eastAsia" w:ascii="宋体" w:hAnsi="宋体" w:cs="宋体"/>
          <w:highlight w:val="none"/>
        </w:rPr>
      </w:pPr>
      <w:r>
        <w:rPr>
          <w:rFonts w:hint="eastAsia" w:ascii="宋体" w:hAnsi="宋体" w:cs="宋体"/>
          <w:highlight w:val="none"/>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382C6C77">
      <w:pPr>
        <w:spacing w:line="360" w:lineRule="auto"/>
        <w:ind w:firstLine="420" w:firstLineChars="200"/>
        <w:rPr>
          <w:rFonts w:hint="eastAsia" w:ascii="宋体" w:hAnsi="宋体" w:cs="宋体"/>
          <w:highlight w:val="none"/>
        </w:rPr>
      </w:pPr>
      <w:r>
        <w:rPr>
          <w:rFonts w:hint="eastAsia" w:ascii="宋体" w:hAnsi="宋体" w:cs="宋体"/>
          <w:highlight w:val="none"/>
        </w:rPr>
        <w:t>4.1.8为他人提供方便</w:t>
      </w:r>
    </w:p>
    <w:p w14:paraId="1B49EBE5">
      <w:pPr>
        <w:spacing w:line="360" w:lineRule="auto"/>
        <w:ind w:firstLine="315" w:firstLineChars="150"/>
        <w:rPr>
          <w:rFonts w:hint="eastAsia" w:ascii="宋体" w:hAnsi="宋体" w:cs="宋体"/>
          <w:highlight w:val="none"/>
          <w:u w:val="single"/>
        </w:rPr>
      </w:pPr>
      <w:r>
        <w:rPr>
          <w:rFonts w:hint="eastAsia" w:ascii="宋体" w:hAnsi="宋体" w:cs="宋体"/>
          <w:highlight w:val="none"/>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宋体" w:hAnsi="宋体" w:cs="宋体"/>
          <w:highlight w:val="none"/>
          <w:u w:val="single"/>
        </w:rPr>
        <w:t xml:space="preserve">  为其他独立承包人在使用施工用地等方面提供方便  。</w:t>
      </w:r>
    </w:p>
    <w:p w14:paraId="7DEB81C9">
      <w:pPr>
        <w:spacing w:line="360" w:lineRule="auto"/>
        <w:ind w:firstLine="315" w:firstLineChars="150"/>
        <w:rPr>
          <w:rFonts w:hint="eastAsia" w:ascii="宋体" w:hAnsi="宋体" w:cs="宋体"/>
          <w:highlight w:val="none"/>
        </w:rPr>
      </w:pPr>
      <w:r>
        <w:rPr>
          <w:rFonts w:hint="eastAsia" w:ascii="宋体" w:hAnsi="宋体" w:cs="宋体"/>
          <w:highlight w:val="none"/>
        </w:rPr>
        <w:t>（2）承包人还应按监理人指示为独立承包人以外的他人在施工场地或者附近实施与合同工程有关的其他工作提供可能的条件，可能发生费用由监理人按第3.5款商定或者确定。</w:t>
      </w:r>
    </w:p>
    <w:p w14:paraId="4EDEF4CE">
      <w:pPr>
        <w:spacing w:line="360" w:lineRule="auto"/>
        <w:ind w:firstLine="420" w:firstLineChars="200"/>
        <w:rPr>
          <w:rFonts w:hint="eastAsia" w:ascii="宋体" w:hAnsi="宋体" w:cs="宋体"/>
          <w:highlight w:val="none"/>
        </w:rPr>
      </w:pPr>
      <w:r>
        <w:rPr>
          <w:rFonts w:hint="eastAsia" w:ascii="宋体" w:hAnsi="宋体" w:cs="宋体"/>
          <w:highlight w:val="none"/>
        </w:rPr>
        <w:t xml:space="preserve">4.1.10其他义务  </w:t>
      </w:r>
    </w:p>
    <w:p w14:paraId="5A62552E">
      <w:pPr>
        <w:spacing w:line="360" w:lineRule="auto"/>
        <w:ind w:left="105" w:leftChars="50" w:firstLine="315" w:firstLineChars="150"/>
        <w:rPr>
          <w:rFonts w:hint="eastAsia" w:ascii="宋体" w:hAnsi="宋体" w:cs="宋体"/>
          <w:highlight w:val="none"/>
        </w:rPr>
      </w:pPr>
      <w:r>
        <w:rPr>
          <w:rFonts w:hint="eastAsia" w:ascii="宋体" w:hAnsi="宋体" w:cs="宋体"/>
          <w:highlight w:val="none"/>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cs="宋体"/>
          <w:highlight w:val="none"/>
          <w:u w:val="single"/>
        </w:rPr>
        <w:t xml:space="preserve">  /  。</w:t>
      </w:r>
    </w:p>
    <w:p w14:paraId="096AB775">
      <w:pPr>
        <w:spacing w:line="360" w:lineRule="auto"/>
        <w:ind w:left="105" w:leftChars="50" w:firstLine="315" w:firstLineChars="150"/>
        <w:rPr>
          <w:rFonts w:hint="eastAsia" w:ascii="宋体" w:hAnsi="宋体" w:cs="宋体"/>
          <w:highlight w:val="none"/>
        </w:rPr>
      </w:pPr>
      <w:r>
        <w:rPr>
          <w:rFonts w:hint="eastAsia" w:ascii="宋体" w:hAnsi="宋体" w:cs="宋体"/>
          <w:highlight w:val="none"/>
        </w:rPr>
        <w:t>（2）承包人应履行合同约定的其他义务以及下述义务：</w:t>
      </w:r>
    </w:p>
    <w:p w14:paraId="5E0CACA3">
      <w:pPr>
        <w:spacing w:line="360" w:lineRule="auto"/>
        <w:ind w:left="496" w:leftChars="236" w:firstLine="369" w:firstLineChars="176"/>
        <w:rPr>
          <w:rFonts w:hint="eastAsia" w:ascii="宋体" w:hAnsi="宋体" w:cs="宋体"/>
          <w:highlight w:val="none"/>
          <w:u w:val="single"/>
        </w:rPr>
      </w:pPr>
      <w:r>
        <w:rPr>
          <w:rFonts w:hint="eastAsia" w:ascii="宋体" w:hAnsi="宋体" w:cs="宋体"/>
          <w:highlight w:val="none"/>
          <w:u w:val="single"/>
        </w:rPr>
        <w:t xml:space="preserve"> 1)成品保护：承包人应提供必要的人员、材料、设备用于整个工程的成品保护，包括对已完成的工程或工作的保护，防止任何已完工作遭受任何损失或破坏。工作面移交后，承包人负责工程整体的成品保护；</w:t>
      </w:r>
    </w:p>
    <w:p w14:paraId="2747DEB4">
      <w:pPr>
        <w:spacing w:line="360" w:lineRule="auto"/>
        <w:ind w:left="496" w:leftChars="236" w:firstLine="369" w:firstLineChars="176"/>
        <w:rPr>
          <w:rFonts w:hint="eastAsia" w:ascii="宋体" w:hAnsi="宋体" w:cs="宋体"/>
          <w:highlight w:val="none"/>
          <w:u w:val="single"/>
        </w:rPr>
      </w:pPr>
      <w:r>
        <w:rPr>
          <w:rFonts w:hint="eastAsia" w:ascii="宋体" w:hAnsi="宋体" w:cs="宋体"/>
          <w:highlight w:val="none"/>
          <w:u w:val="single"/>
        </w:rPr>
        <w:t>2）承担施工安全保卫工作及非夜间施工照明的责任和要求 ：由承包人负责并承担由此发生的费用；</w:t>
      </w:r>
    </w:p>
    <w:p w14:paraId="0B37720A">
      <w:pPr>
        <w:spacing w:line="360" w:lineRule="auto"/>
        <w:ind w:left="496" w:leftChars="236" w:firstLine="369" w:firstLineChars="176"/>
        <w:rPr>
          <w:rFonts w:hint="eastAsia" w:ascii="宋体" w:hAnsi="宋体" w:cs="宋体"/>
          <w:highlight w:val="none"/>
          <w:u w:val="single"/>
        </w:rPr>
      </w:pPr>
      <w:r>
        <w:rPr>
          <w:rFonts w:hint="eastAsia" w:ascii="宋体" w:hAnsi="宋体" w:cs="宋体"/>
          <w:highlight w:val="none"/>
          <w:u w:val="single"/>
        </w:rPr>
        <w:t>3）须承包人办理的有关施工场地交通、环卫、施工噪声等管理手续：按北京市有关规定办理，承包人负责办理并承担相关费用；</w:t>
      </w:r>
    </w:p>
    <w:p w14:paraId="691EAA85">
      <w:pPr>
        <w:spacing w:line="360" w:lineRule="auto"/>
        <w:ind w:left="496" w:leftChars="236" w:firstLine="369" w:firstLineChars="176"/>
        <w:rPr>
          <w:rFonts w:hint="eastAsia" w:ascii="宋体" w:hAnsi="宋体" w:cs="宋体"/>
          <w:highlight w:val="none"/>
          <w:u w:val="single"/>
        </w:rPr>
      </w:pPr>
      <w:r>
        <w:rPr>
          <w:rFonts w:hint="eastAsia" w:ascii="宋体" w:hAnsi="宋体" w:cs="宋体"/>
          <w:highlight w:val="none"/>
          <w:u w:val="single"/>
        </w:rPr>
        <w:t>4）施工场地清洁卫生的要求：对施工余土、渣土、生产和生活垃圾等，承包人应及时清运，并承担由此产生的费用；</w:t>
      </w:r>
    </w:p>
    <w:p w14:paraId="588095B1">
      <w:pPr>
        <w:spacing w:line="360" w:lineRule="auto"/>
        <w:ind w:left="496" w:leftChars="236" w:firstLine="369" w:firstLineChars="176"/>
        <w:rPr>
          <w:rFonts w:hint="eastAsia" w:ascii="宋体" w:hAnsi="宋体" w:cs="宋体"/>
          <w:highlight w:val="none"/>
          <w:u w:val="single"/>
        </w:rPr>
      </w:pPr>
      <w:r>
        <w:rPr>
          <w:rFonts w:hint="eastAsia" w:ascii="宋体" w:hAnsi="宋体" w:cs="宋体"/>
          <w:highlight w:val="none"/>
          <w:u w:val="single"/>
        </w:rPr>
        <w:t>5）承包人有责任采取必要措施，协商解决民扰和扰民问题，承包人必须遵照有关国家、北京市政府发布的规定，避免或减少由于施工造成的噪声、空气污染而造成的的民扰和扰民影响及施工带来日常行人路、道路使用之干扰，承包人必须协调同周围居民及相关单位的关系，以免造成窝工、停工、延误工期的现象发生。如承包人在规定时间以外的时间施工，由此发生噪声、空气污染等扰民事故索赔、额外费用、工期延误等，均由承包人承担。如现场在规定的时间内出现扰民或民扰等其他不可抗力因素，承包人及发包人应积极处理协调，双方协商工期延长事宜，承包人不进行费用索赔；</w:t>
      </w:r>
    </w:p>
    <w:p w14:paraId="57FB9E49">
      <w:pPr>
        <w:spacing w:line="360" w:lineRule="auto"/>
        <w:ind w:left="496" w:leftChars="236" w:firstLine="369" w:firstLineChars="176"/>
        <w:rPr>
          <w:rFonts w:hint="eastAsia" w:ascii="宋体" w:hAnsi="宋体" w:cs="宋体"/>
          <w:highlight w:val="none"/>
          <w:u w:val="single"/>
        </w:rPr>
      </w:pPr>
      <w:r>
        <w:rPr>
          <w:rFonts w:hint="eastAsia" w:ascii="宋体" w:hAnsi="宋体" w:cs="宋体"/>
          <w:highlight w:val="none"/>
          <w:u w:val="single"/>
        </w:rPr>
        <w:t>6）根据交通运输行政主管部门或城市档案馆管理机构的规定，收集、整理、立卷、归档 工程资料，并按规定时间向交通运输行政主管部门或城市档案管理机构移交规定的工程档案资料；</w:t>
      </w:r>
    </w:p>
    <w:p w14:paraId="6AF44171">
      <w:pPr>
        <w:spacing w:line="360" w:lineRule="auto"/>
        <w:ind w:left="496" w:leftChars="236" w:firstLine="369" w:firstLineChars="176"/>
        <w:rPr>
          <w:rFonts w:hint="eastAsia" w:ascii="宋体" w:hAnsi="宋体" w:cs="宋体"/>
          <w:szCs w:val="21"/>
          <w:highlight w:val="none"/>
          <w:u w:val="single"/>
        </w:rPr>
      </w:pPr>
      <w:r>
        <w:rPr>
          <w:rFonts w:hint="eastAsia" w:ascii="宋体" w:hAnsi="宋体" w:cs="宋体"/>
          <w:highlight w:val="none"/>
          <w:u w:val="single"/>
        </w:rPr>
        <w:t>7）对</w:t>
      </w:r>
      <w:r>
        <w:rPr>
          <w:rFonts w:hint="eastAsia" w:ascii="宋体" w:hAnsi="宋体" w:cs="宋体"/>
          <w:szCs w:val="21"/>
          <w:highlight w:val="none"/>
          <w:u w:val="single"/>
        </w:rPr>
        <w:t>政府各类重要会议或其他事件（如中高考、两会、国庆等事件）的责任，承包人应在各类重要会议或其他事件（如中高考、两会、国庆等事件）发生时，响应政府要求，并在投标报价中考虑该类事件造成施工工作时间的限制所带来的的工期和费用的风险，对此类事件，发包人将不给予承包人任何工期和费用的补偿；</w:t>
      </w:r>
    </w:p>
    <w:p w14:paraId="377F6D9C">
      <w:pPr>
        <w:spacing w:line="360" w:lineRule="auto"/>
        <w:ind w:left="496" w:leftChars="236" w:firstLine="369" w:firstLineChars="176"/>
        <w:rPr>
          <w:rFonts w:hint="eastAsia" w:ascii="宋体" w:hAnsi="宋体" w:cs="宋体"/>
          <w:szCs w:val="21"/>
          <w:highlight w:val="none"/>
          <w:u w:val="single"/>
        </w:rPr>
      </w:pPr>
      <w:r>
        <w:rPr>
          <w:rFonts w:hint="eastAsia" w:ascii="宋体" w:hAnsi="宋体" w:cs="宋体"/>
          <w:szCs w:val="21"/>
          <w:highlight w:val="none"/>
          <w:u w:val="single"/>
        </w:rPr>
        <w:t>8）承包人应为完成合同而设置合理可行的现场施工项目经理部，并为此配备满足施工需要数量的具有相应资格的管理人员和技术人员。承包人须提供拟派往本项目班子主要负责人的详细情况。除非事先获得发包人的书面批准，承包人不得更换或撤回主要管理人员和技术人员，如发生此类情况，承包人必须在7日内将擅自撤换的主要管理人员和技术人员调回本项目或取得发包人对于新派的主要管理人员和技术人员的认可；当发包人要求承包人更换不合适或不称职的现场管理人员时，承包人应自接到通知起7日内完成更换，撤出人员不应再从事与本工程有直接关系的工作。承包人违反上述义务，发包人有权解除本合同；</w:t>
      </w:r>
    </w:p>
    <w:p w14:paraId="2E9CC055">
      <w:pPr>
        <w:spacing w:line="360" w:lineRule="auto"/>
        <w:ind w:left="496" w:leftChars="236" w:firstLine="369" w:firstLineChars="176"/>
        <w:rPr>
          <w:rFonts w:hint="eastAsia" w:ascii="宋体" w:hAnsi="宋体" w:cs="宋体"/>
          <w:szCs w:val="21"/>
          <w:highlight w:val="none"/>
          <w:u w:val="single"/>
        </w:rPr>
      </w:pPr>
      <w:r>
        <w:rPr>
          <w:rFonts w:hint="eastAsia" w:ascii="宋体" w:hAnsi="宋体" w:cs="宋体"/>
          <w:szCs w:val="21"/>
          <w:highlight w:val="none"/>
          <w:u w:val="single"/>
        </w:rPr>
        <w:t>9）施工拆除的废旧设备等相关物品，由发包人自行处理，承包人负责清理并搬运至指定地点存放；</w:t>
      </w:r>
    </w:p>
    <w:p w14:paraId="4E8B3B5E">
      <w:pPr>
        <w:spacing w:line="360" w:lineRule="auto"/>
        <w:ind w:left="496" w:leftChars="236" w:firstLine="369" w:firstLineChars="176"/>
        <w:rPr>
          <w:rFonts w:hint="eastAsia" w:ascii="宋体" w:hAnsi="宋体" w:cs="宋体"/>
          <w:szCs w:val="21"/>
          <w:highlight w:val="none"/>
          <w:u w:val="single"/>
        </w:rPr>
      </w:pPr>
      <w:r>
        <w:rPr>
          <w:rFonts w:hint="eastAsia" w:ascii="宋体" w:hAnsi="宋体" w:cs="宋体"/>
          <w:szCs w:val="21"/>
          <w:highlight w:val="none"/>
          <w:u w:val="single"/>
        </w:rPr>
        <w:t>10）承包人应遵守学院的各项规章制度。</w:t>
      </w:r>
    </w:p>
    <w:p w14:paraId="4E7171B8">
      <w:pPr>
        <w:pStyle w:val="17"/>
        <w:spacing w:line="360" w:lineRule="auto"/>
        <w:rPr>
          <w:rFonts w:hint="eastAsia" w:cs="宋体"/>
          <w:sz w:val="21"/>
          <w:szCs w:val="21"/>
          <w:highlight w:val="none"/>
          <w:u w:val="single"/>
        </w:rPr>
      </w:pPr>
      <w:r>
        <w:rPr>
          <w:rFonts w:hint="eastAsia" w:cs="宋体"/>
          <w:sz w:val="21"/>
          <w:szCs w:val="21"/>
          <w:highlight w:val="none"/>
        </w:rPr>
        <w:t xml:space="preserve">        </w:t>
      </w:r>
      <w:r>
        <w:rPr>
          <w:rFonts w:hint="eastAsia" w:cs="宋体"/>
          <w:sz w:val="21"/>
          <w:szCs w:val="21"/>
          <w:highlight w:val="none"/>
          <w:u w:val="single"/>
        </w:rPr>
        <w:t>11）承包人承诺按有关规定按时支付农民工工资。为保证资金监管和农民工工资支付，承包人在接到中标通知后14日内，必须按发包人要求设立针对本工程的专项账户。承包人应当加强工程款管理，做到专款专用，不得拖欠分包人的工程款、材料、设备货款、农民工和工人工资等费用；监理工程师或发包人对工程款使用情况进行监督检查时，承包人应当积极配合，不得阻扰和拒绝。</w:t>
      </w:r>
    </w:p>
    <w:p w14:paraId="7124813F">
      <w:pPr>
        <w:spacing w:line="360" w:lineRule="auto"/>
        <w:ind w:left="105" w:leftChars="50" w:firstLine="315" w:firstLineChars="150"/>
        <w:rPr>
          <w:rFonts w:hint="eastAsia" w:ascii="宋体" w:hAnsi="宋体" w:cs="宋体"/>
          <w:szCs w:val="21"/>
          <w:highlight w:val="none"/>
          <w:u w:val="single"/>
        </w:rPr>
      </w:pPr>
      <w:r>
        <w:rPr>
          <w:rFonts w:hint="eastAsia" w:ascii="宋体" w:hAnsi="宋体" w:cs="宋体"/>
          <w:szCs w:val="21"/>
          <w:highlight w:val="none"/>
        </w:rPr>
        <w:t>（3）</w:t>
      </w:r>
      <w:r>
        <w:rPr>
          <w:rFonts w:hint="eastAsia" w:ascii="宋体" w:hAnsi="宋体" w:cs="宋体"/>
          <w:szCs w:val="21"/>
          <w:highlight w:val="none"/>
          <w:u w:val="single"/>
        </w:rPr>
        <w:t>受疫情影响承包人应当在施工期间遵守北京市疫情防控要求，其发生的相关费用由承包人自行承担。</w:t>
      </w:r>
    </w:p>
    <w:p w14:paraId="207F5330">
      <w:pPr>
        <w:spacing w:line="360" w:lineRule="auto"/>
        <w:rPr>
          <w:rFonts w:hint="eastAsia" w:ascii="宋体" w:hAnsi="宋体" w:cs="宋体"/>
          <w:szCs w:val="21"/>
          <w:highlight w:val="none"/>
        </w:rPr>
      </w:pPr>
      <w:bookmarkStart w:id="1765" w:name="_Toc342296435"/>
      <w:bookmarkStart w:id="1766" w:name="_Toc241459676"/>
      <w:bookmarkStart w:id="1767" w:name="_Toc454359352"/>
      <w:bookmarkStart w:id="1768" w:name="_Toc503536263"/>
      <w:bookmarkStart w:id="1769" w:name="_Toc152042420"/>
      <w:bookmarkStart w:id="1770" w:name="_Toc144974610"/>
      <w:bookmarkStart w:id="1771" w:name="_Toc152045642"/>
      <w:bookmarkStart w:id="1772" w:name="_Toc179632660"/>
      <w:r>
        <w:rPr>
          <w:rFonts w:hint="eastAsia" w:ascii="宋体" w:hAnsi="宋体" w:cs="宋体"/>
          <w:szCs w:val="21"/>
          <w:highlight w:val="none"/>
        </w:rPr>
        <w:t>4.2 履约担保</w:t>
      </w:r>
      <w:bookmarkEnd w:id="1765"/>
      <w:bookmarkEnd w:id="1766"/>
      <w:bookmarkEnd w:id="1767"/>
      <w:bookmarkEnd w:id="1768"/>
    </w:p>
    <w:p w14:paraId="4FA7114F">
      <w:pPr>
        <w:spacing w:line="360" w:lineRule="auto"/>
        <w:ind w:firstLine="420" w:firstLineChars="200"/>
        <w:rPr>
          <w:rFonts w:hint="eastAsia" w:ascii="宋体" w:hAnsi="宋体" w:cs="宋体"/>
          <w:highlight w:val="none"/>
        </w:rPr>
      </w:pPr>
      <w:r>
        <w:rPr>
          <w:rFonts w:hint="eastAsia" w:ascii="宋体" w:hAnsi="宋体" w:cs="宋体"/>
          <w:highlight w:val="none"/>
        </w:rPr>
        <w:t>4.2.1 履约担保的格式和金额</w:t>
      </w:r>
    </w:p>
    <w:p w14:paraId="574FD85E">
      <w:pPr>
        <w:spacing w:line="360" w:lineRule="auto"/>
        <w:ind w:firstLine="420" w:firstLineChars="200"/>
        <w:rPr>
          <w:rFonts w:hint="eastAsia" w:ascii="宋体" w:hAnsi="宋体" w:cs="宋体"/>
          <w:highlight w:val="none"/>
        </w:rPr>
      </w:pPr>
      <w:r>
        <w:rPr>
          <w:rFonts w:hint="eastAsia" w:ascii="宋体" w:hAnsi="宋体" w:cs="宋体"/>
          <w:highlight w:val="none"/>
        </w:rPr>
        <w:t>承包人应在签订合同前，按照发包人在竞争性磋商文件中规定的格式或者其他经过发包人认可的格式向发包人递交一份履约担保。经过发包人事先书面认可的其他格式的履约担保，其担保条款的实质性内容应当与发包人在竞争性磋商文件中规定的格式内容保持一致。履约担保的金额为</w:t>
      </w:r>
      <w:r>
        <w:rPr>
          <w:rFonts w:hint="eastAsia" w:ascii="宋体" w:hAnsi="宋体" w:cs="宋体"/>
          <w:highlight w:val="none"/>
          <w:u w:val="single"/>
        </w:rPr>
        <w:t xml:space="preserve">    /    </w:t>
      </w:r>
      <w:r>
        <w:rPr>
          <w:rFonts w:hint="eastAsia" w:ascii="宋体" w:hAnsi="宋体" w:cs="宋体"/>
          <w:highlight w:val="none"/>
        </w:rPr>
        <w:t>。履约担保是本合同的附件。</w:t>
      </w:r>
    </w:p>
    <w:p w14:paraId="2D2C71BB">
      <w:pPr>
        <w:spacing w:line="360" w:lineRule="auto"/>
        <w:ind w:firstLine="420" w:firstLineChars="200"/>
        <w:rPr>
          <w:rFonts w:hint="eastAsia" w:ascii="宋体" w:hAnsi="宋体" w:cs="宋体"/>
          <w:highlight w:val="none"/>
        </w:rPr>
      </w:pPr>
      <w:r>
        <w:rPr>
          <w:rFonts w:hint="eastAsia" w:ascii="宋体" w:hAnsi="宋体" w:cs="宋体"/>
          <w:highlight w:val="none"/>
        </w:rPr>
        <w:t>4.2.2 履约担保的有效期</w:t>
      </w:r>
    </w:p>
    <w:p w14:paraId="1D13D5C6">
      <w:pPr>
        <w:spacing w:line="360" w:lineRule="auto"/>
        <w:ind w:firstLine="420" w:firstLineChars="200"/>
        <w:rPr>
          <w:rFonts w:hint="eastAsia" w:ascii="宋体" w:hAnsi="宋体" w:cs="宋体"/>
          <w:highlight w:val="none"/>
        </w:rPr>
      </w:pPr>
      <w:r>
        <w:rPr>
          <w:rFonts w:hint="eastAsia" w:ascii="宋体" w:hAnsi="宋体" w:cs="宋体"/>
          <w:highlight w:val="none"/>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1CFCC14F">
      <w:pPr>
        <w:spacing w:line="360" w:lineRule="auto"/>
        <w:ind w:firstLine="420" w:firstLineChars="200"/>
        <w:rPr>
          <w:rFonts w:hint="eastAsia" w:ascii="宋体" w:hAnsi="宋体" w:cs="宋体"/>
          <w:highlight w:val="none"/>
        </w:rPr>
      </w:pPr>
      <w:r>
        <w:rPr>
          <w:rFonts w:hint="eastAsia" w:ascii="宋体" w:hAnsi="宋体" w:cs="宋体"/>
          <w:highlight w:val="none"/>
        </w:rPr>
        <w:t>4.2.3 履约担保的退还</w:t>
      </w:r>
    </w:p>
    <w:p w14:paraId="2790A5E7">
      <w:pPr>
        <w:spacing w:line="360" w:lineRule="auto"/>
        <w:ind w:firstLine="420" w:firstLineChars="200"/>
        <w:rPr>
          <w:rFonts w:hint="eastAsia" w:ascii="宋体" w:hAnsi="宋体" w:cs="宋体"/>
          <w:highlight w:val="none"/>
        </w:rPr>
      </w:pPr>
      <w:r>
        <w:rPr>
          <w:rFonts w:hint="eastAsia" w:ascii="宋体" w:hAnsi="宋体" w:cs="宋体"/>
          <w:highlight w:val="none"/>
        </w:rPr>
        <w:t>履约担保应在监理人向承包人颁发（出具）工程接收证书之日后28天内退还给承包人。发包人不承担承包人与履约担保有关的任何利息或其它类似的费用或者收益。</w:t>
      </w:r>
    </w:p>
    <w:p w14:paraId="73395D37">
      <w:pPr>
        <w:spacing w:line="360" w:lineRule="auto"/>
        <w:ind w:firstLine="420" w:firstLineChars="200"/>
        <w:rPr>
          <w:rFonts w:hint="eastAsia" w:ascii="宋体" w:hAnsi="宋体" w:cs="宋体"/>
          <w:highlight w:val="none"/>
        </w:rPr>
      </w:pPr>
      <w:r>
        <w:rPr>
          <w:rFonts w:hint="eastAsia" w:ascii="宋体" w:hAnsi="宋体" w:cs="宋体"/>
          <w:highlight w:val="none"/>
        </w:rPr>
        <w:t>4.2.4 通知义务</w:t>
      </w:r>
    </w:p>
    <w:p w14:paraId="7ABA0010">
      <w:pPr>
        <w:spacing w:line="360" w:lineRule="auto"/>
        <w:ind w:firstLine="420" w:firstLineChars="200"/>
        <w:rPr>
          <w:rFonts w:hint="eastAsia" w:ascii="宋体" w:hAnsi="宋体" w:cs="宋体"/>
          <w:highlight w:val="none"/>
        </w:rPr>
      </w:pPr>
      <w:r>
        <w:rPr>
          <w:rFonts w:hint="eastAsia" w:ascii="宋体" w:hAnsi="宋体" w:cs="宋体"/>
          <w:highlight w:val="none"/>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4CA15408">
      <w:pPr>
        <w:spacing w:line="360" w:lineRule="auto"/>
        <w:ind w:firstLine="420" w:firstLineChars="200"/>
        <w:rPr>
          <w:rFonts w:hint="eastAsia" w:ascii="宋体" w:hAnsi="宋体" w:cs="宋体"/>
          <w:highlight w:val="none"/>
        </w:rPr>
      </w:pPr>
    </w:p>
    <w:p w14:paraId="6421983C">
      <w:pPr>
        <w:spacing w:line="360" w:lineRule="auto"/>
        <w:rPr>
          <w:rFonts w:hint="eastAsia" w:ascii="宋体" w:hAnsi="宋体" w:cs="宋体"/>
          <w:highlight w:val="none"/>
        </w:rPr>
      </w:pPr>
      <w:bookmarkStart w:id="1773" w:name="_Toc241459677"/>
      <w:bookmarkStart w:id="1774" w:name="_Toc503536264"/>
      <w:bookmarkStart w:id="1775" w:name="_Toc342296436"/>
      <w:bookmarkStart w:id="1776" w:name="_Toc454359353"/>
      <w:r>
        <w:rPr>
          <w:rFonts w:hint="eastAsia" w:ascii="宋体" w:hAnsi="宋体" w:cs="宋体"/>
          <w:highlight w:val="none"/>
        </w:rPr>
        <w:t>4.3 分包</w:t>
      </w:r>
      <w:bookmarkEnd w:id="1769"/>
      <w:bookmarkEnd w:id="1770"/>
      <w:bookmarkEnd w:id="1771"/>
      <w:bookmarkEnd w:id="1772"/>
      <w:bookmarkEnd w:id="1773"/>
      <w:bookmarkEnd w:id="1774"/>
      <w:bookmarkEnd w:id="1775"/>
      <w:bookmarkEnd w:id="1776"/>
    </w:p>
    <w:p w14:paraId="77DA341F">
      <w:pPr>
        <w:spacing w:line="360" w:lineRule="auto"/>
        <w:ind w:firstLine="420" w:firstLineChars="200"/>
        <w:rPr>
          <w:rFonts w:hint="eastAsia" w:ascii="宋体" w:hAnsi="宋体" w:cs="宋体"/>
          <w:highlight w:val="none"/>
        </w:rPr>
      </w:pPr>
      <w:r>
        <w:rPr>
          <w:rFonts w:hint="eastAsia" w:ascii="宋体" w:hAnsi="宋体" w:cs="宋体"/>
          <w:highlight w:val="none"/>
        </w:rPr>
        <w:t>4.3.2发包人同意承包人分包的非主体、非关键性工作见响应函附录。除通用合同条款第4.3款的约定外，分包还应遵循以下约定：</w:t>
      </w:r>
    </w:p>
    <w:p w14:paraId="090E92E9">
      <w:pPr>
        <w:spacing w:line="360" w:lineRule="auto"/>
        <w:ind w:firstLine="315" w:firstLineChars="150"/>
        <w:rPr>
          <w:rFonts w:hint="eastAsia" w:ascii="宋体" w:hAnsi="宋体" w:cs="宋体"/>
          <w:highlight w:val="none"/>
        </w:rPr>
      </w:pPr>
      <w:r>
        <w:rPr>
          <w:rFonts w:hint="eastAsia" w:ascii="宋体" w:hAnsi="宋体" w:cs="宋体"/>
          <w:highlight w:val="none"/>
        </w:rPr>
        <w:t>（1）除响应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0F269BAF">
      <w:pPr>
        <w:spacing w:line="360" w:lineRule="auto"/>
        <w:ind w:firstLine="315" w:firstLineChars="150"/>
        <w:rPr>
          <w:rFonts w:hint="eastAsia" w:ascii="宋体" w:hAnsi="宋体" w:cs="宋体"/>
          <w:highlight w:val="none"/>
        </w:rPr>
      </w:pPr>
      <w:r>
        <w:rPr>
          <w:rFonts w:hint="eastAsia" w:ascii="宋体" w:hAnsi="宋体" w:cs="宋体"/>
          <w:highlight w:val="none"/>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572F5467">
      <w:pPr>
        <w:spacing w:line="360" w:lineRule="auto"/>
        <w:ind w:firstLine="315" w:firstLineChars="150"/>
        <w:rPr>
          <w:rFonts w:hint="eastAsia" w:ascii="宋体" w:hAnsi="宋体" w:cs="宋体"/>
          <w:highlight w:val="none"/>
        </w:rPr>
      </w:pPr>
      <w:r>
        <w:rPr>
          <w:rFonts w:hint="eastAsia" w:ascii="宋体" w:hAnsi="宋体" w:cs="宋体"/>
          <w:highlight w:val="none"/>
        </w:rPr>
        <w:t>（3）在相关分包合同签订并报送有关交通运输行政主管部门备案后7天内，承包人应当将一份副本提交给监理人，承包人应保障分包工作不得再次分包。</w:t>
      </w:r>
    </w:p>
    <w:p w14:paraId="4DC5C65D">
      <w:pPr>
        <w:spacing w:line="360" w:lineRule="auto"/>
        <w:ind w:firstLine="315" w:firstLineChars="150"/>
        <w:rPr>
          <w:rFonts w:hint="eastAsia" w:ascii="宋体" w:hAnsi="宋体" w:cs="宋体"/>
          <w:highlight w:val="none"/>
        </w:rPr>
      </w:pPr>
      <w:r>
        <w:rPr>
          <w:rFonts w:hint="eastAsia" w:ascii="宋体" w:hAnsi="宋体" w:cs="宋体"/>
          <w:highlight w:val="none"/>
        </w:rPr>
        <w:t>（4）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757BA8C">
      <w:pPr>
        <w:spacing w:line="360" w:lineRule="auto"/>
        <w:ind w:firstLine="315" w:firstLineChars="150"/>
        <w:rPr>
          <w:rFonts w:hint="eastAsia" w:ascii="宋体" w:hAnsi="宋体" w:cs="宋体"/>
          <w:highlight w:val="none"/>
        </w:rPr>
      </w:pPr>
      <w:bookmarkStart w:id="1777" w:name="_Toc152045644"/>
      <w:bookmarkStart w:id="1778" w:name="_Toc179632662"/>
      <w:bookmarkStart w:id="1779" w:name="_Toc144974612"/>
      <w:bookmarkStart w:id="1780" w:name="_Toc152042422"/>
      <w:r>
        <w:rPr>
          <w:rFonts w:hint="eastAsia" w:ascii="宋体" w:hAnsi="宋体" w:cs="宋体"/>
          <w:highlight w:val="none"/>
        </w:rPr>
        <w:t>（5）未经发包人和监理人审批同意的分包工程和分包人，发包人有权拒绝验收分包工程和支付相应款项，由此引起的承包人费用增加和（或）延误的工期由承包人承担。</w:t>
      </w:r>
    </w:p>
    <w:p w14:paraId="3B9C61C1">
      <w:pPr>
        <w:spacing w:line="360" w:lineRule="auto"/>
        <w:rPr>
          <w:rFonts w:hint="eastAsia" w:ascii="宋体" w:hAnsi="宋体" w:cs="宋体"/>
          <w:highlight w:val="none"/>
        </w:rPr>
      </w:pPr>
      <w:bookmarkStart w:id="1781" w:name="_Toc342296437"/>
      <w:bookmarkStart w:id="1782" w:name="_Toc503536265"/>
      <w:bookmarkStart w:id="1783" w:name="_Toc454359354"/>
      <w:bookmarkStart w:id="1784" w:name="_Toc241459678"/>
      <w:r>
        <w:rPr>
          <w:rFonts w:hint="eastAsia" w:ascii="宋体" w:hAnsi="宋体" w:cs="宋体"/>
          <w:highlight w:val="none"/>
        </w:rPr>
        <w:t>4.5 承包人项目经理</w:t>
      </w:r>
      <w:bookmarkEnd w:id="1777"/>
      <w:bookmarkEnd w:id="1778"/>
      <w:bookmarkEnd w:id="1779"/>
      <w:bookmarkEnd w:id="1780"/>
      <w:bookmarkEnd w:id="1781"/>
      <w:bookmarkEnd w:id="1782"/>
      <w:bookmarkEnd w:id="1783"/>
      <w:bookmarkEnd w:id="1784"/>
    </w:p>
    <w:p w14:paraId="795EFB3B">
      <w:pPr>
        <w:spacing w:line="360" w:lineRule="auto"/>
        <w:ind w:firstLine="420" w:firstLineChars="200"/>
        <w:rPr>
          <w:rFonts w:hint="eastAsia" w:ascii="宋体" w:hAnsi="宋体" w:cs="宋体"/>
          <w:highlight w:val="none"/>
        </w:rPr>
      </w:pPr>
      <w:r>
        <w:rPr>
          <w:rFonts w:hint="eastAsia" w:ascii="宋体" w:hAnsi="宋体" w:cs="宋体"/>
          <w:highlight w:val="none"/>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4BD909A2">
      <w:pPr>
        <w:spacing w:line="360" w:lineRule="auto"/>
        <w:rPr>
          <w:rFonts w:hint="eastAsia" w:ascii="宋体" w:hAnsi="宋体" w:cs="宋体"/>
          <w:highlight w:val="none"/>
        </w:rPr>
      </w:pPr>
      <w:bookmarkStart w:id="1785" w:name="_Toc152045650"/>
      <w:bookmarkStart w:id="1786" w:name="_Toc503536266"/>
      <w:bookmarkStart w:id="1787" w:name="_Toc179632668"/>
      <w:bookmarkStart w:id="1788" w:name="_Toc152042428"/>
      <w:bookmarkStart w:id="1789" w:name="_Toc241459679"/>
      <w:bookmarkStart w:id="1790" w:name="_Toc454359355"/>
      <w:bookmarkStart w:id="1791" w:name="_Toc144974618"/>
      <w:bookmarkStart w:id="1792" w:name="_Toc342296438"/>
      <w:r>
        <w:rPr>
          <w:rFonts w:hint="eastAsia" w:ascii="宋体" w:hAnsi="宋体" w:cs="宋体"/>
          <w:highlight w:val="none"/>
        </w:rPr>
        <w:t>4.11 不利物质条件</w:t>
      </w:r>
      <w:bookmarkEnd w:id="1785"/>
      <w:bookmarkEnd w:id="1786"/>
      <w:bookmarkEnd w:id="1787"/>
      <w:bookmarkEnd w:id="1788"/>
      <w:bookmarkEnd w:id="1789"/>
      <w:bookmarkEnd w:id="1790"/>
      <w:bookmarkEnd w:id="1791"/>
      <w:bookmarkEnd w:id="1792"/>
    </w:p>
    <w:p w14:paraId="605367C9">
      <w:pPr>
        <w:spacing w:line="360" w:lineRule="auto"/>
        <w:ind w:firstLine="420" w:firstLineChars="200"/>
        <w:rPr>
          <w:rFonts w:hint="eastAsia" w:ascii="宋体" w:hAnsi="宋体" w:cs="宋体"/>
          <w:highlight w:val="none"/>
          <w:u w:val="single"/>
        </w:rPr>
      </w:pPr>
      <w:bookmarkStart w:id="1793" w:name="_Toc152042429"/>
      <w:bookmarkStart w:id="1794" w:name="_Toc179632669"/>
      <w:bookmarkStart w:id="1795" w:name="_Toc152045651"/>
      <w:bookmarkStart w:id="1796" w:name="_Toc144974619"/>
      <w:r>
        <w:rPr>
          <w:rFonts w:hint="eastAsia" w:ascii="宋体" w:hAnsi="宋体" w:cs="宋体"/>
          <w:highlight w:val="none"/>
        </w:rPr>
        <w:t>4.11.1不利物质条件的范围：</w:t>
      </w:r>
      <w:r>
        <w:rPr>
          <w:rFonts w:hint="eastAsia" w:ascii="宋体" w:hAnsi="宋体" w:cs="宋体"/>
          <w:highlight w:val="none"/>
          <w:u w:val="single"/>
        </w:rPr>
        <w:t xml:space="preserve">  由投标人自行踏勘现场，不利物质条件引起的相关费用考虑在投标报价中  </w:t>
      </w:r>
      <w:r>
        <w:rPr>
          <w:rFonts w:hint="eastAsia" w:ascii="宋体" w:hAnsi="宋体" w:cs="宋体"/>
          <w:highlight w:val="none"/>
        </w:rPr>
        <w:t>。</w:t>
      </w:r>
    </w:p>
    <w:p w14:paraId="7AC18559">
      <w:pPr>
        <w:rPr>
          <w:rFonts w:hint="eastAsia" w:ascii="宋体" w:hAnsi="宋体" w:cs="宋体"/>
          <w:highlight w:val="none"/>
        </w:rPr>
      </w:pPr>
      <w:bookmarkStart w:id="1797" w:name="_Toc241459680"/>
      <w:bookmarkStart w:id="1798" w:name="_Toc4157314"/>
      <w:bookmarkStart w:id="1799" w:name="_Toc30244"/>
      <w:bookmarkStart w:id="1800" w:name="_Toc503536267"/>
      <w:bookmarkStart w:id="1801" w:name="_Toc342296439"/>
      <w:r>
        <w:rPr>
          <w:rFonts w:hint="eastAsia" w:ascii="宋体" w:hAnsi="宋体" w:cs="宋体"/>
          <w:highlight w:val="none"/>
        </w:rPr>
        <w:t>5. 材料和工程设备</w:t>
      </w:r>
      <w:bookmarkEnd w:id="1793"/>
      <w:bookmarkEnd w:id="1794"/>
      <w:bookmarkEnd w:id="1795"/>
      <w:bookmarkEnd w:id="1796"/>
      <w:bookmarkEnd w:id="1797"/>
      <w:bookmarkEnd w:id="1798"/>
      <w:bookmarkEnd w:id="1799"/>
      <w:bookmarkEnd w:id="1800"/>
      <w:bookmarkEnd w:id="1801"/>
    </w:p>
    <w:p w14:paraId="6D25A6C8">
      <w:pPr>
        <w:spacing w:line="360" w:lineRule="auto"/>
        <w:rPr>
          <w:rFonts w:hint="eastAsia" w:ascii="宋体" w:hAnsi="宋体" w:cs="宋体"/>
          <w:highlight w:val="none"/>
        </w:rPr>
      </w:pPr>
      <w:bookmarkStart w:id="1802" w:name="_Toc503536268"/>
      <w:bookmarkStart w:id="1803" w:name="_Toc152042430"/>
      <w:bookmarkStart w:id="1804" w:name="_Toc179632670"/>
      <w:bookmarkStart w:id="1805" w:name="_Toc342296440"/>
      <w:bookmarkStart w:id="1806" w:name="_Toc144974620"/>
      <w:bookmarkStart w:id="1807" w:name="_Toc241459681"/>
      <w:bookmarkStart w:id="1808" w:name="_Toc454359357"/>
      <w:bookmarkStart w:id="1809" w:name="_Toc152045652"/>
      <w:r>
        <w:rPr>
          <w:rFonts w:hint="eastAsia" w:ascii="宋体" w:hAnsi="宋体" w:cs="宋体"/>
          <w:highlight w:val="none"/>
        </w:rPr>
        <w:t>5.1 承包人提供的材料和工程设备</w:t>
      </w:r>
      <w:bookmarkEnd w:id="1802"/>
      <w:bookmarkEnd w:id="1803"/>
      <w:bookmarkEnd w:id="1804"/>
      <w:bookmarkEnd w:id="1805"/>
      <w:bookmarkEnd w:id="1806"/>
      <w:bookmarkEnd w:id="1807"/>
      <w:bookmarkEnd w:id="1808"/>
      <w:bookmarkEnd w:id="1809"/>
    </w:p>
    <w:p w14:paraId="587C45CF">
      <w:pPr>
        <w:spacing w:line="360" w:lineRule="auto"/>
        <w:ind w:firstLine="420" w:firstLineChars="200"/>
        <w:rPr>
          <w:rFonts w:hint="eastAsia" w:ascii="宋体" w:hAnsi="宋体" w:cs="宋体"/>
          <w:highlight w:val="none"/>
        </w:rPr>
      </w:pPr>
      <w:r>
        <w:rPr>
          <w:rFonts w:hint="eastAsia" w:ascii="宋体" w:hAnsi="宋体" w:cs="宋体"/>
          <w:highlight w:val="none"/>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328EF97B">
      <w:pPr>
        <w:spacing w:line="360" w:lineRule="auto"/>
        <w:ind w:firstLine="420" w:firstLineChars="200"/>
        <w:rPr>
          <w:rFonts w:hint="eastAsia" w:ascii="宋体" w:hAnsi="宋体" w:cs="宋体"/>
          <w:highlight w:val="none"/>
        </w:rPr>
      </w:pPr>
      <w:r>
        <w:rPr>
          <w:rFonts w:hint="eastAsia" w:ascii="宋体" w:hAnsi="宋体" w:cs="宋体"/>
          <w:highlight w:val="none"/>
        </w:rPr>
        <w:t>5.1.2 承包人将由其提供的材料和工程设备的供货人及品种、规格、数量和供货时间等报送监理人审批的期限：</w:t>
      </w:r>
      <w:r>
        <w:rPr>
          <w:rFonts w:hint="eastAsia" w:ascii="宋体" w:hAnsi="宋体" w:cs="宋体"/>
          <w:highlight w:val="none"/>
          <w:u w:val="single"/>
        </w:rPr>
        <w:t xml:space="preserve">  采购前7日内  </w:t>
      </w:r>
      <w:r>
        <w:rPr>
          <w:rFonts w:hint="eastAsia" w:ascii="宋体" w:hAnsi="宋体" w:cs="宋体"/>
          <w:highlight w:val="none"/>
        </w:rPr>
        <w:t xml:space="preserve">。 </w:t>
      </w:r>
    </w:p>
    <w:p w14:paraId="3205B103">
      <w:pPr>
        <w:spacing w:line="360" w:lineRule="auto"/>
        <w:rPr>
          <w:rFonts w:hint="eastAsia" w:ascii="宋体" w:hAnsi="宋体" w:cs="宋体"/>
          <w:highlight w:val="none"/>
        </w:rPr>
      </w:pPr>
      <w:bookmarkStart w:id="1810" w:name="_Toc454359358"/>
      <w:bookmarkStart w:id="1811" w:name="_Toc144974621"/>
      <w:bookmarkStart w:id="1812" w:name="_Toc152042431"/>
      <w:bookmarkStart w:id="1813" w:name="_Toc503536269"/>
      <w:bookmarkStart w:id="1814" w:name="_Toc241459682"/>
      <w:bookmarkStart w:id="1815" w:name="_Toc342296441"/>
      <w:bookmarkStart w:id="1816" w:name="_Toc179632671"/>
      <w:bookmarkStart w:id="1817" w:name="_Toc152045653"/>
      <w:r>
        <w:rPr>
          <w:rFonts w:hint="eastAsia" w:ascii="宋体" w:hAnsi="宋体" w:cs="宋体"/>
          <w:highlight w:val="none"/>
        </w:rPr>
        <w:t>5.2 发包人提供的材料和工程设备</w:t>
      </w:r>
      <w:bookmarkEnd w:id="1810"/>
      <w:bookmarkEnd w:id="1811"/>
      <w:bookmarkEnd w:id="1812"/>
      <w:bookmarkEnd w:id="1813"/>
      <w:bookmarkEnd w:id="1814"/>
      <w:bookmarkEnd w:id="1815"/>
      <w:bookmarkEnd w:id="1816"/>
      <w:bookmarkEnd w:id="1817"/>
    </w:p>
    <w:p w14:paraId="1F6484F4">
      <w:pPr>
        <w:spacing w:line="360" w:lineRule="auto"/>
        <w:ind w:firstLine="420" w:firstLineChars="200"/>
        <w:rPr>
          <w:rFonts w:hint="eastAsia" w:ascii="宋体" w:hAnsi="宋体" w:cs="宋体"/>
          <w:highlight w:val="none"/>
        </w:rPr>
      </w:pPr>
      <w:r>
        <w:rPr>
          <w:rFonts w:hint="eastAsia" w:ascii="宋体" w:hAnsi="宋体" w:cs="宋体"/>
          <w:highlight w:val="none"/>
        </w:rPr>
        <w:t>5.2.1发包人负责提供的材料和工程设备的名称、规格、数量、价格、交货方式、交货地点和计划交货日期等见合同附件三“发包人提供的材料和工程设备一览表”。</w:t>
      </w:r>
    </w:p>
    <w:p w14:paraId="6E4D3557">
      <w:pPr>
        <w:spacing w:line="360" w:lineRule="auto"/>
        <w:ind w:firstLine="420" w:firstLineChars="200"/>
        <w:rPr>
          <w:rFonts w:hint="eastAsia" w:ascii="宋体" w:hAnsi="宋体" w:cs="宋体"/>
          <w:highlight w:val="none"/>
        </w:rPr>
      </w:pPr>
      <w:r>
        <w:rPr>
          <w:rFonts w:hint="eastAsia" w:ascii="宋体" w:hAnsi="宋体" w:cs="宋体"/>
          <w:highlight w:val="none"/>
        </w:rPr>
        <w:t xml:space="preserve">5.2.3由发包人提供的材料和工程设备验收后，由承包人负责接收、运输和保管。 </w:t>
      </w:r>
    </w:p>
    <w:p w14:paraId="23044D5C">
      <w:pPr>
        <w:rPr>
          <w:rFonts w:hint="eastAsia" w:ascii="宋体" w:hAnsi="宋体" w:cs="宋体"/>
          <w:highlight w:val="none"/>
        </w:rPr>
      </w:pPr>
      <w:bookmarkStart w:id="1818" w:name="_Toc342296442"/>
      <w:bookmarkStart w:id="1819" w:name="_Toc20059"/>
      <w:bookmarkStart w:id="1820" w:name="_Toc503536270"/>
      <w:bookmarkStart w:id="1821" w:name="_Toc144974624"/>
      <w:bookmarkStart w:id="1822" w:name="_Toc152042434"/>
      <w:bookmarkStart w:id="1823" w:name="_Toc241459683"/>
      <w:bookmarkStart w:id="1824" w:name="_Toc179632674"/>
      <w:bookmarkStart w:id="1825" w:name="_Toc4157315"/>
      <w:bookmarkStart w:id="1826" w:name="_Toc152045656"/>
      <w:r>
        <w:rPr>
          <w:rFonts w:hint="eastAsia" w:ascii="宋体" w:hAnsi="宋体" w:cs="宋体"/>
          <w:highlight w:val="none"/>
        </w:rPr>
        <w:t>6. 施工设备和临时设施</w:t>
      </w:r>
      <w:bookmarkEnd w:id="1818"/>
      <w:bookmarkEnd w:id="1819"/>
      <w:bookmarkEnd w:id="1820"/>
      <w:bookmarkEnd w:id="1821"/>
      <w:bookmarkEnd w:id="1822"/>
      <w:bookmarkEnd w:id="1823"/>
      <w:bookmarkEnd w:id="1824"/>
      <w:bookmarkEnd w:id="1825"/>
      <w:bookmarkEnd w:id="1826"/>
    </w:p>
    <w:p w14:paraId="7718748C">
      <w:pPr>
        <w:spacing w:line="360" w:lineRule="auto"/>
        <w:rPr>
          <w:rFonts w:hint="eastAsia" w:ascii="宋体" w:hAnsi="宋体" w:cs="宋体"/>
          <w:highlight w:val="none"/>
        </w:rPr>
      </w:pPr>
      <w:bookmarkStart w:id="1827" w:name="_Toc152042435"/>
      <w:bookmarkStart w:id="1828" w:name="_Toc503536271"/>
      <w:bookmarkStart w:id="1829" w:name="_Toc241459684"/>
      <w:bookmarkStart w:id="1830" w:name="_Toc144974625"/>
      <w:bookmarkStart w:id="1831" w:name="_Toc342296443"/>
      <w:bookmarkStart w:id="1832" w:name="_Toc179632675"/>
      <w:bookmarkStart w:id="1833" w:name="_Toc454359360"/>
      <w:bookmarkStart w:id="1834" w:name="_Toc152045657"/>
      <w:r>
        <w:rPr>
          <w:rFonts w:hint="eastAsia" w:ascii="宋体" w:hAnsi="宋体" w:cs="宋体"/>
          <w:highlight w:val="none"/>
        </w:rPr>
        <w:t>6.1 承包人提供的施工设备和临时设施</w:t>
      </w:r>
      <w:bookmarkEnd w:id="1827"/>
      <w:bookmarkEnd w:id="1828"/>
      <w:bookmarkEnd w:id="1829"/>
      <w:bookmarkEnd w:id="1830"/>
      <w:bookmarkEnd w:id="1831"/>
      <w:bookmarkEnd w:id="1832"/>
      <w:bookmarkEnd w:id="1833"/>
      <w:bookmarkEnd w:id="1834"/>
    </w:p>
    <w:p w14:paraId="003C0C8F">
      <w:pPr>
        <w:spacing w:line="360" w:lineRule="auto"/>
        <w:ind w:firstLine="420" w:firstLineChars="200"/>
        <w:rPr>
          <w:rFonts w:hint="eastAsia" w:ascii="宋体" w:hAnsi="宋体" w:cs="宋体"/>
          <w:highlight w:val="none"/>
        </w:rPr>
      </w:pPr>
      <w:r>
        <w:rPr>
          <w:rFonts w:hint="eastAsia" w:ascii="宋体" w:hAnsi="宋体" w:cs="宋体"/>
          <w:highlight w:val="none"/>
        </w:rPr>
        <w:t>6.1.2发包人承担修建临时设施的费用的范围：</w:t>
      </w:r>
      <w:r>
        <w:rPr>
          <w:rFonts w:hint="eastAsia" w:ascii="宋体" w:hAnsi="宋体" w:cs="宋体"/>
          <w:highlight w:val="none"/>
          <w:u w:val="single"/>
        </w:rPr>
        <w:t xml:space="preserve">  /  </w:t>
      </w:r>
      <w:r>
        <w:rPr>
          <w:rFonts w:hint="eastAsia" w:ascii="宋体" w:hAnsi="宋体" w:cs="宋体"/>
          <w:highlight w:val="none"/>
        </w:rPr>
        <w:t xml:space="preserve">。 </w:t>
      </w:r>
    </w:p>
    <w:p w14:paraId="1ABA7A6E">
      <w:pPr>
        <w:spacing w:line="360" w:lineRule="auto"/>
        <w:ind w:firstLine="420" w:firstLineChars="200"/>
        <w:rPr>
          <w:rFonts w:hint="eastAsia" w:ascii="宋体" w:hAnsi="宋体" w:cs="宋体"/>
          <w:highlight w:val="none"/>
        </w:rPr>
      </w:pPr>
      <w:r>
        <w:rPr>
          <w:rFonts w:hint="eastAsia" w:ascii="宋体" w:hAnsi="宋体" w:cs="宋体"/>
          <w:highlight w:val="none"/>
        </w:rPr>
        <w:t>需要发包人办理申请手续和承担相关费用的临时占地：</w:t>
      </w:r>
      <w:r>
        <w:rPr>
          <w:rFonts w:hint="eastAsia" w:ascii="宋体" w:hAnsi="宋体" w:cs="宋体"/>
          <w:highlight w:val="none"/>
          <w:u w:val="single"/>
        </w:rPr>
        <w:t xml:space="preserve"> 承包人应对现场实际及合同要求，自行判断是否需要安排场外临时用地或施工用地。如需要承包人应自行安排并认为相应的费用已包含在投标报价中  </w:t>
      </w:r>
      <w:r>
        <w:rPr>
          <w:rFonts w:hint="eastAsia" w:ascii="宋体" w:hAnsi="宋体" w:cs="宋体"/>
          <w:highlight w:val="none"/>
        </w:rPr>
        <w:t xml:space="preserve">。 </w:t>
      </w:r>
    </w:p>
    <w:p w14:paraId="7EF79571">
      <w:pPr>
        <w:spacing w:line="360" w:lineRule="auto"/>
        <w:rPr>
          <w:rFonts w:hint="eastAsia" w:ascii="宋体" w:hAnsi="宋体" w:cs="宋体"/>
          <w:highlight w:val="none"/>
        </w:rPr>
      </w:pPr>
      <w:bookmarkStart w:id="1835" w:name="_Toc144974626"/>
      <w:bookmarkStart w:id="1836" w:name="_Toc179632676"/>
      <w:bookmarkStart w:id="1837" w:name="_Toc342296444"/>
      <w:bookmarkStart w:id="1838" w:name="_Toc152045658"/>
      <w:bookmarkStart w:id="1839" w:name="_Toc454359361"/>
      <w:bookmarkStart w:id="1840" w:name="_Toc503536272"/>
      <w:bookmarkStart w:id="1841" w:name="_Toc241459685"/>
      <w:bookmarkStart w:id="1842" w:name="_Toc152042436"/>
      <w:r>
        <w:rPr>
          <w:rFonts w:hint="eastAsia" w:ascii="宋体" w:hAnsi="宋体" w:cs="宋体"/>
          <w:highlight w:val="none"/>
        </w:rPr>
        <w:t>6.2 发包人提供的施工设备和临时设施</w:t>
      </w:r>
      <w:bookmarkEnd w:id="1835"/>
      <w:bookmarkEnd w:id="1836"/>
      <w:bookmarkEnd w:id="1837"/>
      <w:bookmarkEnd w:id="1838"/>
      <w:bookmarkEnd w:id="1839"/>
      <w:bookmarkEnd w:id="1840"/>
      <w:bookmarkEnd w:id="1841"/>
      <w:bookmarkEnd w:id="1842"/>
    </w:p>
    <w:p w14:paraId="7B2D0336">
      <w:pPr>
        <w:spacing w:line="360" w:lineRule="auto"/>
        <w:ind w:firstLine="420" w:firstLineChars="200"/>
        <w:rPr>
          <w:rFonts w:hint="eastAsia" w:ascii="宋体" w:hAnsi="宋体" w:cs="宋体"/>
          <w:highlight w:val="none"/>
        </w:rPr>
      </w:pPr>
      <w:r>
        <w:rPr>
          <w:rFonts w:hint="eastAsia" w:ascii="宋体" w:hAnsi="宋体" w:cs="宋体"/>
          <w:highlight w:val="none"/>
        </w:rPr>
        <w:t>发包人提供的施工设备和临时设施：</w:t>
      </w:r>
      <w:r>
        <w:rPr>
          <w:rFonts w:hint="eastAsia" w:ascii="宋体" w:hAnsi="宋体" w:cs="宋体"/>
          <w:highlight w:val="none"/>
          <w:u w:val="single"/>
        </w:rPr>
        <w:t xml:space="preserve">  /  </w:t>
      </w:r>
      <w:r>
        <w:rPr>
          <w:rFonts w:hint="eastAsia" w:ascii="宋体" w:hAnsi="宋体" w:cs="宋体"/>
          <w:highlight w:val="none"/>
        </w:rPr>
        <w:t>。</w:t>
      </w:r>
    </w:p>
    <w:p w14:paraId="08E135DE">
      <w:pPr>
        <w:spacing w:line="360" w:lineRule="auto"/>
        <w:ind w:firstLine="420" w:firstLineChars="200"/>
        <w:rPr>
          <w:rFonts w:hint="eastAsia" w:ascii="宋体" w:hAnsi="宋体" w:cs="宋体"/>
          <w:highlight w:val="none"/>
        </w:rPr>
      </w:pPr>
      <w:r>
        <w:rPr>
          <w:rFonts w:hint="eastAsia" w:ascii="宋体" w:hAnsi="宋体" w:cs="宋体"/>
          <w:highlight w:val="none"/>
        </w:rPr>
        <w:t>发包人提供的施工设备和临时设施的运行、维护、拆除、清运费用的承担人：</w:t>
      </w:r>
      <w:r>
        <w:rPr>
          <w:rFonts w:hint="eastAsia" w:ascii="宋体" w:hAnsi="宋体" w:cs="宋体"/>
          <w:highlight w:val="none"/>
          <w:u w:val="single"/>
        </w:rPr>
        <w:t xml:space="preserve">  /  </w:t>
      </w:r>
      <w:r>
        <w:rPr>
          <w:rFonts w:hint="eastAsia" w:ascii="宋体" w:hAnsi="宋体" w:cs="宋体"/>
          <w:highlight w:val="none"/>
        </w:rPr>
        <w:t xml:space="preserve"> 。</w:t>
      </w:r>
    </w:p>
    <w:p w14:paraId="42DC33E1">
      <w:pPr>
        <w:spacing w:line="360" w:lineRule="auto"/>
        <w:rPr>
          <w:rFonts w:hint="eastAsia" w:ascii="宋体" w:hAnsi="宋体" w:cs="宋体"/>
          <w:highlight w:val="none"/>
        </w:rPr>
      </w:pPr>
      <w:bookmarkStart w:id="1843" w:name="_Toc454359362"/>
      <w:bookmarkStart w:id="1844" w:name="_Toc241459686"/>
      <w:bookmarkStart w:id="1845" w:name="_Toc144974628"/>
      <w:bookmarkStart w:id="1846" w:name="_Toc152045660"/>
      <w:bookmarkStart w:id="1847" w:name="_Toc503536273"/>
      <w:bookmarkStart w:id="1848" w:name="_Toc342296445"/>
      <w:bookmarkStart w:id="1849" w:name="_Toc152042438"/>
      <w:bookmarkStart w:id="1850" w:name="_Toc179632678"/>
      <w:r>
        <w:rPr>
          <w:rFonts w:hint="eastAsia" w:ascii="宋体" w:hAnsi="宋体" w:cs="宋体"/>
          <w:highlight w:val="none"/>
        </w:rPr>
        <w:t>6.4 施工设备和临时设施专用于合同工程</w:t>
      </w:r>
      <w:bookmarkEnd w:id="1843"/>
      <w:bookmarkEnd w:id="1844"/>
      <w:bookmarkEnd w:id="1845"/>
      <w:bookmarkEnd w:id="1846"/>
      <w:bookmarkEnd w:id="1847"/>
      <w:bookmarkEnd w:id="1848"/>
      <w:bookmarkEnd w:id="1849"/>
      <w:bookmarkEnd w:id="1850"/>
    </w:p>
    <w:p w14:paraId="14BF1B5A">
      <w:pPr>
        <w:spacing w:line="360" w:lineRule="auto"/>
        <w:ind w:firstLine="420" w:firstLineChars="200"/>
        <w:rPr>
          <w:rFonts w:hint="eastAsia" w:ascii="宋体" w:hAnsi="宋体" w:cs="宋体"/>
          <w:highlight w:val="none"/>
          <w:u w:val="single"/>
          <w:bdr w:val="single" w:color="auto" w:sz="4" w:space="0"/>
        </w:rPr>
      </w:pPr>
      <w:r>
        <w:rPr>
          <w:rFonts w:hint="eastAsia" w:ascii="宋体" w:hAnsi="宋体" w:cs="宋体"/>
          <w:highlight w:val="none"/>
        </w:rPr>
        <w:t>6.4.1除为专用合同条款第4.1.8项约定的其他独立承包人和监理人指示的他人提供条件外,承包人运入施工场地的所有施工设备以及在施工场地建设的临时设施仅限于用于合同工程。</w:t>
      </w:r>
    </w:p>
    <w:p w14:paraId="028912A8">
      <w:pPr>
        <w:rPr>
          <w:rFonts w:hint="eastAsia" w:ascii="宋体" w:hAnsi="宋体" w:cs="宋体"/>
          <w:highlight w:val="none"/>
        </w:rPr>
      </w:pPr>
      <w:bookmarkStart w:id="1851" w:name="_Toc241459687"/>
      <w:bookmarkStart w:id="1852" w:name="_Toc4157316"/>
      <w:bookmarkStart w:id="1853" w:name="_Toc342296446"/>
      <w:bookmarkStart w:id="1854" w:name="_Toc503536274"/>
      <w:bookmarkStart w:id="1855" w:name="_Toc144974629"/>
      <w:bookmarkStart w:id="1856" w:name="_Toc152045661"/>
      <w:bookmarkStart w:id="1857" w:name="_Toc28035"/>
      <w:bookmarkStart w:id="1858" w:name="_Toc179632679"/>
      <w:bookmarkStart w:id="1859" w:name="_Toc152042439"/>
      <w:r>
        <w:rPr>
          <w:rFonts w:hint="eastAsia" w:ascii="宋体" w:hAnsi="宋体" w:cs="宋体"/>
          <w:highlight w:val="none"/>
        </w:rPr>
        <w:t>7. 交通运输</w:t>
      </w:r>
      <w:bookmarkEnd w:id="1851"/>
      <w:bookmarkEnd w:id="1852"/>
      <w:bookmarkEnd w:id="1853"/>
      <w:bookmarkEnd w:id="1854"/>
      <w:bookmarkEnd w:id="1855"/>
      <w:bookmarkEnd w:id="1856"/>
      <w:bookmarkEnd w:id="1857"/>
      <w:bookmarkEnd w:id="1858"/>
      <w:bookmarkEnd w:id="1859"/>
    </w:p>
    <w:p w14:paraId="5F9D6B08">
      <w:pPr>
        <w:spacing w:line="360" w:lineRule="auto"/>
        <w:rPr>
          <w:rFonts w:hint="eastAsia" w:ascii="宋体" w:hAnsi="宋体" w:cs="宋体"/>
          <w:highlight w:val="none"/>
        </w:rPr>
      </w:pPr>
      <w:bookmarkStart w:id="1860" w:name="_Toc152045662"/>
      <w:bookmarkStart w:id="1861" w:name="_Toc503536275"/>
      <w:bookmarkStart w:id="1862" w:name="_Toc241459688"/>
      <w:bookmarkStart w:id="1863" w:name="_Toc152042440"/>
      <w:bookmarkStart w:id="1864" w:name="_Toc144974630"/>
      <w:bookmarkStart w:id="1865" w:name="_Toc342296447"/>
      <w:bookmarkStart w:id="1866" w:name="_Toc454359364"/>
      <w:bookmarkStart w:id="1867" w:name="_Toc179632680"/>
      <w:r>
        <w:rPr>
          <w:rFonts w:hint="eastAsia" w:ascii="宋体" w:hAnsi="宋体" w:cs="宋体"/>
          <w:highlight w:val="none"/>
        </w:rPr>
        <w:t>7.1 道路通行权和场外设施</w:t>
      </w:r>
      <w:bookmarkEnd w:id="1860"/>
      <w:bookmarkEnd w:id="1861"/>
      <w:bookmarkEnd w:id="1862"/>
      <w:bookmarkEnd w:id="1863"/>
      <w:bookmarkEnd w:id="1864"/>
      <w:bookmarkEnd w:id="1865"/>
      <w:bookmarkEnd w:id="1866"/>
      <w:bookmarkEnd w:id="1867"/>
    </w:p>
    <w:p w14:paraId="351FEDFF">
      <w:pPr>
        <w:spacing w:line="360" w:lineRule="auto"/>
        <w:ind w:firstLine="420" w:firstLineChars="200"/>
        <w:rPr>
          <w:rFonts w:hint="eastAsia" w:ascii="宋体" w:hAnsi="宋体" w:cs="宋体"/>
          <w:highlight w:val="none"/>
          <w:u w:val="single"/>
        </w:rPr>
      </w:pPr>
      <w:r>
        <w:rPr>
          <w:rFonts w:hint="eastAsia" w:ascii="宋体" w:hAnsi="宋体" w:cs="宋体"/>
          <w:highlight w:val="none"/>
        </w:rPr>
        <w:t>取得道路通行权、场外设施修建权的办理人:</w:t>
      </w:r>
      <w:r>
        <w:rPr>
          <w:rFonts w:hint="eastAsia" w:ascii="宋体" w:hAnsi="宋体" w:cs="宋体"/>
          <w:highlight w:val="none"/>
          <w:u w:val="single"/>
        </w:rPr>
        <w:t xml:space="preserve">   承包人   </w:t>
      </w:r>
      <w:r>
        <w:rPr>
          <w:rFonts w:hint="eastAsia" w:ascii="宋体" w:hAnsi="宋体" w:cs="宋体"/>
          <w:highlight w:val="none"/>
        </w:rPr>
        <w:t xml:space="preserve"> ，其相关费用由发包人承担。                       </w:t>
      </w:r>
    </w:p>
    <w:p w14:paraId="24FA232F">
      <w:pPr>
        <w:spacing w:line="360" w:lineRule="auto"/>
        <w:rPr>
          <w:rFonts w:hint="eastAsia" w:ascii="宋体" w:hAnsi="宋体" w:cs="宋体"/>
          <w:highlight w:val="none"/>
        </w:rPr>
      </w:pPr>
      <w:bookmarkStart w:id="1868" w:name="_Toc342296448"/>
      <w:bookmarkStart w:id="1869" w:name="_Toc152045663"/>
      <w:bookmarkStart w:id="1870" w:name="_Toc454359365"/>
      <w:bookmarkStart w:id="1871" w:name="_Toc179632681"/>
      <w:bookmarkStart w:id="1872" w:name="_Toc241459689"/>
      <w:bookmarkStart w:id="1873" w:name="_Toc503536276"/>
      <w:bookmarkStart w:id="1874" w:name="_Toc152042441"/>
      <w:bookmarkStart w:id="1875" w:name="_Toc144974631"/>
      <w:r>
        <w:rPr>
          <w:rFonts w:hint="eastAsia" w:ascii="宋体" w:hAnsi="宋体" w:cs="宋体"/>
          <w:highlight w:val="none"/>
        </w:rPr>
        <w:t>7.2 场内施工道路</w:t>
      </w:r>
      <w:bookmarkEnd w:id="1868"/>
      <w:bookmarkEnd w:id="1869"/>
      <w:bookmarkEnd w:id="1870"/>
      <w:bookmarkEnd w:id="1871"/>
      <w:bookmarkEnd w:id="1872"/>
      <w:bookmarkEnd w:id="1873"/>
      <w:bookmarkEnd w:id="1874"/>
      <w:bookmarkEnd w:id="1875"/>
    </w:p>
    <w:p w14:paraId="2B2489DB">
      <w:pPr>
        <w:spacing w:line="360" w:lineRule="auto"/>
        <w:ind w:firstLine="420" w:firstLineChars="200"/>
        <w:rPr>
          <w:rFonts w:hint="eastAsia" w:ascii="宋体" w:hAnsi="宋体" w:cs="宋体"/>
          <w:highlight w:val="none"/>
        </w:rPr>
      </w:pPr>
      <w:r>
        <w:rPr>
          <w:rFonts w:hint="eastAsia" w:ascii="宋体" w:hAnsi="宋体" w:cs="宋体"/>
          <w:highlight w:val="none"/>
        </w:rPr>
        <w:t>7.2.1施工所需的场内临时道路和交通设施的修建、维护、养护和管理人：</w:t>
      </w:r>
      <w:r>
        <w:rPr>
          <w:rFonts w:hint="eastAsia" w:ascii="宋体" w:hAnsi="宋体" w:cs="宋体"/>
          <w:highlight w:val="none"/>
          <w:u w:val="single"/>
        </w:rPr>
        <w:t xml:space="preserve">  承包人  </w:t>
      </w:r>
      <w:r>
        <w:rPr>
          <w:rFonts w:hint="eastAsia" w:ascii="宋体" w:hAnsi="宋体" w:cs="宋体"/>
          <w:highlight w:val="none"/>
        </w:rPr>
        <w:t>，相关费用由</w:t>
      </w:r>
      <w:r>
        <w:rPr>
          <w:rFonts w:hint="eastAsia" w:ascii="宋体" w:hAnsi="宋体" w:cs="宋体"/>
          <w:highlight w:val="none"/>
          <w:u w:val="single"/>
        </w:rPr>
        <w:t xml:space="preserve">   承包人  </w:t>
      </w:r>
      <w:r>
        <w:rPr>
          <w:rFonts w:hint="eastAsia" w:ascii="宋体" w:hAnsi="宋体" w:cs="宋体"/>
          <w:highlight w:val="none"/>
        </w:rPr>
        <w:t>承担并计入投标报价。</w:t>
      </w:r>
    </w:p>
    <w:p w14:paraId="33C970D9">
      <w:pPr>
        <w:spacing w:line="360" w:lineRule="auto"/>
        <w:ind w:firstLine="420" w:firstLineChars="200"/>
        <w:rPr>
          <w:rFonts w:hint="eastAsia" w:ascii="宋体" w:hAnsi="宋体" w:cs="宋体"/>
          <w:highlight w:val="none"/>
          <w:u w:val="single"/>
        </w:rPr>
      </w:pPr>
      <w:r>
        <w:rPr>
          <w:rFonts w:hint="eastAsia" w:ascii="宋体" w:hAnsi="宋体" w:cs="宋体"/>
          <w:highlight w:val="none"/>
        </w:rPr>
        <w:t>7.2.2发包人和监理人有权无偿使用承包人修建的临时道路和交通设施，不需要交纳任何费用。</w:t>
      </w:r>
    </w:p>
    <w:p w14:paraId="51FB09F3">
      <w:pPr>
        <w:spacing w:line="360" w:lineRule="auto"/>
        <w:rPr>
          <w:rFonts w:hint="eastAsia" w:ascii="宋体" w:hAnsi="宋体" w:cs="宋体"/>
          <w:highlight w:val="none"/>
        </w:rPr>
      </w:pPr>
      <w:bookmarkStart w:id="1876" w:name="_Toc342296449"/>
      <w:bookmarkStart w:id="1877" w:name="_Toc152042443"/>
      <w:bookmarkStart w:id="1878" w:name="_Toc179632683"/>
      <w:bookmarkStart w:id="1879" w:name="_Toc503536277"/>
      <w:bookmarkStart w:id="1880" w:name="_Toc144974633"/>
      <w:bookmarkStart w:id="1881" w:name="_Toc454359366"/>
      <w:bookmarkStart w:id="1882" w:name="_Toc241459690"/>
      <w:bookmarkStart w:id="1883" w:name="_Toc152045665"/>
      <w:r>
        <w:rPr>
          <w:rFonts w:hint="eastAsia" w:ascii="宋体" w:hAnsi="宋体" w:cs="宋体"/>
          <w:highlight w:val="none"/>
        </w:rPr>
        <w:t>7.4 超大件和超重件的运输</w:t>
      </w:r>
      <w:bookmarkEnd w:id="1876"/>
      <w:bookmarkEnd w:id="1877"/>
      <w:bookmarkEnd w:id="1878"/>
      <w:bookmarkEnd w:id="1879"/>
      <w:bookmarkEnd w:id="1880"/>
      <w:bookmarkEnd w:id="1881"/>
      <w:bookmarkEnd w:id="1882"/>
      <w:bookmarkEnd w:id="1883"/>
    </w:p>
    <w:p w14:paraId="26B9964E">
      <w:pPr>
        <w:spacing w:line="360" w:lineRule="auto"/>
        <w:ind w:firstLine="420" w:firstLineChars="200"/>
        <w:rPr>
          <w:rFonts w:hint="eastAsia" w:ascii="宋体" w:hAnsi="宋体" w:cs="宋体"/>
          <w:highlight w:val="none"/>
        </w:rPr>
      </w:pPr>
      <w:bookmarkStart w:id="1884" w:name="_Toc152045666"/>
      <w:bookmarkStart w:id="1885" w:name="_Toc179632684"/>
      <w:bookmarkStart w:id="1886" w:name="_Toc144974634"/>
      <w:bookmarkStart w:id="1887" w:name="_Toc152042444"/>
      <w:r>
        <w:rPr>
          <w:rFonts w:hint="eastAsia" w:ascii="宋体" w:hAnsi="宋体" w:cs="宋体"/>
          <w:highlight w:val="none"/>
        </w:rPr>
        <w:t>运输超大件或超重件所需的道路和桥梁临时加固改造等费用的承担人：</w:t>
      </w:r>
      <w:r>
        <w:rPr>
          <w:rFonts w:hint="eastAsia" w:ascii="宋体" w:hAnsi="宋体" w:cs="宋体"/>
          <w:highlight w:val="none"/>
          <w:u w:val="single"/>
        </w:rPr>
        <w:t xml:space="preserve">  承包人，该费用计入投标报价  </w:t>
      </w:r>
      <w:r>
        <w:rPr>
          <w:rFonts w:hint="eastAsia" w:ascii="宋体" w:hAnsi="宋体" w:cs="宋体"/>
          <w:highlight w:val="none"/>
        </w:rPr>
        <w:t>。</w:t>
      </w:r>
      <w:bookmarkEnd w:id="1884"/>
      <w:bookmarkEnd w:id="1885"/>
      <w:bookmarkEnd w:id="1886"/>
      <w:bookmarkEnd w:id="1887"/>
    </w:p>
    <w:p w14:paraId="38C7FECF">
      <w:pPr>
        <w:rPr>
          <w:rFonts w:hint="eastAsia" w:ascii="宋体" w:hAnsi="宋体" w:cs="宋体"/>
          <w:highlight w:val="none"/>
        </w:rPr>
      </w:pPr>
      <w:bookmarkStart w:id="1888" w:name="_Toc4157317"/>
      <w:bookmarkStart w:id="1889" w:name="_Toc144974636"/>
      <w:bookmarkStart w:id="1890" w:name="_Toc152042446"/>
      <w:bookmarkStart w:id="1891" w:name="_Toc241459691"/>
      <w:bookmarkStart w:id="1892" w:name="_Toc179632686"/>
      <w:bookmarkStart w:id="1893" w:name="_Toc152045668"/>
      <w:bookmarkStart w:id="1894" w:name="_Toc21328"/>
      <w:bookmarkStart w:id="1895" w:name="_Toc342296450"/>
      <w:bookmarkStart w:id="1896" w:name="_Toc503536278"/>
      <w:r>
        <w:rPr>
          <w:rFonts w:hint="eastAsia" w:ascii="宋体" w:hAnsi="宋体" w:cs="宋体"/>
          <w:highlight w:val="none"/>
        </w:rPr>
        <w:t>8. 测量放线</w:t>
      </w:r>
      <w:bookmarkEnd w:id="1888"/>
      <w:bookmarkEnd w:id="1889"/>
      <w:bookmarkEnd w:id="1890"/>
      <w:bookmarkEnd w:id="1891"/>
      <w:bookmarkEnd w:id="1892"/>
      <w:bookmarkEnd w:id="1893"/>
      <w:bookmarkEnd w:id="1894"/>
      <w:bookmarkEnd w:id="1895"/>
      <w:bookmarkEnd w:id="1896"/>
    </w:p>
    <w:p w14:paraId="6B87282F">
      <w:pPr>
        <w:spacing w:line="360" w:lineRule="auto"/>
        <w:rPr>
          <w:rFonts w:hint="eastAsia" w:ascii="宋体" w:hAnsi="宋体" w:cs="宋体"/>
          <w:highlight w:val="none"/>
        </w:rPr>
      </w:pPr>
      <w:bookmarkStart w:id="1897" w:name="_Toc152042447"/>
      <w:bookmarkStart w:id="1898" w:name="_Toc503536279"/>
      <w:bookmarkStart w:id="1899" w:name="_Toc179632687"/>
      <w:bookmarkStart w:id="1900" w:name="_Toc241459692"/>
      <w:bookmarkStart w:id="1901" w:name="_Toc342296451"/>
      <w:bookmarkStart w:id="1902" w:name="_Toc144974637"/>
      <w:bookmarkStart w:id="1903" w:name="_Toc454359368"/>
      <w:bookmarkStart w:id="1904" w:name="_Toc152045669"/>
      <w:r>
        <w:rPr>
          <w:rFonts w:hint="eastAsia" w:ascii="宋体" w:hAnsi="宋体" w:cs="宋体"/>
          <w:highlight w:val="none"/>
        </w:rPr>
        <w:t>8.1 施工控制网</w:t>
      </w:r>
      <w:bookmarkEnd w:id="1897"/>
      <w:bookmarkEnd w:id="1898"/>
      <w:bookmarkEnd w:id="1899"/>
      <w:bookmarkEnd w:id="1900"/>
      <w:bookmarkEnd w:id="1901"/>
      <w:bookmarkEnd w:id="1902"/>
      <w:bookmarkEnd w:id="1903"/>
      <w:bookmarkEnd w:id="1904"/>
    </w:p>
    <w:p w14:paraId="3B1D7CE0">
      <w:pPr>
        <w:spacing w:line="360" w:lineRule="auto"/>
        <w:ind w:firstLine="420" w:firstLineChars="200"/>
        <w:rPr>
          <w:rFonts w:hint="eastAsia" w:ascii="宋体" w:hAnsi="宋体" w:cs="宋体"/>
          <w:highlight w:val="none"/>
        </w:rPr>
      </w:pPr>
      <w:r>
        <w:rPr>
          <w:rFonts w:hint="eastAsia" w:ascii="宋体" w:hAnsi="宋体" w:cs="宋体"/>
          <w:highlight w:val="none"/>
        </w:rPr>
        <w:t>8.1.1发包人通过监理人提供测量基准点、基准线和水准点及其书面资料的期限：</w:t>
      </w:r>
      <w:r>
        <w:rPr>
          <w:rFonts w:hint="eastAsia" w:ascii="宋体" w:hAnsi="宋体" w:cs="宋体"/>
          <w:highlight w:val="none"/>
          <w:u w:val="single"/>
        </w:rPr>
        <w:t>合同签订后7天内</w:t>
      </w:r>
      <w:r>
        <w:rPr>
          <w:rFonts w:hint="eastAsia" w:ascii="宋体" w:hAnsi="宋体" w:cs="宋体"/>
          <w:highlight w:val="none"/>
        </w:rPr>
        <w:t xml:space="preserve">。 </w:t>
      </w:r>
    </w:p>
    <w:p w14:paraId="754C6321">
      <w:pPr>
        <w:spacing w:line="360" w:lineRule="auto"/>
        <w:ind w:firstLine="420" w:firstLineChars="200"/>
        <w:rPr>
          <w:rFonts w:hint="eastAsia" w:ascii="宋体" w:hAnsi="宋体" w:cs="宋体"/>
          <w:highlight w:val="none"/>
        </w:rPr>
      </w:pPr>
      <w:r>
        <w:rPr>
          <w:rFonts w:hint="eastAsia" w:ascii="宋体" w:hAnsi="宋体" w:cs="宋体"/>
          <w:highlight w:val="none"/>
        </w:rPr>
        <w:t>承包人测设施工控制网的要求：</w:t>
      </w:r>
      <w:r>
        <w:rPr>
          <w:rFonts w:hint="eastAsia" w:ascii="宋体" w:hAnsi="宋体" w:cs="宋体"/>
          <w:highlight w:val="none"/>
          <w:u w:val="single"/>
        </w:rPr>
        <w:t xml:space="preserve">  依据监理人提供的测量基准点、基准线和水准点以及国家的工程测量技术规范和合同   </w:t>
      </w:r>
      <w:r>
        <w:rPr>
          <w:rFonts w:hint="eastAsia" w:ascii="宋体" w:hAnsi="宋体" w:cs="宋体"/>
          <w:highlight w:val="none"/>
        </w:rPr>
        <w:t xml:space="preserve">。 </w:t>
      </w:r>
    </w:p>
    <w:p w14:paraId="0E83ED51">
      <w:pPr>
        <w:spacing w:line="360" w:lineRule="auto"/>
        <w:ind w:firstLine="420" w:firstLineChars="200"/>
        <w:rPr>
          <w:rFonts w:hint="eastAsia" w:ascii="宋体" w:hAnsi="宋体" w:cs="宋体"/>
          <w:highlight w:val="none"/>
          <w:u w:val="single"/>
        </w:rPr>
      </w:pPr>
      <w:r>
        <w:rPr>
          <w:rFonts w:hint="eastAsia" w:ascii="宋体" w:hAnsi="宋体" w:cs="宋体"/>
          <w:highlight w:val="none"/>
        </w:rPr>
        <w:t>承包人将施工控制网资料报送监理人审批的期限：</w:t>
      </w:r>
      <w:r>
        <w:rPr>
          <w:rFonts w:hint="eastAsia" w:ascii="宋体" w:hAnsi="宋体" w:cs="宋体"/>
          <w:highlight w:val="none"/>
          <w:u w:val="single"/>
        </w:rPr>
        <w:t xml:space="preserve">  在收到监理人按照通用条款第11.1.1项发出的开工通知后7天内  </w:t>
      </w:r>
      <w:r>
        <w:rPr>
          <w:rFonts w:hint="eastAsia" w:ascii="宋体" w:hAnsi="宋体" w:cs="宋体"/>
          <w:highlight w:val="none"/>
        </w:rPr>
        <w:t xml:space="preserve">。 </w:t>
      </w:r>
    </w:p>
    <w:p w14:paraId="7633E782">
      <w:pPr>
        <w:rPr>
          <w:rFonts w:hint="eastAsia" w:ascii="宋体" w:hAnsi="宋体" w:cs="宋体"/>
          <w:highlight w:val="none"/>
        </w:rPr>
      </w:pPr>
      <w:bookmarkStart w:id="1905" w:name="_Toc152042451"/>
      <w:bookmarkStart w:id="1906" w:name="_Toc179632691"/>
      <w:bookmarkStart w:id="1907" w:name="_Toc26637"/>
      <w:bookmarkStart w:id="1908" w:name="_Toc152045673"/>
      <w:bookmarkStart w:id="1909" w:name="_Toc503536280"/>
      <w:bookmarkStart w:id="1910" w:name="_Toc144974641"/>
      <w:bookmarkStart w:id="1911" w:name="_Toc4157318"/>
      <w:bookmarkStart w:id="1912" w:name="_Toc342296452"/>
      <w:bookmarkStart w:id="1913" w:name="_Toc241459693"/>
      <w:r>
        <w:rPr>
          <w:rFonts w:hint="eastAsia" w:ascii="宋体" w:hAnsi="宋体" w:cs="宋体"/>
          <w:highlight w:val="none"/>
        </w:rPr>
        <w:t>9. 施工安全、治安保卫和环境保护</w:t>
      </w:r>
      <w:bookmarkEnd w:id="1905"/>
      <w:bookmarkEnd w:id="1906"/>
      <w:bookmarkEnd w:id="1907"/>
      <w:bookmarkEnd w:id="1908"/>
      <w:bookmarkEnd w:id="1909"/>
      <w:bookmarkEnd w:id="1910"/>
      <w:bookmarkEnd w:id="1911"/>
      <w:bookmarkEnd w:id="1912"/>
      <w:bookmarkEnd w:id="1913"/>
    </w:p>
    <w:p w14:paraId="40455113">
      <w:pPr>
        <w:spacing w:line="360" w:lineRule="auto"/>
        <w:rPr>
          <w:rFonts w:hint="eastAsia" w:ascii="宋体" w:hAnsi="宋体" w:cs="宋体"/>
          <w:highlight w:val="none"/>
        </w:rPr>
      </w:pPr>
      <w:bookmarkStart w:id="1914" w:name="_Toc342296453"/>
      <w:bookmarkStart w:id="1915" w:name="_Toc454359370"/>
      <w:bookmarkStart w:id="1916" w:name="_Toc241459694"/>
      <w:bookmarkStart w:id="1917" w:name="_Toc152042453"/>
      <w:bookmarkStart w:id="1918" w:name="_Toc152045675"/>
      <w:bookmarkStart w:id="1919" w:name="_Toc144974643"/>
      <w:bookmarkStart w:id="1920" w:name="_Toc503536281"/>
      <w:bookmarkStart w:id="1921" w:name="_Toc179632693"/>
      <w:r>
        <w:rPr>
          <w:rFonts w:hint="eastAsia" w:ascii="宋体" w:hAnsi="宋体" w:cs="宋体"/>
          <w:highlight w:val="none"/>
        </w:rPr>
        <w:t>9.2 承包人的施工安全责任</w:t>
      </w:r>
      <w:bookmarkEnd w:id="1914"/>
      <w:bookmarkEnd w:id="1915"/>
      <w:bookmarkEnd w:id="1916"/>
      <w:bookmarkEnd w:id="1917"/>
      <w:bookmarkEnd w:id="1918"/>
      <w:bookmarkEnd w:id="1919"/>
      <w:bookmarkEnd w:id="1920"/>
      <w:bookmarkEnd w:id="1921"/>
    </w:p>
    <w:p w14:paraId="3E4420A4">
      <w:pPr>
        <w:spacing w:line="360" w:lineRule="auto"/>
        <w:ind w:left="420" w:leftChars="200"/>
        <w:rPr>
          <w:rFonts w:hint="eastAsia" w:ascii="宋体" w:hAnsi="宋体" w:cs="宋体"/>
          <w:highlight w:val="none"/>
        </w:rPr>
      </w:pPr>
      <w:r>
        <w:rPr>
          <w:rFonts w:hint="eastAsia" w:ascii="宋体" w:hAnsi="宋体" w:cs="宋体"/>
          <w:highlight w:val="none"/>
        </w:rPr>
        <w:t>9.2.1承包人向监理人报送施工安全措施计划的期限：</w:t>
      </w:r>
      <w:r>
        <w:rPr>
          <w:rFonts w:hint="eastAsia" w:ascii="宋体" w:hAnsi="宋体" w:cs="宋体"/>
          <w:highlight w:val="none"/>
          <w:u w:val="single"/>
        </w:rPr>
        <w:t xml:space="preserve">  在收到监理人按照通用条款第11.1.1项发出的开工通知后7天内  </w:t>
      </w:r>
      <w:r>
        <w:rPr>
          <w:rFonts w:hint="eastAsia" w:ascii="宋体" w:hAnsi="宋体" w:cs="宋体"/>
          <w:highlight w:val="none"/>
        </w:rPr>
        <w:t>。</w:t>
      </w:r>
    </w:p>
    <w:p w14:paraId="56A50C24">
      <w:pPr>
        <w:spacing w:line="360" w:lineRule="auto"/>
        <w:ind w:left="420" w:leftChars="200"/>
        <w:rPr>
          <w:rFonts w:hint="eastAsia" w:ascii="宋体" w:hAnsi="宋体" w:cs="宋体"/>
          <w:highlight w:val="none"/>
        </w:rPr>
      </w:pPr>
      <w:r>
        <w:rPr>
          <w:rFonts w:hint="eastAsia" w:ascii="宋体" w:hAnsi="宋体" w:cs="宋体"/>
          <w:highlight w:val="none"/>
        </w:rPr>
        <w:t>监理人收到承包人报送的施工安全措施计划后应当在</w:t>
      </w:r>
      <w:r>
        <w:rPr>
          <w:rFonts w:hint="eastAsia" w:ascii="宋体" w:hAnsi="宋体" w:cs="宋体"/>
          <w:highlight w:val="none"/>
          <w:u w:val="single"/>
        </w:rPr>
        <w:t xml:space="preserve">  7  </w:t>
      </w:r>
      <w:r>
        <w:rPr>
          <w:rFonts w:hint="eastAsia" w:ascii="宋体" w:hAnsi="宋体" w:cs="宋体"/>
          <w:highlight w:val="none"/>
        </w:rPr>
        <w:t>天内给予批复。</w:t>
      </w:r>
    </w:p>
    <w:p w14:paraId="14CFB5BF">
      <w:pPr>
        <w:spacing w:line="360" w:lineRule="auto"/>
        <w:rPr>
          <w:rFonts w:hint="eastAsia" w:ascii="宋体" w:hAnsi="宋体" w:cs="宋体"/>
          <w:highlight w:val="none"/>
        </w:rPr>
      </w:pPr>
      <w:bookmarkStart w:id="1922" w:name="_Toc179632694"/>
      <w:bookmarkStart w:id="1923" w:name="_Toc152045676"/>
      <w:bookmarkStart w:id="1924" w:name="_Toc342296454"/>
      <w:bookmarkStart w:id="1925" w:name="_Toc152042454"/>
      <w:bookmarkStart w:id="1926" w:name="_Toc144974644"/>
      <w:bookmarkStart w:id="1927" w:name="_Toc241459695"/>
      <w:bookmarkStart w:id="1928" w:name="_Toc454359371"/>
      <w:bookmarkStart w:id="1929" w:name="_Toc503536282"/>
      <w:r>
        <w:rPr>
          <w:rFonts w:hint="eastAsia" w:ascii="宋体" w:hAnsi="宋体" w:cs="宋体"/>
          <w:highlight w:val="none"/>
        </w:rPr>
        <w:t>9.3 治安保卫</w:t>
      </w:r>
      <w:bookmarkEnd w:id="1922"/>
      <w:bookmarkEnd w:id="1923"/>
      <w:bookmarkEnd w:id="1924"/>
      <w:bookmarkEnd w:id="1925"/>
      <w:bookmarkEnd w:id="1926"/>
      <w:bookmarkEnd w:id="1927"/>
      <w:bookmarkEnd w:id="1928"/>
      <w:bookmarkEnd w:id="1929"/>
    </w:p>
    <w:p w14:paraId="7F7C0CBE">
      <w:pPr>
        <w:spacing w:line="360" w:lineRule="auto"/>
        <w:ind w:firstLine="400" w:firstLineChars="200"/>
        <w:rPr>
          <w:rFonts w:hint="eastAsia" w:ascii="宋体" w:hAnsi="宋体" w:cs="宋体"/>
          <w:highlight w:val="none"/>
        </w:rPr>
      </w:pPr>
      <w:bookmarkStart w:id="1930" w:name="_Toc144974645"/>
      <w:bookmarkStart w:id="1931" w:name="_Toc179632695"/>
      <w:bookmarkStart w:id="1932" w:name="_Toc152042455"/>
      <w:bookmarkStart w:id="1933" w:name="_Toc152045677"/>
      <w:r>
        <w:rPr>
          <w:rFonts w:hint="eastAsia" w:ascii="宋体" w:hAnsi="宋体" w:cs="宋体"/>
          <w:spacing w:val="-5"/>
          <w:highlight w:val="none"/>
        </w:rPr>
        <w:t>9.3.1承包人应当负责统一管理施工场地的治安保卫事项，履行合同工程的治安保卫职责。</w:t>
      </w:r>
    </w:p>
    <w:p w14:paraId="5501C33E">
      <w:pPr>
        <w:spacing w:line="360" w:lineRule="auto"/>
        <w:ind w:left="420" w:leftChars="200"/>
        <w:rPr>
          <w:rFonts w:hint="eastAsia" w:ascii="宋体" w:hAnsi="宋体" w:cs="宋体"/>
          <w:highlight w:val="none"/>
        </w:rPr>
      </w:pPr>
      <w:r>
        <w:rPr>
          <w:rFonts w:hint="eastAsia" w:ascii="宋体" w:hAnsi="宋体" w:cs="宋体"/>
          <w:highlight w:val="none"/>
        </w:rPr>
        <w:t>9.3.3施工场地治安管理计划和突发治安事件紧急预案的编制责任人：</w:t>
      </w:r>
      <w:r>
        <w:rPr>
          <w:rFonts w:hint="eastAsia" w:ascii="宋体" w:hAnsi="宋体" w:cs="宋体"/>
          <w:highlight w:val="none"/>
          <w:u w:val="single"/>
        </w:rPr>
        <w:t xml:space="preserve">  承包人  </w:t>
      </w:r>
      <w:r>
        <w:rPr>
          <w:rFonts w:hint="eastAsia" w:ascii="宋体" w:hAnsi="宋体" w:cs="宋体"/>
          <w:highlight w:val="none"/>
        </w:rPr>
        <w:t>。</w:t>
      </w:r>
      <w:bookmarkEnd w:id="1930"/>
      <w:bookmarkEnd w:id="1931"/>
      <w:bookmarkEnd w:id="1932"/>
      <w:bookmarkEnd w:id="1933"/>
    </w:p>
    <w:p w14:paraId="3FAC02DB">
      <w:pPr>
        <w:spacing w:line="360" w:lineRule="auto"/>
        <w:rPr>
          <w:rFonts w:hint="eastAsia" w:ascii="宋体" w:hAnsi="宋体" w:cs="宋体"/>
          <w:highlight w:val="none"/>
        </w:rPr>
      </w:pPr>
      <w:bookmarkStart w:id="1934" w:name="_Toc342296455"/>
      <w:bookmarkStart w:id="1935" w:name="_Toc503536283"/>
      <w:bookmarkStart w:id="1936" w:name="_Toc241459696"/>
      <w:bookmarkStart w:id="1937" w:name="_Toc454359372"/>
      <w:bookmarkStart w:id="1938" w:name="_Toc152042457"/>
      <w:bookmarkStart w:id="1939" w:name="_Toc179632697"/>
      <w:bookmarkStart w:id="1940" w:name="_Toc152045679"/>
      <w:bookmarkStart w:id="1941" w:name="_Toc144974647"/>
      <w:r>
        <w:rPr>
          <w:rFonts w:hint="eastAsia" w:ascii="宋体" w:hAnsi="宋体" w:cs="宋体"/>
          <w:highlight w:val="none"/>
        </w:rPr>
        <w:t>9.4 环境保护</w:t>
      </w:r>
      <w:bookmarkEnd w:id="1934"/>
      <w:bookmarkEnd w:id="1935"/>
      <w:bookmarkEnd w:id="1936"/>
      <w:bookmarkEnd w:id="1937"/>
    </w:p>
    <w:p w14:paraId="44F66386">
      <w:pPr>
        <w:spacing w:line="360" w:lineRule="auto"/>
        <w:ind w:left="420" w:leftChars="200"/>
        <w:rPr>
          <w:rFonts w:hint="eastAsia" w:ascii="宋体" w:hAnsi="宋体" w:cs="宋体"/>
          <w:highlight w:val="none"/>
        </w:rPr>
      </w:pPr>
      <w:r>
        <w:rPr>
          <w:rFonts w:hint="eastAsia" w:ascii="宋体" w:hAnsi="宋体" w:cs="宋体"/>
          <w:highlight w:val="none"/>
        </w:rPr>
        <w:t>9.4.2施工环保措施计划报送监理人审批的时间：</w:t>
      </w:r>
      <w:r>
        <w:rPr>
          <w:rFonts w:hint="eastAsia" w:ascii="宋体" w:hAnsi="宋体" w:cs="宋体"/>
          <w:highlight w:val="none"/>
          <w:u w:val="single"/>
        </w:rPr>
        <w:t xml:space="preserve">    签订合同后7天内     </w:t>
      </w:r>
      <w:r>
        <w:rPr>
          <w:rFonts w:hint="eastAsia" w:ascii="宋体" w:hAnsi="宋体" w:cs="宋体"/>
          <w:highlight w:val="none"/>
        </w:rPr>
        <w:t>。</w:t>
      </w:r>
    </w:p>
    <w:p w14:paraId="3B54EEF6">
      <w:pPr>
        <w:spacing w:line="360" w:lineRule="auto"/>
        <w:ind w:left="420" w:leftChars="200"/>
        <w:rPr>
          <w:rFonts w:hint="eastAsia" w:ascii="宋体" w:hAnsi="宋体" w:cs="宋体"/>
          <w:highlight w:val="none"/>
        </w:rPr>
      </w:pPr>
      <w:r>
        <w:rPr>
          <w:rFonts w:hint="eastAsia" w:ascii="宋体" w:hAnsi="宋体" w:cs="宋体"/>
          <w:highlight w:val="none"/>
        </w:rPr>
        <w:t>监理人收到承包人报送的施工环保措施计划后应当在</w:t>
      </w:r>
      <w:r>
        <w:rPr>
          <w:rFonts w:hint="eastAsia" w:ascii="宋体" w:hAnsi="宋体" w:cs="宋体"/>
          <w:highlight w:val="none"/>
          <w:u w:val="single"/>
        </w:rPr>
        <w:t xml:space="preserve">  7  </w:t>
      </w:r>
      <w:r>
        <w:rPr>
          <w:rFonts w:hint="eastAsia" w:ascii="宋体" w:hAnsi="宋体" w:cs="宋体"/>
          <w:highlight w:val="none"/>
        </w:rPr>
        <w:t>天内给予批复。</w:t>
      </w:r>
    </w:p>
    <w:p w14:paraId="446020B1">
      <w:pPr>
        <w:spacing w:line="360" w:lineRule="auto"/>
        <w:ind w:left="420" w:leftChars="200"/>
        <w:rPr>
          <w:rFonts w:hint="eastAsia" w:ascii="宋体" w:hAnsi="宋体" w:cs="宋体"/>
          <w:highlight w:val="none"/>
        </w:rPr>
      </w:pPr>
      <w:bookmarkStart w:id="1942" w:name="_Toc10235587"/>
      <w:r>
        <w:rPr>
          <w:rFonts w:hint="eastAsia" w:ascii="宋体" w:hAnsi="宋体" w:cs="宋体"/>
          <w:highlight w:val="none"/>
        </w:rPr>
        <w:t>9.5  施工现场安全生产标准化管理目标</w:t>
      </w:r>
      <w:bookmarkEnd w:id="1942"/>
    </w:p>
    <w:p w14:paraId="36D31186">
      <w:pPr>
        <w:spacing w:line="360" w:lineRule="auto"/>
        <w:ind w:left="420" w:leftChars="200"/>
        <w:rPr>
          <w:rFonts w:hint="eastAsia" w:ascii="宋体" w:hAnsi="宋体" w:cs="宋体"/>
          <w:highlight w:val="none"/>
          <w:u w:val="single"/>
        </w:rPr>
      </w:pPr>
      <w:r>
        <w:rPr>
          <w:rFonts w:hint="eastAsia" w:ascii="宋体" w:hAnsi="宋体" w:cs="宋体"/>
          <w:highlight w:val="none"/>
        </w:rPr>
        <w:t>9.5.1未达到合同协议书中约定的安全生产标准化管理目标等级的违约金或损失赔偿金的金额或者计算方法：</w:t>
      </w:r>
      <w:r>
        <w:rPr>
          <w:rFonts w:hint="eastAsia" w:ascii="宋体" w:hAnsi="宋体" w:cs="宋体"/>
          <w:highlight w:val="none"/>
          <w:u w:val="single"/>
        </w:rPr>
        <w:t>承包人支付的违约金或损失赔偿金不高于合同约定的标准化管理目标等级和实际考核评定、认定目标等级之间的所需投入费用的差额。A=（1-K1÷K2）*F其中：A—计算的违约赔偿金K1—标准化考评认定等级对应《安全文明施工管理办法》规定的标准费率K2-合同约定的管理目标对应《安全文明施工管理办法》规定的标准费率F——合同中载明的安全文明施工费总额</w:t>
      </w:r>
    </w:p>
    <w:p w14:paraId="5A5418BF">
      <w:pPr>
        <w:spacing w:line="360" w:lineRule="auto"/>
        <w:ind w:left="420" w:leftChars="200"/>
        <w:rPr>
          <w:rFonts w:hint="eastAsia" w:ascii="宋体" w:hAnsi="宋体" w:cs="宋体"/>
          <w:highlight w:val="none"/>
          <w:u w:val="single"/>
        </w:rPr>
      </w:pPr>
      <w:r>
        <w:rPr>
          <w:rFonts w:hint="eastAsia" w:ascii="宋体" w:hAnsi="宋体" w:cs="宋体"/>
          <w:highlight w:val="none"/>
        </w:rPr>
        <w:t>9.5.2 发包人不给予（给予/不给予）承包人创优奖励。发包人给予承包人创优奖励的，创优奖励金额或者计算方法：</w:t>
      </w:r>
      <w:r>
        <w:rPr>
          <w:rFonts w:hint="eastAsia" w:ascii="宋体" w:hAnsi="宋体" w:cs="宋体"/>
          <w:highlight w:val="none"/>
          <w:u w:val="single"/>
        </w:rPr>
        <w:t xml:space="preserve">  /  </w:t>
      </w:r>
    </w:p>
    <w:p w14:paraId="674633C5">
      <w:pPr>
        <w:spacing w:line="360" w:lineRule="auto"/>
        <w:ind w:left="420" w:leftChars="200"/>
        <w:rPr>
          <w:rFonts w:hint="eastAsia" w:ascii="宋体" w:hAnsi="宋体" w:cs="宋体"/>
          <w:highlight w:val="none"/>
          <w:u w:val="single"/>
        </w:rPr>
      </w:pPr>
      <w:bookmarkStart w:id="1943" w:name="_Toc10235588"/>
      <w:r>
        <w:rPr>
          <w:rFonts w:hint="eastAsia" w:ascii="宋体" w:hAnsi="宋体" w:cs="宋体"/>
          <w:highlight w:val="none"/>
        </w:rPr>
        <w:t>9.6  特殊安全文明施工</w:t>
      </w:r>
      <w:bookmarkEnd w:id="1943"/>
    </w:p>
    <w:p w14:paraId="0B3D0B59">
      <w:pPr>
        <w:spacing w:line="360" w:lineRule="auto"/>
        <w:ind w:left="420" w:leftChars="200"/>
        <w:rPr>
          <w:rFonts w:hint="eastAsia" w:ascii="宋体" w:hAnsi="宋体" w:cs="宋体"/>
          <w:highlight w:val="none"/>
          <w:u w:val="single"/>
        </w:rPr>
      </w:pPr>
      <w:r>
        <w:rPr>
          <w:rFonts w:hint="eastAsia" w:ascii="宋体" w:hAnsi="宋体" w:cs="宋体"/>
          <w:highlight w:val="none"/>
        </w:rPr>
        <w:t>9.6.1 </w:t>
      </w:r>
      <w:r>
        <w:rPr>
          <w:rFonts w:hint="eastAsia" w:ascii="宋体" w:hAnsi="宋体" w:cs="宋体"/>
          <w:highlight w:val="none"/>
          <w:u w:val="single"/>
        </w:rPr>
        <w:t xml:space="preserve">未达到合同约定的特殊安全文明施工要求的违约金或损失赔偿金的金额或者计算方法： /    </w:t>
      </w:r>
    </w:p>
    <w:p w14:paraId="6BF228A0">
      <w:pPr>
        <w:spacing w:line="360" w:lineRule="auto"/>
        <w:ind w:left="420" w:leftChars="200"/>
        <w:rPr>
          <w:rFonts w:hint="eastAsia" w:ascii="宋体" w:hAnsi="宋体" w:cs="宋体"/>
          <w:highlight w:val="none"/>
          <w:u w:val="single"/>
        </w:rPr>
      </w:pPr>
      <w:r>
        <w:rPr>
          <w:rFonts w:hint="eastAsia" w:ascii="宋体" w:hAnsi="宋体" w:cs="宋体"/>
          <w:highlight w:val="none"/>
        </w:rPr>
        <w:t>9.6.2 </w:t>
      </w:r>
      <w:r>
        <w:rPr>
          <w:rFonts w:hint="eastAsia" w:ascii="宋体" w:hAnsi="宋体" w:cs="宋体"/>
          <w:highlight w:val="none"/>
          <w:u w:val="single"/>
        </w:rPr>
        <w:t xml:space="preserve">发包人 / （给予/不给予）承包人创优奖励。发包人给予承包人创优奖励的，创优奖励金额或者计算方法：     /       </w:t>
      </w:r>
    </w:p>
    <w:p w14:paraId="440D6F98">
      <w:pPr>
        <w:rPr>
          <w:rFonts w:hint="eastAsia" w:ascii="宋体" w:hAnsi="宋体" w:cs="宋体"/>
          <w:highlight w:val="none"/>
        </w:rPr>
      </w:pPr>
      <w:bookmarkStart w:id="1944" w:name="_Toc342296456"/>
      <w:bookmarkStart w:id="1945" w:name="_Toc241459697"/>
      <w:bookmarkStart w:id="1946" w:name="_Toc503536284"/>
      <w:bookmarkStart w:id="1947" w:name="_Toc4157319"/>
      <w:bookmarkStart w:id="1948" w:name="_Toc26516"/>
      <w:r>
        <w:rPr>
          <w:rFonts w:hint="eastAsia" w:ascii="宋体" w:hAnsi="宋体" w:cs="宋体"/>
          <w:highlight w:val="none"/>
        </w:rPr>
        <w:t>10. 进度计划</w:t>
      </w:r>
      <w:bookmarkEnd w:id="1938"/>
      <w:bookmarkEnd w:id="1939"/>
      <w:bookmarkEnd w:id="1940"/>
      <w:bookmarkEnd w:id="1941"/>
      <w:bookmarkEnd w:id="1944"/>
      <w:bookmarkEnd w:id="1945"/>
      <w:bookmarkEnd w:id="1946"/>
      <w:bookmarkEnd w:id="1947"/>
      <w:bookmarkEnd w:id="1948"/>
    </w:p>
    <w:p w14:paraId="527F0298">
      <w:pPr>
        <w:spacing w:line="360" w:lineRule="auto"/>
        <w:rPr>
          <w:rFonts w:hint="eastAsia" w:ascii="宋体" w:hAnsi="宋体" w:cs="宋体"/>
          <w:highlight w:val="none"/>
        </w:rPr>
      </w:pPr>
      <w:bookmarkStart w:id="1949" w:name="_Toc454359374"/>
      <w:bookmarkStart w:id="1950" w:name="_Toc241459698"/>
      <w:bookmarkStart w:id="1951" w:name="_Toc144974648"/>
      <w:bookmarkStart w:id="1952" w:name="_Toc179632698"/>
      <w:bookmarkStart w:id="1953" w:name="_Toc152045680"/>
      <w:bookmarkStart w:id="1954" w:name="_Toc503536285"/>
      <w:bookmarkStart w:id="1955" w:name="_Toc152042458"/>
      <w:bookmarkStart w:id="1956" w:name="_Toc342296457"/>
      <w:r>
        <w:rPr>
          <w:rFonts w:hint="eastAsia" w:ascii="宋体" w:hAnsi="宋体" w:cs="宋体"/>
          <w:highlight w:val="none"/>
        </w:rPr>
        <w:t>10.1 合同进度计划</w:t>
      </w:r>
      <w:bookmarkEnd w:id="1949"/>
      <w:bookmarkEnd w:id="1950"/>
      <w:bookmarkEnd w:id="1951"/>
      <w:bookmarkEnd w:id="1952"/>
      <w:bookmarkEnd w:id="1953"/>
      <w:bookmarkEnd w:id="1954"/>
      <w:bookmarkEnd w:id="1955"/>
      <w:bookmarkEnd w:id="1956"/>
    </w:p>
    <w:p w14:paraId="6D935C08">
      <w:pPr>
        <w:spacing w:line="360" w:lineRule="auto"/>
        <w:ind w:firstLine="420" w:firstLineChars="200"/>
        <w:rPr>
          <w:rFonts w:hint="eastAsia" w:ascii="宋体" w:hAnsi="宋体" w:cs="宋体"/>
          <w:highlight w:val="none"/>
        </w:rPr>
      </w:pPr>
      <w:r>
        <w:rPr>
          <w:rFonts w:hint="eastAsia" w:ascii="宋体" w:hAnsi="宋体" w:cs="宋体"/>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cs="宋体"/>
          <w:highlight w:val="none"/>
          <w:u w:val="single"/>
        </w:rPr>
        <w:t xml:space="preserve">施工总体进度计划及保障措施、质量目标和质量保证措施、安全防护及文明施工措施、主要分部分项工程施工方案和技术措施、突发事件的应急预案、成品保护措施等内容 </w:t>
      </w:r>
      <w:r>
        <w:rPr>
          <w:rFonts w:hint="eastAsia" w:ascii="宋体" w:hAnsi="宋体" w:cs="宋体"/>
          <w:highlight w:val="none"/>
        </w:rPr>
        <w:t xml:space="preserve"> ， 施工进度计划中还应载明要求发包人组织设计人进行阶段性工程设计交底的时间。</w:t>
      </w:r>
    </w:p>
    <w:p w14:paraId="493E7E71">
      <w:pPr>
        <w:spacing w:line="360" w:lineRule="auto"/>
        <w:ind w:firstLine="420" w:firstLineChars="200"/>
        <w:rPr>
          <w:rFonts w:hint="eastAsia" w:ascii="宋体" w:hAnsi="宋体" w:cs="宋体"/>
          <w:highlight w:val="none"/>
        </w:rPr>
      </w:pPr>
      <w:r>
        <w:rPr>
          <w:rFonts w:hint="eastAsia" w:ascii="宋体" w:hAnsi="宋体" w:cs="宋体"/>
          <w:highlight w:val="none"/>
        </w:rPr>
        <w:t>（2）监理人批复或对施工进度计划和施工方案说明提出修改意见的期限：自监理人收到承包人报送的相关进度计划和施工方案说明后14天内。</w:t>
      </w:r>
    </w:p>
    <w:p w14:paraId="7D857F4D">
      <w:pPr>
        <w:spacing w:line="360" w:lineRule="auto"/>
        <w:ind w:left="420" w:leftChars="200"/>
        <w:rPr>
          <w:rFonts w:hint="eastAsia" w:ascii="宋体" w:hAnsi="宋体" w:cs="宋体"/>
          <w:highlight w:val="none"/>
        </w:rPr>
      </w:pPr>
      <w:r>
        <w:rPr>
          <w:rFonts w:hint="eastAsia" w:ascii="宋体" w:hAnsi="宋体" w:cs="宋体"/>
          <w:highlight w:val="none"/>
        </w:rPr>
        <w:t>（3）承包人编制分阶段或分项施工进度计划和施工方案说明的内容：</w:t>
      </w:r>
      <w:r>
        <w:rPr>
          <w:rFonts w:hint="eastAsia" w:ascii="宋体" w:hAnsi="宋体" w:cs="宋体"/>
          <w:highlight w:val="none"/>
          <w:u w:val="single"/>
        </w:rPr>
        <w:t xml:space="preserve">   /     </w:t>
      </w:r>
      <w:r>
        <w:rPr>
          <w:rFonts w:hint="eastAsia" w:ascii="宋体" w:hAnsi="宋体" w:cs="宋体"/>
          <w:highlight w:val="none"/>
        </w:rPr>
        <w:t>。</w:t>
      </w:r>
    </w:p>
    <w:p w14:paraId="0571AD67">
      <w:pPr>
        <w:spacing w:line="360" w:lineRule="auto"/>
        <w:ind w:left="420" w:leftChars="200" w:firstLine="210" w:firstLineChars="100"/>
        <w:rPr>
          <w:rFonts w:hint="eastAsia" w:ascii="宋体" w:hAnsi="宋体" w:cs="宋体"/>
          <w:highlight w:val="none"/>
        </w:rPr>
      </w:pPr>
      <w:r>
        <w:rPr>
          <w:rFonts w:hint="eastAsia" w:ascii="宋体" w:hAnsi="宋体" w:cs="宋体"/>
          <w:highlight w:val="none"/>
        </w:rPr>
        <w:t>承包人报送分阶段或分项施工进度计划和施工方案说明的期限：</w:t>
      </w:r>
      <w:r>
        <w:rPr>
          <w:rFonts w:hint="eastAsia" w:ascii="宋体" w:hAnsi="宋体" w:cs="宋体"/>
          <w:highlight w:val="none"/>
          <w:u w:val="single"/>
        </w:rPr>
        <w:t xml:space="preserve">     /    </w:t>
      </w:r>
      <w:r>
        <w:rPr>
          <w:rFonts w:hint="eastAsia" w:ascii="宋体" w:hAnsi="宋体" w:cs="宋体"/>
          <w:highlight w:val="none"/>
        </w:rPr>
        <w:t>。</w:t>
      </w:r>
    </w:p>
    <w:p w14:paraId="751608C7">
      <w:pPr>
        <w:spacing w:line="360" w:lineRule="auto"/>
        <w:ind w:firstLine="420" w:firstLineChars="200"/>
        <w:rPr>
          <w:rFonts w:hint="eastAsia" w:ascii="宋体" w:hAnsi="宋体" w:cs="宋体"/>
          <w:highlight w:val="none"/>
        </w:rPr>
      </w:pPr>
      <w:r>
        <w:rPr>
          <w:rFonts w:hint="eastAsia" w:ascii="宋体" w:hAnsi="宋体" w:cs="宋体"/>
          <w:highlight w:val="none"/>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cs="宋体"/>
          <w:highlight w:val="none"/>
          <w:u w:val="single"/>
        </w:rPr>
        <w:t xml:space="preserve">  /  </w:t>
      </w:r>
      <w:r>
        <w:rPr>
          <w:rFonts w:hint="eastAsia" w:ascii="宋体" w:hAnsi="宋体" w:cs="宋体"/>
          <w:highlight w:val="none"/>
        </w:rPr>
        <w:t>。</w:t>
      </w:r>
    </w:p>
    <w:p w14:paraId="695BBB9E">
      <w:pPr>
        <w:spacing w:line="360" w:lineRule="auto"/>
        <w:rPr>
          <w:rFonts w:hint="eastAsia" w:ascii="宋体" w:hAnsi="宋体" w:cs="宋体"/>
          <w:highlight w:val="none"/>
        </w:rPr>
      </w:pPr>
      <w:bookmarkStart w:id="1957" w:name="_Toc342296458"/>
      <w:bookmarkStart w:id="1958" w:name="_Toc179632699"/>
      <w:bookmarkStart w:id="1959" w:name="_Toc144974649"/>
      <w:bookmarkStart w:id="1960" w:name="_Toc241459699"/>
      <w:bookmarkStart w:id="1961" w:name="_Toc152042459"/>
      <w:bookmarkStart w:id="1962" w:name="_Toc454359375"/>
      <w:bookmarkStart w:id="1963" w:name="_Toc152045681"/>
      <w:bookmarkStart w:id="1964" w:name="_Toc503536286"/>
      <w:r>
        <w:rPr>
          <w:rFonts w:hint="eastAsia" w:ascii="宋体" w:hAnsi="宋体" w:cs="宋体"/>
          <w:highlight w:val="none"/>
        </w:rPr>
        <w:t>10.2 合同进度计划的修订</w:t>
      </w:r>
      <w:bookmarkEnd w:id="1957"/>
      <w:bookmarkEnd w:id="1958"/>
      <w:bookmarkEnd w:id="1959"/>
      <w:bookmarkEnd w:id="1960"/>
      <w:bookmarkEnd w:id="1961"/>
      <w:bookmarkEnd w:id="1962"/>
      <w:bookmarkEnd w:id="1963"/>
      <w:bookmarkEnd w:id="1964"/>
    </w:p>
    <w:p w14:paraId="7F398A04">
      <w:pPr>
        <w:spacing w:line="360" w:lineRule="auto"/>
        <w:ind w:left="420" w:leftChars="200"/>
        <w:rPr>
          <w:rFonts w:hint="eastAsia" w:ascii="宋体" w:hAnsi="宋体" w:cs="宋体"/>
          <w:highlight w:val="none"/>
        </w:rPr>
      </w:pPr>
      <w:r>
        <w:rPr>
          <w:rFonts w:hint="eastAsia" w:ascii="宋体" w:hAnsi="宋体" w:cs="宋体"/>
          <w:highlight w:val="none"/>
        </w:rPr>
        <w:t>（1）承包人报送修订合同进度计划申请报告和相关资料的期限：</w:t>
      </w:r>
      <w:r>
        <w:rPr>
          <w:rFonts w:hint="eastAsia" w:ascii="宋体" w:hAnsi="宋体" w:cs="宋体"/>
          <w:highlight w:val="none"/>
          <w:u w:val="single"/>
        </w:rPr>
        <w:t xml:space="preserve"> 签订合同后7天内 </w:t>
      </w:r>
      <w:r>
        <w:rPr>
          <w:rFonts w:hint="eastAsia" w:ascii="宋体" w:hAnsi="宋体" w:cs="宋体"/>
          <w:highlight w:val="none"/>
        </w:rPr>
        <w:t>。</w:t>
      </w:r>
    </w:p>
    <w:p w14:paraId="5D70B1B0">
      <w:pPr>
        <w:spacing w:line="360" w:lineRule="auto"/>
        <w:ind w:left="420" w:leftChars="200"/>
        <w:rPr>
          <w:rFonts w:hint="eastAsia" w:ascii="宋体" w:hAnsi="宋体" w:cs="宋体"/>
          <w:highlight w:val="none"/>
        </w:rPr>
      </w:pPr>
      <w:r>
        <w:rPr>
          <w:rFonts w:hint="eastAsia" w:ascii="宋体" w:hAnsi="宋体" w:cs="宋体"/>
          <w:highlight w:val="none"/>
        </w:rPr>
        <w:t>（2）监理人批复修订合同进度计划申请报告的期限：</w:t>
      </w:r>
      <w:r>
        <w:rPr>
          <w:rFonts w:hint="eastAsia" w:ascii="宋体" w:hAnsi="宋体" w:cs="宋体"/>
          <w:highlight w:val="none"/>
          <w:u w:val="single"/>
        </w:rPr>
        <w:t xml:space="preserve">   收到承包人报送的修订合同进度计划申请报告和相关资料后7天内  </w:t>
      </w:r>
      <w:r>
        <w:rPr>
          <w:rFonts w:hint="eastAsia" w:ascii="宋体" w:hAnsi="宋体" w:cs="宋体"/>
          <w:highlight w:val="none"/>
        </w:rPr>
        <w:t>。</w:t>
      </w:r>
    </w:p>
    <w:p w14:paraId="475D9F0E">
      <w:pPr>
        <w:spacing w:line="360" w:lineRule="auto"/>
        <w:ind w:left="420" w:leftChars="200"/>
        <w:rPr>
          <w:rFonts w:hint="eastAsia" w:ascii="宋体" w:hAnsi="宋体" w:cs="宋体"/>
          <w:highlight w:val="none"/>
          <w:u w:val="single"/>
        </w:rPr>
      </w:pPr>
      <w:r>
        <w:rPr>
          <w:rFonts w:hint="eastAsia" w:ascii="宋体" w:hAnsi="宋体" w:cs="宋体"/>
          <w:highlight w:val="none"/>
        </w:rPr>
        <w:t>（3）监理人批复修订合同进度计划的期限：</w:t>
      </w:r>
      <w:r>
        <w:rPr>
          <w:rFonts w:hint="eastAsia" w:ascii="宋体" w:hAnsi="宋体" w:cs="宋体"/>
          <w:highlight w:val="none"/>
          <w:u w:val="single"/>
        </w:rPr>
        <w:t xml:space="preserve">  收到承包人报送的修订合同进度计划申请报告和相关资料后7天内  </w:t>
      </w:r>
      <w:r>
        <w:rPr>
          <w:rFonts w:hint="eastAsia" w:ascii="宋体" w:hAnsi="宋体" w:cs="宋体"/>
          <w:highlight w:val="none"/>
        </w:rPr>
        <w:t>。</w:t>
      </w:r>
    </w:p>
    <w:p w14:paraId="6DABA810">
      <w:pPr>
        <w:rPr>
          <w:rFonts w:hint="eastAsia" w:ascii="宋体" w:hAnsi="宋体" w:cs="宋体"/>
          <w:highlight w:val="none"/>
        </w:rPr>
      </w:pPr>
      <w:bookmarkStart w:id="1965" w:name="_Toc241459700"/>
      <w:bookmarkStart w:id="1966" w:name="_Toc152042460"/>
      <w:bookmarkStart w:id="1967" w:name="_Toc16184"/>
      <w:bookmarkStart w:id="1968" w:name="_Toc144974650"/>
      <w:bookmarkStart w:id="1969" w:name="_Toc4157320"/>
      <w:bookmarkStart w:id="1970" w:name="_Toc179632700"/>
      <w:bookmarkStart w:id="1971" w:name="_Toc152045682"/>
      <w:bookmarkStart w:id="1972" w:name="_Toc503536287"/>
      <w:bookmarkStart w:id="1973" w:name="_Toc342296459"/>
      <w:r>
        <w:rPr>
          <w:rFonts w:hint="eastAsia" w:ascii="宋体" w:hAnsi="宋体" w:cs="宋体"/>
          <w:highlight w:val="none"/>
        </w:rPr>
        <w:t>11. 开工和竣工</w:t>
      </w:r>
      <w:bookmarkEnd w:id="1965"/>
      <w:bookmarkEnd w:id="1966"/>
      <w:bookmarkEnd w:id="1967"/>
      <w:bookmarkEnd w:id="1968"/>
      <w:bookmarkEnd w:id="1969"/>
      <w:bookmarkEnd w:id="1970"/>
      <w:bookmarkEnd w:id="1971"/>
      <w:bookmarkEnd w:id="1972"/>
      <w:bookmarkEnd w:id="1973"/>
    </w:p>
    <w:p w14:paraId="6D5B4EB1">
      <w:pPr>
        <w:spacing w:line="360" w:lineRule="auto"/>
        <w:rPr>
          <w:rFonts w:hint="eastAsia" w:ascii="宋体" w:hAnsi="宋体" w:cs="宋体"/>
          <w:highlight w:val="none"/>
        </w:rPr>
      </w:pPr>
      <w:bookmarkStart w:id="1974" w:name="_Toc241459701"/>
      <w:bookmarkStart w:id="1975" w:name="_Toc454359377"/>
      <w:bookmarkStart w:id="1976" w:name="_Toc503536288"/>
      <w:bookmarkStart w:id="1977" w:name="_Toc144974653"/>
      <w:bookmarkStart w:id="1978" w:name="_Toc152042463"/>
      <w:bookmarkStart w:id="1979" w:name="_Toc179632703"/>
      <w:bookmarkStart w:id="1980" w:name="_Toc342296460"/>
      <w:bookmarkStart w:id="1981" w:name="_Toc152045685"/>
      <w:r>
        <w:rPr>
          <w:rFonts w:hint="eastAsia" w:ascii="宋体" w:hAnsi="宋体" w:cs="宋体"/>
          <w:highlight w:val="none"/>
        </w:rPr>
        <w:t>11.3 发包人的工期延误</w:t>
      </w:r>
      <w:bookmarkEnd w:id="1974"/>
      <w:bookmarkEnd w:id="1975"/>
      <w:bookmarkEnd w:id="1976"/>
      <w:bookmarkEnd w:id="1977"/>
      <w:bookmarkEnd w:id="1978"/>
      <w:bookmarkEnd w:id="1979"/>
      <w:bookmarkEnd w:id="1980"/>
      <w:bookmarkEnd w:id="1981"/>
    </w:p>
    <w:p w14:paraId="62E6D742">
      <w:pPr>
        <w:spacing w:line="360" w:lineRule="auto"/>
        <w:ind w:firstLine="420" w:firstLineChars="200"/>
        <w:rPr>
          <w:rFonts w:hint="eastAsia" w:ascii="宋体" w:hAnsi="宋体" w:cs="宋体"/>
          <w:highlight w:val="none"/>
        </w:rPr>
      </w:pPr>
      <w:r>
        <w:rPr>
          <w:rFonts w:hint="eastAsia" w:ascii="宋体" w:hAnsi="宋体" w:cs="宋体"/>
          <w:highlight w:val="none"/>
        </w:rPr>
        <w:t>(7) 因发包人原因不能按照监理人发出的开工通知中载明的开工日期开工。除发包人原因延期开工外，发包人造成工期延误的其他原因还包括：</w:t>
      </w:r>
      <w:r>
        <w:rPr>
          <w:rFonts w:hint="eastAsia" w:ascii="宋体" w:hAnsi="宋体" w:cs="宋体"/>
          <w:highlight w:val="none"/>
          <w:u w:val="single"/>
        </w:rPr>
        <w:t xml:space="preserve">  由发包人原因造成的延误、干扰或阻碍、不可抗力  </w:t>
      </w:r>
      <w:r>
        <w:rPr>
          <w:rFonts w:hint="eastAsia" w:ascii="宋体" w:hAnsi="宋体" w:cs="宋体"/>
          <w:highlight w:val="none"/>
        </w:rPr>
        <w:t>等延误承包人关键线路工作的情况。</w:t>
      </w:r>
    </w:p>
    <w:p w14:paraId="4CDCDBAA">
      <w:pPr>
        <w:spacing w:line="360" w:lineRule="auto"/>
        <w:rPr>
          <w:rFonts w:hint="eastAsia" w:ascii="宋体" w:hAnsi="宋体" w:cs="宋体"/>
          <w:highlight w:val="none"/>
        </w:rPr>
      </w:pPr>
      <w:bookmarkStart w:id="1982" w:name="_Toc342296461"/>
      <w:bookmarkStart w:id="1983" w:name="_Toc152042464"/>
      <w:bookmarkStart w:id="1984" w:name="_Toc241459702"/>
      <w:bookmarkStart w:id="1985" w:name="_Toc454359378"/>
      <w:bookmarkStart w:id="1986" w:name="_Toc152045686"/>
      <w:bookmarkStart w:id="1987" w:name="_Toc503536289"/>
      <w:bookmarkStart w:id="1988" w:name="_Toc179632704"/>
      <w:bookmarkStart w:id="1989" w:name="_Toc144974654"/>
      <w:r>
        <w:rPr>
          <w:rFonts w:hint="eastAsia" w:ascii="宋体" w:hAnsi="宋体" w:cs="宋体"/>
          <w:highlight w:val="none"/>
        </w:rPr>
        <w:t>11.4 异常恶劣的气候条件</w:t>
      </w:r>
      <w:bookmarkEnd w:id="1982"/>
      <w:bookmarkEnd w:id="1983"/>
      <w:bookmarkEnd w:id="1984"/>
      <w:bookmarkEnd w:id="1985"/>
      <w:bookmarkEnd w:id="1986"/>
      <w:bookmarkEnd w:id="1987"/>
      <w:bookmarkEnd w:id="1988"/>
      <w:bookmarkEnd w:id="1989"/>
    </w:p>
    <w:p w14:paraId="4FE3D6AF">
      <w:pPr>
        <w:spacing w:line="360" w:lineRule="auto"/>
        <w:ind w:left="420" w:leftChars="200"/>
        <w:rPr>
          <w:rFonts w:hint="eastAsia" w:ascii="宋体" w:hAnsi="宋体" w:cs="宋体"/>
          <w:highlight w:val="none"/>
        </w:rPr>
      </w:pPr>
      <w:bookmarkStart w:id="1990" w:name="_Toc179632705"/>
      <w:bookmarkStart w:id="1991" w:name="_Toc144974655"/>
      <w:bookmarkStart w:id="1992" w:name="_Toc152042465"/>
      <w:bookmarkStart w:id="1993" w:name="_Toc152045687"/>
      <w:r>
        <w:rPr>
          <w:rFonts w:hint="eastAsia" w:ascii="宋体" w:hAnsi="宋体" w:cs="宋体"/>
          <w:highlight w:val="none"/>
        </w:rPr>
        <w:t>异常恶劣的气候条件的范围和标准：</w:t>
      </w:r>
      <w:r>
        <w:rPr>
          <w:rFonts w:hint="eastAsia" w:ascii="宋体" w:hAnsi="宋体" w:cs="宋体"/>
          <w:highlight w:val="none"/>
          <w:u w:val="single"/>
        </w:rPr>
        <w:t xml:space="preserve">  20年一遇的最大降水量、最高温度等  </w:t>
      </w:r>
      <w:r>
        <w:rPr>
          <w:rFonts w:hint="eastAsia" w:ascii="宋体" w:hAnsi="宋体" w:cs="宋体"/>
          <w:highlight w:val="none"/>
        </w:rPr>
        <w:t>。</w:t>
      </w:r>
    </w:p>
    <w:p w14:paraId="72AFCDD0">
      <w:pPr>
        <w:spacing w:line="360" w:lineRule="auto"/>
        <w:rPr>
          <w:rFonts w:hint="eastAsia" w:ascii="宋体" w:hAnsi="宋体" w:cs="宋体"/>
          <w:highlight w:val="none"/>
        </w:rPr>
      </w:pPr>
      <w:bookmarkStart w:id="1994" w:name="_Toc454359379"/>
      <w:bookmarkStart w:id="1995" w:name="_Toc503536290"/>
      <w:bookmarkStart w:id="1996" w:name="_Toc342296462"/>
      <w:bookmarkStart w:id="1997" w:name="_Toc241459703"/>
      <w:r>
        <w:rPr>
          <w:rFonts w:hint="eastAsia" w:ascii="宋体" w:hAnsi="宋体" w:cs="宋体"/>
          <w:highlight w:val="none"/>
        </w:rPr>
        <w:t>11.5 承包人的工期延误</w:t>
      </w:r>
      <w:bookmarkEnd w:id="1990"/>
      <w:bookmarkEnd w:id="1991"/>
      <w:bookmarkEnd w:id="1992"/>
      <w:bookmarkEnd w:id="1993"/>
      <w:bookmarkEnd w:id="1994"/>
      <w:bookmarkEnd w:id="1995"/>
      <w:bookmarkEnd w:id="1996"/>
      <w:bookmarkEnd w:id="1997"/>
    </w:p>
    <w:p w14:paraId="5D77A763">
      <w:pPr>
        <w:spacing w:line="360" w:lineRule="auto"/>
        <w:ind w:firstLine="420" w:firstLineChars="200"/>
        <w:rPr>
          <w:rFonts w:hint="eastAsia" w:ascii="宋体" w:hAnsi="宋体" w:cs="宋体"/>
          <w:highlight w:val="none"/>
        </w:rPr>
      </w:pPr>
      <w:bookmarkStart w:id="1998" w:name="_Toc144974656"/>
      <w:bookmarkStart w:id="1999" w:name="_Toc152042466"/>
      <w:bookmarkStart w:id="2000" w:name="_Toc179632706"/>
      <w:bookmarkStart w:id="2001" w:name="_Toc152045688"/>
      <w:r>
        <w:rPr>
          <w:rFonts w:hint="eastAsia" w:ascii="宋体" w:hAnsi="宋体" w:cs="宋体"/>
          <w:highlight w:val="none"/>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525D607F">
      <w:pPr>
        <w:spacing w:line="360" w:lineRule="auto"/>
        <w:ind w:left="420" w:leftChars="200"/>
        <w:rPr>
          <w:rFonts w:hint="eastAsia" w:ascii="宋体" w:hAnsi="宋体" w:cs="宋体"/>
          <w:highlight w:val="none"/>
        </w:rPr>
      </w:pPr>
      <w:r>
        <w:rPr>
          <w:rFonts w:hint="eastAsia" w:ascii="宋体" w:hAnsi="宋体" w:cs="宋体"/>
          <w:highlight w:val="none"/>
        </w:rPr>
        <w:t>逾期竣工违约金的计算标准：</w:t>
      </w:r>
      <w:r>
        <w:rPr>
          <w:rFonts w:hint="eastAsia" w:ascii="宋体" w:hAnsi="宋体" w:cs="宋体"/>
          <w:highlight w:val="none"/>
          <w:u w:val="single"/>
        </w:rPr>
        <w:t xml:space="preserve">  按天计算  </w:t>
      </w:r>
      <w:r>
        <w:rPr>
          <w:rFonts w:hint="eastAsia" w:ascii="宋体" w:hAnsi="宋体" w:cs="宋体"/>
          <w:highlight w:val="none"/>
        </w:rPr>
        <w:t>。</w:t>
      </w:r>
    </w:p>
    <w:p w14:paraId="634BD8AD">
      <w:pPr>
        <w:spacing w:line="360" w:lineRule="auto"/>
        <w:ind w:left="420" w:leftChars="200"/>
        <w:rPr>
          <w:rFonts w:hint="eastAsia" w:ascii="宋体" w:hAnsi="宋体" w:cs="宋体"/>
          <w:highlight w:val="none"/>
        </w:rPr>
      </w:pPr>
      <w:r>
        <w:rPr>
          <w:rFonts w:hint="eastAsia" w:ascii="宋体" w:hAnsi="宋体" w:cs="宋体"/>
          <w:highlight w:val="none"/>
        </w:rPr>
        <w:t>逾期竣工违约金的计算方法：</w:t>
      </w:r>
      <w:r>
        <w:rPr>
          <w:rFonts w:hint="eastAsia" w:ascii="宋体" w:hAnsi="宋体" w:cs="宋体"/>
          <w:highlight w:val="none"/>
          <w:u w:val="single"/>
        </w:rPr>
        <w:t xml:space="preserve">  每延误一天，承包人应向发包人赔偿人民币合同价的万分之二，不足一天按一天计算  </w:t>
      </w:r>
      <w:r>
        <w:rPr>
          <w:rFonts w:hint="eastAsia" w:ascii="宋体" w:hAnsi="宋体" w:cs="宋体"/>
          <w:highlight w:val="none"/>
        </w:rPr>
        <w:t xml:space="preserve">。 </w:t>
      </w:r>
    </w:p>
    <w:p w14:paraId="6FC45E4E">
      <w:pPr>
        <w:spacing w:line="360" w:lineRule="auto"/>
        <w:ind w:left="420" w:leftChars="200"/>
        <w:rPr>
          <w:rFonts w:hint="eastAsia" w:ascii="宋体" w:hAnsi="宋体" w:cs="宋体"/>
          <w:highlight w:val="none"/>
        </w:rPr>
      </w:pPr>
      <w:r>
        <w:rPr>
          <w:rFonts w:hint="eastAsia" w:ascii="宋体" w:hAnsi="宋体" w:cs="宋体"/>
          <w:highlight w:val="none"/>
        </w:rPr>
        <w:t>逾期竣工违约金最高限额：</w:t>
      </w:r>
      <w:r>
        <w:rPr>
          <w:rFonts w:hint="eastAsia" w:ascii="宋体" w:hAnsi="宋体" w:cs="宋体"/>
          <w:highlight w:val="none"/>
          <w:u w:val="single"/>
        </w:rPr>
        <w:t xml:space="preserve">  不超过结算价的3%  </w:t>
      </w:r>
      <w:r>
        <w:rPr>
          <w:rFonts w:hint="eastAsia" w:ascii="宋体" w:hAnsi="宋体" w:cs="宋体"/>
          <w:highlight w:val="none"/>
        </w:rPr>
        <w:t>。</w:t>
      </w:r>
    </w:p>
    <w:p w14:paraId="5B62C108">
      <w:pPr>
        <w:spacing w:line="360" w:lineRule="auto"/>
        <w:rPr>
          <w:rFonts w:hint="eastAsia" w:ascii="宋体" w:hAnsi="宋体" w:cs="宋体"/>
          <w:highlight w:val="none"/>
        </w:rPr>
      </w:pPr>
      <w:bookmarkStart w:id="2002" w:name="_Toc503536291"/>
      <w:bookmarkStart w:id="2003" w:name="_Toc241459704"/>
      <w:bookmarkStart w:id="2004" w:name="_Toc454359380"/>
      <w:bookmarkStart w:id="2005" w:name="_Toc342296463"/>
      <w:r>
        <w:rPr>
          <w:rFonts w:hint="eastAsia" w:ascii="宋体" w:hAnsi="宋体" w:cs="宋体"/>
          <w:highlight w:val="none"/>
        </w:rPr>
        <w:t>11.6</w:t>
      </w:r>
      <w:bookmarkEnd w:id="1998"/>
      <w:bookmarkStart w:id="2006" w:name="_Toc144974657"/>
      <w:r>
        <w:rPr>
          <w:rFonts w:hint="eastAsia" w:ascii="宋体" w:hAnsi="宋体" w:cs="宋体"/>
          <w:highlight w:val="none"/>
        </w:rPr>
        <w:t xml:space="preserve"> 工期提前</w:t>
      </w:r>
      <w:bookmarkEnd w:id="1999"/>
      <w:bookmarkEnd w:id="2000"/>
      <w:bookmarkEnd w:id="2001"/>
      <w:bookmarkEnd w:id="2002"/>
      <w:bookmarkEnd w:id="2003"/>
      <w:bookmarkEnd w:id="2004"/>
      <w:bookmarkEnd w:id="2005"/>
      <w:bookmarkEnd w:id="2006"/>
    </w:p>
    <w:p w14:paraId="769442EB">
      <w:pPr>
        <w:spacing w:line="360" w:lineRule="auto"/>
        <w:ind w:left="420" w:leftChars="200"/>
        <w:rPr>
          <w:rFonts w:hint="eastAsia" w:ascii="宋体" w:hAnsi="宋体" w:cs="宋体"/>
          <w:highlight w:val="none"/>
        </w:rPr>
      </w:pPr>
      <w:bookmarkStart w:id="2007" w:name="_Toc152045689"/>
      <w:bookmarkStart w:id="2008" w:name="_Toc152042467"/>
      <w:bookmarkStart w:id="2009" w:name="_Toc144974658"/>
      <w:bookmarkStart w:id="2010" w:name="_Toc179632707"/>
      <w:r>
        <w:rPr>
          <w:rFonts w:hint="eastAsia" w:ascii="宋体" w:hAnsi="宋体" w:cs="宋体"/>
          <w:highlight w:val="none"/>
        </w:rPr>
        <w:t>提前竣工的奖励办法：</w:t>
      </w:r>
      <w:r>
        <w:rPr>
          <w:rFonts w:hint="eastAsia" w:ascii="宋体" w:hAnsi="宋体" w:cs="宋体"/>
          <w:highlight w:val="none"/>
          <w:u w:val="single"/>
        </w:rPr>
        <w:t xml:space="preserve">  /   </w:t>
      </w:r>
      <w:r>
        <w:rPr>
          <w:rFonts w:hint="eastAsia" w:ascii="宋体" w:hAnsi="宋体" w:cs="宋体"/>
          <w:highlight w:val="none"/>
        </w:rPr>
        <w:t>。</w:t>
      </w:r>
    </w:p>
    <w:p w14:paraId="30D82A9B">
      <w:pPr>
        <w:rPr>
          <w:rFonts w:hint="eastAsia" w:ascii="宋体" w:hAnsi="宋体" w:cs="宋体"/>
          <w:highlight w:val="none"/>
        </w:rPr>
      </w:pPr>
      <w:bookmarkStart w:id="2011" w:name="_Toc18259"/>
      <w:bookmarkStart w:id="2012" w:name="_Toc503536292"/>
      <w:bookmarkStart w:id="2013" w:name="_Toc342296464"/>
      <w:bookmarkStart w:id="2014" w:name="_Toc4157321"/>
      <w:bookmarkStart w:id="2015" w:name="_Toc241484601"/>
      <w:bookmarkStart w:id="2016" w:name="_Toc241459705"/>
      <w:r>
        <w:rPr>
          <w:rFonts w:hint="eastAsia" w:ascii="宋体" w:hAnsi="宋体" w:cs="宋体"/>
          <w:highlight w:val="none"/>
        </w:rPr>
        <w:t>12. 暂停施工</w:t>
      </w:r>
      <w:bookmarkEnd w:id="2007"/>
      <w:bookmarkEnd w:id="2008"/>
      <w:bookmarkEnd w:id="2009"/>
      <w:bookmarkEnd w:id="2010"/>
      <w:bookmarkEnd w:id="2011"/>
      <w:bookmarkEnd w:id="2012"/>
      <w:bookmarkEnd w:id="2013"/>
      <w:bookmarkEnd w:id="2014"/>
      <w:bookmarkEnd w:id="2015"/>
      <w:bookmarkEnd w:id="2016"/>
    </w:p>
    <w:p w14:paraId="6FE75240">
      <w:pPr>
        <w:spacing w:line="360" w:lineRule="auto"/>
        <w:rPr>
          <w:rFonts w:hint="eastAsia" w:ascii="宋体" w:hAnsi="宋体" w:cs="宋体"/>
          <w:highlight w:val="none"/>
        </w:rPr>
      </w:pPr>
      <w:bookmarkStart w:id="2017" w:name="_Toc152042468"/>
      <w:bookmarkStart w:id="2018" w:name="_Toc152045690"/>
      <w:bookmarkStart w:id="2019" w:name="_Toc179632708"/>
      <w:bookmarkStart w:id="2020" w:name="_Toc144974659"/>
      <w:bookmarkStart w:id="2021" w:name="_Toc503536293"/>
      <w:bookmarkStart w:id="2022" w:name="_Toc342296465"/>
      <w:bookmarkStart w:id="2023" w:name="_Toc241459706"/>
      <w:bookmarkStart w:id="2024" w:name="_Toc454359382"/>
      <w:r>
        <w:rPr>
          <w:rFonts w:hint="eastAsia" w:ascii="宋体" w:hAnsi="宋体" w:cs="宋体"/>
          <w:highlight w:val="none"/>
        </w:rPr>
        <w:t>12.1 承包人暂停施工的责任</w:t>
      </w:r>
      <w:bookmarkEnd w:id="2017"/>
      <w:bookmarkEnd w:id="2018"/>
      <w:bookmarkEnd w:id="2019"/>
      <w:bookmarkEnd w:id="2020"/>
      <w:bookmarkEnd w:id="2021"/>
      <w:bookmarkEnd w:id="2022"/>
      <w:bookmarkEnd w:id="2023"/>
      <w:bookmarkEnd w:id="2024"/>
    </w:p>
    <w:p w14:paraId="184B4834">
      <w:pPr>
        <w:spacing w:line="360" w:lineRule="auto"/>
        <w:ind w:left="420" w:leftChars="200"/>
        <w:rPr>
          <w:rFonts w:hint="eastAsia" w:ascii="宋体" w:hAnsi="宋体" w:cs="宋体"/>
          <w:highlight w:val="none"/>
        </w:rPr>
      </w:pPr>
      <w:r>
        <w:rPr>
          <w:rFonts w:hint="eastAsia" w:ascii="宋体" w:hAnsi="宋体" w:cs="宋体"/>
          <w:highlight w:val="none"/>
        </w:rPr>
        <w:t xml:space="preserve">（5）承包人承担暂停施工责任的其他情形： </w:t>
      </w:r>
      <w:r>
        <w:rPr>
          <w:rFonts w:hint="eastAsia" w:ascii="宋体" w:hAnsi="宋体" w:cs="宋体"/>
          <w:highlight w:val="none"/>
          <w:u w:val="single"/>
        </w:rPr>
        <w:t xml:space="preserve">    /    </w:t>
      </w:r>
      <w:r>
        <w:rPr>
          <w:rFonts w:hint="eastAsia" w:ascii="宋体" w:hAnsi="宋体" w:cs="宋体"/>
          <w:highlight w:val="none"/>
        </w:rPr>
        <w:t>。</w:t>
      </w:r>
    </w:p>
    <w:p w14:paraId="1B1DBC8C">
      <w:pPr>
        <w:spacing w:line="360" w:lineRule="auto"/>
        <w:rPr>
          <w:rFonts w:hint="eastAsia" w:ascii="宋体" w:hAnsi="宋体" w:cs="宋体"/>
          <w:highlight w:val="none"/>
        </w:rPr>
      </w:pPr>
      <w:bookmarkStart w:id="2025" w:name="_Toc241459707"/>
      <w:bookmarkStart w:id="2026" w:name="_Toc342296466"/>
      <w:bookmarkStart w:id="2027" w:name="_Toc503536294"/>
      <w:bookmarkStart w:id="2028" w:name="_Toc454359383"/>
      <w:r>
        <w:rPr>
          <w:rFonts w:hint="eastAsia" w:ascii="宋体" w:hAnsi="宋体" w:cs="宋体"/>
          <w:highlight w:val="none"/>
        </w:rPr>
        <w:t>12.4 暂停施工后的复工</w:t>
      </w:r>
      <w:bookmarkEnd w:id="2025"/>
      <w:bookmarkEnd w:id="2026"/>
      <w:bookmarkEnd w:id="2027"/>
      <w:bookmarkEnd w:id="2028"/>
    </w:p>
    <w:p w14:paraId="5ED70F8A">
      <w:pPr>
        <w:spacing w:line="360" w:lineRule="auto"/>
        <w:ind w:firstLine="420" w:firstLineChars="200"/>
        <w:rPr>
          <w:rFonts w:hint="eastAsia" w:ascii="宋体" w:hAnsi="宋体" w:cs="宋体"/>
          <w:highlight w:val="none"/>
        </w:rPr>
      </w:pPr>
      <w:r>
        <w:rPr>
          <w:rFonts w:hint="eastAsia" w:ascii="宋体" w:hAnsi="宋体" w:cs="宋体"/>
          <w:highlight w:val="none"/>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7B7C0250">
      <w:pPr>
        <w:spacing w:line="360" w:lineRule="auto"/>
        <w:ind w:firstLine="420" w:firstLineChars="200"/>
        <w:rPr>
          <w:rFonts w:hint="eastAsia" w:ascii="宋体" w:hAnsi="宋体" w:cs="宋体"/>
          <w:highlight w:val="none"/>
        </w:rPr>
      </w:pPr>
      <w:r>
        <w:rPr>
          <w:rFonts w:hint="eastAsia" w:ascii="宋体" w:hAnsi="宋体" w:cs="宋体"/>
          <w:highlight w:val="none"/>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bookmarkStart w:id="2029" w:name="_Toc152042473"/>
      <w:bookmarkStart w:id="2030" w:name="_Toc241459708"/>
      <w:bookmarkStart w:id="2031" w:name="_Toc179632713"/>
      <w:bookmarkStart w:id="2032" w:name="_Toc152045695"/>
      <w:bookmarkStart w:id="2033" w:name="_Toc144974664"/>
    </w:p>
    <w:p w14:paraId="5F71A774">
      <w:pPr>
        <w:rPr>
          <w:rFonts w:hint="eastAsia" w:ascii="宋体" w:hAnsi="宋体" w:cs="宋体"/>
          <w:highlight w:val="none"/>
        </w:rPr>
      </w:pPr>
      <w:bookmarkStart w:id="2034" w:name="_Toc3296"/>
      <w:bookmarkStart w:id="2035" w:name="_Toc503536295"/>
      <w:bookmarkStart w:id="2036" w:name="_Toc4157322"/>
      <w:bookmarkStart w:id="2037" w:name="_Toc342296467"/>
      <w:r>
        <w:rPr>
          <w:rFonts w:hint="eastAsia" w:ascii="宋体" w:hAnsi="宋体" w:cs="宋体"/>
          <w:highlight w:val="none"/>
        </w:rPr>
        <w:t>13. 工程质量</w:t>
      </w:r>
      <w:bookmarkEnd w:id="2029"/>
      <w:bookmarkEnd w:id="2030"/>
      <w:bookmarkEnd w:id="2031"/>
      <w:bookmarkEnd w:id="2032"/>
      <w:bookmarkEnd w:id="2033"/>
      <w:bookmarkEnd w:id="2034"/>
      <w:bookmarkEnd w:id="2035"/>
      <w:bookmarkEnd w:id="2036"/>
      <w:bookmarkEnd w:id="2037"/>
      <w:bookmarkStart w:id="2038" w:name="_Toc152042475"/>
      <w:bookmarkStart w:id="2039" w:name="_Toc179632715"/>
      <w:bookmarkStart w:id="2040" w:name="_Toc144974666"/>
      <w:bookmarkStart w:id="2041" w:name="_Toc152045697"/>
    </w:p>
    <w:p w14:paraId="2631F8AA">
      <w:pPr>
        <w:spacing w:line="360" w:lineRule="auto"/>
        <w:rPr>
          <w:rFonts w:hint="eastAsia" w:ascii="宋体" w:hAnsi="宋体" w:cs="宋体"/>
          <w:highlight w:val="none"/>
        </w:rPr>
      </w:pPr>
      <w:bookmarkStart w:id="2042" w:name="_Toc454359385"/>
      <w:bookmarkStart w:id="2043" w:name="_Toc503536296"/>
      <w:bookmarkStart w:id="2044" w:name="_Toc342296468"/>
      <w:bookmarkStart w:id="2045" w:name="_Toc241459709"/>
      <w:r>
        <w:rPr>
          <w:rFonts w:hint="eastAsia" w:ascii="宋体" w:hAnsi="宋体" w:cs="宋体"/>
          <w:highlight w:val="none"/>
        </w:rPr>
        <w:t>13.2 承包人的质量管理</w:t>
      </w:r>
      <w:bookmarkEnd w:id="2038"/>
      <w:bookmarkEnd w:id="2039"/>
      <w:bookmarkEnd w:id="2040"/>
      <w:bookmarkEnd w:id="2041"/>
      <w:bookmarkEnd w:id="2042"/>
      <w:bookmarkEnd w:id="2043"/>
      <w:bookmarkEnd w:id="2044"/>
      <w:bookmarkEnd w:id="2045"/>
    </w:p>
    <w:p w14:paraId="661D5E55">
      <w:pPr>
        <w:spacing w:line="360" w:lineRule="auto"/>
        <w:ind w:firstLine="420" w:firstLineChars="200"/>
        <w:rPr>
          <w:rFonts w:hint="eastAsia" w:ascii="宋体" w:hAnsi="宋体" w:cs="宋体"/>
          <w:highlight w:val="none"/>
        </w:rPr>
      </w:pPr>
      <w:bookmarkStart w:id="2046" w:name="_Toc152042476"/>
      <w:bookmarkStart w:id="2047" w:name="_Toc144974667"/>
      <w:bookmarkStart w:id="2048" w:name="_Toc179632716"/>
      <w:bookmarkStart w:id="2049" w:name="_Toc152045698"/>
      <w:r>
        <w:rPr>
          <w:rFonts w:hint="eastAsia" w:ascii="宋体" w:hAnsi="宋体" w:cs="宋体"/>
          <w:highlight w:val="none"/>
        </w:rPr>
        <w:t>13.2.1承包人向监理人提交工程质量保证措施文件的期限：</w:t>
      </w:r>
      <w:r>
        <w:rPr>
          <w:rFonts w:hint="eastAsia" w:ascii="宋体" w:hAnsi="宋体" w:cs="宋体"/>
          <w:highlight w:val="none"/>
          <w:u w:val="single"/>
        </w:rPr>
        <w:t xml:space="preserve">  签订合同后7天内   </w:t>
      </w:r>
      <w:r>
        <w:rPr>
          <w:rFonts w:hint="eastAsia" w:ascii="宋体" w:hAnsi="宋体" w:cs="宋体"/>
          <w:highlight w:val="none"/>
        </w:rPr>
        <w:t>。</w:t>
      </w:r>
    </w:p>
    <w:p w14:paraId="0FB8D526">
      <w:pPr>
        <w:spacing w:line="360" w:lineRule="auto"/>
        <w:ind w:firstLine="420" w:firstLineChars="200"/>
        <w:rPr>
          <w:rFonts w:hint="eastAsia" w:ascii="宋体" w:hAnsi="宋体" w:cs="宋体"/>
          <w:highlight w:val="none"/>
        </w:rPr>
      </w:pPr>
      <w:r>
        <w:rPr>
          <w:rFonts w:hint="eastAsia" w:ascii="宋体" w:hAnsi="宋体" w:cs="宋体"/>
          <w:highlight w:val="none"/>
        </w:rPr>
        <w:t>监理人审批工程质量保证措施文件的期限：</w:t>
      </w:r>
      <w:r>
        <w:rPr>
          <w:rFonts w:hint="eastAsia" w:ascii="宋体" w:hAnsi="宋体" w:cs="宋体"/>
          <w:highlight w:val="none"/>
          <w:u w:val="single"/>
        </w:rPr>
        <w:t xml:space="preserve">  7天   </w:t>
      </w:r>
      <w:r>
        <w:rPr>
          <w:rFonts w:hint="eastAsia" w:ascii="宋体" w:hAnsi="宋体" w:cs="宋体"/>
          <w:highlight w:val="none"/>
        </w:rPr>
        <w:t>。</w:t>
      </w:r>
    </w:p>
    <w:p w14:paraId="40D5C65B">
      <w:pPr>
        <w:spacing w:line="360" w:lineRule="auto"/>
        <w:rPr>
          <w:rFonts w:hint="eastAsia" w:ascii="宋体" w:hAnsi="宋体" w:cs="宋体"/>
          <w:highlight w:val="none"/>
        </w:rPr>
      </w:pPr>
      <w:bookmarkStart w:id="2050" w:name="_Toc241459710"/>
      <w:bookmarkStart w:id="2051" w:name="_Toc503536297"/>
      <w:bookmarkStart w:id="2052" w:name="_Toc342296469"/>
      <w:bookmarkStart w:id="2053" w:name="_Toc454359386"/>
      <w:r>
        <w:rPr>
          <w:rFonts w:hint="eastAsia" w:ascii="宋体" w:hAnsi="宋体" w:cs="宋体"/>
          <w:highlight w:val="none"/>
        </w:rPr>
        <w:t>13.3 承包人的质量检查</w:t>
      </w:r>
      <w:bookmarkEnd w:id="2046"/>
      <w:bookmarkEnd w:id="2047"/>
      <w:bookmarkEnd w:id="2048"/>
      <w:bookmarkEnd w:id="2049"/>
      <w:bookmarkEnd w:id="2050"/>
      <w:bookmarkEnd w:id="2051"/>
      <w:bookmarkEnd w:id="2052"/>
      <w:bookmarkEnd w:id="2053"/>
    </w:p>
    <w:p w14:paraId="642769B2">
      <w:pPr>
        <w:spacing w:line="360" w:lineRule="auto"/>
        <w:ind w:firstLine="420" w:firstLineChars="200"/>
        <w:rPr>
          <w:rFonts w:hint="eastAsia" w:ascii="宋体" w:hAnsi="宋体" w:cs="宋体"/>
          <w:highlight w:val="none"/>
        </w:rPr>
      </w:pPr>
      <w:bookmarkStart w:id="2054" w:name="_Toc144974668"/>
      <w:bookmarkStart w:id="2055" w:name="_Toc152042477"/>
      <w:bookmarkStart w:id="2056" w:name="_Toc179632717"/>
      <w:bookmarkStart w:id="2057" w:name="_Toc152045699"/>
      <w:r>
        <w:rPr>
          <w:rFonts w:hint="eastAsia" w:ascii="宋体" w:hAnsi="宋体" w:cs="宋体"/>
          <w:highlight w:val="none"/>
        </w:rPr>
        <w:t>承包人向监理人报送工程质量报表的期限：</w:t>
      </w:r>
      <w:r>
        <w:rPr>
          <w:rFonts w:hint="eastAsia" w:ascii="宋体" w:hAnsi="宋体" w:cs="宋体"/>
          <w:highlight w:val="none"/>
          <w:u w:val="single"/>
        </w:rPr>
        <w:t xml:space="preserve">   /    </w:t>
      </w:r>
      <w:r>
        <w:rPr>
          <w:rFonts w:hint="eastAsia" w:ascii="宋体" w:hAnsi="宋体" w:cs="宋体"/>
          <w:highlight w:val="none"/>
        </w:rPr>
        <w:t>。</w:t>
      </w:r>
      <w:bookmarkEnd w:id="2054"/>
      <w:bookmarkEnd w:id="2055"/>
      <w:bookmarkEnd w:id="2056"/>
      <w:bookmarkEnd w:id="2057"/>
    </w:p>
    <w:p w14:paraId="570ECD4B">
      <w:pPr>
        <w:spacing w:line="360" w:lineRule="auto"/>
        <w:ind w:firstLine="420" w:firstLineChars="200"/>
        <w:rPr>
          <w:rFonts w:hint="eastAsia" w:ascii="宋体" w:hAnsi="宋体" w:cs="宋体"/>
          <w:highlight w:val="none"/>
        </w:rPr>
      </w:pPr>
      <w:bookmarkStart w:id="2058" w:name="_Toc144974669"/>
      <w:bookmarkStart w:id="2059" w:name="_Toc152045700"/>
      <w:bookmarkStart w:id="2060" w:name="_Toc152042478"/>
      <w:bookmarkStart w:id="2061" w:name="_Toc179632718"/>
      <w:r>
        <w:rPr>
          <w:rFonts w:hint="eastAsia" w:ascii="宋体" w:hAnsi="宋体" w:cs="宋体"/>
          <w:highlight w:val="none"/>
        </w:rPr>
        <w:t>承包人向监理人报送工程质量报表的要求：</w:t>
      </w:r>
      <w:r>
        <w:rPr>
          <w:rFonts w:hint="eastAsia" w:ascii="宋体" w:hAnsi="宋体" w:cs="宋体"/>
          <w:highlight w:val="none"/>
          <w:u w:val="single"/>
        </w:rPr>
        <w:t xml:space="preserve">   /    </w:t>
      </w:r>
      <w:r>
        <w:rPr>
          <w:rFonts w:hint="eastAsia" w:ascii="宋体" w:hAnsi="宋体" w:cs="宋体"/>
          <w:highlight w:val="none"/>
        </w:rPr>
        <w:t>。</w:t>
      </w:r>
    </w:p>
    <w:p w14:paraId="6DE6AB35">
      <w:pPr>
        <w:spacing w:line="360" w:lineRule="auto"/>
        <w:ind w:firstLine="420" w:firstLineChars="200"/>
        <w:rPr>
          <w:rFonts w:hint="eastAsia" w:ascii="宋体" w:hAnsi="宋体" w:cs="宋体"/>
          <w:highlight w:val="none"/>
        </w:rPr>
      </w:pPr>
      <w:r>
        <w:rPr>
          <w:rFonts w:hint="eastAsia" w:ascii="宋体" w:hAnsi="宋体" w:cs="宋体"/>
          <w:highlight w:val="none"/>
        </w:rPr>
        <w:t>监理人审查工程质量报表的期限：</w:t>
      </w:r>
      <w:r>
        <w:rPr>
          <w:rFonts w:hint="eastAsia" w:ascii="宋体" w:hAnsi="宋体" w:cs="宋体"/>
          <w:highlight w:val="none"/>
          <w:u w:val="single"/>
        </w:rPr>
        <w:t xml:space="preserve">   /    </w:t>
      </w:r>
      <w:r>
        <w:rPr>
          <w:rFonts w:hint="eastAsia" w:ascii="宋体" w:hAnsi="宋体" w:cs="宋体"/>
          <w:highlight w:val="none"/>
        </w:rPr>
        <w:t>。</w:t>
      </w:r>
    </w:p>
    <w:p w14:paraId="4542FED9">
      <w:pPr>
        <w:spacing w:line="360" w:lineRule="auto"/>
        <w:rPr>
          <w:rFonts w:hint="eastAsia" w:ascii="宋体" w:hAnsi="宋体" w:cs="宋体"/>
          <w:highlight w:val="none"/>
        </w:rPr>
      </w:pPr>
      <w:bookmarkStart w:id="2062" w:name="_Toc342296470"/>
      <w:bookmarkStart w:id="2063" w:name="_Toc503536298"/>
      <w:bookmarkStart w:id="2064" w:name="_Toc241459711"/>
      <w:bookmarkStart w:id="2065" w:name="_Toc454359387"/>
      <w:r>
        <w:rPr>
          <w:rFonts w:hint="eastAsia" w:ascii="宋体" w:hAnsi="宋体" w:cs="宋体"/>
          <w:highlight w:val="none"/>
        </w:rPr>
        <w:t>13.4 监理人的质量检查</w:t>
      </w:r>
      <w:bookmarkEnd w:id="2062"/>
      <w:bookmarkEnd w:id="2063"/>
      <w:bookmarkEnd w:id="2064"/>
      <w:bookmarkEnd w:id="2065"/>
    </w:p>
    <w:p w14:paraId="3637A891">
      <w:pPr>
        <w:spacing w:line="360" w:lineRule="auto"/>
        <w:ind w:firstLine="420" w:firstLineChars="200"/>
        <w:rPr>
          <w:rFonts w:hint="eastAsia" w:ascii="宋体" w:hAnsi="宋体" w:cs="宋体"/>
          <w:highlight w:val="none"/>
        </w:rPr>
      </w:pPr>
      <w:r>
        <w:rPr>
          <w:rFonts w:hint="eastAsia" w:ascii="宋体" w:hAnsi="宋体" w:cs="宋体"/>
          <w:highlight w:val="none"/>
        </w:rPr>
        <w:t>承包人应当为监理人的检查和检验提供方便，监理人可以进行察看和查阅施工原始记录的其他地方包括：</w:t>
      </w:r>
      <w:r>
        <w:rPr>
          <w:rFonts w:hint="eastAsia" w:ascii="宋体" w:hAnsi="宋体" w:cs="宋体"/>
          <w:highlight w:val="none"/>
          <w:u w:val="single"/>
        </w:rPr>
        <w:t xml:space="preserve">   /    </w:t>
      </w:r>
      <w:r>
        <w:rPr>
          <w:rFonts w:hint="eastAsia" w:ascii="宋体" w:hAnsi="宋体" w:cs="宋体"/>
          <w:highlight w:val="none"/>
        </w:rPr>
        <w:t>。</w:t>
      </w:r>
    </w:p>
    <w:p w14:paraId="104AA56F">
      <w:pPr>
        <w:spacing w:line="360" w:lineRule="auto"/>
        <w:rPr>
          <w:rFonts w:hint="eastAsia" w:ascii="宋体" w:hAnsi="宋体" w:cs="宋体"/>
          <w:highlight w:val="none"/>
        </w:rPr>
      </w:pPr>
      <w:bookmarkStart w:id="2066" w:name="_Toc342296471"/>
      <w:bookmarkStart w:id="2067" w:name="_Toc503536299"/>
      <w:bookmarkStart w:id="2068" w:name="_Toc241459712"/>
      <w:bookmarkStart w:id="2069" w:name="_Toc454359388"/>
      <w:r>
        <w:rPr>
          <w:rFonts w:hint="eastAsia" w:ascii="宋体" w:hAnsi="宋体" w:cs="宋体"/>
          <w:highlight w:val="none"/>
        </w:rPr>
        <w:t>13.5 工程隐蔽部位覆盖前的检查</w:t>
      </w:r>
      <w:bookmarkEnd w:id="2058"/>
      <w:bookmarkEnd w:id="2059"/>
      <w:bookmarkEnd w:id="2060"/>
      <w:bookmarkEnd w:id="2061"/>
      <w:bookmarkEnd w:id="2066"/>
      <w:bookmarkEnd w:id="2067"/>
      <w:bookmarkEnd w:id="2068"/>
      <w:bookmarkEnd w:id="2069"/>
    </w:p>
    <w:p w14:paraId="1AB9563D">
      <w:pPr>
        <w:spacing w:line="360" w:lineRule="auto"/>
        <w:ind w:firstLine="420" w:firstLineChars="200"/>
        <w:rPr>
          <w:rFonts w:hint="eastAsia" w:ascii="宋体" w:hAnsi="宋体" w:cs="宋体"/>
          <w:highlight w:val="none"/>
        </w:rPr>
      </w:pPr>
      <w:r>
        <w:rPr>
          <w:rFonts w:hint="eastAsia" w:ascii="宋体" w:hAnsi="宋体" w:cs="宋体"/>
          <w:highlight w:val="none"/>
        </w:rPr>
        <w:t>13.5.1 监理人对工程隐蔽部位进行检查的期限：</w:t>
      </w:r>
      <w:r>
        <w:rPr>
          <w:rFonts w:hint="eastAsia" w:ascii="宋体" w:hAnsi="宋体" w:cs="宋体"/>
          <w:highlight w:val="none"/>
          <w:u w:val="single"/>
        </w:rPr>
        <w:t>收到承包人的检查通知后12小时内</w:t>
      </w:r>
      <w:r>
        <w:rPr>
          <w:rFonts w:hint="eastAsia" w:ascii="宋体" w:hAnsi="宋体" w:cs="宋体"/>
          <w:highlight w:val="none"/>
        </w:rPr>
        <w:t>。</w:t>
      </w:r>
    </w:p>
    <w:p w14:paraId="532E1D81">
      <w:pPr>
        <w:spacing w:line="360" w:lineRule="auto"/>
        <w:rPr>
          <w:rFonts w:hint="eastAsia" w:ascii="宋体" w:hAnsi="宋体" w:cs="宋体"/>
          <w:highlight w:val="none"/>
        </w:rPr>
      </w:pPr>
      <w:bookmarkStart w:id="2070" w:name="_Toc454359389"/>
      <w:bookmarkStart w:id="2071" w:name="_Toc241459713"/>
      <w:bookmarkStart w:id="2072" w:name="_Toc342296472"/>
      <w:bookmarkStart w:id="2073" w:name="_Toc503536300"/>
      <w:bookmarkStart w:id="2074" w:name="_Toc144974675"/>
      <w:bookmarkStart w:id="2075" w:name="_Toc152045706"/>
      <w:bookmarkStart w:id="2076" w:name="_Toc152042484"/>
      <w:bookmarkStart w:id="2077" w:name="_Toc179632724"/>
      <w:r>
        <w:rPr>
          <w:rFonts w:hint="eastAsia" w:ascii="宋体" w:hAnsi="宋体" w:cs="宋体"/>
          <w:highlight w:val="none"/>
        </w:rPr>
        <w:t>13.7 质量争议</w:t>
      </w:r>
      <w:bookmarkEnd w:id="2070"/>
      <w:bookmarkEnd w:id="2071"/>
      <w:bookmarkEnd w:id="2072"/>
      <w:bookmarkEnd w:id="2073"/>
    </w:p>
    <w:p w14:paraId="2B2EB24F">
      <w:pPr>
        <w:spacing w:line="360" w:lineRule="auto"/>
        <w:ind w:firstLine="420" w:firstLineChars="200"/>
        <w:rPr>
          <w:rFonts w:hint="eastAsia" w:ascii="宋体" w:hAnsi="宋体" w:cs="宋体"/>
          <w:highlight w:val="none"/>
        </w:rPr>
      </w:pPr>
      <w:r>
        <w:rPr>
          <w:rFonts w:hint="eastAsia" w:ascii="宋体" w:hAnsi="宋体" w:cs="宋体"/>
          <w:highlight w:val="none"/>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397B4F60">
      <w:pPr>
        <w:rPr>
          <w:rFonts w:hint="eastAsia" w:ascii="宋体" w:hAnsi="宋体" w:cs="宋体"/>
          <w:highlight w:val="none"/>
        </w:rPr>
      </w:pPr>
      <w:bookmarkStart w:id="2078" w:name="_Toc16846"/>
      <w:bookmarkStart w:id="2079" w:name="_Toc4157323"/>
      <w:bookmarkStart w:id="2080" w:name="_Toc241459714"/>
      <w:bookmarkStart w:id="2081" w:name="_Toc503536301"/>
      <w:bookmarkStart w:id="2082" w:name="_Toc342296473"/>
      <w:r>
        <w:rPr>
          <w:rFonts w:hint="eastAsia" w:ascii="宋体" w:hAnsi="宋体" w:cs="宋体"/>
          <w:highlight w:val="none"/>
        </w:rPr>
        <w:t>15. 变更</w:t>
      </w:r>
      <w:bookmarkEnd w:id="2074"/>
      <w:bookmarkEnd w:id="2075"/>
      <w:bookmarkEnd w:id="2076"/>
      <w:bookmarkEnd w:id="2077"/>
      <w:bookmarkEnd w:id="2078"/>
      <w:bookmarkEnd w:id="2079"/>
      <w:bookmarkEnd w:id="2080"/>
      <w:bookmarkEnd w:id="2081"/>
      <w:bookmarkEnd w:id="2082"/>
    </w:p>
    <w:p w14:paraId="4AA0E513">
      <w:pPr>
        <w:spacing w:line="360" w:lineRule="auto"/>
        <w:rPr>
          <w:rFonts w:hint="eastAsia" w:ascii="宋体" w:hAnsi="宋体" w:cs="宋体"/>
          <w:highlight w:val="none"/>
        </w:rPr>
      </w:pPr>
      <w:bookmarkStart w:id="2083" w:name="_Toc342296474"/>
      <w:bookmarkStart w:id="2084" w:name="_Toc241459715"/>
      <w:bookmarkStart w:id="2085" w:name="_Toc179632725"/>
      <w:bookmarkStart w:id="2086" w:name="_Toc144974676"/>
      <w:bookmarkStart w:id="2087" w:name="_Toc152045707"/>
      <w:bookmarkStart w:id="2088" w:name="_Toc152042485"/>
      <w:bookmarkStart w:id="2089" w:name="_Toc454359391"/>
      <w:bookmarkStart w:id="2090" w:name="_Toc503536302"/>
      <w:r>
        <w:rPr>
          <w:rFonts w:hint="eastAsia" w:ascii="宋体" w:hAnsi="宋体" w:cs="宋体"/>
          <w:highlight w:val="none"/>
        </w:rPr>
        <w:t>15.1 变更的范围和内容</w:t>
      </w:r>
      <w:bookmarkEnd w:id="2083"/>
      <w:bookmarkEnd w:id="2084"/>
      <w:bookmarkEnd w:id="2085"/>
      <w:bookmarkEnd w:id="2086"/>
      <w:bookmarkEnd w:id="2087"/>
      <w:bookmarkEnd w:id="2088"/>
      <w:bookmarkEnd w:id="2089"/>
      <w:bookmarkEnd w:id="2090"/>
    </w:p>
    <w:p w14:paraId="1980E385">
      <w:pPr>
        <w:spacing w:line="360" w:lineRule="auto"/>
        <w:ind w:firstLine="420" w:firstLineChars="200"/>
        <w:rPr>
          <w:rFonts w:hint="eastAsia" w:ascii="宋体" w:hAnsi="宋体" w:cs="宋体"/>
          <w:highlight w:val="none"/>
          <w:u w:val="single"/>
        </w:rPr>
      </w:pPr>
      <w:r>
        <w:rPr>
          <w:rFonts w:hint="eastAsia" w:ascii="宋体" w:hAnsi="宋体" w:cs="宋体"/>
          <w:highlight w:val="none"/>
        </w:rPr>
        <w:t>应当进行变更的其他情形：</w:t>
      </w:r>
      <w:r>
        <w:rPr>
          <w:rFonts w:hint="eastAsia" w:ascii="宋体" w:hAnsi="宋体" w:cs="宋体"/>
          <w:highlight w:val="none"/>
          <w:u w:val="single"/>
        </w:rPr>
        <w:t>合同风险范围之外的风险引起的合同价款的调整方法（除以下情况外均为承包人承担的风险）：</w:t>
      </w:r>
    </w:p>
    <w:p w14:paraId="00A52216">
      <w:pPr>
        <w:spacing w:line="360" w:lineRule="auto"/>
        <w:ind w:firstLine="420" w:firstLineChars="200"/>
        <w:rPr>
          <w:rFonts w:hint="eastAsia" w:ascii="宋体" w:hAnsi="宋体" w:cs="宋体"/>
          <w:highlight w:val="none"/>
          <w:u w:val="single"/>
        </w:rPr>
      </w:pPr>
      <w:r>
        <w:rPr>
          <w:rFonts w:hint="eastAsia" w:ascii="宋体" w:hAnsi="宋体" w:cs="宋体"/>
          <w:highlight w:val="none"/>
          <w:u w:val="single"/>
        </w:rPr>
        <w:t>①本合同签订后，施工过程中因法律、法规、规章及规范性文件发生变化，且这种变化对合同价款具有强制性调整作用时，合同价款按照相关法律、法规、规章和规范性文件，由承包人提出经发包人确认后予以调整。</w:t>
      </w:r>
    </w:p>
    <w:p w14:paraId="5A196561">
      <w:pPr>
        <w:spacing w:line="360" w:lineRule="auto"/>
        <w:ind w:firstLine="420" w:firstLineChars="200"/>
        <w:rPr>
          <w:rFonts w:hint="eastAsia" w:ascii="宋体" w:hAnsi="宋体" w:cs="宋体"/>
          <w:highlight w:val="none"/>
          <w:u w:val="single"/>
        </w:rPr>
      </w:pPr>
      <w:r>
        <w:rPr>
          <w:rFonts w:hint="eastAsia" w:ascii="宋体" w:hAnsi="宋体" w:cs="宋体"/>
          <w:highlight w:val="none"/>
          <w:u w:val="single"/>
        </w:rPr>
        <w:t>②暂估价的材料和工程设备的暂估价，结算时仅调整实际价款与暂估价的差额及相应税金，不再调整其他任何费用。</w:t>
      </w:r>
    </w:p>
    <w:p w14:paraId="1B532DB5">
      <w:pPr>
        <w:spacing w:line="360" w:lineRule="auto"/>
        <w:ind w:firstLine="420" w:firstLineChars="200"/>
        <w:rPr>
          <w:rFonts w:hint="eastAsia" w:ascii="宋体" w:hAnsi="宋体" w:cs="宋体"/>
          <w:highlight w:val="none"/>
          <w:u w:val="single"/>
        </w:rPr>
      </w:pPr>
      <w:r>
        <w:rPr>
          <w:rFonts w:hint="eastAsia" w:ascii="宋体" w:hAnsi="宋体" w:cs="宋体"/>
          <w:highlight w:val="none"/>
          <w:u w:val="single"/>
        </w:rPr>
        <w:t>③计日工项目发生时，依据合同条款通用部分第15.7款的约定执行。</w:t>
      </w:r>
    </w:p>
    <w:p w14:paraId="610D342C">
      <w:pPr>
        <w:spacing w:line="360" w:lineRule="auto"/>
        <w:ind w:firstLine="420" w:firstLineChars="200"/>
        <w:rPr>
          <w:rFonts w:hint="eastAsia" w:ascii="宋体" w:hAnsi="宋体" w:cs="宋体"/>
          <w:highlight w:val="none"/>
          <w:u w:val="single"/>
        </w:rPr>
      </w:pPr>
      <w:r>
        <w:rPr>
          <w:rFonts w:hint="eastAsia" w:ascii="宋体" w:hAnsi="宋体" w:cs="宋体"/>
          <w:highlight w:val="none"/>
          <w:u w:val="single"/>
        </w:rPr>
        <w:t>④暂列金额依据合同条款通用部分第15.6条的约定执行。</w:t>
      </w:r>
    </w:p>
    <w:p w14:paraId="52975765">
      <w:pPr>
        <w:spacing w:line="360" w:lineRule="auto"/>
        <w:ind w:firstLine="420" w:firstLineChars="200"/>
        <w:rPr>
          <w:rFonts w:hint="eastAsia" w:ascii="宋体" w:hAnsi="宋体" w:cs="宋体"/>
          <w:highlight w:val="none"/>
          <w:u w:val="single"/>
        </w:rPr>
      </w:pPr>
      <w:r>
        <w:rPr>
          <w:rFonts w:hint="eastAsia" w:ascii="宋体" w:hAnsi="宋体" w:cs="宋体"/>
          <w:highlight w:val="none"/>
          <w:u w:val="single"/>
        </w:rPr>
        <w:t>⑤施工过程中发生的变更洽商费用，由承包人向监理人提出，监理人审核后，报甲方结算时进行审定。</w:t>
      </w:r>
    </w:p>
    <w:p w14:paraId="1300AE9D">
      <w:pPr>
        <w:spacing w:line="360" w:lineRule="auto"/>
        <w:ind w:firstLine="420" w:firstLineChars="200"/>
        <w:rPr>
          <w:rFonts w:hint="eastAsia" w:ascii="宋体" w:hAnsi="宋体" w:cs="宋体"/>
          <w:highlight w:val="none"/>
          <w:u w:val="single"/>
        </w:rPr>
      </w:pPr>
      <w:r>
        <w:rPr>
          <w:rFonts w:hint="eastAsia" w:ascii="宋体" w:hAnsi="宋体" w:cs="宋体"/>
          <w:highlight w:val="none"/>
          <w:u w:val="single"/>
        </w:rPr>
        <w:t>⑥增加或减少合同承包范围，按照合同有关规定增减费用。</w:t>
      </w:r>
    </w:p>
    <w:p w14:paraId="1C376640">
      <w:pPr>
        <w:spacing w:line="360" w:lineRule="auto"/>
        <w:ind w:firstLine="420" w:firstLineChars="200"/>
        <w:rPr>
          <w:rFonts w:hint="eastAsia" w:ascii="宋体" w:hAnsi="宋体" w:cs="宋体"/>
          <w:highlight w:val="none"/>
          <w:u w:val="single"/>
        </w:rPr>
      </w:pPr>
      <w:r>
        <w:rPr>
          <w:rFonts w:hint="eastAsia" w:ascii="宋体" w:hAnsi="宋体" w:cs="宋体"/>
          <w:highlight w:val="none"/>
          <w:u w:val="single"/>
        </w:rPr>
        <w:t>⑦发生的不可抗力，按照合同有关规定双方各自承担有关费用</w:t>
      </w:r>
      <w:r>
        <w:rPr>
          <w:rFonts w:hint="eastAsia" w:ascii="宋体" w:hAnsi="宋体" w:cs="宋体"/>
          <w:highlight w:val="none"/>
        </w:rPr>
        <w:t>。</w:t>
      </w:r>
    </w:p>
    <w:p w14:paraId="145A54FB">
      <w:pPr>
        <w:spacing w:line="360" w:lineRule="auto"/>
        <w:ind w:firstLine="420" w:firstLineChars="200"/>
        <w:rPr>
          <w:rFonts w:hint="eastAsia" w:ascii="宋体" w:hAnsi="宋体" w:cs="宋体"/>
          <w:highlight w:val="none"/>
        </w:rPr>
      </w:pPr>
      <w:r>
        <w:rPr>
          <w:rFonts w:hint="eastAsia" w:ascii="宋体" w:hAnsi="宋体" w:cs="宋体"/>
          <w:highlight w:val="none"/>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87AEFB5">
      <w:pPr>
        <w:spacing w:line="360" w:lineRule="auto"/>
        <w:rPr>
          <w:rFonts w:hint="eastAsia" w:ascii="宋体" w:hAnsi="宋体" w:cs="宋体"/>
          <w:highlight w:val="none"/>
        </w:rPr>
      </w:pPr>
      <w:bookmarkStart w:id="2091" w:name="_Toc503536303"/>
      <w:bookmarkStart w:id="2092" w:name="_Toc342296475"/>
      <w:bookmarkStart w:id="2093" w:name="_Toc152042487"/>
      <w:bookmarkStart w:id="2094" w:name="_Toc454359392"/>
      <w:bookmarkStart w:id="2095" w:name="_Toc144974678"/>
      <w:bookmarkStart w:id="2096" w:name="_Toc241459716"/>
      <w:bookmarkStart w:id="2097" w:name="_Toc152045709"/>
      <w:bookmarkStart w:id="2098" w:name="_Toc179632727"/>
      <w:r>
        <w:rPr>
          <w:rFonts w:hint="eastAsia" w:ascii="宋体" w:hAnsi="宋体" w:cs="宋体"/>
          <w:highlight w:val="none"/>
        </w:rPr>
        <w:t>15.3 变更程序</w:t>
      </w:r>
      <w:bookmarkEnd w:id="2091"/>
      <w:bookmarkEnd w:id="2092"/>
      <w:bookmarkEnd w:id="2093"/>
      <w:bookmarkEnd w:id="2094"/>
      <w:bookmarkEnd w:id="2095"/>
      <w:bookmarkEnd w:id="2096"/>
      <w:bookmarkEnd w:id="2097"/>
      <w:bookmarkEnd w:id="2098"/>
    </w:p>
    <w:p w14:paraId="4F4ADA61">
      <w:pPr>
        <w:spacing w:line="360" w:lineRule="auto"/>
        <w:ind w:firstLine="420" w:firstLineChars="200"/>
        <w:rPr>
          <w:rFonts w:hint="eastAsia" w:ascii="宋体" w:hAnsi="宋体" w:cs="宋体"/>
          <w:highlight w:val="none"/>
        </w:rPr>
      </w:pPr>
      <w:r>
        <w:rPr>
          <w:rFonts w:hint="eastAsia" w:ascii="宋体" w:hAnsi="宋体" w:cs="宋体"/>
          <w:highlight w:val="none"/>
        </w:rPr>
        <w:t>15.3.2 变更估价</w:t>
      </w:r>
    </w:p>
    <w:p w14:paraId="05A89D19">
      <w:pPr>
        <w:spacing w:line="360" w:lineRule="auto"/>
        <w:ind w:firstLine="420" w:firstLineChars="200"/>
        <w:rPr>
          <w:rFonts w:hint="eastAsia" w:ascii="宋体" w:hAnsi="宋体" w:cs="宋体"/>
          <w:highlight w:val="none"/>
        </w:rPr>
      </w:pPr>
      <w:r>
        <w:rPr>
          <w:rFonts w:hint="eastAsia" w:ascii="宋体" w:hAnsi="宋体" w:cs="宋体"/>
          <w:highlight w:val="none"/>
        </w:rPr>
        <w:t>（1）承包人提交变更报价书的期限：</w:t>
      </w:r>
      <w:r>
        <w:rPr>
          <w:rFonts w:hint="eastAsia" w:ascii="宋体" w:hAnsi="宋体" w:cs="宋体"/>
          <w:highlight w:val="none"/>
          <w:u w:val="single"/>
        </w:rPr>
        <w:t xml:space="preserve">承包人收到变更指示或变更意向书后的14天内 </w:t>
      </w:r>
      <w:r>
        <w:rPr>
          <w:rFonts w:hint="eastAsia" w:ascii="宋体" w:hAnsi="宋体" w:cs="宋体"/>
          <w:highlight w:val="none"/>
        </w:rPr>
        <w:t>。</w:t>
      </w:r>
    </w:p>
    <w:p w14:paraId="309F841A">
      <w:pPr>
        <w:spacing w:line="360" w:lineRule="auto"/>
        <w:ind w:firstLine="420" w:firstLineChars="200"/>
        <w:rPr>
          <w:rFonts w:hint="eastAsia" w:ascii="宋体" w:hAnsi="宋体" w:cs="宋体"/>
          <w:highlight w:val="none"/>
        </w:rPr>
      </w:pPr>
      <w:r>
        <w:rPr>
          <w:rFonts w:hint="eastAsia" w:ascii="宋体" w:hAnsi="宋体" w:cs="宋体"/>
          <w:highlight w:val="none"/>
        </w:rPr>
        <w:t>（3）监理人商定或确定变更价格的期限：</w:t>
      </w:r>
      <w:r>
        <w:rPr>
          <w:rFonts w:hint="eastAsia" w:ascii="宋体" w:hAnsi="宋体" w:cs="宋体"/>
          <w:highlight w:val="none"/>
          <w:u w:val="single"/>
        </w:rPr>
        <w:t xml:space="preserve">监理人收到承包人变更报价书后的14天内 </w:t>
      </w:r>
      <w:r>
        <w:rPr>
          <w:rFonts w:hint="eastAsia" w:ascii="宋体" w:hAnsi="宋体" w:cs="宋体"/>
          <w:highlight w:val="none"/>
        </w:rPr>
        <w:t>。</w:t>
      </w:r>
    </w:p>
    <w:p w14:paraId="729B9FE0">
      <w:pPr>
        <w:spacing w:line="360" w:lineRule="auto"/>
        <w:ind w:firstLine="420" w:firstLineChars="200"/>
        <w:rPr>
          <w:rFonts w:hint="eastAsia" w:ascii="宋体" w:hAnsi="宋体" w:cs="宋体"/>
          <w:highlight w:val="none"/>
        </w:rPr>
      </w:pPr>
      <w:r>
        <w:rPr>
          <w:rFonts w:hint="eastAsia" w:ascii="宋体" w:hAnsi="宋体" w:cs="宋体"/>
          <w:highlight w:val="none"/>
        </w:rPr>
        <w:t>（4）收到变更指示后，如承包人未在规定的期限内提交变更报价书的，监理人可自行决定是否调整合同价款以及如果监理人决定调整合同价款时，相应调整的具体金额。</w:t>
      </w:r>
    </w:p>
    <w:p w14:paraId="57514AB0">
      <w:pPr>
        <w:spacing w:line="360" w:lineRule="auto"/>
        <w:rPr>
          <w:rFonts w:hint="eastAsia" w:ascii="宋体" w:hAnsi="宋体" w:cs="宋体"/>
          <w:highlight w:val="none"/>
        </w:rPr>
      </w:pPr>
      <w:bookmarkStart w:id="2099" w:name="_Toc241459717"/>
      <w:bookmarkStart w:id="2100" w:name="_Toc503536304"/>
      <w:bookmarkStart w:id="2101" w:name="_Toc342296476"/>
      <w:bookmarkStart w:id="2102" w:name="_Toc152045710"/>
      <w:bookmarkStart w:id="2103" w:name="_Toc144974679"/>
      <w:bookmarkStart w:id="2104" w:name="_Toc454359393"/>
      <w:bookmarkStart w:id="2105" w:name="_Toc179632728"/>
      <w:bookmarkStart w:id="2106" w:name="_Toc152042488"/>
      <w:r>
        <w:rPr>
          <w:rFonts w:hint="eastAsia" w:ascii="宋体" w:hAnsi="宋体" w:cs="宋体"/>
          <w:highlight w:val="none"/>
        </w:rPr>
        <w:t>15.4 变更的估价原则</w:t>
      </w:r>
      <w:bookmarkEnd w:id="2099"/>
      <w:bookmarkEnd w:id="2100"/>
      <w:bookmarkEnd w:id="2101"/>
      <w:bookmarkEnd w:id="2102"/>
      <w:bookmarkEnd w:id="2103"/>
      <w:bookmarkEnd w:id="2104"/>
      <w:bookmarkEnd w:id="2105"/>
      <w:bookmarkEnd w:id="2106"/>
    </w:p>
    <w:p w14:paraId="64AB1495">
      <w:pPr>
        <w:spacing w:line="360" w:lineRule="auto"/>
        <w:ind w:firstLine="420" w:firstLineChars="200"/>
        <w:rPr>
          <w:rFonts w:hint="eastAsia" w:ascii="宋体" w:hAnsi="宋体" w:cs="宋体"/>
          <w:highlight w:val="none"/>
        </w:rPr>
      </w:pPr>
      <w:r>
        <w:rPr>
          <w:rFonts w:hint="eastAsia" w:ascii="宋体" w:hAnsi="宋体" w:cs="宋体"/>
          <w:highlight w:val="none"/>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12417F62">
      <w:pPr>
        <w:spacing w:line="360" w:lineRule="auto"/>
        <w:ind w:firstLine="420" w:firstLineChars="200"/>
        <w:rPr>
          <w:rFonts w:hint="eastAsia" w:ascii="宋体" w:hAnsi="宋体" w:cs="宋体"/>
          <w:highlight w:val="none"/>
        </w:rPr>
      </w:pPr>
      <w:r>
        <w:rPr>
          <w:rFonts w:hint="eastAsia" w:ascii="宋体" w:hAnsi="宋体" w:cs="宋体"/>
          <w:highlight w:val="none"/>
        </w:rPr>
        <w:t>15.4.5 合同协议书约定采用单价合同形式时，因非承包人原因引起已标价工程量清单中列明的工程量发生增减，且单个子目工程量变化幅度在</w:t>
      </w:r>
      <w:r>
        <w:rPr>
          <w:rFonts w:hint="eastAsia" w:ascii="宋体" w:hAnsi="宋体" w:cs="宋体"/>
          <w:highlight w:val="none"/>
          <w:u w:val="single"/>
        </w:rPr>
        <w:t xml:space="preserve">  15  </w:t>
      </w:r>
      <w:r>
        <w:rPr>
          <w:rFonts w:hint="eastAsia" w:ascii="宋体" w:hAnsi="宋体" w:cs="宋体"/>
          <w:highlight w:val="none"/>
        </w:rPr>
        <w:t>%以内（含）时，应执行已标价工程量清单中列明的该子目的单价；单个子目工程量变化幅度在</w:t>
      </w:r>
      <w:r>
        <w:rPr>
          <w:rFonts w:hint="eastAsia" w:ascii="宋体" w:hAnsi="宋体" w:cs="宋体"/>
          <w:highlight w:val="none"/>
          <w:u w:val="single"/>
        </w:rPr>
        <w:t xml:space="preserve">   15  </w:t>
      </w:r>
      <w:r>
        <w:rPr>
          <w:rFonts w:hint="eastAsia" w:ascii="宋体" w:hAnsi="宋体" w:cs="宋体"/>
          <w:highlight w:val="none"/>
        </w:rPr>
        <w:t>%以外（不含），且导致分部分项工程费总额变化幅度超过</w:t>
      </w:r>
      <w:r>
        <w:rPr>
          <w:rFonts w:hint="eastAsia" w:ascii="宋体" w:hAnsi="宋体" w:cs="宋体"/>
          <w:highlight w:val="none"/>
          <w:u w:val="single"/>
        </w:rPr>
        <w:t xml:space="preserve">   1   </w:t>
      </w:r>
      <w:r>
        <w:rPr>
          <w:rFonts w:hint="eastAsia" w:ascii="宋体" w:hAnsi="宋体" w:cs="宋体"/>
          <w:highlight w:val="none"/>
        </w:rPr>
        <w:t>%时，由承包人提出并由监理人按第3.5款商定或确定新的单价，该子目按修正后的新的单价计价。</w:t>
      </w:r>
    </w:p>
    <w:p w14:paraId="75C0919D">
      <w:pPr>
        <w:spacing w:line="360" w:lineRule="auto"/>
        <w:ind w:firstLine="525" w:firstLineChars="250"/>
        <w:rPr>
          <w:rFonts w:hint="eastAsia" w:ascii="宋体" w:hAnsi="宋体" w:cs="宋体"/>
          <w:highlight w:val="none"/>
        </w:rPr>
      </w:pPr>
      <w:r>
        <w:rPr>
          <w:rFonts w:hint="eastAsia" w:ascii="宋体" w:hAnsi="宋体" w:cs="宋体"/>
          <w:highlight w:val="none"/>
        </w:rPr>
        <w:t>15.4.6 因变更引起价格调整的其他处理方式：</w:t>
      </w:r>
    </w:p>
    <w:p w14:paraId="779F2B05">
      <w:pPr>
        <w:spacing w:line="360" w:lineRule="auto"/>
        <w:ind w:firstLine="525" w:firstLineChars="250"/>
        <w:rPr>
          <w:rFonts w:hint="eastAsia" w:ascii="宋体" w:hAnsi="宋体" w:cs="宋体"/>
          <w:highlight w:val="none"/>
          <w:u w:val="single"/>
        </w:rPr>
      </w:pPr>
      <w:r>
        <w:rPr>
          <w:rFonts w:hint="eastAsia" w:ascii="宋体" w:hAnsi="宋体" w:cs="宋体"/>
          <w:highlight w:val="none"/>
          <w:u w:val="single"/>
        </w:rPr>
        <w:t xml:space="preserve">  ①以具体数量为计量单位的单价措施项目，综合单价固定包死（结算不予调整），工程量依据实际发生并按计算规则重新确定；</w:t>
      </w:r>
    </w:p>
    <w:p w14:paraId="304249BE">
      <w:pPr>
        <w:spacing w:line="360" w:lineRule="auto"/>
        <w:ind w:firstLine="525" w:firstLineChars="250"/>
        <w:rPr>
          <w:rFonts w:hint="eastAsia" w:ascii="宋体" w:hAnsi="宋体" w:cs="宋体"/>
          <w:highlight w:val="none"/>
          <w:u w:val="single"/>
        </w:rPr>
      </w:pPr>
      <w:r>
        <w:rPr>
          <w:rFonts w:hint="eastAsia" w:ascii="宋体" w:hAnsi="宋体" w:cs="宋体"/>
          <w:highlight w:val="none"/>
          <w:u w:val="single"/>
        </w:rPr>
        <w:t>②以项为单位措施项目清单和其他项目清单费用固定包死；</w:t>
      </w:r>
    </w:p>
    <w:p w14:paraId="7A13B94A">
      <w:pPr>
        <w:spacing w:line="360" w:lineRule="auto"/>
        <w:ind w:firstLine="525" w:firstLineChars="250"/>
        <w:rPr>
          <w:rFonts w:hint="eastAsia" w:ascii="宋体" w:hAnsi="宋体" w:cs="宋体"/>
          <w:highlight w:val="none"/>
          <w:u w:val="single"/>
        </w:rPr>
      </w:pPr>
      <w:r>
        <w:rPr>
          <w:rFonts w:hint="eastAsia" w:ascii="宋体" w:hAnsi="宋体" w:cs="宋体"/>
          <w:highlight w:val="none"/>
          <w:u w:val="single"/>
        </w:rPr>
        <w:t>③需调整分部分项工程综合单价或确定新的综合单价时，若符合15.4款的按15.4款的方法调整；如果15.4款没有适用的条款时，工程量单价按投标期北京工程造价信息价中的人、材、机及投标费率组成，工程造价信息价没有的，按投标书费率及类似定额工料机基价的调整系数进行调整；</w:t>
      </w:r>
    </w:p>
    <w:p w14:paraId="61B83FB8">
      <w:pPr>
        <w:spacing w:line="360" w:lineRule="auto"/>
        <w:ind w:firstLine="525" w:firstLineChars="250"/>
        <w:rPr>
          <w:rFonts w:hint="eastAsia" w:ascii="宋体" w:hAnsi="宋体" w:cs="宋体"/>
          <w:highlight w:val="none"/>
        </w:rPr>
      </w:pPr>
      <w:r>
        <w:rPr>
          <w:rFonts w:hint="eastAsia" w:ascii="宋体" w:hAnsi="宋体" w:cs="宋体"/>
          <w:highlight w:val="none"/>
          <w:u w:val="single"/>
        </w:rPr>
        <w:t>④分部分项工程综合单价调整时，材料费、机械费、人工费价差调整只计取税金，不再计取其他任何费用。</w:t>
      </w:r>
    </w:p>
    <w:p w14:paraId="74716F26">
      <w:pPr>
        <w:spacing w:line="360" w:lineRule="auto"/>
        <w:rPr>
          <w:rFonts w:hint="eastAsia" w:ascii="宋体" w:hAnsi="宋体" w:cs="宋体"/>
          <w:highlight w:val="none"/>
        </w:rPr>
      </w:pPr>
      <w:bookmarkStart w:id="2107" w:name="_Toc503536305"/>
      <w:bookmarkStart w:id="2108" w:name="_Toc454359394"/>
      <w:bookmarkStart w:id="2109" w:name="_Toc152045711"/>
      <w:bookmarkStart w:id="2110" w:name="_Toc179632729"/>
      <w:bookmarkStart w:id="2111" w:name="_Toc152042489"/>
      <w:bookmarkStart w:id="2112" w:name="_Toc342296477"/>
      <w:bookmarkStart w:id="2113" w:name="_Toc241459718"/>
      <w:bookmarkStart w:id="2114" w:name="_Toc144974680"/>
      <w:r>
        <w:rPr>
          <w:rFonts w:hint="eastAsia" w:ascii="宋体" w:hAnsi="宋体" w:cs="宋体"/>
          <w:highlight w:val="none"/>
        </w:rPr>
        <w:t>15.5 承包人的合理化建议</w:t>
      </w:r>
      <w:bookmarkEnd w:id="2107"/>
      <w:bookmarkEnd w:id="2108"/>
      <w:bookmarkEnd w:id="2109"/>
      <w:bookmarkEnd w:id="2110"/>
      <w:bookmarkEnd w:id="2111"/>
      <w:bookmarkEnd w:id="2112"/>
      <w:bookmarkEnd w:id="2113"/>
      <w:bookmarkEnd w:id="2114"/>
    </w:p>
    <w:p w14:paraId="3EC207EE">
      <w:pPr>
        <w:spacing w:line="360" w:lineRule="auto"/>
        <w:ind w:firstLine="420" w:firstLineChars="200"/>
        <w:rPr>
          <w:rFonts w:hint="eastAsia" w:ascii="宋体" w:hAnsi="宋体" w:cs="宋体"/>
          <w:highlight w:val="none"/>
        </w:rPr>
      </w:pPr>
      <w:r>
        <w:rPr>
          <w:rFonts w:hint="eastAsia" w:ascii="宋体" w:hAnsi="宋体" w:cs="宋体"/>
          <w:highlight w:val="none"/>
        </w:rPr>
        <w:t>15.5.2对承包人提出合理化建议的奖励方法：</w:t>
      </w:r>
      <w:r>
        <w:rPr>
          <w:rFonts w:hint="eastAsia" w:ascii="宋体" w:hAnsi="宋体" w:cs="宋体"/>
          <w:highlight w:val="none"/>
          <w:u w:val="single"/>
        </w:rPr>
        <w:t xml:space="preserve">    /    </w:t>
      </w:r>
      <w:r>
        <w:rPr>
          <w:rFonts w:hint="eastAsia" w:ascii="宋体" w:hAnsi="宋体" w:cs="宋体"/>
          <w:highlight w:val="none"/>
        </w:rPr>
        <w:t>。</w:t>
      </w:r>
    </w:p>
    <w:p w14:paraId="34B70A81">
      <w:pPr>
        <w:spacing w:line="360" w:lineRule="auto"/>
        <w:rPr>
          <w:rFonts w:hint="eastAsia" w:ascii="宋体" w:hAnsi="宋体" w:cs="宋体"/>
          <w:highlight w:val="none"/>
        </w:rPr>
      </w:pPr>
      <w:bookmarkStart w:id="2115" w:name="_Toc144974683"/>
      <w:bookmarkStart w:id="2116" w:name="_Toc342296478"/>
      <w:bookmarkStart w:id="2117" w:name="_Toc241459719"/>
      <w:bookmarkStart w:id="2118" w:name="_Toc152045714"/>
      <w:bookmarkStart w:id="2119" w:name="_Toc503536306"/>
      <w:bookmarkStart w:id="2120" w:name="_Toc179632732"/>
      <w:bookmarkStart w:id="2121" w:name="_Toc454359395"/>
      <w:bookmarkStart w:id="2122" w:name="_Toc152042492"/>
      <w:r>
        <w:rPr>
          <w:rFonts w:hint="eastAsia" w:ascii="宋体" w:hAnsi="宋体" w:cs="宋体"/>
          <w:highlight w:val="none"/>
        </w:rPr>
        <w:t>15.8 暂估价</w:t>
      </w:r>
      <w:bookmarkEnd w:id="2115"/>
      <w:bookmarkEnd w:id="2116"/>
      <w:bookmarkEnd w:id="2117"/>
      <w:bookmarkEnd w:id="2118"/>
      <w:bookmarkEnd w:id="2119"/>
      <w:bookmarkEnd w:id="2120"/>
      <w:bookmarkEnd w:id="2121"/>
      <w:bookmarkEnd w:id="2122"/>
    </w:p>
    <w:p w14:paraId="6D1AD6EB">
      <w:pPr>
        <w:spacing w:line="360" w:lineRule="auto"/>
        <w:ind w:firstLine="420" w:firstLineChars="200"/>
        <w:rPr>
          <w:rFonts w:hint="eastAsia" w:ascii="宋体" w:hAnsi="宋体" w:cs="宋体"/>
          <w:highlight w:val="none"/>
        </w:rPr>
      </w:pPr>
      <w:r>
        <w:rPr>
          <w:rFonts w:hint="eastAsia" w:ascii="宋体" w:hAnsi="宋体" w:cs="宋体"/>
          <w:highlight w:val="none"/>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39B3F054">
      <w:pPr>
        <w:spacing w:line="360" w:lineRule="auto"/>
        <w:ind w:firstLine="420" w:firstLineChars="200"/>
        <w:rPr>
          <w:rFonts w:hint="eastAsia" w:ascii="宋体" w:hAnsi="宋体" w:cs="宋体"/>
          <w:highlight w:val="none"/>
        </w:rPr>
      </w:pPr>
      <w:r>
        <w:rPr>
          <w:rFonts w:hint="eastAsia" w:ascii="宋体" w:hAnsi="宋体" w:cs="宋体"/>
          <w:highlight w:val="none"/>
        </w:rPr>
        <w:t>（1）在任何招标工作启动前，承包人应当提前至少</w:t>
      </w:r>
      <w:r>
        <w:rPr>
          <w:rFonts w:hint="eastAsia" w:ascii="宋体" w:hAnsi="宋体" w:cs="宋体"/>
          <w:highlight w:val="none"/>
          <w:u w:val="single"/>
        </w:rPr>
        <w:t xml:space="preserve">   3   </w:t>
      </w:r>
      <w:r>
        <w:rPr>
          <w:rFonts w:hint="eastAsia" w:ascii="宋体" w:hAnsi="宋体" w:cs="宋体"/>
          <w:highlight w:val="none"/>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cs="宋体"/>
          <w:highlight w:val="none"/>
          <w:u w:val="single"/>
        </w:rPr>
        <w:t xml:space="preserve">  3  </w:t>
      </w:r>
      <w:r>
        <w:rPr>
          <w:rFonts w:hint="eastAsia" w:ascii="宋体" w:hAnsi="宋体" w:cs="宋体"/>
          <w:highlight w:val="none"/>
        </w:rPr>
        <w:t>天内给予批准或者提出修改意见。承包人应当严格按照经过发包人批准的招标工作计划开展招标工作。</w:t>
      </w:r>
    </w:p>
    <w:p w14:paraId="4717A334">
      <w:pPr>
        <w:spacing w:line="360" w:lineRule="auto"/>
        <w:ind w:firstLine="420" w:firstLineChars="200"/>
        <w:rPr>
          <w:rFonts w:hint="eastAsia" w:ascii="宋体" w:hAnsi="宋体" w:cs="宋体"/>
          <w:highlight w:val="none"/>
        </w:rPr>
      </w:pPr>
      <w:r>
        <w:rPr>
          <w:rFonts w:hint="eastAsia" w:ascii="宋体" w:hAnsi="宋体" w:cs="宋体"/>
          <w:highlight w:val="none"/>
        </w:rPr>
        <w:t>（2）承包人应当在发出招标公告（或者资格预审公告或者投标邀请书）、资格预审文件和竞争性磋商文件前至少</w:t>
      </w:r>
      <w:r>
        <w:rPr>
          <w:rFonts w:hint="eastAsia" w:ascii="宋体" w:hAnsi="宋体" w:cs="宋体"/>
          <w:highlight w:val="none"/>
          <w:u w:val="single"/>
        </w:rPr>
        <w:t xml:space="preserve">   3   </w:t>
      </w:r>
      <w:r>
        <w:rPr>
          <w:rFonts w:hint="eastAsia" w:ascii="宋体" w:hAnsi="宋体" w:cs="宋体"/>
          <w:highlight w:val="none"/>
        </w:rPr>
        <w:t>天，分别将相关文件通过监理人报请发包人审批，发包人应当在监理人收到承包人报送的相关文件后</w:t>
      </w:r>
      <w:r>
        <w:rPr>
          <w:rFonts w:hint="eastAsia" w:ascii="宋体" w:hAnsi="宋体" w:cs="宋体"/>
          <w:highlight w:val="none"/>
          <w:u w:val="single"/>
        </w:rPr>
        <w:t xml:space="preserve">   3   </w:t>
      </w:r>
      <w:r>
        <w:rPr>
          <w:rFonts w:hint="eastAsia" w:ascii="宋体" w:hAnsi="宋体" w:cs="宋体"/>
          <w:highlight w:val="none"/>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0DCCFD0">
      <w:pPr>
        <w:spacing w:line="360" w:lineRule="auto"/>
        <w:ind w:firstLine="420" w:firstLineChars="200"/>
        <w:rPr>
          <w:rFonts w:hint="eastAsia" w:ascii="宋体" w:hAnsi="宋体" w:cs="宋体"/>
          <w:highlight w:val="none"/>
        </w:rPr>
      </w:pPr>
      <w:r>
        <w:rPr>
          <w:rFonts w:hint="eastAsia" w:ascii="宋体" w:hAnsi="宋体" w:cs="宋体"/>
          <w:highlight w:val="none"/>
        </w:rPr>
        <w:t>（3）如果发、承包任何一方委派评标代表，评标委员会应当由七人以上单数构成。除发包人或者承包人自愿放弃委派评标代表的权利外，招标人评标代表应当分别由发包人和承包人等额委派。</w:t>
      </w:r>
    </w:p>
    <w:p w14:paraId="621D5B2B">
      <w:pPr>
        <w:spacing w:line="360" w:lineRule="auto"/>
        <w:ind w:firstLine="420" w:firstLineChars="200"/>
        <w:rPr>
          <w:rFonts w:hint="eastAsia" w:ascii="宋体" w:hAnsi="宋体" w:cs="宋体"/>
          <w:highlight w:val="none"/>
        </w:rPr>
      </w:pPr>
      <w:r>
        <w:rPr>
          <w:rFonts w:hint="eastAsia" w:ascii="宋体" w:hAnsi="宋体" w:cs="宋体"/>
          <w:highlight w:val="none"/>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1B3F5D29">
      <w:pPr>
        <w:spacing w:line="360" w:lineRule="auto"/>
        <w:ind w:firstLine="420" w:firstLineChars="200"/>
        <w:rPr>
          <w:rFonts w:hint="eastAsia" w:ascii="宋体" w:hAnsi="宋体" w:cs="宋体"/>
          <w:highlight w:val="none"/>
        </w:rPr>
      </w:pPr>
      <w:r>
        <w:rPr>
          <w:rFonts w:hint="eastAsia" w:ascii="宋体" w:hAnsi="宋体" w:cs="宋体"/>
          <w:highlight w:val="none"/>
        </w:rPr>
        <w:t>（5）设有招标控制价的，承包人应当在竞争性磋商文件发出前提前7天将招标控制价报发包人审核认可，发包人应当在收到承包人报送的招标控制价后72小时内给予认可或者提出修改意见。招标控制价的最终审核和决定权属于发包人，未经发包人认可，承包人不得发出竞争性磋商文件。</w:t>
      </w:r>
    </w:p>
    <w:p w14:paraId="68E5ADE2">
      <w:pPr>
        <w:spacing w:line="360" w:lineRule="auto"/>
        <w:ind w:firstLine="420" w:firstLineChars="200"/>
        <w:rPr>
          <w:rFonts w:hint="eastAsia" w:ascii="宋体" w:hAnsi="宋体" w:cs="宋体"/>
          <w:highlight w:val="none"/>
        </w:rPr>
      </w:pPr>
      <w:r>
        <w:rPr>
          <w:rFonts w:hint="eastAsia" w:ascii="宋体" w:hAnsi="宋体" w:cs="宋体"/>
          <w:highlight w:val="none"/>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成交通知书。</w:t>
      </w:r>
    </w:p>
    <w:p w14:paraId="4E4C9596">
      <w:pPr>
        <w:spacing w:line="360" w:lineRule="auto"/>
        <w:ind w:firstLine="420" w:firstLineChars="200"/>
        <w:rPr>
          <w:rFonts w:hint="eastAsia" w:ascii="宋体" w:hAnsi="宋体" w:cs="宋体"/>
          <w:highlight w:val="none"/>
        </w:rPr>
      </w:pPr>
      <w:r>
        <w:rPr>
          <w:rFonts w:hint="eastAsia" w:ascii="宋体" w:hAnsi="宋体" w:cs="宋体"/>
          <w:highlight w:val="none"/>
        </w:rPr>
        <w:t>（7）承包人与专业分包人或者专项供应商订立合同前</w:t>
      </w:r>
      <w:r>
        <w:rPr>
          <w:rFonts w:hint="eastAsia" w:ascii="宋体" w:hAnsi="宋体" w:cs="宋体"/>
          <w:highlight w:val="none"/>
          <w:u w:val="single"/>
        </w:rPr>
        <w:t xml:space="preserve"> 3 </w:t>
      </w:r>
      <w:r>
        <w:rPr>
          <w:rFonts w:hint="eastAsia" w:ascii="宋体" w:hAnsi="宋体" w:cs="宋体"/>
          <w:highlight w:val="none"/>
        </w:rPr>
        <w:t>天，应当将准备用于正式签订的合同文件通过监理人报发包人审核，发包人应当在监理人收到相关文件后</w:t>
      </w:r>
      <w:r>
        <w:rPr>
          <w:rFonts w:hint="eastAsia" w:ascii="宋体" w:hAnsi="宋体" w:cs="宋体"/>
          <w:highlight w:val="none"/>
          <w:u w:val="single"/>
        </w:rPr>
        <w:t xml:space="preserve"> 3 </w:t>
      </w:r>
      <w:r>
        <w:rPr>
          <w:rFonts w:hint="eastAsia" w:ascii="宋体" w:hAnsi="宋体" w:cs="宋体"/>
          <w:highlight w:val="none"/>
        </w:rPr>
        <w:t>天内给予批准或者提出修改意见，承包人应当按照发包人批准的合同文件签订相关合同，合同订立后</w:t>
      </w:r>
      <w:r>
        <w:rPr>
          <w:rFonts w:hint="eastAsia" w:ascii="宋体" w:hAnsi="宋体" w:cs="宋体"/>
          <w:highlight w:val="none"/>
          <w:u w:val="single"/>
        </w:rPr>
        <w:t xml:space="preserve">  /  </w:t>
      </w:r>
      <w:r>
        <w:rPr>
          <w:rFonts w:hint="eastAsia" w:ascii="宋体" w:hAnsi="宋体" w:cs="宋体"/>
          <w:highlight w:val="none"/>
        </w:rPr>
        <w:t>天内，承包人应当将其中的两份副本报送监理人，其中一份由监理人报发包人留存。</w:t>
      </w:r>
    </w:p>
    <w:p w14:paraId="6B137734">
      <w:pPr>
        <w:spacing w:line="360" w:lineRule="auto"/>
        <w:ind w:firstLine="420" w:firstLineChars="200"/>
        <w:rPr>
          <w:rFonts w:hint="eastAsia" w:ascii="宋体" w:hAnsi="宋体" w:cs="宋体"/>
          <w:highlight w:val="none"/>
        </w:rPr>
      </w:pPr>
      <w:r>
        <w:rPr>
          <w:rFonts w:hint="eastAsia" w:ascii="宋体" w:hAnsi="宋体" w:cs="宋体"/>
          <w:highlight w:val="none"/>
        </w:rPr>
        <w:t>（8）发包人对承包人报送文件进行审批或提出的修改意见应当合理，并符合现行有关法律法规的规定。</w:t>
      </w:r>
    </w:p>
    <w:p w14:paraId="64D0EC51">
      <w:pPr>
        <w:spacing w:line="360" w:lineRule="auto"/>
        <w:ind w:firstLine="420" w:firstLineChars="200"/>
        <w:rPr>
          <w:rFonts w:hint="eastAsia" w:ascii="宋体" w:hAnsi="宋体" w:cs="宋体"/>
          <w:highlight w:val="none"/>
        </w:rPr>
      </w:pPr>
      <w:r>
        <w:rPr>
          <w:rFonts w:hint="eastAsia" w:ascii="宋体" w:hAnsi="宋体" w:cs="宋体"/>
          <w:highlight w:val="none"/>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3E06C4F4">
      <w:pPr>
        <w:spacing w:line="360" w:lineRule="auto"/>
        <w:ind w:firstLine="420" w:firstLineChars="200"/>
        <w:rPr>
          <w:rFonts w:hint="eastAsia" w:ascii="宋体" w:hAnsi="宋体" w:cs="宋体"/>
          <w:highlight w:val="none"/>
        </w:rPr>
      </w:pPr>
      <w:r>
        <w:rPr>
          <w:rFonts w:hint="eastAsia" w:ascii="宋体" w:hAnsi="宋体" w:cs="宋体"/>
          <w:highlight w:val="none"/>
        </w:rPr>
        <w:t>15.8.3发包人在工程量清单中给定暂估价的专业工程不属于依法必须招标的范围或者未达到依法必须招标的规模标准的，其最终价格的估价人为：</w:t>
      </w:r>
      <w:r>
        <w:rPr>
          <w:rFonts w:hint="eastAsia" w:ascii="宋体" w:hAnsi="宋体" w:cs="宋体"/>
          <w:highlight w:val="none"/>
          <w:u w:val="single"/>
        </w:rPr>
        <w:t xml:space="preserve">  /  </w:t>
      </w:r>
      <w:r>
        <w:rPr>
          <w:rFonts w:hint="eastAsia" w:ascii="宋体" w:hAnsi="宋体" w:cs="宋体"/>
          <w:highlight w:val="none"/>
        </w:rPr>
        <w:t>或者按照下列约定：</w:t>
      </w:r>
      <w:r>
        <w:rPr>
          <w:rFonts w:hint="eastAsia" w:ascii="宋体" w:hAnsi="宋体" w:cs="宋体"/>
          <w:highlight w:val="none"/>
          <w:u w:val="single"/>
        </w:rPr>
        <w:t xml:space="preserve">  /  </w:t>
      </w:r>
      <w:r>
        <w:rPr>
          <w:rFonts w:hint="eastAsia" w:ascii="宋体" w:hAnsi="宋体" w:cs="宋体"/>
          <w:highlight w:val="none"/>
        </w:rPr>
        <w:t>。</w:t>
      </w:r>
    </w:p>
    <w:p w14:paraId="24BEA334">
      <w:pPr>
        <w:rPr>
          <w:rFonts w:hint="eastAsia" w:ascii="宋体" w:hAnsi="宋体" w:cs="宋体"/>
          <w:highlight w:val="none"/>
        </w:rPr>
      </w:pPr>
      <w:bookmarkStart w:id="2123" w:name="_Toc152045715"/>
      <w:bookmarkStart w:id="2124" w:name="_Toc29875"/>
      <w:bookmarkStart w:id="2125" w:name="_Toc241459720"/>
      <w:bookmarkStart w:id="2126" w:name="_Toc4157324"/>
      <w:bookmarkStart w:id="2127" w:name="_Toc152042493"/>
      <w:bookmarkStart w:id="2128" w:name="_Toc179632733"/>
      <w:bookmarkStart w:id="2129" w:name="_Toc144974684"/>
      <w:bookmarkStart w:id="2130" w:name="_Toc342296479"/>
      <w:bookmarkStart w:id="2131" w:name="_Toc503536307"/>
      <w:r>
        <w:rPr>
          <w:rFonts w:hint="eastAsia" w:ascii="宋体" w:hAnsi="宋体" w:cs="宋体"/>
          <w:highlight w:val="none"/>
        </w:rPr>
        <w:t>16. 价格调整</w:t>
      </w:r>
      <w:bookmarkEnd w:id="2123"/>
      <w:bookmarkEnd w:id="2124"/>
      <w:bookmarkEnd w:id="2125"/>
      <w:bookmarkEnd w:id="2126"/>
      <w:bookmarkEnd w:id="2127"/>
      <w:bookmarkEnd w:id="2128"/>
      <w:bookmarkEnd w:id="2129"/>
      <w:bookmarkEnd w:id="2130"/>
      <w:bookmarkEnd w:id="2131"/>
    </w:p>
    <w:p w14:paraId="4087BE35">
      <w:pPr>
        <w:spacing w:line="360" w:lineRule="auto"/>
        <w:rPr>
          <w:rFonts w:hint="eastAsia" w:ascii="宋体" w:hAnsi="宋体" w:cs="宋体"/>
          <w:highlight w:val="none"/>
        </w:rPr>
      </w:pPr>
      <w:bookmarkStart w:id="2132" w:name="_Toc454359397"/>
      <w:bookmarkStart w:id="2133" w:name="_Toc241459721"/>
      <w:bookmarkStart w:id="2134" w:name="_Toc152045716"/>
      <w:bookmarkStart w:id="2135" w:name="_Toc179632734"/>
      <w:bookmarkStart w:id="2136" w:name="_Toc342296480"/>
      <w:bookmarkStart w:id="2137" w:name="_Toc152042494"/>
      <w:bookmarkStart w:id="2138" w:name="_Toc144974685"/>
      <w:bookmarkStart w:id="2139" w:name="_Toc503536308"/>
      <w:r>
        <w:rPr>
          <w:rFonts w:hint="eastAsia" w:ascii="宋体" w:hAnsi="宋体" w:cs="宋体"/>
          <w:highlight w:val="none"/>
        </w:rPr>
        <w:t>16.1 物价波动引起的价格调整</w:t>
      </w:r>
      <w:bookmarkEnd w:id="2132"/>
      <w:bookmarkEnd w:id="2133"/>
      <w:bookmarkEnd w:id="2134"/>
      <w:bookmarkEnd w:id="2135"/>
      <w:bookmarkEnd w:id="2136"/>
      <w:bookmarkEnd w:id="2137"/>
      <w:bookmarkEnd w:id="2138"/>
      <w:bookmarkEnd w:id="2139"/>
    </w:p>
    <w:p w14:paraId="3298D990">
      <w:pPr>
        <w:spacing w:line="360" w:lineRule="auto"/>
        <w:ind w:firstLine="420" w:firstLineChars="200"/>
        <w:rPr>
          <w:rFonts w:hint="eastAsia" w:ascii="宋体" w:hAnsi="宋体" w:cs="宋体"/>
          <w:highlight w:val="none"/>
        </w:rPr>
      </w:pPr>
      <w:r>
        <w:rPr>
          <w:rFonts w:hint="eastAsia" w:ascii="宋体" w:hAnsi="宋体" w:cs="宋体"/>
          <w:highlight w:val="none"/>
        </w:rPr>
        <w:t>物价波动引起的价格调整方法：</w:t>
      </w:r>
      <w:r>
        <w:rPr>
          <w:rFonts w:hint="eastAsia" w:ascii="宋体" w:hAnsi="宋体" w:cs="宋体"/>
          <w:highlight w:val="none"/>
          <w:u w:val="single"/>
        </w:rPr>
        <w:t xml:space="preserve">  造价信息调整价格差额法，分部分项工程综合单价指完成一个规定清单项目所需的人工费、材料费、工程设备费、施工机械使用费、企业管理费、利润，以及一定范围内的风险费用（承包人承担的风险内容和范围详见竞争性磋商文件、合同文件有关条款）。综合单价中的企业管理费和利润一次性包死，结算不再调整。风险费用由承包人自行综合考虑，已包含在综合单价中。主要材料</w:t>
      </w:r>
      <w:r>
        <w:rPr>
          <w:rFonts w:hint="eastAsia" w:ascii="宋体" w:hAnsi="宋体" w:cs="宋体"/>
          <w:bCs/>
          <w:highlight w:val="none"/>
          <w:u w:val="single"/>
        </w:rPr>
        <w:t>及人工</w:t>
      </w:r>
      <w:r>
        <w:rPr>
          <w:rFonts w:hint="eastAsia" w:ascii="宋体" w:hAnsi="宋体" w:cs="宋体"/>
          <w:highlight w:val="none"/>
          <w:u w:val="single"/>
        </w:rPr>
        <w:t>等的变化幅度超过±6%时，市场价格变化幅度确定的原则及调整方法如下：</w:t>
      </w:r>
    </w:p>
    <w:p w14:paraId="2CDF28C7">
      <w:pPr>
        <w:spacing w:line="360" w:lineRule="auto"/>
        <w:ind w:firstLine="640"/>
        <w:rPr>
          <w:rFonts w:hint="eastAsia" w:ascii="宋体" w:hAnsi="宋体" w:cs="宋体"/>
          <w:highlight w:val="none"/>
          <w:u w:val="single"/>
        </w:rPr>
      </w:pPr>
      <w:r>
        <w:rPr>
          <w:rFonts w:hint="eastAsia" w:ascii="宋体" w:hAnsi="宋体" w:cs="宋体"/>
          <w:highlight w:val="none"/>
          <w:u w:val="single"/>
        </w:rPr>
        <w:t>1.基准价：竞争性磋商文件中投标报价以最新期《北京工程造价信息》为基准期，与基准期对应的主要材料和机械以及人工市场价格为基准价。</w:t>
      </w:r>
    </w:p>
    <w:p w14:paraId="082C2E5E">
      <w:pPr>
        <w:spacing w:line="360" w:lineRule="auto"/>
        <w:ind w:firstLine="640"/>
        <w:rPr>
          <w:rFonts w:hint="eastAsia" w:ascii="宋体" w:hAnsi="宋体" w:cs="宋体"/>
          <w:highlight w:val="none"/>
          <w:u w:val="single"/>
        </w:rPr>
      </w:pPr>
      <w:r>
        <w:rPr>
          <w:rFonts w:hint="eastAsia" w:ascii="宋体" w:hAnsi="宋体" w:cs="宋体"/>
          <w:highlight w:val="none"/>
          <w:u w:val="single"/>
        </w:rPr>
        <w:t>基准价应以《北京工程造价信息》（以下简称造价信息）中的市场信息价格为依据确定。造价信息价格中有上、下限的，以下限为准；造价信息价格缺项时，应以发包人、承包人共同确认的市场价格为依据确定。</w:t>
      </w:r>
    </w:p>
    <w:p w14:paraId="21FB77FC">
      <w:pPr>
        <w:spacing w:line="360" w:lineRule="auto"/>
        <w:ind w:firstLine="640"/>
        <w:rPr>
          <w:rFonts w:hint="eastAsia" w:ascii="宋体" w:hAnsi="宋体" w:cs="宋体"/>
          <w:highlight w:val="none"/>
          <w:u w:val="single"/>
        </w:rPr>
      </w:pPr>
      <w:r>
        <w:rPr>
          <w:rFonts w:hint="eastAsia" w:ascii="宋体" w:hAnsi="宋体" w:cs="宋体"/>
          <w:highlight w:val="none"/>
          <w:u w:val="single"/>
        </w:rPr>
        <w:t>2.施工期市场价应以发包人、承包人共同确认的价格为准。若发包人、承包人未能就施工期市场价格达成一致，可以参考施工期的造价信息价格。</w:t>
      </w:r>
    </w:p>
    <w:p w14:paraId="4736BBFD">
      <w:pPr>
        <w:spacing w:line="360" w:lineRule="auto"/>
        <w:ind w:firstLine="640"/>
        <w:rPr>
          <w:rFonts w:hint="eastAsia" w:ascii="宋体" w:hAnsi="宋体" w:cs="宋体"/>
          <w:highlight w:val="none"/>
          <w:u w:val="single"/>
        </w:rPr>
      </w:pPr>
      <w:r>
        <w:rPr>
          <w:rFonts w:hint="eastAsia" w:ascii="宋体" w:hAnsi="宋体" w:cs="宋体"/>
          <w:highlight w:val="none"/>
          <w:u w:val="single"/>
        </w:rPr>
        <w:t>3.风险幅度的计算：</w:t>
      </w:r>
    </w:p>
    <w:p w14:paraId="19D6B0A7">
      <w:pPr>
        <w:spacing w:line="360" w:lineRule="auto"/>
        <w:ind w:firstLine="640"/>
        <w:rPr>
          <w:rFonts w:hint="eastAsia" w:ascii="宋体" w:hAnsi="宋体" w:cs="宋体"/>
          <w:highlight w:val="none"/>
          <w:u w:val="single"/>
        </w:rPr>
      </w:pPr>
      <w:r>
        <w:rPr>
          <w:rFonts w:hint="eastAsia" w:ascii="宋体" w:hAnsi="宋体" w:cs="宋体"/>
          <w:highlight w:val="none"/>
          <w:u w:val="single"/>
        </w:rPr>
        <w:t>（1）当承包人投标报价中的主要材料和机械以及人工单价低于基准价时，施工期市场价的涨幅以基准价格为基础确定，跌幅以投标报价为基础确定，涨（跌）幅度超过合同约定的风险幅度值时，其超过部分按第（二）条的规定执行。</w:t>
      </w:r>
    </w:p>
    <w:p w14:paraId="5C43C50B">
      <w:pPr>
        <w:spacing w:line="360" w:lineRule="auto"/>
        <w:ind w:firstLine="640"/>
        <w:rPr>
          <w:rFonts w:hint="eastAsia" w:ascii="宋体" w:hAnsi="宋体" w:cs="宋体"/>
          <w:highlight w:val="none"/>
          <w:u w:val="single"/>
        </w:rPr>
      </w:pPr>
      <w:r>
        <w:rPr>
          <w:rFonts w:hint="eastAsia" w:ascii="宋体" w:hAnsi="宋体" w:cs="宋体"/>
          <w:highlight w:val="none"/>
          <w:u w:val="single"/>
        </w:rPr>
        <w:t>（2）当承包人投标报价中的主要材料和机械以及人工单价高于基准价时，施工期市场价跌幅以基准价格为基础确定，涨幅以投标报价为基础确定，涨（跌）幅度超过合同约定的风险幅度值时，其超过部分按第（二）条的规定执行。</w:t>
      </w:r>
    </w:p>
    <w:p w14:paraId="2EEB10B0">
      <w:pPr>
        <w:spacing w:line="360" w:lineRule="auto"/>
        <w:ind w:firstLine="420" w:firstLineChars="200"/>
        <w:rPr>
          <w:rFonts w:hint="eastAsia" w:ascii="宋体" w:hAnsi="宋体" w:cs="宋体"/>
          <w:highlight w:val="none"/>
        </w:rPr>
      </w:pPr>
      <w:r>
        <w:rPr>
          <w:rFonts w:hint="eastAsia" w:ascii="宋体" w:hAnsi="宋体" w:cs="宋体"/>
          <w:highlight w:val="none"/>
          <w:u w:val="single"/>
        </w:rPr>
        <w:t xml:space="preserve">（3）当承包人投标报价中的主要材料和机械以及人工单价等于基准价时，施工期市场价涨（跌）幅度以基准价格为基础确定，涨（跌）幅度超过合同约定的风险幅度值时，其超过部分按第（二）条的规定执行。 </w:t>
      </w:r>
    </w:p>
    <w:p w14:paraId="0AEBF3AD">
      <w:pPr>
        <w:spacing w:line="360" w:lineRule="auto"/>
        <w:ind w:firstLine="640"/>
        <w:rPr>
          <w:rFonts w:hint="eastAsia" w:ascii="宋体" w:hAnsi="宋体" w:cs="宋体"/>
          <w:highlight w:val="none"/>
          <w:u w:val="single"/>
        </w:rPr>
      </w:pPr>
      <w:r>
        <w:rPr>
          <w:rFonts w:hint="eastAsia" w:ascii="宋体" w:hAnsi="宋体" w:cs="宋体"/>
          <w:highlight w:val="none"/>
          <w:u w:val="single"/>
        </w:rPr>
        <w:t>（二）超过风险幅度的调整原则</w:t>
      </w:r>
    </w:p>
    <w:p w14:paraId="18EFEF1E">
      <w:pPr>
        <w:spacing w:line="360" w:lineRule="auto"/>
        <w:ind w:firstLine="640"/>
        <w:rPr>
          <w:rFonts w:hint="eastAsia" w:ascii="宋体" w:hAnsi="宋体" w:cs="宋体"/>
          <w:highlight w:val="none"/>
          <w:u w:val="single"/>
        </w:rPr>
      </w:pPr>
      <w:r>
        <w:rPr>
          <w:rFonts w:hint="eastAsia" w:ascii="宋体" w:hAnsi="宋体" w:cs="宋体"/>
          <w:highlight w:val="none"/>
          <w:u w:val="single"/>
        </w:rPr>
        <w:t>1.施工合同中约定市场价格变化幅度超过合同约定幅度的单价调整办法，采用加权平均法。</w:t>
      </w:r>
    </w:p>
    <w:p w14:paraId="47B51F60">
      <w:pPr>
        <w:spacing w:line="360" w:lineRule="auto"/>
        <w:ind w:firstLine="640"/>
        <w:rPr>
          <w:rFonts w:hint="eastAsia" w:ascii="宋体" w:hAnsi="宋体" w:cs="宋体"/>
          <w:highlight w:val="none"/>
          <w:u w:val="single"/>
        </w:rPr>
      </w:pPr>
      <w:r>
        <w:rPr>
          <w:rFonts w:hint="eastAsia" w:ascii="宋体" w:hAnsi="宋体" w:cs="宋体"/>
          <w:highlight w:val="none"/>
          <w:u w:val="single"/>
        </w:rPr>
        <w:t>2.主要材料和机械市场价格的变化幅度小于或等于合同中约定的价格变化幅度时，不做调整；变化幅度大于合同中约定的价格变化幅度时，应当计算超过部分的价格差额，其价格差额由发包人承担或受益。</w:t>
      </w:r>
    </w:p>
    <w:p w14:paraId="0A8178AD">
      <w:pPr>
        <w:spacing w:line="360" w:lineRule="auto"/>
        <w:ind w:firstLine="640"/>
        <w:rPr>
          <w:rFonts w:hint="eastAsia" w:ascii="宋体" w:hAnsi="宋体" w:cs="宋体"/>
          <w:highlight w:val="none"/>
          <w:u w:val="single"/>
        </w:rPr>
      </w:pPr>
      <w:r>
        <w:rPr>
          <w:rFonts w:hint="eastAsia" w:ascii="宋体" w:hAnsi="宋体" w:cs="宋体"/>
          <w:highlight w:val="none"/>
          <w:u w:val="single"/>
        </w:rPr>
        <w:t>3.人工市场价格的变化幅度小于或等于合同中约定的价格变化幅度时，不做调整；变化幅度大于合同中约定的价格变化幅度时，应当计算全部价格差额，其价格差额由发包人承担或受益。</w:t>
      </w:r>
    </w:p>
    <w:p w14:paraId="23FF2D50">
      <w:pPr>
        <w:spacing w:line="360" w:lineRule="auto"/>
        <w:ind w:firstLine="640"/>
        <w:rPr>
          <w:rFonts w:hint="eastAsia" w:ascii="宋体" w:hAnsi="宋体" w:cs="宋体"/>
          <w:kern w:val="0"/>
          <w:highlight w:val="none"/>
        </w:rPr>
      </w:pPr>
      <w:r>
        <w:rPr>
          <w:rFonts w:hint="eastAsia" w:ascii="宋体" w:hAnsi="宋体" w:cs="宋体"/>
          <w:highlight w:val="none"/>
          <w:u w:val="single"/>
        </w:rPr>
        <w:t>4. 人工材料计算后的价格差额仅计取税金，不计管理费、利润、规费。</w:t>
      </w:r>
    </w:p>
    <w:p w14:paraId="0F7A0CD7">
      <w:pPr>
        <w:spacing w:line="360" w:lineRule="auto"/>
        <w:ind w:firstLine="420" w:firstLineChars="200"/>
        <w:rPr>
          <w:rFonts w:hint="eastAsia" w:ascii="宋体" w:hAnsi="宋体" w:cs="宋体"/>
          <w:highlight w:val="none"/>
          <w:u w:val="single"/>
        </w:rPr>
      </w:pPr>
      <w:r>
        <w:rPr>
          <w:rFonts w:hint="eastAsia" w:ascii="宋体" w:hAnsi="宋体" w:cs="宋体"/>
          <w:highlight w:val="none"/>
        </w:rPr>
        <w:t>其他约定：</w:t>
      </w:r>
      <w:r>
        <w:rPr>
          <w:rFonts w:hint="eastAsia" w:ascii="宋体" w:hAnsi="宋体" w:cs="宋体"/>
          <w:highlight w:val="none"/>
          <w:u w:val="single"/>
        </w:rPr>
        <w:t xml:space="preserve"> 合同文件约定的措施项目费、其他项目清单中的总承包服务费风险范围： </w:t>
      </w:r>
    </w:p>
    <w:p w14:paraId="584B3F1D">
      <w:pPr>
        <w:spacing w:line="360" w:lineRule="auto"/>
        <w:ind w:firstLine="420" w:firstLineChars="200"/>
        <w:rPr>
          <w:rFonts w:hint="eastAsia" w:ascii="宋体" w:hAnsi="宋体" w:cs="宋体"/>
          <w:highlight w:val="none"/>
          <w:u w:val="single"/>
        </w:rPr>
      </w:pPr>
      <w:r>
        <w:rPr>
          <w:rFonts w:hint="eastAsia" w:ascii="宋体" w:hAnsi="宋体" w:cs="宋体"/>
          <w:highlight w:val="none"/>
          <w:u w:val="single"/>
        </w:rPr>
        <w:t>承包人应认真考虑施工现场，熟悉现场地形、道路和周围环境，了解北京市及工程所在地政府对施工单位、现场管理及造价管理等一切可能影响报价的政策法规和相关规定，并充分考虑扰民、民扰等情况。工程竣工结算，承包人不得以不完全了解施工现场和当时的政策法规等为借口，而提出额外赔偿，或延长工期的要求。</w:t>
      </w:r>
    </w:p>
    <w:p w14:paraId="60DF0437">
      <w:pPr>
        <w:spacing w:line="360" w:lineRule="auto"/>
        <w:ind w:firstLine="420" w:firstLineChars="200"/>
        <w:rPr>
          <w:rFonts w:hint="eastAsia" w:ascii="宋体" w:hAnsi="宋体" w:cs="宋体"/>
          <w:highlight w:val="none"/>
        </w:rPr>
      </w:pPr>
      <w:r>
        <w:rPr>
          <w:rFonts w:hint="eastAsia" w:ascii="宋体" w:hAnsi="宋体" w:cs="宋体"/>
          <w:highlight w:val="none"/>
          <w:u w:val="single"/>
        </w:rPr>
        <w:t>合同价款措施费已包括现场冬、雨季施工、防护、治安、消防、环保、安全、技术、场地狭小、生活等方面等的非工程实体项目全部措施费用。具体措施内容包含但不限于以下内容：吊篮和脚手架搭设拆除、材料二次搬运等而产生的施工降效、场外租地及交通费、各类机械设备进出场的场外往返运输费用、成品保护、工地保安、安全挡板、停水停电措施、施工场地清理及施工垃圾外运（含倾倒、堆放、处理等）、施工噪音环保措施；全面负责施工扰民事件处理，做好安抚工作；做好室内外管线综合，承包人根据图纸和现场情况，进行做好翻样图、大样图等综合工作，满足图纸和规范要求，施工过程中做好与设备安装单位的统筹协调工作，保证总包工程、设备安装工程和各专业分包工程有序、交圈；竣工资料收集、整理、装订成册、验收，负责向城建档案馆办理移交手续；负责办理开工手续、土方消纳运输手续、竣工备案手续、施工工地环卫费、不可预见费、其他文明工地措施、其他施工技术措施等所发生的所有费用。</w:t>
      </w:r>
    </w:p>
    <w:p w14:paraId="66B1A298">
      <w:pPr>
        <w:rPr>
          <w:rFonts w:hint="eastAsia" w:ascii="宋体" w:hAnsi="宋体" w:cs="宋体"/>
          <w:highlight w:val="none"/>
        </w:rPr>
      </w:pPr>
      <w:bookmarkStart w:id="2140" w:name="_Toc342296481"/>
      <w:bookmarkStart w:id="2141" w:name="_Toc144974689"/>
      <w:bookmarkStart w:id="2142" w:name="_Toc241459722"/>
      <w:bookmarkStart w:id="2143" w:name="_Toc4157325"/>
      <w:bookmarkStart w:id="2144" w:name="_Toc152045718"/>
      <w:bookmarkStart w:id="2145" w:name="_Toc179632736"/>
      <w:bookmarkStart w:id="2146" w:name="_Toc503536309"/>
      <w:bookmarkStart w:id="2147" w:name="_Toc32681"/>
      <w:bookmarkStart w:id="2148" w:name="_Toc152042497"/>
      <w:r>
        <w:rPr>
          <w:rFonts w:hint="eastAsia" w:ascii="宋体" w:hAnsi="宋体" w:cs="宋体"/>
          <w:highlight w:val="none"/>
        </w:rPr>
        <w:t>17. 计量与支付</w:t>
      </w:r>
      <w:bookmarkEnd w:id="2140"/>
      <w:bookmarkEnd w:id="2141"/>
      <w:bookmarkEnd w:id="2142"/>
      <w:bookmarkEnd w:id="2143"/>
      <w:bookmarkEnd w:id="2144"/>
      <w:bookmarkEnd w:id="2145"/>
      <w:bookmarkEnd w:id="2146"/>
      <w:bookmarkEnd w:id="2147"/>
      <w:bookmarkEnd w:id="2148"/>
    </w:p>
    <w:p w14:paraId="47B7A1A5">
      <w:pPr>
        <w:spacing w:line="360" w:lineRule="auto"/>
        <w:rPr>
          <w:rFonts w:hint="eastAsia" w:ascii="宋体" w:hAnsi="宋体" w:cs="宋体"/>
          <w:highlight w:val="none"/>
        </w:rPr>
      </w:pPr>
      <w:bookmarkStart w:id="2149" w:name="_Toc179632737"/>
      <w:bookmarkStart w:id="2150" w:name="_Toc342296482"/>
      <w:bookmarkStart w:id="2151" w:name="_Toc454359399"/>
      <w:bookmarkStart w:id="2152" w:name="_Toc503536310"/>
      <w:bookmarkStart w:id="2153" w:name="_Toc144974690"/>
      <w:bookmarkStart w:id="2154" w:name="_Toc152045719"/>
      <w:bookmarkStart w:id="2155" w:name="_Toc241459723"/>
      <w:bookmarkStart w:id="2156" w:name="_Toc152042498"/>
      <w:r>
        <w:rPr>
          <w:rFonts w:hint="eastAsia" w:ascii="宋体" w:hAnsi="宋体" w:cs="宋体"/>
          <w:highlight w:val="none"/>
        </w:rPr>
        <w:t>17.1 计量</w:t>
      </w:r>
      <w:bookmarkEnd w:id="2149"/>
      <w:bookmarkEnd w:id="2150"/>
      <w:bookmarkEnd w:id="2151"/>
      <w:bookmarkEnd w:id="2152"/>
      <w:bookmarkEnd w:id="2153"/>
      <w:bookmarkEnd w:id="2154"/>
      <w:bookmarkEnd w:id="2155"/>
      <w:bookmarkEnd w:id="2156"/>
    </w:p>
    <w:p w14:paraId="6AC11D84">
      <w:pPr>
        <w:spacing w:line="360" w:lineRule="auto"/>
        <w:ind w:firstLine="420" w:firstLineChars="200"/>
        <w:rPr>
          <w:rFonts w:hint="eastAsia" w:ascii="宋体" w:hAnsi="宋体" w:cs="宋体"/>
          <w:highlight w:val="none"/>
        </w:rPr>
      </w:pPr>
      <w:r>
        <w:rPr>
          <w:rFonts w:hint="eastAsia" w:ascii="宋体" w:hAnsi="宋体" w:cs="宋体"/>
          <w:highlight w:val="none"/>
        </w:rPr>
        <w:t>17.1.2 计量方法</w:t>
      </w:r>
    </w:p>
    <w:p w14:paraId="0D964459">
      <w:pPr>
        <w:spacing w:line="360" w:lineRule="auto"/>
        <w:ind w:firstLine="420" w:firstLineChars="200"/>
        <w:rPr>
          <w:rFonts w:hint="eastAsia" w:ascii="宋体" w:hAnsi="宋体" w:cs="宋体"/>
          <w:highlight w:val="none"/>
        </w:rPr>
      </w:pPr>
      <w:r>
        <w:rPr>
          <w:rFonts w:hint="eastAsia" w:ascii="宋体" w:hAnsi="宋体" w:cs="宋体"/>
          <w:highlight w:val="none"/>
        </w:rPr>
        <w:t>工程量计算规则执行国家标准《建设工程工程量清单计价规范》（GB50500）或其适用的修订版本。除合同另有约定外，承包人实际完成的工程量按约定的工程量计算规则和有合同约束力的图纸进行计量。</w:t>
      </w:r>
    </w:p>
    <w:p w14:paraId="58C8B351">
      <w:pPr>
        <w:spacing w:line="360" w:lineRule="auto"/>
        <w:ind w:firstLine="420" w:firstLineChars="200"/>
        <w:rPr>
          <w:rFonts w:hint="eastAsia" w:ascii="宋体" w:hAnsi="宋体" w:cs="宋体"/>
          <w:highlight w:val="none"/>
        </w:rPr>
      </w:pPr>
      <w:r>
        <w:rPr>
          <w:rFonts w:hint="eastAsia" w:ascii="宋体" w:hAnsi="宋体" w:cs="宋体"/>
          <w:highlight w:val="none"/>
        </w:rPr>
        <w:t>17.1.3 计量周期</w:t>
      </w:r>
    </w:p>
    <w:p w14:paraId="269411FB">
      <w:pPr>
        <w:spacing w:line="360" w:lineRule="auto"/>
        <w:ind w:firstLine="420" w:firstLineChars="200"/>
        <w:rPr>
          <w:rFonts w:hint="eastAsia" w:ascii="宋体" w:hAnsi="宋体" w:cs="宋体"/>
          <w:highlight w:val="none"/>
        </w:rPr>
      </w:pPr>
      <w:r>
        <w:rPr>
          <w:rFonts w:hint="eastAsia" w:ascii="宋体" w:hAnsi="宋体" w:cs="宋体"/>
          <w:highlight w:val="none"/>
        </w:rPr>
        <w:t>（1）本合同的计量周期为月，每月</w:t>
      </w:r>
      <w:r>
        <w:rPr>
          <w:rFonts w:hint="eastAsia" w:ascii="宋体" w:hAnsi="宋体" w:cs="宋体"/>
          <w:highlight w:val="none"/>
          <w:u w:val="single"/>
        </w:rPr>
        <w:t xml:space="preserve"> 25  </w:t>
      </w:r>
      <w:r>
        <w:rPr>
          <w:rFonts w:hint="eastAsia" w:ascii="宋体" w:hAnsi="宋体" w:cs="宋体"/>
          <w:highlight w:val="none"/>
        </w:rPr>
        <w:t>日为当月计量截止日期（不含当日）和下月计量起始日期（含当日）。</w:t>
      </w:r>
    </w:p>
    <w:p w14:paraId="19827EB6">
      <w:pPr>
        <w:spacing w:line="360" w:lineRule="auto"/>
        <w:ind w:firstLine="420" w:firstLineChars="200"/>
        <w:rPr>
          <w:rFonts w:hint="eastAsia" w:ascii="宋体" w:hAnsi="宋体" w:cs="宋体"/>
          <w:highlight w:val="none"/>
        </w:rPr>
      </w:pPr>
      <w:r>
        <w:rPr>
          <w:rFonts w:hint="eastAsia" w:ascii="宋体" w:hAnsi="宋体" w:cs="宋体"/>
          <w:highlight w:val="none"/>
        </w:rPr>
        <w:t>（2）本合同</w:t>
      </w:r>
      <w:r>
        <w:rPr>
          <w:rFonts w:hint="eastAsia" w:ascii="宋体" w:hAnsi="宋体" w:cs="宋体"/>
          <w:highlight w:val="none"/>
          <w:u w:val="single"/>
        </w:rPr>
        <w:t>执行</w:t>
      </w:r>
      <w:r>
        <w:rPr>
          <w:rFonts w:hint="eastAsia" w:ascii="宋体" w:hAnsi="宋体" w:cs="宋体"/>
          <w:highlight w:val="none"/>
        </w:rPr>
        <w:t>通用合同条款本项约定的单价子目计量。总价子目计量方法按专用合同条款第17.1.5项总价子目的计量--</w:t>
      </w:r>
      <w:r>
        <w:rPr>
          <w:rFonts w:hint="eastAsia" w:ascii="宋体" w:hAnsi="宋体" w:cs="宋体"/>
          <w:highlight w:val="none"/>
          <w:u w:val="single"/>
        </w:rPr>
        <w:t xml:space="preserve">  /  </w:t>
      </w:r>
      <w:r>
        <w:rPr>
          <w:rFonts w:hint="eastAsia" w:ascii="宋体" w:hAnsi="宋体" w:cs="宋体"/>
          <w:highlight w:val="none"/>
        </w:rPr>
        <w:t>（支付分解报告/按实际完成工程量计量）。</w:t>
      </w:r>
    </w:p>
    <w:p w14:paraId="3E43CC42">
      <w:pPr>
        <w:spacing w:line="360" w:lineRule="auto"/>
        <w:ind w:firstLine="420" w:firstLineChars="200"/>
        <w:rPr>
          <w:rFonts w:hint="eastAsia" w:ascii="宋体" w:hAnsi="宋体" w:cs="宋体"/>
          <w:highlight w:val="none"/>
        </w:rPr>
      </w:pPr>
      <w:r>
        <w:rPr>
          <w:rFonts w:hint="eastAsia" w:ascii="宋体" w:hAnsi="宋体" w:cs="宋体"/>
          <w:highlight w:val="none"/>
        </w:rPr>
        <w:t>17.1.5 总价子目的计量—支付分解报告</w:t>
      </w:r>
    </w:p>
    <w:p w14:paraId="49FFC609">
      <w:pPr>
        <w:spacing w:line="360" w:lineRule="auto"/>
        <w:ind w:firstLine="420" w:firstLineChars="200"/>
        <w:rPr>
          <w:rFonts w:hint="eastAsia" w:ascii="宋体" w:hAnsi="宋体" w:cs="宋体"/>
          <w:highlight w:val="none"/>
        </w:rPr>
      </w:pPr>
      <w:r>
        <w:rPr>
          <w:rFonts w:hint="eastAsia" w:ascii="宋体" w:hAnsi="宋体" w:cs="宋体"/>
          <w:highlight w:val="none"/>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745D1ABD">
      <w:pPr>
        <w:spacing w:line="360" w:lineRule="auto"/>
        <w:ind w:firstLine="420" w:firstLineChars="200"/>
        <w:rPr>
          <w:rFonts w:hint="eastAsia" w:ascii="宋体" w:hAnsi="宋体" w:cs="宋体"/>
          <w:highlight w:val="none"/>
        </w:rPr>
      </w:pPr>
      <w:r>
        <w:rPr>
          <w:rFonts w:hint="eastAsia" w:ascii="宋体" w:hAnsi="宋体" w:cs="宋体"/>
          <w:highlight w:val="none"/>
        </w:rPr>
        <w:t>（1）总价子目的价格调整方法：</w:t>
      </w:r>
      <w:r>
        <w:rPr>
          <w:rFonts w:hint="eastAsia" w:ascii="宋体" w:hAnsi="宋体" w:cs="宋体"/>
          <w:highlight w:val="none"/>
          <w:u w:val="single"/>
        </w:rPr>
        <w:t xml:space="preserve">   /    </w:t>
      </w:r>
      <w:r>
        <w:rPr>
          <w:rFonts w:hint="eastAsia" w:ascii="宋体" w:hAnsi="宋体" w:cs="宋体"/>
          <w:highlight w:val="none"/>
        </w:rPr>
        <w:t>。</w:t>
      </w:r>
    </w:p>
    <w:p w14:paraId="32D7ABD6">
      <w:pPr>
        <w:spacing w:line="360" w:lineRule="auto"/>
        <w:ind w:firstLine="420" w:firstLineChars="200"/>
        <w:rPr>
          <w:rFonts w:hint="eastAsia" w:ascii="宋体" w:hAnsi="宋体" w:cs="宋体"/>
          <w:highlight w:val="none"/>
        </w:rPr>
      </w:pPr>
      <w:r>
        <w:rPr>
          <w:rFonts w:hint="eastAsia" w:ascii="宋体" w:hAnsi="宋体" w:cs="宋体"/>
          <w:highlight w:val="none"/>
        </w:rPr>
        <w:t>（2）列入每月进度付款申请单中各总价子目的价值为有合同约束力的支付分解表中对应月份的总价子目总价值。</w:t>
      </w:r>
    </w:p>
    <w:p w14:paraId="16E80F3B">
      <w:pPr>
        <w:spacing w:line="360" w:lineRule="auto"/>
        <w:ind w:firstLine="420" w:firstLineChars="200"/>
        <w:rPr>
          <w:rFonts w:hint="eastAsia" w:ascii="宋体" w:hAnsi="宋体" w:cs="宋体"/>
          <w:highlight w:val="none"/>
        </w:rPr>
      </w:pPr>
      <w:r>
        <w:rPr>
          <w:rFonts w:hint="eastAsia" w:ascii="宋体" w:hAnsi="宋体" w:cs="宋体"/>
          <w:highlight w:val="none"/>
        </w:rPr>
        <w:t>（3）监理人根据有合同约束力的支付分解表复核列入每月进度付款申请单中的总价子目的总价值。</w:t>
      </w:r>
    </w:p>
    <w:p w14:paraId="5F9CFFC8">
      <w:pPr>
        <w:spacing w:line="360" w:lineRule="auto"/>
        <w:ind w:firstLine="420" w:firstLineChars="200"/>
        <w:rPr>
          <w:rFonts w:hint="eastAsia" w:ascii="宋体" w:hAnsi="宋体" w:cs="宋体"/>
          <w:highlight w:val="none"/>
        </w:rPr>
      </w:pPr>
      <w:r>
        <w:rPr>
          <w:rFonts w:hint="eastAsia" w:ascii="宋体" w:hAnsi="宋体" w:cs="宋体"/>
          <w:highlight w:val="none"/>
        </w:rPr>
        <w:t>（4）除按照第15条约定的变更外，在竣工结算时总价子目的工程量不应当重新计量，签约合同价所基于的工程量即是用于竣工结算的最终工程量。</w:t>
      </w:r>
    </w:p>
    <w:p w14:paraId="250D8216">
      <w:pPr>
        <w:spacing w:line="360" w:lineRule="auto"/>
        <w:ind w:firstLine="420" w:firstLineChars="200"/>
        <w:rPr>
          <w:rFonts w:hint="eastAsia" w:ascii="宋体" w:hAnsi="宋体" w:cs="宋体"/>
          <w:highlight w:val="none"/>
        </w:rPr>
      </w:pPr>
      <w:bookmarkStart w:id="2157" w:name="_Toc144974691"/>
      <w:bookmarkStart w:id="2158" w:name="_Toc179632738"/>
      <w:bookmarkStart w:id="2159" w:name="_Toc152042499"/>
      <w:bookmarkStart w:id="2160" w:name="_Toc152045720"/>
      <w:r>
        <w:rPr>
          <w:rFonts w:hint="eastAsia" w:ascii="宋体" w:hAnsi="宋体" w:cs="宋体"/>
          <w:highlight w:val="none"/>
        </w:rPr>
        <w:t>17.1.5 总价子目的计量--按实际完成工程量计量</w:t>
      </w:r>
    </w:p>
    <w:p w14:paraId="12444516">
      <w:pPr>
        <w:spacing w:line="360" w:lineRule="auto"/>
        <w:ind w:firstLine="420" w:firstLineChars="200"/>
        <w:rPr>
          <w:rFonts w:hint="eastAsia" w:ascii="宋体" w:hAnsi="宋体" w:cs="宋体"/>
          <w:highlight w:val="none"/>
        </w:rPr>
      </w:pPr>
      <w:r>
        <w:rPr>
          <w:rFonts w:hint="eastAsia" w:ascii="宋体" w:hAnsi="宋体" w:cs="宋体"/>
          <w:highlight w:val="none"/>
        </w:rPr>
        <w:t>（1）总价子目的价格调整方法：</w:t>
      </w:r>
      <w:r>
        <w:rPr>
          <w:rFonts w:hint="eastAsia" w:ascii="宋体" w:hAnsi="宋体" w:cs="宋体"/>
          <w:highlight w:val="none"/>
          <w:u w:val="single"/>
        </w:rPr>
        <w:t xml:space="preserve">   /   </w:t>
      </w:r>
      <w:r>
        <w:rPr>
          <w:rFonts w:hint="eastAsia" w:ascii="宋体" w:hAnsi="宋体" w:cs="宋体"/>
          <w:highlight w:val="none"/>
        </w:rPr>
        <w:t>。总价子目的计量和支付应以总价为基础，对承包人实际完成的工程量进行计量，是进行工程目标管理和控制进度款支付的依据。</w:t>
      </w:r>
    </w:p>
    <w:p w14:paraId="601B0E38">
      <w:pPr>
        <w:spacing w:line="360" w:lineRule="auto"/>
        <w:ind w:firstLine="420" w:firstLineChars="200"/>
        <w:rPr>
          <w:rFonts w:hint="eastAsia" w:ascii="宋体" w:hAnsi="宋体" w:cs="宋体"/>
          <w:highlight w:val="none"/>
        </w:rPr>
      </w:pPr>
      <w:r>
        <w:rPr>
          <w:rFonts w:hint="eastAsia" w:ascii="宋体" w:hAnsi="宋体" w:cs="宋体"/>
          <w:highlight w:val="none"/>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08FD6126">
      <w:pPr>
        <w:spacing w:line="360" w:lineRule="auto"/>
        <w:ind w:firstLine="420" w:firstLineChars="200"/>
        <w:rPr>
          <w:rFonts w:hint="eastAsia" w:ascii="宋体" w:hAnsi="宋体" w:cs="宋体"/>
          <w:highlight w:val="none"/>
        </w:rPr>
      </w:pPr>
      <w:r>
        <w:rPr>
          <w:rFonts w:hint="eastAsia" w:ascii="宋体" w:hAnsi="宋体" w:cs="宋体"/>
          <w:highlight w:val="none"/>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B84AA5F">
      <w:pPr>
        <w:spacing w:line="360" w:lineRule="auto"/>
        <w:ind w:firstLine="420" w:firstLineChars="200"/>
        <w:rPr>
          <w:rFonts w:hint="eastAsia" w:ascii="宋体" w:hAnsi="宋体" w:cs="宋体"/>
          <w:highlight w:val="none"/>
        </w:rPr>
      </w:pPr>
      <w:r>
        <w:rPr>
          <w:rFonts w:hint="eastAsia" w:ascii="宋体" w:hAnsi="宋体" w:cs="宋体"/>
          <w:highlight w:val="none"/>
        </w:rPr>
        <w:t>（4）监理人应在收到承包人提交的工程量报表后的7天内进行复核，监理人未在约定时间内复核的，承包人提交的工程量报表中的工程量视为承包人实际完成的工程量，据此计算工程价款。</w:t>
      </w:r>
    </w:p>
    <w:p w14:paraId="2B88E7DD">
      <w:pPr>
        <w:spacing w:line="360" w:lineRule="auto"/>
        <w:ind w:firstLine="420" w:firstLineChars="200"/>
        <w:rPr>
          <w:rFonts w:hint="eastAsia" w:ascii="宋体" w:hAnsi="宋体" w:cs="宋体"/>
          <w:highlight w:val="none"/>
        </w:rPr>
      </w:pPr>
      <w:r>
        <w:rPr>
          <w:rFonts w:hint="eastAsia" w:ascii="宋体" w:hAnsi="宋体" w:cs="宋体"/>
          <w:highlight w:val="none"/>
        </w:rPr>
        <w:t>（5）除按照第15条约定的变更外，在竣工结算时总价子目的工程量不应当重新计量，签约合同价所基于的工程量即是用于竣工结算的最终工程量。</w:t>
      </w:r>
    </w:p>
    <w:p w14:paraId="3E33CBBF">
      <w:pPr>
        <w:spacing w:line="360" w:lineRule="auto"/>
        <w:rPr>
          <w:rFonts w:hint="eastAsia" w:ascii="宋体" w:hAnsi="宋体" w:cs="宋体"/>
          <w:highlight w:val="none"/>
        </w:rPr>
      </w:pPr>
      <w:bookmarkStart w:id="2161" w:name="_Toc503536311"/>
      <w:bookmarkStart w:id="2162" w:name="_Toc454359400"/>
      <w:bookmarkStart w:id="2163" w:name="_Toc241459724"/>
      <w:bookmarkStart w:id="2164" w:name="_Toc342296483"/>
      <w:r>
        <w:rPr>
          <w:rFonts w:hint="eastAsia" w:ascii="宋体" w:hAnsi="宋体" w:cs="宋体"/>
          <w:highlight w:val="none"/>
        </w:rPr>
        <w:t>17.2 预付款</w:t>
      </w:r>
      <w:bookmarkEnd w:id="2157"/>
      <w:bookmarkEnd w:id="2158"/>
      <w:bookmarkEnd w:id="2159"/>
      <w:bookmarkEnd w:id="2160"/>
      <w:bookmarkEnd w:id="2161"/>
      <w:bookmarkEnd w:id="2162"/>
      <w:bookmarkEnd w:id="2163"/>
      <w:bookmarkEnd w:id="2164"/>
    </w:p>
    <w:p w14:paraId="641C3CA5">
      <w:pPr>
        <w:spacing w:line="360" w:lineRule="auto"/>
        <w:ind w:firstLine="420" w:firstLineChars="200"/>
        <w:rPr>
          <w:rFonts w:hint="eastAsia" w:ascii="宋体" w:hAnsi="宋体" w:cs="宋体"/>
          <w:highlight w:val="none"/>
        </w:rPr>
      </w:pPr>
      <w:r>
        <w:rPr>
          <w:rFonts w:hint="eastAsia" w:ascii="宋体" w:hAnsi="宋体" w:cs="宋体"/>
          <w:highlight w:val="none"/>
        </w:rPr>
        <w:t>17.2.1 预付款</w:t>
      </w:r>
    </w:p>
    <w:p w14:paraId="2A4F731D">
      <w:pPr>
        <w:spacing w:line="360" w:lineRule="auto"/>
        <w:ind w:firstLine="420" w:firstLineChars="200"/>
        <w:rPr>
          <w:rFonts w:hint="eastAsia" w:ascii="宋体" w:hAnsi="宋体" w:cs="宋体"/>
          <w:highlight w:val="none"/>
        </w:rPr>
      </w:pPr>
      <w:r>
        <w:rPr>
          <w:rFonts w:hint="eastAsia" w:ascii="宋体" w:hAnsi="宋体" w:cs="宋体"/>
          <w:highlight w:val="none"/>
        </w:rPr>
        <w:t>（1）预付款额度：</w:t>
      </w:r>
      <w:r>
        <w:rPr>
          <w:rFonts w:hint="eastAsia" w:ascii="宋体" w:hAnsi="宋体" w:cs="宋体"/>
          <w:highlight w:val="none"/>
          <w:u w:val="single"/>
        </w:rPr>
        <w:t>合同金额的</w:t>
      </w:r>
      <w:r>
        <w:rPr>
          <w:rFonts w:hint="eastAsia" w:ascii="宋体" w:hAnsi="宋体" w:cs="宋体"/>
          <w:highlight w:val="none"/>
          <w:u w:val="single"/>
          <w:lang w:val="en-US" w:eastAsia="zh-CN"/>
        </w:rPr>
        <w:t>5</w:t>
      </w:r>
      <w:r>
        <w:rPr>
          <w:rFonts w:hint="eastAsia" w:ascii="宋体" w:hAnsi="宋体" w:cs="宋体"/>
          <w:highlight w:val="none"/>
          <w:u w:val="single"/>
        </w:rPr>
        <w:t xml:space="preserve">0% </w:t>
      </w:r>
      <w:r>
        <w:rPr>
          <w:rFonts w:hint="eastAsia" w:ascii="宋体" w:hAnsi="宋体" w:cs="宋体"/>
          <w:highlight w:val="none"/>
        </w:rPr>
        <w:t xml:space="preserve">（金额：大写XXXXXX 小写XXXXX ） 。 </w:t>
      </w:r>
    </w:p>
    <w:p w14:paraId="44FFEBF6">
      <w:pPr>
        <w:spacing w:line="360" w:lineRule="auto"/>
        <w:ind w:firstLine="420" w:firstLineChars="200"/>
        <w:rPr>
          <w:rFonts w:hint="eastAsia" w:ascii="宋体" w:hAnsi="宋体" w:cs="宋体"/>
          <w:highlight w:val="none"/>
        </w:rPr>
      </w:pPr>
      <w:r>
        <w:rPr>
          <w:rFonts w:hint="eastAsia" w:ascii="宋体" w:hAnsi="宋体" w:cs="宋体"/>
          <w:highlight w:val="none"/>
        </w:rPr>
        <w:t>（2）预付办法</w:t>
      </w:r>
    </w:p>
    <w:p w14:paraId="290C20B3">
      <w:pPr>
        <w:spacing w:line="360" w:lineRule="auto"/>
        <w:ind w:firstLine="420" w:firstLineChars="200"/>
        <w:rPr>
          <w:rFonts w:hint="eastAsia" w:ascii="宋体" w:hAnsi="宋体" w:cs="宋体"/>
          <w:highlight w:val="none"/>
        </w:rPr>
      </w:pPr>
      <w:r>
        <w:rPr>
          <w:rFonts w:hint="eastAsia" w:ascii="宋体" w:hAnsi="宋体" w:cs="宋体"/>
          <w:highlight w:val="none"/>
        </w:rPr>
        <w:t>预付款预付办法：</w:t>
      </w:r>
      <w:r>
        <w:rPr>
          <w:rFonts w:hint="eastAsia" w:ascii="宋体" w:hAnsi="宋体" w:cs="宋体"/>
          <w:highlight w:val="none"/>
          <w:u w:val="single"/>
        </w:rPr>
        <w:t xml:space="preserve"> 在收到承包人正式发票后，发包人一次性向承包人支付预付款 </w:t>
      </w:r>
      <w:r>
        <w:rPr>
          <w:rFonts w:hint="eastAsia" w:ascii="宋体" w:hAnsi="宋体" w:cs="宋体"/>
          <w:highlight w:val="none"/>
        </w:rPr>
        <w:t>。</w:t>
      </w:r>
    </w:p>
    <w:p w14:paraId="514F2ED2">
      <w:pPr>
        <w:spacing w:line="360" w:lineRule="auto"/>
        <w:ind w:firstLine="420" w:firstLineChars="200"/>
        <w:rPr>
          <w:rFonts w:hint="eastAsia" w:ascii="宋体" w:hAnsi="宋体" w:cs="宋体"/>
          <w:highlight w:val="none"/>
          <w:u w:val="single"/>
        </w:rPr>
      </w:pPr>
      <w:r>
        <w:rPr>
          <w:rFonts w:hint="eastAsia" w:ascii="宋体" w:hAnsi="宋体" w:cs="宋体"/>
          <w:highlight w:val="none"/>
        </w:rPr>
        <w:t>预付款的支付时间：</w:t>
      </w:r>
      <w:r>
        <w:rPr>
          <w:rFonts w:hint="eastAsia" w:ascii="宋体" w:hAnsi="宋体" w:cs="宋体"/>
          <w:highlight w:val="none"/>
          <w:u w:val="single"/>
        </w:rPr>
        <w:t xml:space="preserve"> 合同签订后30天内  </w:t>
      </w:r>
      <w:r>
        <w:rPr>
          <w:rFonts w:hint="eastAsia" w:ascii="宋体" w:hAnsi="宋体" w:cs="宋体"/>
          <w:highlight w:val="none"/>
        </w:rPr>
        <w:t>。</w:t>
      </w:r>
    </w:p>
    <w:p w14:paraId="65C4062E">
      <w:pPr>
        <w:spacing w:line="360" w:lineRule="auto"/>
        <w:ind w:firstLine="420" w:firstLineChars="200"/>
        <w:rPr>
          <w:rFonts w:hint="eastAsia" w:ascii="宋体" w:hAnsi="宋体" w:cs="宋体"/>
          <w:highlight w:val="none"/>
        </w:rPr>
      </w:pPr>
      <w:r>
        <w:rPr>
          <w:rFonts w:hint="eastAsia" w:ascii="宋体" w:hAnsi="宋体" w:cs="宋体"/>
          <w:highlight w:val="none"/>
        </w:rPr>
        <w:t>安全文明施工费用的预付不受上述预付办法和支付时间约定的制约，发包人应当在不迟于通用合同条款第11.1.1项约定的开工日期前的7天内将安全文明施工费用的预付款一次性拨付给承包人。</w:t>
      </w:r>
    </w:p>
    <w:p w14:paraId="2C2DEF06">
      <w:pPr>
        <w:spacing w:line="360" w:lineRule="auto"/>
        <w:ind w:firstLine="404" w:firstLineChars="200"/>
        <w:rPr>
          <w:rFonts w:hint="eastAsia" w:ascii="宋体" w:hAnsi="宋体" w:cs="宋体"/>
          <w:highlight w:val="none"/>
        </w:rPr>
      </w:pPr>
      <w:r>
        <w:rPr>
          <w:rFonts w:hint="eastAsia" w:ascii="宋体" w:hAnsi="宋体" w:cs="宋体"/>
          <w:spacing w:val="-4"/>
          <w:highlight w:val="none"/>
        </w:rPr>
        <w:t>发包人逾期支付合同约定的预付款，除承担通用合同条款第22.2款约定的违约责任外，还应向承包人支付按专用合同条款第17.3.3(2)目约定的标准和方法计算的逾期付款违约金。</w:t>
      </w:r>
    </w:p>
    <w:p w14:paraId="79378AA0">
      <w:pPr>
        <w:spacing w:line="360" w:lineRule="auto"/>
        <w:ind w:firstLine="420" w:firstLineChars="200"/>
        <w:rPr>
          <w:rFonts w:hint="eastAsia" w:ascii="宋体" w:hAnsi="宋体" w:cs="宋体"/>
          <w:highlight w:val="none"/>
        </w:rPr>
      </w:pPr>
      <w:r>
        <w:rPr>
          <w:rFonts w:hint="eastAsia" w:ascii="宋体" w:hAnsi="宋体" w:cs="宋体"/>
          <w:highlight w:val="none"/>
        </w:rPr>
        <w:t>17.2.2 预付款保函</w:t>
      </w:r>
    </w:p>
    <w:p w14:paraId="62CE06F9">
      <w:pPr>
        <w:spacing w:line="360" w:lineRule="auto"/>
        <w:ind w:firstLine="420" w:firstLineChars="200"/>
        <w:rPr>
          <w:rFonts w:hint="eastAsia" w:ascii="宋体" w:hAnsi="宋体" w:cs="宋体"/>
          <w:highlight w:val="none"/>
        </w:rPr>
      </w:pPr>
      <w:r>
        <w:rPr>
          <w:rFonts w:hint="eastAsia" w:ascii="宋体" w:hAnsi="宋体" w:cs="宋体"/>
          <w:highlight w:val="none"/>
        </w:rPr>
        <w:t>预付款保函的金额与预付款金额相同。预付款保函的提交时间：</w:t>
      </w:r>
      <w:r>
        <w:rPr>
          <w:rFonts w:hint="eastAsia" w:ascii="宋体" w:hAnsi="宋体" w:cs="宋体"/>
          <w:highlight w:val="none"/>
          <w:u w:val="single"/>
        </w:rPr>
        <w:t xml:space="preserve">     /     </w:t>
      </w:r>
      <w:r>
        <w:rPr>
          <w:rFonts w:hint="eastAsia" w:ascii="宋体" w:hAnsi="宋体" w:cs="宋体"/>
          <w:highlight w:val="none"/>
        </w:rPr>
        <w:t>。</w:t>
      </w:r>
    </w:p>
    <w:p w14:paraId="14EE5933">
      <w:pPr>
        <w:spacing w:line="360" w:lineRule="auto"/>
        <w:ind w:firstLine="420" w:firstLineChars="200"/>
        <w:rPr>
          <w:rFonts w:hint="eastAsia" w:ascii="宋体" w:hAnsi="宋体" w:cs="宋体"/>
          <w:highlight w:val="none"/>
        </w:rPr>
      </w:pPr>
      <w:r>
        <w:rPr>
          <w:rFonts w:hint="eastAsia" w:ascii="宋体" w:hAnsi="宋体" w:cs="宋体"/>
          <w:highlight w:val="none"/>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16E0ABBB">
      <w:pPr>
        <w:spacing w:line="360" w:lineRule="auto"/>
        <w:ind w:firstLine="420" w:firstLineChars="200"/>
        <w:rPr>
          <w:rFonts w:hint="eastAsia" w:ascii="宋体" w:hAnsi="宋体" w:cs="宋体"/>
          <w:highlight w:val="none"/>
        </w:rPr>
      </w:pPr>
      <w:r>
        <w:rPr>
          <w:rFonts w:hint="eastAsia" w:ascii="宋体" w:hAnsi="宋体" w:cs="宋体"/>
          <w:highlight w:val="none"/>
        </w:rPr>
        <w:t>17.2.3 预付款的扣回与还清</w:t>
      </w:r>
    </w:p>
    <w:p w14:paraId="4428F33C">
      <w:pPr>
        <w:spacing w:line="360" w:lineRule="auto"/>
        <w:ind w:firstLine="420" w:firstLineChars="200"/>
        <w:rPr>
          <w:rFonts w:hint="eastAsia" w:ascii="宋体" w:hAnsi="宋体" w:cs="宋体"/>
          <w:highlight w:val="none"/>
        </w:rPr>
      </w:pPr>
      <w:bookmarkStart w:id="2165" w:name="_Toc144974692"/>
      <w:bookmarkStart w:id="2166" w:name="_Toc152045721"/>
      <w:bookmarkStart w:id="2167" w:name="_Toc179632739"/>
      <w:bookmarkStart w:id="2168" w:name="_Toc152042500"/>
      <w:r>
        <w:rPr>
          <w:rFonts w:hint="eastAsia" w:ascii="宋体" w:hAnsi="宋体" w:cs="宋体"/>
          <w:highlight w:val="none"/>
        </w:rPr>
        <w:t>预付款的扣回办法：</w:t>
      </w:r>
      <w:r>
        <w:rPr>
          <w:rFonts w:hint="eastAsia" w:ascii="宋体" w:hAnsi="宋体" w:cs="宋体"/>
          <w:highlight w:val="none"/>
          <w:u w:val="single"/>
        </w:rPr>
        <w:t xml:space="preserve">  工程开工后，预付款抵作工程进度款   </w:t>
      </w:r>
      <w:r>
        <w:rPr>
          <w:rFonts w:hint="eastAsia" w:ascii="宋体" w:hAnsi="宋体" w:cs="宋体"/>
          <w:highlight w:val="none"/>
        </w:rPr>
        <w:t xml:space="preserve">。 </w:t>
      </w:r>
    </w:p>
    <w:p w14:paraId="72081784">
      <w:pPr>
        <w:spacing w:line="360" w:lineRule="auto"/>
        <w:ind w:firstLine="420" w:firstLineChars="200"/>
        <w:rPr>
          <w:rFonts w:hint="eastAsia" w:ascii="宋体" w:hAnsi="宋体" w:cs="宋体"/>
          <w:highlight w:val="none"/>
        </w:rPr>
      </w:pPr>
      <w:r>
        <w:rPr>
          <w:rFonts w:hint="eastAsia" w:ascii="宋体" w:hAnsi="宋体" w:cs="宋体"/>
          <w:highlight w:val="none"/>
        </w:rPr>
        <w:t>17.2.4 预付款保函的格式</w:t>
      </w:r>
    </w:p>
    <w:p w14:paraId="3B7B112C">
      <w:pPr>
        <w:spacing w:line="360" w:lineRule="auto"/>
        <w:ind w:firstLine="420" w:firstLineChars="200"/>
        <w:rPr>
          <w:rFonts w:hint="eastAsia" w:ascii="宋体" w:hAnsi="宋体" w:cs="宋体"/>
          <w:highlight w:val="none"/>
        </w:rPr>
      </w:pPr>
      <w:r>
        <w:rPr>
          <w:rFonts w:hint="eastAsia" w:ascii="宋体" w:hAnsi="宋体" w:cs="宋体"/>
          <w:highlight w:val="none"/>
        </w:rPr>
        <w:t>承包人应当按照专用合同条款第17.2.2项约定的金额和时间以及发包人在本工程竞争性磋商文件中规定的或者其他经过发包人事先认可的格式向发包人递交一份无条件兑付的和不可撤销的预付款保函。</w:t>
      </w:r>
    </w:p>
    <w:p w14:paraId="7B4EA650">
      <w:pPr>
        <w:spacing w:line="360" w:lineRule="auto"/>
        <w:ind w:firstLine="420" w:firstLineChars="200"/>
        <w:rPr>
          <w:rFonts w:hint="eastAsia" w:ascii="宋体" w:hAnsi="宋体" w:cs="宋体"/>
          <w:highlight w:val="none"/>
        </w:rPr>
      </w:pPr>
      <w:r>
        <w:rPr>
          <w:rFonts w:hint="eastAsia" w:ascii="宋体" w:hAnsi="宋体" w:cs="宋体"/>
          <w:highlight w:val="none"/>
        </w:rPr>
        <w:t>17.2.5 预付款保函的有效期</w:t>
      </w:r>
    </w:p>
    <w:p w14:paraId="134F4965">
      <w:pPr>
        <w:spacing w:line="360" w:lineRule="auto"/>
        <w:ind w:firstLine="420" w:firstLineChars="200"/>
        <w:rPr>
          <w:rFonts w:hint="eastAsia" w:ascii="宋体" w:hAnsi="宋体" w:cs="宋体"/>
          <w:highlight w:val="none"/>
        </w:rPr>
      </w:pPr>
      <w:r>
        <w:rPr>
          <w:rFonts w:hint="eastAsia" w:ascii="宋体" w:hAnsi="宋体" w:cs="宋体"/>
          <w:highlight w:val="none"/>
        </w:rPr>
        <w:t>预付款保函的有效期应当自预付款支付给承包人之日起至发包人签认的进度付款证书说明预付款已完全扣清之日止。</w:t>
      </w:r>
    </w:p>
    <w:p w14:paraId="63BF64C2">
      <w:pPr>
        <w:spacing w:line="360" w:lineRule="auto"/>
        <w:ind w:firstLine="420" w:firstLineChars="200"/>
        <w:rPr>
          <w:rFonts w:hint="eastAsia" w:ascii="宋体" w:hAnsi="宋体" w:cs="宋体"/>
          <w:highlight w:val="none"/>
        </w:rPr>
      </w:pPr>
      <w:r>
        <w:rPr>
          <w:rFonts w:hint="eastAsia" w:ascii="宋体" w:hAnsi="宋体" w:cs="宋体"/>
          <w:highlight w:val="none"/>
        </w:rPr>
        <w:t>17.2.6 发包人的通知义务</w:t>
      </w:r>
    </w:p>
    <w:p w14:paraId="408941BD">
      <w:pPr>
        <w:spacing w:line="360" w:lineRule="auto"/>
        <w:ind w:firstLine="408" w:firstLineChars="200"/>
        <w:rPr>
          <w:rFonts w:hint="eastAsia" w:ascii="宋体" w:hAnsi="宋体" w:cs="宋体"/>
          <w:highlight w:val="none"/>
        </w:rPr>
      </w:pPr>
      <w:r>
        <w:rPr>
          <w:rFonts w:hint="eastAsia" w:ascii="宋体" w:hAnsi="宋体" w:cs="宋体"/>
          <w:spacing w:val="-3"/>
          <w:highlight w:val="none"/>
        </w:rPr>
        <w:t>不管保函条款中如何约定，发包人根据担保提出索赔或兑现要求之前，均应通知承包人并说明导致此类索赔或兑现的原因，但此类通知不应理解为是在任何意义上寻求承包人的同意</w:t>
      </w:r>
      <w:r>
        <w:rPr>
          <w:rFonts w:hint="eastAsia" w:ascii="宋体" w:hAnsi="宋体" w:cs="宋体"/>
          <w:highlight w:val="none"/>
        </w:rPr>
        <w:t>。</w:t>
      </w:r>
    </w:p>
    <w:p w14:paraId="6CABD2A3">
      <w:pPr>
        <w:spacing w:line="360" w:lineRule="auto"/>
        <w:ind w:firstLine="420" w:firstLineChars="200"/>
        <w:rPr>
          <w:rFonts w:hint="eastAsia" w:ascii="宋体" w:hAnsi="宋体" w:cs="宋体"/>
          <w:highlight w:val="none"/>
        </w:rPr>
      </w:pPr>
      <w:r>
        <w:rPr>
          <w:rFonts w:hint="eastAsia" w:ascii="宋体" w:hAnsi="宋体" w:cs="宋体"/>
          <w:highlight w:val="none"/>
        </w:rPr>
        <w:t>17.2.7 预付款保函的退还</w:t>
      </w:r>
    </w:p>
    <w:p w14:paraId="16BCB566">
      <w:pPr>
        <w:spacing w:line="360" w:lineRule="auto"/>
        <w:ind w:firstLine="420" w:firstLineChars="200"/>
        <w:rPr>
          <w:rFonts w:hint="eastAsia" w:ascii="宋体" w:hAnsi="宋体" w:cs="宋体"/>
          <w:highlight w:val="none"/>
        </w:rPr>
      </w:pPr>
      <w:r>
        <w:rPr>
          <w:rFonts w:hint="eastAsia" w:ascii="宋体" w:hAnsi="宋体" w:cs="宋体"/>
          <w:highlight w:val="none"/>
        </w:rPr>
        <w:t>预付款保函应在发包人签认的进度付款证书说明预付款已完全扣清之日后14天内退还给承包人。发包人不承担承包人与预付款保函有关的任何利息或其它类似的费用或者收益。</w:t>
      </w:r>
    </w:p>
    <w:p w14:paraId="6087B908">
      <w:pPr>
        <w:spacing w:line="360" w:lineRule="auto"/>
        <w:rPr>
          <w:rFonts w:hint="eastAsia" w:ascii="宋体" w:hAnsi="宋体" w:cs="宋体"/>
          <w:highlight w:val="none"/>
        </w:rPr>
      </w:pPr>
      <w:bookmarkStart w:id="2169" w:name="_Toc454359401"/>
      <w:bookmarkStart w:id="2170" w:name="_Toc342296484"/>
      <w:bookmarkStart w:id="2171" w:name="_Toc241459725"/>
      <w:bookmarkStart w:id="2172" w:name="_Toc503536312"/>
      <w:r>
        <w:rPr>
          <w:rFonts w:hint="eastAsia" w:ascii="宋体" w:hAnsi="宋体" w:cs="宋体"/>
          <w:highlight w:val="none"/>
        </w:rPr>
        <w:t>17.3 工程进度付款</w:t>
      </w:r>
      <w:bookmarkEnd w:id="2165"/>
      <w:bookmarkEnd w:id="2166"/>
      <w:bookmarkEnd w:id="2167"/>
      <w:bookmarkEnd w:id="2168"/>
      <w:bookmarkEnd w:id="2169"/>
      <w:bookmarkEnd w:id="2170"/>
      <w:bookmarkEnd w:id="2171"/>
      <w:bookmarkEnd w:id="2172"/>
    </w:p>
    <w:p w14:paraId="51D263D6">
      <w:pPr>
        <w:spacing w:line="360" w:lineRule="auto"/>
        <w:ind w:firstLine="420" w:firstLineChars="200"/>
        <w:rPr>
          <w:rFonts w:hint="eastAsia" w:ascii="宋体" w:hAnsi="宋体" w:cs="宋体"/>
          <w:highlight w:val="none"/>
        </w:rPr>
      </w:pPr>
      <w:r>
        <w:rPr>
          <w:rFonts w:hint="eastAsia" w:ascii="宋体" w:hAnsi="宋体" w:cs="宋体"/>
          <w:highlight w:val="none"/>
        </w:rPr>
        <w:t>17.3.2进度付款申请单</w:t>
      </w:r>
    </w:p>
    <w:p w14:paraId="0F4CF338">
      <w:pPr>
        <w:spacing w:line="360" w:lineRule="auto"/>
        <w:ind w:firstLine="420" w:firstLineChars="200"/>
        <w:rPr>
          <w:rFonts w:hint="eastAsia" w:ascii="宋体" w:hAnsi="宋体" w:cs="宋体"/>
          <w:highlight w:val="none"/>
        </w:rPr>
      </w:pPr>
      <w:r>
        <w:rPr>
          <w:rFonts w:hint="eastAsia" w:ascii="宋体" w:hAnsi="宋体" w:cs="宋体"/>
          <w:highlight w:val="none"/>
        </w:rPr>
        <w:t>进度付款申请单的份数：</w:t>
      </w:r>
      <w:r>
        <w:rPr>
          <w:rFonts w:hint="eastAsia" w:ascii="宋体" w:hAnsi="宋体" w:cs="宋体"/>
          <w:highlight w:val="none"/>
          <w:u w:val="single"/>
        </w:rPr>
        <w:t xml:space="preserve">  4份  </w:t>
      </w:r>
      <w:r>
        <w:rPr>
          <w:rFonts w:hint="eastAsia" w:ascii="宋体" w:hAnsi="宋体" w:cs="宋体"/>
          <w:highlight w:val="none"/>
        </w:rPr>
        <w:t xml:space="preserve">。        </w:t>
      </w:r>
    </w:p>
    <w:p w14:paraId="161B6318">
      <w:pPr>
        <w:spacing w:line="360" w:lineRule="auto"/>
        <w:ind w:firstLine="420" w:firstLineChars="200"/>
        <w:rPr>
          <w:rFonts w:hint="eastAsia" w:ascii="宋体" w:hAnsi="宋体" w:cs="宋体"/>
          <w:highlight w:val="none"/>
          <w:u w:val="single"/>
        </w:rPr>
      </w:pPr>
      <w:r>
        <w:rPr>
          <w:rFonts w:hint="eastAsia" w:ascii="宋体" w:hAnsi="宋体" w:cs="宋体"/>
          <w:highlight w:val="none"/>
        </w:rPr>
        <w:t>进度付款申请单的内容：</w:t>
      </w:r>
      <w:r>
        <w:rPr>
          <w:rFonts w:hint="eastAsia" w:ascii="宋体" w:hAnsi="宋体" w:cs="宋体"/>
          <w:highlight w:val="none"/>
          <w:u w:val="single"/>
        </w:rPr>
        <w:t xml:space="preserve">  包括以下内容：（1）付款次数或编号；（2）截至本次付款周期末已实施工程的价款；（3）变更金额；（4）索赔金额；（5）本次应支付的预付款和（或）应扣减的返还预付款；（6）本次扣减的质量保证金；（7）根据合同应增加和扣减的其他金额  </w:t>
      </w:r>
      <w:r>
        <w:rPr>
          <w:rFonts w:hint="eastAsia" w:ascii="宋体" w:hAnsi="宋体" w:cs="宋体"/>
          <w:highlight w:val="none"/>
        </w:rPr>
        <w:t xml:space="preserve">。 </w:t>
      </w:r>
    </w:p>
    <w:p w14:paraId="33B54897">
      <w:pPr>
        <w:spacing w:line="360" w:lineRule="auto"/>
        <w:ind w:firstLine="420" w:firstLineChars="200"/>
        <w:rPr>
          <w:rFonts w:hint="eastAsia" w:ascii="宋体" w:hAnsi="宋体" w:cs="宋体"/>
          <w:highlight w:val="none"/>
        </w:rPr>
      </w:pPr>
      <w:r>
        <w:rPr>
          <w:rFonts w:hint="eastAsia" w:ascii="宋体" w:hAnsi="宋体" w:cs="宋体"/>
          <w:highlight w:val="none"/>
        </w:rPr>
        <w:t>17.3.3进度付款证书和支付时间</w:t>
      </w:r>
    </w:p>
    <w:p w14:paraId="4CAE9D86">
      <w:pPr>
        <w:spacing w:line="360" w:lineRule="auto"/>
        <w:ind w:firstLine="420" w:firstLineChars="200"/>
        <w:rPr>
          <w:rFonts w:hint="eastAsia" w:ascii="宋体" w:hAnsi="宋体" w:cs="宋体"/>
          <w:highlight w:val="none"/>
        </w:rPr>
      </w:pPr>
      <w:r>
        <w:rPr>
          <w:rFonts w:hint="eastAsia" w:ascii="宋体" w:hAnsi="宋体" w:cs="宋体"/>
          <w:highlight w:val="none"/>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61DE0142">
      <w:pPr>
        <w:spacing w:line="360" w:lineRule="auto"/>
        <w:ind w:firstLine="420" w:firstLineChars="200"/>
        <w:rPr>
          <w:rFonts w:hint="eastAsia" w:ascii="宋体" w:hAnsi="宋体" w:cs="宋体"/>
          <w:highlight w:val="none"/>
        </w:rPr>
      </w:pPr>
      <w:r>
        <w:rPr>
          <w:rFonts w:hint="eastAsia" w:ascii="宋体" w:hAnsi="宋体" w:cs="宋体"/>
          <w:highlight w:val="none"/>
        </w:rPr>
        <w:t>逾期付款违约金的计算标准为：</w:t>
      </w:r>
      <w:r>
        <w:rPr>
          <w:rFonts w:hint="eastAsia" w:ascii="宋体" w:hAnsi="宋体" w:cs="宋体"/>
          <w:highlight w:val="none"/>
          <w:u w:val="single"/>
        </w:rPr>
        <w:t xml:space="preserve">        /               </w:t>
      </w:r>
      <w:r>
        <w:rPr>
          <w:rFonts w:hint="eastAsia" w:ascii="宋体" w:hAnsi="宋体" w:cs="宋体"/>
          <w:highlight w:val="none"/>
        </w:rPr>
        <w:t xml:space="preserve"> 。</w:t>
      </w:r>
    </w:p>
    <w:p w14:paraId="1CE32A2E">
      <w:pPr>
        <w:spacing w:line="360" w:lineRule="auto"/>
        <w:ind w:firstLine="420" w:firstLineChars="200"/>
        <w:rPr>
          <w:rFonts w:hint="eastAsia" w:ascii="宋体" w:hAnsi="宋体" w:cs="宋体"/>
          <w:highlight w:val="none"/>
        </w:rPr>
      </w:pPr>
      <w:r>
        <w:rPr>
          <w:rFonts w:hint="eastAsia" w:ascii="宋体" w:hAnsi="宋体" w:cs="宋体"/>
          <w:highlight w:val="none"/>
        </w:rPr>
        <w:t>逾期付款违约金的计算方法为：</w:t>
      </w:r>
      <w:r>
        <w:rPr>
          <w:rFonts w:hint="eastAsia" w:ascii="宋体" w:hAnsi="宋体" w:cs="宋体"/>
          <w:highlight w:val="none"/>
          <w:u w:val="single"/>
        </w:rPr>
        <w:t xml:space="preserve">     /                  </w:t>
      </w:r>
      <w:r>
        <w:rPr>
          <w:rFonts w:hint="eastAsia" w:ascii="宋体" w:hAnsi="宋体" w:cs="宋体"/>
          <w:highlight w:val="none"/>
        </w:rPr>
        <w:t xml:space="preserve"> 。</w:t>
      </w:r>
    </w:p>
    <w:p w14:paraId="51D5DB16">
      <w:pPr>
        <w:numPr>
          <w:ilvl w:val="0"/>
          <w:numId w:val="14"/>
        </w:numPr>
        <w:spacing w:line="360" w:lineRule="auto"/>
        <w:ind w:firstLine="420" w:firstLineChars="200"/>
        <w:rPr>
          <w:rFonts w:hint="eastAsia" w:ascii="宋体" w:hAnsi="宋体" w:cs="宋体"/>
          <w:highlight w:val="none"/>
        </w:rPr>
      </w:pPr>
      <w:r>
        <w:rPr>
          <w:rFonts w:hint="eastAsia" w:ascii="宋体" w:hAnsi="宋体" w:cs="宋体"/>
          <w:highlight w:val="none"/>
        </w:rPr>
        <w:t>进度付款涉及政府性资金的支付方法：由监理人审核工程量整体完成约80%时，经监理人验收合格并出具书面确认文件后，支付至合同的70%（金额：大写XXXXXX 小写XXXXX ），竣工验收合格并通过结算审计后，工程款支付至审计总金额的97%，质保期（24个月）满后，支付全部余款。</w:t>
      </w:r>
    </w:p>
    <w:p w14:paraId="1442B38F">
      <w:pPr>
        <w:spacing w:line="360" w:lineRule="auto"/>
        <w:rPr>
          <w:rFonts w:hint="eastAsia" w:ascii="宋体" w:hAnsi="宋体" w:cs="宋体"/>
          <w:highlight w:val="none"/>
        </w:rPr>
      </w:pPr>
      <w:r>
        <w:rPr>
          <w:rFonts w:hint="eastAsia" w:ascii="宋体" w:hAnsi="宋体" w:cs="宋体"/>
          <w:highlight w:val="none"/>
        </w:rPr>
        <w:t>注：受疫情或财政性资金影响，如发包人的拨款进度与本合同约定的进度款支付比例有偏差，按发包人的拨款进度支付。</w:t>
      </w:r>
    </w:p>
    <w:p w14:paraId="5DEF433F">
      <w:pPr>
        <w:spacing w:line="360" w:lineRule="auto"/>
        <w:ind w:firstLine="420" w:firstLineChars="200"/>
        <w:rPr>
          <w:rFonts w:hint="eastAsia" w:ascii="宋体" w:hAnsi="宋体" w:cs="宋体"/>
          <w:highlight w:val="none"/>
        </w:rPr>
      </w:pPr>
      <w:bookmarkStart w:id="2173" w:name="_Toc144974693"/>
      <w:bookmarkStart w:id="2174" w:name="_Toc152042501"/>
      <w:bookmarkStart w:id="2175" w:name="_Toc152045722"/>
      <w:bookmarkStart w:id="2176" w:name="_Toc179632740"/>
      <w:r>
        <w:rPr>
          <w:rFonts w:hint="eastAsia" w:ascii="宋体" w:hAnsi="宋体" w:cs="宋体"/>
          <w:highlight w:val="none"/>
        </w:rPr>
        <w:t>17.3.5 临时付款证书</w:t>
      </w:r>
    </w:p>
    <w:p w14:paraId="3EF3C0F9">
      <w:pPr>
        <w:spacing w:line="360" w:lineRule="auto"/>
        <w:ind w:firstLine="420" w:firstLineChars="200"/>
        <w:rPr>
          <w:rFonts w:hint="eastAsia" w:ascii="宋体" w:hAnsi="宋体" w:cs="宋体"/>
          <w:highlight w:val="none"/>
        </w:rPr>
      </w:pPr>
      <w:r>
        <w:rPr>
          <w:rFonts w:hint="eastAsia" w:ascii="宋体" w:hAnsi="宋体" w:cs="宋体"/>
          <w:highlight w:val="none"/>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283ED851">
      <w:pPr>
        <w:spacing w:line="360" w:lineRule="auto"/>
        <w:ind w:firstLine="420" w:firstLineChars="200"/>
        <w:rPr>
          <w:rFonts w:hint="eastAsia" w:ascii="宋体" w:hAnsi="宋体" w:cs="宋体"/>
          <w:highlight w:val="none"/>
        </w:rPr>
      </w:pPr>
      <w:r>
        <w:rPr>
          <w:rFonts w:hint="eastAsia" w:ascii="宋体" w:hAnsi="宋体" w:cs="宋体"/>
          <w:highlight w:val="none"/>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0DFD5653">
      <w:pPr>
        <w:spacing w:line="360" w:lineRule="auto"/>
        <w:ind w:firstLine="420" w:firstLineChars="200"/>
        <w:rPr>
          <w:rFonts w:hint="eastAsia" w:ascii="宋体" w:hAnsi="宋体" w:cs="宋体"/>
          <w:highlight w:val="none"/>
        </w:rPr>
      </w:pPr>
      <w:r>
        <w:rPr>
          <w:rFonts w:hint="eastAsia" w:ascii="宋体" w:hAnsi="宋体" w:cs="宋体"/>
          <w:highlight w:val="none"/>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4AE558C9">
      <w:pPr>
        <w:spacing w:line="360" w:lineRule="auto"/>
        <w:rPr>
          <w:rFonts w:hint="eastAsia" w:ascii="宋体" w:hAnsi="宋体" w:cs="宋体"/>
          <w:highlight w:val="none"/>
        </w:rPr>
      </w:pPr>
      <w:bookmarkStart w:id="2177" w:name="_Toc342296485"/>
      <w:bookmarkStart w:id="2178" w:name="_Toc241459726"/>
      <w:bookmarkStart w:id="2179" w:name="_Toc503536313"/>
      <w:bookmarkStart w:id="2180" w:name="_Toc454359402"/>
      <w:r>
        <w:rPr>
          <w:rFonts w:hint="eastAsia" w:ascii="宋体" w:hAnsi="宋体" w:cs="宋体"/>
          <w:highlight w:val="none"/>
        </w:rPr>
        <w:t xml:space="preserve">17.4 </w:t>
      </w:r>
      <w:bookmarkEnd w:id="2173"/>
      <w:bookmarkEnd w:id="2174"/>
      <w:bookmarkEnd w:id="2175"/>
      <w:r>
        <w:rPr>
          <w:rFonts w:hint="eastAsia" w:ascii="宋体" w:hAnsi="宋体" w:cs="宋体"/>
          <w:highlight w:val="none"/>
        </w:rPr>
        <w:t>质量保证金</w:t>
      </w:r>
      <w:bookmarkEnd w:id="2176"/>
      <w:bookmarkEnd w:id="2177"/>
      <w:bookmarkEnd w:id="2178"/>
      <w:bookmarkEnd w:id="2179"/>
      <w:bookmarkEnd w:id="2180"/>
    </w:p>
    <w:p w14:paraId="5B8BFE6B">
      <w:pPr>
        <w:spacing w:line="360" w:lineRule="auto"/>
        <w:ind w:firstLine="420" w:firstLineChars="200"/>
        <w:rPr>
          <w:rFonts w:hint="eastAsia" w:ascii="宋体" w:hAnsi="宋体" w:cs="宋体"/>
          <w:highlight w:val="none"/>
        </w:rPr>
      </w:pPr>
      <w:bookmarkStart w:id="2181" w:name="_Toc144974694"/>
      <w:bookmarkStart w:id="2182" w:name="_Toc152045723"/>
      <w:bookmarkStart w:id="2183" w:name="_Toc152042502"/>
      <w:bookmarkStart w:id="2184" w:name="_Toc179632741"/>
      <w:r>
        <w:rPr>
          <w:rFonts w:hint="eastAsia" w:ascii="宋体" w:hAnsi="宋体" w:cs="宋体"/>
          <w:highlight w:val="none"/>
        </w:rPr>
        <w:t>17.4.1质量保证金为结算审定金额的3%（质保金采用电汇、支票等形式递交），待缺陷责任期（24个月）满后一次性退还（无息）。</w:t>
      </w:r>
    </w:p>
    <w:p w14:paraId="24AC4230">
      <w:pPr>
        <w:spacing w:line="360" w:lineRule="auto"/>
        <w:rPr>
          <w:rFonts w:hint="eastAsia" w:ascii="宋体" w:hAnsi="宋体" w:cs="宋体"/>
          <w:highlight w:val="none"/>
        </w:rPr>
      </w:pPr>
      <w:bookmarkStart w:id="2185" w:name="_Toc503536314"/>
      <w:bookmarkStart w:id="2186" w:name="_Toc241459727"/>
      <w:bookmarkStart w:id="2187" w:name="_Toc454359403"/>
      <w:bookmarkStart w:id="2188" w:name="_Toc342296486"/>
      <w:r>
        <w:rPr>
          <w:rFonts w:hint="eastAsia" w:ascii="宋体" w:hAnsi="宋体" w:cs="宋体"/>
          <w:highlight w:val="none"/>
        </w:rPr>
        <w:t>17.5 竣工结算</w:t>
      </w:r>
      <w:bookmarkEnd w:id="2181"/>
      <w:bookmarkEnd w:id="2182"/>
      <w:bookmarkEnd w:id="2183"/>
      <w:bookmarkEnd w:id="2184"/>
      <w:bookmarkEnd w:id="2185"/>
      <w:bookmarkEnd w:id="2186"/>
      <w:bookmarkEnd w:id="2187"/>
      <w:bookmarkEnd w:id="2188"/>
    </w:p>
    <w:p w14:paraId="7F73F3D1">
      <w:pPr>
        <w:spacing w:line="360" w:lineRule="auto"/>
        <w:ind w:firstLine="420" w:firstLineChars="200"/>
        <w:rPr>
          <w:rFonts w:hint="eastAsia" w:ascii="宋体" w:hAnsi="宋体" w:cs="宋体"/>
          <w:highlight w:val="none"/>
        </w:rPr>
      </w:pPr>
      <w:bookmarkStart w:id="2189" w:name="_Toc152045724"/>
      <w:bookmarkStart w:id="2190" w:name="_Toc179632742"/>
      <w:bookmarkStart w:id="2191" w:name="_Toc152042503"/>
      <w:bookmarkStart w:id="2192" w:name="_Toc144974695"/>
      <w:r>
        <w:rPr>
          <w:rFonts w:hint="eastAsia" w:ascii="宋体" w:hAnsi="宋体" w:cs="宋体"/>
          <w:highlight w:val="none"/>
        </w:rPr>
        <w:t>17.5.1竣工付款申请单</w:t>
      </w:r>
    </w:p>
    <w:p w14:paraId="1E5D849A">
      <w:pPr>
        <w:spacing w:line="360" w:lineRule="auto"/>
        <w:ind w:firstLine="420" w:firstLineChars="200"/>
        <w:rPr>
          <w:rFonts w:hint="eastAsia" w:ascii="宋体" w:hAnsi="宋体" w:cs="宋体"/>
          <w:highlight w:val="none"/>
        </w:rPr>
      </w:pPr>
      <w:r>
        <w:rPr>
          <w:rFonts w:hint="eastAsia" w:ascii="宋体" w:hAnsi="宋体" w:cs="宋体"/>
          <w:highlight w:val="none"/>
        </w:rPr>
        <w:t>承包人提交竣工付款申请单的份数：</w:t>
      </w:r>
      <w:r>
        <w:rPr>
          <w:rFonts w:hint="eastAsia" w:ascii="宋体" w:hAnsi="宋体" w:cs="宋体"/>
          <w:highlight w:val="none"/>
          <w:u w:val="single"/>
        </w:rPr>
        <w:t xml:space="preserve">    /     </w:t>
      </w:r>
      <w:r>
        <w:rPr>
          <w:rFonts w:hint="eastAsia" w:ascii="宋体" w:hAnsi="宋体" w:cs="宋体"/>
          <w:highlight w:val="none"/>
        </w:rPr>
        <w:t>。</w:t>
      </w:r>
    </w:p>
    <w:p w14:paraId="04B4BC2D">
      <w:pPr>
        <w:spacing w:line="360" w:lineRule="auto"/>
        <w:ind w:firstLine="420" w:firstLineChars="200"/>
        <w:rPr>
          <w:rFonts w:hint="eastAsia" w:ascii="宋体" w:hAnsi="宋体" w:cs="宋体"/>
          <w:highlight w:val="none"/>
        </w:rPr>
      </w:pPr>
      <w:r>
        <w:rPr>
          <w:rFonts w:hint="eastAsia" w:ascii="宋体" w:hAnsi="宋体" w:cs="宋体"/>
          <w:highlight w:val="none"/>
        </w:rPr>
        <w:t>承包人提交竣工付款申请单的期限：</w:t>
      </w:r>
      <w:r>
        <w:rPr>
          <w:rFonts w:hint="eastAsia" w:ascii="宋体" w:hAnsi="宋体" w:cs="宋体"/>
          <w:highlight w:val="none"/>
          <w:u w:val="single"/>
        </w:rPr>
        <w:t xml:space="preserve">    /     </w:t>
      </w:r>
      <w:r>
        <w:rPr>
          <w:rFonts w:hint="eastAsia" w:ascii="宋体" w:hAnsi="宋体" w:cs="宋体"/>
          <w:highlight w:val="none"/>
        </w:rPr>
        <w:t>。</w:t>
      </w:r>
    </w:p>
    <w:p w14:paraId="24A3AE9D">
      <w:pPr>
        <w:spacing w:line="360" w:lineRule="auto"/>
        <w:ind w:firstLine="420" w:firstLineChars="200"/>
        <w:rPr>
          <w:rFonts w:hint="eastAsia" w:ascii="宋体" w:hAnsi="宋体" w:cs="宋体"/>
          <w:sz w:val="24"/>
          <w:highlight w:val="none"/>
        </w:rPr>
      </w:pPr>
      <w:r>
        <w:rPr>
          <w:rFonts w:hint="eastAsia" w:ascii="宋体" w:hAnsi="宋体" w:cs="宋体"/>
          <w:highlight w:val="none"/>
        </w:rPr>
        <w:t>竣工付款申请单的内容：</w:t>
      </w:r>
      <w:r>
        <w:rPr>
          <w:rFonts w:hint="eastAsia" w:ascii="宋体" w:hAnsi="宋体" w:cs="宋体"/>
          <w:sz w:val="21"/>
          <w:szCs w:val="21"/>
          <w:highlight w:val="none"/>
          <w:u w:val="single"/>
        </w:rPr>
        <w:t>竣工结算合同总价、已支付的工程价款、预付款、应支付的竣工付款金额等</w:t>
      </w:r>
      <w:r>
        <w:rPr>
          <w:rFonts w:hint="eastAsia" w:ascii="宋体" w:hAnsi="宋体" w:cs="宋体"/>
          <w:sz w:val="24"/>
          <w:highlight w:val="none"/>
          <w:u w:val="single"/>
        </w:rPr>
        <w:t xml:space="preserve">  </w:t>
      </w:r>
      <w:r>
        <w:rPr>
          <w:rFonts w:hint="eastAsia" w:ascii="宋体" w:hAnsi="宋体" w:cs="宋体"/>
          <w:sz w:val="24"/>
          <w:highlight w:val="none"/>
        </w:rPr>
        <w:t>。</w:t>
      </w:r>
    </w:p>
    <w:p w14:paraId="366E9394">
      <w:pPr>
        <w:spacing w:line="360" w:lineRule="auto"/>
        <w:ind w:firstLine="420" w:firstLineChars="200"/>
        <w:rPr>
          <w:rFonts w:hint="eastAsia" w:ascii="宋体" w:hAnsi="宋体" w:cs="宋体"/>
          <w:highlight w:val="none"/>
        </w:rPr>
      </w:pPr>
      <w:r>
        <w:rPr>
          <w:rFonts w:hint="eastAsia" w:ascii="宋体" w:hAnsi="宋体" w:cs="宋体"/>
          <w:highlight w:val="none"/>
        </w:rPr>
        <w:t>有关竣工结算要求：工程竣工验收合格后</w:t>
      </w:r>
      <w:r>
        <w:rPr>
          <w:rFonts w:hint="eastAsia" w:ascii="宋体" w:hAnsi="宋体" w:cs="宋体"/>
          <w:highlight w:val="none"/>
          <w:u w:val="single"/>
        </w:rPr>
        <w:t>20</w:t>
      </w:r>
      <w:r>
        <w:rPr>
          <w:rFonts w:hint="eastAsia" w:ascii="宋体" w:hAnsi="宋体" w:cs="宋体"/>
          <w:highlight w:val="none"/>
        </w:rPr>
        <w:t>日内，承包人将完整的竣工结算资料一次性提交发包人。结算过程中，承包人应满足结算核对所需的预算人员、时间、资料等要求，积极配合审计审核工作，因承包人原因影响结算款的支付由承包人负责。结算审核完毕后，签订结算价款确认书。</w:t>
      </w:r>
    </w:p>
    <w:p w14:paraId="4B2066BD">
      <w:pPr>
        <w:spacing w:line="360" w:lineRule="auto"/>
        <w:ind w:firstLine="420" w:firstLineChars="200"/>
        <w:rPr>
          <w:rFonts w:hint="eastAsia" w:ascii="宋体" w:hAnsi="宋体" w:cs="宋体"/>
          <w:highlight w:val="none"/>
        </w:rPr>
      </w:pPr>
      <w:r>
        <w:rPr>
          <w:rFonts w:hint="eastAsia" w:ascii="宋体" w:hAnsi="宋体" w:cs="宋体"/>
          <w:highlight w:val="none"/>
        </w:rPr>
        <w:t>承包人对报送结算资料的完整性和真实性负责，确保一次性报送完整的结算资料，结算资料报送后承包人不得再次补报，否则发包人有权不予接受。</w:t>
      </w:r>
    </w:p>
    <w:p w14:paraId="35122F90">
      <w:pPr>
        <w:spacing w:line="360" w:lineRule="auto"/>
        <w:ind w:firstLine="420" w:firstLineChars="200"/>
        <w:rPr>
          <w:rFonts w:hint="eastAsia" w:ascii="宋体" w:hAnsi="宋体" w:cs="宋体"/>
          <w:highlight w:val="none"/>
        </w:rPr>
      </w:pPr>
      <w:r>
        <w:rPr>
          <w:rFonts w:hint="eastAsia" w:ascii="宋体" w:hAnsi="宋体" w:cs="宋体"/>
          <w:highlight w:val="none"/>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15B7650E">
      <w:pPr>
        <w:spacing w:line="360" w:lineRule="auto"/>
        <w:ind w:firstLine="420" w:firstLineChars="200"/>
        <w:rPr>
          <w:rFonts w:hint="eastAsia" w:ascii="宋体" w:hAnsi="宋体" w:cs="宋体"/>
          <w:highlight w:val="none"/>
        </w:rPr>
      </w:pPr>
      <w:r>
        <w:rPr>
          <w:rFonts w:hint="eastAsia" w:ascii="宋体" w:hAnsi="宋体" w:cs="宋体"/>
          <w:highlight w:val="none"/>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办清竣工结算和竣工付款的时间按照相关规定执行。</w:t>
      </w:r>
    </w:p>
    <w:p w14:paraId="37AC9756">
      <w:pPr>
        <w:spacing w:line="360" w:lineRule="auto"/>
        <w:rPr>
          <w:rFonts w:hint="eastAsia" w:ascii="宋体" w:hAnsi="宋体" w:cs="宋体"/>
          <w:highlight w:val="none"/>
        </w:rPr>
      </w:pPr>
      <w:bookmarkStart w:id="2193" w:name="_Toc454359404"/>
      <w:bookmarkStart w:id="2194" w:name="_Toc241459728"/>
      <w:bookmarkStart w:id="2195" w:name="_Toc342296487"/>
      <w:bookmarkStart w:id="2196" w:name="_Toc503536315"/>
      <w:r>
        <w:rPr>
          <w:rFonts w:hint="eastAsia" w:ascii="宋体" w:hAnsi="宋体" w:cs="宋体"/>
          <w:highlight w:val="none"/>
        </w:rPr>
        <w:t>17.6 最终结清</w:t>
      </w:r>
      <w:bookmarkEnd w:id="2189"/>
      <w:bookmarkEnd w:id="2190"/>
      <w:bookmarkEnd w:id="2191"/>
      <w:bookmarkEnd w:id="2192"/>
      <w:bookmarkEnd w:id="2193"/>
      <w:bookmarkEnd w:id="2194"/>
      <w:bookmarkEnd w:id="2195"/>
      <w:bookmarkEnd w:id="2196"/>
    </w:p>
    <w:p w14:paraId="7336A27E">
      <w:pPr>
        <w:spacing w:line="360" w:lineRule="auto"/>
        <w:ind w:firstLine="420" w:firstLineChars="200"/>
        <w:rPr>
          <w:rFonts w:hint="eastAsia" w:ascii="宋体" w:hAnsi="宋体" w:cs="宋体"/>
          <w:highlight w:val="none"/>
        </w:rPr>
      </w:pPr>
      <w:r>
        <w:rPr>
          <w:rFonts w:hint="eastAsia" w:ascii="宋体" w:hAnsi="宋体" w:cs="宋体"/>
          <w:highlight w:val="none"/>
        </w:rPr>
        <w:t>17.6.1最终结清申请单</w:t>
      </w:r>
    </w:p>
    <w:p w14:paraId="1204BD54">
      <w:pPr>
        <w:spacing w:line="360" w:lineRule="auto"/>
        <w:ind w:firstLine="420" w:firstLineChars="200"/>
        <w:rPr>
          <w:rFonts w:hint="eastAsia" w:ascii="宋体" w:hAnsi="宋体" w:cs="宋体"/>
          <w:highlight w:val="none"/>
          <w:u w:val="single"/>
        </w:rPr>
      </w:pPr>
      <w:r>
        <w:rPr>
          <w:rFonts w:hint="eastAsia" w:ascii="宋体" w:hAnsi="宋体" w:cs="宋体"/>
          <w:highlight w:val="none"/>
        </w:rPr>
        <w:t>承包人提交最终结清申请单的份数：</w:t>
      </w:r>
      <w:r>
        <w:rPr>
          <w:rFonts w:hint="eastAsia" w:ascii="宋体" w:hAnsi="宋体" w:cs="宋体"/>
          <w:highlight w:val="none"/>
          <w:u w:val="single"/>
        </w:rPr>
        <w:t xml:space="preserve">  /  </w:t>
      </w:r>
      <w:r>
        <w:rPr>
          <w:rFonts w:hint="eastAsia" w:ascii="宋体" w:hAnsi="宋体" w:cs="宋体"/>
          <w:highlight w:val="none"/>
        </w:rPr>
        <w:t>。</w:t>
      </w:r>
    </w:p>
    <w:p w14:paraId="5ADFF53D">
      <w:pPr>
        <w:spacing w:line="360" w:lineRule="auto"/>
        <w:ind w:firstLine="420" w:firstLineChars="200"/>
        <w:rPr>
          <w:rFonts w:hint="eastAsia" w:ascii="宋体" w:hAnsi="宋体" w:cs="宋体"/>
          <w:highlight w:val="none"/>
        </w:rPr>
      </w:pPr>
      <w:r>
        <w:rPr>
          <w:rFonts w:hint="eastAsia" w:ascii="宋体" w:hAnsi="宋体" w:cs="宋体"/>
          <w:highlight w:val="none"/>
        </w:rPr>
        <w:t>承包人提交最终结清申请单的期限：</w:t>
      </w:r>
      <w:r>
        <w:rPr>
          <w:rFonts w:hint="eastAsia" w:ascii="宋体" w:hAnsi="宋体" w:cs="宋体"/>
          <w:highlight w:val="none"/>
          <w:u w:val="single"/>
        </w:rPr>
        <w:t xml:space="preserve">  /  </w:t>
      </w:r>
      <w:r>
        <w:rPr>
          <w:rFonts w:hint="eastAsia" w:ascii="宋体" w:hAnsi="宋体" w:cs="宋体"/>
          <w:highlight w:val="none"/>
        </w:rPr>
        <w:t>。</w:t>
      </w:r>
    </w:p>
    <w:p w14:paraId="5CD00810">
      <w:pPr>
        <w:rPr>
          <w:rFonts w:hint="eastAsia" w:ascii="宋体" w:hAnsi="宋体" w:cs="宋体"/>
          <w:highlight w:val="none"/>
        </w:rPr>
      </w:pPr>
      <w:bookmarkStart w:id="2197" w:name="_Toc144974696"/>
      <w:bookmarkStart w:id="2198" w:name="_Toc4157326"/>
      <w:bookmarkStart w:id="2199" w:name="_Toc152045725"/>
      <w:bookmarkStart w:id="2200" w:name="_Toc152042504"/>
      <w:bookmarkStart w:id="2201" w:name="_Toc27080"/>
      <w:bookmarkStart w:id="2202" w:name="_Toc342296488"/>
      <w:bookmarkStart w:id="2203" w:name="_Toc179632743"/>
      <w:bookmarkStart w:id="2204" w:name="_Toc503536316"/>
      <w:bookmarkStart w:id="2205" w:name="_Toc241459729"/>
      <w:r>
        <w:rPr>
          <w:rFonts w:hint="eastAsia" w:ascii="宋体" w:hAnsi="宋体" w:cs="宋体"/>
          <w:highlight w:val="none"/>
        </w:rPr>
        <w:t>18. 竣工验收</w:t>
      </w:r>
      <w:bookmarkEnd w:id="2197"/>
      <w:bookmarkEnd w:id="2198"/>
      <w:bookmarkEnd w:id="2199"/>
      <w:bookmarkEnd w:id="2200"/>
      <w:bookmarkEnd w:id="2201"/>
      <w:bookmarkEnd w:id="2202"/>
      <w:bookmarkEnd w:id="2203"/>
      <w:bookmarkEnd w:id="2204"/>
      <w:bookmarkEnd w:id="2205"/>
    </w:p>
    <w:p w14:paraId="33D24506">
      <w:pPr>
        <w:spacing w:line="360" w:lineRule="auto"/>
        <w:rPr>
          <w:rFonts w:hint="eastAsia" w:ascii="宋体" w:hAnsi="宋体" w:cs="宋体"/>
          <w:highlight w:val="none"/>
        </w:rPr>
      </w:pPr>
      <w:bookmarkStart w:id="2206" w:name="_Toc241459730"/>
      <w:bookmarkStart w:id="2207" w:name="_Toc152045727"/>
      <w:bookmarkStart w:id="2208" w:name="_Toc144974698"/>
      <w:bookmarkStart w:id="2209" w:name="_Toc152042506"/>
      <w:bookmarkStart w:id="2210" w:name="_Toc342296489"/>
      <w:bookmarkStart w:id="2211" w:name="_Toc454359406"/>
      <w:bookmarkStart w:id="2212" w:name="_Toc179632745"/>
      <w:bookmarkStart w:id="2213" w:name="_Toc503536317"/>
      <w:r>
        <w:rPr>
          <w:rFonts w:hint="eastAsia" w:ascii="宋体" w:hAnsi="宋体" w:cs="宋体"/>
          <w:highlight w:val="none"/>
        </w:rPr>
        <w:t>18.2 竣工验收申请报告</w:t>
      </w:r>
      <w:bookmarkEnd w:id="2206"/>
      <w:bookmarkEnd w:id="2207"/>
      <w:bookmarkEnd w:id="2208"/>
      <w:bookmarkEnd w:id="2209"/>
      <w:bookmarkEnd w:id="2210"/>
      <w:bookmarkEnd w:id="2211"/>
      <w:bookmarkEnd w:id="2212"/>
      <w:bookmarkEnd w:id="2213"/>
    </w:p>
    <w:p w14:paraId="24AED0A5">
      <w:pPr>
        <w:spacing w:line="360" w:lineRule="auto"/>
        <w:ind w:firstLine="420" w:firstLineChars="200"/>
        <w:rPr>
          <w:rFonts w:hint="eastAsia" w:ascii="宋体" w:hAnsi="宋体" w:cs="宋体"/>
          <w:highlight w:val="none"/>
        </w:rPr>
      </w:pPr>
      <w:r>
        <w:rPr>
          <w:rFonts w:hint="eastAsia" w:ascii="宋体" w:hAnsi="宋体" w:cs="宋体"/>
          <w:highlight w:val="none"/>
        </w:rPr>
        <w:t>（2）承包人负责整理和提交的竣工验收资料应当符合工程所在地交通运输行政主管部门和（或）城市建设档案管理机构有关施工资料的要求，具体内容包括：</w:t>
      </w:r>
      <w:r>
        <w:rPr>
          <w:rFonts w:hint="eastAsia" w:ascii="宋体" w:hAnsi="宋体" w:cs="宋体"/>
          <w:highlight w:val="none"/>
          <w:u w:val="single"/>
        </w:rPr>
        <w:t xml:space="preserve">  按照北京城市建设档案馆存档要求  </w:t>
      </w:r>
      <w:r>
        <w:rPr>
          <w:rFonts w:hint="eastAsia" w:ascii="宋体" w:hAnsi="宋体" w:cs="宋体"/>
          <w:highlight w:val="none"/>
        </w:rPr>
        <w:t>。</w:t>
      </w:r>
    </w:p>
    <w:p w14:paraId="61871F22">
      <w:pPr>
        <w:spacing w:line="360" w:lineRule="auto"/>
        <w:ind w:firstLine="420" w:firstLineChars="200"/>
        <w:rPr>
          <w:rFonts w:hint="eastAsia" w:ascii="宋体" w:hAnsi="宋体" w:cs="宋体"/>
          <w:highlight w:val="none"/>
        </w:rPr>
      </w:pPr>
      <w:r>
        <w:rPr>
          <w:rFonts w:hint="eastAsia" w:ascii="宋体" w:hAnsi="宋体" w:cs="宋体"/>
          <w:highlight w:val="none"/>
        </w:rPr>
        <w:t>竣工验收资料的份数：</w:t>
      </w:r>
      <w:r>
        <w:rPr>
          <w:rFonts w:hint="eastAsia" w:ascii="宋体" w:hAnsi="宋体" w:cs="宋体"/>
          <w:highlight w:val="none"/>
          <w:u w:val="single"/>
        </w:rPr>
        <w:t xml:space="preserve">  5份  </w:t>
      </w:r>
      <w:r>
        <w:rPr>
          <w:rFonts w:hint="eastAsia" w:ascii="宋体" w:hAnsi="宋体" w:cs="宋体"/>
          <w:highlight w:val="none"/>
        </w:rPr>
        <w:t>。</w:t>
      </w:r>
    </w:p>
    <w:p w14:paraId="17C24959">
      <w:pPr>
        <w:spacing w:line="360" w:lineRule="auto"/>
        <w:ind w:firstLine="420" w:firstLineChars="200"/>
        <w:rPr>
          <w:rFonts w:hint="eastAsia" w:ascii="宋体" w:hAnsi="宋体" w:cs="宋体"/>
          <w:highlight w:val="none"/>
        </w:rPr>
      </w:pPr>
      <w:bookmarkStart w:id="2214" w:name="_Toc144974699"/>
      <w:bookmarkStart w:id="2215" w:name="_Toc179632746"/>
      <w:bookmarkStart w:id="2216" w:name="_Toc152045728"/>
      <w:bookmarkStart w:id="2217" w:name="_Toc152042507"/>
      <w:r>
        <w:rPr>
          <w:rFonts w:hint="eastAsia" w:ascii="宋体" w:hAnsi="宋体" w:cs="宋体"/>
          <w:highlight w:val="none"/>
        </w:rPr>
        <w:t>竣工验收资料的费用支付方式：</w:t>
      </w:r>
      <w:r>
        <w:rPr>
          <w:rFonts w:hint="eastAsia" w:ascii="宋体" w:hAnsi="宋体" w:cs="宋体"/>
          <w:highlight w:val="none"/>
          <w:u w:val="single"/>
        </w:rPr>
        <w:t xml:space="preserve">  由承包人承担  </w:t>
      </w:r>
      <w:r>
        <w:rPr>
          <w:rFonts w:hint="eastAsia" w:ascii="宋体" w:hAnsi="宋体" w:cs="宋体"/>
          <w:highlight w:val="none"/>
        </w:rPr>
        <w:t>。</w:t>
      </w:r>
    </w:p>
    <w:p w14:paraId="1384A7B0">
      <w:pPr>
        <w:spacing w:line="360" w:lineRule="auto"/>
        <w:rPr>
          <w:rFonts w:hint="eastAsia" w:ascii="宋体" w:hAnsi="宋体" w:cs="宋体"/>
          <w:highlight w:val="none"/>
        </w:rPr>
      </w:pPr>
      <w:bookmarkStart w:id="2218" w:name="_Toc342296490"/>
      <w:bookmarkStart w:id="2219" w:name="_Toc503536318"/>
      <w:bookmarkStart w:id="2220" w:name="_Toc454359407"/>
      <w:bookmarkStart w:id="2221" w:name="_Toc241459731"/>
      <w:r>
        <w:rPr>
          <w:rFonts w:hint="eastAsia" w:ascii="宋体" w:hAnsi="宋体" w:cs="宋体"/>
          <w:highlight w:val="none"/>
        </w:rPr>
        <w:t>18.3 验 收</w:t>
      </w:r>
      <w:bookmarkEnd w:id="2214"/>
      <w:bookmarkEnd w:id="2215"/>
      <w:bookmarkEnd w:id="2216"/>
      <w:bookmarkEnd w:id="2217"/>
      <w:bookmarkEnd w:id="2218"/>
      <w:bookmarkEnd w:id="2219"/>
      <w:bookmarkEnd w:id="2220"/>
      <w:bookmarkEnd w:id="2221"/>
    </w:p>
    <w:p w14:paraId="6321C1EF">
      <w:pPr>
        <w:spacing w:line="360" w:lineRule="auto"/>
        <w:ind w:firstLine="420" w:firstLineChars="200"/>
        <w:rPr>
          <w:rFonts w:hint="eastAsia" w:ascii="宋体" w:hAnsi="宋体" w:cs="宋体"/>
          <w:highlight w:val="none"/>
        </w:rPr>
      </w:pPr>
      <w:r>
        <w:rPr>
          <w:rFonts w:hint="eastAsia" w:ascii="宋体" w:hAnsi="宋体" w:cs="宋体"/>
          <w:highlight w:val="none"/>
        </w:rPr>
        <w:t>18.3.5经验收合格的工程, 实际竣工日期为承包人按照第18.2款提交竣工验收申请报告或按照本款重新提交竣工验收申请报告的日期（以两者中时间在后者为准）。</w:t>
      </w:r>
    </w:p>
    <w:p w14:paraId="2119D41B">
      <w:pPr>
        <w:spacing w:line="360" w:lineRule="auto"/>
        <w:rPr>
          <w:rFonts w:hint="eastAsia" w:ascii="宋体" w:hAnsi="宋体" w:cs="宋体"/>
          <w:highlight w:val="none"/>
        </w:rPr>
      </w:pPr>
      <w:bookmarkStart w:id="2222" w:name="_Toc342296491"/>
      <w:bookmarkStart w:id="2223" w:name="_Toc152045730"/>
      <w:bookmarkStart w:id="2224" w:name="_Toc241459732"/>
      <w:bookmarkStart w:id="2225" w:name="_Toc144974701"/>
      <w:bookmarkStart w:id="2226" w:name="_Toc179632748"/>
      <w:bookmarkStart w:id="2227" w:name="_Toc454359408"/>
      <w:bookmarkStart w:id="2228" w:name="_Toc503536319"/>
      <w:bookmarkStart w:id="2229" w:name="_Toc152042509"/>
      <w:r>
        <w:rPr>
          <w:rFonts w:hint="eastAsia" w:ascii="宋体" w:hAnsi="宋体" w:cs="宋体"/>
          <w:highlight w:val="none"/>
        </w:rPr>
        <w:t>18.5 施工期运行</w:t>
      </w:r>
      <w:bookmarkEnd w:id="2222"/>
      <w:bookmarkEnd w:id="2223"/>
      <w:bookmarkEnd w:id="2224"/>
      <w:bookmarkEnd w:id="2225"/>
      <w:bookmarkEnd w:id="2226"/>
      <w:bookmarkEnd w:id="2227"/>
      <w:bookmarkEnd w:id="2228"/>
      <w:bookmarkEnd w:id="2229"/>
    </w:p>
    <w:p w14:paraId="76EAC0F5">
      <w:pPr>
        <w:spacing w:line="360" w:lineRule="auto"/>
        <w:ind w:firstLine="420" w:firstLineChars="200"/>
        <w:rPr>
          <w:rFonts w:hint="eastAsia" w:ascii="宋体" w:hAnsi="宋体" w:cs="宋体"/>
          <w:highlight w:val="none"/>
          <w:u w:val="single"/>
        </w:rPr>
      </w:pPr>
      <w:bookmarkStart w:id="2230" w:name="_Toc144974702"/>
      <w:bookmarkStart w:id="2231" w:name="_Toc179632749"/>
      <w:bookmarkStart w:id="2232" w:name="_Toc152045731"/>
      <w:bookmarkStart w:id="2233" w:name="_Toc152042510"/>
      <w:r>
        <w:rPr>
          <w:rFonts w:hint="eastAsia" w:ascii="宋体" w:hAnsi="宋体" w:cs="宋体"/>
          <w:highlight w:val="none"/>
        </w:rPr>
        <w:t>18.5.1需要施工期运行的单位工程或设备安装工程：</w:t>
      </w:r>
      <w:r>
        <w:rPr>
          <w:rFonts w:hint="eastAsia" w:ascii="宋体" w:hAnsi="宋体" w:cs="宋体"/>
          <w:highlight w:val="none"/>
          <w:u w:val="single"/>
        </w:rPr>
        <w:t xml:space="preserve">  /   </w:t>
      </w:r>
      <w:r>
        <w:rPr>
          <w:rFonts w:hint="eastAsia" w:ascii="宋体" w:hAnsi="宋体" w:cs="宋体"/>
          <w:highlight w:val="none"/>
        </w:rPr>
        <w:t>。</w:t>
      </w:r>
    </w:p>
    <w:p w14:paraId="26F97D34">
      <w:pPr>
        <w:spacing w:line="360" w:lineRule="auto"/>
        <w:rPr>
          <w:rFonts w:hint="eastAsia" w:ascii="宋体" w:hAnsi="宋体" w:cs="宋体"/>
          <w:highlight w:val="none"/>
        </w:rPr>
      </w:pPr>
      <w:bookmarkStart w:id="2234" w:name="_Toc241459733"/>
      <w:bookmarkStart w:id="2235" w:name="_Toc454359409"/>
      <w:bookmarkStart w:id="2236" w:name="_Toc503536320"/>
      <w:bookmarkStart w:id="2237" w:name="_Toc342296492"/>
      <w:r>
        <w:rPr>
          <w:rFonts w:hint="eastAsia" w:ascii="宋体" w:hAnsi="宋体" w:cs="宋体"/>
          <w:highlight w:val="none"/>
        </w:rPr>
        <w:t>18.6 试运行</w:t>
      </w:r>
      <w:bookmarkEnd w:id="2230"/>
      <w:bookmarkEnd w:id="2231"/>
      <w:bookmarkEnd w:id="2232"/>
      <w:bookmarkEnd w:id="2233"/>
      <w:bookmarkEnd w:id="2234"/>
      <w:bookmarkEnd w:id="2235"/>
      <w:bookmarkEnd w:id="2236"/>
      <w:bookmarkEnd w:id="2237"/>
    </w:p>
    <w:p w14:paraId="4C44F3A7">
      <w:pPr>
        <w:spacing w:line="360" w:lineRule="auto"/>
        <w:ind w:firstLine="420" w:firstLineChars="200"/>
        <w:rPr>
          <w:rFonts w:hint="eastAsia" w:ascii="宋体" w:hAnsi="宋体" w:cs="宋体"/>
          <w:highlight w:val="none"/>
        </w:rPr>
      </w:pPr>
      <w:bookmarkStart w:id="2238" w:name="_Toc179632750"/>
      <w:bookmarkStart w:id="2239" w:name="_Toc144974703"/>
      <w:bookmarkStart w:id="2240" w:name="_Toc152045732"/>
      <w:bookmarkStart w:id="2241" w:name="_Toc152042511"/>
      <w:r>
        <w:rPr>
          <w:rFonts w:hint="eastAsia" w:ascii="宋体" w:hAnsi="宋体" w:cs="宋体"/>
          <w:highlight w:val="none"/>
        </w:rPr>
        <w:t>18.6.1工程及工程设备试运行的组织与费用承担</w:t>
      </w:r>
    </w:p>
    <w:p w14:paraId="0C443D9D">
      <w:pPr>
        <w:spacing w:line="360" w:lineRule="auto"/>
        <w:ind w:firstLine="420" w:firstLineChars="200"/>
        <w:rPr>
          <w:rFonts w:hint="eastAsia" w:ascii="宋体" w:hAnsi="宋体" w:cs="宋体"/>
          <w:highlight w:val="none"/>
        </w:rPr>
      </w:pPr>
      <w:r>
        <w:rPr>
          <w:rFonts w:hint="eastAsia" w:ascii="宋体" w:hAnsi="宋体" w:cs="宋体"/>
          <w:highlight w:val="none"/>
        </w:rPr>
        <w:t>（1）工程设备安装具备单机无负荷试运行条件，由承包人组织试运行，费用由承包人承担。</w:t>
      </w:r>
    </w:p>
    <w:p w14:paraId="30FC71C0">
      <w:pPr>
        <w:spacing w:line="360" w:lineRule="auto"/>
        <w:ind w:firstLine="420" w:firstLineChars="200"/>
        <w:rPr>
          <w:rFonts w:hint="eastAsia" w:ascii="宋体" w:hAnsi="宋体" w:cs="宋体"/>
          <w:highlight w:val="none"/>
        </w:rPr>
      </w:pPr>
      <w:r>
        <w:rPr>
          <w:rFonts w:hint="eastAsia" w:ascii="宋体" w:hAnsi="宋体" w:cs="宋体"/>
          <w:highlight w:val="none"/>
        </w:rPr>
        <w:t>（2） 工程设备安装具备无负荷联动试运行条件，由发包人组织试运行，费用由发包人承担。</w:t>
      </w:r>
    </w:p>
    <w:p w14:paraId="5FA491B0">
      <w:pPr>
        <w:spacing w:line="360" w:lineRule="auto"/>
        <w:ind w:firstLine="420" w:firstLineChars="200"/>
        <w:rPr>
          <w:rFonts w:hint="eastAsia" w:ascii="宋体" w:hAnsi="宋体" w:cs="宋体"/>
          <w:highlight w:val="none"/>
        </w:rPr>
      </w:pPr>
      <w:r>
        <w:rPr>
          <w:rFonts w:hint="eastAsia" w:ascii="宋体" w:hAnsi="宋体" w:cs="宋体"/>
          <w:highlight w:val="none"/>
        </w:rPr>
        <w:t>（3）投料试运行应在工程竣工验收后由发包人负责，如发包人要求在工程竣工验收前进行或需要承包人配合时，应征得承包人同意，另行签订补充协议。</w:t>
      </w:r>
    </w:p>
    <w:p w14:paraId="4775FCF5">
      <w:pPr>
        <w:spacing w:line="360" w:lineRule="auto"/>
        <w:rPr>
          <w:rFonts w:hint="eastAsia" w:ascii="宋体" w:hAnsi="宋体" w:cs="宋体"/>
          <w:highlight w:val="none"/>
        </w:rPr>
      </w:pPr>
      <w:bookmarkStart w:id="2242" w:name="_Toc241459734"/>
      <w:bookmarkStart w:id="2243" w:name="_Toc454359410"/>
      <w:bookmarkStart w:id="2244" w:name="_Toc342296493"/>
      <w:bookmarkStart w:id="2245" w:name="_Toc503536321"/>
      <w:r>
        <w:rPr>
          <w:rFonts w:hint="eastAsia" w:ascii="宋体" w:hAnsi="宋体" w:cs="宋体"/>
          <w:highlight w:val="none"/>
        </w:rPr>
        <w:t>18.7 竣工清场</w:t>
      </w:r>
      <w:bookmarkEnd w:id="2238"/>
      <w:bookmarkEnd w:id="2239"/>
      <w:bookmarkEnd w:id="2240"/>
      <w:bookmarkEnd w:id="2241"/>
      <w:bookmarkEnd w:id="2242"/>
      <w:bookmarkEnd w:id="2243"/>
      <w:bookmarkEnd w:id="2244"/>
      <w:bookmarkEnd w:id="2245"/>
    </w:p>
    <w:p w14:paraId="14760BB0">
      <w:pPr>
        <w:spacing w:line="360" w:lineRule="auto"/>
        <w:ind w:firstLine="420" w:firstLineChars="200"/>
        <w:rPr>
          <w:rFonts w:hint="eastAsia" w:ascii="宋体" w:hAnsi="宋体" w:cs="宋体"/>
          <w:highlight w:val="none"/>
        </w:rPr>
      </w:pPr>
      <w:r>
        <w:rPr>
          <w:rFonts w:hint="eastAsia" w:ascii="宋体" w:hAnsi="宋体" w:cs="宋体"/>
          <w:highlight w:val="none"/>
        </w:rPr>
        <w:t>18.7.1监理人颁发（出具）工程接收证书后，承包人负责按照通用合同条款本项约定的要求对施工场地进行清理并承担相关费用，直至监理人检验合格为止。</w:t>
      </w:r>
    </w:p>
    <w:p w14:paraId="0FAB19C2">
      <w:pPr>
        <w:spacing w:line="360" w:lineRule="auto"/>
        <w:rPr>
          <w:rFonts w:hint="eastAsia" w:ascii="宋体" w:hAnsi="宋体" w:cs="宋体"/>
          <w:highlight w:val="none"/>
        </w:rPr>
      </w:pPr>
      <w:bookmarkStart w:id="2246" w:name="_Toc503536322"/>
      <w:bookmarkStart w:id="2247" w:name="_Toc144974704"/>
      <w:bookmarkStart w:id="2248" w:name="_Toc152042512"/>
      <w:bookmarkStart w:id="2249" w:name="_Toc241459735"/>
      <w:bookmarkStart w:id="2250" w:name="_Toc454359411"/>
      <w:bookmarkStart w:id="2251" w:name="_Toc342296494"/>
      <w:bookmarkStart w:id="2252" w:name="_Toc152045733"/>
      <w:bookmarkStart w:id="2253" w:name="_Toc179632751"/>
      <w:r>
        <w:rPr>
          <w:rFonts w:hint="eastAsia" w:ascii="宋体" w:hAnsi="宋体" w:cs="宋体"/>
          <w:highlight w:val="none"/>
        </w:rPr>
        <w:t>18.8 施工队伍的撤离</w:t>
      </w:r>
      <w:bookmarkEnd w:id="2246"/>
      <w:bookmarkEnd w:id="2247"/>
      <w:bookmarkEnd w:id="2248"/>
      <w:bookmarkEnd w:id="2249"/>
      <w:bookmarkEnd w:id="2250"/>
      <w:bookmarkEnd w:id="2251"/>
      <w:bookmarkEnd w:id="2252"/>
      <w:bookmarkEnd w:id="2253"/>
    </w:p>
    <w:p w14:paraId="3207F182">
      <w:pPr>
        <w:spacing w:line="360" w:lineRule="auto"/>
        <w:ind w:firstLine="420" w:firstLineChars="200"/>
        <w:rPr>
          <w:rFonts w:hint="eastAsia" w:ascii="宋体" w:hAnsi="宋体" w:cs="宋体"/>
          <w:highlight w:val="none"/>
        </w:rPr>
      </w:pPr>
      <w:bookmarkStart w:id="2254" w:name="_Toc152042513"/>
      <w:bookmarkStart w:id="2255" w:name="_Toc179632752"/>
      <w:bookmarkStart w:id="2256" w:name="_Toc152045734"/>
      <w:bookmarkStart w:id="2257" w:name="_Toc144974705"/>
      <w:r>
        <w:rPr>
          <w:rFonts w:hint="eastAsia" w:ascii="宋体" w:hAnsi="宋体" w:cs="宋体"/>
          <w:highlight w:val="none"/>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75C8CD62">
      <w:pPr>
        <w:spacing w:line="360" w:lineRule="auto"/>
        <w:ind w:firstLine="420" w:firstLineChars="200"/>
        <w:rPr>
          <w:rFonts w:hint="eastAsia" w:ascii="宋体" w:hAnsi="宋体" w:cs="宋体"/>
          <w:highlight w:val="none"/>
        </w:rPr>
      </w:pPr>
      <w:r>
        <w:rPr>
          <w:rFonts w:hint="eastAsia" w:ascii="宋体" w:hAnsi="宋体" w:cs="宋体"/>
          <w:highlight w:val="none"/>
        </w:rPr>
        <w:t>缺陷责任期满时，承包人可以继续在施工场地保留的人员和施工设备以及最终撤离的期限：</w:t>
      </w:r>
      <w:r>
        <w:rPr>
          <w:rFonts w:hint="eastAsia" w:ascii="宋体" w:hAnsi="宋体" w:cs="宋体"/>
          <w:highlight w:val="none"/>
          <w:u w:val="single"/>
        </w:rPr>
        <w:t xml:space="preserve">   /   </w:t>
      </w:r>
      <w:r>
        <w:rPr>
          <w:rFonts w:hint="eastAsia" w:ascii="宋体" w:hAnsi="宋体" w:cs="宋体"/>
          <w:highlight w:val="none"/>
        </w:rPr>
        <w:t xml:space="preserve">。  </w:t>
      </w:r>
    </w:p>
    <w:p w14:paraId="337C1B8B">
      <w:pPr>
        <w:spacing w:line="360" w:lineRule="auto"/>
        <w:rPr>
          <w:rFonts w:hint="eastAsia" w:ascii="宋体" w:hAnsi="宋体" w:cs="宋体"/>
          <w:highlight w:val="none"/>
        </w:rPr>
      </w:pPr>
      <w:bookmarkStart w:id="2258" w:name="_Toc454359412"/>
      <w:bookmarkStart w:id="2259" w:name="_Toc342296495"/>
      <w:bookmarkStart w:id="2260" w:name="_Toc241459736"/>
      <w:bookmarkStart w:id="2261" w:name="_Toc503536323"/>
      <w:r>
        <w:rPr>
          <w:rFonts w:hint="eastAsia" w:ascii="宋体" w:hAnsi="宋体" w:cs="宋体"/>
          <w:highlight w:val="none"/>
        </w:rPr>
        <w:t>18.9 中间验收</w:t>
      </w:r>
      <w:bookmarkEnd w:id="2258"/>
      <w:bookmarkEnd w:id="2259"/>
      <w:bookmarkEnd w:id="2260"/>
      <w:bookmarkEnd w:id="2261"/>
    </w:p>
    <w:p w14:paraId="3B396F8D">
      <w:pPr>
        <w:spacing w:line="360" w:lineRule="auto"/>
        <w:ind w:firstLine="525" w:firstLineChars="250"/>
        <w:rPr>
          <w:rFonts w:hint="eastAsia" w:ascii="宋体" w:hAnsi="宋体" w:cs="宋体"/>
          <w:highlight w:val="none"/>
        </w:rPr>
      </w:pPr>
      <w:r>
        <w:rPr>
          <w:rFonts w:hint="eastAsia" w:ascii="宋体" w:hAnsi="宋体" w:cs="宋体"/>
          <w:highlight w:val="none"/>
        </w:rPr>
        <w:t>本工程需要进行中间验收的部位如下：</w:t>
      </w:r>
      <w:r>
        <w:rPr>
          <w:rFonts w:hint="eastAsia" w:ascii="宋体" w:hAnsi="宋体" w:cs="宋体"/>
          <w:highlight w:val="none"/>
          <w:u w:val="single"/>
        </w:rPr>
        <w:t xml:space="preserve">   /    </w:t>
      </w:r>
      <w:r>
        <w:rPr>
          <w:rFonts w:hint="eastAsia" w:ascii="宋体" w:hAnsi="宋体" w:cs="宋体"/>
          <w:highlight w:val="none"/>
        </w:rPr>
        <w:t>。</w:t>
      </w:r>
    </w:p>
    <w:p w14:paraId="257935B6">
      <w:pPr>
        <w:spacing w:line="360" w:lineRule="auto"/>
        <w:ind w:firstLine="420" w:firstLineChars="200"/>
        <w:rPr>
          <w:rFonts w:hint="eastAsia" w:ascii="宋体" w:hAnsi="宋体" w:cs="宋体"/>
          <w:highlight w:val="none"/>
        </w:rPr>
      </w:pPr>
      <w:r>
        <w:rPr>
          <w:rFonts w:hint="eastAsia" w:ascii="宋体" w:hAnsi="宋体" w:cs="宋体"/>
          <w:highlight w:val="none"/>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cs="宋体"/>
          <w:highlight w:val="none"/>
          <w:u w:val="single"/>
        </w:rPr>
        <w:t xml:space="preserve">   /   </w:t>
      </w:r>
      <w:r>
        <w:rPr>
          <w:rFonts w:hint="eastAsia" w:ascii="宋体" w:hAnsi="宋体" w:cs="宋体"/>
          <w:highlight w:val="none"/>
        </w:rPr>
        <w:t>期限内进行修改后重新验收。</w:t>
      </w:r>
    </w:p>
    <w:p w14:paraId="360E5784">
      <w:pPr>
        <w:spacing w:line="360" w:lineRule="auto"/>
        <w:ind w:firstLine="420" w:firstLineChars="200"/>
        <w:rPr>
          <w:rFonts w:hint="eastAsia" w:ascii="宋体" w:hAnsi="宋体" w:cs="宋体"/>
          <w:highlight w:val="none"/>
        </w:rPr>
      </w:pPr>
      <w:r>
        <w:rPr>
          <w:rFonts w:hint="eastAsia" w:ascii="宋体" w:hAnsi="宋体" w:cs="宋体"/>
          <w:highlight w:val="none"/>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5F4038F8">
      <w:pPr>
        <w:spacing w:line="360" w:lineRule="auto"/>
        <w:ind w:firstLine="420" w:firstLineChars="200"/>
        <w:rPr>
          <w:rFonts w:hint="eastAsia" w:ascii="宋体" w:hAnsi="宋体" w:cs="宋体"/>
          <w:highlight w:val="none"/>
        </w:rPr>
      </w:pPr>
      <w:r>
        <w:rPr>
          <w:rFonts w:hint="eastAsia" w:ascii="宋体" w:hAnsi="宋体" w:cs="宋体"/>
          <w:highlight w:val="none"/>
        </w:rPr>
        <w:t>经监理人验收后工程质量符合约定的验收标准，但验收24小时后监理人仍不在验收记录上签字的，视为监理人已经认可验收记录，承包人可继续施工。</w:t>
      </w:r>
    </w:p>
    <w:p w14:paraId="3DD67004">
      <w:pPr>
        <w:rPr>
          <w:rFonts w:hint="eastAsia" w:ascii="宋体" w:hAnsi="宋体" w:cs="宋体"/>
          <w:highlight w:val="none"/>
        </w:rPr>
      </w:pPr>
      <w:bookmarkStart w:id="2262" w:name="_Toc4157327"/>
      <w:bookmarkStart w:id="2263" w:name="_Toc503536324"/>
      <w:bookmarkStart w:id="2264" w:name="_Toc241459737"/>
      <w:bookmarkStart w:id="2265" w:name="_Toc342296496"/>
      <w:bookmarkStart w:id="2266" w:name="_Toc26774"/>
      <w:r>
        <w:rPr>
          <w:rFonts w:hint="eastAsia" w:ascii="宋体" w:hAnsi="宋体" w:cs="宋体"/>
          <w:highlight w:val="none"/>
        </w:rPr>
        <w:t>19. 缺陷责任与保修责任</w:t>
      </w:r>
      <w:bookmarkEnd w:id="2254"/>
      <w:bookmarkEnd w:id="2255"/>
      <w:bookmarkEnd w:id="2256"/>
      <w:bookmarkEnd w:id="2257"/>
      <w:bookmarkEnd w:id="2262"/>
      <w:bookmarkEnd w:id="2263"/>
      <w:bookmarkEnd w:id="2264"/>
      <w:bookmarkEnd w:id="2265"/>
      <w:bookmarkEnd w:id="2266"/>
    </w:p>
    <w:p w14:paraId="66940ED6">
      <w:pPr>
        <w:spacing w:line="360" w:lineRule="auto"/>
        <w:rPr>
          <w:rFonts w:hint="eastAsia" w:ascii="宋体" w:hAnsi="宋体" w:cs="宋体"/>
          <w:highlight w:val="none"/>
        </w:rPr>
      </w:pPr>
      <w:bookmarkStart w:id="2267" w:name="_Toc241459738"/>
      <w:bookmarkStart w:id="2268" w:name="_Toc152045741"/>
      <w:bookmarkStart w:id="2269" w:name="_Toc503536325"/>
      <w:bookmarkStart w:id="2270" w:name="_Toc179632759"/>
      <w:bookmarkStart w:id="2271" w:name="_Toc144974712"/>
      <w:bookmarkStart w:id="2272" w:name="_Toc342296497"/>
      <w:bookmarkStart w:id="2273" w:name="_Toc152042520"/>
      <w:bookmarkStart w:id="2274" w:name="_Toc454359414"/>
      <w:r>
        <w:rPr>
          <w:rFonts w:hint="eastAsia" w:ascii="宋体" w:hAnsi="宋体" w:cs="宋体"/>
          <w:highlight w:val="none"/>
        </w:rPr>
        <w:t>19.7 保修责任</w:t>
      </w:r>
      <w:bookmarkEnd w:id="2267"/>
      <w:bookmarkEnd w:id="2268"/>
      <w:bookmarkEnd w:id="2269"/>
      <w:bookmarkEnd w:id="2270"/>
      <w:bookmarkEnd w:id="2271"/>
      <w:bookmarkEnd w:id="2272"/>
      <w:bookmarkEnd w:id="2273"/>
      <w:bookmarkEnd w:id="2274"/>
    </w:p>
    <w:p w14:paraId="590A0939">
      <w:pPr>
        <w:spacing w:line="360" w:lineRule="auto"/>
        <w:ind w:firstLine="420" w:firstLineChars="200"/>
        <w:rPr>
          <w:rFonts w:hint="eastAsia" w:ascii="宋体" w:hAnsi="宋体" w:cs="宋体"/>
          <w:highlight w:val="none"/>
        </w:rPr>
      </w:pPr>
      <w:r>
        <w:rPr>
          <w:rFonts w:hint="eastAsia" w:ascii="宋体" w:hAnsi="宋体" w:cs="宋体"/>
          <w:highlight w:val="none"/>
        </w:rPr>
        <w:t>（1）工程质量保修范围：</w:t>
      </w:r>
      <w:r>
        <w:rPr>
          <w:rFonts w:hint="eastAsia" w:ascii="宋体" w:hAnsi="宋体" w:cs="宋体"/>
          <w:highlight w:val="none"/>
          <w:u w:val="single"/>
        </w:rPr>
        <w:t xml:space="preserve">  执行《建设工程质量管理条例》  </w:t>
      </w:r>
      <w:r>
        <w:rPr>
          <w:rFonts w:hint="eastAsia" w:ascii="宋体" w:hAnsi="宋体" w:cs="宋体"/>
          <w:highlight w:val="none"/>
        </w:rPr>
        <w:t>。</w:t>
      </w:r>
    </w:p>
    <w:p w14:paraId="7110B59B">
      <w:pPr>
        <w:spacing w:line="360" w:lineRule="auto"/>
        <w:ind w:firstLine="420" w:firstLineChars="200"/>
        <w:rPr>
          <w:rFonts w:hint="eastAsia" w:ascii="宋体" w:hAnsi="宋体" w:cs="宋体"/>
          <w:highlight w:val="none"/>
        </w:rPr>
      </w:pPr>
      <w:r>
        <w:rPr>
          <w:rFonts w:hint="eastAsia" w:ascii="宋体" w:hAnsi="宋体" w:cs="宋体"/>
          <w:highlight w:val="none"/>
        </w:rPr>
        <w:t>（2）工程质量保修期限：</w:t>
      </w:r>
      <w:r>
        <w:rPr>
          <w:rFonts w:hint="eastAsia" w:ascii="宋体" w:hAnsi="宋体" w:cs="宋体"/>
          <w:highlight w:val="none"/>
          <w:u w:val="single"/>
        </w:rPr>
        <w:t xml:space="preserve">  执行《建设工程质量管理条例》  </w:t>
      </w:r>
      <w:r>
        <w:rPr>
          <w:rFonts w:hint="eastAsia" w:ascii="宋体" w:hAnsi="宋体" w:cs="宋体"/>
          <w:highlight w:val="none"/>
        </w:rPr>
        <w:t>。</w:t>
      </w:r>
    </w:p>
    <w:p w14:paraId="2913FCB6">
      <w:pPr>
        <w:spacing w:line="360" w:lineRule="auto"/>
        <w:ind w:firstLine="420" w:firstLineChars="200"/>
        <w:rPr>
          <w:rFonts w:hint="eastAsia" w:ascii="宋体" w:hAnsi="宋体" w:cs="宋体"/>
          <w:highlight w:val="none"/>
        </w:rPr>
      </w:pPr>
      <w:r>
        <w:rPr>
          <w:rFonts w:hint="eastAsia" w:ascii="宋体" w:hAnsi="宋体" w:cs="宋体"/>
          <w:highlight w:val="none"/>
        </w:rPr>
        <w:t>（3）工程质量保修责任：</w:t>
      </w:r>
      <w:r>
        <w:rPr>
          <w:rFonts w:hint="eastAsia" w:ascii="宋体" w:hAnsi="宋体" w:cs="宋体"/>
          <w:highlight w:val="none"/>
          <w:u w:val="single"/>
        </w:rPr>
        <w:t xml:space="preserve">  执行《建设工程质量管理条例》  </w:t>
      </w:r>
      <w:r>
        <w:rPr>
          <w:rFonts w:hint="eastAsia" w:ascii="宋体" w:hAnsi="宋体" w:cs="宋体"/>
          <w:highlight w:val="none"/>
        </w:rPr>
        <w:t>。</w:t>
      </w:r>
    </w:p>
    <w:p w14:paraId="7ED2A044">
      <w:pPr>
        <w:spacing w:line="360" w:lineRule="auto"/>
        <w:ind w:firstLine="420" w:firstLineChars="200"/>
        <w:rPr>
          <w:rFonts w:hint="eastAsia" w:ascii="宋体" w:hAnsi="宋体" w:cs="宋体"/>
          <w:highlight w:val="none"/>
        </w:rPr>
      </w:pPr>
      <w:r>
        <w:rPr>
          <w:rFonts w:hint="eastAsia" w:ascii="宋体" w:hAnsi="宋体" w:cs="宋体"/>
          <w:highlight w:val="none"/>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715B3BD9">
      <w:pPr>
        <w:rPr>
          <w:rFonts w:hint="eastAsia" w:ascii="宋体" w:hAnsi="宋体" w:cs="宋体"/>
          <w:highlight w:val="none"/>
        </w:rPr>
      </w:pPr>
      <w:bookmarkStart w:id="2275" w:name="_Toc23067"/>
      <w:bookmarkStart w:id="2276" w:name="_Toc4157328"/>
      <w:bookmarkStart w:id="2277" w:name="_Toc152042521"/>
      <w:bookmarkStart w:id="2278" w:name="_Toc241459739"/>
      <w:bookmarkStart w:id="2279" w:name="_Toc342296498"/>
      <w:bookmarkStart w:id="2280" w:name="_Toc179632760"/>
      <w:bookmarkStart w:id="2281" w:name="_Toc152045742"/>
      <w:bookmarkStart w:id="2282" w:name="_Toc144974713"/>
      <w:bookmarkStart w:id="2283" w:name="_Toc503536326"/>
      <w:r>
        <w:rPr>
          <w:rFonts w:hint="eastAsia" w:ascii="宋体" w:hAnsi="宋体" w:cs="宋体"/>
          <w:highlight w:val="none"/>
        </w:rPr>
        <w:t>20. 保险</w:t>
      </w:r>
      <w:bookmarkEnd w:id="2275"/>
      <w:bookmarkEnd w:id="2276"/>
      <w:bookmarkEnd w:id="2277"/>
      <w:bookmarkEnd w:id="2278"/>
      <w:bookmarkEnd w:id="2279"/>
      <w:bookmarkEnd w:id="2280"/>
      <w:bookmarkEnd w:id="2281"/>
      <w:bookmarkEnd w:id="2282"/>
      <w:bookmarkEnd w:id="2283"/>
    </w:p>
    <w:p w14:paraId="5413EA71">
      <w:pPr>
        <w:spacing w:line="360" w:lineRule="auto"/>
        <w:rPr>
          <w:rFonts w:hint="eastAsia" w:ascii="宋体" w:hAnsi="宋体" w:cs="宋体"/>
          <w:highlight w:val="none"/>
        </w:rPr>
      </w:pPr>
      <w:bookmarkStart w:id="2284" w:name="_Toc152042522"/>
      <w:bookmarkStart w:id="2285" w:name="_Toc454359416"/>
      <w:bookmarkStart w:id="2286" w:name="_Toc241459740"/>
      <w:bookmarkStart w:id="2287" w:name="_Toc152045743"/>
      <w:bookmarkStart w:id="2288" w:name="_Toc503536327"/>
      <w:bookmarkStart w:id="2289" w:name="_Toc179632761"/>
      <w:bookmarkStart w:id="2290" w:name="_Toc342296499"/>
      <w:bookmarkStart w:id="2291" w:name="_Toc144974714"/>
      <w:r>
        <w:rPr>
          <w:rFonts w:hint="eastAsia" w:ascii="宋体" w:hAnsi="宋体" w:cs="宋体"/>
          <w:highlight w:val="none"/>
        </w:rPr>
        <w:t>20.1 工程保险</w:t>
      </w:r>
      <w:bookmarkEnd w:id="2284"/>
      <w:bookmarkEnd w:id="2285"/>
      <w:bookmarkEnd w:id="2286"/>
      <w:bookmarkEnd w:id="2287"/>
      <w:bookmarkEnd w:id="2288"/>
      <w:bookmarkEnd w:id="2289"/>
      <w:bookmarkEnd w:id="2290"/>
      <w:bookmarkEnd w:id="2291"/>
    </w:p>
    <w:p w14:paraId="1B15DF93">
      <w:pPr>
        <w:spacing w:line="360" w:lineRule="auto"/>
        <w:ind w:firstLine="420" w:firstLineChars="200"/>
        <w:rPr>
          <w:rFonts w:hint="eastAsia" w:ascii="宋体" w:hAnsi="宋体" w:cs="宋体"/>
          <w:highlight w:val="none"/>
        </w:rPr>
      </w:pPr>
      <w:bookmarkStart w:id="2292" w:name="_Toc179632762"/>
      <w:bookmarkStart w:id="2293" w:name="_Toc152042523"/>
      <w:bookmarkStart w:id="2294" w:name="_Toc152045744"/>
      <w:bookmarkStart w:id="2295" w:name="_Toc144974715"/>
      <w:r>
        <w:rPr>
          <w:rFonts w:hint="eastAsia" w:ascii="宋体" w:hAnsi="宋体" w:cs="宋体"/>
          <w:highlight w:val="none"/>
        </w:rPr>
        <w:t>本工程</w:t>
      </w:r>
      <w:r>
        <w:rPr>
          <w:rFonts w:hint="eastAsia" w:ascii="宋体" w:hAnsi="宋体" w:cs="宋体"/>
          <w:highlight w:val="none"/>
          <w:u w:val="single"/>
        </w:rPr>
        <w:t xml:space="preserve">  不投保  </w:t>
      </w:r>
      <w:r>
        <w:rPr>
          <w:rFonts w:hint="eastAsia" w:ascii="宋体" w:hAnsi="宋体" w:cs="宋体"/>
          <w:highlight w:val="none"/>
        </w:rPr>
        <w:t>工程保险。投保工程保险时，险种为：</w:t>
      </w:r>
      <w:r>
        <w:rPr>
          <w:rFonts w:hint="eastAsia" w:ascii="宋体" w:hAnsi="宋体" w:cs="宋体"/>
          <w:highlight w:val="none"/>
          <w:u w:val="single"/>
        </w:rPr>
        <w:t xml:space="preserve">   /   </w:t>
      </w:r>
      <w:r>
        <w:rPr>
          <w:rFonts w:hint="eastAsia" w:ascii="宋体" w:hAnsi="宋体" w:cs="宋体"/>
          <w:highlight w:val="none"/>
        </w:rPr>
        <w:t>，并符合以下约定。</w:t>
      </w:r>
    </w:p>
    <w:p w14:paraId="312EBACF">
      <w:pPr>
        <w:spacing w:line="360" w:lineRule="auto"/>
        <w:ind w:firstLine="420" w:firstLineChars="200"/>
        <w:rPr>
          <w:rFonts w:hint="eastAsia" w:ascii="宋体" w:hAnsi="宋体" w:cs="宋体"/>
          <w:highlight w:val="none"/>
        </w:rPr>
      </w:pPr>
      <w:r>
        <w:rPr>
          <w:rFonts w:hint="eastAsia" w:ascii="宋体" w:hAnsi="宋体" w:cs="宋体"/>
          <w:highlight w:val="none"/>
        </w:rPr>
        <w:t>（1）投保人：</w:t>
      </w:r>
      <w:r>
        <w:rPr>
          <w:rFonts w:hint="eastAsia" w:ascii="宋体" w:hAnsi="宋体" w:cs="宋体"/>
          <w:highlight w:val="none"/>
          <w:u w:val="single"/>
        </w:rPr>
        <w:t xml:space="preserve">  /   </w:t>
      </w:r>
      <w:r>
        <w:rPr>
          <w:rFonts w:hint="eastAsia" w:ascii="宋体" w:hAnsi="宋体" w:cs="宋体"/>
          <w:highlight w:val="none"/>
        </w:rPr>
        <w:t>。</w:t>
      </w:r>
    </w:p>
    <w:p w14:paraId="68C157B6">
      <w:pPr>
        <w:spacing w:line="360" w:lineRule="auto"/>
        <w:ind w:firstLine="420" w:firstLineChars="200"/>
        <w:rPr>
          <w:rFonts w:hint="eastAsia" w:ascii="宋体" w:hAnsi="宋体" w:cs="宋体"/>
          <w:highlight w:val="none"/>
        </w:rPr>
      </w:pPr>
      <w:r>
        <w:rPr>
          <w:rFonts w:hint="eastAsia" w:ascii="宋体" w:hAnsi="宋体" w:cs="宋体"/>
          <w:highlight w:val="none"/>
        </w:rPr>
        <w:t>（2）投保内容：</w:t>
      </w:r>
      <w:r>
        <w:rPr>
          <w:rFonts w:hint="eastAsia" w:ascii="宋体" w:hAnsi="宋体" w:cs="宋体"/>
          <w:highlight w:val="none"/>
          <w:u w:val="single"/>
        </w:rPr>
        <w:t xml:space="preserve">  /   </w:t>
      </w:r>
      <w:r>
        <w:rPr>
          <w:rFonts w:hint="eastAsia" w:ascii="宋体" w:hAnsi="宋体" w:cs="宋体"/>
          <w:highlight w:val="none"/>
        </w:rPr>
        <w:t>。</w:t>
      </w:r>
    </w:p>
    <w:p w14:paraId="5C4ECA04">
      <w:pPr>
        <w:spacing w:line="360" w:lineRule="auto"/>
        <w:ind w:firstLine="420" w:firstLineChars="200"/>
        <w:rPr>
          <w:rFonts w:hint="eastAsia" w:ascii="宋体" w:hAnsi="宋体" w:cs="宋体"/>
          <w:highlight w:val="none"/>
        </w:rPr>
      </w:pPr>
      <w:r>
        <w:rPr>
          <w:rFonts w:hint="eastAsia" w:ascii="宋体" w:hAnsi="宋体" w:cs="宋体"/>
          <w:highlight w:val="none"/>
        </w:rPr>
        <w:t>（3）保险费率：由投保人与合同双方同意的保险人商定。</w:t>
      </w:r>
    </w:p>
    <w:p w14:paraId="55A8E0AE">
      <w:pPr>
        <w:spacing w:line="360" w:lineRule="auto"/>
        <w:ind w:firstLine="420" w:firstLineChars="200"/>
        <w:rPr>
          <w:rFonts w:hint="eastAsia" w:ascii="宋体" w:hAnsi="宋体" w:cs="宋体"/>
          <w:highlight w:val="none"/>
        </w:rPr>
      </w:pPr>
      <w:r>
        <w:rPr>
          <w:rFonts w:hint="eastAsia" w:ascii="宋体" w:hAnsi="宋体" w:cs="宋体"/>
          <w:highlight w:val="none"/>
        </w:rPr>
        <w:t>（4）保险金额：</w:t>
      </w:r>
      <w:r>
        <w:rPr>
          <w:rFonts w:hint="eastAsia" w:ascii="宋体" w:hAnsi="宋体" w:cs="宋体"/>
          <w:highlight w:val="none"/>
          <w:u w:val="single"/>
        </w:rPr>
        <w:t xml:space="preserve">  /   </w:t>
      </w:r>
      <w:r>
        <w:rPr>
          <w:rFonts w:hint="eastAsia" w:ascii="宋体" w:hAnsi="宋体" w:cs="宋体"/>
          <w:highlight w:val="none"/>
        </w:rPr>
        <w:t>。</w:t>
      </w:r>
    </w:p>
    <w:p w14:paraId="4AC05C43">
      <w:pPr>
        <w:spacing w:line="360" w:lineRule="auto"/>
        <w:ind w:firstLine="420" w:firstLineChars="200"/>
        <w:rPr>
          <w:rFonts w:hint="eastAsia" w:ascii="宋体" w:hAnsi="宋体" w:cs="宋体"/>
          <w:highlight w:val="none"/>
          <w:u w:val="single"/>
        </w:rPr>
      </w:pPr>
      <w:r>
        <w:rPr>
          <w:rFonts w:hint="eastAsia" w:ascii="宋体" w:hAnsi="宋体" w:cs="宋体"/>
          <w:highlight w:val="none"/>
        </w:rPr>
        <w:t>（5）保险期限：</w:t>
      </w:r>
      <w:r>
        <w:rPr>
          <w:rFonts w:hint="eastAsia" w:ascii="宋体" w:hAnsi="宋体" w:cs="宋体"/>
          <w:highlight w:val="none"/>
          <w:u w:val="single"/>
        </w:rPr>
        <w:t xml:space="preserve">  /   </w:t>
      </w:r>
      <w:r>
        <w:rPr>
          <w:rFonts w:hint="eastAsia" w:ascii="宋体" w:hAnsi="宋体" w:cs="宋体"/>
          <w:highlight w:val="none"/>
        </w:rPr>
        <w:t>。</w:t>
      </w:r>
      <w:bookmarkEnd w:id="2292"/>
      <w:bookmarkEnd w:id="2293"/>
      <w:bookmarkEnd w:id="2294"/>
      <w:bookmarkEnd w:id="2295"/>
    </w:p>
    <w:p w14:paraId="50A04324">
      <w:pPr>
        <w:spacing w:line="360" w:lineRule="auto"/>
        <w:rPr>
          <w:rFonts w:hint="eastAsia" w:ascii="宋体" w:hAnsi="宋体" w:cs="宋体"/>
          <w:highlight w:val="none"/>
        </w:rPr>
      </w:pPr>
      <w:bookmarkStart w:id="2296" w:name="_Toc454359417"/>
      <w:bookmarkStart w:id="2297" w:name="_Toc342296500"/>
      <w:bookmarkStart w:id="2298" w:name="_Toc503536328"/>
      <w:bookmarkStart w:id="2299" w:name="_Toc152045746"/>
      <w:bookmarkStart w:id="2300" w:name="_Toc179632764"/>
      <w:bookmarkStart w:id="2301" w:name="_Toc144974717"/>
      <w:bookmarkStart w:id="2302" w:name="_Toc152042525"/>
      <w:bookmarkStart w:id="2303" w:name="_Toc241459741"/>
      <w:r>
        <w:rPr>
          <w:rFonts w:hint="eastAsia" w:ascii="宋体" w:hAnsi="宋体" w:cs="宋体"/>
          <w:highlight w:val="none"/>
        </w:rPr>
        <w:t>20.4 第三者责任险</w:t>
      </w:r>
      <w:bookmarkEnd w:id="2296"/>
      <w:bookmarkEnd w:id="2297"/>
      <w:bookmarkEnd w:id="2298"/>
      <w:bookmarkEnd w:id="2299"/>
      <w:bookmarkEnd w:id="2300"/>
      <w:bookmarkEnd w:id="2301"/>
      <w:bookmarkEnd w:id="2302"/>
      <w:bookmarkEnd w:id="2303"/>
    </w:p>
    <w:p w14:paraId="2F3C9CE3">
      <w:pPr>
        <w:spacing w:line="360" w:lineRule="auto"/>
        <w:ind w:firstLine="420" w:firstLineChars="200"/>
        <w:rPr>
          <w:rFonts w:hint="eastAsia" w:ascii="宋体" w:hAnsi="宋体" w:cs="宋体"/>
          <w:highlight w:val="none"/>
        </w:rPr>
      </w:pPr>
      <w:r>
        <w:rPr>
          <w:rFonts w:hint="eastAsia" w:ascii="宋体" w:hAnsi="宋体" w:cs="宋体"/>
          <w:highlight w:val="none"/>
        </w:rPr>
        <w:t>20.4.2保险金额：</w:t>
      </w:r>
      <w:r>
        <w:rPr>
          <w:rFonts w:hint="eastAsia" w:ascii="宋体" w:hAnsi="宋体" w:cs="宋体"/>
          <w:highlight w:val="none"/>
          <w:u w:val="single"/>
        </w:rPr>
        <w:t xml:space="preserve">  /   </w:t>
      </w:r>
      <w:r>
        <w:rPr>
          <w:rFonts w:hint="eastAsia" w:ascii="宋体" w:hAnsi="宋体" w:cs="宋体"/>
          <w:highlight w:val="none"/>
        </w:rPr>
        <w:t xml:space="preserve"> ，保险费率由承包人与发包人同意的保险人商定，相关保险费由</w:t>
      </w:r>
      <w:r>
        <w:rPr>
          <w:rFonts w:hint="eastAsia" w:ascii="宋体" w:hAnsi="宋体" w:cs="宋体"/>
          <w:highlight w:val="none"/>
          <w:u w:val="single"/>
        </w:rPr>
        <w:t xml:space="preserve">    /  </w:t>
      </w:r>
      <w:r>
        <w:rPr>
          <w:rFonts w:hint="eastAsia" w:ascii="宋体" w:hAnsi="宋体" w:cs="宋体"/>
          <w:highlight w:val="none"/>
        </w:rPr>
        <w:t xml:space="preserve">承担。                               </w:t>
      </w:r>
    </w:p>
    <w:p w14:paraId="435B7E04">
      <w:pPr>
        <w:spacing w:line="360" w:lineRule="auto"/>
        <w:rPr>
          <w:rFonts w:hint="eastAsia" w:ascii="宋体" w:hAnsi="宋体" w:cs="宋体"/>
          <w:highlight w:val="none"/>
        </w:rPr>
      </w:pPr>
      <w:bookmarkStart w:id="2304" w:name="_Toc152045747"/>
      <w:bookmarkStart w:id="2305" w:name="_Toc454359418"/>
      <w:bookmarkStart w:id="2306" w:name="_Toc342296501"/>
      <w:bookmarkStart w:id="2307" w:name="_Toc179632765"/>
      <w:bookmarkStart w:id="2308" w:name="_Toc503536329"/>
      <w:bookmarkStart w:id="2309" w:name="_Toc144974718"/>
      <w:bookmarkStart w:id="2310" w:name="_Toc152042526"/>
      <w:bookmarkStart w:id="2311" w:name="_Toc241459742"/>
      <w:r>
        <w:rPr>
          <w:rFonts w:hint="eastAsia" w:ascii="宋体" w:hAnsi="宋体" w:cs="宋体"/>
          <w:highlight w:val="none"/>
        </w:rPr>
        <w:t>20.5 其他保险</w:t>
      </w:r>
      <w:bookmarkEnd w:id="2304"/>
      <w:bookmarkEnd w:id="2305"/>
      <w:bookmarkEnd w:id="2306"/>
      <w:bookmarkEnd w:id="2307"/>
      <w:bookmarkEnd w:id="2308"/>
      <w:bookmarkEnd w:id="2309"/>
      <w:bookmarkEnd w:id="2310"/>
      <w:bookmarkEnd w:id="2311"/>
    </w:p>
    <w:p w14:paraId="27FE3938">
      <w:pPr>
        <w:spacing w:line="360" w:lineRule="auto"/>
        <w:ind w:firstLine="420" w:firstLineChars="200"/>
        <w:rPr>
          <w:rFonts w:hint="eastAsia" w:ascii="宋体" w:hAnsi="宋体" w:cs="宋体"/>
          <w:highlight w:val="none"/>
        </w:rPr>
      </w:pPr>
      <w:r>
        <w:rPr>
          <w:rFonts w:hint="eastAsia" w:ascii="宋体" w:hAnsi="宋体" w:cs="宋体"/>
          <w:highlight w:val="none"/>
        </w:rPr>
        <w:t>承包人应为其施工设备、进场材料和工程设备等办理的保险：</w:t>
      </w:r>
      <w:r>
        <w:rPr>
          <w:rFonts w:hint="eastAsia" w:ascii="宋体" w:hAnsi="宋体" w:cs="宋体"/>
          <w:highlight w:val="none"/>
          <w:u w:val="single"/>
        </w:rPr>
        <w:t xml:space="preserve">  /   </w:t>
      </w:r>
      <w:r>
        <w:rPr>
          <w:rFonts w:hint="eastAsia" w:ascii="宋体" w:hAnsi="宋体" w:cs="宋体"/>
          <w:highlight w:val="none"/>
        </w:rPr>
        <w:t>。</w:t>
      </w:r>
    </w:p>
    <w:p w14:paraId="5EE5E40C">
      <w:pPr>
        <w:spacing w:line="360" w:lineRule="auto"/>
        <w:rPr>
          <w:rFonts w:hint="eastAsia" w:ascii="宋体" w:hAnsi="宋体" w:cs="宋体"/>
          <w:highlight w:val="none"/>
        </w:rPr>
      </w:pPr>
      <w:bookmarkStart w:id="2312" w:name="_Toc454359419"/>
      <w:bookmarkStart w:id="2313" w:name="_Toc179632766"/>
      <w:bookmarkStart w:id="2314" w:name="_Toc144974719"/>
      <w:bookmarkStart w:id="2315" w:name="_Toc342296502"/>
      <w:bookmarkStart w:id="2316" w:name="_Toc503536330"/>
      <w:bookmarkStart w:id="2317" w:name="_Toc152042527"/>
      <w:bookmarkStart w:id="2318" w:name="_Toc241459743"/>
      <w:bookmarkStart w:id="2319" w:name="_Toc152045748"/>
      <w:r>
        <w:rPr>
          <w:rFonts w:hint="eastAsia" w:ascii="宋体" w:hAnsi="宋体" w:cs="宋体"/>
          <w:highlight w:val="none"/>
        </w:rPr>
        <w:t>20.6 对各项保险的一般要求</w:t>
      </w:r>
      <w:bookmarkEnd w:id="2312"/>
      <w:bookmarkEnd w:id="2313"/>
      <w:bookmarkEnd w:id="2314"/>
      <w:bookmarkEnd w:id="2315"/>
      <w:bookmarkEnd w:id="2316"/>
      <w:bookmarkEnd w:id="2317"/>
      <w:bookmarkEnd w:id="2318"/>
      <w:bookmarkEnd w:id="2319"/>
    </w:p>
    <w:p w14:paraId="346A7DDF">
      <w:pPr>
        <w:spacing w:line="360" w:lineRule="auto"/>
        <w:rPr>
          <w:rFonts w:hint="eastAsia" w:ascii="宋体" w:hAnsi="宋体" w:cs="宋体"/>
          <w:highlight w:val="none"/>
        </w:rPr>
      </w:pPr>
      <w:r>
        <w:rPr>
          <w:rFonts w:hint="eastAsia" w:ascii="宋体" w:hAnsi="宋体" w:cs="宋体"/>
          <w:highlight w:val="none"/>
        </w:rPr>
        <w:t>20.6.1保险凭证</w:t>
      </w:r>
    </w:p>
    <w:p w14:paraId="746BA1DC">
      <w:pPr>
        <w:spacing w:line="360" w:lineRule="auto"/>
        <w:ind w:firstLine="525"/>
        <w:rPr>
          <w:rFonts w:hint="eastAsia" w:ascii="宋体" w:hAnsi="宋体" w:cs="宋体"/>
          <w:highlight w:val="none"/>
          <w:u w:val="single"/>
        </w:rPr>
      </w:pPr>
      <w:r>
        <w:rPr>
          <w:rFonts w:hint="eastAsia" w:ascii="宋体" w:hAnsi="宋体" w:cs="宋体"/>
          <w:highlight w:val="none"/>
        </w:rPr>
        <w:t>承包人向发包人提交各项保险生效的证据和保险单副本的期限：</w:t>
      </w:r>
      <w:r>
        <w:rPr>
          <w:rFonts w:hint="eastAsia" w:ascii="宋体" w:hAnsi="宋体" w:cs="宋体"/>
          <w:highlight w:val="none"/>
          <w:u w:val="single"/>
        </w:rPr>
        <w:t xml:space="preserve">  /   </w:t>
      </w:r>
      <w:r>
        <w:rPr>
          <w:rFonts w:hint="eastAsia" w:ascii="宋体" w:hAnsi="宋体" w:cs="宋体"/>
          <w:highlight w:val="none"/>
        </w:rPr>
        <w:t>。</w:t>
      </w:r>
    </w:p>
    <w:p w14:paraId="602D6A8F">
      <w:pPr>
        <w:spacing w:line="360" w:lineRule="auto"/>
        <w:rPr>
          <w:rFonts w:hint="eastAsia" w:ascii="宋体" w:hAnsi="宋体" w:cs="宋体"/>
          <w:highlight w:val="none"/>
        </w:rPr>
      </w:pPr>
      <w:r>
        <w:rPr>
          <w:rFonts w:hint="eastAsia" w:ascii="宋体" w:hAnsi="宋体" w:cs="宋体"/>
          <w:highlight w:val="none"/>
        </w:rPr>
        <w:t>20.6.4保险金不足的补偿</w:t>
      </w:r>
    </w:p>
    <w:p w14:paraId="495DD0AE">
      <w:pPr>
        <w:spacing w:line="360" w:lineRule="auto"/>
        <w:ind w:firstLine="525"/>
        <w:rPr>
          <w:rFonts w:hint="eastAsia" w:ascii="宋体" w:hAnsi="宋体" w:cs="宋体"/>
          <w:highlight w:val="none"/>
        </w:rPr>
      </w:pPr>
      <w:r>
        <w:rPr>
          <w:rFonts w:hint="eastAsia" w:ascii="宋体" w:hAnsi="宋体" w:cs="宋体"/>
          <w:highlight w:val="none"/>
        </w:rPr>
        <w:t>保险金不足以补偿损失时，承包人和发包人负责补偿的责任分摊：</w:t>
      </w:r>
      <w:r>
        <w:rPr>
          <w:rFonts w:hint="eastAsia" w:ascii="宋体" w:hAnsi="宋体" w:cs="宋体"/>
          <w:highlight w:val="none"/>
          <w:u w:val="single"/>
        </w:rPr>
        <w:t xml:space="preserve">  /   </w:t>
      </w:r>
      <w:r>
        <w:rPr>
          <w:rFonts w:hint="eastAsia" w:ascii="宋体" w:hAnsi="宋体" w:cs="宋体"/>
          <w:highlight w:val="none"/>
        </w:rPr>
        <w:t>。</w:t>
      </w:r>
    </w:p>
    <w:p w14:paraId="2F1B9028">
      <w:pPr>
        <w:rPr>
          <w:rFonts w:hint="eastAsia" w:ascii="宋体" w:hAnsi="宋体" w:cs="宋体"/>
          <w:highlight w:val="none"/>
        </w:rPr>
      </w:pPr>
      <w:bookmarkStart w:id="2320" w:name="_Toc152045749"/>
      <w:bookmarkStart w:id="2321" w:name="_Toc241459744"/>
      <w:bookmarkStart w:id="2322" w:name="_Toc342296503"/>
      <w:bookmarkStart w:id="2323" w:name="_Toc4157329"/>
      <w:bookmarkStart w:id="2324" w:name="_Toc179632767"/>
      <w:bookmarkStart w:id="2325" w:name="_Toc2925"/>
      <w:bookmarkStart w:id="2326" w:name="_Toc152042528"/>
      <w:bookmarkStart w:id="2327" w:name="_Toc503536331"/>
      <w:bookmarkStart w:id="2328" w:name="_Toc144974720"/>
      <w:r>
        <w:rPr>
          <w:rFonts w:hint="eastAsia" w:ascii="宋体" w:hAnsi="宋体" w:cs="宋体"/>
          <w:highlight w:val="none"/>
        </w:rPr>
        <w:t>21. 不可抗力</w:t>
      </w:r>
      <w:bookmarkEnd w:id="2320"/>
      <w:bookmarkEnd w:id="2321"/>
      <w:bookmarkEnd w:id="2322"/>
      <w:bookmarkEnd w:id="2323"/>
      <w:bookmarkEnd w:id="2324"/>
      <w:bookmarkEnd w:id="2325"/>
      <w:bookmarkEnd w:id="2326"/>
      <w:bookmarkEnd w:id="2327"/>
      <w:bookmarkEnd w:id="2328"/>
    </w:p>
    <w:p w14:paraId="4F762C6A">
      <w:pPr>
        <w:spacing w:line="360" w:lineRule="auto"/>
        <w:rPr>
          <w:rFonts w:hint="eastAsia" w:ascii="宋体" w:hAnsi="宋体" w:cs="宋体"/>
          <w:highlight w:val="none"/>
        </w:rPr>
      </w:pPr>
      <w:bookmarkStart w:id="2329" w:name="_Toc179632768"/>
      <w:bookmarkStart w:id="2330" w:name="_Toc342296504"/>
      <w:bookmarkStart w:id="2331" w:name="_Toc454359421"/>
      <w:bookmarkStart w:id="2332" w:name="_Toc152045750"/>
      <w:bookmarkStart w:id="2333" w:name="_Toc503536332"/>
      <w:bookmarkStart w:id="2334" w:name="_Toc241459745"/>
      <w:bookmarkStart w:id="2335" w:name="_Toc152042529"/>
      <w:bookmarkStart w:id="2336" w:name="_Toc144974721"/>
      <w:r>
        <w:rPr>
          <w:rFonts w:hint="eastAsia" w:ascii="宋体" w:hAnsi="宋体" w:cs="宋体"/>
          <w:highlight w:val="none"/>
        </w:rPr>
        <w:t>21.1 不可抗力的确认</w:t>
      </w:r>
      <w:bookmarkEnd w:id="2329"/>
      <w:bookmarkEnd w:id="2330"/>
      <w:bookmarkEnd w:id="2331"/>
      <w:bookmarkEnd w:id="2332"/>
      <w:bookmarkEnd w:id="2333"/>
      <w:bookmarkEnd w:id="2334"/>
      <w:bookmarkEnd w:id="2335"/>
      <w:bookmarkEnd w:id="2336"/>
    </w:p>
    <w:p w14:paraId="0392CF34">
      <w:pPr>
        <w:spacing w:line="360" w:lineRule="auto"/>
        <w:ind w:firstLine="525"/>
        <w:rPr>
          <w:rFonts w:hint="eastAsia" w:ascii="宋体" w:hAnsi="宋体" w:cs="宋体"/>
          <w:highlight w:val="none"/>
        </w:rPr>
      </w:pPr>
      <w:r>
        <w:rPr>
          <w:rFonts w:hint="eastAsia" w:ascii="宋体" w:hAnsi="宋体" w:cs="宋体"/>
          <w:highlight w:val="none"/>
        </w:rPr>
        <w:t>21.1.1通用合同条款第21.1.1项约定的不可抗力以外的其他情形：</w:t>
      </w:r>
      <w:r>
        <w:rPr>
          <w:rFonts w:hint="eastAsia" w:ascii="宋体" w:hAnsi="宋体" w:cs="宋体"/>
          <w:highlight w:val="none"/>
          <w:u w:val="single"/>
        </w:rPr>
        <w:t xml:space="preserve">  /   </w:t>
      </w:r>
      <w:r>
        <w:rPr>
          <w:rFonts w:hint="eastAsia" w:ascii="宋体" w:hAnsi="宋体" w:cs="宋体"/>
          <w:highlight w:val="none"/>
        </w:rPr>
        <w:t>。</w:t>
      </w:r>
    </w:p>
    <w:p w14:paraId="3223B890">
      <w:pPr>
        <w:spacing w:line="360" w:lineRule="auto"/>
        <w:ind w:firstLine="420" w:firstLineChars="200"/>
        <w:rPr>
          <w:rFonts w:hint="eastAsia" w:ascii="宋体" w:hAnsi="宋体" w:cs="宋体"/>
          <w:highlight w:val="none"/>
        </w:rPr>
      </w:pPr>
      <w:r>
        <w:rPr>
          <w:rFonts w:hint="eastAsia" w:ascii="宋体" w:hAnsi="宋体" w:cs="宋体"/>
          <w:highlight w:val="none"/>
        </w:rPr>
        <w:t>不可抗力的等级范围约定：</w:t>
      </w:r>
      <w:r>
        <w:rPr>
          <w:rFonts w:hint="eastAsia" w:ascii="宋体" w:hAnsi="宋体" w:cs="宋体"/>
          <w:highlight w:val="none"/>
          <w:u w:val="single"/>
        </w:rPr>
        <w:t xml:space="preserve">  /   </w:t>
      </w:r>
      <w:r>
        <w:rPr>
          <w:rFonts w:hint="eastAsia" w:ascii="宋体" w:hAnsi="宋体" w:cs="宋体"/>
          <w:highlight w:val="none"/>
        </w:rPr>
        <w:t>。</w:t>
      </w:r>
    </w:p>
    <w:p w14:paraId="1F6C2868">
      <w:pPr>
        <w:spacing w:line="360" w:lineRule="auto"/>
        <w:rPr>
          <w:rFonts w:hint="eastAsia" w:ascii="宋体" w:hAnsi="宋体" w:cs="宋体"/>
          <w:highlight w:val="none"/>
        </w:rPr>
      </w:pPr>
      <w:bookmarkStart w:id="2337" w:name="_Toc144974723"/>
      <w:bookmarkStart w:id="2338" w:name="_Toc454359422"/>
      <w:bookmarkStart w:id="2339" w:name="_Toc152042531"/>
      <w:bookmarkStart w:id="2340" w:name="_Toc241459746"/>
      <w:bookmarkStart w:id="2341" w:name="_Toc503536333"/>
      <w:bookmarkStart w:id="2342" w:name="_Toc179632770"/>
      <w:bookmarkStart w:id="2343" w:name="_Toc342296505"/>
      <w:bookmarkStart w:id="2344" w:name="_Toc152045752"/>
      <w:r>
        <w:rPr>
          <w:rFonts w:hint="eastAsia" w:ascii="宋体" w:hAnsi="宋体" w:cs="宋体"/>
          <w:highlight w:val="none"/>
        </w:rPr>
        <w:t>21.3 不可抗力后果及其处理</w:t>
      </w:r>
      <w:bookmarkEnd w:id="2337"/>
      <w:bookmarkEnd w:id="2338"/>
      <w:bookmarkEnd w:id="2339"/>
      <w:bookmarkEnd w:id="2340"/>
      <w:bookmarkEnd w:id="2341"/>
      <w:bookmarkEnd w:id="2342"/>
      <w:bookmarkEnd w:id="2343"/>
      <w:bookmarkEnd w:id="2344"/>
    </w:p>
    <w:p w14:paraId="1356EB2F">
      <w:pPr>
        <w:spacing w:line="360" w:lineRule="auto"/>
        <w:ind w:firstLine="420" w:firstLineChars="200"/>
        <w:rPr>
          <w:rFonts w:hint="eastAsia" w:ascii="宋体" w:hAnsi="宋体" w:cs="宋体"/>
          <w:highlight w:val="none"/>
        </w:rPr>
      </w:pPr>
      <w:r>
        <w:rPr>
          <w:rFonts w:hint="eastAsia" w:ascii="宋体" w:hAnsi="宋体" w:cs="宋体"/>
          <w:highlight w:val="none"/>
        </w:rPr>
        <w:t>21.3.1不可抗力造成损害的责任</w:t>
      </w:r>
    </w:p>
    <w:p w14:paraId="088935E8">
      <w:pPr>
        <w:spacing w:line="360" w:lineRule="auto"/>
        <w:ind w:firstLine="420" w:firstLineChars="200"/>
        <w:rPr>
          <w:rFonts w:hint="eastAsia" w:ascii="宋体" w:hAnsi="宋体" w:cs="宋体"/>
          <w:highlight w:val="none"/>
        </w:rPr>
      </w:pPr>
      <w:r>
        <w:rPr>
          <w:rFonts w:hint="eastAsia" w:ascii="宋体" w:hAnsi="宋体" w:cs="宋体"/>
          <w:highlight w:val="none"/>
        </w:rPr>
        <w:t xml:space="preserve">不可抗力导致的人员伤亡、财产损失、费用增加和（或）工期延误等后果，由合同双方按通用合同条款第21.3.1项约定的原则承担。   </w:t>
      </w:r>
    </w:p>
    <w:p w14:paraId="12E5B1DE">
      <w:pPr>
        <w:rPr>
          <w:rFonts w:hint="eastAsia" w:ascii="宋体" w:hAnsi="宋体" w:cs="宋体"/>
          <w:highlight w:val="none"/>
        </w:rPr>
      </w:pPr>
      <w:bookmarkStart w:id="2345" w:name="_Toc152045762"/>
      <w:bookmarkStart w:id="2346" w:name="_Toc14025"/>
      <w:bookmarkStart w:id="2347" w:name="_Toc152042541"/>
      <w:bookmarkStart w:id="2348" w:name="_Toc503536334"/>
      <w:bookmarkStart w:id="2349" w:name="_Toc144974732"/>
      <w:bookmarkStart w:id="2350" w:name="_Toc179632780"/>
      <w:bookmarkStart w:id="2351" w:name="_Toc342296506"/>
      <w:bookmarkStart w:id="2352" w:name="_Toc241459747"/>
      <w:bookmarkStart w:id="2353" w:name="_Toc4157330"/>
      <w:r>
        <w:rPr>
          <w:rFonts w:hint="eastAsia" w:ascii="宋体" w:hAnsi="宋体" w:cs="宋体"/>
          <w:highlight w:val="none"/>
        </w:rPr>
        <w:t>24. 争议的解决</w:t>
      </w:r>
      <w:bookmarkEnd w:id="2345"/>
      <w:bookmarkEnd w:id="2346"/>
      <w:bookmarkEnd w:id="2347"/>
      <w:bookmarkEnd w:id="2348"/>
      <w:bookmarkEnd w:id="2349"/>
      <w:bookmarkEnd w:id="2350"/>
      <w:bookmarkEnd w:id="2351"/>
      <w:bookmarkEnd w:id="2352"/>
      <w:bookmarkEnd w:id="2353"/>
    </w:p>
    <w:p w14:paraId="10E5480D">
      <w:pPr>
        <w:spacing w:line="360" w:lineRule="auto"/>
        <w:rPr>
          <w:rFonts w:hint="eastAsia" w:ascii="宋体" w:hAnsi="宋体" w:cs="宋体"/>
          <w:highlight w:val="none"/>
        </w:rPr>
      </w:pPr>
      <w:bookmarkStart w:id="2354" w:name="_Toc179632781"/>
      <w:bookmarkStart w:id="2355" w:name="_Toc454359424"/>
      <w:bookmarkStart w:id="2356" w:name="_Toc152045763"/>
      <w:bookmarkStart w:id="2357" w:name="_Toc144974733"/>
      <w:bookmarkStart w:id="2358" w:name="_Toc241459748"/>
      <w:bookmarkStart w:id="2359" w:name="_Toc342296507"/>
      <w:bookmarkStart w:id="2360" w:name="_Toc152042542"/>
      <w:bookmarkStart w:id="2361" w:name="_Toc503536335"/>
      <w:r>
        <w:rPr>
          <w:rFonts w:hint="eastAsia" w:ascii="宋体" w:hAnsi="宋体" w:cs="宋体"/>
          <w:highlight w:val="none"/>
        </w:rPr>
        <w:t>24.1 争议的解决方式</w:t>
      </w:r>
      <w:bookmarkEnd w:id="2354"/>
      <w:bookmarkEnd w:id="2355"/>
      <w:bookmarkEnd w:id="2356"/>
      <w:bookmarkEnd w:id="2357"/>
      <w:bookmarkEnd w:id="2358"/>
      <w:bookmarkEnd w:id="2359"/>
      <w:bookmarkEnd w:id="2360"/>
      <w:bookmarkEnd w:id="2361"/>
    </w:p>
    <w:p w14:paraId="4709C941">
      <w:pPr>
        <w:spacing w:line="360" w:lineRule="auto"/>
        <w:ind w:firstLine="525"/>
        <w:rPr>
          <w:rFonts w:hint="eastAsia" w:ascii="宋体" w:hAnsi="宋体" w:cs="宋体"/>
          <w:highlight w:val="none"/>
        </w:rPr>
      </w:pPr>
      <w:bookmarkStart w:id="2362" w:name="_Toc152045764"/>
      <w:bookmarkStart w:id="2363" w:name="_Toc179632782"/>
      <w:bookmarkStart w:id="2364" w:name="_Toc144974734"/>
      <w:bookmarkStart w:id="2365" w:name="_Toc152042543"/>
      <w:r>
        <w:rPr>
          <w:rFonts w:hint="eastAsia" w:ascii="宋体" w:hAnsi="宋体" w:cs="宋体"/>
          <w:highlight w:val="none"/>
        </w:rPr>
        <w:t>因本合同引起的或与本合同有关的任何争议，合同双方友好协商不成、不愿提请争议组评审或者不愿接受争议评审组意见的，选择下列第</w:t>
      </w:r>
      <w:r>
        <w:rPr>
          <w:rFonts w:hint="eastAsia" w:ascii="宋体" w:hAnsi="宋体" w:cs="宋体"/>
          <w:highlight w:val="none"/>
          <w:u w:val="single"/>
        </w:rPr>
        <w:t xml:space="preserve">  贰  </w:t>
      </w:r>
      <w:r>
        <w:rPr>
          <w:rFonts w:hint="eastAsia" w:ascii="宋体" w:hAnsi="宋体" w:cs="宋体"/>
          <w:highlight w:val="none"/>
        </w:rPr>
        <w:t>种方式解决：</w:t>
      </w:r>
    </w:p>
    <w:p w14:paraId="5D7A94BC">
      <w:pPr>
        <w:spacing w:line="360" w:lineRule="auto"/>
        <w:ind w:firstLine="525"/>
        <w:rPr>
          <w:rFonts w:hint="eastAsia" w:ascii="宋体" w:hAnsi="宋体" w:cs="宋体"/>
          <w:highlight w:val="none"/>
        </w:rPr>
      </w:pPr>
      <w:r>
        <w:rPr>
          <w:rFonts w:hint="eastAsia" w:ascii="宋体" w:hAnsi="宋体" w:cs="宋体"/>
          <w:highlight w:val="none"/>
          <w:u w:val="single"/>
        </w:rPr>
        <w:t>（壹）</w:t>
      </w:r>
      <w:r>
        <w:rPr>
          <w:rFonts w:hint="eastAsia" w:ascii="宋体" w:hAnsi="宋体" w:cs="宋体"/>
          <w:highlight w:val="none"/>
        </w:rPr>
        <w:t>提请</w:t>
      </w:r>
      <w:r>
        <w:rPr>
          <w:rFonts w:hint="eastAsia" w:ascii="宋体" w:hAnsi="宋体" w:cs="宋体"/>
          <w:highlight w:val="none"/>
          <w:u w:val="single"/>
        </w:rPr>
        <w:t xml:space="preserve">  北京市  </w:t>
      </w:r>
      <w:r>
        <w:rPr>
          <w:rFonts w:hint="eastAsia" w:ascii="宋体" w:hAnsi="宋体" w:cs="宋体"/>
          <w:highlight w:val="none"/>
        </w:rPr>
        <w:t>仲裁委员会按照该会仲裁规则进行仲裁，仲裁裁决是终局的，对合同双方均有约束力。</w:t>
      </w:r>
    </w:p>
    <w:p w14:paraId="42A8CD22">
      <w:pPr>
        <w:spacing w:line="360" w:lineRule="auto"/>
        <w:ind w:firstLine="525"/>
        <w:rPr>
          <w:rFonts w:hint="eastAsia" w:ascii="宋体" w:hAnsi="宋体" w:cs="宋体"/>
          <w:highlight w:val="none"/>
        </w:rPr>
      </w:pPr>
      <w:r>
        <w:rPr>
          <w:rFonts w:hint="eastAsia" w:ascii="宋体" w:hAnsi="宋体" w:cs="宋体"/>
          <w:highlight w:val="none"/>
          <w:u w:val="single"/>
        </w:rPr>
        <w:t>（贰）</w:t>
      </w:r>
      <w:r>
        <w:rPr>
          <w:rFonts w:hint="eastAsia" w:ascii="宋体" w:hAnsi="宋体" w:cs="宋体"/>
          <w:highlight w:val="none"/>
        </w:rPr>
        <w:t>向有管辖权的人民法院提起诉讼。</w:t>
      </w:r>
      <w:bookmarkEnd w:id="2362"/>
      <w:bookmarkEnd w:id="2363"/>
      <w:bookmarkEnd w:id="2364"/>
      <w:bookmarkEnd w:id="2365"/>
    </w:p>
    <w:p w14:paraId="60D26D36">
      <w:pPr>
        <w:spacing w:line="360" w:lineRule="auto"/>
        <w:rPr>
          <w:rFonts w:hint="eastAsia" w:ascii="宋体" w:hAnsi="宋体" w:cs="宋体"/>
          <w:highlight w:val="none"/>
        </w:rPr>
      </w:pPr>
      <w:bookmarkStart w:id="2366" w:name="_Toc179632783"/>
      <w:bookmarkStart w:id="2367" w:name="_Toc241459749"/>
      <w:bookmarkStart w:id="2368" w:name="_Toc152045765"/>
      <w:bookmarkStart w:id="2369" w:name="_Toc503536336"/>
      <w:bookmarkStart w:id="2370" w:name="_Toc342296508"/>
      <w:bookmarkStart w:id="2371" w:name="_Toc144974735"/>
      <w:bookmarkStart w:id="2372" w:name="_Toc454359425"/>
      <w:bookmarkStart w:id="2373" w:name="_Toc152042544"/>
      <w:r>
        <w:rPr>
          <w:rFonts w:hint="eastAsia" w:ascii="宋体" w:hAnsi="宋体" w:cs="宋体"/>
          <w:highlight w:val="none"/>
        </w:rPr>
        <w:t>24.3 争议评审</w:t>
      </w:r>
      <w:bookmarkEnd w:id="2366"/>
      <w:bookmarkEnd w:id="2367"/>
      <w:bookmarkEnd w:id="2368"/>
      <w:bookmarkEnd w:id="2369"/>
      <w:bookmarkEnd w:id="2370"/>
      <w:bookmarkEnd w:id="2371"/>
      <w:bookmarkEnd w:id="2372"/>
      <w:bookmarkEnd w:id="2373"/>
    </w:p>
    <w:p w14:paraId="03B4A4FC">
      <w:pPr>
        <w:spacing w:line="360" w:lineRule="auto"/>
        <w:ind w:firstLine="525"/>
        <w:rPr>
          <w:rFonts w:hint="eastAsia" w:ascii="宋体" w:hAnsi="宋体" w:cs="宋体"/>
          <w:highlight w:val="none"/>
        </w:rPr>
      </w:pPr>
      <w:r>
        <w:rPr>
          <w:rFonts w:hint="eastAsia" w:ascii="宋体" w:hAnsi="宋体" w:cs="宋体"/>
          <w:highlight w:val="none"/>
        </w:rPr>
        <w:t>24.3.4争议评审组邀请合同双方代表人和有关人员举行调查会的期限：</w:t>
      </w:r>
      <w:r>
        <w:rPr>
          <w:rFonts w:hint="eastAsia" w:ascii="宋体" w:hAnsi="宋体" w:cs="宋体"/>
          <w:highlight w:val="none"/>
          <w:u w:val="single"/>
        </w:rPr>
        <w:t xml:space="preserve">  /   </w:t>
      </w:r>
      <w:r>
        <w:rPr>
          <w:rFonts w:hint="eastAsia" w:ascii="宋体" w:hAnsi="宋体" w:cs="宋体"/>
          <w:highlight w:val="none"/>
        </w:rPr>
        <w:t>。</w:t>
      </w:r>
    </w:p>
    <w:p w14:paraId="442A0E65">
      <w:pPr>
        <w:spacing w:line="360" w:lineRule="auto"/>
        <w:ind w:firstLine="525"/>
        <w:rPr>
          <w:rFonts w:hint="eastAsia" w:ascii="宋体" w:hAnsi="宋体" w:cs="宋体"/>
          <w:highlight w:val="none"/>
        </w:rPr>
      </w:pPr>
      <w:r>
        <w:rPr>
          <w:rFonts w:hint="eastAsia" w:ascii="宋体" w:hAnsi="宋体" w:cs="宋体"/>
          <w:highlight w:val="none"/>
        </w:rPr>
        <w:t>24.3.5争议评审组在调查会后作出争议评审意见的期限：</w:t>
      </w:r>
      <w:r>
        <w:rPr>
          <w:rFonts w:hint="eastAsia" w:ascii="宋体" w:hAnsi="宋体" w:cs="宋体"/>
          <w:highlight w:val="none"/>
          <w:u w:val="single"/>
        </w:rPr>
        <w:t xml:space="preserve">  /   </w:t>
      </w:r>
      <w:r>
        <w:rPr>
          <w:rFonts w:hint="eastAsia" w:ascii="宋体" w:hAnsi="宋体" w:cs="宋体"/>
          <w:highlight w:val="none"/>
        </w:rPr>
        <w:t>。</w:t>
      </w:r>
    </w:p>
    <w:p w14:paraId="1C771109">
      <w:pPr>
        <w:spacing w:line="360" w:lineRule="auto"/>
        <w:ind w:firstLine="525"/>
        <w:rPr>
          <w:rFonts w:hint="eastAsia" w:ascii="宋体" w:hAnsi="宋体" w:cs="宋体"/>
          <w:highlight w:val="none"/>
        </w:rPr>
      </w:pPr>
      <w:r>
        <w:rPr>
          <w:rFonts w:hint="eastAsia" w:ascii="宋体" w:hAnsi="宋体" w:cs="宋体"/>
          <w:highlight w:val="none"/>
        </w:rPr>
        <w:t>补充条款：</w:t>
      </w:r>
    </w:p>
    <w:p w14:paraId="1ED53FAB">
      <w:pPr>
        <w:numPr>
          <w:ilvl w:val="0"/>
          <w:numId w:val="15"/>
        </w:numPr>
        <w:adjustRightInd w:val="0"/>
        <w:snapToGrid w:val="0"/>
        <w:spacing w:line="360" w:lineRule="auto"/>
        <w:rPr>
          <w:rFonts w:hint="eastAsia" w:ascii="宋体" w:hAnsi="宋体" w:cs="宋体"/>
          <w:highlight w:val="none"/>
        </w:rPr>
      </w:pPr>
      <w:r>
        <w:rPr>
          <w:rFonts w:hint="eastAsia" w:ascii="宋体" w:hAnsi="宋体" w:cs="宋体"/>
          <w:highlight w:val="none"/>
        </w:rPr>
        <w:t>投标人在投标报价中，应充分考虑施工过程中为保证工期而赶工等造成的额外费用。</w:t>
      </w:r>
    </w:p>
    <w:p w14:paraId="75F83BD7">
      <w:pPr>
        <w:numPr>
          <w:ilvl w:val="0"/>
          <w:numId w:val="15"/>
        </w:numPr>
        <w:adjustRightInd w:val="0"/>
        <w:snapToGrid w:val="0"/>
        <w:spacing w:line="360" w:lineRule="auto"/>
        <w:rPr>
          <w:rFonts w:hint="eastAsia" w:ascii="宋体" w:hAnsi="宋体" w:cs="宋体"/>
          <w:highlight w:val="none"/>
        </w:rPr>
      </w:pPr>
      <w:r>
        <w:rPr>
          <w:rFonts w:hint="eastAsia" w:ascii="宋体" w:hAnsi="宋体" w:cs="宋体"/>
          <w:highlight w:val="none"/>
        </w:rPr>
        <w:t>实际开工日期以招标人或监理人所发开工令注明的开工日期为准，并按照中标人在投标时填报的施工工期日历天数计算竣工日期，双方将以此作为合同工期，上述变化不会使中标人获得任何经济和工期上的补偿与调整。</w:t>
      </w:r>
    </w:p>
    <w:p w14:paraId="4F1C9433">
      <w:pPr>
        <w:numPr>
          <w:ilvl w:val="0"/>
          <w:numId w:val="15"/>
        </w:numPr>
        <w:adjustRightInd w:val="0"/>
        <w:snapToGrid w:val="0"/>
        <w:spacing w:line="360" w:lineRule="auto"/>
        <w:rPr>
          <w:rFonts w:hint="eastAsia" w:ascii="宋体" w:hAnsi="宋体" w:cs="宋体"/>
          <w:highlight w:val="none"/>
        </w:rPr>
      </w:pPr>
      <w:r>
        <w:rPr>
          <w:rFonts w:hint="eastAsia" w:ascii="宋体" w:hAnsi="宋体" w:cs="宋体"/>
          <w:highlight w:val="none"/>
        </w:rPr>
        <w:t>承包人应认真踏勘施工现场，熟悉现场地形、道路和周围环境，了解北京市及工程所在地政府对施工单位、现场管理及造价管理等一切可能影响报价的政策法规和相关规定，并充分考虑扰民、民扰等情况。工程竣工结算，承包人不得以不完全了解施工现场和当时的政策法规等为借口，而提出额外赔偿，或延长工期的要求。</w:t>
      </w:r>
    </w:p>
    <w:p w14:paraId="166E545A">
      <w:pPr>
        <w:spacing w:line="400" w:lineRule="exact"/>
        <w:rPr>
          <w:rFonts w:hint="eastAsia" w:ascii="宋体" w:hAnsi="宋体" w:cs="宋体"/>
          <w:szCs w:val="21"/>
          <w:highlight w:val="none"/>
        </w:rPr>
      </w:pPr>
    </w:p>
    <w:p w14:paraId="21A6C2C9">
      <w:pPr>
        <w:spacing w:line="400" w:lineRule="exact"/>
        <w:rPr>
          <w:rFonts w:hint="eastAsia" w:ascii="宋体" w:hAnsi="宋体" w:cs="宋体"/>
          <w:szCs w:val="21"/>
          <w:highlight w:val="none"/>
        </w:rPr>
      </w:pPr>
    </w:p>
    <w:p w14:paraId="158B5471">
      <w:pPr>
        <w:spacing w:line="400" w:lineRule="exact"/>
        <w:rPr>
          <w:rFonts w:hint="eastAsia" w:ascii="宋体" w:hAnsi="宋体" w:cs="宋体"/>
          <w:szCs w:val="21"/>
          <w:highlight w:val="none"/>
        </w:rPr>
      </w:pPr>
    </w:p>
    <w:p w14:paraId="1D33281A">
      <w:pPr>
        <w:spacing w:line="400" w:lineRule="exact"/>
        <w:rPr>
          <w:rFonts w:hint="eastAsia" w:ascii="宋体" w:hAnsi="宋体" w:cs="宋体"/>
          <w:szCs w:val="21"/>
          <w:highlight w:val="none"/>
        </w:rPr>
      </w:pPr>
    </w:p>
    <w:p w14:paraId="4E963800">
      <w:pPr>
        <w:spacing w:line="400" w:lineRule="exact"/>
        <w:rPr>
          <w:rFonts w:hint="eastAsia" w:ascii="宋体" w:hAnsi="宋体" w:cs="宋体"/>
          <w:szCs w:val="21"/>
          <w:highlight w:val="none"/>
        </w:rPr>
      </w:pPr>
    </w:p>
    <w:p w14:paraId="73EF2792">
      <w:pPr>
        <w:spacing w:line="400" w:lineRule="exact"/>
        <w:rPr>
          <w:rFonts w:hint="eastAsia" w:ascii="宋体" w:hAnsi="宋体" w:cs="宋体"/>
          <w:szCs w:val="21"/>
          <w:highlight w:val="none"/>
        </w:rPr>
      </w:pPr>
    </w:p>
    <w:p w14:paraId="38CE087F">
      <w:pPr>
        <w:spacing w:line="400" w:lineRule="exact"/>
        <w:rPr>
          <w:rFonts w:hint="eastAsia" w:ascii="宋体" w:hAnsi="宋体" w:cs="宋体"/>
          <w:szCs w:val="21"/>
          <w:highlight w:val="none"/>
        </w:rPr>
        <w:sectPr>
          <w:pgSz w:w="11906" w:h="16838"/>
          <w:pgMar w:top="1440" w:right="1800" w:bottom="1440" w:left="1800" w:header="720" w:footer="720" w:gutter="0"/>
          <w:cols w:space="720" w:num="1"/>
          <w:titlePg/>
        </w:sectPr>
      </w:pPr>
    </w:p>
    <w:p w14:paraId="5328BEBC">
      <w:pPr>
        <w:spacing w:line="360" w:lineRule="auto"/>
        <w:ind w:hanging="6"/>
        <w:outlineLvl w:val="3"/>
        <w:rPr>
          <w:rFonts w:hint="eastAsia" w:ascii="宋体" w:hAnsi="宋体" w:cs="宋体"/>
          <w:highlight w:val="none"/>
        </w:rPr>
      </w:pPr>
      <w:bookmarkStart w:id="2374" w:name="_Toc5262"/>
      <w:r>
        <w:rPr>
          <w:rFonts w:hint="eastAsia" w:ascii="宋体" w:hAnsi="宋体" w:cs="宋体"/>
          <w:highlight w:val="none"/>
        </w:rPr>
        <w:t>附件一：承包人承揽工程项目一览表</w:t>
      </w:r>
      <w:bookmarkEnd w:id="2374"/>
    </w:p>
    <w:p w14:paraId="5D2A20E4">
      <w:pPr>
        <w:spacing w:line="400" w:lineRule="exact"/>
        <w:rPr>
          <w:rFonts w:hint="eastAsia" w:ascii="宋体" w:hAnsi="宋体" w:cs="宋体"/>
          <w:szCs w:val="21"/>
          <w:highlight w:val="none"/>
        </w:rPr>
      </w:pPr>
    </w:p>
    <w:p w14:paraId="343CA891">
      <w:pPr>
        <w:spacing w:line="360" w:lineRule="auto"/>
        <w:rPr>
          <w:rFonts w:hint="eastAsia" w:ascii="宋体" w:hAnsi="宋体" w:cs="宋体"/>
          <w:highlight w:val="none"/>
        </w:rPr>
      </w:pPr>
      <w:bookmarkStart w:id="2375" w:name="_Toc241459752"/>
      <w:bookmarkStart w:id="2376" w:name="_Toc503536352"/>
      <w:bookmarkStart w:id="2377" w:name="_Toc342296511"/>
    </w:p>
    <w:p w14:paraId="161B7F12">
      <w:pPr>
        <w:spacing w:line="360" w:lineRule="auto"/>
        <w:rPr>
          <w:rFonts w:hint="eastAsia" w:ascii="宋体" w:hAnsi="宋体" w:cs="宋体"/>
          <w:highlight w:val="none"/>
        </w:rPr>
      </w:pPr>
    </w:p>
    <w:p w14:paraId="37E69873">
      <w:pPr>
        <w:spacing w:line="360" w:lineRule="auto"/>
        <w:rPr>
          <w:rFonts w:hint="eastAsia" w:ascii="宋体" w:hAnsi="宋体" w:cs="宋体"/>
          <w:highlight w:val="none"/>
        </w:rPr>
      </w:pPr>
    </w:p>
    <w:p w14:paraId="2473557C">
      <w:pPr>
        <w:spacing w:line="360" w:lineRule="auto"/>
        <w:rPr>
          <w:rFonts w:hint="eastAsia" w:ascii="宋体" w:hAnsi="宋体" w:cs="宋体"/>
          <w:highlight w:val="none"/>
        </w:rPr>
      </w:pPr>
    </w:p>
    <w:p w14:paraId="77A34A7D">
      <w:pPr>
        <w:spacing w:line="360" w:lineRule="auto"/>
        <w:rPr>
          <w:rFonts w:hint="eastAsia" w:ascii="宋体" w:hAnsi="宋体" w:cs="宋体"/>
          <w:highlight w:val="none"/>
        </w:rPr>
      </w:pPr>
    </w:p>
    <w:p w14:paraId="4E6D9273">
      <w:pPr>
        <w:spacing w:line="360" w:lineRule="auto"/>
        <w:rPr>
          <w:rFonts w:hint="eastAsia" w:ascii="宋体" w:hAnsi="宋体" w:cs="宋体"/>
          <w:highlight w:val="none"/>
        </w:rPr>
      </w:pPr>
    </w:p>
    <w:p w14:paraId="5C981520">
      <w:pPr>
        <w:spacing w:line="360" w:lineRule="auto"/>
        <w:rPr>
          <w:rFonts w:hint="eastAsia" w:ascii="宋体" w:hAnsi="宋体" w:cs="宋体"/>
          <w:highlight w:val="none"/>
        </w:rPr>
      </w:pPr>
    </w:p>
    <w:p w14:paraId="516F542D">
      <w:pPr>
        <w:spacing w:line="360" w:lineRule="auto"/>
        <w:rPr>
          <w:rFonts w:hint="eastAsia" w:ascii="宋体" w:hAnsi="宋体" w:cs="宋体"/>
          <w:highlight w:val="none"/>
        </w:rPr>
      </w:pPr>
    </w:p>
    <w:p w14:paraId="36FD1D3D">
      <w:pPr>
        <w:spacing w:line="360" w:lineRule="auto"/>
        <w:rPr>
          <w:rFonts w:hint="eastAsia" w:ascii="宋体" w:hAnsi="宋体" w:cs="宋体"/>
          <w:highlight w:val="none"/>
        </w:rPr>
      </w:pPr>
    </w:p>
    <w:p w14:paraId="27576D4D">
      <w:pPr>
        <w:spacing w:line="360" w:lineRule="auto"/>
        <w:rPr>
          <w:rFonts w:hint="eastAsia" w:ascii="宋体" w:hAnsi="宋体" w:cs="宋体"/>
          <w:highlight w:val="none"/>
        </w:rPr>
      </w:pPr>
    </w:p>
    <w:p w14:paraId="6008E907">
      <w:pPr>
        <w:spacing w:line="360" w:lineRule="auto"/>
        <w:rPr>
          <w:rFonts w:hint="eastAsia" w:ascii="宋体" w:hAnsi="宋体" w:cs="宋体"/>
          <w:highlight w:val="none"/>
        </w:rPr>
      </w:pPr>
    </w:p>
    <w:p w14:paraId="50E0AB60">
      <w:pPr>
        <w:spacing w:line="360" w:lineRule="auto"/>
        <w:rPr>
          <w:rFonts w:hint="eastAsia" w:ascii="宋体" w:hAnsi="宋体" w:cs="宋体"/>
          <w:highlight w:val="none"/>
        </w:rPr>
      </w:pPr>
    </w:p>
    <w:p w14:paraId="561B690D">
      <w:pPr>
        <w:spacing w:line="360" w:lineRule="auto"/>
        <w:rPr>
          <w:rFonts w:hint="eastAsia" w:ascii="宋体" w:hAnsi="宋体" w:cs="宋体"/>
          <w:highlight w:val="none"/>
        </w:rPr>
      </w:pPr>
    </w:p>
    <w:p w14:paraId="7499F621">
      <w:pPr>
        <w:spacing w:line="360" w:lineRule="auto"/>
        <w:rPr>
          <w:rFonts w:hint="eastAsia" w:ascii="宋体" w:hAnsi="宋体" w:cs="宋体"/>
          <w:highlight w:val="none"/>
        </w:rPr>
      </w:pPr>
    </w:p>
    <w:p w14:paraId="51844B18">
      <w:pPr>
        <w:spacing w:line="360" w:lineRule="auto"/>
        <w:rPr>
          <w:rFonts w:hint="eastAsia" w:ascii="宋体" w:hAnsi="宋体" w:cs="宋体"/>
          <w:highlight w:val="none"/>
        </w:rPr>
      </w:pPr>
    </w:p>
    <w:p w14:paraId="5B41C257">
      <w:pPr>
        <w:spacing w:line="360" w:lineRule="auto"/>
        <w:rPr>
          <w:rFonts w:hint="eastAsia" w:ascii="宋体" w:hAnsi="宋体" w:cs="宋体"/>
          <w:highlight w:val="none"/>
        </w:rPr>
      </w:pPr>
    </w:p>
    <w:p w14:paraId="04C96FA8">
      <w:pPr>
        <w:spacing w:line="360" w:lineRule="auto"/>
        <w:rPr>
          <w:rFonts w:hint="eastAsia" w:ascii="宋体" w:hAnsi="宋体" w:cs="宋体"/>
          <w:highlight w:val="none"/>
        </w:rPr>
      </w:pPr>
    </w:p>
    <w:p w14:paraId="3ECD30A9">
      <w:pPr>
        <w:spacing w:line="360" w:lineRule="auto"/>
        <w:rPr>
          <w:rFonts w:hint="eastAsia" w:ascii="宋体" w:hAnsi="宋体" w:cs="宋体"/>
          <w:highlight w:val="none"/>
        </w:rPr>
      </w:pPr>
    </w:p>
    <w:p w14:paraId="60D098D0">
      <w:pPr>
        <w:spacing w:line="360" w:lineRule="auto"/>
        <w:rPr>
          <w:rFonts w:hint="eastAsia" w:ascii="宋体" w:hAnsi="宋体" w:cs="宋体"/>
          <w:highlight w:val="none"/>
        </w:rPr>
      </w:pPr>
    </w:p>
    <w:p w14:paraId="3D834019">
      <w:pPr>
        <w:spacing w:line="360" w:lineRule="auto"/>
        <w:rPr>
          <w:rFonts w:hint="eastAsia" w:ascii="宋体" w:hAnsi="宋体" w:cs="宋体"/>
          <w:highlight w:val="none"/>
        </w:rPr>
      </w:pPr>
    </w:p>
    <w:p w14:paraId="6F3EE56E">
      <w:pPr>
        <w:spacing w:line="360" w:lineRule="auto"/>
        <w:rPr>
          <w:rFonts w:hint="eastAsia" w:ascii="宋体" w:hAnsi="宋体" w:cs="宋体"/>
          <w:highlight w:val="none"/>
        </w:rPr>
      </w:pPr>
    </w:p>
    <w:p w14:paraId="5AF4B1CF">
      <w:pPr>
        <w:spacing w:line="360" w:lineRule="auto"/>
        <w:rPr>
          <w:rFonts w:hint="eastAsia" w:ascii="宋体" w:hAnsi="宋体" w:cs="宋体"/>
          <w:highlight w:val="none"/>
        </w:rPr>
      </w:pPr>
    </w:p>
    <w:p w14:paraId="78562DFC">
      <w:pPr>
        <w:spacing w:line="360" w:lineRule="auto"/>
        <w:rPr>
          <w:rFonts w:hint="eastAsia" w:ascii="宋体" w:hAnsi="宋体" w:cs="宋体"/>
          <w:highlight w:val="none"/>
        </w:rPr>
      </w:pPr>
    </w:p>
    <w:p w14:paraId="1D2F09F2">
      <w:pPr>
        <w:spacing w:line="360" w:lineRule="auto"/>
        <w:rPr>
          <w:rFonts w:hint="eastAsia" w:ascii="宋体" w:hAnsi="宋体" w:cs="宋体"/>
          <w:highlight w:val="none"/>
        </w:rPr>
      </w:pPr>
    </w:p>
    <w:p w14:paraId="309D43E2">
      <w:pPr>
        <w:spacing w:line="360" w:lineRule="auto"/>
        <w:rPr>
          <w:rFonts w:hint="eastAsia" w:ascii="宋体" w:hAnsi="宋体" w:cs="宋体"/>
          <w:highlight w:val="none"/>
        </w:rPr>
      </w:pPr>
    </w:p>
    <w:p w14:paraId="1C420D12">
      <w:pPr>
        <w:spacing w:line="360" w:lineRule="auto"/>
        <w:rPr>
          <w:rFonts w:hint="eastAsia" w:ascii="宋体" w:hAnsi="宋体" w:cs="宋体"/>
          <w:highlight w:val="none"/>
        </w:rPr>
      </w:pPr>
    </w:p>
    <w:p w14:paraId="2CFC2875">
      <w:pPr>
        <w:spacing w:line="360" w:lineRule="auto"/>
        <w:rPr>
          <w:rFonts w:hint="eastAsia" w:ascii="宋体" w:hAnsi="宋体" w:cs="宋体"/>
          <w:highlight w:val="none"/>
        </w:rPr>
      </w:pPr>
    </w:p>
    <w:p w14:paraId="60A8DDD4">
      <w:pPr>
        <w:spacing w:line="360" w:lineRule="auto"/>
        <w:rPr>
          <w:rFonts w:hint="eastAsia" w:ascii="宋体" w:hAnsi="宋体" w:cs="宋体"/>
          <w:highlight w:val="none"/>
        </w:rPr>
      </w:pPr>
    </w:p>
    <w:p w14:paraId="4952F93D">
      <w:pPr>
        <w:spacing w:line="360" w:lineRule="auto"/>
        <w:rPr>
          <w:rFonts w:hint="eastAsia" w:ascii="宋体" w:hAnsi="宋体" w:cs="宋体"/>
          <w:highlight w:val="none"/>
        </w:rPr>
      </w:pPr>
    </w:p>
    <w:p w14:paraId="0F30703B">
      <w:pPr>
        <w:spacing w:line="360" w:lineRule="auto"/>
        <w:rPr>
          <w:rFonts w:hint="eastAsia" w:ascii="宋体" w:hAnsi="宋体" w:cs="宋体"/>
          <w:highlight w:val="none"/>
        </w:rPr>
      </w:pPr>
    </w:p>
    <w:p w14:paraId="504E3D75">
      <w:pPr>
        <w:rPr>
          <w:rFonts w:hint="eastAsia" w:ascii="宋体" w:hAnsi="宋体" w:cs="宋体"/>
          <w:highlight w:val="none"/>
        </w:rPr>
      </w:pPr>
      <w:bookmarkStart w:id="2378" w:name="_Toc18128"/>
      <w:r>
        <w:rPr>
          <w:rFonts w:hint="eastAsia" w:ascii="宋体" w:hAnsi="宋体" w:cs="宋体"/>
          <w:highlight w:val="none"/>
        </w:rPr>
        <w:br w:type="page"/>
      </w:r>
    </w:p>
    <w:p w14:paraId="649889EB">
      <w:pPr>
        <w:spacing w:line="360" w:lineRule="auto"/>
        <w:ind w:hanging="6"/>
        <w:outlineLvl w:val="3"/>
        <w:rPr>
          <w:rFonts w:hint="eastAsia" w:ascii="宋体" w:hAnsi="宋体" w:cs="宋体"/>
          <w:highlight w:val="none"/>
        </w:rPr>
      </w:pPr>
      <w:r>
        <w:rPr>
          <w:rFonts w:hint="eastAsia" w:ascii="宋体" w:hAnsi="宋体" w:cs="宋体"/>
          <w:highlight w:val="none"/>
        </w:rPr>
        <w:t>附件二：承包人提供的材料和工程设备一览表</w:t>
      </w:r>
      <w:bookmarkEnd w:id="2375"/>
      <w:bookmarkEnd w:id="2376"/>
      <w:bookmarkEnd w:id="2377"/>
      <w:bookmarkEnd w:id="2378"/>
    </w:p>
    <w:p w14:paraId="4AEFE319">
      <w:pPr>
        <w:rPr>
          <w:rFonts w:hint="eastAsia" w:ascii="宋体" w:hAnsi="宋体" w:cs="宋体"/>
          <w:highlight w:val="none"/>
        </w:rPr>
      </w:pPr>
    </w:p>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187"/>
        <w:gridCol w:w="830"/>
        <w:gridCol w:w="711"/>
        <w:gridCol w:w="915"/>
        <w:gridCol w:w="784"/>
        <w:gridCol w:w="825"/>
        <w:gridCol w:w="796"/>
        <w:gridCol w:w="950"/>
        <w:gridCol w:w="837"/>
      </w:tblGrid>
      <w:tr w14:paraId="7B8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vAlign w:val="center"/>
          </w:tcPr>
          <w:p w14:paraId="6FE8110B">
            <w:pPr>
              <w:rPr>
                <w:rFonts w:hint="eastAsia" w:ascii="宋体" w:hAnsi="宋体" w:cs="宋体"/>
                <w:highlight w:val="none"/>
              </w:rPr>
            </w:pPr>
            <w:r>
              <w:rPr>
                <w:rFonts w:hint="eastAsia" w:ascii="宋体" w:hAnsi="宋体" w:cs="宋体"/>
                <w:highlight w:val="none"/>
              </w:rPr>
              <w:t>序</w:t>
            </w:r>
          </w:p>
          <w:p w14:paraId="34E2C078">
            <w:pPr>
              <w:rPr>
                <w:rFonts w:hint="eastAsia" w:ascii="宋体" w:hAnsi="宋体" w:cs="宋体"/>
                <w:highlight w:val="none"/>
              </w:rPr>
            </w:pPr>
            <w:r>
              <w:rPr>
                <w:rFonts w:hint="eastAsia" w:ascii="宋体" w:hAnsi="宋体" w:cs="宋体"/>
                <w:highlight w:val="none"/>
              </w:rPr>
              <w:t>号</w:t>
            </w:r>
          </w:p>
        </w:tc>
        <w:tc>
          <w:tcPr>
            <w:tcW w:w="696" w:type="pct"/>
            <w:vAlign w:val="center"/>
          </w:tcPr>
          <w:p w14:paraId="79FE7D9A">
            <w:pPr>
              <w:rPr>
                <w:rFonts w:hint="eastAsia" w:ascii="宋体" w:hAnsi="宋体" w:cs="宋体"/>
                <w:highlight w:val="none"/>
              </w:rPr>
            </w:pPr>
            <w:r>
              <w:rPr>
                <w:rFonts w:hint="eastAsia" w:ascii="宋体" w:hAnsi="宋体" w:cs="宋体"/>
                <w:highlight w:val="none"/>
              </w:rPr>
              <w:t>材料设备</w:t>
            </w:r>
          </w:p>
          <w:p w14:paraId="33257E1F">
            <w:pPr>
              <w:jc w:val="center"/>
              <w:rPr>
                <w:rFonts w:hint="eastAsia" w:ascii="宋体" w:hAnsi="宋体" w:cs="宋体"/>
                <w:highlight w:val="none"/>
              </w:rPr>
            </w:pPr>
            <w:r>
              <w:rPr>
                <w:rFonts w:hint="eastAsia" w:ascii="宋体" w:hAnsi="宋体" w:cs="宋体"/>
                <w:highlight w:val="none"/>
              </w:rPr>
              <w:t>名称</w:t>
            </w:r>
          </w:p>
        </w:tc>
        <w:tc>
          <w:tcPr>
            <w:tcW w:w="487" w:type="pct"/>
            <w:vAlign w:val="center"/>
          </w:tcPr>
          <w:p w14:paraId="40644ACC">
            <w:pPr>
              <w:rPr>
                <w:rFonts w:hint="eastAsia" w:ascii="宋体" w:hAnsi="宋体" w:cs="宋体"/>
                <w:highlight w:val="none"/>
              </w:rPr>
            </w:pPr>
            <w:r>
              <w:rPr>
                <w:rFonts w:hint="eastAsia" w:ascii="宋体" w:hAnsi="宋体" w:cs="宋体"/>
                <w:highlight w:val="none"/>
              </w:rPr>
              <w:t>规格</w:t>
            </w:r>
          </w:p>
          <w:p w14:paraId="62963E49">
            <w:pPr>
              <w:jc w:val="center"/>
              <w:rPr>
                <w:rFonts w:hint="eastAsia" w:ascii="宋体" w:hAnsi="宋体" w:cs="宋体"/>
                <w:highlight w:val="none"/>
              </w:rPr>
            </w:pPr>
            <w:r>
              <w:rPr>
                <w:rFonts w:hint="eastAsia" w:ascii="宋体" w:hAnsi="宋体" w:cs="宋体"/>
                <w:highlight w:val="none"/>
              </w:rPr>
              <w:t>型号</w:t>
            </w:r>
          </w:p>
        </w:tc>
        <w:tc>
          <w:tcPr>
            <w:tcW w:w="417" w:type="pct"/>
            <w:vAlign w:val="center"/>
          </w:tcPr>
          <w:p w14:paraId="38E06FFB">
            <w:pPr>
              <w:jc w:val="center"/>
              <w:rPr>
                <w:rFonts w:hint="eastAsia" w:ascii="宋体" w:hAnsi="宋体" w:cs="宋体"/>
                <w:highlight w:val="none"/>
              </w:rPr>
            </w:pPr>
            <w:r>
              <w:rPr>
                <w:rFonts w:hint="eastAsia" w:ascii="宋体" w:hAnsi="宋体" w:cs="宋体"/>
                <w:highlight w:val="none"/>
              </w:rPr>
              <w:t>单</w:t>
            </w:r>
          </w:p>
          <w:p w14:paraId="1534B485">
            <w:pPr>
              <w:jc w:val="center"/>
              <w:rPr>
                <w:rFonts w:hint="eastAsia" w:ascii="宋体" w:hAnsi="宋体" w:cs="宋体"/>
                <w:highlight w:val="none"/>
              </w:rPr>
            </w:pPr>
            <w:r>
              <w:rPr>
                <w:rFonts w:hint="eastAsia" w:ascii="宋体" w:hAnsi="宋体" w:cs="宋体"/>
                <w:highlight w:val="none"/>
              </w:rPr>
              <w:t>位</w:t>
            </w:r>
          </w:p>
        </w:tc>
        <w:tc>
          <w:tcPr>
            <w:tcW w:w="537" w:type="pct"/>
            <w:vAlign w:val="center"/>
          </w:tcPr>
          <w:p w14:paraId="21FE1EF8">
            <w:pPr>
              <w:jc w:val="center"/>
              <w:rPr>
                <w:rFonts w:hint="eastAsia" w:ascii="宋体" w:hAnsi="宋体" w:cs="宋体"/>
                <w:highlight w:val="none"/>
              </w:rPr>
            </w:pPr>
            <w:r>
              <w:rPr>
                <w:rFonts w:hint="eastAsia" w:ascii="宋体" w:hAnsi="宋体" w:cs="宋体"/>
                <w:highlight w:val="none"/>
              </w:rPr>
              <w:t>数</w:t>
            </w:r>
          </w:p>
          <w:p w14:paraId="2CF6E2F7">
            <w:pPr>
              <w:jc w:val="center"/>
              <w:rPr>
                <w:rFonts w:hint="eastAsia" w:ascii="宋体" w:hAnsi="宋体" w:cs="宋体"/>
                <w:highlight w:val="none"/>
              </w:rPr>
            </w:pPr>
            <w:r>
              <w:rPr>
                <w:rFonts w:hint="eastAsia" w:ascii="宋体" w:hAnsi="宋体" w:cs="宋体"/>
                <w:highlight w:val="none"/>
              </w:rPr>
              <w:t>量</w:t>
            </w:r>
          </w:p>
        </w:tc>
        <w:tc>
          <w:tcPr>
            <w:tcW w:w="460" w:type="pct"/>
            <w:vAlign w:val="center"/>
          </w:tcPr>
          <w:p w14:paraId="166DF387">
            <w:pPr>
              <w:jc w:val="center"/>
              <w:rPr>
                <w:rFonts w:hint="eastAsia" w:ascii="宋体" w:hAnsi="宋体" w:cs="宋体"/>
                <w:highlight w:val="none"/>
              </w:rPr>
            </w:pPr>
            <w:r>
              <w:rPr>
                <w:rFonts w:hint="eastAsia" w:ascii="宋体" w:hAnsi="宋体" w:cs="宋体"/>
                <w:highlight w:val="none"/>
              </w:rPr>
              <w:t>单</w:t>
            </w:r>
          </w:p>
          <w:p w14:paraId="132434B3">
            <w:pPr>
              <w:jc w:val="center"/>
              <w:rPr>
                <w:rFonts w:hint="eastAsia" w:ascii="宋体" w:hAnsi="宋体" w:cs="宋体"/>
                <w:highlight w:val="none"/>
              </w:rPr>
            </w:pPr>
            <w:r>
              <w:rPr>
                <w:rFonts w:hint="eastAsia" w:ascii="宋体" w:hAnsi="宋体" w:cs="宋体"/>
                <w:highlight w:val="none"/>
              </w:rPr>
              <w:t>价</w:t>
            </w:r>
          </w:p>
        </w:tc>
        <w:tc>
          <w:tcPr>
            <w:tcW w:w="484" w:type="pct"/>
            <w:vAlign w:val="center"/>
          </w:tcPr>
          <w:p w14:paraId="6F066269">
            <w:pPr>
              <w:jc w:val="center"/>
              <w:rPr>
                <w:rFonts w:hint="eastAsia" w:ascii="宋体" w:hAnsi="宋体" w:cs="宋体"/>
                <w:highlight w:val="none"/>
              </w:rPr>
            </w:pPr>
            <w:r>
              <w:rPr>
                <w:rFonts w:hint="eastAsia" w:ascii="宋体" w:hAnsi="宋体" w:cs="宋体"/>
                <w:highlight w:val="none"/>
              </w:rPr>
              <w:t>交货</w:t>
            </w:r>
          </w:p>
          <w:p w14:paraId="62FA3680">
            <w:pPr>
              <w:jc w:val="center"/>
              <w:rPr>
                <w:rFonts w:hint="eastAsia" w:ascii="宋体" w:hAnsi="宋体" w:cs="宋体"/>
                <w:highlight w:val="none"/>
              </w:rPr>
            </w:pPr>
            <w:r>
              <w:rPr>
                <w:rFonts w:hint="eastAsia" w:ascii="宋体" w:hAnsi="宋体" w:cs="宋体"/>
                <w:highlight w:val="none"/>
              </w:rPr>
              <w:t>方式</w:t>
            </w:r>
          </w:p>
        </w:tc>
        <w:tc>
          <w:tcPr>
            <w:tcW w:w="467" w:type="pct"/>
            <w:vAlign w:val="center"/>
          </w:tcPr>
          <w:p w14:paraId="3409BD1E">
            <w:pPr>
              <w:jc w:val="center"/>
              <w:rPr>
                <w:rFonts w:hint="eastAsia" w:ascii="宋体" w:hAnsi="宋体" w:cs="宋体"/>
                <w:highlight w:val="none"/>
              </w:rPr>
            </w:pPr>
            <w:r>
              <w:rPr>
                <w:rFonts w:hint="eastAsia" w:ascii="宋体" w:hAnsi="宋体" w:cs="宋体"/>
                <w:highlight w:val="none"/>
              </w:rPr>
              <w:t>交货</w:t>
            </w:r>
          </w:p>
          <w:p w14:paraId="74A901F6">
            <w:pPr>
              <w:jc w:val="center"/>
              <w:rPr>
                <w:rFonts w:hint="eastAsia" w:ascii="宋体" w:hAnsi="宋体" w:cs="宋体"/>
                <w:highlight w:val="none"/>
              </w:rPr>
            </w:pPr>
            <w:r>
              <w:rPr>
                <w:rFonts w:hint="eastAsia" w:ascii="宋体" w:hAnsi="宋体" w:cs="宋体"/>
                <w:highlight w:val="none"/>
              </w:rPr>
              <w:t>地点</w:t>
            </w:r>
          </w:p>
        </w:tc>
        <w:tc>
          <w:tcPr>
            <w:tcW w:w="557" w:type="pct"/>
            <w:vAlign w:val="center"/>
          </w:tcPr>
          <w:p w14:paraId="12BD20F2">
            <w:pPr>
              <w:rPr>
                <w:rFonts w:hint="eastAsia" w:ascii="宋体" w:hAnsi="宋体" w:cs="宋体"/>
                <w:highlight w:val="none"/>
              </w:rPr>
            </w:pPr>
            <w:r>
              <w:rPr>
                <w:rFonts w:hint="eastAsia" w:ascii="宋体" w:hAnsi="宋体" w:cs="宋体"/>
                <w:highlight w:val="none"/>
              </w:rPr>
              <w:t>计划交货时间</w:t>
            </w:r>
          </w:p>
        </w:tc>
        <w:tc>
          <w:tcPr>
            <w:tcW w:w="491" w:type="pct"/>
            <w:vAlign w:val="center"/>
          </w:tcPr>
          <w:p w14:paraId="7CA5B103">
            <w:pPr>
              <w:jc w:val="center"/>
              <w:rPr>
                <w:rFonts w:hint="eastAsia" w:ascii="宋体" w:hAnsi="宋体" w:cs="宋体"/>
                <w:highlight w:val="none"/>
              </w:rPr>
            </w:pPr>
            <w:r>
              <w:rPr>
                <w:rFonts w:hint="eastAsia" w:ascii="宋体" w:hAnsi="宋体" w:cs="宋体"/>
                <w:highlight w:val="none"/>
              </w:rPr>
              <w:t>备注</w:t>
            </w:r>
          </w:p>
        </w:tc>
      </w:tr>
      <w:tr w14:paraId="2F22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2E4AB4FF">
            <w:pPr>
              <w:jc w:val="center"/>
              <w:rPr>
                <w:rFonts w:hint="eastAsia" w:ascii="宋体" w:hAnsi="宋体" w:cs="宋体"/>
                <w:sz w:val="28"/>
                <w:szCs w:val="28"/>
                <w:highlight w:val="none"/>
              </w:rPr>
            </w:pPr>
          </w:p>
        </w:tc>
        <w:tc>
          <w:tcPr>
            <w:tcW w:w="696" w:type="pct"/>
          </w:tcPr>
          <w:p w14:paraId="030E75FA">
            <w:pPr>
              <w:jc w:val="center"/>
              <w:rPr>
                <w:rFonts w:hint="eastAsia" w:ascii="宋体" w:hAnsi="宋体" w:cs="宋体"/>
                <w:sz w:val="28"/>
                <w:szCs w:val="28"/>
                <w:highlight w:val="none"/>
              </w:rPr>
            </w:pPr>
          </w:p>
        </w:tc>
        <w:tc>
          <w:tcPr>
            <w:tcW w:w="487" w:type="pct"/>
          </w:tcPr>
          <w:p w14:paraId="5CD0BB67">
            <w:pPr>
              <w:jc w:val="center"/>
              <w:rPr>
                <w:rFonts w:hint="eastAsia" w:ascii="宋体" w:hAnsi="宋体" w:cs="宋体"/>
                <w:sz w:val="28"/>
                <w:szCs w:val="28"/>
                <w:highlight w:val="none"/>
              </w:rPr>
            </w:pPr>
          </w:p>
        </w:tc>
        <w:tc>
          <w:tcPr>
            <w:tcW w:w="417" w:type="pct"/>
          </w:tcPr>
          <w:p w14:paraId="4EB2587A">
            <w:pPr>
              <w:jc w:val="center"/>
              <w:rPr>
                <w:rFonts w:hint="eastAsia" w:ascii="宋体" w:hAnsi="宋体" w:cs="宋体"/>
                <w:sz w:val="28"/>
                <w:szCs w:val="28"/>
                <w:highlight w:val="none"/>
              </w:rPr>
            </w:pPr>
          </w:p>
        </w:tc>
        <w:tc>
          <w:tcPr>
            <w:tcW w:w="537" w:type="pct"/>
          </w:tcPr>
          <w:p w14:paraId="2AF92D0B">
            <w:pPr>
              <w:jc w:val="center"/>
              <w:rPr>
                <w:rFonts w:hint="eastAsia" w:ascii="宋体" w:hAnsi="宋体" w:cs="宋体"/>
                <w:sz w:val="28"/>
                <w:szCs w:val="28"/>
                <w:highlight w:val="none"/>
              </w:rPr>
            </w:pPr>
          </w:p>
        </w:tc>
        <w:tc>
          <w:tcPr>
            <w:tcW w:w="460" w:type="pct"/>
          </w:tcPr>
          <w:p w14:paraId="3441C7FA">
            <w:pPr>
              <w:jc w:val="center"/>
              <w:rPr>
                <w:rFonts w:hint="eastAsia" w:ascii="宋体" w:hAnsi="宋体" w:cs="宋体"/>
                <w:sz w:val="28"/>
                <w:szCs w:val="28"/>
                <w:highlight w:val="none"/>
              </w:rPr>
            </w:pPr>
          </w:p>
        </w:tc>
        <w:tc>
          <w:tcPr>
            <w:tcW w:w="484" w:type="pct"/>
          </w:tcPr>
          <w:p w14:paraId="5AA19883">
            <w:pPr>
              <w:jc w:val="center"/>
              <w:rPr>
                <w:rFonts w:hint="eastAsia" w:ascii="宋体" w:hAnsi="宋体" w:cs="宋体"/>
                <w:sz w:val="28"/>
                <w:szCs w:val="28"/>
                <w:highlight w:val="none"/>
              </w:rPr>
            </w:pPr>
          </w:p>
        </w:tc>
        <w:tc>
          <w:tcPr>
            <w:tcW w:w="467" w:type="pct"/>
          </w:tcPr>
          <w:p w14:paraId="0464B981">
            <w:pPr>
              <w:jc w:val="center"/>
              <w:rPr>
                <w:rFonts w:hint="eastAsia" w:ascii="宋体" w:hAnsi="宋体" w:cs="宋体"/>
                <w:sz w:val="28"/>
                <w:szCs w:val="28"/>
                <w:highlight w:val="none"/>
              </w:rPr>
            </w:pPr>
          </w:p>
        </w:tc>
        <w:tc>
          <w:tcPr>
            <w:tcW w:w="557" w:type="pct"/>
          </w:tcPr>
          <w:p w14:paraId="272D2A29">
            <w:pPr>
              <w:jc w:val="center"/>
              <w:rPr>
                <w:rFonts w:hint="eastAsia" w:ascii="宋体" w:hAnsi="宋体" w:cs="宋体"/>
                <w:sz w:val="28"/>
                <w:szCs w:val="28"/>
                <w:highlight w:val="none"/>
              </w:rPr>
            </w:pPr>
          </w:p>
        </w:tc>
        <w:tc>
          <w:tcPr>
            <w:tcW w:w="491" w:type="pct"/>
          </w:tcPr>
          <w:p w14:paraId="0AB72563">
            <w:pPr>
              <w:jc w:val="center"/>
              <w:rPr>
                <w:rFonts w:hint="eastAsia" w:ascii="宋体" w:hAnsi="宋体" w:cs="宋体"/>
                <w:sz w:val="28"/>
                <w:szCs w:val="28"/>
                <w:highlight w:val="none"/>
              </w:rPr>
            </w:pPr>
          </w:p>
        </w:tc>
      </w:tr>
      <w:tr w14:paraId="0E45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48603264">
            <w:pPr>
              <w:jc w:val="center"/>
              <w:rPr>
                <w:rFonts w:hint="eastAsia" w:ascii="宋体" w:hAnsi="宋体" w:cs="宋体"/>
                <w:sz w:val="28"/>
                <w:szCs w:val="28"/>
                <w:highlight w:val="none"/>
              </w:rPr>
            </w:pPr>
          </w:p>
        </w:tc>
        <w:tc>
          <w:tcPr>
            <w:tcW w:w="696" w:type="pct"/>
          </w:tcPr>
          <w:p w14:paraId="2D7A0544">
            <w:pPr>
              <w:jc w:val="center"/>
              <w:rPr>
                <w:rFonts w:hint="eastAsia" w:ascii="宋体" w:hAnsi="宋体" w:cs="宋体"/>
                <w:sz w:val="28"/>
                <w:szCs w:val="28"/>
                <w:highlight w:val="none"/>
              </w:rPr>
            </w:pPr>
          </w:p>
        </w:tc>
        <w:tc>
          <w:tcPr>
            <w:tcW w:w="487" w:type="pct"/>
          </w:tcPr>
          <w:p w14:paraId="3D28BA80">
            <w:pPr>
              <w:jc w:val="center"/>
              <w:rPr>
                <w:rFonts w:hint="eastAsia" w:ascii="宋体" w:hAnsi="宋体" w:cs="宋体"/>
                <w:sz w:val="28"/>
                <w:szCs w:val="28"/>
                <w:highlight w:val="none"/>
              </w:rPr>
            </w:pPr>
          </w:p>
        </w:tc>
        <w:tc>
          <w:tcPr>
            <w:tcW w:w="417" w:type="pct"/>
          </w:tcPr>
          <w:p w14:paraId="5E878E33">
            <w:pPr>
              <w:jc w:val="center"/>
              <w:rPr>
                <w:rFonts w:hint="eastAsia" w:ascii="宋体" w:hAnsi="宋体" w:cs="宋体"/>
                <w:sz w:val="28"/>
                <w:szCs w:val="28"/>
                <w:highlight w:val="none"/>
              </w:rPr>
            </w:pPr>
          </w:p>
        </w:tc>
        <w:tc>
          <w:tcPr>
            <w:tcW w:w="537" w:type="pct"/>
          </w:tcPr>
          <w:p w14:paraId="1167223B">
            <w:pPr>
              <w:jc w:val="center"/>
              <w:rPr>
                <w:rFonts w:hint="eastAsia" w:ascii="宋体" w:hAnsi="宋体" w:cs="宋体"/>
                <w:sz w:val="28"/>
                <w:szCs w:val="28"/>
                <w:highlight w:val="none"/>
              </w:rPr>
            </w:pPr>
          </w:p>
        </w:tc>
        <w:tc>
          <w:tcPr>
            <w:tcW w:w="460" w:type="pct"/>
          </w:tcPr>
          <w:p w14:paraId="3C98F3E5">
            <w:pPr>
              <w:jc w:val="center"/>
              <w:rPr>
                <w:rFonts w:hint="eastAsia" w:ascii="宋体" w:hAnsi="宋体" w:cs="宋体"/>
                <w:sz w:val="28"/>
                <w:szCs w:val="28"/>
                <w:highlight w:val="none"/>
              </w:rPr>
            </w:pPr>
          </w:p>
        </w:tc>
        <w:tc>
          <w:tcPr>
            <w:tcW w:w="484" w:type="pct"/>
          </w:tcPr>
          <w:p w14:paraId="52D17673">
            <w:pPr>
              <w:jc w:val="center"/>
              <w:rPr>
                <w:rFonts w:hint="eastAsia" w:ascii="宋体" w:hAnsi="宋体" w:cs="宋体"/>
                <w:sz w:val="28"/>
                <w:szCs w:val="28"/>
                <w:highlight w:val="none"/>
              </w:rPr>
            </w:pPr>
          </w:p>
        </w:tc>
        <w:tc>
          <w:tcPr>
            <w:tcW w:w="467" w:type="pct"/>
          </w:tcPr>
          <w:p w14:paraId="48BA06F3">
            <w:pPr>
              <w:jc w:val="center"/>
              <w:rPr>
                <w:rFonts w:hint="eastAsia" w:ascii="宋体" w:hAnsi="宋体" w:cs="宋体"/>
                <w:sz w:val="28"/>
                <w:szCs w:val="28"/>
                <w:highlight w:val="none"/>
              </w:rPr>
            </w:pPr>
          </w:p>
        </w:tc>
        <w:tc>
          <w:tcPr>
            <w:tcW w:w="557" w:type="pct"/>
          </w:tcPr>
          <w:p w14:paraId="23A964B5">
            <w:pPr>
              <w:jc w:val="center"/>
              <w:rPr>
                <w:rFonts w:hint="eastAsia" w:ascii="宋体" w:hAnsi="宋体" w:cs="宋体"/>
                <w:sz w:val="28"/>
                <w:szCs w:val="28"/>
                <w:highlight w:val="none"/>
              </w:rPr>
            </w:pPr>
          </w:p>
        </w:tc>
        <w:tc>
          <w:tcPr>
            <w:tcW w:w="491" w:type="pct"/>
          </w:tcPr>
          <w:p w14:paraId="348931B8">
            <w:pPr>
              <w:jc w:val="center"/>
              <w:rPr>
                <w:rFonts w:hint="eastAsia" w:ascii="宋体" w:hAnsi="宋体" w:cs="宋体"/>
                <w:sz w:val="28"/>
                <w:szCs w:val="28"/>
                <w:highlight w:val="none"/>
              </w:rPr>
            </w:pPr>
          </w:p>
        </w:tc>
      </w:tr>
      <w:tr w14:paraId="5B66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201D1E5">
            <w:pPr>
              <w:jc w:val="center"/>
              <w:rPr>
                <w:rFonts w:hint="eastAsia" w:ascii="宋体" w:hAnsi="宋体" w:cs="宋体"/>
                <w:sz w:val="28"/>
                <w:szCs w:val="28"/>
                <w:highlight w:val="none"/>
              </w:rPr>
            </w:pPr>
          </w:p>
        </w:tc>
        <w:tc>
          <w:tcPr>
            <w:tcW w:w="696" w:type="pct"/>
          </w:tcPr>
          <w:p w14:paraId="6ADDF423">
            <w:pPr>
              <w:jc w:val="center"/>
              <w:rPr>
                <w:rFonts w:hint="eastAsia" w:ascii="宋体" w:hAnsi="宋体" w:cs="宋体"/>
                <w:sz w:val="28"/>
                <w:szCs w:val="28"/>
                <w:highlight w:val="none"/>
              </w:rPr>
            </w:pPr>
          </w:p>
        </w:tc>
        <w:tc>
          <w:tcPr>
            <w:tcW w:w="487" w:type="pct"/>
          </w:tcPr>
          <w:p w14:paraId="5FEBDA86">
            <w:pPr>
              <w:jc w:val="center"/>
              <w:rPr>
                <w:rFonts w:hint="eastAsia" w:ascii="宋体" w:hAnsi="宋体" w:cs="宋体"/>
                <w:sz w:val="28"/>
                <w:szCs w:val="28"/>
                <w:highlight w:val="none"/>
              </w:rPr>
            </w:pPr>
          </w:p>
        </w:tc>
        <w:tc>
          <w:tcPr>
            <w:tcW w:w="417" w:type="pct"/>
          </w:tcPr>
          <w:p w14:paraId="762B3199">
            <w:pPr>
              <w:jc w:val="center"/>
              <w:rPr>
                <w:rFonts w:hint="eastAsia" w:ascii="宋体" w:hAnsi="宋体" w:cs="宋体"/>
                <w:sz w:val="28"/>
                <w:szCs w:val="28"/>
                <w:highlight w:val="none"/>
              </w:rPr>
            </w:pPr>
          </w:p>
        </w:tc>
        <w:tc>
          <w:tcPr>
            <w:tcW w:w="537" w:type="pct"/>
          </w:tcPr>
          <w:p w14:paraId="721AC280">
            <w:pPr>
              <w:jc w:val="center"/>
              <w:rPr>
                <w:rFonts w:hint="eastAsia" w:ascii="宋体" w:hAnsi="宋体" w:cs="宋体"/>
                <w:sz w:val="28"/>
                <w:szCs w:val="28"/>
                <w:highlight w:val="none"/>
              </w:rPr>
            </w:pPr>
          </w:p>
        </w:tc>
        <w:tc>
          <w:tcPr>
            <w:tcW w:w="460" w:type="pct"/>
          </w:tcPr>
          <w:p w14:paraId="07A49586">
            <w:pPr>
              <w:jc w:val="center"/>
              <w:rPr>
                <w:rFonts w:hint="eastAsia" w:ascii="宋体" w:hAnsi="宋体" w:cs="宋体"/>
                <w:sz w:val="28"/>
                <w:szCs w:val="28"/>
                <w:highlight w:val="none"/>
              </w:rPr>
            </w:pPr>
          </w:p>
        </w:tc>
        <w:tc>
          <w:tcPr>
            <w:tcW w:w="484" w:type="pct"/>
          </w:tcPr>
          <w:p w14:paraId="5008F43F">
            <w:pPr>
              <w:jc w:val="center"/>
              <w:rPr>
                <w:rFonts w:hint="eastAsia" w:ascii="宋体" w:hAnsi="宋体" w:cs="宋体"/>
                <w:sz w:val="28"/>
                <w:szCs w:val="28"/>
                <w:highlight w:val="none"/>
              </w:rPr>
            </w:pPr>
          </w:p>
        </w:tc>
        <w:tc>
          <w:tcPr>
            <w:tcW w:w="467" w:type="pct"/>
          </w:tcPr>
          <w:p w14:paraId="028EE211">
            <w:pPr>
              <w:jc w:val="center"/>
              <w:rPr>
                <w:rFonts w:hint="eastAsia" w:ascii="宋体" w:hAnsi="宋体" w:cs="宋体"/>
                <w:sz w:val="28"/>
                <w:szCs w:val="28"/>
                <w:highlight w:val="none"/>
              </w:rPr>
            </w:pPr>
          </w:p>
        </w:tc>
        <w:tc>
          <w:tcPr>
            <w:tcW w:w="557" w:type="pct"/>
          </w:tcPr>
          <w:p w14:paraId="3E835D19">
            <w:pPr>
              <w:jc w:val="center"/>
              <w:rPr>
                <w:rFonts w:hint="eastAsia" w:ascii="宋体" w:hAnsi="宋体" w:cs="宋体"/>
                <w:sz w:val="28"/>
                <w:szCs w:val="28"/>
                <w:highlight w:val="none"/>
              </w:rPr>
            </w:pPr>
          </w:p>
        </w:tc>
        <w:tc>
          <w:tcPr>
            <w:tcW w:w="491" w:type="pct"/>
          </w:tcPr>
          <w:p w14:paraId="50976764">
            <w:pPr>
              <w:jc w:val="center"/>
              <w:rPr>
                <w:rFonts w:hint="eastAsia" w:ascii="宋体" w:hAnsi="宋体" w:cs="宋体"/>
                <w:sz w:val="28"/>
                <w:szCs w:val="28"/>
                <w:highlight w:val="none"/>
              </w:rPr>
            </w:pPr>
          </w:p>
        </w:tc>
      </w:tr>
      <w:tr w14:paraId="56CB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0096557E">
            <w:pPr>
              <w:jc w:val="center"/>
              <w:rPr>
                <w:rFonts w:hint="eastAsia" w:ascii="宋体" w:hAnsi="宋体" w:cs="宋体"/>
                <w:sz w:val="28"/>
                <w:szCs w:val="28"/>
                <w:highlight w:val="none"/>
              </w:rPr>
            </w:pPr>
          </w:p>
        </w:tc>
        <w:tc>
          <w:tcPr>
            <w:tcW w:w="696" w:type="pct"/>
          </w:tcPr>
          <w:p w14:paraId="225A6072">
            <w:pPr>
              <w:jc w:val="center"/>
              <w:rPr>
                <w:rFonts w:hint="eastAsia" w:ascii="宋体" w:hAnsi="宋体" w:cs="宋体"/>
                <w:sz w:val="28"/>
                <w:szCs w:val="28"/>
                <w:highlight w:val="none"/>
              </w:rPr>
            </w:pPr>
          </w:p>
        </w:tc>
        <w:tc>
          <w:tcPr>
            <w:tcW w:w="487" w:type="pct"/>
          </w:tcPr>
          <w:p w14:paraId="0032CC90">
            <w:pPr>
              <w:jc w:val="center"/>
              <w:rPr>
                <w:rFonts w:hint="eastAsia" w:ascii="宋体" w:hAnsi="宋体" w:cs="宋体"/>
                <w:sz w:val="28"/>
                <w:szCs w:val="28"/>
                <w:highlight w:val="none"/>
              </w:rPr>
            </w:pPr>
          </w:p>
        </w:tc>
        <w:tc>
          <w:tcPr>
            <w:tcW w:w="417" w:type="pct"/>
          </w:tcPr>
          <w:p w14:paraId="37DE5271">
            <w:pPr>
              <w:jc w:val="center"/>
              <w:rPr>
                <w:rFonts w:hint="eastAsia" w:ascii="宋体" w:hAnsi="宋体" w:cs="宋体"/>
                <w:sz w:val="28"/>
                <w:szCs w:val="28"/>
                <w:highlight w:val="none"/>
              </w:rPr>
            </w:pPr>
          </w:p>
        </w:tc>
        <w:tc>
          <w:tcPr>
            <w:tcW w:w="537" w:type="pct"/>
          </w:tcPr>
          <w:p w14:paraId="670D9BFE">
            <w:pPr>
              <w:jc w:val="center"/>
              <w:rPr>
                <w:rFonts w:hint="eastAsia" w:ascii="宋体" w:hAnsi="宋体" w:cs="宋体"/>
                <w:sz w:val="28"/>
                <w:szCs w:val="28"/>
                <w:highlight w:val="none"/>
              </w:rPr>
            </w:pPr>
          </w:p>
        </w:tc>
        <w:tc>
          <w:tcPr>
            <w:tcW w:w="460" w:type="pct"/>
          </w:tcPr>
          <w:p w14:paraId="10265524">
            <w:pPr>
              <w:jc w:val="center"/>
              <w:rPr>
                <w:rFonts w:hint="eastAsia" w:ascii="宋体" w:hAnsi="宋体" w:cs="宋体"/>
                <w:sz w:val="28"/>
                <w:szCs w:val="28"/>
                <w:highlight w:val="none"/>
              </w:rPr>
            </w:pPr>
          </w:p>
        </w:tc>
        <w:tc>
          <w:tcPr>
            <w:tcW w:w="484" w:type="pct"/>
          </w:tcPr>
          <w:p w14:paraId="299CEED7">
            <w:pPr>
              <w:jc w:val="center"/>
              <w:rPr>
                <w:rFonts w:hint="eastAsia" w:ascii="宋体" w:hAnsi="宋体" w:cs="宋体"/>
                <w:sz w:val="28"/>
                <w:szCs w:val="28"/>
                <w:highlight w:val="none"/>
              </w:rPr>
            </w:pPr>
          </w:p>
        </w:tc>
        <w:tc>
          <w:tcPr>
            <w:tcW w:w="467" w:type="pct"/>
          </w:tcPr>
          <w:p w14:paraId="048380C1">
            <w:pPr>
              <w:jc w:val="center"/>
              <w:rPr>
                <w:rFonts w:hint="eastAsia" w:ascii="宋体" w:hAnsi="宋体" w:cs="宋体"/>
                <w:sz w:val="28"/>
                <w:szCs w:val="28"/>
                <w:highlight w:val="none"/>
              </w:rPr>
            </w:pPr>
          </w:p>
        </w:tc>
        <w:tc>
          <w:tcPr>
            <w:tcW w:w="557" w:type="pct"/>
          </w:tcPr>
          <w:p w14:paraId="43EF2D00">
            <w:pPr>
              <w:jc w:val="center"/>
              <w:rPr>
                <w:rFonts w:hint="eastAsia" w:ascii="宋体" w:hAnsi="宋体" w:cs="宋体"/>
                <w:sz w:val="28"/>
                <w:szCs w:val="28"/>
                <w:highlight w:val="none"/>
              </w:rPr>
            </w:pPr>
          </w:p>
        </w:tc>
        <w:tc>
          <w:tcPr>
            <w:tcW w:w="491" w:type="pct"/>
          </w:tcPr>
          <w:p w14:paraId="499E3E61">
            <w:pPr>
              <w:jc w:val="center"/>
              <w:rPr>
                <w:rFonts w:hint="eastAsia" w:ascii="宋体" w:hAnsi="宋体" w:cs="宋体"/>
                <w:sz w:val="28"/>
                <w:szCs w:val="28"/>
                <w:highlight w:val="none"/>
              </w:rPr>
            </w:pPr>
          </w:p>
        </w:tc>
      </w:tr>
      <w:tr w14:paraId="5821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6657E5D8">
            <w:pPr>
              <w:jc w:val="center"/>
              <w:rPr>
                <w:rFonts w:hint="eastAsia" w:ascii="宋体" w:hAnsi="宋体" w:cs="宋体"/>
                <w:sz w:val="28"/>
                <w:szCs w:val="28"/>
                <w:highlight w:val="none"/>
              </w:rPr>
            </w:pPr>
          </w:p>
        </w:tc>
        <w:tc>
          <w:tcPr>
            <w:tcW w:w="696" w:type="pct"/>
          </w:tcPr>
          <w:p w14:paraId="55197106">
            <w:pPr>
              <w:jc w:val="center"/>
              <w:rPr>
                <w:rFonts w:hint="eastAsia" w:ascii="宋体" w:hAnsi="宋体" w:cs="宋体"/>
                <w:sz w:val="28"/>
                <w:szCs w:val="28"/>
                <w:highlight w:val="none"/>
              </w:rPr>
            </w:pPr>
          </w:p>
        </w:tc>
        <w:tc>
          <w:tcPr>
            <w:tcW w:w="487" w:type="pct"/>
          </w:tcPr>
          <w:p w14:paraId="4C11E00D">
            <w:pPr>
              <w:jc w:val="center"/>
              <w:rPr>
                <w:rFonts w:hint="eastAsia" w:ascii="宋体" w:hAnsi="宋体" w:cs="宋体"/>
                <w:sz w:val="28"/>
                <w:szCs w:val="28"/>
                <w:highlight w:val="none"/>
              </w:rPr>
            </w:pPr>
          </w:p>
        </w:tc>
        <w:tc>
          <w:tcPr>
            <w:tcW w:w="417" w:type="pct"/>
          </w:tcPr>
          <w:p w14:paraId="64CD29A3">
            <w:pPr>
              <w:jc w:val="center"/>
              <w:rPr>
                <w:rFonts w:hint="eastAsia" w:ascii="宋体" w:hAnsi="宋体" w:cs="宋体"/>
                <w:sz w:val="28"/>
                <w:szCs w:val="28"/>
                <w:highlight w:val="none"/>
              </w:rPr>
            </w:pPr>
          </w:p>
        </w:tc>
        <w:tc>
          <w:tcPr>
            <w:tcW w:w="537" w:type="pct"/>
          </w:tcPr>
          <w:p w14:paraId="2DC34708">
            <w:pPr>
              <w:jc w:val="center"/>
              <w:rPr>
                <w:rFonts w:hint="eastAsia" w:ascii="宋体" w:hAnsi="宋体" w:cs="宋体"/>
                <w:sz w:val="28"/>
                <w:szCs w:val="28"/>
                <w:highlight w:val="none"/>
              </w:rPr>
            </w:pPr>
          </w:p>
        </w:tc>
        <w:tc>
          <w:tcPr>
            <w:tcW w:w="460" w:type="pct"/>
          </w:tcPr>
          <w:p w14:paraId="3788B834">
            <w:pPr>
              <w:jc w:val="center"/>
              <w:rPr>
                <w:rFonts w:hint="eastAsia" w:ascii="宋体" w:hAnsi="宋体" w:cs="宋体"/>
                <w:sz w:val="28"/>
                <w:szCs w:val="28"/>
                <w:highlight w:val="none"/>
              </w:rPr>
            </w:pPr>
          </w:p>
        </w:tc>
        <w:tc>
          <w:tcPr>
            <w:tcW w:w="484" w:type="pct"/>
          </w:tcPr>
          <w:p w14:paraId="130F6282">
            <w:pPr>
              <w:jc w:val="center"/>
              <w:rPr>
                <w:rFonts w:hint="eastAsia" w:ascii="宋体" w:hAnsi="宋体" w:cs="宋体"/>
                <w:sz w:val="28"/>
                <w:szCs w:val="28"/>
                <w:highlight w:val="none"/>
              </w:rPr>
            </w:pPr>
          </w:p>
        </w:tc>
        <w:tc>
          <w:tcPr>
            <w:tcW w:w="467" w:type="pct"/>
          </w:tcPr>
          <w:p w14:paraId="5042D0DE">
            <w:pPr>
              <w:jc w:val="center"/>
              <w:rPr>
                <w:rFonts w:hint="eastAsia" w:ascii="宋体" w:hAnsi="宋体" w:cs="宋体"/>
                <w:sz w:val="28"/>
                <w:szCs w:val="28"/>
                <w:highlight w:val="none"/>
              </w:rPr>
            </w:pPr>
          </w:p>
        </w:tc>
        <w:tc>
          <w:tcPr>
            <w:tcW w:w="557" w:type="pct"/>
          </w:tcPr>
          <w:p w14:paraId="2E53C4F8">
            <w:pPr>
              <w:jc w:val="center"/>
              <w:rPr>
                <w:rFonts w:hint="eastAsia" w:ascii="宋体" w:hAnsi="宋体" w:cs="宋体"/>
                <w:sz w:val="28"/>
                <w:szCs w:val="28"/>
                <w:highlight w:val="none"/>
              </w:rPr>
            </w:pPr>
          </w:p>
        </w:tc>
        <w:tc>
          <w:tcPr>
            <w:tcW w:w="491" w:type="pct"/>
          </w:tcPr>
          <w:p w14:paraId="5EB81C48">
            <w:pPr>
              <w:jc w:val="center"/>
              <w:rPr>
                <w:rFonts w:hint="eastAsia" w:ascii="宋体" w:hAnsi="宋体" w:cs="宋体"/>
                <w:sz w:val="28"/>
                <w:szCs w:val="28"/>
                <w:highlight w:val="none"/>
              </w:rPr>
            </w:pPr>
          </w:p>
        </w:tc>
      </w:tr>
      <w:tr w14:paraId="54A7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289648E0">
            <w:pPr>
              <w:jc w:val="center"/>
              <w:rPr>
                <w:rFonts w:hint="eastAsia" w:ascii="宋体" w:hAnsi="宋体" w:cs="宋体"/>
                <w:sz w:val="28"/>
                <w:szCs w:val="28"/>
                <w:highlight w:val="none"/>
              </w:rPr>
            </w:pPr>
          </w:p>
        </w:tc>
        <w:tc>
          <w:tcPr>
            <w:tcW w:w="696" w:type="pct"/>
          </w:tcPr>
          <w:p w14:paraId="28767073">
            <w:pPr>
              <w:jc w:val="center"/>
              <w:rPr>
                <w:rFonts w:hint="eastAsia" w:ascii="宋体" w:hAnsi="宋体" w:cs="宋体"/>
                <w:sz w:val="28"/>
                <w:szCs w:val="28"/>
                <w:highlight w:val="none"/>
              </w:rPr>
            </w:pPr>
          </w:p>
        </w:tc>
        <w:tc>
          <w:tcPr>
            <w:tcW w:w="487" w:type="pct"/>
          </w:tcPr>
          <w:p w14:paraId="62C4B2A8">
            <w:pPr>
              <w:jc w:val="center"/>
              <w:rPr>
                <w:rFonts w:hint="eastAsia" w:ascii="宋体" w:hAnsi="宋体" w:cs="宋体"/>
                <w:sz w:val="28"/>
                <w:szCs w:val="28"/>
                <w:highlight w:val="none"/>
              </w:rPr>
            </w:pPr>
          </w:p>
        </w:tc>
        <w:tc>
          <w:tcPr>
            <w:tcW w:w="417" w:type="pct"/>
          </w:tcPr>
          <w:p w14:paraId="2F06D0CB">
            <w:pPr>
              <w:jc w:val="center"/>
              <w:rPr>
                <w:rFonts w:hint="eastAsia" w:ascii="宋体" w:hAnsi="宋体" w:cs="宋体"/>
                <w:sz w:val="28"/>
                <w:szCs w:val="28"/>
                <w:highlight w:val="none"/>
              </w:rPr>
            </w:pPr>
          </w:p>
        </w:tc>
        <w:tc>
          <w:tcPr>
            <w:tcW w:w="537" w:type="pct"/>
          </w:tcPr>
          <w:p w14:paraId="3384B598">
            <w:pPr>
              <w:jc w:val="center"/>
              <w:rPr>
                <w:rFonts w:hint="eastAsia" w:ascii="宋体" w:hAnsi="宋体" w:cs="宋体"/>
                <w:sz w:val="28"/>
                <w:szCs w:val="28"/>
                <w:highlight w:val="none"/>
              </w:rPr>
            </w:pPr>
          </w:p>
        </w:tc>
        <w:tc>
          <w:tcPr>
            <w:tcW w:w="460" w:type="pct"/>
          </w:tcPr>
          <w:p w14:paraId="05374464">
            <w:pPr>
              <w:jc w:val="center"/>
              <w:rPr>
                <w:rFonts w:hint="eastAsia" w:ascii="宋体" w:hAnsi="宋体" w:cs="宋体"/>
                <w:sz w:val="28"/>
                <w:szCs w:val="28"/>
                <w:highlight w:val="none"/>
              </w:rPr>
            </w:pPr>
          </w:p>
        </w:tc>
        <w:tc>
          <w:tcPr>
            <w:tcW w:w="484" w:type="pct"/>
          </w:tcPr>
          <w:p w14:paraId="34475E56">
            <w:pPr>
              <w:jc w:val="center"/>
              <w:rPr>
                <w:rFonts w:hint="eastAsia" w:ascii="宋体" w:hAnsi="宋体" w:cs="宋体"/>
                <w:sz w:val="28"/>
                <w:szCs w:val="28"/>
                <w:highlight w:val="none"/>
              </w:rPr>
            </w:pPr>
          </w:p>
        </w:tc>
        <w:tc>
          <w:tcPr>
            <w:tcW w:w="467" w:type="pct"/>
          </w:tcPr>
          <w:p w14:paraId="30FAD0F3">
            <w:pPr>
              <w:jc w:val="center"/>
              <w:rPr>
                <w:rFonts w:hint="eastAsia" w:ascii="宋体" w:hAnsi="宋体" w:cs="宋体"/>
                <w:sz w:val="28"/>
                <w:szCs w:val="28"/>
                <w:highlight w:val="none"/>
              </w:rPr>
            </w:pPr>
          </w:p>
        </w:tc>
        <w:tc>
          <w:tcPr>
            <w:tcW w:w="557" w:type="pct"/>
          </w:tcPr>
          <w:p w14:paraId="212ECD9A">
            <w:pPr>
              <w:jc w:val="center"/>
              <w:rPr>
                <w:rFonts w:hint="eastAsia" w:ascii="宋体" w:hAnsi="宋体" w:cs="宋体"/>
                <w:sz w:val="28"/>
                <w:szCs w:val="28"/>
                <w:highlight w:val="none"/>
              </w:rPr>
            </w:pPr>
          </w:p>
        </w:tc>
        <w:tc>
          <w:tcPr>
            <w:tcW w:w="491" w:type="pct"/>
          </w:tcPr>
          <w:p w14:paraId="1B923FD3">
            <w:pPr>
              <w:jc w:val="center"/>
              <w:rPr>
                <w:rFonts w:hint="eastAsia" w:ascii="宋体" w:hAnsi="宋体" w:cs="宋体"/>
                <w:sz w:val="28"/>
                <w:szCs w:val="28"/>
                <w:highlight w:val="none"/>
              </w:rPr>
            </w:pPr>
          </w:p>
        </w:tc>
      </w:tr>
      <w:tr w14:paraId="503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2F998E8C">
            <w:pPr>
              <w:jc w:val="center"/>
              <w:rPr>
                <w:rFonts w:hint="eastAsia" w:ascii="宋体" w:hAnsi="宋体" w:cs="宋体"/>
                <w:sz w:val="28"/>
                <w:szCs w:val="28"/>
                <w:highlight w:val="none"/>
              </w:rPr>
            </w:pPr>
          </w:p>
        </w:tc>
        <w:tc>
          <w:tcPr>
            <w:tcW w:w="696" w:type="pct"/>
          </w:tcPr>
          <w:p w14:paraId="30FE5C17">
            <w:pPr>
              <w:jc w:val="center"/>
              <w:rPr>
                <w:rFonts w:hint="eastAsia" w:ascii="宋体" w:hAnsi="宋体" w:cs="宋体"/>
                <w:sz w:val="28"/>
                <w:szCs w:val="28"/>
                <w:highlight w:val="none"/>
              </w:rPr>
            </w:pPr>
          </w:p>
        </w:tc>
        <w:tc>
          <w:tcPr>
            <w:tcW w:w="487" w:type="pct"/>
          </w:tcPr>
          <w:p w14:paraId="291F9FEB">
            <w:pPr>
              <w:jc w:val="center"/>
              <w:rPr>
                <w:rFonts w:hint="eastAsia" w:ascii="宋体" w:hAnsi="宋体" w:cs="宋体"/>
                <w:sz w:val="28"/>
                <w:szCs w:val="28"/>
                <w:highlight w:val="none"/>
              </w:rPr>
            </w:pPr>
          </w:p>
        </w:tc>
        <w:tc>
          <w:tcPr>
            <w:tcW w:w="417" w:type="pct"/>
          </w:tcPr>
          <w:p w14:paraId="3D46D1BD">
            <w:pPr>
              <w:jc w:val="center"/>
              <w:rPr>
                <w:rFonts w:hint="eastAsia" w:ascii="宋体" w:hAnsi="宋体" w:cs="宋体"/>
                <w:sz w:val="28"/>
                <w:szCs w:val="28"/>
                <w:highlight w:val="none"/>
              </w:rPr>
            </w:pPr>
          </w:p>
        </w:tc>
        <w:tc>
          <w:tcPr>
            <w:tcW w:w="537" w:type="pct"/>
          </w:tcPr>
          <w:p w14:paraId="60E9118E">
            <w:pPr>
              <w:jc w:val="center"/>
              <w:rPr>
                <w:rFonts w:hint="eastAsia" w:ascii="宋体" w:hAnsi="宋体" w:cs="宋体"/>
                <w:sz w:val="28"/>
                <w:szCs w:val="28"/>
                <w:highlight w:val="none"/>
              </w:rPr>
            </w:pPr>
          </w:p>
        </w:tc>
        <w:tc>
          <w:tcPr>
            <w:tcW w:w="460" w:type="pct"/>
          </w:tcPr>
          <w:p w14:paraId="685362E1">
            <w:pPr>
              <w:jc w:val="center"/>
              <w:rPr>
                <w:rFonts w:hint="eastAsia" w:ascii="宋体" w:hAnsi="宋体" w:cs="宋体"/>
                <w:sz w:val="28"/>
                <w:szCs w:val="28"/>
                <w:highlight w:val="none"/>
              </w:rPr>
            </w:pPr>
          </w:p>
        </w:tc>
        <w:tc>
          <w:tcPr>
            <w:tcW w:w="484" w:type="pct"/>
          </w:tcPr>
          <w:p w14:paraId="620539F6">
            <w:pPr>
              <w:jc w:val="center"/>
              <w:rPr>
                <w:rFonts w:hint="eastAsia" w:ascii="宋体" w:hAnsi="宋体" w:cs="宋体"/>
                <w:sz w:val="28"/>
                <w:szCs w:val="28"/>
                <w:highlight w:val="none"/>
              </w:rPr>
            </w:pPr>
          </w:p>
        </w:tc>
        <w:tc>
          <w:tcPr>
            <w:tcW w:w="467" w:type="pct"/>
          </w:tcPr>
          <w:p w14:paraId="7D8D859A">
            <w:pPr>
              <w:jc w:val="center"/>
              <w:rPr>
                <w:rFonts w:hint="eastAsia" w:ascii="宋体" w:hAnsi="宋体" w:cs="宋体"/>
                <w:sz w:val="28"/>
                <w:szCs w:val="28"/>
                <w:highlight w:val="none"/>
              </w:rPr>
            </w:pPr>
          </w:p>
        </w:tc>
        <w:tc>
          <w:tcPr>
            <w:tcW w:w="557" w:type="pct"/>
          </w:tcPr>
          <w:p w14:paraId="394B7316">
            <w:pPr>
              <w:jc w:val="center"/>
              <w:rPr>
                <w:rFonts w:hint="eastAsia" w:ascii="宋体" w:hAnsi="宋体" w:cs="宋体"/>
                <w:sz w:val="28"/>
                <w:szCs w:val="28"/>
                <w:highlight w:val="none"/>
              </w:rPr>
            </w:pPr>
          </w:p>
        </w:tc>
        <w:tc>
          <w:tcPr>
            <w:tcW w:w="491" w:type="pct"/>
          </w:tcPr>
          <w:p w14:paraId="1E8ADC80">
            <w:pPr>
              <w:jc w:val="center"/>
              <w:rPr>
                <w:rFonts w:hint="eastAsia" w:ascii="宋体" w:hAnsi="宋体" w:cs="宋体"/>
                <w:sz w:val="28"/>
                <w:szCs w:val="28"/>
                <w:highlight w:val="none"/>
              </w:rPr>
            </w:pPr>
          </w:p>
        </w:tc>
      </w:tr>
      <w:tr w14:paraId="5649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55B694F2">
            <w:pPr>
              <w:jc w:val="center"/>
              <w:rPr>
                <w:rFonts w:hint="eastAsia" w:ascii="宋体" w:hAnsi="宋体" w:cs="宋体"/>
                <w:sz w:val="28"/>
                <w:szCs w:val="28"/>
                <w:highlight w:val="none"/>
              </w:rPr>
            </w:pPr>
          </w:p>
        </w:tc>
        <w:tc>
          <w:tcPr>
            <w:tcW w:w="696" w:type="pct"/>
          </w:tcPr>
          <w:p w14:paraId="587CF78E">
            <w:pPr>
              <w:jc w:val="center"/>
              <w:rPr>
                <w:rFonts w:hint="eastAsia" w:ascii="宋体" w:hAnsi="宋体" w:cs="宋体"/>
                <w:sz w:val="28"/>
                <w:szCs w:val="28"/>
                <w:highlight w:val="none"/>
              </w:rPr>
            </w:pPr>
          </w:p>
        </w:tc>
        <w:tc>
          <w:tcPr>
            <w:tcW w:w="487" w:type="pct"/>
          </w:tcPr>
          <w:p w14:paraId="4D31F527">
            <w:pPr>
              <w:jc w:val="center"/>
              <w:rPr>
                <w:rFonts w:hint="eastAsia" w:ascii="宋体" w:hAnsi="宋体" w:cs="宋体"/>
                <w:sz w:val="28"/>
                <w:szCs w:val="28"/>
                <w:highlight w:val="none"/>
              </w:rPr>
            </w:pPr>
          </w:p>
        </w:tc>
        <w:tc>
          <w:tcPr>
            <w:tcW w:w="417" w:type="pct"/>
          </w:tcPr>
          <w:p w14:paraId="1096A898">
            <w:pPr>
              <w:jc w:val="center"/>
              <w:rPr>
                <w:rFonts w:hint="eastAsia" w:ascii="宋体" w:hAnsi="宋体" w:cs="宋体"/>
                <w:sz w:val="28"/>
                <w:szCs w:val="28"/>
                <w:highlight w:val="none"/>
              </w:rPr>
            </w:pPr>
          </w:p>
        </w:tc>
        <w:tc>
          <w:tcPr>
            <w:tcW w:w="537" w:type="pct"/>
          </w:tcPr>
          <w:p w14:paraId="7ECE975F">
            <w:pPr>
              <w:jc w:val="center"/>
              <w:rPr>
                <w:rFonts w:hint="eastAsia" w:ascii="宋体" w:hAnsi="宋体" w:cs="宋体"/>
                <w:sz w:val="28"/>
                <w:szCs w:val="28"/>
                <w:highlight w:val="none"/>
              </w:rPr>
            </w:pPr>
          </w:p>
        </w:tc>
        <w:tc>
          <w:tcPr>
            <w:tcW w:w="460" w:type="pct"/>
          </w:tcPr>
          <w:p w14:paraId="569214A4">
            <w:pPr>
              <w:jc w:val="center"/>
              <w:rPr>
                <w:rFonts w:hint="eastAsia" w:ascii="宋体" w:hAnsi="宋体" w:cs="宋体"/>
                <w:sz w:val="28"/>
                <w:szCs w:val="28"/>
                <w:highlight w:val="none"/>
              </w:rPr>
            </w:pPr>
          </w:p>
        </w:tc>
        <w:tc>
          <w:tcPr>
            <w:tcW w:w="484" w:type="pct"/>
          </w:tcPr>
          <w:p w14:paraId="3D2EBE9B">
            <w:pPr>
              <w:jc w:val="center"/>
              <w:rPr>
                <w:rFonts w:hint="eastAsia" w:ascii="宋体" w:hAnsi="宋体" w:cs="宋体"/>
                <w:sz w:val="28"/>
                <w:szCs w:val="28"/>
                <w:highlight w:val="none"/>
              </w:rPr>
            </w:pPr>
          </w:p>
        </w:tc>
        <w:tc>
          <w:tcPr>
            <w:tcW w:w="467" w:type="pct"/>
          </w:tcPr>
          <w:p w14:paraId="455310C8">
            <w:pPr>
              <w:jc w:val="center"/>
              <w:rPr>
                <w:rFonts w:hint="eastAsia" w:ascii="宋体" w:hAnsi="宋体" w:cs="宋体"/>
                <w:sz w:val="28"/>
                <w:szCs w:val="28"/>
                <w:highlight w:val="none"/>
              </w:rPr>
            </w:pPr>
          </w:p>
        </w:tc>
        <w:tc>
          <w:tcPr>
            <w:tcW w:w="557" w:type="pct"/>
          </w:tcPr>
          <w:p w14:paraId="1EB7A5A5">
            <w:pPr>
              <w:jc w:val="center"/>
              <w:rPr>
                <w:rFonts w:hint="eastAsia" w:ascii="宋体" w:hAnsi="宋体" w:cs="宋体"/>
                <w:sz w:val="28"/>
                <w:szCs w:val="28"/>
                <w:highlight w:val="none"/>
              </w:rPr>
            </w:pPr>
          </w:p>
        </w:tc>
        <w:tc>
          <w:tcPr>
            <w:tcW w:w="491" w:type="pct"/>
          </w:tcPr>
          <w:p w14:paraId="065A6E61">
            <w:pPr>
              <w:jc w:val="center"/>
              <w:rPr>
                <w:rFonts w:hint="eastAsia" w:ascii="宋体" w:hAnsi="宋体" w:cs="宋体"/>
                <w:sz w:val="28"/>
                <w:szCs w:val="28"/>
                <w:highlight w:val="none"/>
              </w:rPr>
            </w:pPr>
          </w:p>
        </w:tc>
      </w:tr>
      <w:tr w14:paraId="0AB7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53E8C899">
            <w:pPr>
              <w:jc w:val="center"/>
              <w:rPr>
                <w:rFonts w:hint="eastAsia" w:ascii="宋体" w:hAnsi="宋体" w:cs="宋体"/>
                <w:sz w:val="28"/>
                <w:szCs w:val="28"/>
                <w:highlight w:val="none"/>
              </w:rPr>
            </w:pPr>
          </w:p>
        </w:tc>
        <w:tc>
          <w:tcPr>
            <w:tcW w:w="696" w:type="pct"/>
          </w:tcPr>
          <w:p w14:paraId="246466E2">
            <w:pPr>
              <w:jc w:val="center"/>
              <w:rPr>
                <w:rFonts w:hint="eastAsia" w:ascii="宋体" w:hAnsi="宋体" w:cs="宋体"/>
                <w:sz w:val="28"/>
                <w:szCs w:val="28"/>
                <w:highlight w:val="none"/>
              </w:rPr>
            </w:pPr>
          </w:p>
        </w:tc>
        <w:tc>
          <w:tcPr>
            <w:tcW w:w="487" w:type="pct"/>
          </w:tcPr>
          <w:p w14:paraId="3ACBA2A6">
            <w:pPr>
              <w:jc w:val="center"/>
              <w:rPr>
                <w:rFonts w:hint="eastAsia" w:ascii="宋体" w:hAnsi="宋体" w:cs="宋体"/>
                <w:sz w:val="28"/>
                <w:szCs w:val="28"/>
                <w:highlight w:val="none"/>
              </w:rPr>
            </w:pPr>
          </w:p>
        </w:tc>
        <w:tc>
          <w:tcPr>
            <w:tcW w:w="417" w:type="pct"/>
          </w:tcPr>
          <w:p w14:paraId="312B9D23">
            <w:pPr>
              <w:jc w:val="center"/>
              <w:rPr>
                <w:rFonts w:hint="eastAsia" w:ascii="宋体" w:hAnsi="宋体" w:cs="宋体"/>
                <w:sz w:val="28"/>
                <w:szCs w:val="28"/>
                <w:highlight w:val="none"/>
              </w:rPr>
            </w:pPr>
          </w:p>
        </w:tc>
        <w:tc>
          <w:tcPr>
            <w:tcW w:w="537" w:type="pct"/>
          </w:tcPr>
          <w:p w14:paraId="71381197">
            <w:pPr>
              <w:jc w:val="center"/>
              <w:rPr>
                <w:rFonts w:hint="eastAsia" w:ascii="宋体" w:hAnsi="宋体" w:cs="宋体"/>
                <w:sz w:val="28"/>
                <w:szCs w:val="28"/>
                <w:highlight w:val="none"/>
              </w:rPr>
            </w:pPr>
          </w:p>
        </w:tc>
        <w:tc>
          <w:tcPr>
            <w:tcW w:w="460" w:type="pct"/>
          </w:tcPr>
          <w:p w14:paraId="0F07D1CF">
            <w:pPr>
              <w:jc w:val="center"/>
              <w:rPr>
                <w:rFonts w:hint="eastAsia" w:ascii="宋体" w:hAnsi="宋体" w:cs="宋体"/>
                <w:sz w:val="28"/>
                <w:szCs w:val="28"/>
                <w:highlight w:val="none"/>
              </w:rPr>
            </w:pPr>
          </w:p>
        </w:tc>
        <w:tc>
          <w:tcPr>
            <w:tcW w:w="484" w:type="pct"/>
          </w:tcPr>
          <w:p w14:paraId="3A08A0BB">
            <w:pPr>
              <w:jc w:val="center"/>
              <w:rPr>
                <w:rFonts w:hint="eastAsia" w:ascii="宋体" w:hAnsi="宋体" w:cs="宋体"/>
                <w:sz w:val="28"/>
                <w:szCs w:val="28"/>
                <w:highlight w:val="none"/>
              </w:rPr>
            </w:pPr>
          </w:p>
        </w:tc>
        <w:tc>
          <w:tcPr>
            <w:tcW w:w="467" w:type="pct"/>
          </w:tcPr>
          <w:p w14:paraId="780AF80D">
            <w:pPr>
              <w:jc w:val="center"/>
              <w:rPr>
                <w:rFonts w:hint="eastAsia" w:ascii="宋体" w:hAnsi="宋体" w:cs="宋体"/>
                <w:sz w:val="28"/>
                <w:szCs w:val="28"/>
                <w:highlight w:val="none"/>
              </w:rPr>
            </w:pPr>
          </w:p>
        </w:tc>
        <w:tc>
          <w:tcPr>
            <w:tcW w:w="557" w:type="pct"/>
          </w:tcPr>
          <w:p w14:paraId="57DB0DEC">
            <w:pPr>
              <w:jc w:val="center"/>
              <w:rPr>
                <w:rFonts w:hint="eastAsia" w:ascii="宋体" w:hAnsi="宋体" w:cs="宋体"/>
                <w:sz w:val="28"/>
                <w:szCs w:val="28"/>
                <w:highlight w:val="none"/>
              </w:rPr>
            </w:pPr>
          </w:p>
        </w:tc>
        <w:tc>
          <w:tcPr>
            <w:tcW w:w="491" w:type="pct"/>
          </w:tcPr>
          <w:p w14:paraId="09B1F2AD">
            <w:pPr>
              <w:jc w:val="center"/>
              <w:rPr>
                <w:rFonts w:hint="eastAsia" w:ascii="宋体" w:hAnsi="宋体" w:cs="宋体"/>
                <w:sz w:val="28"/>
                <w:szCs w:val="28"/>
                <w:highlight w:val="none"/>
              </w:rPr>
            </w:pPr>
          </w:p>
        </w:tc>
      </w:tr>
      <w:tr w14:paraId="543E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3D878C3B">
            <w:pPr>
              <w:jc w:val="center"/>
              <w:rPr>
                <w:rFonts w:hint="eastAsia" w:ascii="宋体" w:hAnsi="宋体" w:cs="宋体"/>
                <w:sz w:val="28"/>
                <w:szCs w:val="28"/>
                <w:highlight w:val="none"/>
              </w:rPr>
            </w:pPr>
          </w:p>
        </w:tc>
        <w:tc>
          <w:tcPr>
            <w:tcW w:w="696" w:type="pct"/>
          </w:tcPr>
          <w:p w14:paraId="141B8C27">
            <w:pPr>
              <w:jc w:val="center"/>
              <w:rPr>
                <w:rFonts w:hint="eastAsia" w:ascii="宋体" w:hAnsi="宋体" w:cs="宋体"/>
                <w:sz w:val="28"/>
                <w:szCs w:val="28"/>
                <w:highlight w:val="none"/>
              </w:rPr>
            </w:pPr>
          </w:p>
        </w:tc>
        <w:tc>
          <w:tcPr>
            <w:tcW w:w="487" w:type="pct"/>
          </w:tcPr>
          <w:p w14:paraId="7FDC6A0A">
            <w:pPr>
              <w:jc w:val="center"/>
              <w:rPr>
                <w:rFonts w:hint="eastAsia" w:ascii="宋体" w:hAnsi="宋体" w:cs="宋体"/>
                <w:sz w:val="28"/>
                <w:szCs w:val="28"/>
                <w:highlight w:val="none"/>
              </w:rPr>
            </w:pPr>
          </w:p>
        </w:tc>
        <w:tc>
          <w:tcPr>
            <w:tcW w:w="417" w:type="pct"/>
          </w:tcPr>
          <w:p w14:paraId="45DCF27A">
            <w:pPr>
              <w:jc w:val="center"/>
              <w:rPr>
                <w:rFonts w:hint="eastAsia" w:ascii="宋体" w:hAnsi="宋体" w:cs="宋体"/>
                <w:sz w:val="28"/>
                <w:szCs w:val="28"/>
                <w:highlight w:val="none"/>
              </w:rPr>
            </w:pPr>
          </w:p>
        </w:tc>
        <w:tc>
          <w:tcPr>
            <w:tcW w:w="537" w:type="pct"/>
          </w:tcPr>
          <w:p w14:paraId="484EFB13">
            <w:pPr>
              <w:jc w:val="center"/>
              <w:rPr>
                <w:rFonts w:hint="eastAsia" w:ascii="宋体" w:hAnsi="宋体" w:cs="宋体"/>
                <w:sz w:val="28"/>
                <w:szCs w:val="28"/>
                <w:highlight w:val="none"/>
              </w:rPr>
            </w:pPr>
          </w:p>
        </w:tc>
        <w:tc>
          <w:tcPr>
            <w:tcW w:w="460" w:type="pct"/>
          </w:tcPr>
          <w:p w14:paraId="1902F00E">
            <w:pPr>
              <w:jc w:val="center"/>
              <w:rPr>
                <w:rFonts w:hint="eastAsia" w:ascii="宋体" w:hAnsi="宋体" w:cs="宋体"/>
                <w:sz w:val="28"/>
                <w:szCs w:val="28"/>
                <w:highlight w:val="none"/>
              </w:rPr>
            </w:pPr>
          </w:p>
        </w:tc>
        <w:tc>
          <w:tcPr>
            <w:tcW w:w="484" w:type="pct"/>
          </w:tcPr>
          <w:p w14:paraId="20C00EFF">
            <w:pPr>
              <w:jc w:val="center"/>
              <w:rPr>
                <w:rFonts w:hint="eastAsia" w:ascii="宋体" w:hAnsi="宋体" w:cs="宋体"/>
                <w:sz w:val="28"/>
                <w:szCs w:val="28"/>
                <w:highlight w:val="none"/>
              </w:rPr>
            </w:pPr>
          </w:p>
        </w:tc>
        <w:tc>
          <w:tcPr>
            <w:tcW w:w="467" w:type="pct"/>
          </w:tcPr>
          <w:p w14:paraId="030C122D">
            <w:pPr>
              <w:jc w:val="center"/>
              <w:rPr>
                <w:rFonts w:hint="eastAsia" w:ascii="宋体" w:hAnsi="宋体" w:cs="宋体"/>
                <w:sz w:val="28"/>
                <w:szCs w:val="28"/>
                <w:highlight w:val="none"/>
              </w:rPr>
            </w:pPr>
          </w:p>
        </w:tc>
        <w:tc>
          <w:tcPr>
            <w:tcW w:w="557" w:type="pct"/>
          </w:tcPr>
          <w:p w14:paraId="0121EB0B">
            <w:pPr>
              <w:jc w:val="center"/>
              <w:rPr>
                <w:rFonts w:hint="eastAsia" w:ascii="宋体" w:hAnsi="宋体" w:cs="宋体"/>
                <w:sz w:val="28"/>
                <w:szCs w:val="28"/>
                <w:highlight w:val="none"/>
              </w:rPr>
            </w:pPr>
          </w:p>
        </w:tc>
        <w:tc>
          <w:tcPr>
            <w:tcW w:w="491" w:type="pct"/>
          </w:tcPr>
          <w:p w14:paraId="0D42BC4D">
            <w:pPr>
              <w:jc w:val="center"/>
              <w:rPr>
                <w:rFonts w:hint="eastAsia" w:ascii="宋体" w:hAnsi="宋体" w:cs="宋体"/>
                <w:sz w:val="28"/>
                <w:szCs w:val="28"/>
                <w:highlight w:val="none"/>
              </w:rPr>
            </w:pPr>
          </w:p>
        </w:tc>
      </w:tr>
      <w:tr w14:paraId="097C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7C29101B">
            <w:pPr>
              <w:jc w:val="center"/>
              <w:rPr>
                <w:rFonts w:hint="eastAsia" w:ascii="宋体" w:hAnsi="宋体" w:cs="宋体"/>
                <w:sz w:val="28"/>
                <w:szCs w:val="28"/>
                <w:highlight w:val="none"/>
              </w:rPr>
            </w:pPr>
          </w:p>
        </w:tc>
        <w:tc>
          <w:tcPr>
            <w:tcW w:w="696" w:type="pct"/>
          </w:tcPr>
          <w:p w14:paraId="4E5BDFFB">
            <w:pPr>
              <w:jc w:val="center"/>
              <w:rPr>
                <w:rFonts w:hint="eastAsia" w:ascii="宋体" w:hAnsi="宋体" w:cs="宋体"/>
                <w:sz w:val="28"/>
                <w:szCs w:val="28"/>
                <w:highlight w:val="none"/>
              </w:rPr>
            </w:pPr>
          </w:p>
        </w:tc>
        <w:tc>
          <w:tcPr>
            <w:tcW w:w="487" w:type="pct"/>
          </w:tcPr>
          <w:p w14:paraId="35AC89E9">
            <w:pPr>
              <w:jc w:val="center"/>
              <w:rPr>
                <w:rFonts w:hint="eastAsia" w:ascii="宋体" w:hAnsi="宋体" w:cs="宋体"/>
                <w:sz w:val="28"/>
                <w:szCs w:val="28"/>
                <w:highlight w:val="none"/>
              </w:rPr>
            </w:pPr>
          </w:p>
        </w:tc>
        <w:tc>
          <w:tcPr>
            <w:tcW w:w="417" w:type="pct"/>
          </w:tcPr>
          <w:p w14:paraId="37336E6F">
            <w:pPr>
              <w:jc w:val="center"/>
              <w:rPr>
                <w:rFonts w:hint="eastAsia" w:ascii="宋体" w:hAnsi="宋体" w:cs="宋体"/>
                <w:sz w:val="28"/>
                <w:szCs w:val="28"/>
                <w:highlight w:val="none"/>
              </w:rPr>
            </w:pPr>
          </w:p>
        </w:tc>
        <w:tc>
          <w:tcPr>
            <w:tcW w:w="537" w:type="pct"/>
          </w:tcPr>
          <w:p w14:paraId="4B207A68">
            <w:pPr>
              <w:jc w:val="center"/>
              <w:rPr>
                <w:rFonts w:hint="eastAsia" w:ascii="宋体" w:hAnsi="宋体" w:cs="宋体"/>
                <w:sz w:val="28"/>
                <w:szCs w:val="28"/>
                <w:highlight w:val="none"/>
              </w:rPr>
            </w:pPr>
          </w:p>
        </w:tc>
        <w:tc>
          <w:tcPr>
            <w:tcW w:w="460" w:type="pct"/>
          </w:tcPr>
          <w:p w14:paraId="3804B8B4">
            <w:pPr>
              <w:jc w:val="center"/>
              <w:rPr>
                <w:rFonts w:hint="eastAsia" w:ascii="宋体" w:hAnsi="宋体" w:cs="宋体"/>
                <w:sz w:val="28"/>
                <w:szCs w:val="28"/>
                <w:highlight w:val="none"/>
              </w:rPr>
            </w:pPr>
          </w:p>
        </w:tc>
        <w:tc>
          <w:tcPr>
            <w:tcW w:w="484" w:type="pct"/>
          </w:tcPr>
          <w:p w14:paraId="282EB1D3">
            <w:pPr>
              <w:jc w:val="center"/>
              <w:rPr>
                <w:rFonts w:hint="eastAsia" w:ascii="宋体" w:hAnsi="宋体" w:cs="宋体"/>
                <w:sz w:val="28"/>
                <w:szCs w:val="28"/>
                <w:highlight w:val="none"/>
              </w:rPr>
            </w:pPr>
          </w:p>
        </w:tc>
        <w:tc>
          <w:tcPr>
            <w:tcW w:w="467" w:type="pct"/>
          </w:tcPr>
          <w:p w14:paraId="2268BCBA">
            <w:pPr>
              <w:jc w:val="center"/>
              <w:rPr>
                <w:rFonts w:hint="eastAsia" w:ascii="宋体" w:hAnsi="宋体" w:cs="宋体"/>
                <w:sz w:val="28"/>
                <w:szCs w:val="28"/>
                <w:highlight w:val="none"/>
              </w:rPr>
            </w:pPr>
          </w:p>
        </w:tc>
        <w:tc>
          <w:tcPr>
            <w:tcW w:w="557" w:type="pct"/>
          </w:tcPr>
          <w:p w14:paraId="271CF394">
            <w:pPr>
              <w:jc w:val="center"/>
              <w:rPr>
                <w:rFonts w:hint="eastAsia" w:ascii="宋体" w:hAnsi="宋体" w:cs="宋体"/>
                <w:sz w:val="28"/>
                <w:szCs w:val="28"/>
                <w:highlight w:val="none"/>
              </w:rPr>
            </w:pPr>
          </w:p>
        </w:tc>
        <w:tc>
          <w:tcPr>
            <w:tcW w:w="491" w:type="pct"/>
          </w:tcPr>
          <w:p w14:paraId="1CB93D99">
            <w:pPr>
              <w:jc w:val="center"/>
              <w:rPr>
                <w:rFonts w:hint="eastAsia" w:ascii="宋体" w:hAnsi="宋体" w:cs="宋体"/>
                <w:sz w:val="28"/>
                <w:szCs w:val="28"/>
                <w:highlight w:val="none"/>
              </w:rPr>
            </w:pPr>
          </w:p>
        </w:tc>
      </w:tr>
      <w:tr w14:paraId="531D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690CE65">
            <w:pPr>
              <w:jc w:val="center"/>
              <w:rPr>
                <w:rFonts w:hint="eastAsia" w:ascii="宋体" w:hAnsi="宋体" w:cs="宋体"/>
                <w:sz w:val="28"/>
                <w:szCs w:val="28"/>
                <w:highlight w:val="none"/>
              </w:rPr>
            </w:pPr>
          </w:p>
        </w:tc>
        <w:tc>
          <w:tcPr>
            <w:tcW w:w="696" w:type="pct"/>
          </w:tcPr>
          <w:p w14:paraId="4C4ABE99">
            <w:pPr>
              <w:jc w:val="center"/>
              <w:rPr>
                <w:rFonts w:hint="eastAsia" w:ascii="宋体" w:hAnsi="宋体" w:cs="宋体"/>
                <w:sz w:val="28"/>
                <w:szCs w:val="28"/>
                <w:highlight w:val="none"/>
              </w:rPr>
            </w:pPr>
          </w:p>
        </w:tc>
        <w:tc>
          <w:tcPr>
            <w:tcW w:w="487" w:type="pct"/>
          </w:tcPr>
          <w:p w14:paraId="6A7EDF7A">
            <w:pPr>
              <w:jc w:val="center"/>
              <w:rPr>
                <w:rFonts w:hint="eastAsia" w:ascii="宋体" w:hAnsi="宋体" w:cs="宋体"/>
                <w:sz w:val="28"/>
                <w:szCs w:val="28"/>
                <w:highlight w:val="none"/>
              </w:rPr>
            </w:pPr>
          </w:p>
        </w:tc>
        <w:tc>
          <w:tcPr>
            <w:tcW w:w="417" w:type="pct"/>
          </w:tcPr>
          <w:p w14:paraId="20503ABE">
            <w:pPr>
              <w:jc w:val="center"/>
              <w:rPr>
                <w:rFonts w:hint="eastAsia" w:ascii="宋体" w:hAnsi="宋体" w:cs="宋体"/>
                <w:sz w:val="28"/>
                <w:szCs w:val="28"/>
                <w:highlight w:val="none"/>
              </w:rPr>
            </w:pPr>
          </w:p>
        </w:tc>
        <w:tc>
          <w:tcPr>
            <w:tcW w:w="537" w:type="pct"/>
          </w:tcPr>
          <w:p w14:paraId="40EA4252">
            <w:pPr>
              <w:jc w:val="center"/>
              <w:rPr>
                <w:rFonts w:hint="eastAsia" w:ascii="宋体" w:hAnsi="宋体" w:cs="宋体"/>
                <w:sz w:val="28"/>
                <w:szCs w:val="28"/>
                <w:highlight w:val="none"/>
              </w:rPr>
            </w:pPr>
          </w:p>
        </w:tc>
        <w:tc>
          <w:tcPr>
            <w:tcW w:w="460" w:type="pct"/>
          </w:tcPr>
          <w:p w14:paraId="75FF1F93">
            <w:pPr>
              <w:jc w:val="center"/>
              <w:rPr>
                <w:rFonts w:hint="eastAsia" w:ascii="宋体" w:hAnsi="宋体" w:cs="宋体"/>
                <w:sz w:val="28"/>
                <w:szCs w:val="28"/>
                <w:highlight w:val="none"/>
              </w:rPr>
            </w:pPr>
          </w:p>
        </w:tc>
        <w:tc>
          <w:tcPr>
            <w:tcW w:w="484" w:type="pct"/>
          </w:tcPr>
          <w:p w14:paraId="576B37CC">
            <w:pPr>
              <w:jc w:val="center"/>
              <w:rPr>
                <w:rFonts w:hint="eastAsia" w:ascii="宋体" w:hAnsi="宋体" w:cs="宋体"/>
                <w:sz w:val="28"/>
                <w:szCs w:val="28"/>
                <w:highlight w:val="none"/>
              </w:rPr>
            </w:pPr>
          </w:p>
        </w:tc>
        <w:tc>
          <w:tcPr>
            <w:tcW w:w="467" w:type="pct"/>
          </w:tcPr>
          <w:p w14:paraId="47486E71">
            <w:pPr>
              <w:jc w:val="center"/>
              <w:rPr>
                <w:rFonts w:hint="eastAsia" w:ascii="宋体" w:hAnsi="宋体" w:cs="宋体"/>
                <w:sz w:val="28"/>
                <w:szCs w:val="28"/>
                <w:highlight w:val="none"/>
              </w:rPr>
            </w:pPr>
          </w:p>
        </w:tc>
        <w:tc>
          <w:tcPr>
            <w:tcW w:w="557" w:type="pct"/>
          </w:tcPr>
          <w:p w14:paraId="40C1BD04">
            <w:pPr>
              <w:jc w:val="center"/>
              <w:rPr>
                <w:rFonts w:hint="eastAsia" w:ascii="宋体" w:hAnsi="宋体" w:cs="宋体"/>
                <w:sz w:val="28"/>
                <w:szCs w:val="28"/>
                <w:highlight w:val="none"/>
              </w:rPr>
            </w:pPr>
          </w:p>
        </w:tc>
        <w:tc>
          <w:tcPr>
            <w:tcW w:w="491" w:type="pct"/>
          </w:tcPr>
          <w:p w14:paraId="637D25BB">
            <w:pPr>
              <w:jc w:val="center"/>
              <w:rPr>
                <w:rFonts w:hint="eastAsia" w:ascii="宋体" w:hAnsi="宋体" w:cs="宋体"/>
                <w:sz w:val="28"/>
                <w:szCs w:val="28"/>
                <w:highlight w:val="none"/>
              </w:rPr>
            </w:pPr>
          </w:p>
        </w:tc>
      </w:tr>
      <w:tr w14:paraId="4844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2A9040FC">
            <w:pPr>
              <w:jc w:val="center"/>
              <w:rPr>
                <w:rFonts w:hint="eastAsia" w:ascii="宋体" w:hAnsi="宋体" w:cs="宋体"/>
                <w:sz w:val="28"/>
                <w:szCs w:val="28"/>
                <w:highlight w:val="none"/>
              </w:rPr>
            </w:pPr>
          </w:p>
        </w:tc>
        <w:tc>
          <w:tcPr>
            <w:tcW w:w="696" w:type="pct"/>
          </w:tcPr>
          <w:p w14:paraId="7B19DA9C">
            <w:pPr>
              <w:jc w:val="center"/>
              <w:rPr>
                <w:rFonts w:hint="eastAsia" w:ascii="宋体" w:hAnsi="宋体" w:cs="宋体"/>
                <w:sz w:val="28"/>
                <w:szCs w:val="28"/>
                <w:highlight w:val="none"/>
              </w:rPr>
            </w:pPr>
          </w:p>
        </w:tc>
        <w:tc>
          <w:tcPr>
            <w:tcW w:w="487" w:type="pct"/>
          </w:tcPr>
          <w:p w14:paraId="29E4956C">
            <w:pPr>
              <w:jc w:val="center"/>
              <w:rPr>
                <w:rFonts w:hint="eastAsia" w:ascii="宋体" w:hAnsi="宋体" w:cs="宋体"/>
                <w:sz w:val="28"/>
                <w:szCs w:val="28"/>
                <w:highlight w:val="none"/>
              </w:rPr>
            </w:pPr>
          </w:p>
        </w:tc>
        <w:tc>
          <w:tcPr>
            <w:tcW w:w="417" w:type="pct"/>
          </w:tcPr>
          <w:p w14:paraId="414528BA">
            <w:pPr>
              <w:jc w:val="center"/>
              <w:rPr>
                <w:rFonts w:hint="eastAsia" w:ascii="宋体" w:hAnsi="宋体" w:cs="宋体"/>
                <w:sz w:val="28"/>
                <w:szCs w:val="28"/>
                <w:highlight w:val="none"/>
              </w:rPr>
            </w:pPr>
          </w:p>
        </w:tc>
        <w:tc>
          <w:tcPr>
            <w:tcW w:w="537" w:type="pct"/>
          </w:tcPr>
          <w:p w14:paraId="15382EE8">
            <w:pPr>
              <w:jc w:val="center"/>
              <w:rPr>
                <w:rFonts w:hint="eastAsia" w:ascii="宋体" w:hAnsi="宋体" w:cs="宋体"/>
                <w:sz w:val="28"/>
                <w:szCs w:val="28"/>
                <w:highlight w:val="none"/>
              </w:rPr>
            </w:pPr>
          </w:p>
        </w:tc>
        <w:tc>
          <w:tcPr>
            <w:tcW w:w="460" w:type="pct"/>
          </w:tcPr>
          <w:p w14:paraId="276C2AC3">
            <w:pPr>
              <w:jc w:val="center"/>
              <w:rPr>
                <w:rFonts w:hint="eastAsia" w:ascii="宋体" w:hAnsi="宋体" w:cs="宋体"/>
                <w:sz w:val="28"/>
                <w:szCs w:val="28"/>
                <w:highlight w:val="none"/>
              </w:rPr>
            </w:pPr>
          </w:p>
        </w:tc>
        <w:tc>
          <w:tcPr>
            <w:tcW w:w="484" w:type="pct"/>
          </w:tcPr>
          <w:p w14:paraId="7BB14251">
            <w:pPr>
              <w:jc w:val="center"/>
              <w:rPr>
                <w:rFonts w:hint="eastAsia" w:ascii="宋体" w:hAnsi="宋体" w:cs="宋体"/>
                <w:sz w:val="28"/>
                <w:szCs w:val="28"/>
                <w:highlight w:val="none"/>
              </w:rPr>
            </w:pPr>
          </w:p>
        </w:tc>
        <w:tc>
          <w:tcPr>
            <w:tcW w:w="467" w:type="pct"/>
          </w:tcPr>
          <w:p w14:paraId="5A4A2891">
            <w:pPr>
              <w:jc w:val="center"/>
              <w:rPr>
                <w:rFonts w:hint="eastAsia" w:ascii="宋体" w:hAnsi="宋体" w:cs="宋体"/>
                <w:sz w:val="28"/>
                <w:szCs w:val="28"/>
                <w:highlight w:val="none"/>
              </w:rPr>
            </w:pPr>
          </w:p>
        </w:tc>
        <w:tc>
          <w:tcPr>
            <w:tcW w:w="557" w:type="pct"/>
          </w:tcPr>
          <w:p w14:paraId="6A03285A">
            <w:pPr>
              <w:jc w:val="center"/>
              <w:rPr>
                <w:rFonts w:hint="eastAsia" w:ascii="宋体" w:hAnsi="宋体" w:cs="宋体"/>
                <w:sz w:val="28"/>
                <w:szCs w:val="28"/>
                <w:highlight w:val="none"/>
              </w:rPr>
            </w:pPr>
          </w:p>
        </w:tc>
        <w:tc>
          <w:tcPr>
            <w:tcW w:w="491" w:type="pct"/>
          </w:tcPr>
          <w:p w14:paraId="162FF132">
            <w:pPr>
              <w:jc w:val="center"/>
              <w:rPr>
                <w:rFonts w:hint="eastAsia" w:ascii="宋体" w:hAnsi="宋体" w:cs="宋体"/>
                <w:sz w:val="28"/>
                <w:szCs w:val="28"/>
                <w:highlight w:val="none"/>
              </w:rPr>
            </w:pPr>
          </w:p>
        </w:tc>
      </w:tr>
      <w:tr w14:paraId="7AE1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0696A38">
            <w:pPr>
              <w:jc w:val="center"/>
              <w:rPr>
                <w:rFonts w:hint="eastAsia" w:ascii="宋体" w:hAnsi="宋体" w:cs="宋体"/>
                <w:sz w:val="28"/>
                <w:szCs w:val="28"/>
                <w:highlight w:val="none"/>
              </w:rPr>
            </w:pPr>
          </w:p>
        </w:tc>
        <w:tc>
          <w:tcPr>
            <w:tcW w:w="696" w:type="pct"/>
          </w:tcPr>
          <w:p w14:paraId="371C9EC4">
            <w:pPr>
              <w:jc w:val="center"/>
              <w:rPr>
                <w:rFonts w:hint="eastAsia" w:ascii="宋体" w:hAnsi="宋体" w:cs="宋体"/>
                <w:sz w:val="28"/>
                <w:szCs w:val="28"/>
                <w:highlight w:val="none"/>
              </w:rPr>
            </w:pPr>
          </w:p>
        </w:tc>
        <w:tc>
          <w:tcPr>
            <w:tcW w:w="487" w:type="pct"/>
          </w:tcPr>
          <w:p w14:paraId="6003966C">
            <w:pPr>
              <w:jc w:val="center"/>
              <w:rPr>
                <w:rFonts w:hint="eastAsia" w:ascii="宋体" w:hAnsi="宋体" w:cs="宋体"/>
                <w:sz w:val="28"/>
                <w:szCs w:val="28"/>
                <w:highlight w:val="none"/>
              </w:rPr>
            </w:pPr>
          </w:p>
        </w:tc>
        <w:tc>
          <w:tcPr>
            <w:tcW w:w="417" w:type="pct"/>
          </w:tcPr>
          <w:p w14:paraId="04AEA98B">
            <w:pPr>
              <w:jc w:val="center"/>
              <w:rPr>
                <w:rFonts w:hint="eastAsia" w:ascii="宋体" w:hAnsi="宋体" w:cs="宋体"/>
                <w:sz w:val="28"/>
                <w:szCs w:val="28"/>
                <w:highlight w:val="none"/>
              </w:rPr>
            </w:pPr>
          </w:p>
        </w:tc>
        <w:tc>
          <w:tcPr>
            <w:tcW w:w="537" w:type="pct"/>
          </w:tcPr>
          <w:p w14:paraId="3BAAFA16">
            <w:pPr>
              <w:jc w:val="center"/>
              <w:rPr>
                <w:rFonts w:hint="eastAsia" w:ascii="宋体" w:hAnsi="宋体" w:cs="宋体"/>
                <w:sz w:val="28"/>
                <w:szCs w:val="28"/>
                <w:highlight w:val="none"/>
              </w:rPr>
            </w:pPr>
          </w:p>
        </w:tc>
        <w:tc>
          <w:tcPr>
            <w:tcW w:w="460" w:type="pct"/>
          </w:tcPr>
          <w:p w14:paraId="2948E780">
            <w:pPr>
              <w:jc w:val="center"/>
              <w:rPr>
                <w:rFonts w:hint="eastAsia" w:ascii="宋体" w:hAnsi="宋体" w:cs="宋体"/>
                <w:sz w:val="28"/>
                <w:szCs w:val="28"/>
                <w:highlight w:val="none"/>
              </w:rPr>
            </w:pPr>
          </w:p>
        </w:tc>
        <w:tc>
          <w:tcPr>
            <w:tcW w:w="484" w:type="pct"/>
          </w:tcPr>
          <w:p w14:paraId="6CE5D43E">
            <w:pPr>
              <w:jc w:val="center"/>
              <w:rPr>
                <w:rFonts w:hint="eastAsia" w:ascii="宋体" w:hAnsi="宋体" w:cs="宋体"/>
                <w:sz w:val="28"/>
                <w:szCs w:val="28"/>
                <w:highlight w:val="none"/>
              </w:rPr>
            </w:pPr>
          </w:p>
        </w:tc>
        <w:tc>
          <w:tcPr>
            <w:tcW w:w="467" w:type="pct"/>
          </w:tcPr>
          <w:p w14:paraId="480C37F3">
            <w:pPr>
              <w:jc w:val="center"/>
              <w:rPr>
                <w:rFonts w:hint="eastAsia" w:ascii="宋体" w:hAnsi="宋体" w:cs="宋体"/>
                <w:sz w:val="28"/>
                <w:szCs w:val="28"/>
                <w:highlight w:val="none"/>
              </w:rPr>
            </w:pPr>
          </w:p>
        </w:tc>
        <w:tc>
          <w:tcPr>
            <w:tcW w:w="557" w:type="pct"/>
          </w:tcPr>
          <w:p w14:paraId="17CB2EA3">
            <w:pPr>
              <w:jc w:val="center"/>
              <w:rPr>
                <w:rFonts w:hint="eastAsia" w:ascii="宋体" w:hAnsi="宋体" w:cs="宋体"/>
                <w:sz w:val="28"/>
                <w:szCs w:val="28"/>
                <w:highlight w:val="none"/>
              </w:rPr>
            </w:pPr>
          </w:p>
        </w:tc>
        <w:tc>
          <w:tcPr>
            <w:tcW w:w="491" w:type="pct"/>
          </w:tcPr>
          <w:p w14:paraId="68C8D005">
            <w:pPr>
              <w:jc w:val="center"/>
              <w:rPr>
                <w:rFonts w:hint="eastAsia" w:ascii="宋体" w:hAnsi="宋体" w:cs="宋体"/>
                <w:sz w:val="28"/>
                <w:szCs w:val="28"/>
                <w:highlight w:val="none"/>
              </w:rPr>
            </w:pPr>
          </w:p>
        </w:tc>
      </w:tr>
      <w:tr w14:paraId="22A2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2E99FA94">
            <w:pPr>
              <w:jc w:val="center"/>
              <w:rPr>
                <w:rFonts w:hint="eastAsia" w:ascii="宋体" w:hAnsi="宋体" w:cs="宋体"/>
                <w:sz w:val="28"/>
                <w:szCs w:val="28"/>
                <w:highlight w:val="none"/>
              </w:rPr>
            </w:pPr>
          </w:p>
        </w:tc>
        <w:tc>
          <w:tcPr>
            <w:tcW w:w="696" w:type="pct"/>
          </w:tcPr>
          <w:p w14:paraId="642ED302">
            <w:pPr>
              <w:jc w:val="center"/>
              <w:rPr>
                <w:rFonts w:hint="eastAsia" w:ascii="宋体" w:hAnsi="宋体" w:cs="宋体"/>
                <w:sz w:val="28"/>
                <w:szCs w:val="28"/>
                <w:highlight w:val="none"/>
              </w:rPr>
            </w:pPr>
          </w:p>
        </w:tc>
        <w:tc>
          <w:tcPr>
            <w:tcW w:w="487" w:type="pct"/>
          </w:tcPr>
          <w:p w14:paraId="7361EC5C">
            <w:pPr>
              <w:jc w:val="center"/>
              <w:rPr>
                <w:rFonts w:hint="eastAsia" w:ascii="宋体" w:hAnsi="宋体" w:cs="宋体"/>
                <w:sz w:val="28"/>
                <w:szCs w:val="28"/>
                <w:highlight w:val="none"/>
              </w:rPr>
            </w:pPr>
          </w:p>
        </w:tc>
        <w:tc>
          <w:tcPr>
            <w:tcW w:w="417" w:type="pct"/>
          </w:tcPr>
          <w:p w14:paraId="0EB57033">
            <w:pPr>
              <w:jc w:val="center"/>
              <w:rPr>
                <w:rFonts w:hint="eastAsia" w:ascii="宋体" w:hAnsi="宋体" w:cs="宋体"/>
                <w:sz w:val="28"/>
                <w:szCs w:val="28"/>
                <w:highlight w:val="none"/>
              </w:rPr>
            </w:pPr>
          </w:p>
        </w:tc>
        <w:tc>
          <w:tcPr>
            <w:tcW w:w="537" w:type="pct"/>
          </w:tcPr>
          <w:p w14:paraId="619E01DB">
            <w:pPr>
              <w:jc w:val="center"/>
              <w:rPr>
                <w:rFonts w:hint="eastAsia" w:ascii="宋体" w:hAnsi="宋体" w:cs="宋体"/>
                <w:sz w:val="28"/>
                <w:szCs w:val="28"/>
                <w:highlight w:val="none"/>
              </w:rPr>
            </w:pPr>
          </w:p>
        </w:tc>
        <w:tc>
          <w:tcPr>
            <w:tcW w:w="460" w:type="pct"/>
          </w:tcPr>
          <w:p w14:paraId="05BA2AA5">
            <w:pPr>
              <w:jc w:val="center"/>
              <w:rPr>
                <w:rFonts w:hint="eastAsia" w:ascii="宋体" w:hAnsi="宋体" w:cs="宋体"/>
                <w:sz w:val="28"/>
                <w:szCs w:val="28"/>
                <w:highlight w:val="none"/>
              </w:rPr>
            </w:pPr>
          </w:p>
        </w:tc>
        <w:tc>
          <w:tcPr>
            <w:tcW w:w="484" w:type="pct"/>
          </w:tcPr>
          <w:p w14:paraId="5202A7A0">
            <w:pPr>
              <w:jc w:val="center"/>
              <w:rPr>
                <w:rFonts w:hint="eastAsia" w:ascii="宋体" w:hAnsi="宋体" w:cs="宋体"/>
                <w:sz w:val="28"/>
                <w:szCs w:val="28"/>
                <w:highlight w:val="none"/>
              </w:rPr>
            </w:pPr>
          </w:p>
        </w:tc>
        <w:tc>
          <w:tcPr>
            <w:tcW w:w="467" w:type="pct"/>
          </w:tcPr>
          <w:p w14:paraId="4AE57AFE">
            <w:pPr>
              <w:jc w:val="center"/>
              <w:rPr>
                <w:rFonts w:hint="eastAsia" w:ascii="宋体" w:hAnsi="宋体" w:cs="宋体"/>
                <w:sz w:val="28"/>
                <w:szCs w:val="28"/>
                <w:highlight w:val="none"/>
              </w:rPr>
            </w:pPr>
          </w:p>
        </w:tc>
        <w:tc>
          <w:tcPr>
            <w:tcW w:w="557" w:type="pct"/>
          </w:tcPr>
          <w:p w14:paraId="60AC4241">
            <w:pPr>
              <w:jc w:val="center"/>
              <w:rPr>
                <w:rFonts w:hint="eastAsia" w:ascii="宋体" w:hAnsi="宋体" w:cs="宋体"/>
                <w:sz w:val="28"/>
                <w:szCs w:val="28"/>
                <w:highlight w:val="none"/>
              </w:rPr>
            </w:pPr>
          </w:p>
        </w:tc>
        <w:tc>
          <w:tcPr>
            <w:tcW w:w="491" w:type="pct"/>
          </w:tcPr>
          <w:p w14:paraId="4B76AB9A">
            <w:pPr>
              <w:jc w:val="center"/>
              <w:rPr>
                <w:rFonts w:hint="eastAsia" w:ascii="宋体" w:hAnsi="宋体" w:cs="宋体"/>
                <w:sz w:val="28"/>
                <w:szCs w:val="28"/>
                <w:highlight w:val="none"/>
              </w:rPr>
            </w:pPr>
          </w:p>
        </w:tc>
      </w:tr>
      <w:tr w14:paraId="4075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3ED9C0CB">
            <w:pPr>
              <w:jc w:val="center"/>
              <w:rPr>
                <w:rFonts w:hint="eastAsia" w:ascii="宋体" w:hAnsi="宋体" w:cs="宋体"/>
                <w:sz w:val="28"/>
                <w:szCs w:val="28"/>
                <w:highlight w:val="none"/>
              </w:rPr>
            </w:pPr>
          </w:p>
        </w:tc>
        <w:tc>
          <w:tcPr>
            <w:tcW w:w="696" w:type="pct"/>
          </w:tcPr>
          <w:p w14:paraId="42C609A2">
            <w:pPr>
              <w:jc w:val="center"/>
              <w:rPr>
                <w:rFonts w:hint="eastAsia" w:ascii="宋体" w:hAnsi="宋体" w:cs="宋体"/>
                <w:sz w:val="28"/>
                <w:szCs w:val="28"/>
                <w:highlight w:val="none"/>
              </w:rPr>
            </w:pPr>
          </w:p>
        </w:tc>
        <w:tc>
          <w:tcPr>
            <w:tcW w:w="487" w:type="pct"/>
          </w:tcPr>
          <w:p w14:paraId="426C562E">
            <w:pPr>
              <w:jc w:val="center"/>
              <w:rPr>
                <w:rFonts w:hint="eastAsia" w:ascii="宋体" w:hAnsi="宋体" w:cs="宋体"/>
                <w:sz w:val="28"/>
                <w:szCs w:val="28"/>
                <w:highlight w:val="none"/>
              </w:rPr>
            </w:pPr>
          </w:p>
        </w:tc>
        <w:tc>
          <w:tcPr>
            <w:tcW w:w="417" w:type="pct"/>
          </w:tcPr>
          <w:p w14:paraId="513303BE">
            <w:pPr>
              <w:jc w:val="center"/>
              <w:rPr>
                <w:rFonts w:hint="eastAsia" w:ascii="宋体" w:hAnsi="宋体" w:cs="宋体"/>
                <w:sz w:val="28"/>
                <w:szCs w:val="28"/>
                <w:highlight w:val="none"/>
              </w:rPr>
            </w:pPr>
          </w:p>
        </w:tc>
        <w:tc>
          <w:tcPr>
            <w:tcW w:w="537" w:type="pct"/>
          </w:tcPr>
          <w:p w14:paraId="2D23727B">
            <w:pPr>
              <w:jc w:val="center"/>
              <w:rPr>
                <w:rFonts w:hint="eastAsia" w:ascii="宋体" w:hAnsi="宋体" w:cs="宋体"/>
                <w:sz w:val="28"/>
                <w:szCs w:val="28"/>
                <w:highlight w:val="none"/>
              </w:rPr>
            </w:pPr>
          </w:p>
        </w:tc>
        <w:tc>
          <w:tcPr>
            <w:tcW w:w="460" w:type="pct"/>
          </w:tcPr>
          <w:p w14:paraId="43EBA616">
            <w:pPr>
              <w:jc w:val="center"/>
              <w:rPr>
                <w:rFonts w:hint="eastAsia" w:ascii="宋体" w:hAnsi="宋体" w:cs="宋体"/>
                <w:sz w:val="28"/>
                <w:szCs w:val="28"/>
                <w:highlight w:val="none"/>
              </w:rPr>
            </w:pPr>
          </w:p>
        </w:tc>
        <w:tc>
          <w:tcPr>
            <w:tcW w:w="484" w:type="pct"/>
          </w:tcPr>
          <w:p w14:paraId="424F65D2">
            <w:pPr>
              <w:jc w:val="center"/>
              <w:rPr>
                <w:rFonts w:hint="eastAsia" w:ascii="宋体" w:hAnsi="宋体" w:cs="宋体"/>
                <w:sz w:val="28"/>
                <w:szCs w:val="28"/>
                <w:highlight w:val="none"/>
              </w:rPr>
            </w:pPr>
          </w:p>
        </w:tc>
        <w:tc>
          <w:tcPr>
            <w:tcW w:w="467" w:type="pct"/>
          </w:tcPr>
          <w:p w14:paraId="7B01FC3B">
            <w:pPr>
              <w:jc w:val="center"/>
              <w:rPr>
                <w:rFonts w:hint="eastAsia" w:ascii="宋体" w:hAnsi="宋体" w:cs="宋体"/>
                <w:sz w:val="28"/>
                <w:szCs w:val="28"/>
                <w:highlight w:val="none"/>
              </w:rPr>
            </w:pPr>
          </w:p>
        </w:tc>
        <w:tc>
          <w:tcPr>
            <w:tcW w:w="557" w:type="pct"/>
          </w:tcPr>
          <w:p w14:paraId="16366690">
            <w:pPr>
              <w:jc w:val="center"/>
              <w:rPr>
                <w:rFonts w:hint="eastAsia" w:ascii="宋体" w:hAnsi="宋体" w:cs="宋体"/>
                <w:sz w:val="28"/>
                <w:szCs w:val="28"/>
                <w:highlight w:val="none"/>
              </w:rPr>
            </w:pPr>
          </w:p>
        </w:tc>
        <w:tc>
          <w:tcPr>
            <w:tcW w:w="491" w:type="pct"/>
          </w:tcPr>
          <w:p w14:paraId="400950FE">
            <w:pPr>
              <w:jc w:val="center"/>
              <w:rPr>
                <w:rFonts w:hint="eastAsia" w:ascii="宋体" w:hAnsi="宋体" w:cs="宋体"/>
                <w:sz w:val="28"/>
                <w:szCs w:val="28"/>
                <w:highlight w:val="none"/>
              </w:rPr>
            </w:pPr>
          </w:p>
        </w:tc>
      </w:tr>
      <w:tr w14:paraId="3772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639A9179">
            <w:pPr>
              <w:jc w:val="center"/>
              <w:rPr>
                <w:rFonts w:hint="eastAsia" w:ascii="宋体" w:hAnsi="宋体" w:cs="宋体"/>
                <w:sz w:val="28"/>
                <w:szCs w:val="28"/>
                <w:highlight w:val="none"/>
              </w:rPr>
            </w:pPr>
          </w:p>
        </w:tc>
        <w:tc>
          <w:tcPr>
            <w:tcW w:w="696" w:type="pct"/>
          </w:tcPr>
          <w:p w14:paraId="3BCBAB92">
            <w:pPr>
              <w:jc w:val="center"/>
              <w:rPr>
                <w:rFonts w:hint="eastAsia" w:ascii="宋体" w:hAnsi="宋体" w:cs="宋体"/>
                <w:sz w:val="28"/>
                <w:szCs w:val="28"/>
                <w:highlight w:val="none"/>
              </w:rPr>
            </w:pPr>
          </w:p>
        </w:tc>
        <w:tc>
          <w:tcPr>
            <w:tcW w:w="487" w:type="pct"/>
          </w:tcPr>
          <w:p w14:paraId="0F81C700">
            <w:pPr>
              <w:jc w:val="center"/>
              <w:rPr>
                <w:rFonts w:hint="eastAsia" w:ascii="宋体" w:hAnsi="宋体" w:cs="宋体"/>
                <w:sz w:val="28"/>
                <w:szCs w:val="28"/>
                <w:highlight w:val="none"/>
              </w:rPr>
            </w:pPr>
          </w:p>
        </w:tc>
        <w:tc>
          <w:tcPr>
            <w:tcW w:w="417" w:type="pct"/>
          </w:tcPr>
          <w:p w14:paraId="00BBFF01">
            <w:pPr>
              <w:jc w:val="center"/>
              <w:rPr>
                <w:rFonts w:hint="eastAsia" w:ascii="宋体" w:hAnsi="宋体" w:cs="宋体"/>
                <w:sz w:val="28"/>
                <w:szCs w:val="28"/>
                <w:highlight w:val="none"/>
              </w:rPr>
            </w:pPr>
          </w:p>
        </w:tc>
        <w:tc>
          <w:tcPr>
            <w:tcW w:w="537" w:type="pct"/>
          </w:tcPr>
          <w:p w14:paraId="47327F16">
            <w:pPr>
              <w:jc w:val="center"/>
              <w:rPr>
                <w:rFonts w:hint="eastAsia" w:ascii="宋体" w:hAnsi="宋体" w:cs="宋体"/>
                <w:sz w:val="28"/>
                <w:szCs w:val="28"/>
                <w:highlight w:val="none"/>
              </w:rPr>
            </w:pPr>
          </w:p>
        </w:tc>
        <w:tc>
          <w:tcPr>
            <w:tcW w:w="460" w:type="pct"/>
          </w:tcPr>
          <w:p w14:paraId="774251E5">
            <w:pPr>
              <w:jc w:val="center"/>
              <w:rPr>
                <w:rFonts w:hint="eastAsia" w:ascii="宋体" w:hAnsi="宋体" w:cs="宋体"/>
                <w:sz w:val="28"/>
                <w:szCs w:val="28"/>
                <w:highlight w:val="none"/>
              </w:rPr>
            </w:pPr>
          </w:p>
        </w:tc>
        <w:tc>
          <w:tcPr>
            <w:tcW w:w="484" w:type="pct"/>
          </w:tcPr>
          <w:p w14:paraId="464CC0DE">
            <w:pPr>
              <w:jc w:val="center"/>
              <w:rPr>
                <w:rFonts w:hint="eastAsia" w:ascii="宋体" w:hAnsi="宋体" w:cs="宋体"/>
                <w:sz w:val="28"/>
                <w:szCs w:val="28"/>
                <w:highlight w:val="none"/>
              </w:rPr>
            </w:pPr>
          </w:p>
        </w:tc>
        <w:tc>
          <w:tcPr>
            <w:tcW w:w="467" w:type="pct"/>
          </w:tcPr>
          <w:p w14:paraId="098FD619">
            <w:pPr>
              <w:jc w:val="center"/>
              <w:rPr>
                <w:rFonts w:hint="eastAsia" w:ascii="宋体" w:hAnsi="宋体" w:cs="宋体"/>
                <w:sz w:val="28"/>
                <w:szCs w:val="28"/>
                <w:highlight w:val="none"/>
              </w:rPr>
            </w:pPr>
          </w:p>
        </w:tc>
        <w:tc>
          <w:tcPr>
            <w:tcW w:w="557" w:type="pct"/>
          </w:tcPr>
          <w:p w14:paraId="6E154190">
            <w:pPr>
              <w:jc w:val="center"/>
              <w:rPr>
                <w:rFonts w:hint="eastAsia" w:ascii="宋体" w:hAnsi="宋体" w:cs="宋体"/>
                <w:sz w:val="28"/>
                <w:szCs w:val="28"/>
                <w:highlight w:val="none"/>
              </w:rPr>
            </w:pPr>
          </w:p>
        </w:tc>
        <w:tc>
          <w:tcPr>
            <w:tcW w:w="491" w:type="pct"/>
          </w:tcPr>
          <w:p w14:paraId="40813244">
            <w:pPr>
              <w:jc w:val="center"/>
              <w:rPr>
                <w:rFonts w:hint="eastAsia" w:ascii="宋体" w:hAnsi="宋体" w:cs="宋体"/>
                <w:sz w:val="28"/>
                <w:szCs w:val="28"/>
                <w:highlight w:val="none"/>
              </w:rPr>
            </w:pPr>
          </w:p>
        </w:tc>
      </w:tr>
      <w:tr w14:paraId="6099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3111E44B">
            <w:pPr>
              <w:jc w:val="center"/>
              <w:rPr>
                <w:rFonts w:hint="eastAsia" w:ascii="宋体" w:hAnsi="宋体" w:cs="宋体"/>
                <w:sz w:val="28"/>
                <w:szCs w:val="28"/>
                <w:highlight w:val="none"/>
              </w:rPr>
            </w:pPr>
          </w:p>
        </w:tc>
        <w:tc>
          <w:tcPr>
            <w:tcW w:w="696" w:type="pct"/>
          </w:tcPr>
          <w:p w14:paraId="166FDF19">
            <w:pPr>
              <w:jc w:val="center"/>
              <w:rPr>
                <w:rFonts w:hint="eastAsia" w:ascii="宋体" w:hAnsi="宋体" w:cs="宋体"/>
                <w:sz w:val="28"/>
                <w:szCs w:val="28"/>
                <w:highlight w:val="none"/>
              </w:rPr>
            </w:pPr>
          </w:p>
        </w:tc>
        <w:tc>
          <w:tcPr>
            <w:tcW w:w="487" w:type="pct"/>
          </w:tcPr>
          <w:p w14:paraId="5CCE915B">
            <w:pPr>
              <w:jc w:val="center"/>
              <w:rPr>
                <w:rFonts w:hint="eastAsia" w:ascii="宋体" w:hAnsi="宋体" w:cs="宋体"/>
                <w:sz w:val="28"/>
                <w:szCs w:val="28"/>
                <w:highlight w:val="none"/>
              </w:rPr>
            </w:pPr>
          </w:p>
        </w:tc>
        <w:tc>
          <w:tcPr>
            <w:tcW w:w="417" w:type="pct"/>
          </w:tcPr>
          <w:p w14:paraId="7BAB30A3">
            <w:pPr>
              <w:jc w:val="center"/>
              <w:rPr>
                <w:rFonts w:hint="eastAsia" w:ascii="宋体" w:hAnsi="宋体" w:cs="宋体"/>
                <w:sz w:val="28"/>
                <w:szCs w:val="28"/>
                <w:highlight w:val="none"/>
              </w:rPr>
            </w:pPr>
          </w:p>
        </w:tc>
        <w:tc>
          <w:tcPr>
            <w:tcW w:w="537" w:type="pct"/>
          </w:tcPr>
          <w:p w14:paraId="7175E296">
            <w:pPr>
              <w:jc w:val="center"/>
              <w:rPr>
                <w:rFonts w:hint="eastAsia" w:ascii="宋体" w:hAnsi="宋体" w:cs="宋体"/>
                <w:sz w:val="28"/>
                <w:szCs w:val="28"/>
                <w:highlight w:val="none"/>
              </w:rPr>
            </w:pPr>
          </w:p>
        </w:tc>
        <w:tc>
          <w:tcPr>
            <w:tcW w:w="460" w:type="pct"/>
          </w:tcPr>
          <w:p w14:paraId="52827A9E">
            <w:pPr>
              <w:jc w:val="center"/>
              <w:rPr>
                <w:rFonts w:hint="eastAsia" w:ascii="宋体" w:hAnsi="宋体" w:cs="宋体"/>
                <w:sz w:val="28"/>
                <w:szCs w:val="28"/>
                <w:highlight w:val="none"/>
              </w:rPr>
            </w:pPr>
          </w:p>
        </w:tc>
        <w:tc>
          <w:tcPr>
            <w:tcW w:w="484" w:type="pct"/>
          </w:tcPr>
          <w:p w14:paraId="72A6EF6A">
            <w:pPr>
              <w:jc w:val="center"/>
              <w:rPr>
                <w:rFonts w:hint="eastAsia" w:ascii="宋体" w:hAnsi="宋体" w:cs="宋体"/>
                <w:sz w:val="28"/>
                <w:szCs w:val="28"/>
                <w:highlight w:val="none"/>
              </w:rPr>
            </w:pPr>
          </w:p>
        </w:tc>
        <w:tc>
          <w:tcPr>
            <w:tcW w:w="467" w:type="pct"/>
          </w:tcPr>
          <w:p w14:paraId="093BA48E">
            <w:pPr>
              <w:jc w:val="center"/>
              <w:rPr>
                <w:rFonts w:hint="eastAsia" w:ascii="宋体" w:hAnsi="宋体" w:cs="宋体"/>
                <w:sz w:val="28"/>
                <w:szCs w:val="28"/>
                <w:highlight w:val="none"/>
              </w:rPr>
            </w:pPr>
          </w:p>
        </w:tc>
        <w:tc>
          <w:tcPr>
            <w:tcW w:w="557" w:type="pct"/>
          </w:tcPr>
          <w:p w14:paraId="5024968E">
            <w:pPr>
              <w:jc w:val="center"/>
              <w:rPr>
                <w:rFonts w:hint="eastAsia" w:ascii="宋体" w:hAnsi="宋体" w:cs="宋体"/>
                <w:sz w:val="28"/>
                <w:szCs w:val="28"/>
                <w:highlight w:val="none"/>
              </w:rPr>
            </w:pPr>
          </w:p>
        </w:tc>
        <w:tc>
          <w:tcPr>
            <w:tcW w:w="491" w:type="pct"/>
          </w:tcPr>
          <w:p w14:paraId="26B09D8E">
            <w:pPr>
              <w:jc w:val="center"/>
              <w:rPr>
                <w:rFonts w:hint="eastAsia" w:ascii="宋体" w:hAnsi="宋体" w:cs="宋体"/>
                <w:sz w:val="28"/>
                <w:szCs w:val="28"/>
                <w:highlight w:val="none"/>
              </w:rPr>
            </w:pPr>
          </w:p>
        </w:tc>
      </w:tr>
      <w:tr w14:paraId="0073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6AA7DB30">
            <w:pPr>
              <w:jc w:val="center"/>
              <w:rPr>
                <w:rFonts w:hint="eastAsia" w:ascii="宋体" w:hAnsi="宋体" w:cs="宋体"/>
                <w:sz w:val="28"/>
                <w:szCs w:val="28"/>
                <w:highlight w:val="none"/>
              </w:rPr>
            </w:pPr>
          </w:p>
        </w:tc>
        <w:tc>
          <w:tcPr>
            <w:tcW w:w="696" w:type="pct"/>
          </w:tcPr>
          <w:p w14:paraId="4490ABA9">
            <w:pPr>
              <w:jc w:val="center"/>
              <w:rPr>
                <w:rFonts w:hint="eastAsia" w:ascii="宋体" w:hAnsi="宋体" w:cs="宋体"/>
                <w:sz w:val="28"/>
                <w:szCs w:val="28"/>
                <w:highlight w:val="none"/>
              </w:rPr>
            </w:pPr>
          </w:p>
        </w:tc>
        <w:tc>
          <w:tcPr>
            <w:tcW w:w="487" w:type="pct"/>
          </w:tcPr>
          <w:p w14:paraId="7D164975">
            <w:pPr>
              <w:jc w:val="center"/>
              <w:rPr>
                <w:rFonts w:hint="eastAsia" w:ascii="宋体" w:hAnsi="宋体" w:cs="宋体"/>
                <w:sz w:val="28"/>
                <w:szCs w:val="28"/>
                <w:highlight w:val="none"/>
              </w:rPr>
            </w:pPr>
          </w:p>
        </w:tc>
        <w:tc>
          <w:tcPr>
            <w:tcW w:w="417" w:type="pct"/>
          </w:tcPr>
          <w:p w14:paraId="5B0D1041">
            <w:pPr>
              <w:jc w:val="center"/>
              <w:rPr>
                <w:rFonts w:hint="eastAsia" w:ascii="宋体" w:hAnsi="宋体" w:cs="宋体"/>
                <w:sz w:val="28"/>
                <w:szCs w:val="28"/>
                <w:highlight w:val="none"/>
              </w:rPr>
            </w:pPr>
          </w:p>
        </w:tc>
        <w:tc>
          <w:tcPr>
            <w:tcW w:w="537" w:type="pct"/>
          </w:tcPr>
          <w:p w14:paraId="1F35661B">
            <w:pPr>
              <w:jc w:val="center"/>
              <w:rPr>
                <w:rFonts w:hint="eastAsia" w:ascii="宋体" w:hAnsi="宋体" w:cs="宋体"/>
                <w:sz w:val="28"/>
                <w:szCs w:val="28"/>
                <w:highlight w:val="none"/>
              </w:rPr>
            </w:pPr>
          </w:p>
        </w:tc>
        <w:tc>
          <w:tcPr>
            <w:tcW w:w="460" w:type="pct"/>
          </w:tcPr>
          <w:p w14:paraId="5E9AE124">
            <w:pPr>
              <w:jc w:val="center"/>
              <w:rPr>
                <w:rFonts w:hint="eastAsia" w:ascii="宋体" w:hAnsi="宋体" w:cs="宋体"/>
                <w:sz w:val="28"/>
                <w:szCs w:val="28"/>
                <w:highlight w:val="none"/>
              </w:rPr>
            </w:pPr>
          </w:p>
        </w:tc>
        <w:tc>
          <w:tcPr>
            <w:tcW w:w="484" w:type="pct"/>
          </w:tcPr>
          <w:p w14:paraId="76BBF8EB">
            <w:pPr>
              <w:jc w:val="center"/>
              <w:rPr>
                <w:rFonts w:hint="eastAsia" w:ascii="宋体" w:hAnsi="宋体" w:cs="宋体"/>
                <w:sz w:val="28"/>
                <w:szCs w:val="28"/>
                <w:highlight w:val="none"/>
              </w:rPr>
            </w:pPr>
          </w:p>
        </w:tc>
        <w:tc>
          <w:tcPr>
            <w:tcW w:w="467" w:type="pct"/>
          </w:tcPr>
          <w:p w14:paraId="24493D38">
            <w:pPr>
              <w:jc w:val="center"/>
              <w:rPr>
                <w:rFonts w:hint="eastAsia" w:ascii="宋体" w:hAnsi="宋体" w:cs="宋体"/>
                <w:sz w:val="28"/>
                <w:szCs w:val="28"/>
                <w:highlight w:val="none"/>
              </w:rPr>
            </w:pPr>
          </w:p>
        </w:tc>
        <w:tc>
          <w:tcPr>
            <w:tcW w:w="557" w:type="pct"/>
          </w:tcPr>
          <w:p w14:paraId="28BE4BE9">
            <w:pPr>
              <w:jc w:val="center"/>
              <w:rPr>
                <w:rFonts w:hint="eastAsia" w:ascii="宋体" w:hAnsi="宋体" w:cs="宋体"/>
                <w:sz w:val="28"/>
                <w:szCs w:val="28"/>
                <w:highlight w:val="none"/>
              </w:rPr>
            </w:pPr>
          </w:p>
        </w:tc>
        <w:tc>
          <w:tcPr>
            <w:tcW w:w="491" w:type="pct"/>
          </w:tcPr>
          <w:p w14:paraId="2772F6D3">
            <w:pPr>
              <w:jc w:val="center"/>
              <w:rPr>
                <w:rFonts w:hint="eastAsia" w:ascii="宋体" w:hAnsi="宋体" w:cs="宋体"/>
                <w:sz w:val="28"/>
                <w:szCs w:val="28"/>
                <w:highlight w:val="none"/>
              </w:rPr>
            </w:pPr>
          </w:p>
        </w:tc>
      </w:tr>
    </w:tbl>
    <w:p w14:paraId="71BCEDB5">
      <w:pPr>
        <w:rPr>
          <w:rFonts w:hint="eastAsia" w:ascii="宋体" w:hAnsi="宋体" w:cs="宋体"/>
          <w:highlight w:val="none"/>
        </w:rPr>
      </w:pPr>
    </w:p>
    <w:p w14:paraId="77F83AC1">
      <w:pPr>
        <w:rPr>
          <w:rFonts w:hint="eastAsia" w:ascii="宋体" w:hAnsi="宋体" w:cs="宋体"/>
          <w:highlight w:val="none"/>
        </w:rPr>
      </w:pPr>
    </w:p>
    <w:p w14:paraId="08F2E931">
      <w:pPr>
        <w:spacing w:line="360" w:lineRule="auto"/>
        <w:ind w:hanging="6"/>
        <w:outlineLvl w:val="3"/>
        <w:rPr>
          <w:rFonts w:hint="eastAsia" w:ascii="宋体" w:hAnsi="宋体" w:cs="宋体"/>
          <w:bCs/>
          <w:sz w:val="28"/>
          <w:highlight w:val="none"/>
        </w:rPr>
      </w:pPr>
      <w:r>
        <w:rPr>
          <w:rFonts w:hint="eastAsia" w:ascii="宋体" w:hAnsi="宋体" w:cs="宋体"/>
          <w:highlight w:val="none"/>
        </w:rPr>
        <w:br w:type="page"/>
      </w:r>
      <w:bookmarkStart w:id="2379" w:name="_Toc111445452"/>
      <w:bookmarkStart w:id="2380" w:name="_Toc241459753"/>
      <w:bookmarkStart w:id="2381" w:name="_Toc14776"/>
      <w:bookmarkStart w:id="2382" w:name="_Toc503536353"/>
      <w:bookmarkStart w:id="2383" w:name="_Toc342296512"/>
      <w:r>
        <w:rPr>
          <w:rFonts w:hint="eastAsia" w:ascii="宋体" w:hAnsi="宋体" w:cs="宋体"/>
          <w:highlight w:val="none"/>
        </w:rPr>
        <w:t>附件三：发包人提供的材料和工程设备一览表</w:t>
      </w:r>
      <w:bookmarkEnd w:id="2379"/>
      <w:bookmarkEnd w:id="2380"/>
      <w:bookmarkEnd w:id="2381"/>
      <w:bookmarkEnd w:id="2382"/>
      <w:bookmarkEnd w:id="2383"/>
    </w:p>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154"/>
        <w:gridCol w:w="1044"/>
        <w:gridCol w:w="783"/>
        <w:gridCol w:w="783"/>
        <w:gridCol w:w="783"/>
        <w:gridCol w:w="783"/>
        <w:gridCol w:w="783"/>
        <w:gridCol w:w="904"/>
        <w:gridCol w:w="718"/>
      </w:tblGrid>
      <w:tr w14:paraId="6DB6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459" w:type="pct"/>
            <w:vAlign w:val="center"/>
          </w:tcPr>
          <w:p w14:paraId="69E89FA4">
            <w:pPr>
              <w:ind w:left="8"/>
              <w:jc w:val="center"/>
              <w:rPr>
                <w:rFonts w:hint="eastAsia" w:ascii="宋体" w:hAnsi="宋体" w:cs="宋体"/>
                <w:highlight w:val="none"/>
              </w:rPr>
            </w:pPr>
            <w:r>
              <w:rPr>
                <w:rFonts w:hint="eastAsia" w:ascii="宋体" w:hAnsi="宋体" w:cs="宋体"/>
                <w:highlight w:val="none"/>
              </w:rPr>
              <w:t>序</w:t>
            </w:r>
          </w:p>
          <w:p w14:paraId="1C41422D">
            <w:pPr>
              <w:ind w:left="8"/>
              <w:jc w:val="center"/>
              <w:rPr>
                <w:rFonts w:hint="eastAsia" w:ascii="宋体" w:hAnsi="宋体" w:cs="宋体"/>
                <w:highlight w:val="none"/>
              </w:rPr>
            </w:pPr>
            <w:r>
              <w:rPr>
                <w:rFonts w:hint="eastAsia" w:ascii="宋体" w:hAnsi="宋体" w:cs="宋体"/>
                <w:highlight w:val="none"/>
              </w:rPr>
              <w:t>号</w:t>
            </w:r>
          </w:p>
        </w:tc>
        <w:tc>
          <w:tcPr>
            <w:tcW w:w="677" w:type="pct"/>
            <w:vAlign w:val="center"/>
          </w:tcPr>
          <w:p w14:paraId="0E948BE5">
            <w:pPr>
              <w:ind w:left="8"/>
              <w:jc w:val="center"/>
              <w:rPr>
                <w:rFonts w:hint="eastAsia" w:ascii="宋体" w:hAnsi="宋体" w:cs="宋体"/>
                <w:highlight w:val="none"/>
              </w:rPr>
            </w:pPr>
            <w:r>
              <w:rPr>
                <w:rFonts w:hint="eastAsia" w:ascii="宋体" w:hAnsi="宋体" w:cs="宋体"/>
                <w:highlight w:val="none"/>
              </w:rPr>
              <w:t>材料设备</w:t>
            </w:r>
          </w:p>
          <w:p w14:paraId="73C797F8">
            <w:pPr>
              <w:ind w:left="8"/>
              <w:jc w:val="center"/>
              <w:rPr>
                <w:rFonts w:hint="eastAsia" w:ascii="宋体" w:hAnsi="宋体" w:cs="宋体"/>
                <w:highlight w:val="none"/>
              </w:rPr>
            </w:pPr>
            <w:r>
              <w:rPr>
                <w:rFonts w:hint="eastAsia" w:ascii="宋体" w:hAnsi="宋体" w:cs="宋体"/>
                <w:highlight w:val="none"/>
              </w:rPr>
              <w:t>名    称</w:t>
            </w:r>
          </w:p>
        </w:tc>
        <w:tc>
          <w:tcPr>
            <w:tcW w:w="612" w:type="pct"/>
            <w:vAlign w:val="center"/>
          </w:tcPr>
          <w:p w14:paraId="4B1E05BF">
            <w:pPr>
              <w:ind w:left="8"/>
              <w:jc w:val="center"/>
              <w:rPr>
                <w:rFonts w:hint="eastAsia" w:ascii="宋体" w:hAnsi="宋体" w:cs="宋体"/>
                <w:highlight w:val="none"/>
              </w:rPr>
            </w:pPr>
            <w:r>
              <w:rPr>
                <w:rFonts w:hint="eastAsia" w:ascii="宋体" w:hAnsi="宋体" w:cs="宋体"/>
                <w:highlight w:val="none"/>
              </w:rPr>
              <w:t>规格</w:t>
            </w:r>
          </w:p>
          <w:p w14:paraId="59CF4594">
            <w:pPr>
              <w:ind w:left="8"/>
              <w:jc w:val="center"/>
              <w:rPr>
                <w:rFonts w:hint="eastAsia" w:ascii="宋体" w:hAnsi="宋体" w:cs="宋体"/>
                <w:highlight w:val="none"/>
              </w:rPr>
            </w:pPr>
            <w:r>
              <w:rPr>
                <w:rFonts w:hint="eastAsia" w:ascii="宋体" w:hAnsi="宋体" w:cs="宋体"/>
                <w:highlight w:val="none"/>
              </w:rPr>
              <w:t>型号</w:t>
            </w:r>
          </w:p>
        </w:tc>
        <w:tc>
          <w:tcPr>
            <w:tcW w:w="459" w:type="pct"/>
            <w:vAlign w:val="center"/>
          </w:tcPr>
          <w:p w14:paraId="7FAD2CC2">
            <w:pPr>
              <w:ind w:left="8"/>
              <w:jc w:val="center"/>
              <w:rPr>
                <w:rFonts w:hint="eastAsia" w:ascii="宋体" w:hAnsi="宋体" w:cs="宋体"/>
                <w:highlight w:val="none"/>
              </w:rPr>
            </w:pPr>
            <w:r>
              <w:rPr>
                <w:rFonts w:hint="eastAsia" w:ascii="宋体" w:hAnsi="宋体" w:cs="宋体"/>
                <w:highlight w:val="none"/>
              </w:rPr>
              <w:t>单</w:t>
            </w:r>
          </w:p>
          <w:p w14:paraId="319B0131">
            <w:pPr>
              <w:ind w:left="8"/>
              <w:jc w:val="center"/>
              <w:rPr>
                <w:rFonts w:hint="eastAsia" w:ascii="宋体" w:hAnsi="宋体" w:cs="宋体"/>
                <w:highlight w:val="none"/>
              </w:rPr>
            </w:pPr>
            <w:r>
              <w:rPr>
                <w:rFonts w:hint="eastAsia" w:ascii="宋体" w:hAnsi="宋体" w:cs="宋体"/>
                <w:highlight w:val="none"/>
              </w:rPr>
              <w:t>位</w:t>
            </w:r>
          </w:p>
        </w:tc>
        <w:tc>
          <w:tcPr>
            <w:tcW w:w="459" w:type="pct"/>
            <w:vAlign w:val="center"/>
          </w:tcPr>
          <w:p w14:paraId="2289923D">
            <w:pPr>
              <w:ind w:left="8"/>
              <w:jc w:val="center"/>
              <w:rPr>
                <w:rFonts w:hint="eastAsia" w:ascii="宋体" w:hAnsi="宋体" w:cs="宋体"/>
                <w:highlight w:val="none"/>
              </w:rPr>
            </w:pPr>
            <w:r>
              <w:rPr>
                <w:rFonts w:hint="eastAsia" w:ascii="宋体" w:hAnsi="宋体" w:cs="宋体"/>
                <w:highlight w:val="none"/>
              </w:rPr>
              <w:t>数</w:t>
            </w:r>
          </w:p>
          <w:p w14:paraId="12BBF50C">
            <w:pPr>
              <w:ind w:left="8"/>
              <w:jc w:val="center"/>
              <w:rPr>
                <w:rFonts w:hint="eastAsia" w:ascii="宋体" w:hAnsi="宋体" w:cs="宋体"/>
                <w:highlight w:val="none"/>
              </w:rPr>
            </w:pPr>
            <w:r>
              <w:rPr>
                <w:rFonts w:hint="eastAsia" w:ascii="宋体" w:hAnsi="宋体" w:cs="宋体"/>
                <w:highlight w:val="none"/>
              </w:rPr>
              <w:t>量</w:t>
            </w:r>
          </w:p>
        </w:tc>
        <w:tc>
          <w:tcPr>
            <w:tcW w:w="459" w:type="pct"/>
            <w:vAlign w:val="center"/>
          </w:tcPr>
          <w:p w14:paraId="4FB47A64">
            <w:pPr>
              <w:ind w:left="8"/>
              <w:jc w:val="center"/>
              <w:rPr>
                <w:rFonts w:hint="eastAsia" w:ascii="宋体" w:hAnsi="宋体" w:cs="宋体"/>
                <w:highlight w:val="none"/>
              </w:rPr>
            </w:pPr>
            <w:r>
              <w:rPr>
                <w:rFonts w:hint="eastAsia" w:ascii="宋体" w:hAnsi="宋体" w:cs="宋体"/>
                <w:highlight w:val="none"/>
              </w:rPr>
              <w:t>单</w:t>
            </w:r>
          </w:p>
          <w:p w14:paraId="59C82E89">
            <w:pPr>
              <w:ind w:left="8"/>
              <w:jc w:val="center"/>
              <w:rPr>
                <w:rFonts w:hint="eastAsia" w:ascii="宋体" w:hAnsi="宋体" w:cs="宋体"/>
                <w:highlight w:val="none"/>
              </w:rPr>
            </w:pPr>
            <w:r>
              <w:rPr>
                <w:rFonts w:hint="eastAsia" w:ascii="宋体" w:hAnsi="宋体" w:cs="宋体"/>
                <w:highlight w:val="none"/>
              </w:rPr>
              <w:t>价</w:t>
            </w:r>
          </w:p>
        </w:tc>
        <w:tc>
          <w:tcPr>
            <w:tcW w:w="459" w:type="pct"/>
            <w:vAlign w:val="center"/>
          </w:tcPr>
          <w:p w14:paraId="6FAE204C">
            <w:pPr>
              <w:ind w:left="8"/>
              <w:jc w:val="center"/>
              <w:rPr>
                <w:rFonts w:hint="eastAsia" w:ascii="宋体" w:hAnsi="宋体" w:cs="宋体"/>
                <w:highlight w:val="none"/>
              </w:rPr>
            </w:pPr>
            <w:r>
              <w:rPr>
                <w:rFonts w:hint="eastAsia" w:ascii="宋体" w:hAnsi="宋体" w:cs="宋体"/>
                <w:highlight w:val="none"/>
              </w:rPr>
              <w:t>交货</w:t>
            </w:r>
          </w:p>
          <w:p w14:paraId="0619FE59">
            <w:pPr>
              <w:ind w:left="8"/>
              <w:jc w:val="center"/>
              <w:rPr>
                <w:rFonts w:hint="eastAsia" w:ascii="宋体" w:hAnsi="宋体" w:cs="宋体"/>
                <w:highlight w:val="none"/>
              </w:rPr>
            </w:pPr>
            <w:r>
              <w:rPr>
                <w:rFonts w:hint="eastAsia" w:ascii="宋体" w:hAnsi="宋体" w:cs="宋体"/>
                <w:highlight w:val="none"/>
              </w:rPr>
              <w:t>方式</w:t>
            </w:r>
          </w:p>
        </w:tc>
        <w:tc>
          <w:tcPr>
            <w:tcW w:w="459" w:type="pct"/>
            <w:vAlign w:val="center"/>
          </w:tcPr>
          <w:p w14:paraId="2E3F3DD4">
            <w:pPr>
              <w:ind w:left="8"/>
              <w:jc w:val="center"/>
              <w:rPr>
                <w:rFonts w:hint="eastAsia" w:ascii="宋体" w:hAnsi="宋体" w:cs="宋体"/>
                <w:highlight w:val="none"/>
              </w:rPr>
            </w:pPr>
            <w:r>
              <w:rPr>
                <w:rFonts w:hint="eastAsia" w:ascii="宋体" w:hAnsi="宋体" w:cs="宋体"/>
                <w:highlight w:val="none"/>
              </w:rPr>
              <w:t>交货</w:t>
            </w:r>
          </w:p>
          <w:p w14:paraId="4B33A8E9">
            <w:pPr>
              <w:ind w:left="8"/>
              <w:jc w:val="center"/>
              <w:rPr>
                <w:rFonts w:hint="eastAsia" w:ascii="宋体" w:hAnsi="宋体" w:cs="宋体"/>
                <w:highlight w:val="none"/>
              </w:rPr>
            </w:pPr>
            <w:r>
              <w:rPr>
                <w:rFonts w:hint="eastAsia" w:ascii="宋体" w:hAnsi="宋体" w:cs="宋体"/>
                <w:highlight w:val="none"/>
              </w:rPr>
              <w:t>地点</w:t>
            </w:r>
          </w:p>
        </w:tc>
        <w:tc>
          <w:tcPr>
            <w:tcW w:w="530" w:type="pct"/>
            <w:vAlign w:val="center"/>
          </w:tcPr>
          <w:p w14:paraId="17E3C3A5">
            <w:pPr>
              <w:ind w:left="8"/>
              <w:jc w:val="center"/>
              <w:rPr>
                <w:rFonts w:hint="eastAsia" w:ascii="宋体" w:hAnsi="宋体" w:cs="宋体"/>
                <w:highlight w:val="none"/>
              </w:rPr>
            </w:pPr>
            <w:r>
              <w:rPr>
                <w:rFonts w:hint="eastAsia" w:ascii="宋体" w:hAnsi="宋体" w:cs="宋体"/>
                <w:highlight w:val="none"/>
              </w:rPr>
              <w:t>计划交货时间</w:t>
            </w:r>
          </w:p>
        </w:tc>
        <w:tc>
          <w:tcPr>
            <w:tcW w:w="421" w:type="pct"/>
            <w:vAlign w:val="center"/>
          </w:tcPr>
          <w:p w14:paraId="17D551FB">
            <w:pPr>
              <w:ind w:left="8"/>
              <w:jc w:val="center"/>
              <w:rPr>
                <w:rFonts w:hint="eastAsia" w:ascii="宋体" w:hAnsi="宋体" w:cs="宋体"/>
                <w:highlight w:val="none"/>
              </w:rPr>
            </w:pPr>
            <w:r>
              <w:rPr>
                <w:rFonts w:hint="eastAsia" w:ascii="宋体" w:hAnsi="宋体" w:cs="宋体"/>
                <w:highlight w:val="none"/>
              </w:rPr>
              <w:t>备注</w:t>
            </w:r>
          </w:p>
        </w:tc>
      </w:tr>
      <w:tr w14:paraId="529B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1A682219">
            <w:pPr>
              <w:jc w:val="center"/>
              <w:rPr>
                <w:rFonts w:hint="eastAsia" w:ascii="宋体" w:hAnsi="宋体" w:cs="宋体"/>
                <w:sz w:val="28"/>
                <w:szCs w:val="28"/>
                <w:highlight w:val="none"/>
              </w:rPr>
            </w:pPr>
          </w:p>
        </w:tc>
        <w:tc>
          <w:tcPr>
            <w:tcW w:w="677" w:type="pct"/>
          </w:tcPr>
          <w:p w14:paraId="27F0DE8B">
            <w:pPr>
              <w:jc w:val="center"/>
              <w:rPr>
                <w:rFonts w:hint="eastAsia" w:ascii="宋体" w:hAnsi="宋体" w:cs="宋体"/>
                <w:szCs w:val="21"/>
                <w:highlight w:val="none"/>
              </w:rPr>
            </w:pPr>
          </w:p>
        </w:tc>
        <w:tc>
          <w:tcPr>
            <w:tcW w:w="612" w:type="pct"/>
          </w:tcPr>
          <w:p w14:paraId="5E963C95">
            <w:pPr>
              <w:jc w:val="center"/>
              <w:rPr>
                <w:rFonts w:hint="eastAsia" w:ascii="宋体" w:hAnsi="宋体" w:cs="宋体"/>
                <w:sz w:val="28"/>
                <w:szCs w:val="28"/>
                <w:highlight w:val="none"/>
              </w:rPr>
            </w:pPr>
          </w:p>
        </w:tc>
        <w:tc>
          <w:tcPr>
            <w:tcW w:w="459" w:type="pct"/>
          </w:tcPr>
          <w:p w14:paraId="449F01E9">
            <w:pPr>
              <w:jc w:val="center"/>
              <w:rPr>
                <w:rFonts w:hint="eastAsia" w:ascii="宋体" w:hAnsi="宋体" w:cs="宋体"/>
                <w:szCs w:val="21"/>
                <w:highlight w:val="none"/>
              </w:rPr>
            </w:pPr>
          </w:p>
        </w:tc>
        <w:tc>
          <w:tcPr>
            <w:tcW w:w="459" w:type="pct"/>
          </w:tcPr>
          <w:p w14:paraId="2319230F">
            <w:pPr>
              <w:jc w:val="center"/>
              <w:rPr>
                <w:rFonts w:hint="eastAsia" w:ascii="宋体" w:hAnsi="宋体" w:cs="宋体"/>
                <w:szCs w:val="21"/>
                <w:highlight w:val="none"/>
              </w:rPr>
            </w:pPr>
          </w:p>
        </w:tc>
        <w:tc>
          <w:tcPr>
            <w:tcW w:w="459" w:type="pct"/>
          </w:tcPr>
          <w:p w14:paraId="1662C101">
            <w:pPr>
              <w:jc w:val="center"/>
              <w:rPr>
                <w:rFonts w:hint="eastAsia" w:ascii="宋体" w:hAnsi="宋体" w:cs="宋体"/>
                <w:sz w:val="28"/>
                <w:szCs w:val="28"/>
                <w:highlight w:val="none"/>
              </w:rPr>
            </w:pPr>
          </w:p>
        </w:tc>
        <w:tc>
          <w:tcPr>
            <w:tcW w:w="459" w:type="pct"/>
          </w:tcPr>
          <w:p w14:paraId="659312EF">
            <w:pPr>
              <w:jc w:val="center"/>
              <w:rPr>
                <w:rFonts w:hint="eastAsia" w:ascii="宋体" w:hAnsi="宋体" w:cs="宋体"/>
                <w:sz w:val="28"/>
                <w:szCs w:val="28"/>
                <w:highlight w:val="none"/>
              </w:rPr>
            </w:pPr>
          </w:p>
        </w:tc>
        <w:tc>
          <w:tcPr>
            <w:tcW w:w="459" w:type="pct"/>
          </w:tcPr>
          <w:p w14:paraId="564A5747">
            <w:pPr>
              <w:jc w:val="center"/>
              <w:rPr>
                <w:rFonts w:hint="eastAsia" w:ascii="宋体" w:hAnsi="宋体" w:cs="宋体"/>
                <w:sz w:val="28"/>
                <w:szCs w:val="28"/>
                <w:highlight w:val="none"/>
              </w:rPr>
            </w:pPr>
          </w:p>
        </w:tc>
        <w:tc>
          <w:tcPr>
            <w:tcW w:w="530" w:type="pct"/>
          </w:tcPr>
          <w:p w14:paraId="7D0333AD">
            <w:pPr>
              <w:jc w:val="center"/>
              <w:rPr>
                <w:rFonts w:hint="eastAsia" w:ascii="宋体" w:hAnsi="宋体" w:cs="宋体"/>
                <w:sz w:val="28"/>
                <w:szCs w:val="28"/>
                <w:highlight w:val="none"/>
              </w:rPr>
            </w:pPr>
          </w:p>
        </w:tc>
        <w:tc>
          <w:tcPr>
            <w:tcW w:w="421" w:type="pct"/>
          </w:tcPr>
          <w:p w14:paraId="7EE281D5">
            <w:pPr>
              <w:jc w:val="center"/>
              <w:rPr>
                <w:rFonts w:hint="eastAsia" w:ascii="宋体" w:hAnsi="宋体" w:cs="宋体"/>
                <w:sz w:val="28"/>
                <w:szCs w:val="28"/>
                <w:highlight w:val="none"/>
              </w:rPr>
            </w:pPr>
          </w:p>
        </w:tc>
      </w:tr>
      <w:tr w14:paraId="7FE6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3EA13FE9">
            <w:pPr>
              <w:jc w:val="center"/>
              <w:rPr>
                <w:rFonts w:hint="eastAsia" w:ascii="宋体" w:hAnsi="宋体" w:cs="宋体"/>
                <w:sz w:val="28"/>
                <w:szCs w:val="28"/>
                <w:highlight w:val="none"/>
              </w:rPr>
            </w:pPr>
          </w:p>
        </w:tc>
        <w:tc>
          <w:tcPr>
            <w:tcW w:w="677" w:type="pct"/>
          </w:tcPr>
          <w:p w14:paraId="4B1D96ED">
            <w:pPr>
              <w:jc w:val="center"/>
              <w:rPr>
                <w:rFonts w:hint="eastAsia" w:ascii="宋体" w:hAnsi="宋体" w:cs="宋体"/>
                <w:szCs w:val="21"/>
                <w:highlight w:val="none"/>
              </w:rPr>
            </w:pPr>
          </w:p>
        </w:tc>
        <w:tc>
          <w:tcPr>
            <w:tcW w:w="612" w:type="pct"/>
          </w:tcPr>
          <w:p w14:paraId="4933CE4D">
            <w:pPr>
              <w:jc w:val="center"/>
              <w:rPr>
                <w:rFonts w:hint="eastAsia" w:ascii="宋体" w:hAnsi="宋体" w:cs="宋体"/>
                <w:sz w:val="28"/>
                <w:szCs w:val="28"/>
                <w:highlight w:val="none"/>
              </w:rPr>
            </w:pPr>
          </w:p>
        </w:tc>
        <w:tc>
          <w:tcPr>
            <w:tcW w:w="459" w:type="pct"/>
          </w:tcPr>
          <w:p w14:paraId="637E2F65">
            <w:pPr>
              <w:jc w:val="center"/>
              <w:rPr>
                <w:rFonts w:hint="eastAsia" w:ascii="宋体" w:hAnsi="宋体" w:cs="宋体"/>
                <w:szCs w:val="21"/>
                <w:highlight w:val="none"/>
              </w:rPr>
            </w:pPr>
          </w:p>
        </w:tc>
        <w:tc>
          <w:tcPr>
            <w:tcW w:w="459" w:type="pct"/>
          </w:tcPr>
          <w:p w14:paraId="7AED2435">
            <w:pPr>
              <w:jc w:val="center"/>
              <w:rPr>
                <w:rFonts w:hint="eastAsia" w:ascii="宋体" w:hAnsi="宋体" w:cs="宋体"/>
                <w:szCs w:val="21"/>
                <w:highlight w:val="none"/>
              </w:rPr>
            </w:pPr>
          </w:p>
        </w:tc>
        <w:tc>
          <w:tcPr>
            <w:tcW w:w="459" w:type="pct"/>
          </w:tcPr>
          <w:p w14:paraId="76930262">
            <w:pPr>
              <w:jc w:val="center"/>
              <w:rPr>
                <w:rFonts w:hint="eastAsia" w:ascii="宋体" w:hAnsi="宋体" w:cs="宋体"/>
                <w:sz w:val="28"/>
                <w:szCs w:val="28"/>
                <w:highlight w:val="none"/>
              </w:rPr>
            </w:pPr>
          </w:p>
        </w:tc>
        <w:tc>
          <w:tcPr>
            <w:tcW w:w="459" w:type="pct"/>
          </w:tcPr>
          <w:p w14:paraId="00CF50A2">
            <w:pPr>
              <w:jc w:val="center"/>
              <w:rPr>
                <w:rFonts w:hint="eastAsia" w:ascii="宋体" w:hAnsi="宋体" w:cs="宋体"/>
                <w:sz w:val="28"/>
                <w:szCs w:val="28"/>
                <w:highlight w:val="none"/>
              </w:rPr>
            </w:pPr>
          </w:p>
        </w:tc>
        <w:tc>
          <w:tcPr>
            <w:tcW w:w="459" w:type="pct"/>
          </w:tcPr>
          <w:p w14:paraId="2C55010A">
            <w:pPr>
              <w:jc w:val="center"/>
              <w:rPr>
                <w:rFonts w:hint="eastAsia" w:ascii="宋体" w:hAnsi="宋体" w:cs="宋体"/>
                <w:sz w:val="28"/>
                <w:szCs w:val="28"/>
                <w:highlight w:val="none"/>
              </w:rPr>
            </w:pPr>
          </w:p>
        </w:tc>
        <w:tc>
          <w:tcPr>
            <w:tcW w:w="530" w:type="pct"/>
          </w:tcPr>
          <w:p w14:paraId="54159A39">
            <w:pPr>
              <w:jc w:val="center"/>
              <w:rPr>
                <w:rFonts w:hint="eastAsia" w:ascii="宋体" w:hAnsi="宋体" w:cs="宋体"/>
                <w:sz w:val="28"/>
                <w:szCs w:val="28"/>
                <w:highlight w:val="none"/>
              </w:rPr>
            </w:pPr>
          </w:p>
        </w:tc>
        <w:tc>
          <w:tcPr>
            <w:tcW w:w="421" w:type="pct"/>
          </w:tcPr>
          <w:p w14:paraId="5BCA6DE3">
            <w:pPr>
              <w:jc w:val="center"/>
              <w:rPr>
                <w:rFonts w:hint="eastAsia" w:ascii="宋体" w:hAnsi="宋体" w:cs="宋体"/>
                <w:sz w:val="28"/>
                <w:szCs w:val="28"/>
                <w:highlight w:val="none"/>
              </w:rPr>
            </w:pPr>
          </w:p>
        </w:tc>
      </w:tr>
      <w:tr w14:paraId="6D2E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46BB25AC">
            <w:pPr>
              <w:jc w:val="center"/>
              <w:rPr>
                <w:rFonts w:hint="eastAsia" w:ascii="宋体" w:hAnsi="宋体" w:cs="宋体"/>
                <w:sz w:val="28"/>
                <w:szCs w:val="28"/>
                <w:highlight w:val="none"/>
              </w:rPr>
            </w:pPr>
          </w:p>
        </w:tc>
        <w:tc>
          <w:tcPr>
            <w:tcW w:w="677" w:type="pct"/>
          </w:tcPr>
          <w:p w14:paraId="14A11885">
            <w:pPr>
              <w:jc w:val="center"/>
              <w:rPr>
                <w:rFonts w:hint="eastAsia" w:ascii="宋体" w:hAnsi="宋体" w:cs="宋体"/>
                <w:szCs w:val="21"/>
                <w:highlight w:val="none"/>
              </w:rPr>
            </w:pPr>
          </w:p>
        </w:tc>
        <w:tc>
          <w:tcPr>
            <w:tcW w:w="612" w:type="pct"/>
          </w:tcPr>
          <w:p w14:paraId="0336626A">
            <w:pPr>
              <w:jc w:val="center"/>
              <w:rPr>
                <w:rFonts w:hint="eastAsia" w:ascii="宋体" w:hAnsi="宋体" w:cs="宋体"/>
                <w:sz w:val="28"/>
                <w:szCs w:val="28"/>
                <w:highlight w:val="none"/>
              </w:rPr>
            </w:pPr>
          </w:p>
        </w:tc>
        <w:tc>
          <w:tcPr>
            <w:tcW w:w="459" w:type="pct"/>
          </w:tcPr>
          <w:p w14:paraId="586A238B">
            <w:pPr>
              <w:jc w:val="center"/>
              <w:rPr>
                <w:rFonts w:hint="eastAsia" w:ascii="宋体" w:hAnsi="宋体" w:cs="宋体"/>
                <w:szCs w:val="21"/>
                <w:highlight w:val="none"/>
              </w:rPr>
            </w:pPr>
          </w:p>
        </w:tc>
        <w:tc>
          <w:tcPr>
            <w:tcW w:w="459" w:type="pct"/>
          </w:tcPr>
          <w:p w14:paraId="7AE27DB0">
            <w:pPr>
              <w:jc w:val="center"/>
              <w:rPr>
                <w:rFonts w:hint="eastAsia" w:ascii="宋体" w:hAnsi="宋体" w:cs="宋体"/>
                <w:szCs w:val="21"/>
                <w:highlight w:val="none"/>
              </w:rPr>
            </w:pPr>
          </w:p>
        </w:tc>
        <w:tc>
          <w:tcPr>
            <w:tcW w:w="459" w:type="pct"/>
          </w:tcPr>
          <w:p w14:paraId="5DFCB2E2">
            <w:pPr>
              <w:jc w:val="center"/>
              <w:rPr>
                <w:rFonts w:hint="eastAsia" w:ascii="宋体" w:hAnsi="宋体" w:cs="宋体"/>
                <w:sz w:val="28"/>
                <w:szCs w:val="28"/>
                <w:highlight w:val="none"/>
              </w:rPr>
            </w:pPr>
          </w:p>
        </w:tc>
        <w:tc>
          <w:tcPr>
            <w:tcW w:w="459" w:type="pct"/>
          </w:tcPr>
          <w:p w14:paraId="4267824F">
            <w:pPr>
              <w:jc w:val="center"/>
              <w:rPr>
                <w:rFonts w:hint="eastAsia" w:ascii="宋体" w:hAnsi="宋体" w:cs="宋体"/>
                <w:sz w:val="28"/>
                <w:szCs w:val="28"/>
                <w:highlight w:val="none"/>
              </w:rPr>
            </w:pPr>
          </w:p>
        </w:tc>
        <w:tc>
          <w:tcPr>
            <w:tcW w:w="459" w:type="pct"/>
          </w:tcPr>
          <w:p w14:paraId="17FEF45B">
            <w:pPr>
              <w:jc w:val="center"/>
              <w:rPr>
                <w:rFonts w:hint="eastAsia" w:ascii="宋体" w:hAnsi="宋体" w:cs="宋体"/>
                <w:sz w:val="28"/>
                <w:szCs w:val="28"/>
                <w:highlight w:val="none"/>
              </w:rPr>
            </w:pPr>
          </w:p>
        </w:tc>
        <w:tc>
          <w:tcPr>
            <w:tcW w:w="530" w:type="pct"/>
          </w:tcPr>
          <w:p w14:paraId="2AF110DD">
            <w:pPr>
              <w:jc w:val="center"/>
              <w:rPr>
                <w:rFonts w:hint="eastAsia" w:ascii="宋体" w:hAnsi="宋体" w:cs="宋体"/>
                <w:sz w:val="28"/>
                <w:szCs w:val="28"/>
                <w:highlight w:val="none"/>
              </w:rPr>
            </w:pPr>
          </w:p>
        </w:tc>
        <w:tc>
          <w:tcPr>
            <w:tcW w:w="421" w:type="pct"/>
          </w:tcPr>
          <w:p w14:paraId="7D20C4E6">
            <w:pPr>
              <w:jc w:val="center"/>
              <w:rPr>
                <w:rFonts w:hint="eastAsia" w:ascii="宋体" w:hAnsi="宋体" w:cs="宋体"/>
                <w:sz w:val="28"/>
                <w:szCs w:val="28"/>
                <w:highlight w:val="none"/>
              </w:rPr>
            </w:pPr>
          </w:p>
        </w:tc>
      </w:tr>
      <w:tr w14:paraId="7CCD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325D84C7">
            <w:pPr>
              <w:jc w:val="center"/>
              <w:rPr>
                <w:rFonts w:hint="eastAsia" w:ascii="宋体" w:hAnsi="宋体" w:cs="宋体"/>
                <w:sz w:val="28"/>
                <w:szCs w:val="28"/>
                <w:highlight w:val="none"/>
              </w:rPr>
            </w:pPr>
          </w:p>
        </w:tc>
        <w:tc>
          <w:tcPr>
            <w:tcW w:w="677" w:type="pct"/>
          </w:tcPr>
          <w:p w14:paraId="48BB8B74">
            <w:pPr>
              <w:jc w:val="center"/>
              <w:rPr>
                <w:rFonts w:hint="eastAsia" w:ascii="宋体" w:hAnsi="宋体" w:cs="宋体"/>
                <w:szCs w:val="21"/>
                <w:highlight w:val="none"/>
              </w:rPr>
            </w:pPr>
          </w:p>
        </w:tc>
        <w:tc>
          <w:tcPr>
            <w:tcW w:w="612" w:type="pct"/>
          </w:tcPr>
          <w:p w14:paraId="5DE1ADB7">
            <w:pPr>
              <w:jc w:val="center"/>
              <w:rPr>
                <w:rFonts w:hint="eastAsia" w:ascii="宋体" w:hAnsi="宋体" w:cs="宋体"/>
                <w:sz w:val="28"/>
                <w:szCs w:val="28"/>
                <w:highlight w:val="none"/>
              </w:rPr>
            </w:pPr>
          </w:p>
        </w:tc>
        <w:tc>
          <w:tcPr>
            <w:tcW w:w="459" w:type="pct"/>
          </w:tcPr>
          <w:p w14:paraId="35D237BF">
            <w:pPr>
              <w:jc w:val="center"/>
              <w:rPr>
                <w:rFonts w:hint="eastAsia" w:ascii="宋体" w:hAnsi="宋体" w:cs="宋体"/>
                <w:szCs w:val="21"/>
                <w:highlight w:val="none"/>
              </w:rPr>
            </w:pPr>
          </w:p>
        </w:tc>
        <w:tc>
          <w:tcPr>
            <w:tcW w:w="459" w:type="pct"/>
          </w:tcPr>
          <w:p w14:paraId="5CB1744D">
            <w:pPr>
              <w:jc w:val="center"/>
              <w:rPr>
                <w:rFonts w:hint="eastAsia" w:ascii="宋体" w:hAnsi="宋体" w:cs="宋体"/>
                <w:szCs w:val="21"/>
                <w:highlight w:val="none"/>
              </w:rPr>
            </w:pPr>
          </w:p>
        </w:tc>
        <w:tc>
          <w:tcPr>
            <w:tcW w:w="459" w:type="pct"/>
          </w:tcPr>
          <w:p w14:paraId="1EC7869D">
            <w:pPr>
              <w:jc w:val="center"/>
              <w:rPr>
                <w:rFonts w:hint="eastAsia" w:ascii="宋体" w:hAnsi="宋体" w:cs="宋体"/>
                <w:sz w:val="28"/>
                <w:szCs w:val="28"/>
                <w:highlight w:val="none"/>
              </w:rPr>
            </w:pPr>
          </w:p>
        </w:tc>
        <w:tc>
          <w:tcPr>
            <w:tcW w:w="459" w:type="pct"/>
          </w:tcPr>
          <w:p w14:paraId="67840A4D">
            <w:pPr>
              <w:jc w:val="center"/>
              <w:rPr>
                <w:rFonts w:hint="eastAsia" w:ascii="宋体" w:hAnsi="宋体" w:cs="宋体"/>
                <w:sz w:val="28"/>
                <w:szCs w:val="28"/>
                <w:highlight w:val="none"/>
              </w:rPr>
            </w:pPr>
          </w:p>
        </w:tc>
        <w:tc>
          <w:tcPr>
            <w:tcW w:w="459" w:type="pct"/>
          </w:tcPr>
          <w:p w14:paraId="4F8C20EF">
            <w:pPr>
              <w:jc w:val="center"/>
              <w:rPr>
                <w:rFonts w:hint="eastAsia" w:ascii="宋体" w:hAnsi="宋体" w:cs="宋体"/>
                <w:sz w:val="28"/>
                <w:szCs w:val="28"/>
                <w:highlight w:val="none"/>
              </w:rPr>
            </w:pPr>
          </w:p>
        </w:tc>
        <w:tc>
          <w:tcPr>
            <w:tcW w:w="530" w:type="pct"/>
          </w:tcPr>
          <w:p w14:paraId="4DD85F6B">
            <w:pPr>
              <w:jc w:val="center"/>
              <w:rPr>
                <w:rFonts w:hint="eastAsia" w:ascii="宋体" w:hAnsi="宋体" w:cs="宋体"/>
                <w:sz w:val="28"/>
                <w:szCs w:val="28"/>
                <w:highlight w:val="none"/>
              </w:rPr>
            </w:pPr>
          </w:p>
        </w:tc>
        <w:tc>
          <w:tcPr>
            <w:tcW w:w="421" w:type="pct"/>
          </w:tcPr>
          <w:p w14:paraId="00D1699C">
            <w:pPr>
              <w:jc w:val="center"/>
              <w:rPr>
                <w:rFonts w:hint="eastAsia" w:ascii="宋体" w:hAnsi="宋体" w:cs="宋体"/>
                <w:sz w:val="28"/>
                <w:szCs w:val="28"/>
                <w:highlight w:val="none"/>
              </w:rPr>
            </w:pPr>
          </w:p>
        </w:tc>
      </w:tr>
      <w:tr w14:paraId="4873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696C4916">
            <w:pPr>
              <w:jc w:val="center"/>
              <w:rPr>
                <w:rFonts w:hint="eastAsia" w:ascii="宋体" w:hAnsi="宋体" w:cs="宋体"/>
                <w:sz w:val="28"/>
                <w:szCs w:val="28"/>
                <w:highlight w:val="none"/>
              </w:rPr>
            </w:pPr>
          </w:p>
        </w:tc>
        <w:tc>
          <w:tcPr>
            <w:tcW w:w="677" w:type="pct"/>
          </w:tcPr>
          <w:p w14:paraId="7A3CBE4F">
            <w:pPr>
              <w:jc w:val="center"/>
              <w:rPr>
                <w:rFonts w:hint="eastAsia" w:ascii="宋体" w:hAnsi="宋体" w:cs="宋体"/>
                <w:sz w:val="28"/>
                <w:szCs w:val="28"/>
                <w:highlight w:val="none"/>
              </w:rPr>
            </w:pPr>
          </w:p>
        </w:tc>
        <w:tc>
          <w:tcPr>
            <w:tcW w:w="612" w:type="pct"/>
          </w:tcPr>
          <w:p w14:paraId="075DDD6E">
            <w:pPr>
              <w:jc w:val="center"/>
              <w:rPr>
                <w:rFonts w:hint="eastAsia" w:ascii="宋体" w:hAnsi="宋体" w:cs="宋体"/>
                <w:sz w:val="28"/>
                <w:szCs w:val="28"/>
                <w:highlight w:val="none"/>
              </w:rPr>
            </w:pPr>
          </w:p>
        </w:tc>
        <w:tc>
          <w:tcPr>
            <w:tcW w:w="459" w:type="pct"/>
          </w:tcPr>
          <w:p w14:paraId="37047AD6">
            <w:pPr>
              <w:jc w:val="center"/>
              <w:rPr>
                <w:rFonts w:hint="eastAsia" w:ascii="宋体" w:hAnsi="宋体" w:cs="宋体"/>
                <w:sz w:val="28"/>
                <w:szCs w:val="28"/>
                <w:highlight w:val="none"/>
              </w:rPr>
            </w:pPr>
          </w:p>
        </w:tc>
        <w:tc>
          <w:tcPr>
            <w:tcW w:w="459" w:type="pct"/>
          </w:tcPr>
          <w:p w14:paraId="41E92E39">
            <w:pPr>
              <w:jc w:val="center"/>
              <w:rPr>
                <w:rFonts w:hint="eastAsia" w:ascii="宋体" w:hAnsi="宋体" w:cs="宋体"/>
                <w:sz w:val="28"/>
                <w:szCs w:val="28"/>
                <w:highlight w:val="none"/>
              </w:rPr>
            </w:pPr>
          </w:p>
        </w:tc>
        <w:tc>
          <w:tcPr>
            <w:tcW w:w="459" w:type="pct"/>
          </w:tcPr>
          <w:p w14:paraId="299F0950">
            <w:pPr>
              <w:jc w:val="center"/>
              <w:rPr>
                <w:rFonts w:hint="eastAsia" w:ascii="宋体" w:hAnsi="宋体" w:cs="宋体"/>
                <w:sz w:val="28"/>
                <w:szCs w:val="28"/>
                <w:highlight w:val="none"/>
              </w:rPr>
            </w:pPr>
          </w:p>
        </w:tc>
        <w:tc>
          <w:tcPr>
            <w:tcW w:w="459" w:type="pct"/>
          </w:tcPr>
          <w:p w14:paraId="55351C46">
            <w:pPr>
              <w:jc w:val="center"/>
              <w:rPr>
                <w:rFonts w:hint="eastAsia" w:ascii="宋体" w:hAnsi="宋体" w:cs="宋体"/>
                <w:sz w:val="28"/>
                <w:szCs w:val="28"/>
                <w:highlight w:val="none"/>
              </w:rPr>
            </w:pPr>
          </w:p>
        </w:tc>
        <w:tc>
          <w:tcPr>
            <w:tcW w:w="459" w:type="pct"/>
          </w:tcPr>
          <w:p w14:paraId="718A9DF1">
            <w:pPr>
              <w:jc w:val="center"/>
              <w:rPr>
                <w:rFonts w:hint="eastAsia" w:ascii="宋体" w:hAnsi="宋体" w:cs="宋体"/>
                <w:sz w:val="28"/>
                <w:szCs w:val="28"/>
                <w:highlight w:val="none"/>
              </w:rPr>
            </w:pPr>
          </w:p>
        </w:tc>
        <w:tc>
          <w:tcPr>
            <w:tcW w:w="530" w:type="pct"/>
          </w:tcPr>
          <w:p w14:paraId="6DDA11B2">
            <w:pPr>
              <w:jc w:val="center"/>
              <w:rPr>
                <w:rFonts w:hint="eastAsia" w:ascii="宋体" w:hAnsi="宋体" w:cs="宋体"/>
                <w:sz w:val="28"/>
                <w:szCs w:val="28"/>
                <w:highlight w:val="none"/>
              </w:rPr>
            </w:pPr>
          </w:p>
        </w:tc>
        <w:tc>
          <w:tcPr>
            <w:tcW w:w="421" w:type="pct"/>
          </w:tcPr>
          <w:p w14:paraId="61E5D046">
            <w:pPr>
              <w:jc w:val="center"/>
              <w:rPr>
                <w:rFonts w:hint="eastAsia" w:ascii="宋体" w:hAnsi="宋体" w:cs="宋体"/>
                <w:sz w:val="28"/>
                <w:szCs w:val="28"/>
                <w:highlight w:val="none"/>
              </w:rPr>
            </w:pPr>
          </w:p>
        </w:tc>
      </w:tr>
      <w:tr w14:paraId="3ECB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2495700C">
            <w:pPr>
              <w:jc w:val="center"/>
              <w:rPr>
                <w:rFonts w:hint="eastAsia" w:ascii="宋体" w:hAnsi="宋体" w:cs="宋体"/>
                <w:sz w:val="28"/>
                <w:szCs w:val="28"/>
                <w:highlight w:val="none"/>
              </w:rPr>
            </w:pPr>
          </w:p>
        </w:tc>
        <w:tc>
          <w:tcPr>
            <w:tcW w:w="677" w:type="pct"/>
          </w:tcPr>
          <w:p w14:paraId="13F83CE0">
            <w:pPr>
              <w:jc w:val="center"/>
              <w:rPr>
                <w:rFonts w:hint="eastAsia" w:ascii="宋体" w:hAnsi="宋体" w:cs="宋体"/>
                <w:sz w:val="28"/>
                <w:szCs w:val="28"/>
                <w:highlight w:val="none"/>
              </w:rPr>
            </w:pPr>
          </w:p>
        </w:tc>
        <w:tc>
          <w:tcPr>
            <w:tcW w:w="612" w:type="pct"/>
          </w:tcPr>
          <w:p w14:paraId="35441FEA">
            <w:pPr>
              <w:jc w:val="center"/>
              <w:rPr>
                <w:rFonts w:hint="eastAsia" w:ascii="宋体" w:hAnsi="宋体" w:cs="宋体"/>
                <w:sz w:val="28"/>
                <w:szCs w:val="28"/>
                <w:highlight w:val="none"/>
              </w:rPr>
            </w:pPr>
          </w:p>
        </w:tc>
        <w:tc>
          <w:tcPr>
            <w:tcW w:w="459" w:type="pct"/>
          </w:tcPr>
          <w:p w14:paraId="118912E0">
            <w:pPr>
              <w:jc w:val="center"/>
              <w:rPr>
                <w:rFonts w:hint="eastAsia" w:ascii="宋体" w:hAnsi="宋体" w:cs="宋体"/>
                <w:sz w:val="28"/>
                <w:szCs w:val="28"/>
                <w:highlight w:val="none"/>
              </w:rPr>
            </w:pPr>
          </w:p>
        </w:tc>
        <w:tc>
          <w:tcPr>
            <w:tcW w:w="459" w:type="pct"/>
          </w:tcPr>
          <w:p w14:paraId="52A5DE0F">
            <w:pPr>
              <w:jc w:val="center"/>
              <w:rPr>
                <w:rFonts w:hint="eastAsia" w:ascii="宋体" w:hAnsi="宋体" w:cs="宋体"/>
                <w:sz w:val="28"/>
                <w:szCs w:val="28"/>
                <w:highlight w:val="none"/>
              </w:rPr>
            </w:pPr>
          </w:p>
        </w:tc>
        <w:tc>
          <w:tcPr>
            <w:tcW w:w="459" w:type="pct"/>
          </w:tcPr>
          <w:p w14:paraId="4044D89D">
            <w:pPr>
              <w:jc w:val="center"/>
              <w:rPr>
                <w:rFonts w:hint="eastAsia" w:ascii="宋体" w:hAnsi="宋体" w:cs="宋体"/>
                <w:sz w:val="28"/>
                <w:szCs w:val="28"/>
                <w:highlight w:val="none"/>
              </w:rPr>
            </w:pPr>
          </w:p>
        </w:tc>
        <w:tc>
          <w:tcPr>
            <w:tcW w:w="459" w:type="pct"/>
          </w:tcPr>
          <w:p w14:paraId="2C36DFD8">
            <w:pPr>
              <w:jc w:val="center"/>
              <w:rPr>
                <w:rFonts w:hint="eastAsia" w:ascii="宋体" w:hAnsi="宋体" w:cs="宋体"/>
                <w:sz w:val="28"/>
                <w:szCs w:val="28"/>
                <w:highlight w:val="none"/>
              </w:rPr>
            </w:pPr>
          </w:p>
        </w:tc>
        <w:tc>
          <w:tcPr>
            <w:tcW w:w="459" w:type="pct"/>
          </w:tcPr>
          <w:p w14:paraId="50362F05">
            <w:pPr>
              <w:jc w:val="center"/>
              <w:rPr>
                <w:rFonts w:hint="eastAsia" w:ascii="宋体" w:hAnsi="宋体" w:cs="宋体"/>
                <w:sz w:val="28"/>
                <w:szCs w:val="28"/>
                <w:highlight w:val="none"/>
              </w:rPr>
            </w:pPr>
          </w:p>
        </w:tc>
        <w:tc>
          <w:tcPr>
            <w:tcW w:w="530" w:type="pct"/>
          </w:tcPr>
          <w:p w14:paraId="49B6AC95">
            <w:pPr>
              <w:jc w:val="center"/>
              <w:rPr>
                <w:rFonts w:hint="eastAsia" w:ascii="宋体" w:hAnsi="宋体" w:cs="宋体"/>
                <w:sz w:val="28"/>
                <w:szCs w:val="28"/>
                <w:highlight w:val="none"/>
              </w:rPr>
            </w:pPr>
          </w:p>
        </w:tc>
        <w:tc>
          <w:tcPr>
            <w:tcW w:w="421" w:type="pct"/>
          </w:tcPr>
          <w:p w14:paraId="00079AD6">
            <w:pPr>
              <w:jc w:val="center"/>
              <w:rPr>
                <w:rFonts w:hint="eastAsia" w:ascii="宋体" w:hAnsi="宋体" w:cs="宋体"/>
                <w:sz w:val="28"/>
                <w:szCs w:val="28"/>
                <w:highlight w:val="none"/>
              </w:rPr>
            </w:pPr>
          </w:p>
        </w:tc>
      </w:tr>
      <w:tr w14:paraId="35D5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28CD8AAF">
            <w:pPr>
              <w:jc w:val="center"/>
              <w:rPr>
                <w:rFonts w:hint="eastAsia" w:ascii="宋体" w:hAnsi="宋体" w:cs="宋体"/>
                <w:sz w:val="28"/>
                <w:szCs w:val="28"/>
                <w:highlight w:val="none"/>
              </w:rPr>
            </w:pPr>
          </w:p>
        </w:tc>
        <w:tc>
          <w:tcPr>
            <w:tcW w:w="677" w:type="pct"/>
          </w:tcPr>
          <w:p w14:paraId="704E121F">
            <w:pPr>
              <w:jc w:val="center"/>
              <w:rPr>
                <w:rFonts w:hint="eastAsia" w:ascii="宋体" w:hAnsi="宋体" w:cs="宋体"/>
                <w:sz w:val="28"/>
                <w:szCs w:val="28"/>
                <w:highlight w:val="none"/>
              </w:rPr>
            </w:pPr>
          </w:p>
        </w:tc>
        <w:tc>
          <w:tcPr>
            <w:tcW w:w="612" w:type="pct"/>
          </w:tcPr>
          <w:p w14:paraId="7E1A1217">
            <w:pPr>
              <w:jc w:val="center"/>
              <w:rPr>
                <w:rFonts w:hint="eastAsia" w:ascii="宋体" w:hAnsi="宋体" w:cs="宋体"/>
                <w:sz w:val="28"/>
                <w:szCs w:val="28"/>
                <w:highlight w:val="none"/>
              </w:rPr>
            </w:pPr>
          </w:p>
        </w:tc>
        <w:tc>
          <w:tcPr>
            <w:tcW w:w="459" w:type="pct"/>
          </w:tcPr>
          <w:p w14:paraId="4934ECAC">
            <w:pPr>
              <w:jc w:val="center"/>
              <w:rPr>
                <w:rFonts w:hint="eastAsia" w:ascii="宋体" w:hAnsi="宋体" w:cs="宋体"/>
                <w:sz w:val="28"/>
                <w:szCs w:val="28"/>
                <w:highlight w:val="none"/>
              </w:rPr>
            </w:pPr>
          </w:p>
        </w:tc>
        <w:tc>
          <w:tcPr>
            <w:tcW w:w="459" w:type="pct"/>
          </w:tcPr>
          <w:p w14:paraId="0E68671E">
            <w:pPr>
              <w:jc w:val="center"/>
              <w:rPr>
                <w:rFonts w:hint="eastAsia" w:ascii="宋体" w:hAnsi="宋体" w:cs="宋体"/>
                <w:sz w:val="28"/>
                <w:szCs w:val="28"/>
                <w:highlight w:val="none"/>
              </w:rPr>
            </w:pPr>
          </w:p>
        </w:tc>
        <w:tc>
          <w:tcPr>
            <w:tcW w:w="459" w:type="pct"/>
          </w:tcPr>
          <w:p w14:paraId="56489B33">
            <w:pPr>
              <w:jc w:val="center"/>
              <w:rPr>
                <w:rFonts w:hint="eastAsia" w:ascii="宋体" w:hAnsi="宋体" w:cs="宋体"/>
                <w:sz w:val="28"/>
                <w:szCs w:val="28"/>
                <w:highlight w:val="none"/>
              </w:rPr>
            </w:pPr>
          </w:p>
        </w:tc>
        <w:tc>
          <w:tcPr>
            <w:tcW w:w="459" w:type="pct"/>
          </w:tcPr>
          <w:p w14:paraId="3A76E14C">
            <w:pPr>
              <w:jc w:val="center"/>
              <w:rPr>
                <w:rFonts w:hint="eastAsia" w:ascii="宋体" w:hAnsi="宋体" w:cs="宋体"/>
                <w:sz w:val="28"/>
                <w:szCs w:val="28"/>
                <w:highlight w:val="none"/>
              </w:rPr>
            </w:pPr>
          </w:p>
        </w:tc>
        <w:tc>
          <w:tcPr>
            <w:tcW w:w="459" w:type="pct"/>
          </w:tcPr>
          <w:p w14:paraId="7DADFE6B">
            <w:pPr>
              <w:jc w:val="center"/>
              <w:rPr>
                <w:rFonts w:hint="eastAsia" w:ascii="宋体" w:hAnsi="宋体" w:cs="宋体"/>
                <w:sz w:val="28"/>
                <w:szCs w:val="28"/>
                <w:highlight w:val="none"/>
              </w:rPr>
            </w:pPr>
          </w:p>
        </w:tc>
        <w:tc>
          <w:tcPr>
            <w:tcW w:w="530" w:type="pct"/>
          </w:tcPr>
          <w:p w14:paraId="17063899">
            <w:pPr>
              <w:jc w:val="center"/>
              <w:rPr>
                <w:rFonts w:hint="eastAsia" w:ascii="宋体" w:hAnsi="宋体" w:cs="宋体"/>
                <w:sz w:val="28"/>
                <w:szCs w:val="28"/>
                <w:highlight w:val="none"/>
              </w:rPr>
            </w:pPr>
          </w:p>
        </w:tc>
        <w:tc>
          <w:tcPr>
            <w:tcW w:w="421" w:type="pct"/>
          </w:tcPr>
          <w:p w14:paraId="64B60472">
            <w:pPr>
              <w:jc w:val="center"/>
              <w:rPr>
                <w:rFonts w:hint="eastAsia" w:ascii="宋体" w:hAnsi="宋体" w:cs="宋体"/>
                <w:sz w:val="28"/>
                <w:szCs w:val="28"/>
                <w:highlight w:val="none"/>
              </w:rPr>
            </w:pPr>
          </w:p>
        </w:tc>
      </w:tr>
      <w:tr w14:paraId="5460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58950C08">
            <w:pPr>
              <w:jc w:val="center"/>
              <w:rPr>
                <w:rFonts w:hint="eastAsia" w:ascii="宋体" w:hAnsi="宋体" w:cs="宋体"/>
                <w:sz w:val="28"/>
                <w:szCs w:val="28"/>
                <w:highlight w:val="none"/>
              </w:rPr>
            </w:pPr>
          </w:p>
        </w:tc>
        <w:tc>
          <w:tcPr>
            <w:tcW w:w="677" w:type="pct"/>
          </w:tcPr>
          <w:p w14:paraId="68FB6FB6">
            <w:pPr>
              <w:jc w:val="center"/>
              <w:rPr>
                <w:rFonts w:hint="eastAsia" w:ascii="宋体" w:hAnsi="宋体" w:cs="宋体"/>
                <w:sz w:val="28"/>
                <w:szCs w:val="28"/>
                <w:highlight w:val="none"/>
              </w:rPr>
            </w:pPr>
          </w:p>
        </w:tc>
        <w:tc>
          <w:tcPr>
            <w:tcW w:w="612" w:type="pct"/>
          </w:tcPr>
          <w:p w14:paraId="10F98D09">
            <w:pPr>
              <w:jc w:val="center"/>
              <w:rPr>
                <w:rFonts w:hint="eastAsia" w:ascii="宋体" w:hAnsi="宋体" w:cs="宋体"/>
                <w:sz w:val="28"/>
                <w:szCs w:val="28"/>
                <w:highlight w:val="none"/>
              </w:rPr>
            </w:pPr>
          </w:p>
        </w:tc>
        <w:tc>
          <w:tcPr>
            <w:tcW w:w="459" w:type="pct"/>
          </w:tcPr>
          <w:p w14:paraId="50A445AB">
            <w:pPr>
              <w:jc w:val="center"/>
              <w:rPr>
                <w:rFonts w:hint="eastAsia" w:ascii="宋体" w:hAnsi="宋体" w:cs="宋体"/>
                <w:sz w:val="28"/>
                <w:szCs w:val="28"/>
                <w:highlight w:val="none"/>
              </w:rPr>
            </w:pPr>
          </w:p>
        </w:tc>
        <w:tc>
          <w:tcPr>
            <w:tcW w:w="459" w:type="pct"/>
          </w:tcPr>
          <w:p w14:paraId="4911A230">
            <w:pPr>
              <w:jc w:val="center"/>
              <w:rPr>
                <w:rFonts w:hint="eastAsia" w:ascii="宋体" w:hAnsi="宋体" w:cs="宋体"/>
                <w:sz w:val="28"/>
                <w:szCs w:val="28"/>
                <w:highlight w:val="none"/>
              </w:rPr>
            </w:pPr>
          </w:p>
        </w:tc>
        <w:tc>
          <w:tcPr>
            <w:tcW w:w="459" w:type="pct"/>
          </w:tcPr>
          <w:p w14:paraId="4487E8F3">
            <w:pPr>
              <w:jc w:val="center"/>
              <w:rPr>
                <w:rFonts w:hint="eastAsia" w:ascii="宋体" w:hAnsi="宋体" w:cs="宋体"/>
                <w:sz w:val="28"/>
                <w:szCs w:val="28"/>
                <w:highlight w:val="none"/>
              </w:rPr>
            </w:pPr>
          </w:p>
        </w:tc>
        <w:tc>
          <w:tcPr>
            <w:tcW w:w="459" w:type="pct"/>
          </w:tcPr>
          <w:p w14:paraId="2D008021">
            <w:pPr>
              <w:jc w:val="center"/>
              <w:rPr>
                <w:rFonts w:hint="eastAsia" w:ascii="宋体" w:hAnsi="宋体" w:cs="宋体"/>
                <w:sz w:val="28"/>
                <w:szCs w:val="28"/>
                <w:highlight w:val="none"/>
              </w:rPr>
            </w:pPr>
          </w:p>
        </w:tc>
        <w:tc>
          <w:tcPr>
            <w:tcW w:w="459" w:type="pct"/>
          </w:tcPr>
          <w:p w14:paraId="07404144">
            <w:pPr>
              <w:jc w:val="center"/>
              <w:rPr>
                <w:rFonts w:hint="eastAsia" w:ascii="宋体" w:hAnsi="宋体" w:cs="宋体"/>
                <w:sz w:val="28"/>
                <w:szCs w:val="28"/>
                <w:highlight w:val="none"/>
              </w:rPr>
            </w:pPr>
          </w:p>
        </w:tc>
        <w:tc>
          <w:tcPr>
            <w:tcW w:w="530" w:type="pct"/>
          </w:tcPr>
          <w:p w14:paraId="471487EC">
            <w:pPr>
              <w:jc w:val="center"/>
              <w:rPr>
                <w:rFonts w:hint="eastAsia" w:ascii="宋体" w:hAnsi="宋体" w:cs="宋体"/>
                <w:sz w:val="28"/>
                <w:szCs w:val="28"/>
                <w:highlight w:val="none"/>
              </w:rPr>
            </w:pPr>
          </w:p>
        </w:tc>
        <w:tc>
          <w:tcPr>
            <w:tcW w:w="421" w:type="pct"/>
          </w:tcPr>
          <w:p w14:paraId="79AF47BE">
            <w:pPr>
              <w:jc w:val="center"/>
              <w:rPr>
                <w:rFonts w:hint="eastAsia" w:ascii="宋体" w:hAnsi="宋体" w:cs="宋体"/>
                <w:sz w:val="28"/>
                <w:szCs w:val="28"/>
                <w:highlight w:val="none"/>
              </w:rPr>
            </w:pPr>
          </w:p>
        </w:tc>
      </w:tr>
      <w:tr w14:paraId="4887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083DE3D4">
            <w:pPr>
              <w:jc w:val="center"/>
              <w:rPr>
                <w:rFonts w:hint="eastAsia" w:ascii="宋体" w:hAnsi="宋体" w:cs="宋体"/>
                <w:sz w:val="28"/>
                <w:szCs w:val="28"/>
                <w:highlight w:val="none"/>
              </w:rPr>
            </w:pPr>
          </w:p>
        </w:tc>
        <w:tc>
          <w:tcPr>
            <w:tcW w:w="677" w:type="pct"/>
          </w:tcPr>
          <w:p w14:paraId="4959DE55">
            <w:pPr>
              <w:jc w:val="center"/>
              <w:rPr>
                <w:rFonts w:hint="eastAsia" w:ascii="宋体" w:hAnsi="宋体" w:cs="宋体"/>
                <w:sz w:val="28"/>
                <w:szCs w:val="28"/>
                <w:highlight w:val="none"/>
              </w:rPr>
            </w:pPr>
          </w:p>
        </w:tc>
        <w:tc>
          <w:tcPr>
            <w:tcW w:w="612" w:type="pct"/>
          </w:tcPr>
          <w:p w14:paraId="17B34410">
            <w:pPr>
              <w:jc w:val="center"/>
              <w:rPr>
                <w:rFonts w:hint="eastAsia" w:ascii="宋体" w:hAnsi="宋体" w:cs="宋体"/>
                <w:sz w:val="28"/>
                <w:szCs w:val="28"/>
                <w:highlight w:val="none"/>
              </w:rPr>
            </w:pPr>
          </w:p>
        </w:tc>
        <w:tc>
          <w:tcPr>
            <w:tcW w:w="459" w:type="pct"/>
          </w:tcPr>
          <w:p w14:paraId="5346E3D7">
            <w:pPr>
              <w:jc w:val="center"/>
              <w:rPr>
                <w:rFonts w:hint="eastAsia" w:ascii="宋体" w:hAnsi="宋体" w:cs="宋体"/>
                <w:sz w:val="28"/>
                <w:szCs w:val="28"/>
                <w:highlight w:val="none"/>
              </w:rPr>
            </w:pPr>
          </w:p>
        </w:tc>
        <w:tc>
          <w:tcPr>
            <w:tcW w:w="459" w:type="pct"/>
          </w:tcPr>
          <w:p w14:paraId="619F9AA0">
            <w:pPr>
              <w:jc w:val="center"/>
              <w:rPr>
                <w:rFonts w:hint="eastAsia" w:ascii="宋体" w:hAnsi="宋体" w:cs="宋体"/>
                <w:sz w:val="28"/>
                <w:szCs w:val="28"/>
                <w:highlight w:val="none"/>
              </w:rPr>
            </w:pPr>
          </w:p>
        </w:tc>
        <w:tc>
          <w:tcPr>
            <w:tcW w:w="459" w:type="pct"/>
          </w:tcPr>
          <w:p w14:paraId="42FBDF11">
            <w:pPr>
              <w:jc w:val="center"/>
              <w:rPr>
                <w:rFonts w:hint="eastAsia" w:ascii="宋体" w:hAnsi="宋体" w:cs="宋体"/>
                <w:sz w:val="28"/>
                <w:szCs w:val="28"/>
                <w:highlight w:val="none"/>
              </w:rPr>
            </w:pPr>
          </w:p>
        </w:tc>
        <w:tc>
          <w:tcPr>
            <w:tcW w:w="459" w:type="pct"/>
          </w:tcPr>
          <w:p w14:paraId="53A95B14">
            <w:pPr>
              <w:jc w:val="center"/>
              <w:rPr>
                <w:rFonts w:hint="eastAsia" w:ascii="宋体" w:hAnsi="宋体" w:cs="宋体"/>
                <w:sz w:val="28"/>
                <w:szCs w:val="28"/>
                <w:highlight w:val="none"/>
              </w:rPr>
            </w:pPr>
          </w:p>
        </w:tc>
        <w:tc>
          <w:tcPr>
            <w:tcW w:w="459" w:type="pct"/>
          </w:tcPr>
          <w:p w14:paraId="2317E82F">
            <w:pPr>
              <w:jc w:val="center"/>
              <w:rPr>
                <w:rFonts w:hint="eastAsia" w:ascii="宋体" w:hAnsi="宋体" w:cs="宋体"/>
                <w:sz w:val="28"/>
                <w:szCs w:val="28"/>
                <w:highlight w:val="none"/>
              </w:rPr>
            </w:pPr>
          </w:p>
        </w:tc>
        <w:tc>
          <w:tcPr>
            <w:tcW w:w="530" w:type="pct"/>
          </w:tcPr>
          <w:p w14:paraId="67330559">
            <w:pPr>
              <w:jc w:val="center"/>
              <w:rPr>
                <w:rFonts w:hint="eastAsia" w:ascii="宋体" w:hAnsi="宋体" w:cs="宋体"/>
                <w:sz w:val="28"/>
                <w:szCs w:val="28"/>
                <w:highlight w:val="none"/>
              </w:rPr>
            </w:pPr>
          </w:p>
        </w:tc>
        <w:tc>
          <w:tcPr>
            <w:tcW w:w="421" w:type="pct"/>
          </w:tcPr>
          <w:p w14:paraId="2B6122F7">
            <w:pPr>
              <w:jc w:val="center"/>
              <w:rPr>
                <w:rFonts w:hint="eastAsia" w:ascii="宋体" w:hAnsi="宋体" w:cs="宋体"/>
                <w:sz w:val="28"/>
                <w:szCs w:val="28"/>
                <w:highlight w:val="none"/>
              </w:rPr>
            </w:pPr>
          </w:p>
        </w:tc>
      </w:tr>
      <w:tr w14:paraId="765D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04BC811D">
            <w:pPr>
              <w:jc w:val="center"/>
              <w:rPr>
                <w:rFonts w:hint="eastAsia" w:ascii="宋体" w:hAnsi="宋体" w:cs="宋体"/>
                <w:sz w:val="28"/>
                <w:szCs w:val="28"/>
                <w:highlight w:val="none"/>
              </w:rPr>
            </w:pPr>
          </w:p>
        </w:tc>
        <w:tc>
          <w:tcPr>
            <w:tcW w:w="677" w:type="pct"/>
          </w:tcPr>
          <w:p w14:paraId="4EB1ECE8">
            <w:pPr>
              <w:jc w:val="center"/>
              <w:rPr>
                <w:rFonts w:hint="eastAsia" w:ascii="宋体" w:hAnsi="宋体" w:cs="宋体"/>
                <w:sz w:val="28"/>
                <w:szCs w:val="28"/>
                <w:highlight w:val="none"/>
              </w:rPr>
            </w:pPr>
          </w:p>
        </w:tc>
        <w:tc>
          <w:tcPr>
            <w:tcW w:w="612" w:type="pct"/>
          </w:tcPr>
          <w:p w14:paraId="1ADA630A">
            <w:pPr>
              <w:jc w:val="center"/>
              <w:rPr>
                <w:rFonts w:hint="eastAsia" w:ascii="宋体" w:hAnsi="宋体" w:cs="宋体"/>
                <w:sz w:val="28"/>
                <w:szCs w:val="28"/>
                <w:highlight w:val="none"/>
              </w:rPr>
            </w:pPr>
          </w:p>
        </w:tc>
        <w:tc>
          <w:tcPr>
            <w:tcW w:w="459" w:type="pct"/>
          </w:tcPr>
          <w:p w14:paraId="4716398B">
            <w:pPr>
              <w:jc w:val="center"/>
              <w:rPr>
                <w:rFonts w:hint="eastAsia" w:ascii="宋体" w:hAnsi="宋体" w:cs="宋体"/>
                <w:sz w:val="28"/>
                <w:szCs w:val="28"/>
                <w:highlight w:val="none"/>
              </w:rPr>
            </w:pPr>
          </w:p>
        </w:tc>
        <w:tc>
          <w:tcPr>
            <w:tcW w:w="459" w:type="pct"/>
          </w:tcPr>
          <w:p w14:paraId="3AAA6B34">
            <w:pPr>
              <w:jc w:val="center"/>
              <w:rPr>
                <w:rFonts w:hint="eastAsia" w:ascii="宋体" w:hAnsi="宋体" w:cs="宋体"/>
                <w:sz w:val="28"/>
                <w:szCs w:val="28"/>
                <w:highlight w:val="none"/>
              </w:rPr>
            </w:pPr>
          </w:p>
        </w:tc>
        <w:tc>
          <w:tcPr>
            <w:tcW w:w="459" w:type="pct"/>
          </w:tcPr>
          <w:p w14:paraId="36DF7E56">
            <w:pPr>
              <w:jc w:val="center"/>
              <w:rPr>
                <w:rFonts w:hint="eastAsia" w:ascii="宋体" w:hAnsi="宋体" w:cs="宋体"/>
                <w:sz w:val="28"/>
                <w:szCs w:val="28"/>
                <w:highlight w:val="none"/>
              </w:rPr>
            </w:pPr>
          </w:p>
        </w:tc>
        <w:tc>
          <w:tcPr>
            <w:tcW w:w="459" w:type="pct"/>
          </w:tcPr>
          <w:p w14:paraId="36FE77EB">
            <w:pPr>
              <w:jc w:val="center"/>
              <w:rPr>
                <w:rFonts w:hint="eastAsia" w:ascii="宋体" w:hAnsi="宋体" w:cs="宋体"/>
                <w:sz w:val="28"/>
                <w:szCs w:val="28"/>
                <w:highlight w:val="none"/>
              </w:rPr>
            </w:pPr>
          </w:p>
        </w:tc>
        <w:tc>
          <w:tcPr>
            <w:tcW w:w="459" w:type="pct"/>
          </w:tcPr>
          <w:p w14:paraId="5B4B4192">
            <w:pPr>
              <w:jc w:val="center"/>
              <w:rPr>
                <w:rFonts w:hint="eastAsia" w:ascii="宋体" w:hAnsi="宋体" w:cs="宋体"/>
                <w:sz w:val="28"/>
                <w:szCs w:val="28"/>
                <w:highlight w:val="none"/>
              </w:rPr>
            </w:pPr>
          </w:p>
        </w:tc>
        <w:tc>
          <w:tcPr>
            <w:tcW w:w="530" w:type="pct"/>
          </w:tcPr>
          <w:p w14:paraId="711F57A7">
            <w:pPr>
              <w:jc w:val="center"/>
              <w:rPr>
                <w:rFonts w:hint="eastAsia" w:ascii="宋体" w:hAnsi="宋体" w:cs="宋体"/>
                <w:sz w:val="28"/>
                <w:szCs w:val="28"/>
                <w:highlight w:val="none"/>
              </w:rPr>
            </w:pPr>
          </w:p>
        </w:tc>
        <w:tc>
          <w:tcPr>
            <w:tcW w:w="421" w:type="pct"/>
          </w:tcPr>
          <w:p w14:paraId="5A7284CC">
            <w:pPr>
              <w:jc w:val="center"/>
              <w:rPr>
                <w:rFonts w:hint="eastAsia" w:ascii="宋体" w:hAnsi="宋体" w:cs="宋体"/>
                <w:sz w:val="28"/>
                <w:szCs w:val="28"/>
                <w:highlight w:val="none"/>
              </w:rPr>
            </w:pPr>
          </w:p>
        </w:tc>
      </w:tr>
      <w:tr w14:paraId="3022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7902AA41">
            <w:pPr>
              <w:jc w:val="center"/>
              <w:rPr>
                <w:rFonts w:hint="eastAsia" w:ascii="宋体" w:hAnsi="宋体" w:cs="宋体"/>
                <w:sz w:val="28"/>
                <w:szCs w:val="28"/>
                <w:highlight w:val="none"/>
              </w:rPr>
            </w:pPr>
          </w:p>
        </w:tc>
        <w:tc>
          <w:tcPr>
            <w:tcW w:w="677" w:type="pct"/>
          </w:tcPr>
          <w:p w14:paraId="764A7852">
            <w:pPr>
              <w:jc w:val="center"/>
              <w:rPr>
                <w:rFonts w:hint="eastAsia" w:ascii="宋体" w:hAnsi="宋体" w:cs="宋体"/>
                <w:sz w:val="28"/>
                <w:szCs w:val="28"/>
                <w:highlight w:val="none"/>
              </w:rPr>
            </w:pPr>
          </w:p>
        </w:tc>
        <w:tc>
          <w:tcPr>
            <w:tcW w:w="612" w:type="pct"/>
          </w:tcPr>
          <w:p w14:paraId="21F6D39B">
            <w:pPr>
              <w:jc w:val="center"/>
              <w:rPr>
                <w:rFonts w:hint="eastAsia" w:ascii="宋体" w:hAnsi="宋体" w:cs="宋体"/>
                <w:sz w:val="28"/>
                <w:szCs w:val="28"/>
                <w:highlight w:val="none"/>
              </w:rPr>
            </w:pPr>
          </w:p>
        </w:tc>
        <w:tc>
          <w:tcPr>
            <w:tcW w:w="459" w:type="pct"/>
          </w:tcPr>
          <w:p w14:paraId="1520B7DB">
            <w:pPr>
              <w:jc w:val="center"/>
              <w:rPr>
                <w:rFonts w:hint="eastAsia" w:ascii="宋体" w:hAnsi="宋体" w:cs="宋体"/>
                <w:sz w:val="28"/>
                <w:szCs w:val="28"/>
                <w:highlight w:val="none"/>
              </w:rPr>
            </w:pPr>
          </w:p>
        </w:tc>
        <w:tc>
          <w:tcPr>
            <w:tcW w:w="459" w:type="pct"/>
          </w:tcPr>
          <w:p w14:paraId="2339F82B">
            <w:pPr>
              <w:jc w:val="center"/>
              <w:rPr>
                <w:rFonts w:hint="eastAsia" w:ascii="宋体" w:hAnsi="宋体" w:cs="宋体"/>
                <w:sz w:val="28"/>
                <w:szCs w:val="28"/>
                <w:highlight w:val="none"/>
              </w:rPr>
            </w:pPr>
          </w:p>
        </w:tc>
        <w:tc>
          <w:tcPr>
            <w:tcW w:w="459" w:type="pct"/>
          </w:tcPr>
          <w:p w14:paraId="01F25886">
            <w:pPr>
              <w:jc w:val="center"/>
              <w:rPr>
                <w:rFonts w:hint="eastAsia" w:ascii="宋体" w:hAnsi="宋体" w:cs="宋体"/>
                <w:sz w:val="28"/>
                <w:szCs w:val="28"/>
                <w:highlight w:val="none"/>
              </w:rPr>
            </w:pPr>
          </w:p>
        </w:tc>
        <w:tc>
          <w:tcPr>
            <w:tcW w:w="459" w:type="pct"/>
          </w:tcPr>
          <w:p w14:paraId="493ACA6C">
            <w:pPr>
              <w:jc w:val="center"/>
              <w:rPr>
                <w:rFonts w:hint="eastAsia" w:ascii="宋体" w:hAnsi="宋体" w:cs="宋体"/>
                <w:sz w:val="28"/>
                <w:szCs w:val="28"/>
                <w:highlight w:val="none"/>
              </w:rPr>
            </w:pPr>
          </w:p>
        </w:tc>
        <w:tc>
          <w:tcPr>
            <w:tcW w:w="459" w:type="pct"/>
          </w:tcPr>
          <w:p w14:paraId="6F745E7C">
            <w:pPr>
              <w:jc w:val="center"/>
              <w:rPr>
                <w:rFonts w:hint="eastAsia" w:ascii="宋体" w:hAnsi="宋体" w:cs="宋体"/>
                <w:sz w:val="28"/>
                <w:szCs w:val="28"/>
                <w:highlight w:val="none"/>
              </w:rPr>
            </w:pPr>
          </w:p>
        </w:tc>
        <w:tc>
          <w:tcPr>
            <w:tcW w:w="530" w:type="pct"/>
          </w:tcPr>
          <w:p w14:paraId="5E59B64D">
            <w:pPr>
              <w:jc w:val="center"/>
              <w:rPr>
                <w:rFonts w:hint="eastAsia" w:ascii="宋体" w:hAnsi="宋体" w:cs="宋体"/>
                <w:sz w:val="28"/>
                <w:szCs w:val="28"/>
                <w:highlight w:val="none"/>
              </w:rPr>
            </w:pPr>
          </w:p>
        </w:tc>
        <w:tc>
          <w:tcPr>
            <w:tcW w:w="421" w:type="pct"/>
          </w:tcPr>
          <w:p w14:paraId="32B3A089">
            <w:pPr>
              <w:jc w:val="center"/>
              <w:rPr>
                <w:rFonts w:hint="eastAsia" w:ascii="宋体" w:hAnsi="宋体" w:cs="宋体"/>
                <w:sz w:val="28"/>
                <w:szCs w:val="28"/>
                <w:highlight w:val="none"/>
              </w:rPr>
            </w:pPr>
          </w:p>
        </w:tc>
      </w:tr>
      <w:tr w14:paraId="266E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3291A05C">
            <w:pPr>
              <w:jc w:val="center"/>
              <w:rPr>
                <w:rFonts w:hint="eastAsia" w:ascii="宋体" w:hAnsi="宋体" w:cs="宋体"/>
                <w:sz w:val="28"/>
                <w:szCs w:val="28"/>
                <w:highlight w:val="none"/>
              </w:rPr>
            </w:pPr>
          </w:p>
        </w:tc>
        <w:tc>
          <w:tcPr>
            <w:tcW w:w="677" w:type="pct"/>
          </w:tcPr>
          <w:p w14:paraId="17C1B7CD">
            <w:pPr>
              <w:jc w:val="center"/>
              <w:rPr>
                <w:rFonts w:hint="eastAsia" w:ascii="宋体" w:hAnsi="宋体" w:cs="宋体"/>
                <w:sz w:val="28"/>
                <w:szCs w:val="28"/>
                <w:highlight w:val="none"/>
              </w:rPr>
            </w:pPr>
          </w:p>
        </w:tc>
        <w:tc>
          <w:tcPr>
            <w:tcW w:w="612" w:type="pct"/>
          </w:tcPr>
          <w:p w14:paraId="7DB4E6CC">
            <w:pPr>
              <w:jc w:val="center"/>
              <w:rPr>
                <w:rFonts w:hint="eastAsia" w:ascii="宋体" w:hAnsi="宋体" w:cs="宋体"/>
                <w:sz w:val="28"/>
                <w:szCs w:val="28"/>
                <w:highlight w:val="none"/>
              </w:rPr>
            </w:pPr>
          </w:p>
        </w:tc>
        <w:tc>
          <w:tcPr>
            <w:tcW w:w="459" w:type="pct"/>
          </w:tcPr>
          <w:p w14:paraId="20070A36">
            <w:pPr>
              <w:jc w:val="center"/>
              <w:rPr>
                <w:rFonts w:hint="eastAsia" w:ascii="宋体" w:hAnsi="宋体" w:cs="宋体"/>
                <w:sz w:val="28"/>
                <w:szCs w:val="28"/>
                <w:highlight w:val="none"/>
              </w:rPr>
            </w:pPr>
          </w:p>
        </w:tc>
        <w:tc>
          <w:tcPr>
            <w:tcW w:w="459" w:type="pct"/>
          </w:tcPr>
          <w:p w14:paraId="491F74E3">
            <w:pPr>
              <w:jc w:val="center"/>
              <w:rPr>
                <w:rFonts w:hint="eastAsia" w:ascii="宋体" w:hAnsi="宋体" w:cs="宋体"/>
                <w:sz w:val="28"/>
                <w:szCs w:val="28"/>
                <w:highlight w:val="none"/>
              </w:rPr>
            </w:pPr>
          </w:p>
        </w:tc>
        <w:tc>
          <w:tcPr>
            <w:tcW w:w="459" w:type="pct"/>
          </w:tcPr>
          <w:p w14:paraId="56D3F5F1">
            <w:pPr>
              <w:jc w:val="center"/>
              <w:rPr>
                <w:rFonts w:hint="eastAsia" w:ascii="宋体" w:hAnsi="宋体" w:cs="宋体"/>
                <w:sz w:val="28"/>
                <w:szCs w:val="28"/>
                <w:highlight w:val="none"/>
              </w:rPr>
            </w:pPr>
          </w:p>
        </w:tc>
        <w:tc>
          <w:tcPr>
            <w:tcW w:w="459" w:type="pct"/>
          </w:tcPr>
          <w:p w14:paraId="1C8EF159">
            <w:pPr>
              <w:jc w:val="center"/>
              <w:rPr>
                <w:rFonts w:hint="eastAsia" w:ascii="宋体" w:hAnsi="宋体" w:cs="宋体"/>
                <w:sz w:val="28"/>
                <w:szCs w:val="28"/>
                <w:highlight w:val="none"/>
              </w:rPr>
            </w:pPr>
          </w:p>
        </w:tc>
        <w:tc>
          <w:tcPr>
            <w:tcW w:w="459" w:type="pct"/>
          </w:tcPr>
          <w:p w14:paraId="32CDB228">
            <w:pPr>
              <w:jc w:val="center"/>
              <w:rPr>
                <w:rFonts w:hint="eastAsia" w:ascii="宋体" w:hAnsi="宋体" w:cs="宋体"/>
                <w:sz w:val="28"/>
                <w:szCs w:val="28"/>
                <w:highlight w:val="none"/>
              </w:rPr>
            </w:pPr>
          </w:p>
        </w:tc>
        <w:tc>
          <w:tcPr>
            <w:tcW w:w="530" w:type="pct"/>
          </w:tcPr>
          <w:p w14:paraId="183885AB">
            <w:pPr>
              <w:jc w:val="center"/>
              <w:rPr>
                <w:rFonts w:hint="eastAsia" w:ascii="宋体" w:hAnsi="宋体" w:cs="宋体"/>
                <w:sz w:val="28"/>
                <w:szCs w:val="28"/>
                <w:highlight w:val="none"/>
              </w:rPr>
            </w:pPr>
          </w:p>
        </w:tc>
        <w:tc>
          <w:tcPr>
            <w:tcW w:w="421" w:type="pct"/>
          </w:tcPr>
          <w:p w14:paraId="4B6CC27E">
            <w:pPr>
              <w:jc w:val="center"/>
              <w:rPr>
                <w:rFonts w:hint="eastAsia" w:ascii="宋体" w:hAnsi="宋体" w:cs="宋体"/>
                <w:sz w:val="28"/>
                <w:szCs w:val="28"/>
                <w:highlight w:val="none"/>
              </w:rPr>
            </w:pPr>
          </w:p>
        </w:tc>
      </w:tr>
      <w:tr w14:paraId="4C38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6E8CC860">
            <w:pPr>
              <w:jc w:val="center"/>
              <w:rPr>
                <w:rFonts w:hint="eastAsia" w:ascii="宋体" w:hAnsi="宋体" w:cs="宋体"/>
                <w:sz w:val="28"/>
                <w:szCs w:val="28"/>
                <w:highlight w:val="none"/>
              </w:rPr>
            </w:pPr>
          </w:p>
        </w:tc>
        <w:tc>
          <w:tcPr>
            <w:tcW w:w="677" w:type="pct"/>
          </w:tcPr>
          <w:p w14:paraId="29EFFB7E">
            <w:pPr>
              <w:jc w:val="center"/>
              <w:rPr>
                <w:rFonts w:hint="eastAsia" w:ascii="宋体" w:hAnsi="宋体" w:cs="宋体"/>
                <w:sz w:val="28"/>
                <w:szCs w:val="28"/>
                <w:highlight w:val="none"/>
              </w:rPr>
            </w:pPr>
          </w:p>
        </w:tc>
        <w:tc>
          <w:tcPr>
            <w:tcW w:w="612" w:type="pct"/>
          </w:tcPr>
          <w:p w14:paraId="768FEAE9">
            <w:pPr>
              <w:jc w:val="center"/>
              <w:rPr>
                <w:rFonts w:hint="eastAsia" w:ascii="宋体" w:hAnsi="宋体" w:cs="宋体"/>
                <w:sz w:val="28"/>
                <w:szCs w:val="28"/>
                <w:highlight w:val="none"/>
              </w:rPr>
            </w:pPr>
          </w:p>
        </w:tc>
        <w:tc>
          <w:tcPr>
            <w:tcW w:w="459" w:type="pct"/>
          </w:tcPr>
          <w:p w14:paraId="0A33DA31">
            <w:pPr>
              <w:jc w:val="center"/>
              <w:rPr>
                <w:rFonts w:hint="eastAsia" w:ascii="宋体" w:hAnsi="宋体" w:cs="宋体"/>
                <w:sz w:val="28"/>
                <w:szCs w:val="28"/>
                <w:highlight w:val="none"/>
              </w:rPr>
            </w:pPr>
          </w:p>
        </w:tc>
        <w:tc>
          <w:tcPr>
            <w:tcW w:w="459" w:type="pct"/>
          </w:tcPr>
          <w:p w14:paraId="024652DC">
            <w:pPr>
              <w:jc w:val="center"/>
              <w:rPr>
                <w:rFonts w:hint="eastAsia" w:ascii="宋体" w:hAnsi="宋体" w:cs="宋体"/>
                <w:sz w:val="28"/>
                <w:szCs w:val="28"/>
                <w:highlight w:val="none"/>
              </w:rPr>
            </w:pPr>
          </w:p>
        </w:tc>
        <w:tc>
          <w:tcPr>
            <w:tcW w:w="459" w:type="pct"/>
          </w:tcPr>
          <w:p w14:paraId="5EE57938">
            <w:pPr>
              <w:jc w:val="center"/>
              <w:rPr>
                <w:rFonts w:hint="eastAsia" w:ascii="宋体" w:hAnsi="宋体" w:cs="宋体"/>
                <w:sz w:val="28"/>
                <w:szCs w:val="28"/>
                <w:highlight w:val="none"/>
              </w:rPr>
            </w:pPr>
          </w:p>
        </w:tc>
        <w:tc>
          <w:tcPr>
            <w:tcW w:w="459" w:type="pct"/>
          </w:tcPr>
          <w:p w14:paraId="24683523">
            <w:pPr>
              <w:jc w:val="center"/>
              <w:rPr>
                <w:rFonts w:hint="eastAsia" w:ascii="宋体" w:hAnsi="宋体" w:cs="宋体"/>
                <w:sz w:val="28"/>
                <w:szCs w:val="28"/>
                <w:highlight w:val="none"/>
              </w:rPr>
            </w:pPr>
          </w:p>
        </w:tc>
        <w:tc>
          <w:tcPr>
            <w:tcW w:w="459" w:type="pct"/>
          </w:tcPr>
          <w:p w14:paraId="4CCB3763">
            <w:pPr>
              <w:jc w:val="center"/>
              <w:rPr>
                <w:rFonts w:hint="eastAsia" w:ascii="宋体" w:hAnsi="宋体" w:cs="宋体"/>
                <w:sz w:val="28"/>
                <w:szCs w:val="28"/>
                <w:highlight w:val="none"/>
              </w:rPr>
            </w:pPr>
          </w:p>
        </w:tc>
        <w:tc>
          <w:tcPr>
            <w:tcW w:w="530" w:type="pct"/>
          </w:tcPr>
          <w:p w14:paraId="2B18A93B">
            <w:pPr>
              <w:jc w:val="center"/>
              <w:rPr>
                <w:rFonts w:hint="eastAsia" w:ascii="宋体" w:hAnsi="宋体" w:cs="宋体"/>
                <w:sz w:val="28"/>
                <w:szCs w:val="28"/>
                <w:highlight w:val="none"/>
              </w:rPr>
            </w:pPr>
          </w:p>
        </w:tc>
        <w:tc>
          <w:tcPr>
            <w:tcW w:w="421" w:type="pct"/>
          </w:tcPr>
          <w:p w14:paraId="6C211539">
            <w:pPr>
              <w:jc w:val="center"/>
              <w:rPr>
                <w:rFonts w:hint="eastAsia" w:ascii="宋体" w:hAnsi="宋体" w:cs="宋体"/>
                <w:sz w:val="28"/>
                <w:szCs w:val="28"/>
                <w:highlight w:val="none"/>
              </w:rPr>
            </w:pPr>
          </w:p>
        </w:tc>
      </w:tr>
      <w:tr w14:paraId="272C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1DA0ED5E">
            <w:pPr>
              <w:jc w:val="center"/>
              <w:rPr>
                <w:rFonts w:hint="eastAsia" w:ascii="宋体" w:hAnsi="宋体" w:cs="宋体"/>
                <w:sz w:val="28"/>
                <w:szCs w:val="28"/>
                <w:highlight w:val="none"/>
              </w:rPr>
            </w:pPr>
          </w:p>
        </w:tc>
        <w:tc>
          <w:tcPr>
            <w:tcW w:w="677" w:type="pct"/>
          </w:tcPr>
          <w:p w14:paraId="41BEF821">
            <w:pPr>
              <w:jc w:val="center"/>
              <w:rPr>
                <w:rFonts w:hint="eastAsia" w:ascii="宋体" w:hAnsi="宋体" w:cs="宋体"/>
                <w:sz w:val="28"/>
                <w:szCs w:val="28"/>
                <w:highlight w:val="none"/>
              </w:rPr>
            </w:pPr>
          </w:p>
        </w:tc>
        <w:tc>
          <w:tcPr>
            <w:tcW w:w="612" w:type="pct"/>
          </w:tcPr>
          <w:p w14:paraId="5641E0AE">
            <w:pPr>
              <w:jc w:val="center"/>
              <w:rPr>
                <w:rFonts w:hint="eastAsia" w:ascii="宋体" w:hAnsi="宋体" w:cs="宋体"/>
                <w:sz w:val="28"/>
                <w:szCs w:val="28"/>
                <w:highlight w:val="none"/>
              </w:rPr>
            </w:pPr>
          </w:p>
        </w:tc>
        <w:tc>
          <w:tcPr>
            <w:tcW w:w="459" w:type="pct"/>
          </w:tcPr>
          <w:p w14:paraId="3855531F">
            <w:pPr>
              <w:jc w:val="center"/>
              <w:rPr>
                <w:rFonts w:hint="eastAsia" w:ascii="宋体" w:hAnsi="宋体" w:cs="宋体"/>
                <w:sz w:val="28"/>
                <w:szCs w:val="28"/>
                <w:highlight w:val="none"/>
              </w:rPr>
            </w:pPr>
          </w:p>
        </w:tc>
        <w:tc>
          <w:tcPr>
            <w:tcW w:w="459" w:type="pct"/>
          </w:tcPr>
          <w:p w14:paraId="3C6292EB">
            <w:pPr>
              <w:jc w:val="center"/>
              <w:rPr>
                <w:rFonts w:hint="eastAsia" w:ascii="宋体" w:hAnsi="宋体" w:cs="宋体"/>
                <w:sz w:val="28"/>
                <w:szCs w:val="28"/>
                <w:highlight w:val="none"/>
              </w:rPr>
            </w:pPr>
          </w:p>
        </w:tc>
        <w:tc>
          <w:tcPr>
            <w:tcW w:w="459" w:type="pct"/>
          </w:tcPr>
          <w:p w14:paraId="2CAB263A">
            <w:pPr>
              <w:jc w:val="center"/>
              <w:rPr>
                <w:rFonts w:hint="eastAsia" w:ascii="宋体" w:hAnsi="宋体" w:cs="宋体"/>
                <w:sz w:val="28"/>
                <w:szCs w:val="28"/>
                <w:highlight w:val="none"/>
              </w:rPr>
            </w:pPr>
          </w:p>
        </w:tc>
        <w:tc>
          <w:tcPr>
            <w:tcW w:w="459" w:type="pct"/>
          </w:tcPr>
          <w:p w14:paraId="3CE64547">
            <w:pPr>
              <w:jc w:val="center"/>
              <w:rPr>
                <w:rFonts w:hint="eastAsia" w:ascii="宋体" w:hAnsi="宋体" w:cs="宋体"/>
                <w:sz w:val="28"/>
                <w:szCs w:val="28"/>
                <w:highlight w:val="none"/>
              </w:rPr>
            </w:pPr>
          </w:p>
        </w:tc>
        <w:tc>
          <w:tcPr>
            <w:tcW w:w="459" w:type="pct"/>
          </w:tcPr>
          <w:p w14:paraId="68FC9633">
            <w:pPr>
              <w:jc w:val="center"/>
              <w:rPr>
                <w:rFonts w:hint="eastAsia" w:ascii="宋体" w:hAnsi="宋体" w:cs="宋体"/>
                <w:sz w:val="28"/>
                <w:szCs w:val="28"/>
                <w:highlight w:val="none"/>
              </w:rPr>
            </w:pPr>
          </w:p>
        </w:tc>
        <w:tc>
          <w:tcPr>
            <w:tcW w:w="530" w:type="pct"/>
          </w:tcPr>
          <w:p w14:paraId="3D1B0176">
            <w:pPr>
              <w:jc w:val="center"/>
              <w:rPr>
                <w:rFonts w:hint="eastAsia" w:ascii="宋体" w:hAnsi="宋体" w:cs="宋体"/>
                <w:sz w:val="28"/>
                <w:szCs w:val="28"/>
                <w:highlight w:val="none"/>
              </w:rPr>
            </w:pPr>
          </w:p>
        </w:tc>
        <w:tc>
          <w:tcPr>
            <w:tcW w:w="421" w:type="pct"/>
          </w:tcPr>
          <w:p w14:paraId="5013EB07">
            <w:pPr>
              <w:jc w:val="center"/>
              <w:rPr>
                <w:rFonts w:hint="eastAsia" w:ascii="宋体" w:hAnsi="宋体" w:cs="宋体"/>
                <w:sz w:val="28"/>
                <w:szCs w:val="28"/>
                <w:highlight w:val="none"/>
              </w:rPr>
            </w:pPr>
          </w:p>
        </w:tc>
      </w:tr>
      <w:tr w14:paraId="339F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669CE739">
            <w:pPr>
              <w:jc w:val="center"/>
              <w:rPr>
                <w:rFonts w:hint="eastAsia" w:ascii="宋体" w:hAnsi="宋体" w:cs="宋体"/>
                <w:sz w:val="28"/>
                <w:szCs w:val="28"/>
                <w:highlight w:val="none"/>
              </w:rPr>
            </w:pPr>
          </w:p>
        </w:tc>
        <w:tc>
          <w:tcPr>
            <w:tcW w:w="677" w:type="pct"/>
          </w:tcPr>
          <w:p w14:paraId="2C5F5E89">
            <w:pPr>
              <w:jc w:val="center"/>
              <w:rPr>
                <w:rFonts w:hint="eastAsia" w:ascii="宋体" w:hAnsi="宋体" w:cs="宋体"/>
                <w:sz w:val="28"/>
                <w:szCs w:val="28"/>
                <w:highlight w:val="none"/>
              </w:rPr>
            </w:pPr>
          </w:p>
        </w:tc>
        <w:tc>
          <w:tcPr>
            <w:tcW w:w="612" w:type="pct"/>
          </w:tcPr>
          <w:p w14:paraId="61BA65AA">
            <w:pPr>
              <w:jc w:val="center"/>
              <w:rPr>
                <w:rFonts w:hint="eastAsia" w:ascii="宋体" w:hAnsi="宋体" w:cs="宋体"/>
                <w:sz w:val="28"/>
                <w:szCs w:val="28"/>
                <w:highlight w:val="none"/>
              </w:rPr>
            </w:pPr>
          </w:p>
        </w:tc>
        <w:tc>
          <w:tcPr>
            <w:tcW w:w="459" w:type="pct"/>
          </w:tcPr>
          <w:p w14:paraId="46DB17EE">
            <w:pPr>
              <w:jc w:val="center"/>
              <w:rPr>
                <w:rFonts w:hint="eastAsia" w:ascii="宋体" w:hAnsi="宋体" w:cs="宋体"/>
                <w:sz w:val="28"/>
                <w:szCs w:val="28"/>
                <w:highlight w:val="none"/>
              </w:rPr>
            </w:pPr>
          </w:p>
        </w:tc>
        <w:tc>
          <w:tcPr>
            <w:tcW w:w="459" w:type="pct"/>
          </w:tcPr>
          <w:p w14:paraId="5E31D1E3">
            <w:pPr>
              <w:jc w:val="center"/>
              <w:rPr>
                <w:rFonts w:hint="eastAsia" w:ascii="宋体" w:hAnsi="宋体" w:cs="宋体"/>
                <w:sz w:val="28"/>
                <w:szCs w:val="28"/>
                <w:highlight w:val="none"/>
              </w:rPr>
            </w:pPr>
          </w:p>
        </w:tc>
        <w:tc>
          <w:tcPr>
            <w:tcW w:w="459" w:type="pct"/>
          </w:tcPr>
          <w:p w14:paraId="384DD5CB">
            <w:pPr>
              <w:jc w:val="center"/>
              <w:rPr>
                <w:rFonts w:hint="eastAsia" w:ascii="宋体" w:hAnsi="宋体" w:cs="宋体"/>
                <w:sz w:val="28"/>
                <w:szCs w:val="28"/>
                <w:highlight w:val="none"/>
              </w:rPr>
            </w:pPr>
          </w:p>
        </w:tc>
        <w:tc>
          <w:tcPr>
            <w:tcW w:w="459" w:type="pct"/>
          </w:tcPr>
          <w:p w14:paraId="1D0FAEE8">
            <w:pPr>
              <w:jc w:val="center"/>
              <w:rPr>
                <w:rFonts w:hint="eastAsia" w:ascii="宋体" w:hAnsi="宋体" w:cs="宋体"/>
                <w:sz w:val="28"/>
                <w:szCs w:val="28"/>
                <w:highlight w:val="none"/>
              </w:rPr>
            </w:pPr>
          </w:p>
        </w:tc>
        <w:tc>
          <w:tcPr>
            <w:tcW w:w="459" w:type="pct"/>
          </w:tcPr>
          <w:p w14:paraId="7DB5ABCE">
            <w:pPr>
              <w:jc w:val="center"/>
              <w:rPr>
                <w:rFonts w:hint="eastAsia" w:ascii="宋体" w:hAnsi="宋体" w:cs="宋体"/>
                <w:sz w:val="28"/>
                <w:szCs w:val="28"/>
                <w:highlight w:val="none"/>
              </w:rPr>
            </w:pPr>
          </w:p>
        </w:tc>
        <w:tc>
          <w:tcPr>
            <w:tcW w:w="530" w:type="pct"/>
          </w:tcPr>
          <w:p w14:paraId="3D8D0083">
            <w:pPr>
              <w:jc w:val="center"/>
              <w:rPr>
                <w:rFonts w:hint="eastAsia" w:ascii="宋体" w:hAnsi="宋体" w:cs="宋体"/>
                <w:sz w:val="28"/>
                <w:szCs w:val="28"/>
                <w:highlight w:val="none"/>
              </w:rPr>
            </w:pPr>
          </w:p>
        </w:tc>
        <w:tc>
          <w:tcPr>
            <w:tcW w:w="421" w:type="pct"/>
          </w:tcPr>
          <w:p w14:paraId="65597309">
            <w:pPr>
              <w:jc w:val="center"/>
              <w:rPr>
                <w:rFonts w:hint="eastAsia" w:ascii="宋体" w:hAnsi="宋体" w:cs="宋体"/>
                <w:sz w:val="28"/>
                <w:szCs w:val="28"/>
                <w:highlight w:val="none"/>
              </w:rPr>
            </w:pPr>
          </w:p>
        </w:tc>
      </w:tr>
      <w:tr w14:paraId="307C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777A587C">
            <w:pPr>
              <w:jc w:val="center"/>
              <w:rPr>
                <w:rFonts w:hint="eastAsia" w:ascii="宋体" w:hAnsi="宋体" w:cs="宋体"/>
                <w:sz w:val="28"/>
                <w:szCs w:val="28"/>
                <w:highlight w:val="none"/>
              </w:rPr>
            </w:pPr>
          </w:p>
        </w:tc>
        <w:tc>
          <w:tcPr>
            <w:tcW w:w="677" w:type="pct"/>
          </w:tcPr>
          <w:p w14:paraId="2BA17E0A">
            <w:pPr>
              <w:jc w:val="center"/>
              <w:rPr>
                <w:rFonts w:hint="eastAsia" w:ascii="宋体" w:hAnsi="宋体" w:cs="宋体"/>
                <w:sz w:val="28"/>
                <w:szCs w:val="28"/>
                <w:highlight w:val="none"/>
              </w:rPr>
            </w:pPr>
          </w:p>
        </w:tc>
        <w:tc>
          <w:tcPr>
            <w:tcW w:w="612" w:type="pct"/>
          </w:tcPr>
          <w:p w14:paraId="6D6D1C2C">
            <w:pPr>
              <w:jc w:val="center"/>
              <w:rPr>
                <w:rFonts w:hint="eastAsia" w:ascii="宋体" w:hAnsi="宋体" w:cs="宋体"/>
                <w:sz w:val="28"/>
                <w:szCs w:val="28"/>
                <w:highlight w:val="none"/>
              </w:rPr>
            </w:pPr>
          </w:p>
        </w:tc>
        <w:tc>
          <w:tcPr>
            <w:tcW w:w="459" w:type="pct"/>
          </w:tcPr>
          <w:p w14:paraId="0DDEBC53">
            <w:pPr>
              <w:jc w:val="center"/>
              <w:rPr>
                <w:rFonts w:hint="eastAsia" w:ascii="宋体" w:hAnsi="宋体" w:cs="宋体"/>
                <w:sz w:val="28"/>
                <w:szCs w:val="28"/>
                <w:highlight w:val="none"/>
              </w:rPr>
            </w:pPr>
          </w:p>
        </w:tc>
        <w:tc>
          <w:tcPr>
            <w:tcW w:w="459" w:type="pct"/>
          </w:tcPr>
          <w:p w14:paraId="34EB64D7">
            <w:pPr>
              <w:jc w:val="center"/>
              <w:rPr>
                <w:rFonts w:hint="eastAsia" w:ascii="宋体" w:hAnsi="宋体" w:cs="宋体"/>
                <w:sz w:val="28"/>
                <w:szCs w:val="28"/>
                <w:highlight w:val="none"/>
              </w:rPr>
            </w:pPr>
          </w:p>
        </w:tc>
        <w:tc>
          <w:tcPr>
            <w:tcW w:w="459" w:type="pct"/>
          </w:tcPr>
          <w:p w14:paraId="458857C8">
            <w:pPr>
              <w:jc w:val="center"/>
              <w:rPr>
                <w:rFonts w:hint="eastAsia" w:ascii="宋体" w:hAnsi="宋体" w:cs="宋体"/>
                <w:sz w:val="28"/>
                <w:szCs w:val="28"/>
                <w:highlight w:val="none"/>
              </w:rPr>
            </w:pPr>
          </w:p>
        </w:tc>
        <w:tc>
          <w:tcPr>
            <w:tcW w:w="459" w:type="pct"/>
          </w:tcPr>
          <w:p w14:paraId="1A9C7F08">
            <w:pPr>
              <w:jc w:val="center"/>
              <w:rPr>
                <w:rFonts w:hint="eastAsia" w:ascii="宋体" w:hAnsi="宋体" w:cs="宋体"/>
                <w:sz w:val="28"/>
                <w:szCs w:val="28"/>
                <w:highlight w:val="none"/>
              </w:rPr>
            </w:pPr>
          </w:p>
        </w:tc>
        <w:tc>
          <w:tcPr>
            <w:tcW w:w="459" w:type="pct"/>
          </w:tcPr>
          <w:p w14:paraId="00C2148D">
            <w:pPr>
              <w:jc w:val="center"/>
              <w:rPr>
                <w:rFonts w:hint="eastAsia" w:ascii="宋体" w:hAnsi="宋体" w:cs="宋体"/>
                <w:sz w:val="28"/>
                <w:szCs w:val="28"/>
                <w:highlight w:val="none"/>
              </w:rPr>
            </w:pPr>
          </w:p>
        </w:tc>
        <w:tc>
          <w:tcPr>
            <w:tcW w:w="530" w:type="pct"/>
          </w:tcPr>
          <w:p w14:paraId="309B1301">
            <w:pPr>
              <w:jc w:val="center"/>
              <w:rPr>
                <w:rFonts w:hint="eastAsia" w:ascii="宋体" w:hAnsi="宋体" w:cs="宋体"/>
                <w:sz w:val="28"/>
                <w:szCs w:val="28"/>
                <w:highlight w:val="none"/>
              </w:rPr>
            </w:pPr>
          </w:p>
        </w:tc>
        <w:tc>
          <w:tcPr>
            <w:tcW w:w="421" w:type="pct"/>
          </w:tcPr>
          <w:p w14:paraId="4834E687">
            <w:pPr>
              <w:jc w:val="center"/>
              <w:rPr>
                <w:rFonts w:hint="eastAsia" w:ascii="宋体" w:hAnsi="宋体" w:cs="宋体"/>
                <w:sz w:val="28"/>
                <w:szCs w:val="28"/>
                <w:highlight w:val="none"/>
              </w:rPr>
            </w:pPr>
          </w:p>
        </w:tc>
      </w:tr>
      <w:tr w14:paraId="0D96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Pr>
          <w:p w14:paraId="3B1AFBDF">
            <w:pPr>
              <w:jc w:val="center"/>
              <w:rPr>
                <w:rFonts w:hint="eastAsia" w:ascii="宋体" w:hAnsi="宋体" w:cs="宋体"/>
                <w:sz w:val="28"/>
                <w:szCs w:val="28"/>
                <w:highlight w:val="none"/>
              </w:rPr>
            </w:pPr>
          </w:p>
        </w:tc>
        <w:tc>
          <w:tcPr>
            <w:tcW w:w="677" w:type="pct"/>
          </w:tcPr>
          <w:p w14:paraId="153D7BF2">
            <w:pPr>
              <w:jc w:val="center"/>
              <w:rPr>
                <w:rFonts w:hint="eastAsia" w:ascii="宋体" w:hAnsi="宋体" w:cs="宋体"/>
                <w:sz w:val="28"/>
                <w:szCs w:val="28"/>
                <w:highlight w:val="none"/>
              </w:rPr>
            </w:pPr>
          </w:p>
        </w:tc>
        <w:tc>
          <w:tcPr>
            <w:tcW w:w="612" w:type="pct"/>
          </w:tcPr>
          <w:p w14:paraId="72C8B5E6">
            <w:pPr>
              <w:jc w:val="center"/>
              <w:rPr>
                <w:rFonts w:hint="eastAsia" w:ascii="宋体" w:hAnsi="宋体" w:cs="宋体"/>
                <w:sz w:val="28"/>
                <w:szCs w:val="28"/>
                <w:highlight w:val="none"/>
              </w:rPr>
            </w:pPr>
          </w:p>
        </w:tc>
        <w:tc>
          <w:tcPr>
            <w:tcW w:w="459" w:type="pct"/>
          </w:tcPr>
          <w:p w14:paraId="18F7213B">
            <w:pPr>
              <w:jc w:val="center"/>
              <w:rPr>
                <w:rFonts w:hint="eastAsia" w:ascii="宋体" w:hAnsi="宋体" w:cs="宋体"/>
                <w:sz w:val="28"/>
                <w:szCs w:val="28"/>
                <w:highlight w:val="none"/>
              </w:rPr>
            </w:pPr>
          </w:p>
        </w:tc>
        <w:tc>
          <w:tcPr>
            <w:tcW w:w="459" w:type="pct"/>
          </w:tcPr>
          <w:p w14:paraId="5BC2A4D5">
            <w:pPr>
              <w:jc w:val="center"/>
              <w:rPr>
                <w:rFonts w:hint="eastAsia" w:ascii="宋体" w:hAnsi="宋体" w:cs="宋体"/>
                <w:sz w:val="28"/>
                <w:szCs w:val="28"/>
                <w:highlight w:val="none"/>
              </w:rPr>
            </w:pPr>
          </w:p>
        </w:tc>
        <w:tc>
          <w:tcPr>
            <w:tcW w:w="459" w:type="pct"/>
          </w:tcPr>
          <w:p w14:paraId="553A5565">
            <w:pPr>
              <w:jc w:val="center"/>
              <w:rPr>
                <w:rFonts w:hint="eastAsia" w:ascii="宋体" w:hAnsi="宋体" w:cs="宋体"/>
                <w:sz w:val="28"/>
                <w:szCs w:val="28"/>
                <w:highlight w:val="none"/>
              </w:rPr>
            </w:pPr>
          </w:p>
        </w:tc>
        <w:tc>
          <w:tcPr>
            <w:tcW w:w="459" w:type="pct"/>
          </w:tcPr>
          <w:p w14:paraId="39EAF19D">
            <w:pPr>
              <w:jc w:val="center"/>
              <w:rPr>
                <w:rFonts w:hint="eastAsia" w:ascii="宋体" w:hAnsi="宋体" w:cs="宋体"/>
                <w:sz w:val="28"/>
                <w:szCs w:val="28"/>
                <w:highlight w:val="none"/>
              </w:rPr>
            </w:pPr>
          </w:p>
        </w:tc>
        <w:tc>
          <w:tcPr>
            <w:tcW w:w="459" w:type="pct"/>
          </w:tcPr>
          <w:p w14:paraId="0543D96C">
            <w:pPr>
              <w:jc w:val="center"/>
              <w:rPr>
                <w:rFonts w:hint="eastAsia" w:ascii="宋体" w:hAnsi="宋体" w:cs="宋体"/>
                <w:sz w:val="28"/>
                <w:szCs w:val="28"/>
                <w:highlight w:val="none"/>
              </w:rPr>
            </w:pPr>
          </w:p>
        </w:tc>
        <w:tc>
          <w:tcPr>
            <w:tcW w:w="530" w:type="pct"/>
          </w:tcPr>
          <w:p w14:paraId="16F8BF5B">
            <w:pPr>
              <w:jc w:val="center"/>
              <w:rPr>
                <w:rFonts w:hint="eastAsia" w:ascii="宋体" w:hAnsi="宋体" w:cs="宋体"/>
                <w:sz w:val="28"/>
                <w:szCs w:val="28"/>
                <w:highlight w:val="none"/>
              </w:rPr>
            </w:pPr>
          </w:p>
        </w:tc>
        <w:tc>
          <w:tcPr>
            <w:tcW w:w="421" w:type="pct"/>
          </w:tcPr>
          <w:p w14:paraId="5FD1C599">
            <w:pPr>
              <w:jc w:val="center"/>
              <w:rPr>
                <w:rFonts w:hint="eastAsia" w:ascii="宋体" w:hAnsi="宋体" w:cs="宋体"/>
                <w:sz w:val="28"/>
                <w:szCs w:val="28"/>
                <w:highlight w:val="none"/>
              </w:rPr>
            </w:pPr>
          </w:p>
        </w:tc>
      </w:tr>
    </w:tbl>
    <w:p w14:paraId="5BF8F6D6">
      <w:pPr>
        <w:rPr>
          <w:rFonts w:hint="eastAsia" w:ascii="宋体" w:hAnsi="宋体" w:cs="宋体"/>
          <w:highlight w:val="none"/>
        </w:rPr>
      </w:pPr>
    </w:p>
    <w:p w14:paraId="792253EB">
      <w:pPr>
        <w:tabs>
          <w:tab w:val="left" w:pos="1440"/>
        </w:tabs>
        <w:rPr>
          <w:rFonts w:hint="eastAsia" w:ascii="宋体" w:hAnsi="宋体" w:cs="宋体"/>
          <w:szCs w:val="21"/>
          <w:highlight w:val="none"/>
        </w:rPr>
      </w:pPr>
    </w:p>
    <w:p w14:paraId="34FA58F4">
      <w:pPr>
        <w:tabs>
          <w:tab w:val="left" w:pos="1440"/>
        </w:tabs>
        <w:spacing w:line="360" w:lineRule="auto"/>
        <w:rPr>
          <w:rFonts w:hint="eastAsia" w:ascii="宋体" w:hAnsi="宋体" w:cs="宋体"/>
          <w:szCs w:val="21"/>
          <w:highlight w:val="none"/>
        </w:rPr>
      </w:pPr>
      <w:r>
        <w:rPr>
          <w:rFonts w:hint="eastAsia" w:ascii="宋体" w:hAnsi="宋体" w:cs="宋体"/>
          <w:szCs w:val="21"/>
          <w:highlight w:val="none"/>
        </w:rPr>
        <w:t>备注：除合同另有约定外，本表所列发包人供应材料和工程设备的数量不考虑施工损耗，施工损耗被认为已经包括在承包人的投标价格中。</w:t>
      </w:r>
    </w:p>
    <w:p w14:paraId="033368C7">
      <w:pPr>
        <w:rPr>
          <w:rFonts w:hint="eastAsia" w:ascii="宋体" w:hAnsi="宋体" w:cs="宋体"/>
          <w:highlight w:val="none"/>
        </w:rPr>
      </w:pPr>
    </w:p>
    <w:p w14:paraId="66474F7D">
      <w:pPr>
        <w:rPr>
          <w:rFonts w:hint="eastAsia" w:ascii="宋体" w:hAnsi="宋体" w:cs="宋体"/>
          <w:highlight w:val="none"/>
        </w:rPr>
      </w:pPr>
    </w:p>
    <w:p w14:paraId="58C16D44">
      <w:pPr>
        <w:rPr>
          <w:rFonts w:hint="eastAsia" w:ascii="宋体" w:hAnsi="宋体" w:cs="宋体"/>
          <w:highlight w:val="none"/>
        </w:rPr>
      </w:pPr>
    </w:p>
    <w:p w14:paraId="0F89A80B">
      <w:pPr>
        <w:rPr>
          <w:rFonts w:hint="eastAsia" w:ascii="宋体" w:hAnsi="宋体" w:cs="宋体"/>
          <w:highlight w:val="none"/>
        </w:rPr>
      </w:pPr>
    </w:p>
    <w:p w14:paraId="2F005569">
      <w:pPr>
        <w:rPr>
          <w:rFonts w:hint="eastAsia" w:ascii="宋体" w:hAnsi="宋体" w:cs="宋体"/>
          <w:highlight w:val="none"/>
        </w:rPr>
        <w:sectPr>
          <w:pgSz w:w="11906" w:h="16838"/>
          <w:pgMar w:top="1440" w:right="1800" w:bottom="1440" w:left="1800" w:header="720" w:footer="720" w:gutter="0"/>
          <w:cols w:space="720" w:num="1"/>
          <w:titlePg/>
        </w:sectPr>
      </w:pPr>
    </w:p>
    <w:p w14:paraId="3AD96573">
      <w:pPr>
        <w:spacing w:line="360" w:lineRule="auto"/>
        <w:ind w:hanging="6"/>
        <w:outlineLvl w:val="3"/>
        <w:rPr>
          <w:rFonts w:hint="eastAsia" w:ascii="宋体" w:hAnsi="宋体" w:cs="宋体"/>
          <w:highlight w:val="none"/>
        </w:rPr>
      </w:pPr>
      <w:bookmarkStart w:id="2384" w:name="_Toc31720"/>
      <w:bookmarkStart w:id="2385" w:name="_Toc342296516"/>
      <w:bookmarkStart w:id="2386" w:name="_Toc241459757"/>
      <w:bookmarkStart w:id="2387" w:name="_Toc503536372"/>
      <w:bookmarkStart w:id="2388" w:name="_Toc111445497"/>
      <w:r>
        <w:rPr>
          <w:rFonts w:hint="eastAsia" w:ascii="宋体" w:hAnsi="宋体" w:cs="宋体"/>
          <w:highlight w:val="none"/>
        </w:rPr>
        <w:t>附件七：质量保修书格式</w:t>
      </w:r>
      <w:bookmarkEnd w:id="2384"/>
      <w:bookmarkEnd w:id="2385"/>
      <w:bookmarkEnd w:id="2386"/>
      <w:bookmarkEnd w:id="2387"/>
    </w:p>
    <w:p w14:paraId="4115D17B">
      <w:pPr>
        <w:tabs>
          <w:tab w:val="left" w:pos="3855"/>
        </w:tabs>
        <w:spacing w:line="400" w:lineRule="exact"/>
        <w:ind w:firstLine="560" w:firstLineChars="200"/>
        <w:jc w:val="center"/>
        <w:rPr>
          <w:rFonts w:hint="eastAsia" w:ascii="宋体" w:hAnsi="宋体" w:cs="宋体"/>
          <w:sz w:val="28"/>
          <w:highlight w:val="none"/>
        </w:rPr>
      </w:pPr>
    </w:p>
    <w:p w14:paraId="7D123A51">
      <w:pPr>
        <w:tabs>
          <w:tab w:val="left" w:pos="3855"/>
        </w:tabs>
        <w:spacing w:line="360" w:lineRule="auto"/>
        <w:ind w:firstLine="420" w:firstLineChars="200"/>
        <w:jc w:val="center"/>
        <w:rPr>
          <w:rFonts w:hint="eastAsia" w:ascii="宋体" w:hAnsi="宋体" w:cs="宋体"/>
          <w:highlight w:val="none"/>
        </w:rPr>
      </w:pPr>
      <w:r>
        <w:rPr>
          <w:rFonts w:hint="eastAsia" w:ascii="宋体" w:hAnsi="宋体" w:cs="宋体"/>
          <w:highlight w:val="none"/>
        </w:rPr>
        <w:t>房屋建筑工程质量保修书</w:t>
      </w:r>
      <w:bookmarkEnd w:id="2388"/>
    </w:p>
    <w:p w14:paraId="3F541F13">
      <w:pPr>
        <w:spacing w:line="360" w:lineRule="auto"/>
        <w:rPr>
          <w:rFonts w:hint="eastAsia" w:ascii="宋体" w:hAnsi="宋体" w:cs="宋体"/>
          <w:highlight w:val="none"/>
        </w:rPr>
      </w:pPr>
    </w:p>
    <w:p w14:paraId="1938FA3D">
      <w:pPr>
        <w:spacing w:line="360" w:lineRule="auto"/>
        <w:ind w:firstLine="488"/>
        <w:rPr>
          <w:rFonts w:hint="eastAsia" w:ascii="宋体" w:hAnsi="宋体" w:cs="宋体"/>
          <w:highlight w:val="none"/>
          <w:u w:val="single"/>
        </w:rPr>
      </w:pPr>
      <w:r>
        <w:rPr>
          <w:rFonts w:hint="eastAsia" w:ascii="宋体" w:hAnsi="宋体" w:cs="宋体"/>
          <w:highlight w:val="none"/>
        </w:rPr>
        <w:t>发包人：</w:t>
      </w:r>
      <w:r>
        <w:rPr>
          <w:rFonts w:hint="eastAsia" w:ascii="宋体" w:hAnsi="宋体" w:cs="宋体"/>
          <w:highlight w:val="none"/>
          <w:u w:val="single"/>
        </w:rPr>
        <w:t xml:space="preserve">             </w:t>
      </w:r>
    </w:p>
    <w:p w14:paraId="39E4C3F0">
      <w:pPr>
        <w:spacing w:line="360" w:lineRule="auto"/>
        <w:ind w:firstLine="488"/>
        <w:rPr>
          <w:rFonts w:hint="eastAsia" w:ascii="宋体" w:hAnsi="宋体" w:cs="宋体"/>
          <w:highlight w:val="none"/>
        </w:rPr>
      </w:pPr>
      <w:r>
        <w:rPr>
          <w:rFonts w:hint="eastAsia" w:ascii="宋体" w:hAnsi="宋体" w:cs="宋体"/>
          <w:highlight w:val="none"/>
        </w:rPr>
        <w:t>承包人：</w:t>
      </w:r>
    </w:p>
    <w:p w14:paraId="183D967F">
      <w:pPr>
        <w:spacing w:line="360" w:lineRule="auto"/>
        <w:ind w:firstLine="488"/>
        <w:rPr>
          <w:rFonts w:hint="eastAsia" w:ascii="宋体" w:hAnsi="宋体" w:cs="宋体"/>
          <w:highlight w:val="none"/>
          <w:u w:val="single"/>
        </w:rPr>
      </w:pPr>
    </w:p>
    <w:p w14:paraId="0DC3447B">
      <w:pPr>
        <w:spacing w:line="360" w:lineRule="auto"/>
        <w:ind w:firstLine="490"/>
        <w:rPr>
          <w:rFonts w:hint="eastAsia" w:ascii="宋体" w:hAnsi="宋体" w:cs="宋体"/>
          <w:highlight w:val="none"/>
        </w:rPr>
      </w:pPr>
      <w:r>
        <w:rPr>
          <w:rFonts w:hint="eastAsia" w:ascii="宋体" w:hAnsi="宋体" w:cs="宋体"/>
          <w:highlight w:val="none"/>
        </w:rPr>
        <w:t>发包人、承包人根据《中华人民共和国建筑法》、《建设工程质量管理条例》和《房屋建筑工程质量保修办法》，经协商一致，对（工程名称）签订保修书。</w:t>
      </w:r>
    </w:p>
    <w:p w14:paraId="1726DAF5">
      <w:pPr>
        <w:spacing w:line="360" w:lineRule="auto"/>
        <w:rPr>
          <w:rFonts w:hint="eastAsia" w:ascii="宋体" w:hAnsi="宋体" w:cs="宋体"/>
          <w:highlight w:val="none"/>
        </w:rPr>
      </w:pPr>
      <w:bookmarkStart w:id="2389" w:name="_Toc111445498"/>
      <w:bookmarkStart w:id="2390" w:name="_Toc454359462"/>
      <w:bookmarkStart w:id="2391" w:name="_Toc503536373"/>
      <w:r>
        <w:rPr>
          <w:rFonts w:hint="eastAsia" w:ascii="宋体" w:hAnsi="宋体" w:cs="宋体"/>
          <w:highlight w:val="none"/>
        </w:rPr>
        <w:t>一、工程保修范围和内容</w:t>
      </w:r>
      <w:bookmarkEnd w:id="2389"/>
      <w:bookmarkEnd w:id="2390"/>
      <w:bookmarkEnd w:id="2391"/>
    </w:p>
    <w:p w14:paraId="48AAAC4A">
      <w:pPr>
        <w:spacing w:line="360" w:lineRule="auto"/>
        <w:ind w:firstLine="490"/>
        <w:rPr>
          <w:rFonts w:hint="eastAsia" w:ascii="宋体" w:hAnsi="宋体" w:cs="宋体"/>
          <w:highlight w:val="none"/>
        </w:rPr>
      </w:pPr>
      <w:r>
        <w:rPr>
          <w:rFonts w:hint="eastAsia" w:ascii="宋体" w:hAnsi="宋体" w:cs="宋体"/>
          <w:highlight w:val="none"/>
        </w:rPr>
        <w:t>承包人在保修期内，按照有关法律、法规、规章的管理规定和双方约定，承担本工程保修责任。</w:t>
      </w:r>
    </w:p>
    <w:p w14:paraId="56A07111">
      <w:pPr>
        <w:spacing w:line="360" w:lineRule="auto"/>
        <w:ind w:firstLine="490"/>
        <w:rPr>
          <w:rFonts w:hint="eastAsia" w:ascii="宋体" w:hAnsi="宋体" w:cs="宋体"/>
          <w:highlight w:val="none"/>
        </w:rPr>
      </w:pPr>
      <w:r>
        <w:rPr>
          <w:rFonts w:hint="eastAsia" w:ascii="宋体" w:hAnsi="宋体" w:cs="宋体"/>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41E7F60">
      <w:pPr>
        <w:spacing w:line="360" w:lineRule="auto"/>
        <w:rPr>
          <w:rFonts w:hint="eastAsia" w:ascii="宋体" w:hAnsi="宋体" w:cs="宋体"/>
          <w:highlight w:val="none"/>
        </w:rPr>
      </w:pPr>
      <w:r>
        <w:rPr>
          <w:rFonts w:hint="eastAsia" w:ascii="宋体" w:hAnsi="宋体" w:cs="宋体"/>
          <w:highlight w:val="none"/>
          <w:u w:val="single"/>
        </w:rPr>
        <w:t xml:space="preserve">        /         </w:t>
      </w:r>
      <w:r>
        <w:rPr>
          <w:rFonts w:hint="eastAsia" w:ascii="宋体" w:hAnsi="宋体" w:cs="宋体"/>
          <w:highlight w:val="none"/>
        </w:rPr>
        <w:t>。</w:t>
      </w:r>
    </w:p>
    <w:p w14:paraId="01097CCA">
      <w:pPr>
        <w:spacing w:line="360" w:lineRule="auto"/>
        <w:rPr>
          <w:rFonts w:hint="eastAsia" w:ascii="宋体" w:hAnsi="宋体" w:cs="宋体"/>
          <w:highlight w:val="none"/>
        </w:rPr>
      </w:pPr>
      <w:bookmarkStart w:id="2392" w:name="_Toc454359463"/>
      <w:bookmarkStart w:id="2393" w:name="_Toc503536374"/>
      <w:bookmarkStart w:id="2394" w:name="_Toc111445499"/>
      <w:r>
        <w:rPr>
          <w:rFonts w:hint="eastAsia" w:ascii="宋体" w:hAnsi="宋体" w:cs="宋体"/>
          <w:highlight w:val="none"/>
        </w:rPr>
        <w:t>二、保修期</w:t>
      </w:r>
      <w:bookmarkEnd w:id="2392"/>
      <w:bookmarkEnd w:id="2393"/>
      <w:bookmarkEnd w:id="2394"/>
    </w:p>
    <w:p w14:paraId="64050EF9">
      <w:pPr>
        <w:spacing w:line="360" w:lineRule="auto"/>
        <w:ind w:left="420"/>
        <w:rPr>
          <w:rFonts w:hint="eastAsia" w:ascii="宋体" w:hAnsi="宋体" w:cs="宋体"/>
          <w:highlight w:val="none"/>
        </w:rPr>
      </w:pPr>
      <w:r>
        <w:rPr>
          <w:rFonts w:hint="eastAsia" w:ascii="宋体" w:hAnsi="宋体" w:cs="宋体"/>
          <w:highlight w:val="none"/>
        </w:rPr>
        <w:t>双方根据《建设工程质量管理条例》及有关规定，约定本工程的保修期如下：</w:t>
      </w:r>
    </w:p>
    <w:p w14:paraId="311C4C23">
      <w:pPr>
        <w:numPr>
          <w:ilvl w:val="1"/>
          <w:numId w:val="16"/>
        </w:numPr>
        <w:tabs>
          <w:tab w:val="left" w:pos="800"/>
          <w:tab w:val="left" w:pos="1740"/>
        </w:tabs>
        <w:adjustRightInd w:val="0"/>
        <w:snapToGrid w:val="0"/>
        <w:spacing w:line="360" w:lineRule="auto"/>
        <w:rPr>
          <w:rFonts w:hint="eastAsia" w:ascii="宋体" w:hAnsi="宋体" w:cs="宋体"/>
          <w:highlight w:val="none"/>
        </w:rPr>
      </w:pPr>
      <w:r>
        <w:rPr>
          <w:rFonts w:hint="eastAsia" w:ascii="宋体" w:hAnsi="宋体" w:cs="宋体"/>
          <w:highlight w:val="none"/>
        </w:rPr>
        <w:t>地基基础工程和主体结构工程为设计文件规定的该工程合理使用年限；</w:t>
      </w:r>
    </w:p>
    <w:p w14:paraId="25A1AC50">
      <w:pPr>
        <w:numPr>
          <w:ilvl w:val="1"/>
          <w:numId w:val="16"/>
        </w:numPr>
        <w:tabs>
          <w:tab w:val="left" w:pos="800"/>
          <w:tab w:val="left" w:pos="1740"/>
        </w:tabs>
        <w:adjustRightInd w:val="0"/>
        <w:snapToGrid w:val="0"/>
        <w:spacing w:line="360" w:lineRule="auto"/>
        <w:rPr>
          <w:rFonts w:hint="eastAsia" w:ascii="宋体" w:hAnsi="宋体" w:cs="宋体"/>
          <w:highlight w:val="none"/>
        </w:rPr>
      </w:pPr>
      <w:r>
        <w:rPr>
          <w:rFonts w:hint="eastAsia" w:ascii="宋体" w:hAnsi="宋体" w:cs="宋体"/>
          <w:highlight w:val="none"/>
        </w:rPr>
        <w:t>屋面防水工程、有防水要求的卫生间、房间和外墙面的防渗漏为</w:t>
      </w:r>
      <w:r>
        <w:rPr>
          <w:rFonts w:hint="eastAsia" w:ascii="宋体" w:hAnsi="宋体" w:cs="宋体"/>
          <w:highlight w:val="none"/>
          <w:u w:val="single"/>
        </w:rPr>
        <w:t xml:space="preserve">  5  </w:t>
      </w:r>
      <w:r>
        <w:rPr>
          <w:rFonts w:hint="eastAsia" w:ascii="宋体" w:hAnsi="宋体" w:cs="宋体"/>
          <w:highlight w:val="none"/>
        </w:rPr>
        <w:t>年；</w:t>
      </w:r>
    </w:p>
    <w:p w14:paraId="465C4B7C">
      <w:pPr>
        <w:numPr>
          <w:ilvl w:val="1"/>
          <w:numId w:val="16"/>
        </w:numPr>
        <w:tabs>
          <w:tab w:val="left" w:pos="800"/>
          <w:tab w:val="left" w:pos="1740"/>
        </w:tabs>
        <w:adjustRightInd w:val="0"/>
        <w:snapToGrid w:val="0"/>
        <w:spacing w:line="360" w:lineRule="auto"/>
        <w:rPr>
          <w:rFonts w:hint="eastAsia" w:ascii="宋体" w:hAnsi="宋体" w:cs="宋体"/>
          <w:highlight w:val="none"/>
        </w:rPr>
      </w:pPr>
      <w:r>
        <w:rPr>
          <w:rFonts w:hint="eastAsia" w:ascii="宋体" w:hAnsi="宋体" w:cs="宋体"/>
          <w:highlight w:val="none"/>
        </w:rPr>
        <w:t>外窗工程为</w:t>
      </w:r>
      <w:r>
        <w:rPr>
          <w:rFonts w:hint="eastAsia" w:ascii="宋体" w:hAnsi="宋体" w:cs="宋体"/>
          <w:highlight w:val="none"/>
          <w:u w:val="single"/>
        </w:rPr>
        <w:t xml:space="preserve">  2  </w:t>
      </w:r>
      <w:r>
        <w:rPr>
          <w:rFonts w:hint="eastAsia" w:ascii="宋体" w:hAnsi="宋体" w:cs="宋体"/>
          <w:highlight w:val="none"/>
        </w:rPr>
        <w:t>年，外窗防渗漏为</w:t>
      </w:r>
      <w:r>
        <w:rPr>
          <w:rFonts w:hint="eastAsia" w:ascii="宋体" w:hAnsi="宋体" w:cs="宋体"/>
          <w:highlight w:val="none"/>
          <w:u w:val="single"/>
        </w:rPr>
        <w:t xml:space="preserve">  2  </w:t>
      </w:r>
      <w:r>
        <w:rPr>
          <w:rFonts w:hint="eastAsia" w:ascii="宋体" w:hAnsi="宋体" w:cs="宋体"/>
          <w:highlight w:val="none"/>
        </w:rPr>
        <w:t>年；</w:t>
      </w:r>
    </w:p>
    <w:p w14:paraId="5DC8A664">
      <w:pPr>
        <w:numPr>
          <w:ilvl w:val="1"/>
          <w:numId w:val="16"/>
        </w:numPr>
        <w:tabs>
          <w:tab w:val="left" w:pos="800"/>
          <w:tab w:val="left" w:pos="1740"/>
        </w:tabs>
        <w:adjustRightInd w:val="0"/>
        <w:snapToGrid w:val="0"/>
        <w:spacing w:line="360" w:lineRule="auto"/>
        <w:rPr>
          <w:rFonts w:hint="eastAsia" w:ascii="宋体" w:hAnsi="宋体" w:cs="宋体"/>
          <w:highlight w:val="none"/>
        </w:rPr>
      </w:pPr>
      <w:r>
        <w:rPr>
          <w:rFonts w:hint="eastAsia" w:ascii="宋体" w:hAnsi="宋体" w:cs="宋体"/>
          <w:highlight w:val="none"/>
        </w:rPr>
        <w:t>装修工程为</w:t>
      </w:r>
      <w:r>
        <w:rPr>
          <w:rFonts w:hint="eastAsia" w:ascii="宋体" w:hAnsi="宋体" w:cs="宋体"/>
          <w:highlight w:val="none"/>
          <w:u w:val="single"/>
        </w:rPr>
        <w:t xml:space="preserve">   2  </w:t>
      </w:r>
      <w:r>
        <w:rPr>
          <w:rFonts w:hint="eastAsia" w:ascii="宋体" w:hAnsi="宋体" w:cs="宋体"/>
          <w:highlight w:val="none"/>
        </w:rPr>
        <w:t>年；</w:t>
      </w:r>
    </w:p>
    <w:p w14:paraId="75A43C11">
      <w:pPr>
        <w:numPr>
          <w:ilvl w:val="1"/>
          <w:numId w:val="16"/>
        </w:numPr>
        <w:tabs>
          <w:tab w:val="left" w:pos="800"/>
          <w:tab w:val="left" w:pos="1740"/>
        </w:tabs>
        <w:adjustRightInd w:val="0"/>
        <w:snapToGrid w:val="0"/>
        <w:spacing w:line="360" w:lineRule="auto"/>
        <w:rPr>
          <w:rFonts w:hint="eastAsia" w:ascii="宋体" w:hAnsi="宋体" w:cs="宋体"/>
          <w:highlight w:val="none"/>
        </w:rPr>
      </w:pPr>
      <w:r>
        <w:rPr>
          <w:rFonts w:hint="eastAsia" w:ascii="宋体" w:hAnsi="宋体" w:cs="宋体"/>
          <w:highlight w:val="none"/>
        </w:rPr>
        <w:t>电气管线、给排水管道、设备安装工程为</w:t>
      </w:r>
      <w:r>
        <w:rPr>
          <w:rFonts w:hint="eastAsia" w:ascii="宋体" w:hAnsi="宋体" w:cs="宋体"/>
          <w:highlight w:val="none"/>
          <w:u w:val="single"/>
        </w:rPr>
        <w:t xml:space="preserve">  2  </w:t>
      </w:r>
      <w:r>
        <w:rPr>
          <w:rFonts w:hint="eastAsia" w:ascii="宋体" w:hAnsi="宋体" w:cs="宋体"/>
          <w:highlight w:val="none"/>
        </w:rPr>
        <w:t>年；</w:t>
      </w:r>
    </w:p>
    <w:p w14:paraId="38A14E0A">
      <w:pPr>
        <w:numPr>
          <w:ilvl w:val="1"/>
          <w:numId w:val="16"/>
        </w:numPr>
        <w:tabs>
          <w:tab w:val="left" w:pos="800"/>
          <w:tab w:val="left" w:pos="1740"/>
        </w:tabs>
        <w:adjustRightInd w:val="0"/>
        <w:snapToGrid w:val="0"/>
        <w:spacing w:line="360" w:lineRule="auto"/>
        <w:rPr>
          <w:rFonts w:hint="eastAsia" w:ascii="宋体" w:hAnsi="宋体" w:cs="宋体"/>
          <w:highlight w:val="none"/>
        </w:rPr>
      </w:pPr>
      <w:r>
        <w:rPr>
          <w:rFonts w:hint="eastAsia" w:ascii="宋体" w:hAnsi="宋体" w:cs="宋体"/>
          <w:highlight w:val="none"/>
        </w:rPr>
        <w:t>供热与供冷系统为</w:t>
      </w:r>
      <w:r>
        <w:rPr>
          <w:rFonts w:hint="eastAsia" w:ascii="宋体" w:hAnsi="宋体" w:cs="宋体"/>
          <w:highlight w:val="none"/>
          <w:u w:val="single"/>
        </w:rPr>
        <w:t xml:space="preserve">   2   </w:t>
      </w:r>
      <w:r>
        <w:rPr>
          <w:rFonts w:hint="eastAsia" w:ascii="宋体" w:hAnsi="宋体" w:cs="宋体"/>
          <w:highlight w:val="none"/>
        </w:rPr>
        <w:t>个采暖期、供冷期；</w:t>
      </w:r>
    </w:p>
    <w:p w14:paraId="1F3BA4D6">
      <w:pPr>
        <w:numPr>
          <w:ilvl w:val="1"/>
          <w:numId w:val="16"/>
        </w:numPr>
        <w:tabs>
          <w:tab w:val="left" w:pos="800"/>
          <w:tab w:val="left" w:pos="1740"/>
        </w:tabs>
        <w:adjustRightInd w:val="0"/>
        <w:snapToGrid w:val="0"/>
        <w:spacing w:line="360" w:lineRule="auto"/>
        <w:rPr>
          <w:rFonts w:hint="eastAsia" w:ascii="宋体" w:hAnsi="宋体" w:cs="宋体"/>
          <w:highlight w:val="none"/>
        </w:rPr>
      </w:pPr>
      <w:r>
        <w:rPr>
          <w:rFonts w:hint="eastAsia" w:ascii="宋体" w:hAnsi="宋体" w:cs="宋体"/>
          <w:highlight w:val="none"/>
        </w:rPr>
        <w:t>住宅小区内的给排水设施、道路等配套工程为</w:t>
      </w:r>
      <w:r>
        <w:rPr>
          <w:rFonts w:hint="eastAsia" w:ascii="宋体" w:hAnsi="宋体" w:cs="宋体"/>
          <w:highlight w:val="none"/>
          <w:u w:val="single"/>
        </w:rPr>
        <w:t xml:space="preserve">  2  </w:t>
      </w:r>
      <w:r>
        <w:rPr>
          <w:rFonts w:hint="eastAsia" w:ascii="宋体" w:hAnsi="宋体" w:cs="宋体"/>
          <w:highlight w:val="none"/>
        </w:rPr>
        <w:t>年；</w:t>
      </w:r>
    </w:p>
    <w:p w14:paraId="4E2F58FE">
      <w:pPr>
        <w:numPr>
          <w:ilvl w:val="1"/>
          <w:numId w:val="16"/>
        </w:numPr>
        <w:tabs>
          <w:tab w:val="left" w:pos="800"/>
          <w:tab w:val="left" w:pos="1740"/>
        </w:tabs>
        <w:adjustRightInd w:val="0"/>
        <w:snapToGrid w:val="0"/>
        <w:spacing w:line="360" w:lineRule="auto"/>
        <w:rPr>
          <w:rFonts w:hint="eastAsia" w:ascii="宋体" w:hAnsi="宋体" w:cs="宋体"/>
          <w:highlight w:val="none"/>
          <w:u w:val="single"/>
        </w:rPr>
      </w:pPr>
      <w:r>
        <w:rPr>
          <w:rFonts w:hint="eastAsia" w:ascii="宋体" w:hAnsi="宋体" w:cs="宋体"/>
          <w:highlight w:val="none"/>
        </w:rPr>
        <w:t>其他项目保修期限约定如下：</w:t>
      </w:r>
      <w:r>
        <w:rPr>
          <w:rFonts w:hint="eastAsia" w:ascii="宋体" w:hAnsi="宋体" w:cs="宋体"/>
          <w:highlight w:val="none"/>
          <w:u w:val="single"/>
        </w:rPr>
        <w:t xml:space="preserve">   /   </w:t>
      </w:r>
      <w:r>
        <w:rPr>
          <w:rFonts w:hint="eastAsia" w:ascii="宋体" w:hAnsi="宋体" w:cs="宋体"/>
          <w:highlight w:val="none"/>
        </w:rPr>
        <w:t>。</w:t>
      </w:r>
    </w:p>
    <w:p w14:paraId="0975EB68">
      <w:pPr>
        <w:spacing w:line="360" w:lineRule="auto"/>
        <w:rPr>
          <w:rFonts w:hint="eastAsia" w:ascii="宋体" w:hAnsi="宋体" w:cs="宋体"/>
          <w:highlight w:val="none"/>
        </w:rPr>
      </w:pPr>
      <w:bookmarkStart w:id="2395" w:name="_Toc111445500"/>
      <w:bookmarkStart w:id="2396" w:name="_Toc503536375"/>
      <w:bookmarkStart w:id="2397" w:name="_Toc454359464"/>
      <w:r>
        <w:rPr>
          <w:rFonts w:hint="eastAsia" w:ascii="宋体" w:hAnsi="宋体" w:cs="宋体"/>
          <w:highlight w:val="none"/>
        </w:rPr>
        <w:t>三、保修责任</w:t>
      </w:r>
      <w:bookmarkEnd w:id="2395"/>
      <w:bookmarkEnd w:id="2396"/>
      <w:bookmarkEnd w:id="2397"/>
    </w:p>
    <w:p w14:paraId="0BD4B42D">
      <w:pPr>
        <w:tabs>
          <w:tab w:val="left" w:pos="1740"/>
        </w:tabs>
        <w:spacing w:line="360" w:lineRule="auto"/>
        <w:ind w:firstLine="420" w:firstLineChars="200"/>
        <w:rPr>
          <w:rFonts w:hint="eastAsia" w:ascii="宋体" w:hAnsi="宋体" w:cs="宋体"/>
          <w:highlight w:val="none"/>
        </w:rPr>
      </w:pPr>
      <w:r>
        <w:rPr>
          <w:rFonts w:hint="eastAsia" w:ascii="宋体" w:hAnsi="宋体" w:cs="宋体"/>
          <w:highlight w:val="none"/>
        </w:rPr>
        <w:t>1、属于责任范围、内容的项目，承包人应当在接到保修通知之日起7天内派人保修。承包人不在约定期限内派人保修的，发包人可以委托他人修理。</w:t>
      </w:r>
    </w:p>
    <w:p w14:paraId="7A10C915">
      <w:pPr>
        <w:tabs>
          <w:tab w:val="left" w:pos="1740"/>
        </w:tabs>
        <w:spacing w:line="360" w:lineRule="auto"/>
        <w:ind w:firstLine="420" w:firstLineChars="200"/>
        <w:rPr>
          <w:rFonts w:hint="eastAsia" w:ascii="宋体" w:hAnsi="宋体" w:cs="宋体"/>
          <w:highlight w:val="none"/>
        </w:rPr>
      </w:pPr>
      <w:r>
        <w:rPr>
          <w:rFonts w:hint="eastAsia" w:ascii="宋体" w:hAnsi="宋体" w:cs="宋体"/>
          <w:highlight w:val="none"/>
        </w:rPr>
        <w:t>2、发生紧急抢修事故的，承包人在接到事故通知后，应当立即到达事故现场抢修。</w:t>
      </w:r>
    </w:p>
    <w:p w14:paraId="70FF274F">
      <w:pPr>
        <w:tabs>
          <w:tab w:val="left" w:pos="1740"/>
        </w:tabs>
        <w:spacing w:line="360" w:lineRule="auto"/>
        <w:ind w:firstLine="420" w:firstLineChars="200"/>
        <w:rPr>
          <w:rFonts w:hint="eastAsia" w:ascii="宋体" w:hAnsi="宋体" w:cs="宋体"/>
          <w:highlight w:val="none"/>
        </w:rPr>
      </w:pPr>
      <w:r>
        <w:rPr>
          <w:rFonts w:hint="eastAsia" w:ascii="宋体" w:hAnsi="宋体" w:cs="宋体"/>
          <w:highlight w:val="none"/>
        </w:rPr>
        <w:t>3、对于涉及结构安全的质量问题，应当按照《房屋建筑工程质量保修办法》的规定，立即向当地交通运输行政主管部门报告，采取安全防范措施；由原设计人或者具有相应资质等级的设计人提出保修方案，承包人实施保修。</w:t>
      </w:r>
    </w:p>
    <w:p w14:paraId="0793E522">
      <w:pPr>
        <w:tabs>
          <w:tab w:val="left" w:pos="1740"/>
        </w:tabs>
        <w:spacing w:line="360" w:lineRule="auto"/>
        <w:ind w:firstLine="420" w:firstLineChars="200"/>
        <w:rPr>
          <w:rFonts w:hint="eastAsia" w:ascii="宋体" w:hAnsi="宋体" w:cs="宋体"/>
          <w:highlight w:val="none"/>
        </w:rPr>
      </w:pPr>
      <w:r>
        <w:rPr>
          <w:rFonts w:hint="eastAsia" w:ascii="宋体" w:hAnsi="宋体" w:cs="宋体"/>
          <w:highlight w:val="none"/>
        </w:rPr>
        <w:t>4、质量保修完成后，由发包人组织验收。</w:t>
      </w:r>
    </w:p>
    <w:p w14:paraId="4FC9FE53">
      <w:pPr>
        <w:spacing w:line="360" w:lineRule="auto"/>
        <w:rPr>
          <w:rFonts w:hint="eastAsia" w:ascii="宋体" w:hAnsi="宋体" w:cs="宋体"/>
          <w:highlight w:val="none"/>
        </w:rPr>
      </w:pPr>
      <w:bookmarkStart w:id="2398" w:name="_Toc454359465"/>
      <w:bookmarkStart w:id="2399" w:name="_Toc503536376"/>
      <w:bookmarkStart w:id="2400" w:name="_Toc111445501"/>
      <w:r>
        <w:rPr>
          <w:rFonts w:hint="eastAsia" w:ascii="宋体" w:hAnsi="宋体" w:cs="宋体"/>
          <w:highlight w:val="none"/>
        </w:rPr>
        <w:t>四、保修费用</w:t>
      </w:r>
      <w:bookmarkEnd w:id="2398"/>
      <w:bookmarkEnd w:id="2399"/>
      <w:bookmarkEnd w:id="2400"/>
    </w:p>
    <w:p w14:paraId="132EA01B">
      <w:pPr>
        <w:spacing w:line="360" w:lineRule="auto"/>
        <w:ind w:left="420"/>
        <w:rPr>
          <w:rFonts w:hint="eastAsia" w:ascii="宋体" w:hAnsi="宋体" w:cs="宋体"/>
          <w:highlight w:val="none"/>
          <w:u w:val="single"/>
        </w:rPr>
      </w:pPr>
      <w:r>
        <w:rPr>
          <w:rFonts w:hint="eastAsia" w:ascii="宋体" w:hAnsi="宋体" w:cs="宋体"/>
          <w:highlight w:val="none"/>
        </w:rPr>
        <w:t>保修费用由造成质量缺陷的责任方承担。</w:t>
      </w:r>
    </w:p>
    <w:p w14:paraId="7EC0D923">
      <w:pPr>
        <w:spacing w:line="360" w:lineRule="auto"/>
        <w:rPr>
          <w:rFonts w:hint="eastAsia" w:ascii="宋体" w:hAnsi="宋体" w:cs="宋体"/>
          <w:highlight w:val="none"/>
        </w:rPr>
      </w:pPr>
      <w:bookmarkStart w:id="2401" w:name="_Toc503536377"/>
      <w:bookmarkStart w:id="2402" w:name="_Toc111445502"/>
      <w:bookmarkStart w:id="2403" w:name="_Toc454359466"/>
      <w:r>
        <w:rPr>
          <w:rFonts w:hint="eastAsia" w:ascii="宋体" w:hAnsi="宋体" w:cs="宋体"/>
          <w:highlight w:val="none"/>
        </w:rPr>
        <w:t>五、其 他</w:t>
      </w:r>
      <w:bookmarkEnd w:id="2401"/>
      <w:bookmarkEnd w:id="2402"/>
      <w:bookmarkEnd w:id="2403"/>
    </w:p>
    <w:p w14:paraId="47570FCC">
      <w:pPr>
        <w:spacing w:line="360" w:lineRule="auto"/>
        <w:ind w:left="420"/>
        <w:rPr>
          <w:rFonts w:hint="eastAsia" w:ascii="宋体" w:hAnsi="宋体" w:cs="宋体"/>
          <w:highlight w:val="none"/>
        </w:rPr>
      </w:pPr>
      <w:r>
        <w:rPr>
          <w:rFonts w:hint="eastAsia" w:ascii="宋体" w:hAnsi="宋体" w:cs="宋体"/>
          <w:highlight w:val="none"/>
        </w:rPr>
        <w:t>双方约定的其他工程保修责任事项：</w:t>
      </w:r>
    </w:p>
    <w:p w14:paraId="7205D727">
      <w:pPr>
        <w:spacing w:line="360" w:lineRule="auto"/>
        <w:rPr>
          <w:rFonts w:hint="eastAsia" w:ascii="宋体" w:hAnsi="宋体" w:cs="宋体"/>
          <w:highlight w:val="none"/>
        </w:rPr>
      </w:pPr>
      <w:r>
        <w:rPr>
          <w:rFonts w:hint="eastAsia" w:ascii="宋体" w:hAnsi="宋体" w:cs="宋体"/>
          <w:highlight w:val="none"/>
          <w:u w:val="single"/>
        </w:rPr>
        <w:t xml:space="preserve">                                   /                            </w:t>
      </w:r>
      <w:r>
        <w:rPr>
          <w:rFonts w:ascii="宋体" w:hAnsi="宋体" w:cs="宋体"/>
          <w:highlight w:val="none"/>
          <w:u w:val="single"/>
        </w:rPr>
        <w:t>。</w:t>
      </w:r>
    </w:p>
    <w:p w14:paraId="651BEF66">
      <w:pPr>
        <w:spacing w:line="360" w:lineRule="auto"/>
        <w:ind w:firstLine="420"/>
        <w:rPr>
          <w:rFonts w:hint="eastAsia" w:ascii="宋体" w:hAnsi="宋体" w:cs="宋体"/>
          <w:highlight w:val="none"/>
        </w:rPr>
      </w:pPr>
      <w:r>
        <w:rPr>
          <w:rFonts w:hint="eastAsia" w:ascii="宋体" w:hAnsi="宋体" w:cs="宋体"/>
          <w:highlight w:val="none"/>
        </w:rPr>
        <w:t>本工程保修书，由施工合同发包人、承包人双方在竣工验收前共同签署，作为施工合同附件，其有效期限至保修期满。</w:t>
      </w:r>
    </w:p>
    <w:p w14:paraId="7BBBFC2F">
      <w:pPr>
        <w:spacing w:line="360" w:lineRule="auto"/>
        <w:ind w:firstLine="420"/>
        <w:rPr>
          <w:rFonts w:hint="eastAsia" w:ascii="宋体" w:hAnsi="宋体" w:cs="宋体"/>
          <w:highlight w:val="none"/>
        </w:rPr>
      </w:pPr>
    </w:p>
    <w:p w14:paraId="75C698FF">
      <w:pPr>
        <w:spacing w:line="360" w:lineRule="auto"/>
        <w:rPr>
          <w:rFonts w:hint="eastAsia" w:ascii="宋体" w:hAnsi="宋体" w:cs="宋体"/>
          <w:highlight w:val="none"/>
        </w:rPr>
      </w:pPr>
      <w:r>
        <w:rPr>
          <w:rFonts w:hint="eastAsia" w:ascii="宋体" w:hAnsi="宋体" w:cs="宋体"/>
          <w:highlight w:val="none"/>
        </w:rPr>
        <w:t xml:space="preserve">发包人：        </w:t>
      </w:r>
      <w:r>
        <w:rPr>
          <w:rFonts w:hint="eastAsia" w:ascii="宋体" w:hAnsi="宋体" w:cs="宋体"/>
          <w:highlight w:val="none"/>
          <w:u w:val="single"/>
        </w:rPr>
        <w:t xml:space="preserve">   </w:t>
      </w:r>
      <w:r>
        <w:rPr>
          <w:rFonts w:hint="eastAsia" w:ascii="宋体" w:hAnsi="宋体" w:cs="宋体"/>
          <w:highlight w:val="none"/>
        </w:rPr>
        <w:t xml:space="preserve">（公章）    </w:t>
      </w:r>
      <w:r>
        <w:rPr>
          <w:rFonts w:hint="eastAsia" w:ascii="宋体" w:hAnsi="宋体" w:cs="宋体"/>
          <w:highlight w:val="none"/>
          <w:lang w:val="en-US" w:eastAsia="zh-CN"/>
        </w:rPr>
        <w:t xml:space="preserve">    </w:t>
      </w:r>
      <w:r>
        <w:rPr>
          <w:rFonts w:hint="eastAsia" w:ascii="宋体" w:hAnsi="宋体" w:cs="宋体"/>
          <w:highlight w:val="none"/>
        </w:rPr>
        <w:t xml:space="preserve">承包人：（公章） </w:t>
      </w:r>
    </w:p>
    <w:p w14:paraId="5EE86DA3">
      <w:pPr>
        <w:tabs>
          <w:tab w:val="left" w:pos="4275"/>
        </w:tabs>
        <w:spacing w:line="360" w:lineRule="auto"/>
        <w:rPr>
          <w:rFonts w:hint="eastAsia" w:ascii="宋体" w:hAnsi="宋体" w:cs="宋体"/>
          <w:highlight w:val="none"/>
        </w:rPr>
      </w:pPr>
      <w:r>
        <w:rPr>
          <w:rFonts w:hint="eastAsia" w:ascii="宋体" w:hAnsi="宋体" w:cs="宋体"/>
          <w:highlight w:val="none"/>
        </w:rPr>
        <w:t>法定地址：</w:t>
      </w:r>
      <w:r>
        <w:rPr>
          <w:rFonts w:hint="eastAsia" w:ascii="宋体" w:hAnsi="宋体" w:cs="宋体"/>
          <w:highlight w:val="none"/>
          <w:lang w:val="en-US" w:eastAsia="zh-CN"/>
        </w:rPr>
        <w:t xml:space="preserve">                         </w:t>
      </w:r>
      <w:r>
        <w:rPr>
          <w:rFonts w:hint="eastAsia" w:ascii="宋体" w:hAnsi="宋体" w:cs="宋体"/>
          <w:highlight w:val="none"/>
        </w:rPr>
        <w:t>法定地址：</w:t>
      </w:r>
    </w:p>
    <w:p w14:paraId="15C301ED">
      <w:pPr>
        <w:tabs>
          <w:tab w:val="left" w:pos="4275"/>
        </w:tabs>
        <w:spacing w:line="360" w:lineRule="auto"/>
        <w:rPr>
          <w:rFonts w:hint="eastAsia" w:ascii="宋体" w:hAnsi="宋体" w:cs="宋体"/>
          <w:highlight w:val="none"/>
        </w:rPr>
      </w:pPr>
      <w:r>
        <w:rPr>
          <w:rFonts w:hint="eastAsia" w:ascii="宋体" w:hAnsi="宋体" w:cs="宋体"/>
          <w:highlight w:val="none"/>
        </w:rPr>
        <w:t>法定代表人或其                     法定代表人或其</w:t>
      </w:r>
    </w:p>
    <w:p w14:paraId="752D904D">
      <w:pPr>
        <w:spacing w:after="360" w:afterLines="150" w:line="360" w:lineRule="auto"/>
        <w:rPr>
          <w:rFonts w:hint="eastAsia" w:ascii="宋体" w:hAnsi="宋体" w:cs="宋体"/>
          <w:highlight w:val="none"/>
        </w:rPr>
      </w:pPr>
      <w:r>
        <w:rPr>
          <w:rFonts w:hint="eastAsia" w:ascii="宋体" w:hAnsi="宋体" w:cs="宋体"/>
          <w:highlight w:val="none"/>
        </w:rPr>
        <w:t xml:space="preserve">委托代理人：（签字或盖章） </w:t>
      </w:r>
      <w:r>
        <w:rPr>
          <w:rFonts w:hint="eastAsia" w:ascii="宋体" w:hAnsi="宋体" w:cs="宋体"/>
          <w:highlight w:val="none"/>
          <w:lang w:val="en-US" w:eastAsia="zh-CN"/>
        </w:rPr>
        <w:t xml:space="preserve">        </w:t>
      </w:r>
      <w:r>
        <w:rPr>
          <w:rFonts w:hint="eastAsia" w:ascii="宋体" w:hAnsi="宋体" w:cs="宋体"/>
          <w:highlight w:val="none"/>
        </w:rPr>
        <w:t>委托代理人：（签字或盖章）</w:t>
      </w:r>
    </w:p>
    <w:p w14:paraId="7005C471">
      <w:pPr>
        <w:tabs>
          <w:tab w:val="left" w:pos="4275"/>
        </w:tabs>
        <w:spacing w:line="360" w:lineRule="auto"/>
        <w:rPr>
          <w:rFonts w:hint="eastAsia" w:ascii="宋体" w:hAnsi="宋体" w:cs="宋体"/>
          <w:highlight w:val="none"/>
        </w:rPr>
      </w:pPr>
      <w:r>
        <w:rPr>
          <w:rFonts w:hint="eastAsia" w:ascii="宋体" w:hAnsi="宋体" w:cs="宋体"/>
          <w:highlight w:val="none"/>
        </w:rPr>
        <w:t>电话：</w:t>
      </w:r>
      <w:r>
        <w:rPr>
          <w:rFonts w:hint="eastAsia" w:ascii="宋体" w:hAnsi="宋体" w:cs="宋体"/>
          <w:highlight w:val="none"/>
          <w:lang w:val="en-US" w:eastAsia="zh-CN"/>
        </w:rPr>
        <w:t xml:space="preserve">                             </w:t>
      </w:r>
      <w:r>
        <w:rPr>
          <w:rFonts w:hint="eastAsia" w:ascii="宋体" w:hAnsi="宋体" w:cs="宋体"/>
          <w:highlight w:val="none"/>
        </w:rPr>
        <w:t>电话：</w:t>
      </w:r>
    </w:p>
    <w:p w14:paraId="284E279A">
      <w:pPr>
        <w:tabs>
          <w:tab w:val="left" w:pos="4275"/>
        </w:tabs>
        <w:spacing w:line="360" w:lineRule="auto"/>
        <w:rPr>
          <w:rFonts w:hint="eastAsia" w:ascii="宋体" w:hAnsi="宋体" w:cs="宋体"/>
          <w:highlight w:val="none"/>
        </w:rPr>
      </w:pPr>
      <w:r>
        <w:rPr>
          <w:rFonts w:hint="eastAsia" w:ascii="宋体" w:hAnsi="宋体" w:cs="宋体"/>
          <w:highlight w:val="none"/>
        </w:rPr>
        <w:t>传真：</w:t>
      </w:r>
      <w:r>
        <w:rPr>
          <w:rFonts w:hint="eastAsia" w:ascii="宋体" w:hAnsi="宋体" w:cs="宋体"/>
          <w:highlight w:val="none"/>
          <w:lang w:val="en-US" w:eastAsia="zh-CN"/>
        </w:rPr>
        <w:t xml:space="preserve">                             </w:t>
      </w:r>
      <w:r>
        <w:rPr>
          <w:rFonts w:hint="eastAsia" w:ascii="宋体" w:hAnsi="宋体" w:cs="宋体"/>
          <w:highlight w:val="none"/>
        </w:rPr>
        <w:t>传真：</w:t>
      </w:r>
    </w:p>
    <w:p w14:paraId="5951FEDC">
      <w:pPr>
        <w:tabs>
          <w:tab w:val="left" w:pos="4700"/>
        </w:tabs>
        <w:spacing w:line="360" w:lineRule="auto"/>
        <w:rPr>
          <w:rFonts w:hint="eastAsia" w:ascii="宋体" w:hAnsi="宋体" w:cs="宋体"/>
          <w:highlight w:val="none"/>
          <w:u w:val="single"/>
        </w:rPr>
      </w:pPr>
      <w:r>
        <w:rPr>
          <w:rFonts w:hint="eastAsia" w:ascii="宋体" w:hAnsi="宋体" w:cs="宋体"/>
          <w:highlight w:val="none"/>
        </w:rPr>
        <w:t>电子邮箱：</w:t>
      </w:r>
      <w:r>
        <w:rPr>
          <w:rFonts w:hint="eastAsia" w:ascii="宋体" w:hAnsi="宋体" w:cs="宋体"/>
          <w:highlight w:val="none"/>
          <w:u w:val="single"/>
        </w:rPr>
        <w:t xml:space="preserve">     /            </w:t>
      </w:r>
      <w:r>
        <w:rPr>
          <w:rFonts w:hint="eastAsia" w:ascii="宋体" w:hAnsi="宋体" w:cs="宋体"/>
          <w:highlight w:val="none"/>
        </w:rPr>
        <w:t xml:space="preserve">       电子邮箱：</w:t>
      </w:r>
      <w:r>
        <w:rPr>
          <w:rFonts w:hint="eastAsia" w:ascii="宋体" w:hAnsi="宋体" w:cs="宋体"/>
          <w:highlight w:val="none"/>
          <w:u w:val="single"/>
        </w:rPr>
        <w:t xml:space="preserve">      /                 </w:t>
      </w:r>
    </w:p>
    <w:p w14:paraId="39AB1570">
      <w:pPr>
        <w:tabs>
          <w:tab w:val="left" w:pos="4275"/>
        </w:tabs>
        <w:spacing w:line="360" w:lineRule="auto"/>
        <w:rPr>
          <w:rFonts w:hint="eastAsia" w:ascii="宋体" w:hAnsi="宋体" w:cs="宋体"/>
          <w:highlight w:val="none"/>
        </w:rPr>
      </w:pPr>
      <w:r>
        <w:rPr>
          <w:rFonts w:hint="eastAsia" w:ascii="宋体" w:hAnsi="宋体" w:cs="宋体"/>
          <w:highlight w:val="none"/>
        </w:rPr>
        <w:t>纳税人识别号：</w:t>
      </w:r>
      <w:r>
        <w:rPr>
          <w:rFonts w:hint="eastAsia" w:ascii="宋体" w:hAnsi="宋体" w:cs="宋体"/>
          <w:highlight w:val="none"/>
          <w:u w:val="single"/>
        </w:rPr>
        <w:t xml:space="preserve">            </w:t>
      </w:r>
      <w:r>
        <w:rPr>
          <w:rFonts w:hint="eastAsia" w:ascii="宋体" w:hAnsi="宋体" w:cs="宋体"/>
          <w:highlight w:val="none"/>
        </w:rPr>
        <w:t xml:space="preserve">       纳税人识别号：</w:t>
      </w:r>
    </w:p>
    <w:p w14:paraId="73624985">
      <w:pPr>
        <w:tabs>
          <w:tab w:val="left" w:pos="4275"/>
        </w:tabs>
        <w:spacing w:line="360" w:lineRule="auto"/>
        <w:rPr>
          <w:rFonts w:hint="eastAsia" w:ascii="宋体" w:hAnsi="宋体" w:cs="宋体"/>
          <w:highlight w:val="none"/>
          <w:u w:val="single"/>
        </w:rPr>
      </w:pPr>
      <w:r>
        <w:rPr>
          <w:rFonts w:hint="eastAsia" w:ascii="宋体" w:hAnsi="宋体" w:cs="宋体"/>
          <w:highlight w:val="none"/>
        </w:rPr>
        <w:t>开户银行：</w:t>
      </w:r>
      <w:r>
        <w:rPr>
          <w:rFonts w:hint="eastAsia" w:ascii="宋体" w:hAnsi="宋体" w:cs="宋体"/>
          <w:highlight w:val="none"/>
          <w:u w:val="single"/>
        </w:rPr>
        <w:t xml:space="preserve">                </w:t>
      </w:r>
      <w:r>
        <w:rPr>
          <w:rFonts w:hint="eastAsia" w:ascii="宋体" w:hAnsi="宋体" w:cs="宋体"/>
          <w:highlight w:val="none"/>
        </w:rPr>
        <w:t xml:space="preserve">       开户银行：</w:t>
      </w:r>
    </w:p>
    <w:p w14:paraId="1CAB595F">
      <w:pPr>
        <w:tabs>
          <w:tab w:val="left" w:pos="4275"/>
        </w:tabs>
        <w:spacing w:line="360" w:lineRule="auto"/>
        <w:rPr>
          <w:rFonts w:hint="eastAsia" w:ascii="宋体" w:hAnsi="宋体" w:cs="宋体"/>
          <w:highlight w:val="none"/>
        </w:rPr>
      </w:pPr>
      <w:r>
        <w:rPr>
          <w:rFonts w:hint="eastAsia" w:ascii="宋体" w:hAnsi="宋体" w:cs="宋体"/>
          <w:highlight w:val="none"/>
        </w:rPr>
        <w:t>帐号：</w:t>
      </w:r>
      <w:r>
        <w:rPr>
          <w:rFonts w:hint="eastAsia" w:ascii="宋体" w:hAnsi="宋体" w:cs="宋体"/>
          <w:highlight w:val="none"/>
          <w:lang w:val="en-US" w:eastAsia="zh-CN"/>
        </w:rPr>
        <w:t xml:space="preserve">                             </w:t>
      </w:r>
      <w:r>
        <w:rPr>
          <w:rFonts w:hint="eastAsia" w:ascii="宋体" w:hAnsi="宋体" w:cs="宋体"/>
          <w:highlight w:val="none"/>
        </w:rPr>
        <w:t>帐号：</w:t>
      </w:r>
    </w:p>
    <w:p w14:paraId="74905445">
      <w:pPr>
        <w:spacing w:after="120" w:line="360" w:lineRule="auto"/>
        <w:rPr>
          <w:rFonts w:hint="eastAsia" w:ascii="宋体" w:hAnsi="宋体" w:cs="宋体"/>
          <w:szCs w:val="21"/>
          <w:highlight w:val="none"/>
          <w:u w:val="single"/>
        </w:rPr>
      </w:pPr>
      <w:r>
        <w:rPr>
          <w:rFonts w:hint="eastAsia" w:ascii="宋体" w:hAnsi="宋体" w:cs="宋体"/>
          <w:highlight w:val="none"/>
        </w:rPr>
        <w:t xml:space="preserve">邮政编码：              </w:t>
      </w:r>
      <w:r>
        <w:rPr>
          <w:rFonts w:hint="eastAsia" w:ascii="宋体" w:hAnsi="宋体" w:cs="宋体"/>
          <w:highlight w:val="none"/>
          <w:lang w:val="en-US" w:eastAsia="zh-CN"/>
        </w:rPr>
        <w:t xml:space="preserve">           </w:t>
      </w:r>
      <w:r>
        <w:rPr>
          <w:rFonts w:hint="eastAsia" w:ascii="宋体" w:hAnsi="宋体" w:cs="宋体"/>
          <w:highlight w:val="none"/>
        </w:rPr>
        <w:t>邮政编码：</w:t>
      </w:r>
    </w:p>
    <w:p w14:paraId="5FFDD533">
      <w:pPr>
        <w:spacing w:line="360" w:lineRule="auto"/>
        <w:outlineLvl w:val="3"/>
        <w:rPr>
          <w:rFonts w:hint="eastAsia" w:ascii="宋体" w:hAnsi="宋体" w:cs="宋体"/>
          <w:highlight w:val="none"/>
        </w:rPr>
      </w:pPr>
      <w:r>
        <w:rPr>
          <w:rFonts w:hint="eastAsia" w:ascii="宋体" w:hAnsi="宋体" w:cs="宋体"/>
          <w:highlight w:val="none"/>
        </w:rPr>
        <w:br w:type="page"/>
      </w:r>
      <w:bookmarkStart w:id="2404" w:name="_Toc503536378"/>
      <w:bookmarkStart w:id="2405" w:name="_Toc31951"/>
      <w:bookmarkStart w:id="2406" w:name="_Toc342296517"/>
      <w:bookmarkStart w:id="2407" w:name="_Toc241459758"/>
      <w:bookmarkStart w:id="2408" w:name="_Toc111445503"/>
      <w:r>
        <w:rPr>
          <w:rFonts w:hint="eastAsia" w:ascii="宋体" w:hAnsi="宋体" w:cs="宋体"/>
          <w:highlight w:val="none"/>
        </w:rPr>
        <w:t>附件八：廉政责任书格式</w:t>
      </w:r>
      <w:bookmarkEnd w:id="2404"/>
      <w:bookmarkEnd w:id="2405"/>
      <w:bookmarkEnd w:id="2406"/>
      <w:bookmarkEnd w:id="2407"/>
    </w:p>
    <w:p w14:paraId="27E8E25E">
      <w:pPr>
        <w:ind w:firstLine="488"/>
        <w:jc w:val="center"/>
        <w:rPr>
          <w:rFonts w:hint="eastAsia" w:ascii="宋体" w:hAnsi="宋体" w:cs="宋体"/>
          <w:highlight w:val="none"/>
        </w:rPr>
      </w:pPr>
    </w:p>
    <w:p w14:paraId="2C40E5A6">
      <w:pPr>
        <w:spacing w:line="360" w:lineRule="auto"/>
        <w:jc w:val="center"/>
        <w:rPr>
          <w:rFonts w:hint="eastAsia" w:ascii="宋体" w:hAnsi="宋体" w:cs="宋体"/>
          <w:highlight w:val="none"/>
        </w:rPr>
      </w:pPr>
      <w:r>
        <w:rPr>
          <w:rFonts w:hint="eastAsia" w:ascii="宋体" w:hAnsi="宋体" w:cs="宋体"/>
          <w:highlight w:val="none"/>
        </w:rPr>
        <w:t>建设工程廉政责任书</w:t>
      </w:r>
      <w:bookmarkEnd w:id="2408"/>
    </w:p>
    <w:p w14:paraId="50B6DF4E">
      <w:pPr>
        <w:spacing w:line="360" w:lineRule="auto"/>
        <w:ind w:firstLine="488"/>
        <w:rPr>
          <w:rFonts w:hint="eastAsia" w:ascii="宋体" w:hAnsi="宋体" w:cs="宋体"/>
          <w:highlight w:val="none"/>
          <w:u w:val="single"/>
        </w:rPr>
      </w:pPr>
      <w:r>
        <w:rPr>
          <w:rFonts w:hint="eastAsia" w:ascii="宋体" w:hAnsi="宋体" w:cs="宋体"/>
          <w:highlight w:val="none"/>
        </w:rPr>
        <w:t>发包人：</w:t>
      </w:r>
      <w:r>
        <w:rPr>
          <w:rFonts w:hint="eastAsia" w:ascii="宋体" w:hAnsi="宋体" w:cs="宋体"/>
          <w:highlight w:val="none"/>
          <w:u w:val="single"/>
        </w:rPr>
        <w:t xml:space="preserve">      </w:t>
      </w:r>
    </w:p>
    <w:p w14:paraId="12A1908D">
      <w:pPr>
        <w:spacing w:line="360" w:lineRule="auto"/>
        <w:ind w:firstLine="488"/>
        <w:rPr>
          <w:rFonts w:hint="eastAsia" w:ascii="宋体" w:hAnsi="宋体" w:cs="宋体"/>
          <w:highlight w:val="none"/>
        </w:rPr>
      </w:pPr>
      <w:r>
        <w:rPr>
          <w:rFonts w:hint="eastAsia" w:ascii="宋体" w:hAnsi="宋体" w:cs="宋体"/>
          <w:highlight w:val="none"/>
        </w:rPr>
        <w:t>承包人：</w:t>
      </w:r>
    </w:p>
    <w:p w14:paraId="5B332333">
      <w:pPr>
        <w:spacing w:line="360" w:lineRule="auto"/>
        <w:ind w:firstLine="420" w:firstLineChars="200"/>
        <w:rPr>
          <w:rFonts w:hint="eastAsia" w:ascii="宋体" w:hAnsi="宋体" w:cs="宋体"/>
          <w:highlight w:val="none"/>
        </w:rPr>
      </w:pPr>
      <w:r>
        <w:rPr>
          <w:rFonts w:hint="eastAsia" w:ascii="宋体" w:hAnsi="宋体" w:cs="宋体"/>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3DA3B49">
      <w:pPr>
        <w:spacing w:line="360" w:lineRule="auto"/>
        <w:ind w:firstLine="488"/>
        <w:rPr>
          <w:rFonts w:hint="eastAsia" w:ascii="宋体" w:hAnsi="宋体" w:cs="宋体"/>
          <w:highlight w:val="none"/>
        </w:rPr>
      </w:pPr>
      <w:bookmarkStart w:id="2409" w:name="_Toc454359468"/>
      <w:bookmarkStart w:id="2410" w:name="_Toc111445504"/>
      <w:bookmarkStart w:id="2411" w:name="_Toc503536379"/>
      <w:r>
        <w:rPr>
          <w:rFonts w:hint="eastAsia" w:ascii="宋体" w:hAnsi="宋体" w:cs="宋体"/>
          <w:highlight w:val="none"/>
        </w:rPr>
        <w:t>一、双方的责任</w:t>
      </w:r>
      <w:bookmarkEnd w:id="2409"/>
      <w:bookmarkEnd w:id="2410"/>
      <w:bookmarkEnd w:id="2411"/>
    </w:p>
    <w:p w14:paraId="76213E9A">
      <w:pPr>
        <w:spacing w:line="360" w:lineRule="auto"/>
        <w:ind w:firstLine="420" w:firstLineChars="200"/>
        <w:rPr>
          <w:rFonts w:hint="eastAsia" w:ascii="宋体" w:hAnsi="宋体" w:cs="宋体"/>
          <w:highlight w:val="none"/>
        </w:rPr>
      </w:pPr>
      <w:r>
        <w:rPr>
          <w:rFonts w:hint="eastAsia" w:ascii="宋体" w:hAnsi="宋体" w:cs="宋体"/>
          <w:highlight w:val="none"/>
        </w:rPr>
        <w:t>1.1 应严格遵守国家关于建设工程的有关法律、法规，相关政策，以及廉政建设的各项规定。</w:t>
      </w:r>
    </w:p>
    <w:p w14:paraId="746B870A">
      <w:pPr>
        <w:spacing w:line="360" w:lineRule="auto"/>
        <w:ind w:firstLine="420" w:firstLineChars="200"/>
        <w:rPr>
          <w:rFonts w:hint="eastAsia" w:ascii="宋体" w:hAnsi="宋体" w:cs="宋体"/>
          <w:highlight w:val="none"/>
        </w:rPr>
      </w:pPr>
      <w:r>
        <w:rPr>
          <w:rFonts w:hint="eastAsia" w:ascii="宋体" w:hAnsi="宋体" w:cs="宋体"/>
          <w:highlight w:val="none"/>
        </w:rPr>
        <w:t>1.2 严格执行建设工程合同文件，自觉按合同办事。</w:t>
      </w:r>
    </w:p>
    <w:p w14:paraId="5C287674">
      <w:pPr>
        <w:spacing w:line="360" w:lineRule="auto"/>
        <w:ind w:firstLine="420" w:firstLineChars="200"/>
        <w:rPr>
          <w:rFonts w:hint="eastAsia" w:ascii="宋体" w:hAnsi="宋体" w:cs="宋体"/>
          <w:highlight w:val="none"/>
        </w:rPr>
      </w:pPr>
      <w:r>
        <w:rPr>
          <w:rFonts w:hint="eastAsia" w:ascii="宋体" w:hAnsi="宋体" w:cs="宋体"/>
          <w:highlight w:val="none"/>
        </w:rPr>
        <w:t>1.3 各项活动必须坚持公开、公平、公正、诚信、透明的原则（除法律法规另有规定者外），不得为获取不正当的利益，损害国家、集体和对方利益，不得违反建设工程管理的规章制度。</w:t>
      </w:r>
    </w:p>
    <w:p w14:paraId="175528AB">
      <w:pPr>
        <w:spacing w:line="360" w:lineRule="auto"/>
        <w:ind w:firstLine="420" w:firstLineChars="200"/>
        <w:rPr>
          <w:rFonts w:hint="eastAsia" w:ascii="宋体" w:hAnsi="宋体" w:cs="宋体"/>
          <w:highlight w:val="none"/>
        </w:rPr>
      </w:pPr>
      <w:r>
        <w:rPr>
          <w:rFonts w:hint="eastAsia" w:ascii="宋体" w:hAnsi="宋体" w:cs="宋体"/>
          <w:highlight w:val="none"/>
        </w:rPr>
        <w:t>1.4 发现对方在业务活动中有违规、违纪、违法行为的，应及时提醒对方，情节严重的，应向其上级主管部门或纪检监察、司法等有关机关举报。</w:t>
      </w:r>
    </w:p>
    <w:p w14:paraId="3905EA82">
      <w:pPr>
        <w:spacing w:line="360" w:lineRule="auto"/>
        <w:ind w:firstLine="488"/>
        <w:rPr>
          <w:rFonts w:hint="eastAsia" w:ascii="宋体" w:hAnsi="宋体" w:cs="宋体"/>
          <w:highlight w:val="none"/>
        </w:rPr>
      </w:pPr>
      <w:bookmarkStart w:id="2412" w:name="_Toc111445505"/>
      <w:bookmarkStart w:id="2413" w:name="_Toc454359469"/>
      <w:bookmarkStart w:id="2414" w:name="_Toc503536380"/>
      <w:r>
        <w:rPr>
          <w:rFonts w:hint="eastAsia" w:ascii="宋体" w:hAnsi="宋体" w:cs="宋体"/>
          <w:highlight w:val="none"/>
        </w:rPr>
        <w:t>二、发包人责任</w:t>
      </w:r>
      <w:bookmarkEnd w:id="2412"/>
      <w:bookmarkEnd w:id="2413"/>
      <w:bookmarkEnd w:id="2414"/>
    </w:p>
    <w:p w14:paraId="33025485">
      <w:pPr>
        <w:spacing w:line="360" w:lineRule="auto"/>
        <w:ind w:firstLine="420" w:firstLineChars="200"/>
        <w:rPr>
          <w:rFonts w:hint="eastAsia" w:ascii="宋体" w:hAnsi="宋体" w:cs="宋体"/>
          <w:highlight w:val="none"/>
        </w:rPr>
      </w:pPr>
      <w:r>
        <w:rPr>
          <w:rFonts w:hint="eastAsia" w:ascii="宋体" w:hAnsi="宋体" w:cs="宋体"/>
          <w:highlight w:val="none"/>
        </w:rPr>
        <w:t>发包人的领导和从事该建设工程项目的工作人员，在工程建设的事前、事中、事后应遵守以下规定：</w:t>
      </w:r>
    </w:p>
    <w:p w14:paraId="7B713D3E">
      <w:pPr>
        <w:spacing w:line="360" w:lineRule="auto"/>
        <w:ind w:firstLine="420" w:firstLineChars="200"/>
        <w:rPr>
          <w:rFonts w:hint="eastAsia" w:ascii="宋体" w:hAnsi="宋体" w:cs="宋体"/>
          <w:highlight w:val="none"/>
        </w:rPr>
      </w:pPr>
      <w:r>
        <w:rPr>
          <w:rFonts w:hint="eastAsia" w:ascii="宋体" w:hAnsi="宋体" w:cs="宋体"/>
          <w:highlight w:val="none"/>
        </w:rPr>
        <w:t>2.1不得向承包人和相关单位索要或接受回扣、礼金、有价证券、贵重物品和好处费、感谢费等。</w:t>
      </w:r>
    </w:p>
    <w:p w14:paraId="424765F0">
      <w:pPr>
        <w:spacing w:line="360" w:lineRule="auto"/>
        <w:ind w:firstLine="420" w:firstLineChars="200"/>
        <w:rPr>
          <w:rFonts w:hint="eastAsia" w:ascii="宋体" w:hAnsi="宋体" w:cs="宋体"/>
          <w:highlight w:val="none"/>
        </w:rPr>
      </w:pPr>
      <w:bookmarkStart w:id="2415" w:name="_Toc503536381"/>
      <w:bookmarkStart w:id="2416" w:name="_Toc454359470"/>
      <w:r>
        <w:rPr>
          <w:rFonts w:hint="eastAsia" w:ascii="宋体" w:hAnsi="宋体" w:cs="宋体"/>
          <w:highlight w:val="none"/>
        </w:rPr>
        <w:t>2.2 不得在承包人和相关单位报销任何应由发包人或个人支付的费用。</w:t>
      </w:r>
      <w:bookmarkEnd w:id="2415"/>
      <w:bookmarkEnd w:id="2416"/>
    </w:p>
    <w:p w14:paraId="481E901D">
      <w:pPr>
        <w:spacing w:line="360" w:lineRule="auto"/>
        <w:ind w:firstLine="420" w:firstLineChars="200"/>
        <w:rPr>
          <w:rFonts w:hint="eastAsia" w:ascii="宋体" w:hAnsi="宋体" w:cs="宋体"/>
          <w:highlight w:val="none"/>
        </w:rPr>
      </w:pPr>
      <w:r>
        <w:rPr>
          <w:rFonts w:hint="eastAsia" w:ascii="宋体" w:hAnsi="宋体" w:cs="宋体"/>
          <w:highlight w:val="none"/>
        </w:rPr>
        <w:t>2.3 不得要求、暗示或接受承包人和相关单位为个人装修住房、婚丧嫁娶、配偶子女的工作安排以及出国（境）、旅游等提供方便。</w:t>
      </w:r>
    </w:p>
    <w:p w14:paraId="578B7FE7">
      <w:pPr>
        <w:spacing w:line="360" w:lineRule="auto"/>
        <w:ind w:firstLine="420" w:firstLineChars="200"/>
        <w:rPr>
          <w:rFonts w:hint="eastAsia" w:ascii="宋体" w:hAnsi="宋体" w:cs="宋体"/>
          <w:highlight w:val="none"/>
        </w:rPr>
      </w:pPr>
      <w:r>
        <w:rPr>
          <w:rFonts w:hint="eastAsia" w:ascii="宋体" w:hAnsi="宋体" w:cs="宋体"/>
          <w:highlight w:val="none"/>
        </w:rPr>
        <w:t>2.4 不得参加有可能影响公正执行公务的承包人和相关单位的宴请、健身、娱乐等活动。</w:t>
      </w:r>
    </w:p>
    <w:p w14:paraId="1DB692D1">
      <w:pPr>
        <w:spacing w:line="360" w:lineRule="auto"/>
        <w:ind w:firstLine="420" w:firstLineChars="200"/>
        <w:rPr>
          <w:rFonts w:hint="eastAsia" w:ascii="宋体" w:hAnsi="宋体" w:cs="宋体"/>
          <w:highlight w:val="none"/>
        </w:rPr>
      </w:pPr>
      <w:r>
        <w:rPr>
          <w:rFonts w:hint="eastAsia" w:ascii="宋体" w:hAnsi="宋体" w:cs="宋体"/>
          <w:highlight w:val="none"/>
        </w:rPr>
        <w:t>2.5 不得向承包人和相关单位介绍或为配偶、子女、亲属参与同发包人工程建设管理合同有关的业务活动；不得以任何理由要求承包人和相关单位使用某种产品、材料和设备。</w:t>
      </w:r>
    </w:p>
    <w:p w14:paraId="002B23DC">
      <w:pPr>
        <w:spacing w:line="360" w:lineRule="auto"/>
        <w:ind w:firstLine="488"/>
        <w:rPr>
          <w:rFonts w:hint="eastAsia" w:ascii="宋体" w:hAnsi="宋体" w:cs="宋体"/>
          <w:highlight w:val="none"/>
        </w:rPr>
      </w:pPr>
      <w:bookmarkStart w:id="2417" w:name="_Toc111445506"/>
      <w:bookmarkStart w:id="2418" w:name="_Toc503536382"/>
      <w:bookmarkStart w:id="2419" w:name="_Toc454359471"/>
      <w:r>
        <w:rPr>
          <w:rFonts w:hint="eastAsia" w:ascii="宋体" w:hAnsi="宋体" w:cs="宋体"/>
          <w:highlight w:val="none"/>
        </w:rPr>
        <w:t>三、承包人责任</w:t>
      </w:r>
      <w:bookmarkEnd w:id="2417"/>
      <w:bookmarkEnd w:id="2418"/>
      <w:bookmarkEnd w:id="2419"/>
    </w:p>
    <w:p w14:paraId="120B70C9">
      <w:pPr>
        <w:spacing w:line="360" w:lineRule="auto"/>
        <w:ind w:firstLine="420" w:firstLineChars="200"/>
        <w:rPr>
          <w:rFonts w:hint="eastAsia" w:ascii="宋体" w:hAnsi="宋体" w:cs="宋体"/>
          <w:highlight w:val="none"/>
        </w:rPr>
      </w:pPr>
      <w:r>
        <w:rPr>
          <w:rFonts w:hint="eastAsia" w:ascii="宋体" w:hAnsi="宋体" w:cs="宋体"/>
          <w:highlight w:val="none"/>
        </w:rPr>
        <w:t>应与发包人保持正常的业务交往，按照有关法律法规和程序开展业务工作，严格执行工程建设的有关方针、政策，执行工程建设强制性标准，并遵守以下规定：</w:t>
      </w:r>
    </w:p>
    <w:p w14:paraId="5BF29BE5">
      <w:pPr>
        <w:spacing w:line="360" w:lineRule="auto"/>
        <w:ind w:firstLine="420" w:firstLineChars="200"/>
        <w:rPr>
          <w:rFonts w:hint="eastAsia" w:ascii="宋体" w:hAnsi="宋体" w:cs="宋体"/>
          <w:highlight w:val="none"/>
        </w:rPr>
      </w:pPr>
      <w:r>
        <w:rPr>
          <w:rFonts w:hint="eastAsia" w:ascii="宋体" w:hAnsi="宋体" w:cs="宋体"/>
          <w:highlight w:val="none"/>
        </w:rPr>
        <w:t>3.1 不得以任何理由向发包人及其工作人员索要、接受或赠送礼金、有价证券、贵重物品及回扣、好处费、感谢费等。</w:t>
      </w:r>
    </w:p>
    <w:p w14:paraId="05539657">
      <w:pPr>
        <w:spacing w:line="360" w:lineRule="auto"/>
        <w:ind w:firstLine="420" w:firstLineChars="200"/>
        <w:rPr>
          <w:rFonts w:hint="eastAsia" w:ascii="宋体" w:hAnsi="宋体" w:cs="宋体"/>
          <w:highlight w:val="none"/>
        </w:rPr>
      </w:pPr>
      <w:r>
        <w:rPr>
          <w:rFonts w:hint="eastAsia" w:ascii="宋体" w:hAnsi="宋体" w:cs="宋体"/>
          <w:highlight w:val="none"/>
        </w:rPr>
        <w:t>3.2不得以任何理由为发包人和相关单位报销应由对方或个人支付的费用。</w:t>
      </w:r>
    </w:p>
    <w:p w14:paraId="72BB2DBE">
      <w:pPr>
        <w:spacing w:line="360" w:lineRule="auto"/>
        <w:ind w:firstLine="420" w:firstLineChars="200"/>
        <w:rPr>
          <w:rFonts w:hint="eastAsia" w:ascii="宋体" w:hAnsi="宋体" w:cs="宋体"/>
          <w:highlight w:val="none"/>
        </w:rPr>
      </w:pPr>
      <w:r>
        <w:rPr>
          <w:rFonts w:hint="eastAsia" w:ascii="宋体" w:hAnsi="宋体" w:cs="宋体"/>
          <w:highlight w:val="none"/>
        </w:rPr>
        <w:t>3.3不得接受或暗示为发包人、相关单位或个人装修住房、婚丧嫁娶、配偶子女的工作安排以及出国（境）、旅游等提供方便。</w:t>
      </w:r>
    </w:p>
    <w:p w14:paraId="11D6BD53">
      <w:pPr>
        <w:spacing w:line="360" w:lineRule="auto"/>
        <w:ind w:firstLine="420" w:firstLineChars="200"/>
        <w:rPr>
          <w:rFonts w:hint="eastAsia" w:ascii="宋体" w:hAnsi="宋体" w:cs="宋体"/>
          <w:highlight w:val="none"/>
        </w:rPr>
      </w:pPr>
      <w:r>
        <w:rPr>
          <w:rFonts w:hint="eastAsia" w:ascii="宋体" w:hAnsi="宋体" w:cs="宋体"/>
          <w:highlight w:val="none"/>
        </w:rPr>
        <w:t>3.4不得以任何理由为发包人、相关单位或个人组织有可能影响公正执行公务的宴请、健身、娱乐等活动。</w:t>
      </w:r>
    </w:p>
    <w:p w14:paraId="7629D0D2">
      <w:pPr>
        <w:spacing w:line="360" w:lineRule="auto"/>
        <w:ind w:firstLine="488"/>
        <w:rPr>
          <w:rFonts w:hint="eastAsia" w:ascii="宋体" w:hAnsi="宋体" w:cs="宋体"/>
          <w:highlight w:val="none"/>
        </w:rPr>
      </w:pPr>
      <w:bookmarkStart w:id="2420" w:name="_Toc503536383"/>
      <w:bookmarkStart w:id="2421" w:name="_Toc111445507"/>
      <w:bookmarkStart w:id="2422" w:name="_Toc454359472"/>
      <w:r>
        <w:rPr>
          <w:rFonts w:hint="eastAsia" w:ascii="宋体" w:hAnsi="宋体" w:cs="宋体"/>
          <w:highlight w:val="none"/>
        </w:rPr>
        <w:t>四、违约责任</w:t>
      </w:r>
      <w:bookmarkEnd w:id="2420"/>
      <w:bookmarkEnd w:id="2421"/>
      <w:bookmarkEnd w:id="2422"/>
    </w:p>
    <w:p w14:paraId="3D3D06EB">
      <w:pPr>
        <w:spacing w:line="360" w:lineRule="auto"/>
        <w:ind w:firstLine="408" w:firstLineChars="200"/>
        <w:rPr>
          <w:rFonts w:hint="eastAsia" w:ascii="宋体" w:hAnsi="宋体" w:cs="宋体"/>
          <w:spacing w:val="-3"/>
          <w:highlight w:val="none"/>
        </w:rPr>
      </w:pPr>
      <w:r>
        <w:rPr>
          <w:rFonts w:hint="eastAsia" w:ascii="宋体" w:hAnsi="宋体" w:cs="宋体"/>
          <w:spacing w:val="-3"/>
          <w:highlight w:val="none"/>
        </w:rPr>
        <w:t>4.1发包人工作人员有违反本责任书第一、二条责任行为的，依据有关法律、法规给予处理；涉嫌犯罪的，移交司法机关追究刑事责任；给承包人单位造成经济损失的，应予以赔偿。</w:t>
      </w:r>
    </w:p>
    <w:p w14:paraId="693F3E4F">
      <w:pPr>
        <w:spacing w:line="360" w:lineRule="auto"/>
        <w:ind w:firstLine="420" w:firstLineChars="200"/>
        <w:rPr>
          <w:rFonts w:hint="eastAsia" w:ascii="宋体" w:hAnsi="宋体" w:cs="宋体"/>
          <w:highlight w:val="none"/>
        </w:rPr>
      </w:pPr>
      <w:r>
        <w:rPr>
          <w:rFonts w:hint="eastAsia" w:ascii="宋体" w:hAnsi="宋体" w:cs="宋体"/>
          <w:highlight w:val="none"/>
        </w:rPr>
        <w:t>4.2 承包人工作人员有违反本责任书第一、三条责任行为的，依据有关法律法规处理；涉嫌犯罪的，移交司法机关追究刑事责任；给发包人单位造成经济损失的，应予以赔偿。</w:t>
      </w:r>
    </w:p>
    <w:p w14:paraId="3A464DD7">
      <w:pPr>
        <w:spacing w:line="360" w:lineRule="auto"/>
        <w:ind w:firstLine="420" w:firstLineChars="200"/>
        <w:rPr>
          <w:rFonts w:hint="eastAsia" w:ascii="宋体" w:hAnsi="宋体" w:cs="宋体"/>
          <w:highlight w:val="none"/>
        </w:rPr>
      </w:pPr>
      <w:r>
        <w:rPr>
          <w:rFonts w:hint="eastAsia" w:ascii="宋体" w:hAnsi="宋体" w:cs="宋体"/>
          <w:highlight w:val="none"/>
        </w:rPr>
        <w:t>4.3 本责任书作为建设工程合同的组成部分，与建设工程合同具有同等法律效力。经双方签署后立即生效。</w:t>
      </w:r>
    </w:p>
    <w:p w14:paraId="36251596">
      <w:pPr>
        <w:spacing w:line="360" w:lineRule="auto"/>
        <w:ind w:firstLine="488"/>
        <w:rPr>
          <w:rFonts w:hint="eastAsia" w:ascii="宋体" w:hAnsi="宋体" w:cs="宋体"/>
          <w:highlight w:val="none"/>
        </w:rPr>
      </w:pPr>
      <w:bookmarkStart w:id="2423" w:name="_Toc454359473"/>
      <w:bookmarkStart w:id="2424" w:name="_Toc503536384"/>
      <w:bookmarkStart w:id="2425" w:name="_Toc111445508"/>
      <w:r>
        <w:rPr>
          <w:rFonts w:hint="eastAsia" w:ascii="宋体" w:hAnsi="宋体" w:cs="宋体"/>
          <w:highlight w:val="none"/>
        </w:rPr>
        <w:t>五、责任书有效期</w:t>
      </w:r>
      <w:bookmarkEnd w:id="2423"/>
      <w:bookmarkEnd w:id="2424"/>
      <w:bookmarkEnd w:id="2425"/>
    </w:p>
    <w:p w14:paraId="47B9E539">
      <w:pPr>
        <w:spacing w:line="360" w:lineRule="auto"/>
        <w:ind w:firstLine="420" w:firstLineChars="200"/>
        <w:rPr>
          <w:rFonts w:hint="eastAsia" w:ascii="宋体" w:hAnsi="宋体" w:cs="宋体"/>
          <w:highlight w:val="none"/>
        </w:rPr>
      </w:pPr>
      <w:r>
        <w:rPr>
          <w:rFonts w:hint="eastAsia" w:ascii="宋体" w:hAnsi="宋体" w:cs="宋体"/>
          <w:highlight w:val="none"/>
        </w:rPr>
        <w:t>本责任书的有效期为双方签署之日起至该工程项目竣工验收合格时止。</w:t>
      </w:r>
    </w:p>
    <w:p w14:paraId="419B8B5B">
      <w:pPr>
        <w:spacing w:line="360" w:lineRule="auto"/>
        <w:ind w:firstLine="488"/>
        <w:rPr>
          <w:rFonts w:hint="eastAsia" w:ascii="宋体" w:hAnsi="宋体" w:cs="宋体"/>
          <w:highlight w:val="none"/>
        </w:rPr>
      </w:pPr>
      <w:bookmarkStart w:id="2426" w:name="_Toc111445509"/>
      <w:bookmarkStart w:id="2427" w:name="_Toc454359474"/>
      <w:bookmarkStart w:id="2428" w:name="_Toc503536385"/>
      <w:r>
        <w:rPr>
          <w:rFonts w:hint="eastAsia" w:ascii="宋体" w:hAnsi="宋体" w:cs="宋体"/>
          <w:highlight w:val="none"/>
        </w:rPr>
        <w:t>六、责任书份数</w:t>
      </w:r>
      <w:bookmarkEnd w:id="2426"/>
      <w:bookmarkEnd w:id="2427"/>
      <w:bookmarkEnd w:id="2428"/>
    </w:p>
    <w:p w14:paraId="073DFF20">
      <w:pPr>
        <w:spacing w:line="360" w:lineRule="auto"/>
        <w:ind w:firstLine="420" w:firstLineChars="200"/>
        <w:rPr>
          <w:rFonts w:hint="eastAsia" w:ascii="宋体" w:hAnsi="宋体" w:cs="宋体"/>
          <w:highlight w:val="none"/>
        </w:rPr>
      </w:pPr>
      <w:r>
        <w:rPr>
          <w:rFonts w:hint="eastAsia" w:ascii="宋体" w:hAnsi="宋体" w:cs="宋体"/>
          <w:highlight w:val="none"/>
        </w:rPr>
        <w:t>本责任书一式二份，发包人承包人各执一份，具有同等效力。</w:t>
      </w:r>
    </w:p>
    <w:p w14:paraId="707112AA">
      <w:pPr>
        <w:spacing w:line="360" w:lineRule="auto"/>
        <w:ind w:firstLine="420" w:firstLineChars="200"/>
        <w:rPr>
          <w:rFonts w:hint="eastAsia" w:ascii="宋体" w:hAnsi="宋体" w:cs="宋体"/>
          <w:highlight w:val="none"/>
        </w:rPr>
      </w:pPr>
    </w:p>
    <w:p w14:paraId="3CE5EBC2">
      <w:pPr>
        <w:spacing w:line="360" w:lineRule="auto"/>
        <w:rPr>
          <w:rFonts w:hint="eastAsia" w:ascii="宋体" w:hAnsi="宋体" w:cs="宋体"/>
          <w:highlight w:val="none"/>
        </w:rPr>
      </w:pPr>
      <w:r>
        <w:rPr>
          <w:rFonts w:hint="eastAsia" w:ascii="宋体" w:hAnsi="宋体" w:cs="宋体"/>
          <w:highlight w:val="none"/>
        </w:rPr>
        <w:t>发包人：</w:t>
      </w:r>
      <w:r>
        <w:rPr>
          <w:rFonts w:hint="eastAsia" w:ascii="宋体" w:hAnsi="宋体" w:cs="宋体"/>
          <w:highlight w:val="none"/>
          <w:u w:val="single"/>
        </w:rPr>
        <w:t xml:space="preserve">        </w:t>
      </w:r>
      <w:r>
        <w:rPr>
          <w:rFonts w:hint="eastAsia" w:ascii="宋体" w:hAnsi="宋体" w:cs="宋体"/>
          <w:highlight w:val="none"/>
        </w:rPr>
        <w:t xml:space="preserve">（公章）    </w:t>
      </w:r>
      <w:r>
        <w:rPr>
          <w:rFonts w:hint="eastAsia" w:ascii="宋体" w:hAnsi="宋体" w:cs="宋体"/>
          <w:highlight w:val="none"/>
          <w:lang w:val="en-US" w:eastAsia="zh-CN"/>
        </w:rPr>
        <w:t xml:space="preserve">       </w:t>
      </w:r>
      <w:r>
        <w:rPr>
          <w:rFonts w:hint="eastAsia" w:ascii="宋体" w:hAnsi="宋体" w:cs="宋体"/>
          <w:highlight w:val="none"/>
        </w:rPr>
        <w:t xml:space="preserve">承包人：（公章） </w:t>
      </w:r>
    </w:p>
    <w:p w14:paraId="5B924FCF">
      <w:pPr>
        <w:tabs>
          <w:tab w:val="left" w:pos="4275"/>
        </w:tabs>
        <w:spacing w:line="360" w:lineRule="auto"/>
        <w:rPr>
          <w:rFonts w:hint="eastAsia" w:ascii="宋体" w:hAnsi="宋体" w:cs="宋体"/>
          <w:highlight w:val="none"/>
        </w:rPr>
      </w:pPr>
      <w:r>
        <w:rPr>
          <w:rFonts w:hint="eastAsia" w:ascii="宋体" w:hAnsi="宋体" w:cs="宋体"/>
          <w:highlight w:val="none"/>
        </w:rPr>
        <w:t>法定地址：</w:t>
      </w:r>
      <w:r>
        <w:rPr>
          <w:rFonts w:hint="eastAsia" w:ascii="宋体" w:hAnsi="宋体" w:cs="宋体"/>
          <w:highlight w:val="none"/>
          <w:lang w:val="en-US" w:eastAsia="zh-CN"/>
        </w:rPr>
        <w:t xml:space="preserve">                         </w:t>
      </w:r>
      <w:r>
        <w:rPr>
          <w:rFonts w:hint="eastAsia" w:ascii="宋体" w:hAnsi="宋体" w:cs="宋体"/>
          <w:highlight w:val="none"/>
        </w:rPr>
        <w:t>法定地址：</w:t>
      </w:r>
    </w:p>
    <w:p w14:paraId="170CAC57">
      <w:pPr>
        <w:tabs>
          <w:tab w:val="left" w:pos="4275"/>
        </w:tabs>
        <w:spacing w:line="360" w:lineRule="auto"/>
        <w:rPr>
          <w:rFonts w:hint="eastAsia" w:ascii="宋体" w:hAnsi="宋体" w:cs="宋体"/>
          <w:highlight w:val="none"/>
        </w:rPr>
      </w:pPr>
      <w:r>
        <w:rPr>
          <w:rFonts w:hint="eastAsia" w:ascii="宋体" w:hAnsi="宋体" w:cs="宋体"/>
          <w:highlight w:val="none"/>
        </w:rPr>
        <w:t>法定代表人或其                     法定代表人或其</w:t>
      </w:r>
    </w:p>
    <w:p w14:paraId="5C3C4DE9">
      <w:pPr>
        <w:spacing w:after="360" w:afterLines="150" w:line="360" w:lineRule="auto"/>
        <w:rPr>
          <w:rFonts w:hint="eastAsia" w:ascii="宋体" w:hAnsi="宋体" w:cs="宋体"/>
          <w:highlight w:val="none"/>
        </w:rPr>
      </w:pPr>
      <w:r>
        <w:rPr>
          <w:rFonts w:hint="eastAsia" w:ascii="宋体" w:hAnsi="宋体" w:cs="宋体"/>
          <w:highlight w:val="none"/>
        </w:rPr>
        <w:t xml:space="preserve">委托代理人：（签字或盖章） </w:t>
      </w:r>
      <w:r>
        <w:rPr>
          <w:rFonts w:hint="eastAsia" w:ascii="宋体" w:hAnsi="宋体" w:cs="宋体"/>
          <w:highlight w:val="none"/>
          <w:lang w:val="en-US" w:eastAsia="zh-CN"/>
        </w:rPr>
        <w:t xml:space="preserve">        </w:t>
      </w:r>
      <w:r>
        <w:rPr>
          <w:rFonts w:hint="eastAsia" w:ascii="宋体" w:hAnsi="宋体" w:cs="宋体"/>
          <w:highlight w:val="none"/>
        </w:rPr>
        <w:t>委托代理人：（签字或盖章）</w:t>
      </w:r>
    </w:p>
    <w:p w14:paraId="1085C85A">
      <w:pPr>
        <w:tabs>
          <w:tab w:val="left" w:pos="4275"/>
        </w:tabs>
        <w:spacing w:line="360" w:lineRule="auto"/>
        <w:rPr>
          <w:rFonts w:hint="eastAsia" w:ascii="宋体" w:hAnsi="宋体" w:cs="宋体"/>
          <w:highlight w:val="none"/>
        </w:rPr>
      </w:pPr>
      <w:r>
        <w:rPr>
          <w:rFonts w:hint="eastAsia" w:ascii="宋体" w:hAnsi="宋体" w:cs="宋体"/>
          <w:highlight w:val="none"/>
        </w:rPr>
        <w:t>电话：</w:t>
      </w:r>
      <w:r>
        <w:rPr>
          <w:rFonts w:hint="eastAsia" w:ascii="宋体" w:hAnsi="宋体" w:cs="宋体"/>
          <w:highlight w:val="none"/>
          <w:lang w:val="en-US" w:eastAsia="zh-CN"/>
        </w:rPr>
        <w:t xml:space="preserve">                             </w:t>
      </w:r>
      <w:r>
        <w:rPr>
          <w:rFonts w:hint="eastAsia" w:ascii="宋体" w:hAnsi="宋体" w:cs="宋体"/>
          <w:highlight w:val="none"/>
        </w:rPr>
        <w:t>电话：</w:t>
      </w:r>
    </w:p>
    <w:p w14:paraId="7763DCF7">
      <w:pPr>
        <w:tabs>
          <w:tab w:val="left" w:pos="4275"/>
        </w:tabs>
        <w:spacing w:line="360" w:lineRule="auto"/>
        <w:rPr>
          <w:rFonts w:hint="eastAsia" w:ascii="宋体" w:hAnsi="宋体" w:cs="宋体"/>
          <w:highlight w:val="none"/>
        </w:rPr>
      </w:pPr>
      <w:r>
        <w:rPr>
          <w:rFonts w:hint="eastAsia" w:ascii="宋体" w:hAnsi="宋体" w:cs="宋体"/>
          <w:highlight w:val="none"/>
        </w:rPr>
        <w:t>传真：</w:t>
      </w:r>
      <w:r>
        <w:rPr>
          <w:rFonts w:hint="eastAsia" w:ascii="宋体" w:hAnsi="宋体" w:cs="宋体"/>
          <w:highlight w:val="none"/>
          <w:lang w:val="en-US" w:eastAsia="zh-CN"/>
        </w:rPr>
        <w:t xml:space="preserve">                             </w:t>
      </w:r>
      <w:r>
        <w:rPr>
          <w:rFonts w:hint="eastAsia" w:ascii="宋体" w:hAnsi="宋体" w:cs="宋体"/>
          <w:highlight w:val="none"/>
        </w:rPr>
        <w:t>传真：</w:t>
      </w:r>
    </w:p>
    <w:p w14:paraId="4D20D961">
      <w:pPr>
        <w:tabs>
          <w:tab w:val="left" w:pos="4700"/>
        </w:tabs>
        <w:spacing w:line="360" w:lineRule="auto"/>
        <w:rPr>
          <w:rFonts w:hint="eastAsia" w:ascii="宋体" w:hAnsi="宋体" w:cs="宋体"/>
          <w:highlight w:val="none"/>
          <w:u w:val="single"/>
        </w:rPr>
      </w:pPr>
      <w:r>
        <w:rPr>
          <w:rFonts w:hint="eastAsia" w:ascii="宋体" w:hAnsi="宋体" w:cs="宋体"/>
          <w:highlight w:val="none"/>
        </w:rPr>
        <w:t>电子邮箱：</w:t>
      </w:r>
      <w:r>
        <w:rPr>
          <w:rFonts w:hint="eastAsia" w:ascii="宋体" w:hAnsi="宋体" w:cs="宋体"/>
          <w:highlight w:val="none"/>
          <w:u w:val="single"/>
        </w:rPr>
        <w:t xml:space="preserve">     /           </w:t>
      </w:r>
      <w:r>
        <w:rPr>
          <w:rFonts w:hint="eastAsia" w:ascii="宋体" w:hAnsi="宋体" w:cs="宋体"/>
          <w:highlight w:val="none"/>
        </w:rPr>
        <w:t xml:space="preserve">         电子邮箱：</w:t>
      </w:r>
      <w:r>
        <w:rPr>
          <w:rFonts w:hint="eastAsia" w:ascii="宋体" w:hAnsi="宋体" w:cs="宋体"/>
          <w:highlight w:val="none"/>
          <w:u w:val="single"/>
        </w:rPr>
        <w:t xml:space="preserve">     /           </w:t>
      </w:r>
    </w:p>
    <w:p w14:paraId="00403C94">
      <w:pPr>
        <w:tabs>
          <w:tab w:val="left" w:pos="4275"/>
        </w:tabs>
        <w:spacing w:line="360" w:lineRule="auto"/>
        <w:rPr>
          <w:rFonts w:hint="eastAsia" w:ascii="宋体" w:hAnsi="宋体" w:cs="宋体"/>
          <w:highlight w:val="none"/>
        </w:rPr>
      </w:pPr>
      <w:r>
        <w:rPr>
          <w:rFonts w:hint="eastAsia" w:ascii="宋体" w:hAnsi="宋体" w:cs="宋体"/>
          <w:highlight w:val="none"/>
        </w:rPr>
        <w:t>纳税人识别号：</w:t>
      </w:r>
      <w:r>
        <w:rPr>
          <w:rFonts w:hint="eastAsia" w:ascii="宋体" w:hAnsi="宋体" w:cs="宋体"/>
          <w:highlight w:val="none"/>
          <w:u w:val="single"/>
        </w:rPr>
        <w:t xml:space="preserve">           </w:t>
      </w:r>
      <w:r>
        <w:rPr>
          <w:rFonts w:hint="eastAsia" w:ascii="宋体" w:hAnsi="宋体" w:cs="宋体"/>
          <w:highlight w:val="none"/>
        </w:rPr>
        <w:t xml:space="preserve">         纳税人识别号：</w:t>
      </w:r>
      <w:r>
        <w:rPr>
          <w:rFonts w:hint="eastAsia" w:ascii="宋体" w:hAnsi="宋体" w:cs="宋体"/>
          <w:highlight w:val="none"/>
          <w:u w:val="single"/>
        </w:rPr>
        <w:t xml:space="preserve">           </w:t>
      </w:r>
    </w:p>
    <w:p w14:paraId="3B60A12E">
      <w:pPr>
        <w:tabs>
          <w:tab w:val="left" w:pos="4275"/>
        </w:tabs>
        <w:spacing w:line="360" w:lineRule="auto"/>
        <w:rPr>
          <w:rFonts w:hint="eastAsia" w:ascii="宋体" w:hAnsi="宋体" w:cs="宋体"/>
          <w:highlight w:val="none"/>
          <w:u w:val="single"/>
        </w:rPr>
      </w:pPr>
      <w:r>
        <w:rPr>
          <w:rFonts w:hint="eastAsia" w:ascii="宋体" w:hAnsi="宋体" w:cs="宋体"/>
          <w:highlight w:val="none"/>
        </w:rPr>
        <w:t>开户银行：</w:t>
      </w:r>
      <w:r>
        <w:rPr>
          <w:rFonts w:hint="eastAsia" w:ascii="宋体" w:hAnsi="宋体" w:cs="宋体"/>
          <w:highlight w:val="none"/>
          <w:u w:val="single"/>
        </w:rPr>
        <w:t xml:space="preserve">               </w:t>
      </w:r>
      <w:r>
        <w:rPr>
          <w:rFonts w:hint="eastAsia" w:ascii="宋体" w:hAnsi="宋体" w:cs="宋体"/>
          <w:highlight w:val="none"/>
        </w:rPr>
        <w:t xml:space="preserve">         开户银行：</w:t>
      </w:r>
      <w:r>
        <w:rPr>
          <w:rFonts w:hint="eastAsia" w:ascii="宋体" w:hAnsi="宋体" w:cs="宋体"/>
          <w:highlight w:val="none"/>
          <w:u w:val="single"/>
        </w:rPr>
        <w:t xml:space="preserve">               </w:t>
      </w:r>
    </w:p>
    <w:p w14:paraId="05142A06">
      <w:pPr>
        <w:tabs>
          <w:tab w:val="left" w:pos="4275"/>
        </w:tabs>
        <w:spacing w:line="360" w:lineRule="auto"/>
        <w:rPr>
          <w:rFonts w:hint="eastAsia" w:ascii="宋体" w:hAnsi="宋体" w:cs="宋体"/>
          <w:highlight w:val="none"/>
        </w:rPr>
      </w:pPr>
      <w:r>
        <w:rPr>
          <w:rFonts w:hint="eastAsia" w:ascii="宋体" w:hAnsi="宋体" w:cs="宋体"/>
          <w:highlight w:val="none"/>
        </w:rPr>
        <w:t>帐号：</w:t>
      </w:r>
      <w:r>
        <w:rPr>
          <w:rFonts w:hint="eastAsia" w:ascii="宋体" w:hAnsi="宋体" w:cs="宋体"/>
          <w:highlight w:val="none"/>
          <w:lang w:val="en-US" w:eastAsia="zh-CN"/>
        </w:rPr>
        <w:t xml:space="preserve">                              </w:t>
      </w:r>
      <w:r>
        <w:rPr>
          <w:rFonts w:hint="eastAsia" w:ascii="宋体" w:hAnsi="宋体" w:cs="宋体"/>
          <w:highlight w:val="none"/>
        </w:rPr>
        <w:t>帐号：</w:t>
      </w:r>
    </w:p>
    <w:p w14:paraId="719CCE8A">
      <w:pPr>
        <w:spacing w:after="120" w:line="360" w:lineRule="auto"/>
        <w:rPr>
          <w:rFonts w:hint="eastAsia" w:ascii="宋体" w:hAnsi="宋体" w:cs="宋体"/>
          <w:highlight w:val="none"/>
          <w:u w:val="single"/>
        </w:rPr>
      </w:pPr>
      <w:r>
        <w:rPr>
          <w:rFonts w:hint="eastAsia" w:ascii="宋体" w:hAnsi="宋体" w:cs="宋体"/>
          <w:highlight w:val="none"/>
        </w:rPr>
        <w:t xml:space="preserve">邮政编码：          </w:t>
      </w:r>
      <w:r>
        <w:rPr>
          <w:rFonts w:hint="eastAsia" w:ascii="宋体" w:hAnsi="宋体" w:cs="宋体"/>
          <w:highlight w:val="none"/>
          <w:lang w:val="en-US" w:eastAsia="zh-CN"/>
        </w:rPr>
        <w:t xml:space="preserve">                </w:t>
      </w:r>
      <w:r>
        <w:rPr>
          <w:rFonts w:hint="eastAsia" w:ascii="宋体" w:hAnsi="宋体" w:cs="宋体"/>
          <w:highlight w:val="none"/>
        </w:rPr>
        <w:t>邮政编码：</w:t>
      </w:r>
    </w:p>
    <w:p w14:paraId="27AC8456">
      <w:pPr>
        <w:rPr>
          <w:rFonts w:hint="eastAsia" w:ascii="宋体" w:hAnsi="宋体" w:cs="宋体"/>
          <w:highlight w:val="none"/>
        </w:rPr>
      </w:pPr>
      <w:r>
        <w:rPr>
          <w:rFonts w:hint="eastAsia" w:ascii="宋体" w:hAnsi="宋体" w:cs="宋体"/>
          <w:highlight w:val="none"/>
        </w:rPr>
        <w:t xml:space="preserve">监督单位：（盖章）     </w:t>
      </w:r>
      <w:r>
        <w:rPr>
          <w:rFonts w:hint="eastAsia" w:ascii="宋体" w:hAnsi="宋体" w:cs="宋体"/>
          <w:highlight w:val="none"/>
          <w:lang w:val="en-US" w:eastAsia="zh-CN"/>
        </w:rPr>
        <w:t xml:space="preserve">             </w:t>
      </w:r>
      <w:r>
        <w:rPr>
          <w:rFonts w:hint="eastAsia" w:ascii="宋体" w:hAnsi="宋体" w:cs="宋体"/>
          <w:highlight w:val="none"/>
        </w:rPr>
        <w:t>监督单位：（盖章）</w:t>
      </w:r>
    </w:p>
    <w:bookmarkEnd w:id="674"/>
    <w:p w14:paraId="205DA8FE">
      <w:pPr>
        <w:rPr>
          <w:rFonts w:hint="eastAsia" w:ascii="宋体" w:hAnsi="宋体" w:cs="宋体"/>
          <w:highlight w:val="none"/>
        </w:rPr>
      </w:pPr>
    </w:p>
    <w:p w14:paraId="4428D245">
      <w:pPr>
        <w:rPr>
          <w:rFonts w:hint="eastAsia" w:ascii="宋体" w:hAnsi="宋体"/>
          <w:b/>
          <w:sz w:val="36"/>
          <w:szCs w:val="36"/>
          <w:highlight w:val="none"/>
        </w:rPr>
      </w:pPr>
    </w:p>
    <w:p w14:paraId="6D176B2B">
      <w:pPr>
        <w:rPr>
          <w:rFonts w:hint="eastAsia" w:ascii="宋体" w:hAnsi="宋体"/>
          <w:b/>
          <w:sz w:val="36"/>
          <w:szCs w:val="36"/>
          <w:highlight w:val="none"/>
        </w:rPr>
      </w:pPr>
      <w:r>
        <w:rPr>
          <w:rFonts w:ascii="宋体" w:hAnsi="宋体"/>
          <w:b/>
          <w:sz w:val="36"/>
          <w:szCs w:val="36"/>
          <w:highlight w:val="none"/>
        </w:rPr>
        <w:br w:type="page"/>
      </w:r>
    </w:p>
    <w:p w14:paraId="3677431D">
      <w:pPr>
        <w:spacing w:line="360" w:lineRule="auto"/>
        <w:jc w:val="center"/>
        <w:outlineLvl w:val="0"/>
        <w:rPr>
          <w:rFonts w:hint="eastAsia" w:ascii="宋体" w:hAnsi="宋体"/>
          <w:b/>
          <w:sz w:val="36"/>
          <w:szCs w:val="36"/>
          <w:highlight w:val="none"/>
        </w:rPr>
      </w:pPr>
      <w:bookmarkStart w:id="2429" w:name="_Toc21002"/>
      <w:r>
        <w:rPr>
          <w:rFonts w:ascii="宋体" w:hAnsi="宋体"/>
          <w:b/>
          <w:sz w:val="36"/>
          <w:szCs w:val="36"/>
          <w:highlight w:val="none"/>
        </w:rPr>
        <w:t>第六章   响应文件格式</w:t>
      </w:r>
      <w:bookmarkEnd w:id="2429"/>
    </w:p>
    <w:p w14:paraId="185677FE">
      <w:pPr>
        <w:widowControl/>
        <w:spacing w:line="360" w:lineRule="auto"/>
        <w:jc w:val="left"/>
        <w:rPr>
          <w:rFonts w:hint="eastAsia" w:ascii="宋体" w:hAnsi="宋体"/>
          <w:b/>
          <w:sz w:val="24"/>
          <w:highlight w:val="none"/>
        </w:rPr>
      </w:pPr>
    </w:p>
    <w:p w14:paraId="4846178D">
      <w:pPr>
        <w:tabs>
          <w:tab w:val="left" w:pos="900"/>
          <w:tab w:val="left" w:pos="1980"/>
        </w:tabs>
        <w:snapToGrid w:val="0"/>
        <w:spacing w:line="360" w:lineRule="auto"/>
        <w:ind w:left="142"/>
        <w:rPr>
          <w:rFonts w:hint="eastAsia" w:ascii="宋体" w:hAnsi="宋体"/>
          <w:b/>
          <w:kern w:val="0"/>
          <w:sz w:val="24"/>
          <w:highlight w:val="none"/>
        </w:rPr>
      </w:pPr>
      <w:r>
        <w:rPr>
          <w:rFonts w:ascii="宋体" w:hAnsi="宋体"/>
          <w:b/>
          <w:kern w:val="0"/>
          <w:sz w:val="24"/>
          <w:highlight w:val="none"/>
        </w:rPr>
        <w:t>供应商编制文件须知</w:t>
      </w:r>
    </w:p>
    <w:p w14:paraId="4402529D">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1、供应商按照本部分的顺序编制响应文件，编制中涉及格式资料的，应按照本部分提供的内容和格式（所有表格的格式可扩展）填写提交。</w:t>
      </w:r>
    </w:p>
    <w:p w14:paraId="28283B6F">
      <w:pPr>
        <w:tabs>
          <w:tab w:val="left" w:pos="900"/>
          <w:tab w:val="left" w:pos="1980"/>
        </w:tabs>
        <w:snapToGrid w:val="0"/>
        <w:spacing w:line="360" w:lineRule="auto"/>
        <w:ind w:left="142"/>
        <w:rPr>
          <w:rFonts w:hint="eastAsia" w:ascii="宋体" w:hAnsi="宋体"/>
          <w:kern w:val="0"/>
          <w:sz w:val="24"/>
          <w:highlight w:val="none"/>
        </w:rPr>
      </w:pPr>
      <w:r>
        <w:rPr>
          <w:rFonts w:ascii="宋体" w:hAnsi="宋体"/>
          <w:sz w:val="24"/>
          <w:highlight w:val="none"/>
        </w:rPr>
        <w:t>2、</w:t>
      </w:r>
      <w:r>
        <w:rPr>
          <w:rFonts w:ascii="宋体" w:hAnsi="宋体"/>
          <w:kern w:val="0"/>
          <w:sz w:val="24"/>
          <w:highlight w:val="none"/>
        </w:rPr>
        <w:t>对于竞争性磋商文件中标记了“实质性格式”文件的，供应商</w:t>
      </w:r>
      <w:r>
        <w:rPr>
          <w:rFonts w:ascii="宋体" w:hAnsi="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highlight w:val="none"/>
        </w:rPr>
        <w:t>否则响应无效</w:t>
      </w:r>
      <w:r>
        <w:rPr>
          <w:rFonts w:ascii="宋体" w:hAnsi="宋体"/>
          <w:kern w:val="0"/>
          <w:sz w:val="24"/>
          <w:highlight w:val="none"/>
        </w:rPr>
        <w:t>。未标记“实质性格式”的文件和竞争性磋商文件未提供格式的内容，可由供应商自行编写。</w:t>
      </w:r>
    </w:p>
    <w:p w14:paraId="2A7CE878">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3、全部声明和问题的回答及所附材料必须是真实的、准确的和完整的。</w:t>
      </w:r>
    </w:p>
    <w:p w14:paraId="14EF0097">
      <w:pPr>
        <w:tabs>
          <w:tab w:val="left" w:pos="900"/>
          <w:tab w:val="left" w:pos="1980"/>
        </w:tabs>
        <w:snapToGrid w:val="0"/>
        <w:spacing w:line="360" w:lineRule="auto"/>
        <w:ind w:left="142"/>
        <w:rPr>
          <w:rFonts w:hint="eastAsia" w:ascii="宋体" w:hAnsi="宋体"/>
          <w:sz w:val="24"/>
          <w:highlight w:val="none"/>
        </w:rPr>
      </w:pPr>
    </w:p>
    <w:p w14:paraId="2FF64ECA">
      <w:pPr>
        <w:widowControl/>
        <w:jc w:val="left"/>
        <w:rPr>
          <w:rFonts w:hint="eastAsia" w:ascii="宋体" w:hAnsi="宋体"/>
          <w:sz w:val="24"/>
          <w:highlight w:val="none"/>
        </w:rPr>
      </w:pPr>
      <w:r>
        <w:rPr>
          <w:rFonts w:ascii="宋体" w:hAnsi="宋体"/>
          <w:sz w:val="24"/>
          <w:highlight w:val="none"/>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0E8FE8B5">
      <w:pPr>
        <w:rPr>
          <w:rFonts w:hint="eastAsia" w:ascii="宋体" w:hAnsi="宋体"/>
          <w:b/>
          <w:sz w:val="24"/>
          <w:highlight w:val="none"/>
        </w:rPr>
      </w:pPr>
      <w:r>
        <w:rPr>
          <w:rFonts w:ascii="宋体" w:hAnsi="宋体"/>
          <w:b/>
          <w:spacing w:val="20"/>
          <w:sz w:val="24"/>
          <w:highlight w:val="none"/>
        </w:rPr>
        <w:t>响应文件</w:t>
      </w:r>
      <w:r>
        <w:rPr>
          <w:rFonts w:ascii="宋体" w:hAnsi="宋体"/>
          <w:b/>
          <w:sz w:val="24"/>
          <w:highlight w:val="none"/>
        </w:rPr>
        <w:t>封面（非实质性格式）</w:t>
      </w:r>
    </w:p>
    <w:p w14:paraId="41DF1A41">
      <w:pPr>
        <w:jc w:val="center"/>
        <w:rPr>
          <w:rFonts w:hint="eastAsia" w:ascii="宋体" w:hAnsi="宋体"/>
          <w:szCs w:val="21"/>
          <w:highlight w:val="none"/>
        </w:rPr>
      </w:pPr>
    </w:p>
    <w:p w14:paraId="26FF19CA">
      <w:pPr>
        <w:jc w:val="center"/>
        <w:rPr>
          <w:rFonts w:hint="eastAsia" w:ascii="宋体" w:hAnsi="宋体"/>
          <w:b/>
          <w:spacing w:val="60"/>
          <w:sz w:val="84"/>
          <w:szCs w:val="84"/>
          <w:highlight w:val="none"/>
        </w:rPr>
      </w:pPr>
      <w:r>
        <w:rPr>
          <w:rFonts w:ascii="宋体" w:hAnsi="宋体"/>
          <w:b/>
          <w:spacing w:val="60"/>
          <w:sz w:val="84"/>
          <w:szCs w:val="84"/>
          <w:highlight w:val="none"/>
        </w:rPr>
        <w:t>响 应 文 件</w:t>
      </w:r>
    </w:p>
    <w:p w14:paraId="238D1C9F">
      <w:pPr>
        <w:jc w:val="center"/>
        <w:rPr>
          <w:rFonts w:hint="eastAsia" w:ascii="宋体" w:hAnsi="宋体"/>
          <w:b/>
          <w:spacing w:val="60"/>
          <w:sz w:val="52"/>
          <w:szCs w:val="52"/>
          <w:highlight w:val="none"/>
        </w:rPr>
      </w:pPr>
    </w:p>
    <w:p w14:paraId="778FC91D">
      <w:pPr>
        <w:ind w:firstLine="542" w:firstLineChars="150"/>
        <w:rPr>
          <w:rFonts w:hint="eastAsia" w:ascii="宋体" w:hAnsi="宋体"/>
          <w:b/>
          <w:spacing w:val="20"/>
          <w:sz w:val="32"/>
          <w:szCs w:val="32"/>
          <w:highlight w:val="none"/>
        </w:rPr>
      </w:pPr>
    </w:p>
    <w:p w14:paraId="62235711">
      <w:pPr>
        <w:ind w:firstLine="542" w:firstLineChars="150"/>
        <w:rPr>
          <w:rFonts w:hint="eastAsia" w:ascii="宋体" w:hAnsi="宋体"/>
          <w:b/>
          <w:spacing w:val="20"/>
          <w:sz w:val="32"/>
          <w:szCs w:val="32"/>
          <w:highlight w:val="none"/>
        </w:rPr>
      </w:pPr>
    </w:p>
    <w:p w14:paraId="00D018FF">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4A5B9EBE">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项目编号/包号：</w:t>
      </w:r>
    </w:p>
    <w:p w14:paraId="37E5AA07">
      <w:pPr>
        <w:ind w:firstLine="542" w:firstLineChars="150"/>
        <w:rPr>
          <w:rFonts w:hint="eastAsia" w:ascii="宋体" w:hAnsi="宋体"/>
          <w:b/>
          <w:spacing w:val="20"/>
          <w:sz w:val="32"/>
          <w:szCs w:val="32"/>
          <w:highlight w:val="none"/>
        </w:rPr>
      </w:pPr>
    </w:p>
    <w:p w14:paraId="00B8AD08">
      <w:pPr>
        <w:ind w:firstLine="542" w:firstLineChars="150"/>
        <w:rPr>
          <w:rFonts w:hint="eastAsia" w:ascii="宋体" w:hAnsi="宋体"/>
          <w:b/>
          <w:spacing w:val="20"/>
          <w:sz w:val="32"/>
          <w:szCs w:val="32"/>
          <w:highlight w:val="none"/>
        </w:rPr>
      </w:pPr>
    </w:p>
    <w:p w14:paraId="47D2C141">
      <w:pPr>
        <w:jc w:val="center"/>
        <w:rPr>
          <w:rFonts w:hint="eastAsia" w:ascii="宋体" w:hAnsi="宋体"/>
          <w:b/>
          <w:sz w:val="32"/>
          <w:szCs w:val="32"/>
          <w:highlight w:val="none"/>
        </w:rPr>
      </w:pPr>
    </w:p>
    <w:p w14:paraId="7B4CC10A">
      <w:pPr>
        <w:jc w:val="center"/>
        <w:rPr>
          <w:rFonts w:hint="eastAsia" w:ascii="宋体" w:hAnsi="宋体"/>
          <w:b/>
          <w:sz w:val="32"/>
          <w:szCs w:val="32"/>
          <w:highlight w:val="none"/>
        </w:rPr>
      </w:pPr>
    </w:p>
    <w:p w14:paraId="4A968D8D">
      <w:pPr>
        <w:jc w:val="center"/>
        <w:rPr>
          <w:rFonts w:hint="eastAsia" w:ascii="宋体" w:hAnsi="宋体"/>
          <w:b/>
          <w:sz w:val="32"/>
          <w:szCs w:val="32"/>
          <w:highlight w:val="none"/>
        </w:rPr>
      </w:pPr>
    </w:p>
    <w:p w14:paraId="0CC129E0">
      <w:pPr>
        <w:jc w:val="center"/>
        <w:rPr>
          <w:rFonts w:hint="eastAsia" w:ascii="宋体" w:hAnsi="宋体"/>
          <w:b/>
          <w:spacing w:val="20"/>
          <w:sz w:val="32"/>
          <w:szCs w:val="32"/>
          <w:highlight w:val="none"/>
        </w:rPr>
      </w:pPr>
    </w:p>
    <w:p w14:paraId="69702D12">
      <w:pPr>
        <w:jc w:val="center"/>
        <w:rPr>
          <w:rFonts w:hint="eastAsia" w:ascii="宋体" w:hAnsi="宋体"/>
          <w:b/>
          <w:spacing w:val="20"/>
          <w:sz w:val="32"/>
          <w:szCs w:val="32"/>
          <w:highlight w:val="none"/>
        </w:rPr>
      </w:pPr>
    </w:p>
    <w:p w14:paraId="0F7DFC4F">
      <w:pPr>
        <w:jc w:val="center"/>
        <w:rPr>
          <w:rFonts w:hint="eastAsia" w:ascii="宋体" w:hAnsi="宋体"/>
          <w:b/>
          <w:spacing w:val="20"/>
          <w:sz w:val="32"/>
          <w:szCs w:val="32"/>
          <w:highlight w:val="none"/>
        </w:rPr>
      </w:pPr>
    </w:p>
    <w:p w14:paraId="6F452455">
      <w:pPr>
        <w:spacing w:line="360" w:lineRule="auto"/>
        <w:ind w:firstLine="1445" w:firstLineChars="400"/>
        <w:jc w:val="left"/>
        <w:rPr>
          <w:rFonts w:hint="eastAsia" w:ascii="宋体" w:hAnsi="宋体"/>
          <w:b/>
          <w:spacing w:val="20"/>
          <w:sz w:val="32"/>
          <w:szCs w:val="32"/>
          <w:highlight w:val="none"/>
        </w:rPr>
      </w:pPr>
      <w:r>
        <w:rPr>
          <w:rFonts w:ascii="宋体" w:hAnsi="宋体"/>
          <w:b/>
          <w:spacing w:val="20"/>
          <w:sz w:val="32"/>
          <w:szCs w:val="32"/>
          <w:highlight w:val="none"/>
        </w:rPr>
        <w:t>供应商名称：</w:t>
      </w:r>
    </w:p>
    <w:p w14:paraId="4A8FD594">
      <w:pPr>
        <w:jc w:val="center"/>
        <w:rPr>
          <w:rFonts w:hint="eastAsia" w:ascii="宋体" w:hAnsi="宋体"/>
          <w:b/>
          <w:sz w:val="32"/>
          <w:szCs w:val="32"/>
          <w:highlight w:val="none"/>
        </w:rPr>
      </w:pPr>
    </w:p>
    <w:p w14:paraId="0B015C9F">
      <w:pPr>
        <w:rPr>
          <w:rFonts w:hint="eastAsia" w:ascii="宋体" w:hAnsi="宋体"/>
          <w:b/>
          <w:highlight w:val="none"/>
        </w:rPr>
      </w:pPr>
      <w:r>
        <w:rPr>
          <w:rFonts w:ascii="宋体" w:hAnsi="宋体"/>
          <w:b/>
          <w:spacing w:val="20"/>
          <w:sz w:val="32"/>
          <w:szCs w:val="32"/>
          <w:highlight w:val="none"/>
        </w:rPr>
        <w:br w:type="page"/>
      </w:r>
    </w:p>
    <w:p w14:paraId="4E4AE8AC">
      <w:pPr>
        <w:tabs>
          <w:tab w:val="left" w:pos="360"/>
        </w:tabs>
        <w:snapToGrid w:val="0"/>
        <w:spacing w:line="360" w:lineRule="auto"/>
        <w:outlineLvl w:val="1"/>
        <w:rPr>
          <w:rFonts w:hint="eastAsia" w:ascii="宋体" w:hAnsi="宋体"/>
          <w:sz w:val="24"/>
          <w:highlight w:val="none"/>
        </w:rPr>
      </w:pPr>
      <w:r>
        <w:rPr>
          <w:rFonts w:ascii="宋体" w:hAnsi="宋体"/>
          <w:sz w:val="24"/>
          <w:highlight w:val="none"/>
        </w:rPr>
        <w:t>1 满足《中华人民共和国政府采购法》第二十二条规定</w:t>
      </w:r>
    </w:p>
    <w:p w14:paraId="2ACCEF12">
      <w:pPr>
        <w:spacing w:line="360" w:lineRule="auto"/>
        <w:outlineLvl w:val="2"/>
        <w:rPr>
          <w:rFonts w:hint="eastAsia" w:ascii="宋体" w:hAnsi="宋体"/>
          <w:color w:val="000000"/>
          <w:sz w:val="24"/>
          <w:highlight w:val="none"/>
        </w:rPr>
      </w:pPr>
      <w:r>
        <w:rPr>
          <w:rFonts w:ascii="宋体" w:hAnsi="宋体"/>
          <w:color w:val="000000"/>
          <w:sz w:val="24"/>
          <w:highlight w:val="none"/>
        </w:rPr>
        <w:t>1-1 营业执照等证明文件</w:t>
      </w:r>
    </w:p>
    <w:p w14:paraId="12FC3E30">
      <w:pPr>
        <w:tabs>
          <w:tab w:val="left" w:pos="1080"/>
        </w:tabs>
        <w:snapToGrid w:val="0"/>
        <w:rPr>
          <w:rFonts w:hint="eastAsia" w:ascii="宋体" w:hAnsi="宋体"/>
          <w:sz w:val="24"/>
          <w:highlight w:val="none"/>
        </w:rPr>
      </w:pPr>
    </w:p>
    <w:p w14:paraId="71EA7733">
      <w:pPr>
        <w:widowControl/>
        <w:jc w:val="left"/>
        <w:rPr>
          <w:rFonts w:hint="eastAsia" w:ascii="宋体" w:hAnsi="宋体"/>
          <w:color w:val="000000"/>
          <w:sz w:val="24"/>
          <w:szCs w:val="20"/>
          <w:highlight w:val="none"/>
        </w:rPr>
      </w:pPr>
      <w:r>
        <w:rPr>
          <w:rFonts w:ascii="宋体" w:hAnsi="宋体"/>
          <w:color w:val="000000"/>
          <w:sz w:val="24"/>
          <w:highlight w:val="none"/>
        </w:rPr>
        <w:br w:type="page"/>
      </w:r>
    </w:p>
    <w:p w14:paraId="4AEBCF78">
      <w:pPr>
        <w:pStyle w:val="5"/>
        <w:rPr>
          <w:rFonts w:hint="eastAsia" w:hAnsi="宋体"/>
          <w:b w:val="0"/>
          <w:bCs/>
          <w:color w:val="000000"/>
          <w:szCs w:val="24"/>
          <w:highlight w:val="none"/>
          <w:u w:val="none"/>
        </w:rPr>
      </w:pPr>
      <w:r>
        <w:rPr>
          <w:rFonts w:hAnsi="宋体"/>
          <w:b w:val="0"/>
          <w:color w:val="000000"/>
          <w:szCs w:val="24"/>
          <w:highlight w:val="none"/>
          <w:u w:val="none"/>
        </w:rPr>
        <w:t>1-2 供应商资格声明书</w:t>
      </w:r>
    </w:p>
    <w:p w14:paraId="538316D1">
      <w:pPr>
        <w:jc w:val="center"/>
        <w:rPr>
          <w:rFonts w:hint="eastAsia" w:ascii="宋体" w:hAnsi="宋体"/>
          <w:b/>
          <w:color w:val="000000"/>
          <w:sz w:val="36"/>
          <w:szCs w:val="36"/>
          <w:highlight w:val="none"/>
        </w:rPr>
      </w:pPr>
      <w:r>
        <w:rPr>
          <w:rFonts w:ascii="宋体" w:hAnsi="宋体"/>
          <w:b/>
          <w:color w:val="000000"/>
          <w:sz w:val="36"/>
          <w:szCs w:val="36"/>
          <w:highlight w:val="none"/>
        </w:rPr>
        <w:t>供应商资格声明书</w:t>
      </w:r>
    </w:p>
    <w:p w14:paraId="4F908A08">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770C44B2">
      <w:pPr>
        <w:spacing w:line="360" w:lineRule="auto"/>
        <w:ind w:firstLine="480" w:firstLineChars="200"/>
        <w:rPr>
          <w:rFonts w:hint="eastAsia" w:ascii="宋体" w:hAnsi="宋体"/>
          <w:sz w:val="24"/>
          <w:highlight w:val="none"/>
        </w:rPr>
      </w:pPr>
      <w:r>
        <w:rPr>
          <w:rFonts w:ascii="宋体" w:hAnsi="宋体"/>
          <w:sz w:val="24"/>
          <w:highlight w:val="none"/>
        </w:rPr>
        <w:t>在参与本次项目磋商中，我单位承诺：</w:t>
      </w:r>
    </w:p>
    <w:p w14:paraId="2CB4612B">
      <w:pPr>
        <w:numPr>
          <w:ilvl w:val="0"/>
          <w:numId w:val="17"/>
        </w:numPr>
        <w:spacing w:line="360" w:lineRule="auto"/>
        <w:ind w:left="1134"/>
        <w:rPr>
          <w:rFonts w:hint="eastAsia" w:ascii="宋体" w:hAnsi="宋体"/>
          <w:sz w:val="24"/>
          <w:szCs w:val="22"/>
          <w:highlight w:val="none"/>
        </w:rPr>
      </w:pPr>
      <w:r>
        <w:rPr>
          <w:rFonts w:ascii="宋体" w:hAnsi="宋体"/>
          <w:sz w:val="24"/>
          <w:szCs w:val="22"/>
          <w:highlight w:val="none"/>
        </w:rPr>
        <w:t>具有良好的商业信誉和健全的财务会计制度；</w:t>
      </w:r>
    </w:p>
    <w:p w14:paraId="1F0075E1">
      <w:pPr>
        <w:numPr>
          <w:ilvl w:val="0"/>
          <w:numId w:val="17"/>
        </w:numPr>
        <w:spacing w:line="360" w:lineRule="auto"/>
        <w:ind w:left="1134"/>
        <w:rPr>
          <w:rFonts w:hint="eastAsia" w:ascii="宋体" w:hAnsi="宋体"/>
          <w:sz w:val="24"/>
          <w:szCs w:val="22"/>
          <w:highlight w:val="none"/>
        </w:rPr>
      </w:pPr>
      <w:r>
        <w:rPr>
          <w:rFonts w:ascii="宋体" w:hAnsi="宋体"/>
          <w:sz w:val="24"/>
          <w:szCs w:val="22"/>
          <w:highlight w:val="none"/>
        </w:rPr>
        <w:t>具有履行合同所必需的设备和专业技术能力；</w:t>
      </w:r>
    </w:p>
    <w:p w14:paraId="6FB7089C">
      <w:pPr>
        <w:numPr>
          <w:ilvl w:val="0"/>
          <w:numId w:val="17"/>
        </w:numPr>
        <w:spacing w:line="360" w:lineRule="auto"/>
        <w:ind w:left="1134"/>
        <w:rPr>
          <w:rFonts w:hint="eastAsia" w:ascii="宋体" w:hAnsi="宋体"/>
          <w:sz w:val="24"/>
          <w:szCs w:val="22"/>
          <w:highlight w:val="none"/>
        </w:rPr>
      </w:pPr>
      <w:r>
        <w:rPr>
          <w:rFonts w:ascii="宋体" w:hAnsi="宋体"/>
          <w:sz w:val="24"/>
          <w:szCs w:val="22"/>
          <w:highlight w:val="none"/>
        </w:rPr>
        <w:t>有依法缴纳税收和社会保障资金的良好记录；</w:t>
      </w:r>
    </w:p>
    <w:p w14:paraId="5BD23AA3">
      <w:pPr>
        <w:numPr>
          <w:ilvl w:val="0"/>
          <w:numId w:val="17"/>
        </w:numPr>
        <w:spacing w:line="360" w:lineRule="auto"/>
        <w:ind w:left="1134"/>
        <w:rPr>
          <w:rFonts w:hint="eastAsia" w:ascii="宋体" w:hAnsi="宋体"/>
          <w:sz w:val="24"/>
          <w:szCs w:val="22"/>
          <w:highlight w:val="none"/>
        </w:rPr>
      </w:pPr>
      <w:r>
        <w:rPr>
          <w:rFonts w:ascii="宋体" w:hAnsi="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B2063B2">
      <w:pPr>
        <w:numPr>
          <w:ilvl w:val="0"/>
          <w:numId w:val="17"/>
        </w:numPr>
        <w:spacing w:line="360" w:lineRule="auto"/>
        <w:ind w:left="1134"/>
        <w:rPr>
          <w:rFonts w:hint="eastAsia" w:ascii="宋体" w:hAnsi="宋体"/>
          <w:sz w:val="24"/>
          <w:szCs w:val="22"/>
          <w:highlight w:val="none"/>
        </w:rPr>
      </w:pPr>
      <w:r>
        <w:rPr>
          <w:rFonts w:ascii="宋体" w:hAnsi="宋体"/>
          <w:sz w:val="24"/>
          <w:szCs w:val="22"/>
          <w:highlight w:val="none"/>
        </w:rPr>
        <w:t>我单位不属于政府采购法律、行政法规规定的公益一类事业单位、或使用事业编制且由财政拨款保障的群团组织（仅适用于政府购买服务项目）；</w:t>
      </w:r>
    </w:p>
    <w:p w14:paraId="149D6D65">
      <w:pPr>
        <w:numPr>
          <w:ilvl w:val="0"/>
          <w:numId w:val="17"/>
        </w:numPr>
        <w:spacing w:line="360" w:lineRule="auto"/>
        <w:ind w:left="1134"/>
        <w:rPr>
          <w:rFonts w:hint="eastAsia" w:ascii="宋体" w:hAnsi="宋体"/>
          <w:sz w:val="24"/>
          <w:szCs w:val="22"/>
          <w:highlight w:val="none"/>
        </w:rPr>
      </w:pPr>
      <w:r>
        <w:rPr>
          <w:rFonts w:ascii="宋体" w:hAnsi="宋体"/>
          <w:sz w:val="24"/>
          <w:szCs w:val="22"/>
          <w:highlight w:val="none"/>
        </w:rPr>
        <w:t>我单位不存在为采购项目提供整体设计、规范编制或者项目管理、监理、检测等服务后，再参加该采购项目的其他采购活动的情形（单一来源采购项目除外）；</w:t>
      </w:r>
    </w:p>
    <w:p w14:paraId="767A8B56">
      <w:pPr>
        <w:numPr>
          <w:ilvl w:val="0"/>
          <w:numId w:val="17"/>
        </w:numPr>
        <w:spacing w:line="360" w:lineRule="auto"/>
        <w:ind w:left="1134"/>
        <w:rPr>
          <w:rFonts w:hint="eastAsia" w:ascii="宋体" w:hAnsi="宋体"/>
          <w:sz w:val="24"/>
          <w:szCs w:val="22"/>
          <w:highlight w:val="none"/>
        </w:rPr>
      </w:pPr>
      <w:r>
        <w:rPr>
          <w:rFonts w:ascii="宋体" w:hAnsi="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8AC8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4065AA">
            <w:pPr>
              <w:jc w:val="center"/>
              <w:rPr>
                <w:rFonts w:hint="eastAsia" w:ascii="宋体" w:hAnsi="宋体"/>
                <w:sz w:val="24"/>
                <w:highlight w:val="none"/>
              </w:rPr>
            </w:pPr>
            <w:r>
              <w:rPr>
                <w:rFonts w:ascii="宋体" w:hAnsi="宋体"/>
                <w:sz w:val="24"/>
                <w:highlight w:val="none"/>
              </w:rPr>
              <w:t>序号</w:t>
            </w:r>
          </w:p>
        </w:tc>
        <w:tc>
          <w:tcPr>
            <w:tcW w:w="4574" w:type="dxa"/>
            <w:vAlign w:val="center"/>
          </w:tcPr>
          <w:p w14:paraId="7F891BAC">
            <w:pPr>
              <w:jc w:val="center"/>
              <w:rPr>
                <w:rFonts w:hint="eastAsia" w:ascii="宋体" w:hAnsi="宋体"/>
                <w:sz w:val="24"/>
                <w:highlight w:val="none"/>
              </w:rPr>
            </w:pPr>
            <w:r>
              <w:rPr>
                <w:rFonts w:ascii="宋体" w:hAnsi="宋体"/>
                <w:sz w:val="24"/>
                <w:highlight w:val="none"/>
              </w:rPr>
              <w:t>单位名称</w:t>
            </w:r>
          </w:p>
        </w:tc>
        <w:tc>
          <w:tcPr>
            <w:tcW w:w="2976" w:type="dxa"/>
            <w:vAlign w:val="center"/>
          </w:tcPr>
          <w:p w14:paraId="49F78B6C">
            <w:pPr>
              <w:jc w:val="center"/>
              <w:rPr>
                <w:rFonts w:hint="eastAsia" w:ascii="宋体" w:hAnsi="宋体"/>
                <w:sz w:val="24"/>
                <w:highlight w:val="none"/>
              </w:rPr>
            </w:pPr>
            <w:r>
              <w:rPr>
                <w:rFonts w:ascii="宋体" w:hAnsi="宋体"/>
                <w:sz w:val="24"/>
                <w:highlight w:val="none"/>
              </w:rPr>
              <w:t>相互关系</w:t>
            </w:r>
          </w:p>
        </w:tc>
      </w:tr>
      <w:tr w14:paraId="65A6A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6318C8">
            <w:pPr>
              <w:jc w:val="center"/>
              <w:rPr>
                <w:rFonts w:hint="eastAsia" w:ascii="宋体" w:hAnsi="宋体"/>
                <w:sz w:val="24"/>
                <w:highlight w:val="none"/>
              </w:rPr>
            </w:pPr>
            <w:r>
              <w:rPr>
                <w:rFonts w:ascii="宋体" w:hAnsi="宋体"/>
                <w:sz w:val="24"/>
                <w:highlight w:val="none"/>
              </w:rPr>
              <w:t>1</w:t>
            </w:r>
          </w:p>
        </w:tc>
        <w:tc>
          <w:tcPr>
            <w:tcW w:w="4574" w:type="dxa"/>
            <w:vAlign w:val="center"/>
          </w:tcPr>
          <w:p w14:paraId="6DBA900A">
            <w:pPr>
              <w:jc w:val="center"/>
              <w:rPr>
                <w:rFonts w:hint="eastAsia" w:ascii="宋体" w:hAnsi="宋体"/>
                <w:sz w:val="24"/>
                <w:highlight w:val="none"/>
              </w:rPr>
            </w:pPr>
          </w:p>
        </w:tc>
        <w:tc>
          <w:tcPr>
            <w:tcW w:w="2976" w:type="dxa"/>
            <w:vAlign w:val="center"/>
          </w:tcPr>
          <w:p w14:paraId="2934B23D">
            <w:pPr>
              <w:jc w:val="center"/>
              <w:rPr>
                <w:rFonts w:hint="eastAsia" w:ascii="宋体" w:hAnsi="宋体"/>
                <w:sz w:val="24"/>
                <w:highlight w:val="none"/>
              </w:rPr>
            </w:pPr>
          </w:p>
        </w:tc>
      </w:tr>
      <w:tr w14:paraId="2F8C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C15716">
            <w:pPr>
              <w:jc w:val="center"/>
              <w:rPr>
                <w:rFonts w:hint="eastAsia" w:ascii="宋体" w:hAnsi="宋体"/>
                <w:sz w:val="24"/>
                <w:highlight w:val="none"/>
              </w:rPr>
            </w:pPr>
            <w:r>
              <w:rPr>
                <w:rFonts w:ascii="宋体" w:hAnsi="宋体"/>
                <w:sz w:val="24"/>
                <w:highlight w:val="none"/>
              </w:rPr>
              <w:t>2</w:t>
            </w:r>
          </w:p>
        </w:tc>
        <w:tc>
          <w:tcPr>
            <w:tcW w:w="4574" w:type="dxa"/>
            <w:vAlign w:val="center"/>
          </w:tcPr>
          <w:p w14:paraId="2536BAB0">
            <w:pPr>
              <w:jc w:val="center"/>
              <w:rPr>
                <w:rFonts w:hint="eastAsia" w:ascii="宋体" w:hAnsi="宋体"/>
                <w:sz w:val="24"/>
                <w:highlight w:val="none"/>
              </w:rPr>
            </w:pPr>
          </w:p>
        </w:tc>
        <w:tc>
          <w:tcPr>
            <w:tcW w:w="2976" w:type="dxa"/>
            <w:vAlign w:val="center"/>
          </w:tcPr>
          <w:p w14:paraId="3FA4C7A8">
            <w:pPr>
              <w:jc w:val="center"/>
              <w:rPr>
                <w:rFonts w:hint="eastAsia" w:ascii="宋体" w:hAnsi="宋体"/>
                <w:sz w:val="24"/>
                <w:highlight w:val="none"/>
              </w:rPr>
            </w:pPr>
          </w:p>
        </w:tc>
      </w:tr>
      <w:tr w14:paraId="48DC6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02B722">
            <w:pPr>
              <w:jc w:val="center"/>
              <w:rPr>
                <w:rFonts w:hint="eastAsia" w:ascii="宋体" w:hAnsi="宋体"/>
                <w:sz w:val="24"/>
                <w:highlight w:val="none"/>
              </w:rPr>
            </w:pPr>
            <w:r>
              <w:rPr>
                <w:rFonts w:ascii="宋体" w:hAnsi="宋体"/>
                <w:sz w:val="24"/>
                <w:highlight w:val="none"/>
              </w:rPr>
              <w:t>…</w:t>
            </w:r>
          </w:p>
        </w:tc>
        <w:tc>
          <w:tcPr>
            <w:tcW w:w="4574" w:type="dxa"/>
            <w:vAlign w:val="center"/>
          </w:tcPr>
          <w:p w14:paraId="67387355">
            <w:pPr>
              <w:jc w:val="center"/>
              <w:rPr>
                <w:rFonts w:hint="eastAsia" w:ascii="宋体" w:hAnsi="宋体"/>
                <w:sz w:val="24"/>
                <w:highlight w:val="none"/>
              </w:rPr>
            </w:pPr>
          </w:p>
        </w:tc>
        <w:tc>
          <w:tcPr>
            <w:tcW w:w="2976" w:type="dxa"/>
            <w:vAlign w:val="center"/>
          </w:tcPr>
          <w:p w14:paraId="7BAD77DD">
            <w:pPr>
              <w:jc w:val="center"/>
              <w:rPr>
                <w:rFonts w:hint="eastAsia" w:ascii="宋体" w:hAnsi="宋体"/>
                <w:sz w:val="24"/>
                <w:highlight w:val="none"/>
              </w:rPr>
            </w:pPr>
          </w:p>
        </w:tc>
      </w:tr>
    </w:tbl>
    <w:p w14:paraId="496A5642">
      <w:pPr>
        <w:rPr>
          <w:rFonts w:hint="eastAsia" w:ascii="宋体" w:hAnsi="宋体"/>
          <w:highlight w:val="none"/>
        </w:rPr>
      </w:pPr>
    </w:p>
    <w:p w14:paraId="0F7C06D5">
      <w:pPr>
        <w:ind w:firstLine="480" w:firstLineChars="200"/>
        <w:rPr>
          <w:rFonts w:hint="eastAsia" w:ascii="宋体" w:hAnsi="宋体"/>
          <w:sz w:val="24"/>
          <w:szCs w:val="22"/>
          <w:highlight w:val="none"/>
        </w:rPr>
      </w:pPr>
      <w:r>
        <w:rPr>
          <w:rFonts w:ascii="宋体" w:hAnsi="宋体"/>
          <w:sz w:val="24"/>
          <w:highlight w:val="none"/>
        </w:rPr>
        <w:t>上述声明真实有效，否则我方负全部责任。</w:t>
      </w:r>
    </w:p>
    <w:p w14:paraId="241EDF97">
      <w:pPr>
        <w:spacing w:line="360" w:lineRule="auto"/>
        <w:rPr>
          <w:rFonts w:hint="eastAsia" w:ascii="宋体" w:hAnsi="宋体"/>
          <w:sz w:val="24"/>
          <w:highlight w:val="none"/>
        </w:rPr>
      </w:pPr>
    </w:p>
    <w:p w14:paraId="4F745EE6">
      <w:pPr>
        <w:autoSpaceDE w:val="0"/>
        <w:autoSpaceDN w:val="0"/>
        <w:adjustRightInd w:val="0"/>
        <w:snapToGrid w:val="0"/>
        <w:spacing w:before="25" w:after="25" w:line="360" w:lineRule="auto"/>
        <w:ind w:right="360"/>
        <w:jc w:val="right"/>
        <w:rPr>
          <w:rFonts w:hint="eastAsia"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3E697C7D">
      <w:pPr>
        <w:spacing w:line="360" w:lineRule="auto"/>
        <w:ind w:right="360" w:firstLine="480"/>
        <w:jc w:val="right"/>
        <w:rPr>
          <w:rFonts w:hint="eastAsia" w:ascii="宋体" w:hAnsi="宋体"/>
          <w:sz w:val="24"/>
          <w:highlight w:val="none"/>
        </w:rPr>
      </w:pPr>
      <w:r>
        <w:rPr>
          <w:rFonts w:ascii="宋体" w:hAnsi="宋体"/>
          <w:color w:val="000000"/>
          <w:sz w:val="24"/>
          <w:szCs w:val="20"/>
          <w:highlight w:val="none"/>
        </w:rPr>
        <w:t xml:space="preserve">日期：____年____月____日   </w:t>
      </w:r>
    </w:p>
    <w:p w14:paraId="6FD9A691">
      <w:pPr>
        <w:spacing w:line="360" w:lineRule="auto"/>
        <w:rPr>
          <w:rFonts w:hint="eastAsia" w:ascii="宋体" w:hAnsi="宋体"/>
          <w:sz w:val="24"/>
          <w:highlight w:val="none"/>
        </w:rPr>
      </w:pPr>
      <w:r>
        <w:rPr>
          <w:rFonts w:ascii="宋体" w:hAnsi="宋体"/>
          <w:sz w:val="24"/>
          <w:highlight w:val="none"/>
        </w:rPr>
        <w:t>说明：供应商承诺不实的，依据《政府采购法》第七十七条“提供虚假材料谋取中标、成交的”有关规定予以处理。</w:t>
      </w:r>
    </w:p>
    <w:p w14:paraId="0BD7FCBE">
      <w:pPr>
        <w:tabs>
          <w:tab w:val="left" w:pos="5580"/>
        </w:tabs>
        <w:spacing w:line="360" w:lineRule="auto"/>
        <w:rPr>
          <w:rFonts w:hint="eastAsia" w:ascii="宋体" w:hAnsi="宋体"/>
          <w:sz w:val="24"/>
          <w:highlight w:val="none"/>
        </w:rPr>
        <w:sectPr>
          <w:headerReference r:id="rId13" w:type="first"/>
          <w:footerReference r:id="rId16" w:type="first"/>
          <w:footerReference r:id="rId14" w:type="default"/>
          <w:headerReference r:id="rId12" w:type="even"/>
          <w:footerReference r:id="rId15" w:type="even"/>
          <w:pgSz w:w="11907" w:h="16840"/>
          <w:pgMar w:top="1440" w:right="1800" w:bottom="1440" w:left="1800" w:header="851" w:footer="851" w:gutter="0"/>
          <w:cols w:space="720" w:num="1"/>
          <w:docGrid w:linePitch="462" w:charSpace="0"/>
        </w:sectPr>
      </w:pPr>
    </w:p>
    <w:p w14:paraId="7807C66F">
      <w:pPr>
        <w:tabs>
          <w:tab w:val="left" w:pos="360"/>
        </w:tabs>
        <w:snapToGrid w:val="0"/>
        <w:spacing w:line="360" w:lineRule="auto"/>
        <w:outlineLvl w:val="1"/>
        <w:rPr>
          <w:rFonts w:hint="eastAsia" w:ascii="宋体" w:hAnsi="宋体"/>
          <w:sz w:val="24"/>
          <w:highlight w:val="none"/>
        </w:rPr>
      </w:pPr>
      <w:r>
        <w:rPr>
          <w:rFonts w:ascii="宋体" w:hAnsi="宋体"/>
          <w:sz w:val="24"/>
          <w:highlight w:val="none"/>
        </w:rPr>
        <w:t>2 落实政府采购政策需满足的资格要求（如有）</w:t>
      </w:r>
    </w:p>
    <w:p w14:paraId="5D54801E">
      <w:pPr>
        <w:spacing w:line="360" w:lineRule="auto"/>
        <w:outlineLvl w:val="2"/>
        <w:rPr>
          <w:rFonts w:hint="eastAsia" w:ascii="宋体" w:hAnsi="宋体"/>
          <w:color w:val="000000"/>
          <w:sz w:val="24"/>
          <w:szCs w:val="20"/>
          <w:highlight w:val="none"/>
        </w:rPr>
      </w:pPr>
      <w:r>
        <w:rPr>
          <w:rFonts w:ascii="宋体" w:hAnsi="宋体"/>
          <w:color w:val="000000"/>
          <w:sz w:val="24"/>
          <w:szCs w:val="20"/>
          <w:highlight w:val="none"/>
        </w:rPr>
        <w:t>2-1 中小企业</w:t>
      </w:r>
      <w:r>
        <w:rPr>
          <w:rFonts w:hint="eastAsia" w:ascii="宋体" w:hAnsi="宋体"/>
          <w:color w:val="000000"/>
          <w:sz w:val="24"/>
          <w:szCs w:val="20"/>
          <w:highlight w:val="none"/>
        </w:rPr>
        <w:t>政策</w:t>
      </w:r>
      <w:r>
        <w:rPr>
          <w:rFonts w:ascii="宋体" w:hAnsi="宋体"/>
          <w:color w:val="000000"/>
          <w:sz w:val="24"/>
          <w:szCs w:val="20"/>
          <w:highlight w:val="none"/>
        </w:rPr>
        <w:t>证明文件</w:t>
      </w:r>
    </w:p>
    <w:p w14:paraId="0DC3D90A">
      <w:pPr>
        <w:tabs>
          <w:tab w:val="left" w:pos="5580"/>
        </w:tabs>
        <w:spacing w:line="360" w:lineRule="auto"/>
        <w:rPr>
          <w:rFonts w:hint="eastAsia" w:ascii="宋体" w:hAnsi="宋体"/>
          <w:sz w:val="24"/>
          <w:highlight w:val="none"/>
        </w:rPr>
      </w:pPr>
      <w:r>
        <w:rPr>
          <w:rFonts w:ascii="宋体" w:hAnsi="宋体"/>
          <w:sz w:val="24"/>
          <w:highlight w:val="none"/>
        </w:rPr>
        <w:t>说明：</w:t>
      </w:r>
    </w:p>
    <w:p w14:paraId="2D6A1BD1">
      <w:pPr>
        <w:tabs>
          <w:tab w:val="left" w:pos="5580"/>
        </w:tabs>
        <w:spacing w:line="360" w:lineRule="auto"/>
        <w:rPr>
          <w:rFonts w:hint="eastAsia" w:ascii="宋体" w:hAnsi="宋体"/>
          <w:sz w:val="24"/>
          <w:highlight w:val="none"/>
        </w:rPr>
      </w:pPr>
      <w:r>
        <w:rPr>
          <w:rFonts w:ascii="宋体" w:hAnsi="宋体"/>
          <w:sz w:val="24"/>
          <w:highlight w:val="none"/>
        </w:rPr>
        <w:t>（1）如本项目</w:t>
      </w:r>
      <w:r>
        <w:rPr>
          <w:rFonts w:hint="eastAsia" w:ascii="宋体" w:hAnsi="宋体"/>
          <w:sz w:val="24"/>
          <w:highlight w:val="none"/>
          <w:lang w:val="en-US" w:eastAsia="zh-CN"/>
        </w:rPr>
        <w:t>(</w:t>
      </w:r>
      <w:r>
        <w:rPr>
          <w:rFonts w:ascii="宋体" w:hAnsi="宋体"/>
          <w:sz w:val="24"/>
          <w:highlight w:val="none"/>
        </w:rPr>
        <w:t>包</w:t>
      </w:r>
      <w:r>
        <w:rPr>
          <w:rFonts w:hint="eastAsia" w:ascii="宋体" w:hAnsi="宋体"/>
          <w:sz w:val="24"/>
          <w:highlight w:val="none"/>
          <w:lang w:val="en-US" w:eastAsia="zh-CN"/>
        </w:rPr>
        <w:t>)</w:t>
      </w:r>
      <w:r>
        <w:rPr>
          <w:rFonts w:ascii="宋体" w:hAnsi="宋体"/>
          <w:sz w:val="24"/>
          <w:highlight w:val="none"/>
        </w:rPr>
        <w:t>不专门面向中小企业预留采购份额，供应商无须提供《中小企业声明函》或《残疾人福利性单位声明函》或由省级以上监狱管理局、戒毒管理局</w:t>
      </w:r>
      <w:r>
        <w:rPr>
          <w:rFonts w:hint="eastAsia" w:ascii="宋体" w:hAnsi="宋体"/>
          <w:sz w:val="24"/>
          <w:highlight w:val="none"/>
          <w:lang w:val="en-US" w:eastAsia="zh-CN"/>
        </w:rPr>
        <w:t>(</w:t>
      </w:r>
      <w:r>
        <w:rPr>
          <w:rFonts w:ascii="宋体" w:hAnsi="宋体"/>
          <w:sz w:val="24"/>
          <w:highlight w:val="none"/>
        </w:rPr>
        <w:t>含新疆生产建设兵团</w:t>
      </w:r>
      <w:r>
        <w:rPr>
          <w:rFonts w:hint="eastAsia" w:ascii="宋体" w:hAnsi="宋体"/>
          <w:sz w:val="24"/>
          <w:highlight w:val="none"/>
          <w:lang w:val="en-US" w:eastAsia="zh-CN"/>
        </w:rPr>
        <w:t>)</w:t>
      </w:r>
      <w:r>
        <w:rPr>
          <w:rFonts w:ascii="宋体" w:hAnsi="宋体"/>
          <w:sz w:val="24"/>
          <w:highlight w:val="none"/>
        </w:rPr>
        <w:t>出具的属于监狱企业的证明文件；当供应商拟享受中小企业扶持政策时，仍应提供上述证明文件，</w:t>
      </w:r>
      <w:r>
        <w:rPr>
          <w:rFonts w:ascii="宋体" w:hAnsi="宋体"/>
          <w:color w:val="000000" w:themeColor="text1"/>
          <w:sz w:val="24"/>
          <w:highlight w:val="none"/>
          <w14:textFill>
            <w14:solidFill>
              <w14:schemeClr w14:val="tx1"/>
            </w14:solidFill>
          </w14:textFill>
        </w:rPr>
        <w:t>否则不享受相关中小企业扶持政策</w:t>
      </w:r>
      <w:r>
        <w:rPr>
          <w:rFonts w:ascii="宋体" w:hAnsi="宋体"/>
          <w:sz w:val="24"/>
          <w:highlight w:val="none"/>
        </w:rPr>
        <w:t>。</w:t>
      </w:r>
    </w:p>
    <w:p w14:paraId="5AB9E9D4">
      <w:pPr>
        <w:tabs>
          <w:tab w:val="left" w:pos="5580"/>
        </w:tabs>
        <w:spacing w:line="360" w:lineRule="auto"/>
        <w:rPr>
          <w:rFonts w:hint="eastAsia" w:ascii="宋体" w:hAnsi="宋体"/>
          <w:sz w:val="24"/>
          <w:highlight w:val="none"/>
        </w:rPr>
      </w:pPr>
      <w:r>
        <w:rPr>
          <w:rFonts w:ascii="宋体" w:hAnsi="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294C601B">
      <w:pPr>
        <w:tabs>
          <w:tab w:val="left" w:pos="5580"/>
        </w:tabs>
        <w:spacing w:line="360" w:lineRule="auto"/>
        <w:rPr>
          <w:rFonts w:hint="eastAsia" w:ascii="宋体" w:hAnsi="宋体"/>
          <w:sz w:val="24"/>
          <w:highlight w:val="none"/>
        </w:rPr>
      </w:pPr>
      <w:r>
        <w:rPr>
          <w:rFonts w:ascii="宋体" w:hAnsi="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20FA979">
      <w:pPr>
        <w:tabs>
          <w:tab w:val="left" w:pos="5580"/>
        </w:tabs>
        <w:spacing w:line="360" w:lineRule="auto"/>
        <w:rPr>
          <w:rFonts w:hint="eastAsia" w:ascii="宋体" w:hAnsi="宋体"/>
          <w:sz w:val="24"/>
          <w:highlight w:val="none"/>
        </w:rPr>
      </w:pPr>
      <w:r>
        <w:rPr>
          <w:rFonts w:ascii="宋体" w:hAnsi="宋体"/>
          <w:sz w:val="24"/>
          <w:highlight w:val="none"/>
        </w:rPr>
        <w:t>（4）中小企业声明函填写注意事项</w:t>
      </w:r>
    </w:p>
    <w:p w14:paraId="5DE5739A">
      <w:pPr>
        <w:tabs>
          <w:tab w:val="left" w:pos="5580"/>
        </w:tabs>
        <w:spacing w:line="360" w:lineRule="auto"/>
        <w:rPr>
          <w:rFonts w:hint="eastAsia" w:ascii="宋体" w:hAnsi="宋体"/>
          <w:sz w:val="24"/>
          <w:highlight w:val="none"/>
        </w:rPr>
      </w:pPr>
      <w:r>
        <w:rPr>
          <w:rFonts w:ascii="宋体" w:hAnsi="宋体"/>
          <w:sz w:val="24"/>
          <w:highlight w:val="none"/>
        </w:rPr>
        <w:t>1）《中小企业声明函》由参加政府采购活动的供应商出具。联合体参与的，《中小企业声明函》可由牵头人出具。</w:t>
      </w:r>
    </w:p>
    <w:p w14:paraId="4690C378">
      <w:pPr>
        <w:tabs>
          <w:tab w:val="left" w:pos="5580"/>
        </w:tabs>
        <w:spacing w:line="360" w:lineRule="auto"/>
        <w:rPr>
          <w:rFonts w:hint="eastAsia" w:ascii="宋体" w:hAnsi="宋体"/>
          <w:sz w:val="24"/>
          <w:highlight w:val="none"/>
        </w:rPr>
      </w:pPr>
      <w:r>
        <w:rPr>
          <w:rFonts w:ascii="宋体" w:hAnsi="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AA7BB58">
      <w:pPr>
        <w:tabs>
          <w:tab w:val="left" w:pos="5580"/>
        </w:tabs>
        <w:spacing w:line="360" w:lineRule="auto"/>
        <w:rPr>
          <w:rFonts w:hint="eastAsia" w:ascii="宋体" w:hAnsi="宋体"/>
          <w:sz w:val="24"/>
          <w:highlight w:val="none"/>
        </w:rPr>
      </w:pPr>
      <w:r>
        <w:rPr>
          <w:rFonts w:ascii="宋体" w:hAnsi="宋体"/>
          <w:sz w:val="24"/>
          <w:highlight w:val="none"/>
        </w:rPr>
        <w:t>3）对于多标的采购项目，供应商应充分、准确地了解所提供货物的制造企业、提供服务的承接企业信息。对相关情况了解不清楚的，不建议填报本声明函。</w:t>
      </w:r>
    </w:p>
    <w:p w14:paraId="4FCAF642">
      <w:pPr>
        <w:tabs>
          <w:tab w:val="left" w:pos="5580"/>
        </w:tabs>
        <w:spacing w:line="360" w:lineRule="auto"/>
        <w:rPr>
          <w:rFonts w:hint="eastAsia" w:ascii="宋体" w:hAnsi="宋体"/>
          <w:b/>
          <w:bCs/>
          <w:color w:val="000000"/>
          <w:sz w:val="36"/>
          <w:szCs w:val="36"/>
          <w:highlight w:val="none"/>
        </w:rPr>
      </w:pPr>
      <w:r>
        <w:rPr>
          <w:rFonts w:ascii="宋体" w:hAnsi="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ascii="宋体" w:hAnsi="宋体"/>
          <w:sz w:val="24"/>
          <w:highlight w:val="none"/>
        </w:rPr>
        <w:t>《金融业企业划型标准规定》（银发〔</w:t>
      </w:r>
      <w:r>
        <w:rPr>
          <w:rFonts w:ascii="宋体" w:hAnsi="宋体"/>
          <w:sz w:val="24"/>
          <w:highlight w:val="none"/>
        </w:rPr>
        <w:t>2015</w:t>
      </w:r>
      <w:r>
        <w:rPr>
          <w:rFonts w:hint="eastAsia" w:ascii="宋体" w:hAnsi="宋体"/>
          <w:sz w:val="24"/>
          <w:highlight w:val="none"/>
        </w:rPr>
        <w:t>〕</w:t>
      </w:r>
      <w:r>
        <w:rPr>
          <w:rFonts w:ascii="宋体" w:hAnsi="宋体"/>
          <w:sz w:val="24"/>
          <w:highlight w:val="none"/>
        </w:rPr>
        <w:t xml:space="preserve">309 </w:t>
      </w:r>
      <w:r>
        <w:rPr>
          <w:rFonts w:hint="eastAsia" w:ascii="宋体" w:hAnsi="宋体"/>
          <w:sz w:val="24"/>
          <w:highlight w:val="none"/>
        </w:rPr>
        <w:t>号）等国务院批准的中小企业划分标准执行</w:t>
      </w:r>
      <w:r>
        <w:rPr>
          <w:rFonts w:ascii="宋体" w:hAnsi="宋体"/>
          <w:sz w:val="24"/>
          <w:highlight w:val="none"/>
        </w:rPr>
        <w:t>。</w:t>
      </w:r>
    </w:p>
    <w:p w14:paraId="6F133C04">
      <w:pPr>
        <w:pStyle w:val="6"/>
        <w:rPr>
          <w:rFonts w:hint="eastAsia" w:ascii="宋体" w:hAnsi="宋体"/>
          <w:sz w:val="24"/>
          <w:highlight w:val="none"/>
        </w:rPr>
      </w:pPr>
      <w:r>
        <w:rPr>
          <w:rFonts w:ascii="宋体" w:hAnsi="宋体" w:eastAsia="宋体"/>
          <w:sz w:val="24"/>
          <w:szCs w:val="24"/>
          <w:highlight w:val="none"/>
        </w:rPr>
        <w:t>2-1-1 中小企业</w:t>
      </w:r>
      <w:r>
        <w:rPr>
          <w:rFonts w:hint="eastAsia" w:ascii="宋体" w:hAnsi="宋体" w:eastAsia="宋体"/>
          <w:sz w:val="24"/>
          <w:szCs w:val="24"/>
          <w:highlight w:val="none"/>
        </w:rPr>
        <w:t>证明文件</w:t>
      </w:r>
    </w:p>
    <w:p w14:paraId="2025EBD6">
      <w:pPr>
        <w:spacing w:before="240" w:beforeLines="100" w:after="240" w:afterLines="100" w:line="360" w:lineRule="auto"/>
        <w:jc w:val="center"/>
        <w:rPr>
          <w:rFonts w:hint="eastAsia" w:ascii="宋体" w:hAnsi="宋体"/>
          <w:b/>
          <w:bCs/>
          <w:color w:val="000000"/>
          <w:sz w:val="36"/>
          <w:szCs w:val="36"/>
          <w:highlight w:val="none"/>
        </w:rPr>
      </w:pPr>
      <w:r>
        <w:rPr>
          <w:rFonts w:ascii="宋体" w:hAnsi="宋体"/>
          <w:b/>
          <w:bCs/>
          <w:color w:val="000000"/>
          <w:sz w:val="36"/>
          <w:szCs w:val="36"/>
          <w:highlight w:val="none"/>
        </w:rPr>
        <w:t>中小企业声明函（工程、服务）格式</w:t>
      </w:r>
    </w:p>
    <w:p w14:paraId="69D528F0">
      <w:pPr>
        <w:spacing w:line="360" w:lineRule="auto"/>
        <w:ind w:firstLine="504"/>
        <w:rPr>
          <w:rFonts w:hint="eastAsia"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19061DF">
      <w:pPr>
        <w:spacing w:line="360" w:lineRule="auto"/>
        <w:ind w:firstLine="504"/>
        <w:rPr>
          <w:rFonts w:hint="eastAsia"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 xml:space="preserve"> （标的名称） </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w:t>
      </w:r>
      <w:r>
        <w:rPr>
          <w:rFonts w:ascii="宋体" w:hAnsi="宋体"/>
          <w:sz w:val="24"/>
          <w:highlight w:val="none"/>
        </w:rPr>
        <w:t>______</w:t>
      </w:r>
      <w:r>
        <w:rPr>
          <w:rFonts w:ascii="宋体" w:hAnsi="宋体"/>
          <w:spacing w:val="6"/>
          <w:sz w:val="24"/>
          <w:highlight w:val="none"/>
        </w:rPr>
        <w:t>人，营业收入为</w:t>
      </w:r>
      <w:r>
        <w:rPr>
          <w:rFonts w:ascii="宋体" w:hAnsi="宋体"/>
          <w:sz w:val="24"/>
          <w:highlight w:val="none"/>
        </w:rPr>
        <w:t>______</w:t>
      </w:r>
      <w:r>
        <w:rPr>
          <w:rFonts w:ascii="宋体" w:hAnsi="宋体"/>
          <w:spacing w:val="6"/>
          <w:sz w:val="24"/>
          <w:highlight w:val="none"/>
        </w:rPr>
        <w:t>万元，资产总额为</w:t>
      </w:r>
      <w:r>
        <w:rPr>
          <w:rFonts w:ascii="宋体" w:hAnsi="宋体"/>
          <w:sz w:val="24"/>
          <w:highlight w:val="none"/>
        </w:rPr>
        <w:t>______</w:t>
      </w:r>
      <w:r>
        <w:rPr>
          <w:rFonts w:ascii="宋体" w:hAnsi="宋体"/>
          <w:spacing w:val="6"/>
          <w:sz w:val="24"/>
          <w:highlight w:val="none"/>
        </w:rPr>
        <w:t>万元</w:t>
      </w:r>
      <w:r>
        <w:rPr>
          <w:rFonts w:ascii="宋体" w:hAnsi="宋体"/>
          <w:spacing w:val="6"/>
          <w:sz w:val="24"/>
          <w:highlight w:val="none"/>
          <w:vertAlign w:val="superscript"/>
        </w:rPr>
        <w:t>1</w:t>
      </w:r>
      <w:r>
        <w:rPr>
          <w:rFonts w:ascii="宋体" w:hAnsi="宋体"/>
          <w:spacing w:val="6"/>
          <w:sz w:val="24"/>
          <w:highlight w:val="none"/>
        </w:rPr>
        <w:t>，属于（中型企业、小型企业、微型企业）；</w:t>
      </w:r>
    </w:p>
    <w:p w14:paraId="0B0763F5">
      <w:pPr>
        <w:spacing w:line="360" w:lineRule="auto"/>
        <w:ind w:firstLine="504"/>
        <w:rPr>
          <w:rFonts w:hint="eastAsia" w:ascii="宋体" w:hAnsi="宋体"/>
          <w:spacing w:val="6"/>
          <w:sz w:val="24"/>
          <w:highlight w:val="none"/>
        </w:rPr>
      </w:pPr>
      <w:r>
        <w:rPr>
          <w:rFonts w:ascii="宋体" w:hAnsi="宋体"/>
          <w:spacing w:val="6"/>
          <w:sz w:val="24"/>
          <w:highlight w:val="none"/>
        </w:rPr>
        <w:t xml:space="preserve">2. </w:t>
      </w:r>
      <w:r>
        <w:rPr>
          <w:rFonts w:ascii="宋体" w:hAnsi="宋体"/>
          <w:spacing w:val="6"/>
          <w:sz w:val="24"/>
          <w:highlight w:val="none"/>
          <w:u w:val="single"/>
        </w:rPr>
        <w:t xml:space="preserve">（标的名称） </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w:t>
      </w:r>
      <w:r>
        <w:rPr>
          <w:rFonts w:ascii="宋体" w:hAnsi="宋体"/>
          <w:sz w:val="24"/>
          <w:highlight w:val="none"/>
        </w:rPr>
        <w:t>______</w:t>
      </w:r>
      <w:r>
        <w:rPr>
          <w:rFonts w:ascii="宋体" w:hAnsi="宋体"/>
          <w:spacing w:val="6"/>
          <w:sz w:val="24"/>
          <w:highlight w:val="none"/>
        </w:rPr>
        <w:t>人，营业收入为</w:t>
      </w:r>
      <w:r>
        <w:rPr>
          <w:rFonts w:ascii="宋体" w:hAnsi="宋体"/>
          <w:sz w:val="24"/>
          <w:highlight w:val="none"/>
        </w:rPr>
        <w:t>______</w:t>
      </w:r>
      <w:r>
        <w:rPr>
          <w:rFonts w:ascii="宋体" w:hAnsi="宋体"/>
          <w:spacing w:val="6"/>
          <w:sz w:val="24"/>
          <w:highlight w:val="none"/>
        </w:rPr>
        <w:t>万元，资产总额为</w:t>
      </w:r>
      <w:r>
        <w:rPr>
          <w:rFonts w:ascii="宋体" w:hAnsi="宋体"/>
          <w:sz w:val="24"/>
          <w:highlight w:val="none"/>
        </w:rPr>
        <w:t>______</w:t>
      </w:r>
      <w:r>
        <w:rPr>
          <w:rFonts w:ascii="宋体" w:hAnsi="宋体"/>
          <w:spacing w:val="6"/>
          <w:sz w:val="24"/>
          <w:highlight w:val="none"/>
        </w:rPr>
        <w:t>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35926D78">
      <w:pPr>
        <w:spacing w:line="360" w:lineRule="auto"/>
        <w:ind w:firstLine="504"/>
        <w:rPr>
          <w:rFonts w:hint="eastAsia" w:ascii="宋体" w:hAnsi="宋体"/>
          <w:spacing w:val="6"/>
          <w:sz w:val="24"/>
          <w:highlight w:val="none"/>
        </w:rPr>
      </w:pPr>
    </w:p>
    <w:p w14:paraId="4D7E68AA">
      <w:pPr>
        <w:spacing w:line="360" w:lineRule="auto"/>
        <w:ind w:firstLine="504"/>
        <w:rPr>
          <w:rFonts w:hint="eastAsia" w:ascii="宋体" w:hAnsi="宋体"/>
          <w:spacing w:val="6"/>
          <w:sz w:val="24"/>
          <w:highlight w:val="none"/>
        </w:rPr>
      </w:pPr>
      <w:r>
        <w:rPr>
          <w:rFonts w:ascii="宋体" w:hAnsi="宋体"/>
          <w:spacing w:val="6"/>
          <w:sz w:val="24"/>
          <w:highlight w:val="none"/>
        </w:rPr>
        <w:t>……</w:t>
      </w:r>
    </w:p>
    <w:p w14:paraId="058213F5">
      <w:pPr>
        <w:spacing w:line="360" w:lineRule="auto"/>
        <w:ind w:firstLine="504"/>
        <w:rPr>
          <w:rFonts w:hint="eastAsia"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6A445B71">
      <w:pPr>
        <w:spacing w:line="360" w:lineRule="auto"/>
        <w:ind w:firstLine="504"/>
        <w:rPr>
          <w:rFonts w:hint="eastAsia"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5B74FC27">
      <w:pPr>
        <w:spacing w:line="360" w:lineRule="auto"/>
        <w:ind w:right="360" w:firstLine="480"/>
        <w:jc w:val="right"/>
        <w:rPr>
          <w:rFonts w:hint="eastAsia" w:ascii="宋体" w:hAnsi="宋体"/>
          <w:color w:val="000000"/>
          <w:sz w:val="24"/>
          <w:highlight w:val="none"/>
        </w:rPr>
      </w:pPr>
    </w:p>
    <w:p w14:paraId="31FA58E8">
      <w:pPr>
        <w:spacing w:line="360" w:lineRule="auto"/>
        <w:ind w:right="360" w:firstLine="480"/>
        <w:jc w:val="right"/>
        <w:rPr>
          <w:rFonts w:hint="eastAsia" w:ascii="宋体" w:hAnsi="宋体"/>
          <w:color w:val="000000"/>
          <w:sz w:val="24"/>
          <w:highlight w:val="none"/>
        </w:rPr>
      </w:pPr>
      <w:r>
        <w:rPr>
          <w:rFonts w:ascii="宋体" w:hAnsi="宋体"/>
          <w:color w:val="000000"/>
          <w:sz w:val="24"/>
          <w:highlight w:val="none"/>
        </w:rPr>
        <w:t>企业名称（盖章）：</w:t>
      </w:r>
      <w:r>
        <w:rPr>
          <w:rFonts w:ascii="宋体" w:hAnsi="宋体"/>
          <w:sz w:val="24"/>
          <w:highlight w:val="none"/>
        </w:rPr>
        <w:t>______</w:t>
      </w:r>
    </w:p>
    <w:p w14:paraId="6C3195F8">
      <w:pPr>
        <w:spacing w:line="360" w:lineRule="auto"/>
        <w:ind w:right="360" w:firstLine="480"/>
        <w:jc w:val="right"/>
        <w:rPr>
          <w:rFonts w:hint="eastAsia" w:ascii="宋体" w:hAnsi="宋体"/>
          <w:color w:val="000000"/>
          <w:sz w:val="24"/>
          <w:highlight w:val="none"/>
        </w:rPr>
      </w:pPr>
      <w:r>
        <w:rPr>
          <w:rFonts w:ascii="宋体" w:hAnsi="宋体"/>
          <w:color w:val="000000"/>
          <w:sz w:val="24"/>
          <w:highlight w:val="none"/>
        </w:rPr>
        <w:t>日 期：</w:t>
      </w:r>
      <w:r>
        <w:rPr>
          <w:rFonts w:ascii="宋体" w:hAnsi="宋体"/>
          <w:sz w:val="24"/>
          <w:highlight w:val="none"/>
        </w:rPr>
        <w:t>______</w:t>
      </w:r>
    </w:p>
    <w:p w14:paraId="45533531">
      <w:pPr>
        <w:adjustRightInd w:val="0"/>
        <w:snapToGrid w:val="0"/>
        <w:jc w:val="left"/>
        <w:rPr>
          <w:rFonts w:hint="eastAsia" w:ascii="宋体" w:hAnsi="宋体"/>
          <w:color w:val="000000"/>
          <w:sz w:val="24"/>
          <w:szCs w:val="21"/>
          <w:highlight w:val="none"/>
        </w:rPr>
      </w:pPr>
    </w:p>
    <w:p w14:paraId="242C7A6F">
      <w:pPr>
        <w:adjustRightInd w:val="0"/>
        <w:snapToGrid w:val="0"/>
        <w:jc w:val="left"/>
        <w:rPr>
          <w:rFonts w:hint="eastAsia" w:ascii="宋体" w:hAnsi="宋体"/>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1654A8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961C1CD">
            <w:pPr>
              <w:adjustRightInd w:val="0"/>
              <w:snapToGrid w:val="0"/>
              <w:jc w:val="left"/>
              <w:rPr>
                <w:rFonts w:hint="eastAsia" w:ascii="宋体" w:hAnsi="宋体"/>
                <w:color w:val="000000"/>
                <w:szCs w:val="21"/>
                <w:highlight w:val="none"/>
              </w:rPr>
            </w:pPr>
            <w:r>
              <w:rPr>
                <w:rFonts w:ascii="宋体" w:hAnsi="宋体"/>
                <w:color w:val="000000"/>
                <w:szCs w:val="21"/>
                <w:highlight w:val="none"/>
                <w:vertAlign w:val="superscript"/>
              </w:rPr>
              <w:t>1</w:t>
            </w:r>
            <w:r>
              <w:rPr>
                <w:rFonts w:ascii="宋体" w:hAnsi="宋体"/>
                <w:color w:val="000000"/>
                <w:szCs w:val="21"/>
                <w:highlight w:val="none"/>
              </w:rPr>
              <w:t>从业人员、营业收入、资产总额填报上一年度数据，无上一年度数据的新成立企业可不填报。</w:t>
            </w:r>
          </w:p>
        </w:tc>
      </w:tr>
    </w:tbl>
    <w:p w14:paraId="48C82DE4">
      <w:pPr>
        <w:adjustRightInd w:val="0"/>
        <w:snapToGrid w:val="0"/>
        <w:jc w:val="left"/>
        <w:rPr>
          <w:rFonts w:hint="eastAsia" w:ascii="宋体" w:hAnsi="宋体"/>
          <w:color w:val="000000"/>
          <w:szCs w:val="21"/>
          <w:highlight w:val="none"/>
          <w:vertAlign w:val="superscript"/>
        </w:rPr>
      </w:pPr>
    </w:p>
    <w:p w14:paraId="429560F7">
      <w:pPr>
        <w:spacing w:line="360" w:lineRule="auto"/>
        <w:ind w:right="360" w:firstLine="480"/>
        <w:jc w:val="right"/>
        <w:rPr>
          <w:rFonts w:hint="eastAsia" w:ascii="宋体" w:hAnsi="宋体"/>
          <w:color w:val="000000"/>
          <w:sz w:val="24"/>
          <w:highlight w:val="none"/>
        </w:rPr>
      </w:pPr>
    </w:p>
    <w:p w14:paraId="77B5B519">
      <w:pPr>
        <w:spacing w:line="360" w:lineRule="auto"/>
        <w:ind w:right="360" w:firstLine="480"/>
        <w:jc w:val="right"/>
        <w:rPr>
          <w:rFonts w:hint="eastAsia" w:ascii="宋体" w:hAnsi="宋体"/>
          <w:color w:val="000000"/>
          <w:sz w:val="24"/>
          <w:highlight w:val="none"/>
        </w:rPr>
      </w:pPr>
    </w:p>
    <w:p w14:paraId="10F18A54">
      <w:pPr>
        <w:spacing w:line="360" w:lineRule="auto"/>
        <w:ind w:right="360" w:firstLine="480"/>
        <w:jc w:val="right"/>
        <w:rPr>
          <w:rFonts w:hint="eastAsia" w:ascii="宋体" w:hAnsi="宋体"/>
          <w:color w:val="000000"/>
          <w:sz w:val="24"/>
          <w:szCs w:val="20"/>
          <w:highlight w:val="none"/>
        </w:rPr>
      </w:pPr>
      <w:r>
        <w:rPr>
          <w:rFonts w:ascii="宋体" w:hAnsi="宋体"/>
          <w:color w:val="000000"/>
          <w:sz w:val="24"/>
          <w:szCs w:val="20"/>
          <w:highlight w:val="none"/>
        </w:rPr>
        <w:br w:type="page"/>
      </w:r>
    </w:p>
    <w:p w14:paraId="1D5470F0">
      <w:pPr>
        <w:spacing w:before="240" w:beforeLines="100" w:after="240" w:afterLines="100" w:line="360" w:lineRule="auto"/>
        <w:jc w:val="center"/>
        <w:rPr>
          <w:rFonts w:hint="eastAsia" w:ascii="宋体" w:hAnsi="宋体"/>
          <w:b/>
          <w:color w:val="000000"/>
          <w:sz w:val="36"/>
          <w:szCs w:val="36"/>
          <w:highlight w:val="none"/>
        </w:rPr>
      </w:pPr>
      <w:r>
        <w:rPr>
          <w:rFonts w:ascii="宋体" w:hAnsi="宋体"/>
          <w:b/>
          <w:bCs/>
          <w:color w:val="000000"/>
          <w:sz w:val="36"/>
          <w:szCs w:val="36"/>
          <w:highlight w:val="none"/>
        </w:rPr>
        <w:t>残疾人福利性单位声明函格式</w:t>
      </w:r>
      <w:r>
        <w:rPr>
          <w:rFonts w:ascii="宋体" w:hAnsi="宋体"/>
          <w:b/>
          <w:color w:val="000000"/>
          <w:sz w:val="36"/>
          <w:szCs w:val="36"/>
          <w:highlight w:val="none"/>
        </w:rPr>
        <w:t xml:space="preserve">       </w:t>
      </w:r>
    </w:p>
    <w:p w14:paraId="4B7D7869">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（请进行选择）</w:t>
      </w:r>
      <w:r>
        <w:rPr>
          <w:rFonts w:ascii="宋体" w:hAnsi="宋体"/>
          <w:spacing w:val="6"/>
          <w:sz w:val="24"/>
          <w:highlight w:val="none"/>
        </w:rPr>
        <w:t>：</w:t>
      </w:r>
    </w:p>
    <w:p w14:paraId="27812A17">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213874F2">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w:t>
      </w:r>
      <w:r>
        <w:rPr>
          <w:rFonts w:ascii="宋体" w:hAnsi="宋体"/>
          <w:sz w:val="24"/>
          <w:highlight w:val="none"/>
        </w:rPr>
        <w:t>______</w:t>
      </w:r>
      <w:r>
        <w:rPr>
          <w:rFonts w:ascii="宋体" w:hAnsi="宋体"/>
          <w:spacing w:val="6"/>
          <w:sz w:val="24"/>
          <w:highlight w:val="none"/>
        </w:rPr>
        <w:t>单位的</w:t>
      </w:r>
      <w:r>
        <w:rPr>
          <w:rFonts w:ascii="宋体" w:hAnsi="宋体"/>
          <w:sz w:val="24"/>
          <w:highlight w:val="none"/>
        </w:rPr>
        <w:t>______</w:t>
      </w:r>
      <w:r>
        <w:rPr>
          <w:rFonts w:ascii="宋体" w:hAnsi="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0DEB316C">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12D3B6FB">
      <w:pPr>
        <w:spacing w:line="588" w:lineRule="exact"/>
        <w:ind w:firstLine="504" w:firstLineChars="200"/>
        <w:rPr>
          <w:rFonts w:hint="eastAsia" w:ascii="宋体" w:hAnsi="宋体"/>
          <w:spacing w:val="6"/>
          <w:sz w:val="24"/>
          <w:highlight w:val="none"/>
        </w:rPr>
      </w:pPr>
    </w:p>
    <w:p w14:paraId="5F1F7E3E">
      <w:pPr>
        <w:spacing w:line="588" w:lineRule="exact"/>
        <w:ind w:firstLine="504" w:firstLineChars="200"/>
        <w:rPr>
          <w:rFonts w:hint="eastAsia" w:ascii="宋体" w:hAnsi="宋体"/>
          <w:spacing w:val="6"/>
          <w:sz w:val="24"/>
          <w:highlight w:val="none"/>
        </w:rPr>
      </w:pPr>
    </w:p>
    <w:p w14:paraId="563B002A">
      <w:pPr>
        <w:tabs>
          <w:tab w:val="left" w:pos="4860"/>
        </w:tabs>
        <w:spacing w:line="588" w:lineRule="exact"/>
        <w:ind w:right="1560" w:firstLine="504" w:firstLineChars="200"/>
        <w:jc w:val="right"/>
        <w:rPr>
          <w:rFonts w:hint="eastAsia" w:ascii="宋体" w:hAnsi="宋体"/>
          <w:spacing w:val="6"/>
          <w:sz w:val="24"/>
          <w:highlight w:val="none"/>
        </w:rPr>
      </w:pPr>
      <w:r>
        <w:rPr>
          <w:rFonts w:ascii="宋体" w:hAnsi="宋体"/>
          <w:spacing w:val="6"/>
          <w:sz w:val="24"/>
          <w:highlight w:val="none"/>
        </w:rPr>
        <w:t xml:space="preserve">          单位名称（盖章）：</w:t>
      </w:r>
      <w:r>
        <w:rPr>
          <w:rFonts w:ascii="宋体" w:hAnsi="宋体"/>
          <w:sz w:val="24"/>
          <w:highlight w:val="none"/>
        </w:rPr>
        <w:t>______</w:t>
      </w:r>
    </w:p>
    <w:p w14:paraId="30823DD3">
      <w:pPr>
        <w:tabs>
          <w:tab w:val="left" w:pos="4860"/>
        </w:tabs>
        <w:spacing w:line="588" w:lineRule="exact"/>
        <w:ind w:right="1560" w:firstLine="504" w:firstLineChars="200"/>
        <w:jc w:val="right"/>
        <w:rPr>
          <w:rFonts w:hint="eastAsia" w:ascii="宋体" w:hAnsi="宋体"/>
          <w:spacing w:val="6"/>
          <w:sz w:val="24"/>
          <w:highlight w:val="none"/>
        </w:rPr>
      </w:pPr>
      <w:r>
        <w:rPr>
          <w:rFonts w:ascii="宋体" w:hAnsi="宋体"/>
          <w:spacing w:val="6"/>
          <w:sz w:val="24"/>
          <w:highlight w:val="none"/>
        </w:rPr>
        <w:t xml:space="preserve">       日  期：</w:t>
      </w:r>
      <w:r>
        <w:rPr>
          <w:rFonts w:ascii="宋体" w:hAnsi="宋体"/>
          <w:sz w:val="24"/>
          <w:highlight w:val="none"/>
        </w:rPr>
        <w:t>______</w:t>
      </w:r>
    </w:p>
    <w:p w14:paraId="0F8A9714">
      <w:pPr>
        <w:widowControl/>
        <w:jc w:val="left"/>
        <w:rPr>
          <w:rFonts w:hint="eastAsia" w:ascii="宋体" w:hAnsi="宋体"/>
          <w:color w:val="000000"/>
          <w:sz w:val="24"/>
          <w:szCs w:val="20"/>
          <w:highlight w:val="none"/>
        </w:rPr>
      </w:pPr>
      <w:r>
        <w:rPr>
          <w:rFonts w:ascii="宋体" w:hAnsi="宋体"/>
          <w:color w:val="000000"/>
          <w:sz w:val="24"/>
          <w:szCs w:val="20"/>
          <w:highlight w:val="none"/>
        </w:rPr>
        <w:br w:type="page"/>
      </w:r>
    </w:p>
    <w:p w14:paraId="52D2A26C">
      <w:pPr>
        <w:pStyle w:val="6"/>
        <w:rPr>
          <w:rFonts w:hint="eastAsia" w:ascii="宋体" w:hAnsi="宋体" w:eastAsia="宋体"/>
          <w:b w:val="0"/>
          <w:color w:val="000000"/>
          <w:sz w:val="24"/>
          <w:highlight w:val="none"/>
        </w:rPr>
      </w:pPr>
      <w:r>
        <w:rPr>
          <w:rFonts w:ascii="宋体" w:hAnsi="宋体" w:eastAsia="宋体"/>
          <w:b w:val="0"/>
          <w:color w:val="000000"/>
          <w:sz w:val="24"/>
          <w:highlight w:val="none"/>
        </w:rPr>
        <w:t>2-1-2 拟分包情况说明及分包意向协议</w:t>
      </w:r>
    </w:p>
    <w:p w14:paraId="75ADE000">
      <w:pPr>
        <w:tabs>
          <w:tab w:val="left" w:pos="5580"/>
        </w:tabs>
        <w:spacing w:line="360" w:lineRule="auto"/>
        <w:rPr>
          <w:rFonts w:hint="eastAsia" w:ascii="宋体" w:hAnsi="宋体"/>
          <w:sz w:val="24"/>
          <w:highlight w:val="none"/>
        </w:rPr>
      </w:pPr>
      <w:r>
        <w:rPr>
          <w:rFonts w:ascii="宋体" w:hAnsi="宋体"/>
          <w:sz w:val="24"/>
          <w:highlight w:val="none"/>
        </w:rPr>
        <w:t>说明：</w:t>
      </w:r>
    </w:p>
    <w:p w14:paraId="2A7746E1">
      <w:pPr>
        <w:tabs>
          <w:tab w:val="left" w:pos="5580"/>
        </w:tabs>
        <w:spacing w:line="360" w:lineRule="auto"/>
        <w:rPr>
          <w:rFonts w:hint="eastAsia" w:ascii="宋体" w:hAnsi="宋体"/>
          <w:sz w:val="24"/>
          <w:highlight w:val="none"/>
        </w:rPr>
      </w:pPr>
      <w:r>
        <w:rPr>
          <w:rFonts w:ascii="宋体" w:hAnsi="宋体"/>
          <w:sz w:val="24"/>
          <w:highlight w:val="none"/>
        </w:rPr>
        <w:t>如本项目（包）允许分包，且供应商拟进行分包时</w:t>
      </w:r>
      <w:r>
        <w:rPr>
          <w:rFonts w:hint="eastAsia" w:ascii="宋体" w:hAnsi="宋体"/>
          <w:sz w:val="24"/>
          <w:highlight w:val="none"/>
        </w:rPr>
        <w:t>：</w:t>
      </w:r>
    </w:p>
    <w:p w14:paraId="3CE6E85A">
      <w:pPr>
        <w:tabs>
          <w:tab w:val="left" w:pos="5580"/>
        </w:tabs>
        <w:spacing w:line="360" w:lineRule="auto"/>
        <w:rPr>
          <w:rFonts w:hint="eastAsia" w:ascii="宋体" w:hAnsi="宋体"/>
          <w:sz w:val="24"/>
          <w:highlight w:val="none"/>
        </w:rPr>
      </w:pPr>
      <w:r>
        <w:rPr>
          <w:rFonts w:ascii="宋体" w:hAnsi="宋体"/>
          <w:sz w:val="24"/>
          <w:highlight w:val="none"/>
        </w:rPr>
        <w:t>（1）响应文件中须提供《拟分包情况说明》，否则</w:t>
      </w:r>
      <w:r>
        <w:rPr>
          <w:rFonts w:ascii="宋体" w:hAnsi="宋体"/>
          <w:b/>
          <w:sz w:val="24"/>
          <w:highlight w:val="none"/>
        </w:rPr>
        <w:t>响应无效</w:t>
      </w:r>
      <w:r>
        <w:rPr>
          <w:rFonts w:ascii="宋体" w:hAnsi="宋体"/>
          <w:sz w:val="24"/>
          <w:highlight w:val="none"/>
        </w:rPr>
        <w:t>；</w:t>
      </w:r>
    </w:p>
    <w:p w14:paraId="016C8A88">
      <w:pPr>
        <w:tabs>
          <w:tab w:val="left" w:pos="5580"/>
        </w:tabs>
        <w:spacing w:line="360" w:lineRule="auto"/>
        <w:rPr>
          <w:rFonts w:hint="eastAsia" w:ascii="宋体" w:hAnsi="宋体"/>
          <w:sz w:val="24"/>
          <w:highlight w:val="none"/>
        </w:rPr>
      </w:pPr>
      <w:r>
        <w:rPr>
          <w:rFonts w:ascii="宋体" w:hAnsi="宋体"/>
          <w:sz w:val="24"/>
          <w:highlight w:val="none"/>
        </w:rPr>
        <w:t>（2）当同时符合下列情形时，响应文件还须提供《分包意向协议》，否则</w:t>
      </w:r>
      <w:r>
        <w:rPr>
          <w:rFonts w:ascii="宋体" w:hAnsi="宋体"/>
          <w:b/>
          <w:sz w:val="24"/>
          <w:highlight w:val="none"/>
        </w:rPr>
        <w:t>响应无效</w:t>
      </w:r>
      <w:r>
        <w:rPr>
          <w:rFonts w:ascii="宋体" w:hAnsi="宋体"/>
          <w:sz w:val="24"/>
          <w:highlight w:val="none"/>
        </w:rPr>
        <w:t>：</w:t>
      </w:r>
    </w:p>
    <w:p w14:paraId="3C0B41F9">
      <w:pPr>
        <w:tabs>
          <w:tab w:val="left" w:pos="5580"/>
        </w:tabs>
        <w:spacing w:line="360" w:lineRule="auto"/>
        <w:ind w:left="567" w:leftChars="270"/>
        <w:rPr>
          <w:rFonts w:hint="eastAsia" w:ascii="宋体" w:hAnsi="宋体"/>
          <w:sz w:val="24"/>
          <w:highlight w:val="none"/>
        </w:rPr>
      </w:pPr>
      <w:r>
        <w:rPr>
          <w:rFonts w:ascii="宋体" w:hAnsi="宋体"/>
          <w:sz w:val="24"/>
          <w:highlight w:val="none"/>
        </w:rPr>
        <w:t>A. 本项目（包）预留部分采购项目预算专门面向中小企业采购，且要求获得采购合同的供应商将采购项目中的一定比例分包给一家或者多家中小企业的；</w:t>
      </w:r>
    </w:p>
    <w:p w14:paraId="16EEBAA3">
      <w:pPr>
        <w:tabs>
          <w:tab w:val="left" w:pos="5580"/>
        </w:tabs>
        <w:spacing w:line="360" w:lineRule="auto"/>
        <w:ind w:left="567" w:leftChars="270"/>
        <w:rPr>
          <w:rFonts w:hint="eastAsia" w:ascii="宋体" w:hAnsi="宋体"/>
          <w:sz w:val="24"/>
          <w:highlight w:val="none"/>
        </w:rPr>
      </w:pPr>
      <w:r>
        <w:rPr>
          <w:rFonts w:ascii="宋体" w:hAnsi="宋体"/>
          <w:sz w:val="24"/>
          <w:highlight w:val="none"/>
        </w:rPr>
        <w:t>B. 供应商通过分包方式满足中小企业政策要求的。</w:t>
      </w:r>
    </w:p>
    <w:p w14:paraId="5F7AC19A">
      <w:pPr>
        <w:autoSpaceDE w:val="0"/>
        <w:autoSpaceDN w:val="0"/>
        <w:adjustRightInd w:val="0"/>
        <w:rPr>
          <w:rFonts w:hint="eastAsia" w:ascii="宋体" w:hAnsi="宋体"/>
          <w:color w:val="000000"/>
          <w:sz w:val="30"/>
          <w:szCs w:val="30"/>
          <w:highlight w:val="none"/>
        </w:rPr>
      </w:pPr>
    </w:p>
    <w:p w14:paraId="0362083E">
      <w:pPr>
        <w:widowControl/>
        <w:jc w:val="left"/>
        <w:rPr>
          <w:rFonts w:hint="eastAsia" w:ascii="宋体" w:hAnsi="宋体"/>
          <w:b/>
          <w:color w:val="000000"/>
          <w:sz w:val="36"/>
          <w:szCs w:val="36"/>
          <w:highlight w:val="none"/>
        </w:rPr>
      </w:pPr>
      <w:r>
        <w:rPr>
          <w:rFonts w:ascii="宋体" w:hAnsi="宋体"/>
          <w:b/>
          <w:color w:val="000000"/>
          <w:sz w:val="36"/>
          <w:szCs w:val="36"/>
          <w:highlight w:val="none"/>
        </w:rPr>
        <w:br w:type="page"/>
      </w:r>
    </w:p>
    <w:p w14:paraId="62E2D716">
      <w:pPr>
        <w:autoSpaceDE w:val="0"/>
        <w:autoSpaceDN w:val="0"/>
        <w:adjustRightInd w:val="0"/>
        <w:spacing w:line="360" w:lineRule="auto"/>
        <w:jc w:val="center"/>
        <w:rPr>
          <w:rFonts w:hint="eastAsia" w:ascii="宋体" w:hAnsi="宋体"/>
          <w:b/>
          <w:color w:val="000000"/>
          <w:sz w:val="36"/>
          <w:szCs w:val="36"/>
          <w:highlight w:val="none"/>
        </w:rPr>
      </w:pPr>
      <w:r>
        <w:rPr>
          <w:rFonts w:ascii="宋体" w:hAnsi="宋体"/>
          <w:b/>
          <w:color w:val="000000"/>
          <w:sz w:val="36"/>
          <w:szCs w:val="36"/>
          <w:highlight w:val="none"/>
        </w:rPr>
        <w:t>拟分包情况说明</w:t>
      </w:r>
    </w:p>
    <w:p w14:paraId="33625969">
      <w:pPr>
        <w:tabs>
          <w:tab w:val="left" w:pos="5580"/>
        </w:tabs>
        <w:spacing w:line="360" w:lineRule="auto"/>
        <w:rPr>
          <w:rFonts w:hint="eastAsia" w:ascii="宋体" w:hAnsi="宋体"/>
          <w:color w:val="000000"/>
          <w:sz w:val="24"/>
          <w:highlight w:val="none"/>
        </w:rPr>
      </w:pPr>
      <w:r>
        <w:rPr>
          <w:rFonts w:ascii="宋体" w:hAnsi="宋体"/>
          <w:color w:val="000000"/>
          <w:sz w:val="24"/>
          <w:highlight w:val="none"/>
        </w:rPr>
        <w:t>致：</w:t>
      </w:r>
      <w:r>
        <w:rPr>
          <w:rFonts w:ascii="宋体" w:hAnsi="宋体"/>
          <w:color w:val="000000"/>
          <w:sz w:val="24"/>
          <w:highlight w:val="none"/>
          <w:u w:val="single"/>
        </w:rPr>
        <w:t>（采购人或采购代理机构）</w:t>
      </w:r>
    </w:p>
    <w:p w14:paraId="5F0CD2A1">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6394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9F96141">
            <w:pPr>
              <w:pStyle w:val="246"/>
              <w:jc w:val="center"/>
              <w:rPr>
                <w:rFonts w:hint="eastAsia" w:cs="Times New Roman" w:eastAsiaTheme="minorEastAsia"/>
                <w:sz w:val="24"/>
                <w:highlight w:val="none"/>
              </w:rPr>
            </w:pPr>
            <w:r>
              <w:rPr>
                <w:rFonts w:cs="Times New Roman" w:eastAsiaTheme="minor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3F14AA45">
            <w:pPr>
              <w:pStyle w:val="246"/>
              <w:jc w:val="center"/>
              <w:rPr>
                <w:rFonts w:hint="eastAsia" w:cs="Times New Roman" w:eastAsiaTheme="minorEastAsia"/>
                <w:sz w:val="24"/>
                <w:highlight w:val="none"/>
              </w:rPr>
            </w:pPr>
            <w:r>
              <w:rPr>
                <w:rFonts w:cs="Times New Roman" w:eastAsiaTheme="minorEastAsia"/>
                <w:sz w:val="24"/>
                <w:highlight w:val="none"/>
              </w:rPr>
              <w:t>分包承担</w:t>
            </w:r>
          </w:p>
          <w:p w14:paraId="16D4E0A0">
            <w:pPr>
              <w:pStyle w:val="246"/>
              <w:jc w:val="center"/>
              <w:rPr>
                <w:rFonts w:hint="eastAsia" w:cs="Times New Roman" w:eastAsiaTheme="minorEastAsia"/>
                <w:sz w:val="24"/>
                <w:highlight w:val="none"/>
              </w:rPr>
            </w:pPr>
            <w:r>
              <w:rPr>
                <w:rFonts w:cs="Times New Roman" w:eastAsiaTheme="minor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7FBA1F81">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分包承担</w:t>
            </w:r>
          </w:p>
          <w:p w14:paraId="22579FB6">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主体类型</w:t>
            </w:r>
          </w:p>
          <w:p w14:paraId="1696C8BC">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19F8FF1">
            <w:pPr>
              <w:pStyle w:val="246"/>
              <w:jc w:val="center"/>
              <w:rPr>
                <w:rFonts w:hint="eastAsia" w:cs="Times New Roman" w:eastAsiaTheme="minorEastAsia"/>
                <w:sz w:val="24"/>
                <w:highlight w:val="none"/>
              </w:rPr>
            </w:pPr>
            <w:r>
              <w:rPr>
                <w:rFonts w:cs="Times New Roman" w:eastAsiaTheme="minor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161DA81">
            <w:pPr>
              <w:pStyle w:val="246"/>
              <w:jc w:val="center"/>
              <w:rPr>
                <w:rFonts w:hint="eastAsia" w:cs="Times New Roman" w:eastAsiaTheme="minorEastAsia"/>
                <w:sz w:val="24"/>
                <w:highlight w:val="none"/>
              </w:rPr>
            </w:pPr>
            <w:r>
              <w:rPr>
                <w:rFonts w:cs="Times New Roman" w:eastAsiaTheme="minorEastAsia"/>
                <w:sz w:val="24"/>
                <w:highlight w:val="none"/>
              </w:rPr>
              <w:t>拟分包</w:t>
            </w:r>
          </w:p>
          <w:p w14:paraId="32086B6B">
            <w:pPr>
              <w:pStyle w:val="246"/>
              <w:jc w:val="center"/>
              <w:rPr>
                <w:rFonts w:hint="eastAsia" w:cs="Times New Roman" w:eastAsiaTheme="minorEastAsia"/>
                <w:sz w:val="24"/>
                <w:highlight w:val="none"/>
              </w:rPr>
            </w:pPr>
            <w:r>
              <w:rPr>
                <w:rFonts w:cs="Times New Roman" w:eastAsiaTheme="minor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80DB893">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拟分包</w:t>
            </w:r>
          </w:p>
          <w:p w14:paraId="116E8492">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合同金额</w:t>
            </w:r>
          </w:p>
          <w:p w14:paraId="57E08C1C">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C6BFB6A">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占该采购包</w:t>
            </w:r>
          </w:p>
          <w:p w14:paraId="35990B44">
            <w:pPr>
              <w:pStyle w:val="246"/>
              <w:jc w:val="center"/>
              <w:rPr>
                <w:rFonts w:hint="eastAsia" w:cs="Times New Roman" w:eastAsiaTheme="minorEastAsia"/>
                <w:b/>
                <w:sz w:val="24"/>
                <w:highlight w:val="none"/>
                <w:lang w:eastAsia="zh-CN"/>
              </w:rPr>
            </w:pPr>
            <w:r>
              <w:rPr>
                <w:rFonts w:cs="Times New Roman" w:eastAsiaTheme="minorEastAsia"/>
                <w:b/>
                <w:sz w:val="24"/>
                <w:highlight w:val="none"/>
                <w:lang w:eastAsia="zh-CN"/>
              </w:rPr>
              <w:t>合同金额的</w:t>
            </w:r>
          </w:p>
          <w:p w14:paraId="4B520FE9">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比例（%）</w:t>
            </w:r>
          </w:p>
        </w:tc>
      </w:tr>
      <w:tr w14:paraId="7DB9C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D5FD2B7">
            <w:pPr>
              <w:pStyle w:val="246"/>
              <w:jc w:val="center"/>
              <w:rPr>
                <w:rFonts w:hint="eastAsia" w:cs="Times New Roman" w:eastAsiaTheme="minorEastAsia"/>
                <w:sz w:val="24"/>
                <w:highlight w:val="none"/>
              </w:rPr>
            </w:pPr>
            <w:r>
              <w:rPr>
                <w:rFonts w:cs="Times New Roman" w:eastAsiaTheme="minorEastAsia"/>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6023A48C">
            <w:pPr>
              <w:pStyle w:val="246"/>
              <w:jc w:val="center"/>
              <w:rPr>
                <w:rFonts w:hint="eastAsia"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26C889E">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□中型企业</w:t>
            </w:r>
          </w:p>
          <w:p w14:paraId="28C1F59C">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□小微企业</w:t>
            </w:r>
          </w:p>
          <w:p w14:paraId="33F81DD7">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09D9579">
            <w:pPr>
              <w:pStyle w:val="246"/>
              <w:jc w:val="center"/>
              <w:rPr>
                <w:rFonts w:hint="eastAsia"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87C3107">
            <w:pPr>
              <w:pStyle w:val="246"/>
              <w:jc w:val="center"/>
              <w:rPr>
                <w:rFonts w:hint="eastAsia"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F71ACDD">
            <w:pPr>
              <w:pStyle w:val="246"/>
              <w:jc w:val="center"/>
              <w:rPr>
                <w:rFonts w:hint="eastAsia"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7017387">
            <w:pPr>
              <w:pStyle w:val="246"/>
              <w:jc w:val="center"/>
              <w:rPr>
                <w:rFonts w:hint="eastAsia" w:cs="Times New Roman" w:eastAsiaTheme="minorEastAsia"/>
                <w:sz w:val="30"/>
                <w:highlight w:val="none"/>
                <w:lang w:eastAsia="zh-CN"/>
              </w:rPr>
            </w:pPr>
          </w:p>
        </w:tc>
      </w:tr>
      <w:tr w14:paraId="1F23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A610ADF">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57EAFEAD">
            <w:pPr>
              <w:pStyle w:val="246"/>
              <w:jc w:val="center"/>
              <w:rPr>
                <w:rFonts w:hint="eastAsia"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D3921BD">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□中型企业</w:t>
            </w:r>
          </w:p>
          <w:p w14:paraId="43D04945">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□小微企业</w:t>
            </w:r>
          </w:p>
          <w:p w14:paraId="2897AE6A">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E0AE3E2">
            <w:pPr>
              <w:pStyle w:val="246"/>
              <w:jc w:val="center"/>
              <w:rPr>
                <w:rFonts w:hint="eastAsia" w:cs="Times New Roman" w:eastAsiaTheme="minorEastAsia"/>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2D54AF6">
            <w:pPr>
              <w:pStyle w:val="246"/>
              <w:jc w:val="center"/>
              <w:rPr>
                <w:rFonts w:hint="eastAsia" w:cs="Times New Roman" w:eastAsiaTheme="minorEastAsia"/>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BA9B4DB">
            <w:pPr>
              <w:pStyle w:val="246"/>
              <w:jc w:val="center"/>
              <w:rPr>
                <w:rFonts w:hint="eastAsia" w:cs="Times New Roman" w:eastAsiaTheme="minorEastAsia"/>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88C0835">
            <w:pPr>
              <w:pStyle w:val="246"/>
              <w:jc w:val="center"/>
              <w:rPr>
                <w:rFonts w:hint="eastAsia" w:cs="Times New Roman" w:eastAsiaTheme="minorEastAsia"/>
                <w:sz w:val="30"/>
                <w:highlight w:val="none"/>
                <w:lang w:eastAsia="zh-CN"/>
              </w:rPr>
            </w:pPr>
          </w:p>
        </w:tc>
      </w:tr>
      <w:tr w14:paraId="0B62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3DD3C75">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9652520">
            <w:pPr>
              <w:pStyle w:val="246"/>
              <w:jc w:val="center"/>
              <w:rPr>
                <w:rFonts w:hint="eastAsia" w:cs="Times New Roman" w:eastAsiaTheme="minorEastAsia"/>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84E278C">
            <w:pPr>
              <w:pStyle w:val="246"/>
              <w:tabs>
                <w:tab w:val="left" w:pos="235"/>
              </w:tabs>
              <w:jc w:val="center"/>
              <w:rPr>
                <w:rFonts w:hint="eastAsia" w:cs="Times New Roman" w:eastAsiaTheme="minor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950076A">
            <w:pPr>
              <w:pStyle w:val="246"/>
              <w:jc w:val="center"/>
              <w:rPr>
                <w:rFonts w:hint="eastAsia" w:cs="Times New Roman" w:eastAsiaTheme="minorEastAsia"/>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E395A62">
            <w:pPr>
              <w:pStyle w:val="246"/>
              <w:jc w:val="center"/>
              <w:rPr>
                <w:rFonts w:hint="eastAsia" w:cs="Times New Roman" w:eastAsiaTheme="minorEastAsia"/>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94D123B">
            <w:pPr>
              <w:pStyle w:val="246"/>
              <w:jc w:val="center"/>
              <w:rPr>
                <w:rFonts w:hint="eastAsia"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CC136DA">
            <w:pPr>
              <w:pStyle w:val="246"/>
              <w:jc w:val="center"/>
              <w:rPr>
                <w:rFonts w:hint="eastAsia" w:cs="Times New Roman" w:eastAsiaTheme="minorEastAsia"/>
                <w:sz w:val="30"/>
                <w:highlight w:val="none"/>
              </w:rPr>
            </w:pPr>
          </w:p>
        </w:tc>
      </w:tr>
      <w:tr w14:paraId="13C9D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F4E5D49">
            <w:pPr>
              <w:pStyle w:val="246"/>
              <w:ind w:right="57" w:rightChars="27"/>
              <w:jc w:val="right"/>
              <w:rPr>
                <w:rFonts w:hint="eastAsia" w:cs="Times New Roman" w:eastAsiaTheme="minorEastAsia"/>
                <w:sz w:val="24"/>
                <w:highlight w:val="none"/>
                <w:lang w:eastAsia="zh-CN"/>
              </w:rPr>
            </w:pPr>
            <w:r>
              <w:rPr>
                <w:rFonts w:cs="Times New Roman" w:eastAsiaTheme="minor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0C5D9802">
            <w:pPr>
              <w:pStyle w:val="246"/>
              <w:jc w:val="center"/>
              <w:rPr>
                <w:rFonts w:hint="eastAsia" w:cs="Times New Roman" w:eastAsiaTheme="minorEastAsia"/>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D9D3A12">
            <w:pPr>
              <w:pStyle w:val="246"/>
              <w:jc w:val="center"/>
              <w:rPr>
                <w:rFonts w:hint="eastAsia" w:cs="Times New Roman" w:eastAsiaTheme="minorEastAsia"/>
                <w:sz w:val="30"/>
                <w:highlight w:val="none"/>
              </w:rPr>
            </w:pPr>
          </w:p>
        </w:tc>
      </w:tr>
    </w:tbl>
    <w:p w14:paraId="4070690B">
      <w:pPr>
        <w:adjustRightInd w:val="0"/>
        <w:snapToGrid w:val="0"/>
        <w:spacing w:line="360" w:lineRule="auto"/>
        <w:jc w:val="left"/>
        <w:rPr>
          <w:rFonts w:hint="eastAsia" w:ascii="宋体" w:hAnsi="宋体"/>
          <w:sz w:val="24"/>
          <w:highlight w:val="none"/>
        </w:rPr>
      </w:pPr>
    </w:p>
    <w:p w14:paraId="337AA98F">
      <w:pPr>
        <w:autoSpaceDE w:val="0"/>
        <w:autoSpaceDN w:val="0"/>
        <w:adjustRightInd w:val="0"/>
        <w:snapToGrid w:val="0"/>
        <w:spacing w:before="25" w:after="25" w:line="360" w:lineRule="auto"/>
        <w:jc w:val="right"/>
        <w:rPr>
          <w:rFonts w:hint="eastAsia"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03C78F45">
      <w:pPr>
        <w:spacing w:line="360" w:lineRule="auto"/>
        <w:ind w:right="-57" w:firstLine="480"/>
        <w:jc w:val="right"/>
        <w:rPr>
          <w:rFonts w:hint="eastAsia" w:ascii="宋体" w:hAnsi="宋体"/>
          <w:color w:val="000000"/>
          <w:sz w:val="24"/>
          <w:highlight w:val="none"/>
        </w:rPr>
      </w:pPr>
      <w:r>
        <w:rPr>
          <w:rFonts w:ascii="宋体" w:hAnsi="宋体"/>
          <w:color w:val="000000"/>
          <w:sz w:val="24"/>
          <w:szCs w:val="20"/>
          <w:highlight w:val="none"/>
        </w:rPr>
        <w:t>日期：</w:t>
      </w:r>
      <w:r>
        <w:rPr>
          <w:rFonts w:ascii="宋体" w:hAnsi="宋体"/>
          <w:sz w:val="24"/>
          <w:highlight w:val="none"/>
        </w:rPr>
        <w:t>___</w:t>
      </w:r>
      <w:r>
        <w:rPr>
          <w:rFonts w:ascii="宋体" w:hAnsi="宋体"/>
          <w:color w:val="000000"/>
          <w:sz w:val="24"/>
          <w:szCs w:val="20"/>
          <w:highlight w:val="none"/>
        </w:rPr>
        <w:t>年</w:t>
      </w:r>
      <w:r>
        <w:rPr>
          <w:rFonts w:ascii="宋体" w:hAnsi="宋体"/>
          <w:sz w:val="24"/>
          <w:highlight w:val="none"/>
        </w:rPr>
        <w:t>___</w:t>
      </w:r>
      <w:r>
        <w:rPr>
          <w:rFonts w:ascii="宋体" w:hAnsi="宋体"/>
          <w:color w:val="000000"/>
          <w:sz w:val="24"/>
          <w:szCs w:val="20"/>
          <w:highlight w:val="none"/>
        </w:rPr>
        <w:t>月</w:t>
      </w:r>
      <w:r>
        <w:rPr>
          <w:rFonts w:ascii="宋体" w:hAnsi="宋体"/>
          <w:sz w:val="24"/>
          <w:highlight w:val="none"/>
        </w:rPr>
        <w:t>___</w:t>
      </w:r>
      <w:r>
        <w:rPr>
          <w:rFonts w:ascii="宋体" w:hAnsi="宋体"/>
          <w:color w:val="000000"/>
          <w:sz w:val="24"/>
          <w:szCs w:val="20"/>
          <w:highlight w:val="none"/>
        </w:rPr>
        <w:t>日</w:t>
      </w:r>
    </w:p>
    <w:p w14:paraId="19D00603">
      <w:pPr>
        <w:adjustRightInd w:val="0"/>
        <w:snapToGrid w:val="0"/>
        <w:spacing w:line="360" w:lineRule="auto"/>
        <w:jc w:val="left"/>
        <w:rPr>
          <w:rFonts w:hint="eastAsia" w:ascii="宋体" w:hAnsi="宋体"/>
          <w:sz w:val="24"/>
          <w:highlight w:val="none"/>
        </w:rPr>
      </w:pPr>
    </w:p>
    <w:p w14:paraId="5C83608D">
      <w:pPr>
        <w:adjustRightInd w:val="0"/>
        <w:snapToGrid w:val="0"/>
        <w:spacing w:line="360" w:lineRule="auto"/>
        <w:jc w:val="left"/>
        <w:rPr>
          <w:rFonts w:hint="eastAsia" w:ascii="宋体" w:hAnsi="宋体"/>
          <w:sz w:val="24"/>
          <w:highlight w:val="none"/>
        </w:rPr>
      </w:pPr>
      <w:r>
        <w:rPr>
          <w:rFonts w:ascii="宋体" w:hAnsi="宋体"/>
          <w:sz w:val="24"/>
          <w:highlight w:val="none"/>
        </w:rPr>
        <w:t>注：</w:t>
      </w:r>
    </w:p>
    <w:p w14:paraId="371BFBA8">
      <w:pPr>
        <w:adjustRightInd w:val="0"/>
        <w:snapToGrid w:val="0"/>
        <w:spacing w:line="360" w:lineRule="auto"/>
        <w:jc w:val="left"/>
        <w:rPr>
          <w:rFonts w:hint="eastAsia" w:ascii="宋体" w:hAnsi="宋体"/>
          <w:sz w:val="24"/>
          <w:highlight w:val="none"/>
        </w:rPr>
      </w:pPr>
      <w:r>
        <w:rPr>
          <w:rFonts w:ascii="宋体" w:hAnsi="宋体"/>
          <w:sz w:val="24"/>
          <w:highlight w:val="none"/>
        </w:rPr>
        <w:t>（1）当供应商属于本部分说明中第（1）类情形，如未提供《拟分包情况说明》，或提供了《拟分包情况说明》但未填写分包承担主体名称、拟分包合同内容、拟分包合同金额，其</w:t>
      </w:r>
      <w:r>
        <w:rPr>
          <w:rFonts w:ascii="宋体" w:hAnsi="宋体"/>
          <w:b/>
          <w:sz w:val="24"/>
          <w:highlight w:val="none"/>
        </w:rPr>
        <w:t>响应无效</w:t>
      </w:r>
      <w:r>
        <w:rPr>
          <w:rFonts w:ascii="宋体" w:hAnsi="宋体"/>
          <w:sz w:val="24"/>
          <w:highlight w:val="none"/>
        </w:rPr>
        <w:t>；</w:t>
      </w:r>
    </w:p>
    <w:p w14:paraId="47922E3A">
      <w:pPr>
        <w:adjustRightInd w:val="0"/>
        <w:snapToGrid w:val="0"/>
        <w:spacing w:line="360" w:lineRule="auto"/>
        <w:jc w:val="left"/>
        <w:rPr>
          <w:rFonts w:hint="eastAsia" w:ascii="宋体" w:hAnsi="宋体"/>
          <w:sz w:val="24"/>
          <w:highlight w:val="none"/>
        </w:rPr>
      </w:pPr>
      <w:r>
        <w:rPr>
          <w:rFonts w:ascii="宋体" w:hAnsi="宋体"/>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ascii="宋体" w:hAnsi="宋体"/>
          <w:b/>
          <w:sz w:val="24"/>
          <w:highlight w:val="none"/>
        </w:rPr>
        <w:t>响应无效</w:t>
      </w:r>
      <w:r>
        <w:rPr>
          <w:rFonts w:ascii="宋体" w:hAnsi="宋体"/>
          <w:sz w:val="24"/>
          <w:highlight w:val="none"/>
        </w:rPr>
        <w:t>；</w:t>
      </w:r>
    </w:p>
    <w:p w14:paraId="4E044AE0">
      <w:pPr>
        <w:adjustRightInd w:val="0"/>
        <w:snapToGrid w:val="0"/>
        <w:spacing w:line="360" w:lineRule="auto"/>
        <w:jc w:val="left"/>
        <w:rPr>
          <w:rFonts w:hint="eastAsia" w:ascii="宋体" w:hAnsi="宋体"/>
          <w:sz w:val="24"/>
          <w:highlight w:val="none"/>
        </w:rPr>
      </w:pPr>
      <w:r>
        <w:rPr>
          <w:rFonts w:ascii="宋体" w:hAnsi="宋体"/>
          <w:sz w:val="24"/>
          <w:highlight w:val="none"/>
        </w:rPr>
        <w:t>（3）如本采购文件《供应商须知资料表》载明本项目分包承担主体应具备的相应资质条件，则供应商须在本表中列明分包承担主体的资质等级，并后附资质证书电子件，否则</w:t>
      </w:r>
      <w:r>
        <w:rPr>
          <w:rFonts w:ascii="宋体" w:hAnsi="宋体"/>
          <w:b/>
          <w:sz w:val="24"/>
          <w:highlight w:val="none"/>
        </w:rPr>
        <w:t>响应无效</w:t>
      </w:r>
      <w:r>
        <w:rPr>
          <w:rFonts w:ascii="宋体" w:hAnsi="宋体"/>
          <w:sz w:val="24"/>
          <w:highlight w:val="none"/>
        </w:rPr>
        <w:t>。</w:t>
      </w:r>
    </w:p>
    <w:p w14:paraId="15B94B1E">
      <w:pPr>
        <w:autoSpaceDE w:val="0"/>
        <w:autoSpaceDN w:val="0"/>
        <w:adjustRightInd w:val="0"/>
        <w:spacing w:line="360" w:lineRule="auto"/>
        <w:jc w:val="center"/>
        <w:rPr>
          <w:rFonts w:hint="eastAsia" w:ascii="宋体" w:hAnsi="宋体"/>
          <w:b/>
          <w:color w:val="000000"/>
          <w:sz w:val="36"/>
          <w:szCs w:val="36"/>
          <w:highlight w:val="none"/>
        </w:rPr>
      </w:pPr>
      <w:r>
        <w:rPr>
          <w:rFonts w:ascii="宋体" w:hAnsi="宋体"/>
          <w:color w:val="000000"/>
          <w:sz w:val="30"/>
          <w:szCs w:val="30"/>
          <w:highlight w:val="none"/>
        </w:rPr>
        <w:br w:type="page"/>
      </w:r>
      <w:r>
        <w:rPr>
          <w:rFonts w:ascii="宋体" w:hAnsi="宋体"/>
          <w:b/>
          <w:color w:val="000000"/>
          <w:sz w:val="36"/>
          <w:szCs w:val="36"/>
          <w:highlight w:val="none"/>
        </w:rPr>
        <w:t>分包意向协议</w:t>
      </w:r>
    </w:p>
    <w:p w14:paraId="00838C47">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甲方（供应商）：______</w:t>
      </w:r>
    </w:p>
    <w:p w14:paraId="51A9331E">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乙方（拟分包单位）：______</w:t>
      </w:r>
    </w:p>
    <w:p w14:paraId="631AEFFF">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甲方承诺，一旦在______（采购项目名称）（项目编号/包号为：______）采购项目中获得采购合同，将按照下述约定将合同项下部分内容分包给乙方：</w:t>
      </w:r>
    </w:p>
    <w:p w14:paraId="1B75F6BC">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1.分包内容：______。</w:t>
      </w:r>
    </w:p>
    <w:p w14:paraId="17874FC2">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2.分包金额：______，该金额占该采购包合同金额的比例为______%。</w:t>
      </w:r>
    </w:p>
    <w:p w14:paraId="3D0B8790">
      <w:pPr>
        <w:adjustRightInd w:val="0"/>
        <w:snapToGrid w:val="0"/>
        <w:spacing w:line="360" w:lineRule="auto"/>
        <w:ind w:firstLine="480" w:firstLineChars="200"/>
        <w:jc w:val="left"/>
        <w:rPr>
          <w:rFonts w:hint="eastAsia" w:ascii="宋体" w:hAnsi="宋体"/>
          <w:bCs/>
          <w:color w:val="000000"/>
          <w:sz w:val="24"/>
          <w:highlight w:val="none"/>
        </w:rPr>
      </w:pPr>
      <w:r>
        <w:rPr>
          <w:rFonts w:ascii="宋体" w:hAnsi="宋体"/>
          <w:sz w:val="24"/>
          <w:highlight w:val="none"/>
        </w:rPr>
        <w:t>乙方承诺将在上述情况下与甲方签订分包合同。</w:t>
      </w:r>
    </w:p>
    <w:p w14:paraId="7E5C8117">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本协议自各方盖章之日起生效，如甲方未在该项目（采购包）成交，本协议自动终止。</w:t>
      </w:r>
    </w:p>
    <w:p w14:paraId="3DD15122">
      <w:pPr>
        <w:spacing w:line="360" w:lineRule="auto"/>
        <w:ind w:firstLine="471"/>
        <w:rPr>
          <w:rFonts w:hint="eastAsia" w:ascii="宋体" w:hAnsi="宋体"/>
          <w:b/>
          <w:color w:val="000000"/>
          <w:sz w:val="24"/>
          <w:highlight w:val="none"/>
        </w:rPr>
      </w:pPr>
    </w:p>
    <w:p w14:paraId="22224FE8">
      <w:pPr>
        <w:spacing w:line="360" w:lineRule="auto"/>
        <w:ind w:firstLine="471"/>
        <w:rPr>
          <w:rFonts w:hint="eastAsia" w:ascii="宋体" w:hAnsi="宋体"/>
          <w:b/>
          <w:color w:val="000000"/>
          <w:sz w:val="24"/>
          <w:highlight w:val="none"/>
        </w:rPr>
      </w:pPr>
      <w:r>
        <w:rPr>
          <w:rFonts w:ascii="宋体" w:hAnsi="宋体"/>
          <w:color w:val="000000"/>
          <w:sz w:val="24"/>
          <w:highlight w:val="none"/>
        </w:rPr>
        <w:t>甲方（盖章）：</w:t>
      </w:r>
      <w:r>
        <w:rPr>
          <w:rFonts w:ascii="宋体" w:hAnsi="宋体"/>
          <w:sz w:val="24"/>
          <w:highlight w:val="none"/>
        </w:rPr>
        <w:t>______</w:t>
      </w:r>
      <w:r>
        <w:rPr>
          <w:rFonts w:ascii="宋体" w:hAnsi="宋体"/>
          <w:color w:val="000000"/>
          <w:sz w:val="24"/>
          <w:highlight w:val="none"/>
        </w:rPr>
        <w:t xml:space="preserve">                     乙方（盖章）：</w:t>
      </w:r>
      <w:r>
        <w:rPr>
          <w:rFonts w:ascii="宋体" w:hAnsi="宋体"/>
          <w:sz w:val="24"/>
          <w:highlight w:val="none"/>
        </w:rPr>
        <w:t>______</w:t>
      </w:r>
    </w:p>
    <w:p w14:paraId="196046DC">
      <w:pPr>
        <w:spacing w:line="360" w:lineRule="auto"/>
        <w:ind w:left="480"/>
        <w:jc w:val="right"/>
        <w:rPr>
          <w:rFonts w:hint="eastAsia" w:ascii="宋体" w:hAnsi="宋体"/>
          <w:color w:val="000000"/>
          <w:sz w:val="24"/>
          <w:highlight w:val="none"/>
        </w:rPr>
      </w:pPr>
    </w:p>
    <w:p w14:paraId="1D8B15A7">
      <w:pPr>
        <w:wordWrap w:val="0"/>
        <w:spacing w:line="360" w:lineRule="auto"/>
        <w:ind w:left="480"/>
        <w:jc w:val="right"/>
        <w:rPr>
          <w:rFonts w:hint="eastAsia" w:ascii="宋体" w:hAnsi="宋体"/>
          <w:b/>
          <w:color w:val="000000"/>
          <w:sz w:val="24"/>
          <w:highlight w:val="none"/>
        </w:rPr>
      </w:pPr>
      <w:r>
        <w:rPr>
          <w:rFonts w:ascii="宋体" w:hAnsi="宋体"/>
          <w:color w:val="000000"/>
          <w:sz w:val="24"/>
          <w:szCs w:val="20"/>
          <w:highlight w:val="none"/>
        </w:rPr>
        <w:t>日期：</w:t>
      </w:r>
      <w:r>
        <w:rPr>
          <w:rFonts w:ascii="宋体" w:hAnsi="宋体"/>
          <w:sz w:val="24"/>
          <w:highlight w:val="none"/>
        </w:rPr>
        <w:t>______</w:t>
      </w:r>
      <w:r>
        <w:rPr>
          <w:rFonts w:ascii="宋体" w:hAnsi="宋体"/>
          <w:color w:val="000000"/>
          <w:sz w:val="24"/>
          <w:szCs w:val="20"/>
          <w:highlight w:val="none"/>
        </w:rPr>
        <w:t>年</w:t>
      </w:r>
      <w:r>
        <w:rPr>
          <w:rFonts w:ascii="宋体" w:hAnsi="宋体"/>
          <w:sz w:val="24"/>
          <w:highlight w:val="none"/>
        </w:rPr>
        <w:t>______</w:t>
      </w:r>
      <w:r>
        <w:rPr>
          <w:rFonts w:ascii="宋体" w:hAnsi="宋体"/>
          <w:color w:val="000000"/>
          <w:sz w:val="24"/>
          <w:szCs w:val="20"/>
          <w:highlight w:val="none"/>
        </w:rPr>
        <w:t>月</w:t>
      </w:r>
      <w:r>
        <w:rPr>
          <w:rFonts w:ascii="宋体" w:hAnsi="宋体"/>
          <w:sz w:val="24"/>
          <w:highlight w:val="none"/>
        </w:rPr>
        <w:t>______</w:t>
      </w:r>
      <w:r>
        <w:rPr>
          <w:rFonts w:ascii="宋体" w:hAnsi="宋体"/>
          <w:color w:val="000000"/>
          <w:sz w:val="24"/>
          <w:szCs w:val="20"/>
          <w:highlight w:val="none"/>
        </w:rPr>
        <w:t xml:space="preserve">日   </w:t>
      </w:r>
    </w:p>
    <w:p w14:paraId="7BCA7631">
      <w:pPr>
        <w:tabs>
          <w:tab w:val="left" w:pos="8280"/>
        </w:tabs>
        <w:spacing w:line="360" w:lineRule="auto"/>
        <w:ind w:firstLine="480"/>
        <w:rPr>
          <w:rFonts w:hint="eastAsia" w:ascii="宋体" w:hAnsi="宋体"/>
          <w:color w:val="000000"/>
          <w:sz w:val="24"/>
          <w:highlight w:val="none"/>
        </w:rPr>
      </w:pPr>
    </w:p>
    <w:p w14:paraId="21251D6E">
      <w:pPr>
        <w:tabs>
          <w:tab w:val="left" w:pos="8280"/>
        </w:tabs>
        <w:spacing w:line="360" w:lineRule="auto"/>
        <w:rPr>
          <w:rFonts w:hint="eastAsia" w:ascii="宋体" w:hAnsi="宋体"/>
          <w:color w:val="000000"/>
          <w:sz w:val="24"/>
          <w:highlight w:val="none"/>
        </w:rPr>
      </w:pPr>
      <w:r>
        <w:rPr>
          <w:rFonts w:ascii="宋体" w:hAnsi="宋体"/>
          <w:color w:val="000000"/>
          <w:sz w:val="24"/>
          <w:highlight w:val="none"/>
        </w:rPr>
        <w:t>注：</w:t>
      </w:r>
    </w:p>
    <w:p w14:paraId="27E6C088">
      <w:pPr>
        <w:tabs>
          <w:tab w:val="left" w:pos="8280"/>
        </w:tabs>
        <w:spacing w:line="360" w:lineRule="auto"/>
        <w:rPr>
          <w:rFonts w:hint="eastAsia" w:ascii="宋体" w:hAnsi="宋体"/>
          <w:color w:val="000000"/>
          <w:sz w:val="24"/>
          <w:highlight w:val="none"/>
        </w:rPr>
      </w:pPr>
      <w:r>
        <w:rPr>
          <w:rFonts w:ascii="宋体" w:hAnsi="宋体"/>
          <w:color w:val="000000"/>
          <w:sz w:val="24"/>
          <w:highlight w:val="none"/>
        </w:rPr>
        <w:t>（1）</w:t>
      </w:r>
      <w:r>
        <w:rPr>
          <w:rFonts w:ascii="宋体" w:hAnsi="宋体"/>
          <w:sz w:val="24"/>
          <w:highlight w:val="none"/>
        </w:rPr>
        <w:t>当供应商属于本部分说明中第（2）类情形，必须提供，否则</w:t>
      </w:r>
      <w:r>
        <w:rPr>
          <w:rFonts w:ascii="宋体" w:hAnsi="宋体"/>
          <w:b/>
          <w:sz w:val="24"/>
          <w:highlight w:val="none"/>
        </w:rPr>
        <w:t>响应无效；</w:t>
      </w:r>
      <w:r>
        <w:rPr>
          <w:rFonts w:ascii="宋体" w:hAnsi="宋体"/>
          <w:sz w:val="24"/>
          <w:highlight w:val="none"/>
        </w:rPr>
        <w:t xml:space="preserve">其他情形无须提供； </w:t>
      </w:r>
    </w:p>
    <w:p w14:paraId="5A74E464">
      <w:pPr>
        <w:tabs>
          <w:tab w:val="left" w:pos="8280"/>
        </w:tabs>
        <w:spacing w:line="360" w:lineRule="auto"/>
        <w:rPr>
          <w:rFonts w:hint="eastAsia" w:ascii="宋体" w:hAnsi="宋体"/>
          <w:color w:val="000000"/>
          <w:sz w:val="24"/>
          <w:highlight w:val="none"/>
        </w:rPr>
      </w:pPr>
      <w:r>
        <w:rPr>
          <w:rFonts w:ascii="宋体" w:hAnsi="宋体"/>
          <w:color w:val="000000"/>
          <w:sz w:val="24"/>
          <w:highlight w:val="none"/>
        </w:rPr>
        <w:t>（2）供应商须与所有拟分包单位分别签订《分包意向协议》，每单位签订一份，并在响应文件中提交全部协议原件的电子件，否则</w:t>
      </w:r>
      <w:r>
        <w:rPr>
          <w:rFonts w:ascii="宋体" w:hAnsi="宋体"/>
          <w:b/>
          <w:color w:val="000000"/>
          <w:sz w:val="24"/>
          <w:highlight w:val="none"/>
        </w:rPr>
        <w:t>响应无效</w:t>
      </w:r>
      <w:r>
        <w:rPr>
          <w:rFonts w:ascii="宋体" w:hAnsi="宋体"/>
          <w:color w:val="000000"/>
          <w:sz w:val="24"/>
          <w:highlight w:val="none"/>
        </w:rPr>
        <w:t>。</w:t>
      </w:r>
    </w:p>
    <w:p w14:paraId="516AB901">
      <w:pPr>
        <w:tabs>
          <w:tab w:val="left" w:pos="8280"/>
        </w:tabs>
        <w:spacing w:line="360" w:lineRule="auto"/>
        <w:rPr>
          <w:rFonts w:hint="eastAsia" w:ascii="宋体" w:hAnsi="宋体"/>
          <w:color w:val="000000"/>
          <w:sz w:val="24"/>
          <w:highlight w:val="none"/>
        </w:rPr>
        <w:sectPr>
          <w:headerReference r:id="rId18" w:type="first"/>
          <w:footerReference r:id="rId20" w:type="first"/>
          <w:headerReference r:id="rId17" w:type="even"/>
          <w:footerReference r:id="rId19" w:type="even"/>
          <w:pgSz w:w="11907" w:h="16840"/>
          <w:pgMar w:top="1440" w:right="1800" w:bottom="1440" w:left="1800" w:header="851" w:footer="851" w:gutter="0"/>
          <w:cols w:space="720" w:num="1"/>
          <w:docGrid w:linePitch="462" w:charSpace="0"/>
        </w:sectPr>
      </w:pPr>
    </w:p>
    <w:p w14:paraId="06482BB1">
      <w:pPr>
        <w:spacing w:line="360" w:lineRule="auto"/>
        <w:outlineLvl w:val="2"/>
        <w:rPr>
          <w:rFonts w:hint="eastAsia" w:ascii="宋体" w:hAnsi="宋体"/>
          <w:color w:val="000000"/>
          <w:sz w:val="24"/>
          <w:szCs w:val="20"/>
          <w:highlight w:val="none"/>
        </w:rPr>
      </w:pPr>
      <w:r>
        <w:rPr>
          <w:rFonts w:ascii="宋体" w:hAnsi="宋体"/>
          <w:color w:val="000000"/>
          <w:sz w:val="24"/>
          <w:szCs w:val="20"/>
          <w:highlight w:val="none"/>
        </w:rPr>
        <w:t xml:space="preserve">2-2 </w:t>
      </w:r>
      <w:r>
        <w:rPr>
          <w:rFonts w:ascii="宋体" w:hAnsi="宋体"/>
          <w:sz w:val="24"/>
          <w:highlight w:val="none"/>
        </w:rPr>
        <w:t>其它落实政府采购政策的资格要求</w:t>
      </w:r>
      <w:r>
        <w:rPr>
          <w:rFonts w:ascii="宋体" w:hAnsi="宋体"/>
          <w:color w:val="000000"/>
          <w:sz w:val="24"/>
          <w:szCs w:val="20"/>
          <w:highlight w:val="none"/>
        </w:rPr>
        <w:t>（如有）</w:t>
      </w:r>
    </w:p>
    <w:p w14:paraId="19C0CDFD">
      <w:pPr>
        <w:widowControl/>
        <w:jc w:val="left"/>
        <w:rPr>
          <w:rFonts w:hint="eastAsia" w:ascii="宋体" w:hAnsi="宋体"/>
          <w:sz w:val="24"/>
          <w:highlight w:val="none"/>
        </w:rPr>
      </w:pPr>
    </w:p>
    <w:p w14:paraId="14AB2E97">
      <w:pPr>
        <w:widowControl/>
        <w:jc w:val="left"/>
        <w:rPr>
          <w:rFonts w:hint="eastAsia" w:ascii="宋体" w:hAnsi="宋体"/>
          <w:sz w:val="24"/>
          <w:highlight w:val="none"/>
        </w:rPr>
      </w:pPr>
      <w:r>
        <w:rPr>
          <w:rFonts w:ascii="宋体" w:hAnsi="宋体"/>
          <w:sz w:val="24"/>
          <w:highlight w:val="none"/>
        </w:rPr>
        <w:br w:type="page"/>
      </w:r>
    </w:p>
    <w:p w14:paraId="06271BDE">
      <w:pPr>
        <w:tabs>
          <w:tab w:val="left" w:pos="360"/>
        </w:tabs>
        <w:snapToGrid w:val="0"/>
        <w:spacing w:line="360" w:lineRule="auto"/>
        <w:outlineLvl w:val="1"/>
        <w:rPr>
          <w:rFonts w:hint="eastAsia" w:ascii="宋体" w:hAnsi="宋体"/>
          <w:sz w:val="24"/>
          <w:highlight w:val="none"/>
        </w:rPr>
      </w:pPr>
      <w:r>
        <w:rPr>
          <w:rFonts w:ascii="宋体" w:hAnsi="宋体"/>
          <w:sz w:val="24"/>
          <w:highlight w:val="none"/>
        </w:rPr>
        <w:t>3 本项目的特定资格要求（如有）</w:t>
      </w:r>
    </w:p>
    <w:p w14:paraId="2564D24A">
      <w:pPr>
        <w:spacing w:line="360" w:lineRule="auto"/>
        <w:outlineLvl w:val="2"/>
        <w:rPr>
          <w:rFonts w:hint="eastAsia" w:ascii="宋体" w:hAnsi="宋体"/>
          <w:color w:val="000000"/>
          <w:sz w:val="24"/>
          <w:szCs w:val="20"/>
          <w:highlight w:val="none"/>
        </w:rPr>
      </w:pPr>
      <w:r>
        <w:rPr>
          <w:rFonts w:ascii="宋体" w:hAnsi="宋体"/>
          <w:color w:val="000000"/>
          <w:sz w:val="24"/>
          <w:szCs w:val="20"/>
          <w:highlight w:val="none"/>
        </w:rPr>
        <w:t>3-1 联合协议（如有）</w:t>
      </w:r>
    </w:p>
    <w:p w14:paraId="27E43507">
      <w:pPr>
        <w:autoSpaceDE w:val="0"/>
        <w:autoSpaceDN w:val="0"/>
        <w:adjustRightInd w:val="0"/>
        <w:spacing w:line="360" w:lineRule="auto"/>
        <w:jc w:val="center"/>
        <w:rPr>
          <w:rFonts w:hint="eastAsia" w:ascii="宋体" w:hAnsi="宋体"/>
          <w:b/>
          <w:color w:val="000000"/>
          <w:sz w:val="36"/>
          <w:szCs w:val="36"/>
          <w:highlight w:val="none"/>
        </w:rPr>
      </w:pPr>
      <w:r>
        <w:rPr>
          <w:rFonts w:ascii="宋体" w:hAnsi="宋体"/>
          <w:b/>
          <w:color w:val="000000"/>
          <w:sz w:val="36"/>
          <w:szCs w:val="36"/>
          <w:highlight w:val="none"/>
        </w:rPr>
        <w:t>联合协议</w:t>
      </w:r>
    </w:p>
    <w:p w14:paraId="78D326B4">
      <w:pPr>
        <w:spacing w:line="360" w:lineRule="auto"/>
        <w:ind w:firstLine="828" w:firstLineChars="345"/>
        <w:rPr>
          <w:rFonts w:hint="eastAsia" w:ascii="宋体" w:hAnsi="宋体"/>
          <w:bCs/>
          <w:color w:val="000000"/>
          <w:highlight w:val="none"/>
        </w:rPr>
      </w:pPr>
      <w:r>
        <w:rPr>
          <w:rFonts w:ascii="宋体" w:hAnsi="宋体"/>
          <w:sz w:val="24"/>
          <w:highlight w:val="none"/>
        </w:rPr>
        <w:t>______</w:t>
      </w:r>
      <w:r>
        <w:rPr>
          <w:rFonts w:ascii="宋体" w:hAnsi="宋体"/>
          <w:bCs/>
          <w:color w:val="000000"/>
          <w:sz w:val="24"/>
          <w:highlight w:val="none"/>
        </w:rPr>
        <w:t xml:space="preserve"> 、</w:t>
      </w:r>
      <w:r>
        <w:rPr>
          <w:rFonts w:ascii="宋体" w:hAnsi="宋体"/>
          <w:sz w:val="24"/>
          <w:highlight w:val="none"/>
        </w:rPr>
        <w:t>______</w:t>
      </w:r>
      <w:r>
        <w:rPr>
          <w:rFonts w:ascii="宋体" w:hAnsi="宋体"/>
          <w:bCs/>
          <w:color w:val="000000"/>
          <w:sz w:val="24"/>
          <w:highlight w:val="none"/>
        </w:rPr>
        <w:t>及</w:t>
      </w:r>
      <w:r>
        <w:rPr>
          <w:rFonts w:ascii="宋体" w:hAnsi="宋体"/>
          <w:sz w:val="24"/>
          <w:highlight w:val="none"/>
        </w:rPr>
        <w:t>______</w:t>
      </w:r>
      <w:r>
        <w:rPr>
          <w:rFonts w:ascii="宋体" w:hAnsi="宋体"/>
          <w:bCs/>
          <w:color w:val="000000"/>
          <w:sz w:val="24"/>
          <w:highlight w:val="none"/>
        </w:rPr>
        <w:t>就“</w:t>
      </w:r>
      <w:r>
        <w:rPr>
          <w:rFonts w:ascii="宋体" w:hAnsi="宋体"/>
          <w:sz w:val="24"/>
          <w:highlight w:val="none"/>
        </w:rPr>
        <w:t>______</w:t>
      </w:r>
      <w:r>
        <w:rPr>
          <w:rFonts w:ascii="宋体" w:hAnsi="宋体"/>
          <w:bCs/>
          <w:color w:val="000000"/>
          <w:sz w:val="24"/>
          <w:highlight w:val="none"/>
        </w:rPr>
        <w:t>（项目名称）</w:t>
      </w:r>
      <w:r>
        <w:rPr>
          <w:rFonts w:ascii="宋体" w:hAnsi="宋体"/>
          <w:color w:val="000000"/>
          <w:sz w:val="24"/>
          <w:highlight w:val="none"/>
        </w:rPr>
        <w:t>”</w:t>
      </w:r>
      <w:r>
        <w:rPr>
          <w:rFonts w:ascii="宋体" w:hAnsi="宋体"/>
          <w:sz w:val="24"/>
          <w:highlight w:val="none"/>
        </w:rPr>
        <w:t xml:space="preserve"> ______</w:t>
      </w:r>
      <w:r>
        <w:rPr>
          <w:rFonts w:ascii="宋体" w:hAnsi="宋体"/>
          <w:color w:val="000000"/>
          <w:sz w:val="24"/>
          <w:highlight w:val="none"/>
        </w:rPr>
        <w:t>包</w:t>
      </w:r>
      <w:r>
        <w:rPr>
          <w:rFonts w:ascii="宋体" w:hAnsi="宋体"/>
          <w:bCs/>
          <w:color w:val="000000"/>
          <w:sz w:val="24"/>
          <w:highlight w:val="none"/>
        </w:rPr>
        <w:t>采购项目的磋商事宜，经各方充分协商一致，达成如下协议：</w:t>
      </w:r>
    </w:p>
    <w:p w14:paraId="5780CD70">
      <w:pPr>
        <w:numPr>
          <w:ilvl w:val="0"/>
          <w:numId w:val="18"/>
        </w:numPr>
        <w:spacing w:line="360" w:lineRule="auto"/>
        <w:rPr>
          <w:rFonts w:hint="eastAsia" w:ascii="宋体" w:hAnsi="宋体"/>
          <w:bCs/>
          <w:color w:val="000000"/>
          <w:sz w:val="24"/>
          <w:highlight w:val="none"/>
        </w:rPr>
      </w:pPr>
      <w:r>
        <w:rPr>
          <w:rFonts w:ascii="宋体" w:hAnsi="宋体"/>
          <w:bCs/>
          <w:color w:val="000000"/>
          <w:sz w:val="24"/>
          <w:highlight w:val="none"/>
        </w:rPr>
        <w:t>由</w:t>
      </w:r>
      <w:r>
        <w:rPr>
          <w:rFonts w:ascii="宋体" w:hAnsi="宋体"/>
          <w:sz w:val="24"/>
          <w:highlight w:val="none"/>
        </w:rPr>
        <w:t>____</w:t>
      </w:r>
      <w:r>
        <w:rPr>
          <w:rFonts w:ascii="宋体" w:hAnsi="宋体"/>
          <w:bCs/>
          <w:color w:val="000000"/>
          <w:sz w:val="24"/>
          <w:highlight w:val="none"/>
        </w:rPr>
        <w:t>__</w:t>
      </w:r>
      <w:r>
        <w:rPr>
          <w:rFonts w:ascii="宋体" w:hAnsi="宋体"/>
          <w:sz w:val="24"/>
          <w:highlight w:val="none"/>
        </w:rPr>
        <w:t>__</w:t>
      </w:r>
      <w:r>
        <w:rPr>
          <w:rFonts w:ascii="宋体" w:hAnsi="宋体"/>
          <w:bCs/>
          <w:color w:val="000000"/>
          <w:sz w:val="24"/>
          <w:highlight w:val="none"/>
        </w:rPr>
        <w:t>牵头，</w:t>
      </w:r>
      <w:r>
        <w:rPr>
          <w:rFonts w:ascii="宋体" w:hAnsi="宋体"/>
          <w:sz w:val="24"/>
          <w:highlight w:val="none"/>
        </w:rPr>
        <w:t>___</w:t>
      </w:r>
      <w:r>
        <w:rPr>
          <w:rFonts w:ascii="宋体" w:hAnsi="宋体"/>
          <w:bCs/>
          <w:color w:val="000000"/>
          <w:sz w:val="24"/>
          <w:highlight w:val="none"/>
        </w:rPr>
        <w:t>__</w:t>
      </w:r>
      <w:r>
        <w:rPr>
          <w:rFonts w:ascii="宋体" w:hAnsi="宋体"/>
          <w:sz w:val="24"/>
          <w:highlight w:val="none"/>
        </w:rPr>
        <w:t>___</w:t>
      </w:r>
      <w:r>
        <w:rPr>
          <w:rFonts w:ascii="宋体" w:hAnsi="宋体"/>
          <w:bCs/>
          <w:color w:val="000000"/>
          <w:sz w:val="24"/>
          <w:highlight w:val="none"/>
        </w:rPr>
        <w:t>、</w:t>
      </w:r>
      <w:r>
        <w:rPr>
          <w:rFonts w:ascii="宋体" w:hAnsi="宋体"/>
          <w:sz w:val="24"/>
          <w:highlight w:val="none"/>
        </w:rPr>
        <w:t>___</w:t>
      </w:r>
      <w:r>
        <w:rPr>
          <w:rFonts w:ascii="宋体" w:hAnsi="宋体"/>
          <w:bCs/>
          <w:color w:val="000000"/>
          <w:sz w:val="24"/>
          <w:highlight w:val="none"/>
        </w:rPr>
        <w:t>__</w:t>
      </w:r>
      <w:r>
        <w:rPr>
          <w:rFonts w:ascii="宋体" w:hAnsi="宋体"/>
          <w:sz w:val="24"/>
          <w:highlight w:val="none"/>
        </w:rPr>
        <w:t>___</w:t>
      </w:r>
      <w:r>
        <w:rPr>
          <w:rFonts w:ascii="宋体" w:hAnsi="宋体"/>
          <w:bCs/>
          <w:color w:val="000000"/>
          <w:sz w:val="24"/>
          <w:highlight w:val="none"/>
        </w:rPr>
        <w:t>参加，组成联合体共同进行采购项目的磋商工作。</w:t>
      </w:r>
    </w:p>
    <w:p w14:paraId="035619E2">
      <w:pPr>
        <w:numPr>
          <w:ilvl w:val="0"/>
          <w:numId w:val="18"/>
        </w:numPr>
        <w:spacing w:line="360" w:lineRule="auto"/>
        <w:rPr>
          <w:rFonts w:hint="eastAsia" w:ascii="宋体" w:hAnsi="宋体"/>
          <w:bCs/>
          <w:color w:val="000000"/>
          <w:sz w:val="24"/>
          <w:highlight w:val="none"/>
        </w:rPr>
      </w:pPr>
      <w:r>
        <w:rPr>
          <w:rFonts w:ascii="宋体" w:hAnsi="宋体"/>
          <w:bCs/>
          <w:color w:val="000000"/>
          <w:sz w:val="24"/>
          <w:highlight w:val="none"/>
        </w:rPr>
        <w:t>联合体成交后，联合体各方共同与采购人签订合同，就</w:t>
      </w:r>
      <w:r>
        <w:rPr>
          <w:rFonts w:ascii="宋体" w:hAnsi="宋体"/>
          <w:color w:val="000000"/>
          <w:sz w:val="24"/>
          <w:szCs w:val="20"/>
          <w:highlight w:val="none"/>
        </w:rPr>
        <w:t>采购合同约定的事项</w:t>
      </w:r>
      <w:r>
        <w:rPr>
          <w:rFonts w:ascii="宋体" w:hAnsi="宋体"/>
          <w:bCs/>
          <w:color w:val="000000"/>
          <w:sz w:val="24"/>
          <w:highlight w:val="none"/>
        </w:rPr>
        <w:t>对采购人承担连带责任。</w:t>
      </w:r>
    </w:p>
    <w:p w14:paraId="192B9E90">
      <w:pPr>
        <w:numPr>
          <w:ilvl w:val="0"/>
          <w:numId w:val="18"/>
        </w:numPr>
        <w:spacing w:line="360" w:lineRule="auto"/>
        <w:rPr>
          <w:rFonts w:hint="eastAsia" w:ascii="宋体" w:hAnsi="宋体"/>
          <w:bCs/>
          <w:color w:val="000000"/>
          <w:sz w:val="24"/>
          <w:highlight w:val="none"/>
        </w:rPr>
      </w:pPr>
      <w:r>
        <w:rPr>
          <w:rFonts w:ascii="宋体" w:hAnsi="宋体"/>
          <w:bCs/>
          <w:color w:val="000000"/>
          <w:sz w:val="24"/>
          <w:highlight w:val="none"/>
        </w:rPr>
        <w:t>联合体各方均同意由牵头人代表其他联合体成员单位按竞争性磋商文件要求出具《授权委托书》。</w:t>
      </w:r>
    </w:p>
    <w:p w14:paraId="396EBB47">
      <w:pPr>
        <w:numPr>
          <w:ilvl w:val="0"/>
          <w:numId w:val="18"/>
        </w:numPr>
        <w:spacing w:line="360" w:lineRule="auto"/>
        <w:rPr>
          <w:rFonts w:hint="eastAsia" w:ascii="宋体" w:hAnsi="宋体"/>
          <w:bCs/>
          <w:color w:val="000000"/>
          <w:sz w:val="24"/>
          <w:highlight w:val="none"/>
        </w:rPr>
      </w:pPr>
      <w:r>
        <w:rPr>
          <w:rFonts w:ascii="宋体" w:hAnsi="宋体"/>
          <w:bCs/>
          <w:color w:val="000000"/>
          <w:sz w:val="24"/>
          <w:highlight w:val="none"/>
        </w:rPr>
        <w:t>牵头人为项目的总负责单位；组织各参加方进行项目实施工作。</w:t>
      </w:r>
    </w:p>
    <w:p w14:paraId="681358C6">
      <w:pPr>
        <w:numPr>
          <w:ilvl w:val="0"/>
          <w:numId w:val="18"/>
        </w:numPr>
        <w:spacing w:line="360" w:lineRule="auto"/>
        <w:rPr>
          <w:rFonts w:hint="eastAsia" w:ascii="宋体" w:hAnsi="宋体"/>
          <w:bCs/>
          <w:color w:val="000000"/>
          <w:sz w:val="24"/>
          <w:highlight w:val="none"/>
        </w:rPr>
      </w:pPr>
      <w:r>
        <w:rPr>
          <w:rFonts w:ascii="宋体" w:hAnsi="宋体"/>
          <w:sz w:val="24"/>
          <w:highlight w:val="none"/>
        </w:rPr>
        <w:t>______</w:t>
      </w:r>
      <w:r>
        <w:rPr>
          <w:rFonts w:ascii="宋体" w:hAnsi="宋体"/>
          <w:bCs/>
          <w:color w:val="000000"/>
          <w:sz w:val="24"/>
          <w:highlight w:val="none"/>
        </w:rPr>
        <w:t>负责</w:t>
      </w:r>
      <w:r>
        <w:rPr>
          <w:rFonts w:ascii="宋体" w:hAnsi="宋体"/>
          <w:sz w:val="24"/>
          <w:highlight w:val="none"/>
        </w:rPr>
        <w:t>______</w:t>
      </w:r>
      <w:r>
        <w:rPr>
          <w:rFonts w:ascii="宋体" w:hAnsi="宋体"/>
          <w:bCs/>
          <w:color w:val="000000"/>
          <w:sz w:val="24"/>
          <w:highlight w:val="none"/>
        </w:rPr>
        <w:t>，具体工作范围、内容以响应文件及合同为准。</w:t>
      </w:r>
    </w:p>
    <w:p w14:paraId="494196CB">
      <w:pPr>
        <w:numPr>
          <w:ilvl w:val="0"/>
          <w:numId w:val="18"/>
        </w:numPr>
        <w:spacing w:line="360" w:lineRule="auto"/>
        <w:rPr>
          <w:rFonts w:hint="eastAsia" w:ascii="宋体" w:hAnsi="宋体"/>
          <w:bCs/>
          <w:color w:val="000000"/>
          <w:sz w:val="24"/>
          <w:highlight w:val="none"/>
        </w:rPr>
      </w:pPr>
      <w:r>
        <w:rPr>
          <w:rFonts w:ascii="宋体" w:hAnsi="宋体"/>
          <w:sz w:val="24"/>
          <w:highlight w:val="none"/>
        </w:rPr>
        <w:t>______</w:t>
      </w:r>
      <w:r>
        <w:rPr>
          <w:rFonts w:ascii="宋体" w:hAnsi="宋体"/>
          <w:bCs/>
          <w:color w:val="000000"/>
          <w:sz w:val="24"/>
          <w:highlight w:val="none"/>
        </w:rPr>
        <w:t>负责</w:t>
      </w:r>
      <w:r>
        <w:rPr>
          <w:rFonts w:ascii="宋体" w:hAnsi="宋体"/>
          <w:sz w:val="24"/>
          <w:highlight w:val="none"/>
        </w:rPr>
        <w:t>______</w:t>
      </w:r>
      <w:r>
        <w:rPr>
          <w:rFonts w:ascii="宋体" w:hAnsi="宋体"/>
          <w:bCs/>
          <w:color w:val="000000"/>
          <w:sz w:val="24"/>
          <w:highlight w:val="none"/>
        </w:rPr>
        <w:t>，具体工作范围、内容以响应文件及合同为准。</w:t>
      </w:r>
    </w:p>
    <w:p w14:paraId="7442D50A">
      <w:pPr>
        <w:numPr>
          <w:ilvl w:val="0"/>
          <w:numId w:val="18"/>
        </w:numPr>
        <w:spacing w:line="360" w:lineRule="auto"/>
        <w:rPr>
          <w:rFonts w:hint="eastAsia" w:ascii="宋体" w:hAnsi="宋体"/>
          <w:bCs/>
          <w:color w:val="000000"/>
          <w:sz w:val="24"/>
          <w:highlight w:val="none"/>
        </w:rPr>
      </w:pPr>
      <w:r>
        <w:rPr>
          <w:rFonts w:ascii="宋体" w:hAnsi="宋体"/>
          <w:sz w:val="24"/>
          <w:highlight w:val="none"/>
        </w:rPr>
        <w:t>______</w:t>
      </w:r>
      <w:r>
        <w:rPr>
          <w:rFonts w:ascii="宋体" w:hAnsi="宋体"/>
          <w:bCs/>
          <w:color w:val="000000"/>
          <w:sz w:val="24"/>
          <w:highlight w:val="none"/>
        </w:rPr>
        <w:t>负责</w:t>
      </w:r>
      <w:r>
        <w:rPr>
          <w:rFonts w:ascii="宋体" w:hAnsi="宋体"/>
          <w:sz w:val="24"/>
          <w:highlight w:val="none"/>
        </w:rPr>
        <w:t>______</w:t>
      </w:r>
      <w:r>
        <w:rPr>
          <w:rFonts w:ascii="宋体" w:hAnsi="宋体"/>
          <w:bCs/>
          <w:color w:val="000000"/>
          <w:sz w:val="24"/>
          <w:highlight w:val="none"/>
        </w:rPr>
        <w:t>（如有），具体工作范围、内容以响应文件及合同为准。</w:t>
      </w:r>
    </w:p>
    <w:p w14:paraId="42F3E508">
      <w:pPr>
        <w:numPr>
          <w:ilvl w:val="0"/>
          <w:numId w:val="18"/>
        </w:numPr>
        <w:spacing w:line="360" w:lineRule="auto"/>
        <w:rPr>
          <w:rFonts w:hint="eastAsia" w:ascii="宋体" w:hAnsi="宋体"/>
          <w:sz w:val="24"/>
          <w:highlight w:val="none"/>
        </w:rPr>
      </w:pPr>
      <w:r>
        <w:rPr>
          <w:rFonts w:ascii="宋体" w:hAnsi="宋体"/>
          <w:sz w:val="24"/>
          <w:highlight w:val="none"/>
        </w:rPr>
        <w:t>本项目联合协议合同总额为______元，联合体各成员按照如下比例分摊（按联合体成员分别列明）：</w:t>
      </w:r>
    </w:p>
    <w:p w14:paraId="21A63C40">
      <w:pPr>
        <w:tabs>
          <w:tab w:val="left" w:pos="720"/>
          <w:tab w:val="left" w:pos="900"/>
        </w:tabs>
        <w:spacing w:line="360" w:lineRule="auto"/>
        <w:ind w:left="851"/>
        <w:rPr>
          <w:rFonts w:hint="eastAsia" w:ascii="宋体" w:hAnsi="宋体"/>
          <w:color w:val="000000"/>
          <w:sz w:val="24"/>
          <w:szCs w:val="20"/>
          <w:highlight w:val="none"/>
        </w:rPr>
      </w:pPr>
      <w:r>
        <w:rPr>
          <w:rFonts w:ascii="宋体" w:hAnsi="宋体"/>
          <w:color w:val="000000"/>
          <w:sz w:val="24"/>
          <w:szCs w:val="20"/>
          <w:highlight w:val="none"/>
        </w:rPr>
        <w:t>（1）</w:t>
      </w:r>
      <w:r>
        <w:rPr>
          <w:rFonts w:ascii="宋体" w:hAnsi="宋体"/>
          <w:sz w:val="24"/>
          <w:highlight w:val="none"/>
        </w:rPr>
        <w:t>______</w:t>
      </w:r>
      <w:r>
        <w:rPr>
          <w:rFonts w:ascii="宋体" w:hAnsi="宋体"/>
          <w:color w:val="000000"/>
          <w:sz w:val="24"/>
          <w:szCs w:val="20"/>
          <w:highlight w:val="none"/>
        </w:rPr>
        <w:t>为□大型企业□中型企业、□小微企业（包含监狱企业、残疾人福利性单位）、□其他，合同金额为</w:t>
      </w:r>
      <w:r>
        <w:rPr>
          <w:rFonts w:ascii="宋体" w:hAnsi="宋体"/>
          <w:sz w:val="24"/>
          <w:highlight w:val="none"/>
        </w:rPr>
        <w:t>______</w:t>
      </w:r>
      <w:r>
        <w:rPr>
          <w:rFonts w:ascii="宋体" w:hAnsi="宋体"/>
          <w:color w:val="000000"/>
          <w:sz w:val="24"/>
          <w:szCs w:val="20"/>
          <w:highlight w:val="none"/>
        </w:rPr>
        <w:t>元；</w:t>
      </w:r>
    </w:p>
    <w:p w14:paraId="01621CA6">
      <w:pPr>
        <w:tabs>
          <w:tab w:val="left" w:pos="720"/>
          <w:tab w:val="left" w:pos="900"/>
        </w:tabs>
        <w:spacing w:line="360" w:lineRule="auto"/>
        <w:ind w:left="851"/>
        <w:rPr>
          <w:rFonts w:hint="eastAsia" w:ascii="宋体" w:hAnsi="宋体"/>
          <w:color w:val="000000"/>
          <w:sz w:val="24"/>
          <w:szCs w:val="20"/>
          <w:highlight w:val="none"/>
        </w:rPr>
      </w:pPr>
      <w:r>
        <w:rPr>
          <w:rFonts w:ascii="宋体" w:hAnsi="宋体"/>
          <w:color w:val="000000"/>
          <w:sz w:val="24"/>
          <w:szCs w:val="20"/>
          <w:highlight w:val="none"/>
        </w:rPr>
        <w:t>（2）</w:t>
      </w:r>
      <w:r>
        <w:rPr>
          <w:rFonts w:ascii="宋体" w:hAnsi="宋体"/>
          <w:sz w:val="24"/>
          <w:highlight w:val="none"/>
        </w:rPr>
        <w:t>______</w:t>
      </w:r>
      <w:r>
        <w:rPr>
          <w:rFonts w:ascii="宋体" w:hAnsi="宋体"/>
          <w:color w:val="000000"/>
          <w:sz w:val="24"/>
          <w:szCs w:val="20"/>
          <w:highlight w:val="none"/>
        </w:rPr>
        <w:t>为□大型企业□中型企业、□小微企业（包含监狱企业、残疾人福利性单位）、□其他，合同金额为</w:t>
      </w:r>
      <w:r>
        <w:rPr>
          <w:rFonts w:ascii="宋体" w:hAnsi="宋体"/>
          <w:sz w:val="24"/>
          <w:highlight w:val="none"/>
        </w:rPr>
        <w:t>______</w:t>
      </w:r>
      <w:r>
        <w:rPr>
          <w:rFonts w:ascii="宋体" w:hAnsi="宋体"/>
          <w:color w:val="000000"/>
          <w:sz w:val="24"/>
          <w:szCs w:val="20"/>
          <w:highlight w:val="none"/>
        </w:rPr>
        <w:t>元；</w:t>
      </w:r>
    </w:p>
    <w:p w14:paraId="2BF1C507">
      <w:pPr>
        <w:tabs>
          <w:tab w:val="left" w:pos="720"/>
          <w:tab w:val="left" w:pos="900"/>
        </w:tabs>
        <w:spacing w:line="360" w:lineRule="auto"/>
        <w:ind w:left="851"/>
        <w:rPr>
          <w:rFonts w:hint="eastAsia" w:ascii="宋体" w:hAnsi="宋体"/>
          <w:color w:val="000000"/>
          <w:sz w:val="24"/>
          <w:szCs w:val="20"/>
          <w:highlight w:val="none"/>
        </w:rPr>
      </w:pPr>
      <w:r>
        <w:rPr>
          <w:rFonts w:ascii="宋体" w:hAnsi="宋体"/>
          <w:color w:val="000000"/>
          <w:sz w:val="24"/>
          <w:szCs w:val="20"/>
          <w:highlight w:val="none"/>
        </w:rPr>
        <w:t>（…）</w:t>
      </w:r>
      <w:r>
        <w:rPr>
          <w:rFonts w:ascii="宋体" w:hAnsi="宋体"/>
          <w:sz w:val="24"/>
          <w:highlight w:val="none"/>
        </w:rPr>
        <w:t>______</w:t>
      </w:r>
      <w:r>
        <w:rPr>
          <w:rFonts w:ascii="宋体" w:hAnsi="宋体"/>
          <w:color w:val="000000"/>
          <w:sz w:val="24"/>
          <w:szCs w:val="20"/>
          <w:highlight w:val="none"/>
        </w:rPr>
        <w:t>为□大型企业□中型企业、□小微企业（包含监狱企业、残疾人福利性单位）、□其他，合同金额为</w:t>
      </w:r>
      <w:r>
        <w:rPr>
          <w:rFonts w:ascii="宋体" w:hAnsi="宋体"/>
          <w:sz w:val="24"/>
          <w:highlight w:val="none"/>
        </w:rPr>
        <w:t>______</w:t>
      </w:r>
      <w:r>
        <w:rPr>
          <w:rFonts w:ascii="宋体" w:hAnsi="宋体"/>
          <w:color w:val="000000"/>
          <w:sz w:val="24"/>
          <w:szCs w:val="20"/>
          <w:highlight w:val="none"/>
        </w:rPr>
        <w:t>元。</w:t>
      </w:r>
    </w:p>
    <w:p w14:paraId="75206446">
      <w:pPr>
        <w:numPr>
          <w:ilvl w:val="0"/>
          <w:numId w:val="18"/>
        </w:numPr>
        <w:tabs>
          <w:tab w:val="left" w:pos="993"/>
        </w:tabs>
        <w:spacing w:line="360" w:lineRule="auto"/>
        <w:rPr>
          <w:rFonts w:hint="eastAsia" w:ascii="宋体" w:hAnsi="宋体"/>
          <w:bCs/>
          <w:color w:val="000000"/>
          <w:sz w:val="24"/>
          <w:highlight w:val="none"/>
        </w:rPr>
      </w:pPr>
      <w:r>
        <w:rPr>
          <w:rFonts w:ascii="宋体" w:hAnsi="宋体"/>
          <w:color w:val="000000"/>
          <w:sz w:val="24"/>
          <w:szCs w:val="20"/>
          <w:highlight w:val="none"/>
        </w:rPr>
        <w:t>以联合体形式参加政府采购活动的，联合体各方不得再单独参加或者与其他供应商另外组成联合体参加同一合同项下的政府采购活动。</w:t>
      </w:r>
    </w:p>
    <w:p w14:paraId="76B3C8C0">
      <w:pPr>
        <w:numPr>
          <w:ilvl w:val="0"/>
          <w:numId w:val="18"/>
        </w:numPr>
        <w:spacing w:line="360" w:lineRule="auto"/>
        <w:rPr>
          <w:rFonts w:hint="eastAsia" w:ascii="宋体" w:hAnsi="宋体"/>
          <w:bCs/>
          <w:color w:val="000000"/>
          <w:sz w:val="24"/>
          <w:highlight w:val="none"/>
        </w:rPr>
      </w:pPr>
      <w:r>
        <w:rPr>
          <w:rFonts w:ascii="宋体" w:hAnsi="宋体"/>
          <w:bCs/>
          <w:color w:val="000000"/>
          <w:sz w:val="24"/>
          <w:highlight w:val="none"/>
        </w:rPr>
        <w:t>其他约定（如有）：</w:t>
      </w:r>
      <w:r>
        <w:rPr>
          <w:rFonts w:ascii="宋体" w:hAnsi="宋体"/>
          <w:sz w:val="24"/>
          <w:highlight w:val="none"/>
        </w:rPr>
        <w:t>______。</w:t>
      </w:r>
    </w:p>
    <w:p w14:paraId="6A2964F5">
      <w:pPr>
        <w:tabs>
          <w:tab w:val="left" w:pos="780"/>
        </w:tabs>
        <w:spacing w:line="360" w:lineRule="auto"/>
        <w:ind w:left="180" w:firstLine="480" w:firstLineChars="200"/>
        <w:rPr>
          <w:rFonts w:hint="eastAsia" w:ascii="宋体" w:hAnsi="宋体"/>
          <w:color w:val="000000"/>
          <w:sz w:val="24"/>
          <w:highlight w:val="none"/>
        </w:rPr>
      </w:pPr>
      <w:r>
        <w:rPr>
          <w:rFonts w:ascii="宋体" w:hAnsi="宋体"/>
          <w:bCs/>
          <w:color w:val="000000"/>
          <w:sz w:val="24"/>
          <w:highlight w:val="none"/>
        </w:rPr>
        <w:t>本协议自各方盖章后生效，采购合同履行完毕后自动失效。如未成交，本协议自动终止。</w:t>
      </w:r>
      <w:r>
        <w:rPr>
          <w:rFonts w:ascii="宋体" w:hAnsi="宋体"/>
          <w:color w:val="000000"/>
          <w:sz w:val="24"/>
          <w:highlight w:val="none"/>
        </w:rPr>
        <w:br w:type="page"/>
      </w:r>
    </w:p>
    <w:p w14:paraId="51130AE8">
      <w:pPr>
        <w:spacing w:line="360" w:lineRule="auto"/>
        <w:ind w:firstLine="471"/>
        <w:rPr>
          <w:rFonts w:hint="eastAsia" w:ascii="宋体" w:hAnsi="宋体"/>
          <w:color w:val="000000"/>
          <w:sz w:val="24"/>
          <w:highlight w:val="none"/>
        </w:rPr>
      </w:pPr>
      <w:r>
        <w:rPr>
          <w:rFonts w:ascii="宋体" w:hAnsi="宋体"/>
          <w:color w:val="000000"/>
          <w:sz w:val="24"/>
          <w:highlight w:val="none"/>
        </w:rPr>
        <w:t>联合体牵头人名称：</w:t>
      </w:r>
      <w:r>
        <w:rPr>
          <w:rFonts w:ascii="宋体" w:hAnsi="宋体"/>
          <w:color w:val="000000"/>
          <w:sz w:val="24"/>
          <w:szCs w:val="20"/>
          <w:highlight w:val="none"/>
        </w:rPr>
        <w:t>______</w:t>
      </w:r>
      <w:r>
        <w:rPr>
          <w:rFonts w:ascii="宋体" w:hAnsi="宋体"/>
          <w:color w:val="000000"/>
          <w:sz w:val="24"/>
          <w:highlight w:val="none"/>
        </w:rPr>
        <w:tab/>
      </w:r>
      <w:r>
        <w:rPr>
          <w:rFonts w:ascii="宋体" w:hAnsi="宋体"/>
          <w:color w:val="000000"/>
          <w:sz w:val="24"/>
          <w:highlight w:val="none"/>
        </w:rPr>
        <w:tab/>
      </w:r>
      <w:r>
        <w:rPr>
          <w:rFonts w:ascii="宋体" w:hAnsi="宋体"/>
          <w:color w:val="000000"/>
          <w:sz w:val="24"/>
          <w:highlight w:val="none"/>
        </w:rPr>
        <w:tab/>
      </w:r>
      <w:r>
        <w:rPr>
          <w:rFonts w:ascii="宋体" w:hAnsi="宋体"/>
          <w:color w:val="000000"/>
          <w:sz w:val="24"/>
          <w:highlight w:val="none"/>
        </w:rPr>
        <w:tab/>
      </w:r>
      <w:r>
        <w:rPr>
          <w:rFonts w:ascii="宋体" w:hAnsi="宋体"/>
          <w:color w:val="000000"/>
          <w:sz w:val="24"/>
          <w:highlight w:val="none"/>
        </w:rPr>
        <w:tab/>
      </w:r>
      <w:r>
        <w:rPr>
          <w:rFonts w:ascii="宋体" w:hAnsi="宋体"/>
          <w:color w:val="000000"/>
          <w:sz w:val="24"/>
          <w:highlight w:val="none"/>
        </w:rPr>
        <w:t xml:space="preserve"> 联合体成员名称：</w:t>
      </w:r>
      <w:r>
        <w:rPr>
          <w:rFonts w:ascii="宋体" w:hAnsi="宋体"/>
          <w:color w:val="000000"/>
          <w:sz w:val="24"/>
          <w:szCs w:val="20"/>
          <w:highlight w:val="none"/>
        </w:rPr>
        <w:t>______</w:t>
      </w:r>
    </w:p>
    <w:p w14:paraId="62964271">
      <w:pPr>
        <w:spacing w:line="360" w:lineRule="auto"/>
        <w:ind w:firstLine="471"/>
        <w:rPr>
          <w:rFonts w:hint="eastAsia" w:ascii="宋体" w:hAnsi="宋体"/>
          <w:color w:val="000000"/>
          <w:sz w:val="24"/>
          <w:highlight w:val="none"/>
        </w:rPr>
      </w:pPr>
      <w:r>
        <w:rPr>
          <w:rFonts w:ascii="宋体" w:hAnsi="宋体"/>
          <w:color w:val="000000"/>
          <w:sz w:val="24"/>
          <w:highlight w:val="none"/>
        </w:rPr>
        <w:t>盖章：</w:t>
      </w:r>
      <w:r>
        <w:rPr>
          <w:rFonts w:ascii="宋体" w:hAnsi="宋体"/>
          <w:color w:val="000000"/>
          <w:sz w:val="24"/>
          <w:szCs w:val="20"/>
          <w:highlight w:val="none"/>
        </w:rPr>
        <w:t>______</w:t>
      </w:r>
      <w:r>
        <w:rPr>
          <w:rFonts w:ascii="宋体" w:hAnsi="宋体"/>
          <w:color w:val="000000"/>
          <w:sz w:val="24"/>
          <w:highlight w:val="none"/>
        </w:rPr>
        <w:t xml:space="preserve">                           盖章：</w:t>
      </w:r>
      <w:r>
        <w:rPr>
          <w:rFonts w:ascii="宋体" w:hAnsi="宋体"/>
          <w:color w:val="000000"/>
          <w:sz w:val="24"/>
          <w:szCs w:val="20"/>
          <w:highlight w:val="none"/>
        </w:rPr>
        <w:t>______</w:t>
      </w:r>
    </w:p>
    <w:p w14:paraId="397FD2ED">
      <w:pPr>
        <w:spacing w:line="360" w:lineRule="auto"/>
        <w:ind w:firstLine="471"/>
        <w:rPr>
          <w:rFonts w:hint="eastAsia" w:ascii="宋体" w:hAnsi="宋体"/>
          <w:color w:val="000000"/>
          <w:sz w:val="24"/>
          <w:highlight w:val="none"/>
        </w:rPr>
      </w:pPr>
    </w:p>
    <w:p w14:paraId="77CB9AD2">
      <w:pPr>
        <w:spacing w:line="360" w:lineRule="auto"/>
        <w:ind w:firstLine="471"/>
        <w:rPr>
          <w:rFonts w:hint="eastAsia" w:ascii="宋体" w:hAnsi="宋体"/>
          <w:color w:val="000000"/>
          <w:sz w:val="24"/>
          <w:highlight w:val="none"/>
        </w:rPr>
      </w:pPr>
    </w:p>
    <w:p w14:paraId="58FF6A7D">
      <w:pPr>
        <w:spacing w:line="360" w:lineRule="auto"/>
        <w:ind w:firstLine="471"/>
        <w:rPr>
          <w:rFonts w:hint="eastAsia" w:ascii="宋体" w:hAnsi="宋体"/>
          <w:color w:val="000000"/>
          <w:sz w:val="24"/>
          <w:highlight w:val="none"/>
        </w:rPr>
      </w:pPr>
      <w:r>
        <w:rPr>
          <w:rFonts w:ascii="宋体" w:hAnsi="宋体"/>
          <w:color w:val="000000"/>
          <w:sz w:val="24"/>
          <w:highlight w:val="none"/>
        </w:rPr>
        <w:t>联合体成员名称：</w:t>
      </w:r>
      <w:r>
        <w:rPr>
          <w:rFonts w:ascii="宋体" w:hAnsi="宋体"/>
          <w:color w:val="000000"/>
          <w:sz w:val="24"/>
          <w:szCs w:val="20"/>
          <w:highlight w:val="none"/>
        </w:rPr>
        <w:t>______</w:t>
      </w:r>
    </w:p>
    <w:p w14:paraId="59A53585">
      <w:pPr>
        <w:widowControl/>
        <w:ind w:firstLine="480" w:firstLineChars="200"/>
        <w:jc w:val="left"/>
        <w:rPr>
          <w:rFonts w:hint="eastAsia" w:ascii="宋体" w:hAnsi="宋体"/>
          <w:color w:val="000000"/>
          <w:sz w:val="24"/>
          <w:highlight w:val="none"/>
        </w:rPr>
      </w:pPr>
      <w:r>
        <w:rPr>
          <w:rFonts w:ascii="宋体" w:hAnsi="宋体"/>
          <w:color w:val="000000"/>
          <w:sz w:val="24"/>
          <w:highlight w:val="none"/>
        </w:rPr>
        <w:t>盖章：</w:t>
      </w:r>
      <w:r>
        <w:rPr>
          <w:rFonts w:ascii="宋体" w:hAnsi="宋体"/>
          <w:color w:val="000000"/>
          <w:sz w:val="24"/>
          <w:szCs w:val="20"/>
          <w:highlight w:val="none"/>
        </w:rPr>
        <w:t>______</w:t>
      </w:r>
      <w:r>
        <w:rPr>
          <w:rFonts w:ascii="宋体" w:hAnsi="宋体"/>
          <w:color w:val="000000"/>
          <w:sz w:val="24"/>
          <w:highlight w:val="none"/>
        </w:rPr>
        <w:t xml:space="preserve">         </w:t>
      </w:r>
    </w:p>
    <w:p w14:paraId="32030FAD">
      <w:pPr>
        <w:spacing w:line="360" w:lineRule="auto"/>
        <w:ind w:left="480"/>
        <w:jc w:val="right"/>
        <w:rPr>
          <w:rFonts w:hint="eastAsia" w:ascii="宋体" w:hAnsi="宋体"/>
          <w:color w:val="000000"/>
          <w:sz w:val="24"/>
          <w:highlight w:val="none"/>
        </w:rPr>
      </w:pPr>
    </w:p>
    <w:p w14:paraId="3A7D29F4">
      <w:pPr>
        <w:spacing w:line="360" w:lineRule="auto"/>
        <w:ind w:left="480"/>
        <w:jc w:val="right"/>
        <w:rPr>
          <w:rFonts w:hint="eastAsia" w:ascii="宋体" w:hAnsi="宋体"/>
          <w:color w:val="000000"/>
          <w:sz w:val="24"/>
          <w:highlight w:val="none"/>
        </w:rPr>
      </w:pPr>
      <w:r>
        <w:rPr>
          <w:rFonts w:ascii="宋体" w:hAnsi="宋体"/>
          <w:color w:val="000000"/>
          <w:sz w:val="24"/>
          <w:szCs w:val="20"/>
          <w:highlight w:val="none"/>
        </w:rPr>
        <w:t>日期：</w:t>
      </w:r>
      <w:r>
        <w:rPr>
          <w:rFonts w:ascii="宋体" w:hAnsi="宋体"/>
          <w:sz w:val="24"/>
          <w:highlight w:val="none"/>
        </w:rPr>
        <w:t>______</w:t>
      </w:r>
      <w:r>
        <w:rPr>
          <w:rFonts w:ascii="宋体" w:hAnsi="宋体"/>
          <w:color w:val="000000"/>
          <w:sz w:val="24"/>
          <w:szCs w:val="20"/>
          <w:highlight w:val="none"/>
        </w:rPr>
        <w:t>年</w:t>
      </w:r>
      <w:r>
        <w:rPr>
          <w:rFonts w:ascii="宋体" w:hAnsi="宋体"/>
          <w:sz w:val="24"/>
          <w:highlight w:val="none"/>
        </w:rPr>
        <w:t>______</w:t>
      </w:r>
      <w:r>
        <w:rPr>
          <w:rFonts w:ascii="宋体" w:hAnsi="宋体"/>
          <w:color w:val="000000"/>
          <w:sz w:val="24"/>
          <w:szCs w:val="20"/>
          <w:highlight w:val="none"/>
        </w:rPr>
        <w:t>月</w:t>
      </w:r>
      <w:r>
        <w:rPr>
          <w:rFonts w:ascii="宋体" w:hAnsi="宋体"/>
          <w:sz w:val="24"/>
          <w:highlight w:val="none"/>
        </w:rPr>
        <w:t>______</w:t>
      </w:r>
      <w:r>
        <w:rPr>
          <w:rFonts w:ascii="宋体" w:hAnsi="宋体"/>
          <w:color w:val="000000"/>
          <w:sz w:val="24"/>
          <w:szCs w:val="20"/>
          <w:highlight w:val="none"/>
        </w:rPr>
        <w:t>日</w:t>
      </w:r>
    </w:p>
    <w:p w14:paraId="6EBF41C4">
      <w:pPr>
        <w:spacing w:line="360" w:lineRule="auto"/>
        <w:ind w:left="480"/>
        <w:jc w:val="right"/>
        <w:rPr>
          <w:rFonts w:hint="eastAsia" w:ascii="宋体" w:hAnsi="宋体"/>
          <w:b/>
          <w:color w:val="000000"/>
          <w:sz w:val="24"/>
          <w:highlight w:val="none"/>
        </w:rPr>
      </w:pPr>
    </w:p>
    <w:p w14:paraId="3A4AEB06">
      <w:pPr>
        <w:tabs>
          <w:tab w:val="left" w:pos="8280"/>
        </w:tabs>
        <w:spacing w:line="360" w:lineRule="auto"/>
        <w:ind w:firstLine="480"/>
        <w:rPr>
          <w:rFonts w:hint="eastAsia" w:ascii="宋体" w:hAnsi="宋体"/>
          <w:color w:val="000000"/>
          <w:sz w:val="24"/>
          <w:highlight w:val="none"/>
        </w:rPr>
      </w:pPr>
    </w:p>
    <w:p w14:paraId="67271188">
      <w:pPr>
        <w:tabs>
          <w:tab w:val="left" w:pos="8280"/>
        </w:tabs>
        <w:spacing w:line="360" w:lineRule="auto"/>
        <w:ind w:firstLine="480"/>
        <w:rPr>
          <w:rFonts w:hint="eastAsia" w:ascii="宋体" w:hAnsi="宋体"/>
          <w:color w:val="000000"/>
          <w:sz w:val="24"/>
          <w:highlight w:val="none"/>
        </w:rPr>
      </w:pPr>
    </w:p>
    <w:p w14:paraId="60D86BC4">
      <w:pPr>
        <w:spacing w:line="360" w:lineRule="auto"/>
        <w:ind w:left="719" w:leftChars="228" w:hanging="240" w:hangingChars="100"/>
        <w:rPr>
          <w:rFonts w:hint="eastAsia" w:ascii="宋体" w:hAnsi="宋体"/>
          <w:color w:val="000000"/>
          <w:sz w:val="24"/>
          <w:highlight w:val="none"/>
        </w:rPr>
      </w:pPr>
      <w:r>
        <w:rPr>
          <w:rFonts w:ascii="宋体" w:hAnsi="宋体"/>
          <w:color w:val="000000"/>
          <w:sz w:val="24"/>
          <w:highlight w:val="none"/>
        </w:rPr>
        <w:t>注：</w:t>
      </w:r>
    </w:p>
    <w:p w14:paraId="69AB247A">
      <w:pPr>
        <w:spacing w:line="360" w:lineRule="auto"/>
        <w:ind w:left="719" w:leftChars="228" w:hanging="240" w:hangingChars="100"/>
        <w:rPr>
          <w:rFonts w:hint="eastAsia" w:ascii="宋体" w:hAnsi="宋体"/>
          <w:color w:val="000000"/>
          <w:sz w:val="24"/>
          <w:highlight w:val="none"/>
        </w:rPr>
      </w:pPr>
      <w:r>
        <w:rPr>
          <w:rFonts w:ascii="宋体" w:hAnsi="宋体"/>
          <w:color w:val="000000"/>
          <w:sz w:val="24"/>
          <w:highlight w:val="none"/>
        </w:rPr>
        <w:t>1. 如本项目（包）接受供应商以联合体形式参加采购活动，且供应商以联合体形式参与时，须提供《联合协议》，否则</w:t>
      </w:r>
      <w:r>
        <w:rPr>
          <w:rFonts w:ascii="宋体" w:hAnsi="宋体"/>
          <w:b/>
          <w:color w:val="000000"/>
          <w:sz w:val="24"/>
          <w:highlight w:val="none"/>
        </w:rPr>
        <w:t>响应无效</w:t>
      </w:r>
      <w:r>
        <w:rPr>
          <w:rFonts w:ascii="宋体" w:hAnsi="宋体"/>
          <w:color w:val="000000"/>
          <w:sz w:val="24"/>
          <w:highlight w:val="none"/>
        </w:rPr>
        <w:t>。</w:t>
      </w:r>
    </w:p>
    <w:p w14:paraId="65A35A33">
      <w:pPr>
        <w:spacing w:line="360" w:lineRule="auto"/>
        <w:ind w:left="719" w:leftChars="228" w:hanging="240" w:hangingChars="100"/>
        <w:rPr>
          <w:rFonts w:hint="eastAsia" w:ascii="宋体" w:hAnsi="宋体"/>
          <w:color w:val="000000"/>
          <w:sz w:val="24"/>
          <w:highlight w:val="none"/>
        </w:rPr>
      </w:pPr>
      <w:r>
        <w:rPr>
          <w:rFonts w:ascii="宋体" w:hAnsi="宋体"/>
          <w:color w:val="000000"/>
          <w:sz w:val="24"/>
          <w:highlight w:val="none"/>
        </w:rPr>
        <w:t>2. 联合体各方成员</w:t>
      </w:r>
      <w:r>
        <w:rPr>
          <w:rFonts w:hint="eastAsia" w:ascii="宋体" w:hAnsi="宋体"/>
          <w:color w:val="000000"/>
          <w:sz w:val="24"/>
          <w:highlight w:val="none"/>
        </w:rPr>
        <w:t>须</w:t>
      </w:r>
      <w:r>
        <w:rPr>
          <w:rFonts w:ascii="宋体" w:hAnsi="宋体"/>
          <w:color w:val="000000"/>
          <w:sz w:val="24"/>
          <w:highlight w:val="none"/>
        </w:rPr>
        <w:t>在本协议上共同盖章。</w:t>
      </w:r>
    </w:p>
    <w:p w14:paraId="46C8365C">
      <w:pPr>
        <w:widowControl/>
        <w:jc w:val="left"/>
        <w:rPr>
          <w:rFonts w:hint="eastAsia" w:ascii="宋体" w:hAnsi="宋体"/>
          <w:sz w:val="24"/>
          <w:highlight w:val="none"/>
        </w:rPr>
      </w:pPr>
      <w:r>
        <w:rPr>
          <w:rFonts w:ascii="宋体" w:hAnsi="宋体"/>
          <w:sz w:val="24"/>
          <w:highlight w:val="none"/>
        </w:rPr>
        <w:br w:type="page"/>
      </w:r>
    </w:p>
    <w:p w14:paraId="09DA4D7A">
      <w:pPr>
        <w:spacing w:line="360" w:lineRule="auto"/>
        <w:outlineLvl w:val="2"/>
        <w:rPr>
          <w:rFonts w:ascii="宋体" w:hAnsi="宋体"/>
          <w:sz w:val="24"/>
          <w:szCs w:val="20"/>
          <w:highlight w:val="none"/>
        </w:rPr>
      </w:pPr>
      <w:r>
        <w:rPr>
          <w:rFonts w:ascii="宋体" w:hAnsi="宋体"/>
          <w:color w:val="000000"/>
          <w:sz w:val="24"/>
          <w:szCs w:val="20"/>
          <w:highlight w:val="none"/>
        </w:rPr>
        <w:t>3-2 其他</w:t>
      </w:r>
      <w:r>
        <w:rPr>
          <w:rFonts w:ascii="宋体" w:hAnsi="宋体"/>
          <w:sz w:val="24"/>
          <w:szCs w:val="20"/>
          <w:highlight w:val="none"/>
        </w:rPr>
        <w:t>特定资格要求</w:t>
      </w:r>
    </w:p>
    <w:p w14:paraId="16B14AEB">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u w:val="none"/>
        </w:rPr>
      </w:pPr>
      <w:r>
        <w:rPr>
          <w:rFonts w:hint="eastAsia" w:ascii="宋体" w:hAnsi="宋体"/>
          <w:sz w:val="24"/>
          <w:highlight w:val="none"/>
          <w:u w:val="none"/>
        </w:rPr>
        <w:t>通过</w:t>
      </w:r>
      <w:r>
        <w:rPr>
          <w:rFonts w:ascii="宋体" w:hAnsi="宋体"/>
          <w:sz w:val="24"/>
          <w:highlight w:val="none"/>
          <w:u w:val="none"/>
        </w:rPr>
        <w:t>“</w:t>
      </w:r>
      <w:r>
        <w:rPr>
          <w:rFonts w:hint="eastAsia" w:ascii="宋体" w:hAnsi="宋体"/>
          <w:sz w:val="24"/>
          <w:highlight w:val="none"/>
          <w:u w:val="none"/>
        </w:rPr>
        <w:t>信用中国</w:t>
      </w:r>
      <w:r>
        <w:rPr>
          <w:rFonts w:ascii="宋体" w:hAnsi="宋体"/>
          <w:sz w:val="24"/>
          <w:highlight w:val="none"/>
          <w:u w:val="none"/>
        </w:rPr>
        <w:t>”</w:t>
      </w:r>
      <w:r>
        <w:rPr>
          <w:rFonts w:hint="eastAsia" w:ascii="宋体" w:hAnsi="宋体"/>
          <w:sz w:val="24"/>
          <w:highlight w:val="none"/>
          <w:u w:val="none"/>
        </w:rPr>
        <w:t>网站（</w:t>
      </w:r>
      <w:r>
        <w:rPr>
          <w:rFonts w:ascii="宋体" w:hAnsi="宋体"/>
          <w:sz w:val="24"/>
          <w:highlight w:val="none"/>
          <w:u w:val="none"/>
        </w:rPr>
        <w:t>www.creditchina.gov.cn</w:t>
      </w:r>
      <w:r>
        <w:rPr>
          <w:rFonts w:hint="eastAsia" w:ascii="宋体" w:hAnsi="宋体"/>
          <w:sz w:val="24"/>
          <w:highlight w:val="none"/>
          <w:u w:val="none"/>
        </w:rPr>
        <w:t>）、中国政府采购网（</w:t>
      </w:r>
      <w:r>
        <w:rPr>
          <w:rFonts w:ascii="宋体" w:hAnsi="宋体"/>
          <w:sz w:val="24"/>
          <w:highlight w:val="none"/>
          <w:u w:val="none"/>
        </w:rPr>
        <w:t>www.ccgp.gov.cn</w:t>
      </w:r>
      <w:r>
        <w:rPr>
          <w:rFonts w:hint="eastAsia" w:ascii="宋体" w:hAnsi="宋体"/>
          <w:sz w:val="24"/>
          <w:highlight w:val="none"/>
          <w:u w:val="none"/>
        </w:rPr>
        <w:t>）等查询信用记录，被列入失信被执行人、重大税收违法案件当事人名单、政府采购严重违法失信行为记录名单的供应商，没有资格参加本项目的政府采购活动。</w:t>
      </w:r>
    </w:p>
    <w:p w14:paraId="7005178B">
      <w:pPr>
        <w:tabs>
          <w:tab w:val="left" w:pos="900"/>
          <w:tab w:val="left" w:pos="1134"/>
          <w:tab w:val="left" w:pos="1589"/>
          <w:tab w:val="left" w:pos="5521"/>
        </w:tabs>
        <w:snapToGrid w:val="0"/>
        <w:spacing w:line="360" w:lineRule="auto"/>
        <w:rPr>
          <w:rFonts w:hint="eastAsia" w:ascii="宋体" w:hAnsi="宋体"/>
          <w:sz w:val="24"/>
          <w:highlight w:val="none"/>
          <w:u w:val="none"/>
        </w:rPr>
      </w:pPr>
      <w:r>
        <w:rPr>
          <w:rFonts w:hint="eastAsia" w:ascii="宋体" w:hAnsi="宋体"/>
          <w:sz w:val="24"/>
          <w:highlight w:val="none"/>
          <w:u w:val="none"/>
        </w:rPr>
        <w:t xml:space="preserve">1）供应商须具备建设行政主管部门核发的建筑工程施工总承包三级及以上资质（提供证明材料加盖单位公章）； </w:t>
      </w:r>
    </w:p>
    <w:p w14:paraId="2A6BFCFC">
      <w:pPr>
        <w:tabs>
          <w:tab w:val="left" w:pos="900"/>
          <w:tab w:val="left" w:pos="1134"/>
          <w:tab w:val="left" w:pos="1589"/>
          <w:tab w:val="left" w:pos="5521"/>
        </w:tabs>
        <w:snapToGrid w:val="0"/>
        <w:spacing w:line="360" w:lineRule="auto"/>
        <w:rPr>
          <w:rFonts w:hint="eastAsia" w:ascii="宋体" w:hAnsi="宋体"/>
          <w:sz w:val="24"/>
          <w:highlight w:val="none"/>
          <w:u w:val="none"/>
        </w:rPr>
      </w:pPr>
      <w:r>
        <w:rPr>
          <w:rFonts w:hint="eastAsia" w:ascii="宋体" w:hAnsi="宋体"/>
          <w:sz w:val="24"/>
          <w:highlight w:val="none"/>
          <w:u w:val="none"/>
        </w:rPr>
        <w:t xml:space="preserve">2）供应商具有有效的安全生产许可证（提供证明材料加盖单位公章）； </w:t>
      </w:r>
    </w:p>
    <w:p w14:paraId="41F05B4A">
      <w:pPr>
        <w:tabs>
          <w:tab w:val="left" w:pos="900"/>
          <w:tab w:val="left" w:pos="1134"/>
          <w:tab w:val="left" w:pos="1589"/>
          <w:tab w:val="left" w:pos="5521"/>
        </w:tabs>
        <w:snapToGrid w:val="0"/>
        <w:spacing w:line="360" w:lineRule="auto"/>
        <w:rPr>
          <w:rFonts w:hint="eastAsia" w:ascii="宋体" w:hAnsi="宋体"/>
          <w:sz w:val="24"/>
          <w:highlight w:val="none"/>
          <w:u w:val="none"/>
        </w:rPr>
      </w:pPr>
      <w:r>
        <w:rPr>
          <w:rFonts w:hint="eastAsia" w:ascii="宋体" w:hAnsi="宋体"/>
          <w:sz w:val="24"/>
          <w:highlight w:val="none"/>
          <w:u w:val="none"/>
        </w:rPr>
        <w:t>3）供应商拟派项目经理须具备建筑工程专业二级（含）以上的注册建造师执业资格，且注册证书在有效期内的人员，具备有效的安全生产考核合格证书（B 本）</w:t>
      </w:r>
      <w:r>
        <w:rPr>
          <w:rFonts w:hint="eastAsia" w:ascii="宋体" w:hAnsi="宋体"/>
          <w:sz w:val="24"/>
          <w:highlight w:val="none"/>
          <w:u w:val="none"/>
          <w:lang w:eastAsia="zh-CN"/>
        </w:rPr>
        <w:t>，</w:t>
      </w:r>
      <w:r>
        <w:rPr>
          <w:rFonts w:hint="eastAsia" w:ascii="宋体" w:hAnsi="宋体" w:cstheme="minorEastAsia"/>
          <w:sz w:val="24"/>
          <w:highlight w:val="none"/>
          <w:u w:val="none"/>
          <w:shd w:val="clear" w:color="auto" w:fill="FFFFFF"/>
        </w:rPr>
        <w:t>且未担任其他在施建设工程项目的项目经理</w:t>
      </w:r>
      <w:r>
        <w:rPr>
          <w:rFonts w:hint="eastAsia" w:ascii="宋体" w:hAnsi="宋体"/>
          <w:sz w:val="24"/>
          <w:highlight w:val="none"/>
          <w:u w:val="none"/>
        </w:rPr>
        <w:t>；外地企业参与本项目投标需提交有效的外省市建筑企业来京施工备案证明，外地来京建筑企业在办理进京备案时，应当一并办理注册建造师备案手续，已办理备案的外地来京建筑企业注册建造师方可在本市行政区域内开展执业活动（提供证明材及承诺书加盖单位公章）；</w:t>
      </w:r>
    </w:p>
    <w:p w14:paraId="7A1988AE">
      <w:pPr>
        <w:numPr>
          <w:ilvl w:val="0"/>
          <w:numId w:val="19"/>
        </w:numPr>
        <w:tabs>
          <w:tab w:val="left" w:pos="900"/>
          <w:tab w:val="left" w:pos="1134"/>
          <w:tab w:val="left" w:pos="1589"/>
          <w:tab w:val="left" w:pos="5521"/>
        </w:tabs>
        <w:snapToGrid w:val="0"/>
        <w:spacing w:line="360" w:lineRule="auto"/>
        <w:rPr>
          <w:rFonts w:hint="eastAsia" w:ascii="宋体" w:hAnsi="宋体"/>
          <w:sz w:val="24"/>
          <w:highlight w:val="none"/>
          <w:u w:val="none"/>
        </w:rPr>
      </w:pPr>
      <w:r>
        <w:rPr>
          <w:rFonts w:hint="eastAsia" w:ascii="宋体" w:hAnsi="宋体"/>
          <w:sz w:val="24"/>
          <w:highlight w:val="none"/>
          <w:u w:val="none"/>
        </w:rPr>
        <w:t>凡受托为本项目提供整体设计、规范编制或者项目管理、监理、检测等服务的投标人，不得参加投标（提供承诺书加盖单位公章）。</w:t>
      </w:r>
    </w:p>
    <w:p w14:paraId="59F24934">
      <w:pPr>
        <w:bidi w:val="0"/>
        <w:rPr>
          <w:rFonts w:hint="eastAsia"/>
          <w:highlight w:val="none"/>
        </w:rPr>
      </w:pPr>
    </w:p>
    <w:p w14:paraId="16DB03EF">
      <w:pPr>
        <w:bidi w:val="0"/>
        <w:rPr>
          <w:rFonts w:hint="eastAsia"/>
          <w:highlight w:val="none"/>
        </w:rPr>
      </w:pPr>
    </w:p>
    <w:p w14:paraId="6B32ADA8">
      <w:pPr>
        <w:widowControl/>
        <w:jc w:val="left"/>
        <w:rPr>
          <w:rFonts w:hint="eastAsia" w:ascii="宋体" w:hAnsi="宋体"/>
          <w:sz w:val="24"/>
          <w:szCs w:val="20"/>
          <w:highlight w:val="none"/>
        </w:rPr>
      </w:pPr>
      <w:r>
        <w:rPr>
          <w:rFonts w:ascii="宋体" w:hAnsi="宋体"/>
          <w:sz w:val="24"/>
          <w:szCs w:val="20"/>
          <w:highlight w:val="none"/>
        </w:rPr>
        <w:br w:type="page"/>
      </w:r>
    </w:p>
    <w:p w14:paraId="123CEAF6">
      <w:pPr>
        <w:tabs>
          <w:tab w:val="left" w:pos="360"/>
        </w:tabs>
        <w:snapToGrid w:val="0"/>
        <w:spacing w:line="360" w:lineRule="auto"/>
        <w:outlineLvl w:val="1"/>
        <w:rPr>
          <w:rFonts w:hint="eastAsia" w:ascii="宋体" w:hAnsi="宋体"/>
          <w:sz w:val="24"/>
          <w:highlight w:val="none"/>
        </w:rPr>
      </w:pPr>
      <w:r>
        <w:rPr>
          <w:rFonts w:ascii="宋体" w:hAnsi="宋体"/>
          <w:sz w:val="24"/>
          <w:highlight w:val="none"/>
        </w:rPr>
        <w:t>4 磋商保证金凭证/交款单据电子件</w:t>
      </w:r>
    </w:p>
    <w:p w14:paraId="460EAC9E">
      <w:pPr>
        <w:widowControl/>
        <w:jc w:val="left"/>
        <w:rPr>
          <w:rFonts w:hint="eastAsia" w:ascii="宋体" w:hAnsi="宋体"/>
          <w:kern w:val="0"/>
          <w:sz w:val="24"/>
          <w:szCs w:val="20"/>
          <w:highlight w:val="none"/>
        </w:rPr>
      </w:pPr>
      <w:r>
        <w:rPr>
          <w:rFonts w:ascii="宋体" w:hAnsi="宋体"/>
          <w:b/>
          <w:sz w:val="24"/>
          <w:highlight w:val="none"/>
        </w:rPr>
        <w:br w:type="page"/>
      </w:r>
    </w:p>
    <w:p w14:paraId="3C010DA7">
      <w:pPr>
        <w:tabs>
          <w:tab w:val="left" w:pos="360"/>
        </w:tabs>
        <w:snapToGrid w:val="0"/>
        <w:spacing w:line="360" w:lineRule="auto"/>
        <w:outlineLvl w:val="1"/>
        <w:rPr>
          <w:rFonts w:hint="eastAsia" w:ascii="宋体" w:hAnsi="宋体"/>
          <w:sz w:val="24"/>
          <w:highlight w:val="none"/>
        </w:rPr>
      </w:pPr>
      <w:bookmarkStart w:id="2430" w:name="_Hlt520355504"/>
      <w:bookmarkEnd w:id="2430"/>
      <w:bookmarkStart w:id="2431" w:name="_Hlt520273711"/>
      <w:bookmarkEnd w:id="2431"/>
      <w:bookmarkStart w:id="2432" w:name="_Hlt520271212"/>
      <w:bookmarkEnd w:id="2432"/>
      <w:bookmarkStart w:id="2433" w:name="_Hlt520274393"/>
      <w:bookmarkEnd w:id="2433"/>
      <w:bookmarkStart w:id="2434" w:name="_Hlt520274407"/>
      <w:bookmarkEnd w:id="2434"/>
      <w:bookmarkStart w:id="2435" w:name="_Hlt520343392"/>
      <w:bookmarkEnd w:id="2435"/>
      <w:bookmarkStart w:id="2436" w:name="_Hlt520274065"/>
      <w:bookmarkEnd w:id="2436"/>
      <w:bookmarkStart w:id="2437" w:name="_Hlt520343000"/>
      <w:bookmarkEnd w:id="2437"/>
      <w:bookmarkStart w:id="2438" w:name="_Hlt520350918"/>
      <w:bookmarkEnd w:id="2438"/>
      <w:bookmarkStart w:id="2439" w:name="_Hlt520274121"/>
      <w:bookmarkEnd w:id="2439"/>
      <w:bookmarkStart w:id="2440" w:name="_Ref467988698"/>
      <w:bookmarkStart w:id="2441" w:name="_Toc480942349"/>
      <w:bookmarkStart w:id="2442" w:name="_Toc226965746"/>
      <w:bookmarkStart w:id="2443" w:name="_Toc127151556"/>
      <w:bookmarkStart w:id="2444" w:name="_Toc150774761"/>
      <w:bookmarkStart w:id="2445" w:name="_Toc520356217"/>
      <w:bookmarkStart w:id="2446" w:name="_Toc150480794"/>
      <w:bookmarkStart w:id="2447" w:name="_Toc226309800"/>
      <w:bookmarkStart w:id="2448" w:name="_Toc195842921"/>
      <w:bookmarkStart w:id="2449" w:name="_Toc226337252"/>
      <w:bookmarkStart w:id="2450" w:name="_Toc142311058"/>
      <w:bookmarkStart w:id="2451" w:name="_Toc226965829"/>
      <w:r>
        <w:rPr>
          <w:rFonts w:ascii="宋体" w:hAnsi="宋体"/>
          <w:sz w:val="24"/>
          <w:highlight w:val="none"/>
        </w:rPr>
        <w:t xml:space="preserve">5  </w:t>
      </w:r>
      <w:bookmarkEnd w:id="2440"/>
      <w:bookmarkEnd w:id="2441"/>
      <w:r>
        <w:rPr>
          <w:rFonts w:ascii="宋体" w:hAnsi="宋体"/>
          <w:sz w:val="24"/>
          <w:highlight w:val="none"/>
        </w:rPr>
        <w:t>响应书</w:t>
      </w:r>
      <w:bookmarkEnd w:id="2442"/>
      <w:bookmarkEnd w:id="2443"/>
      <w:bookmarkEnd w:id="2444"/>
      <w:bookmarkEnd w:id="2445"/>
      <w:bookmarkEnd w:id="2446"/>
      <w:bookmarkEnd w:id="2447"/>
      <w:bookmarkEnd w:id="2448"/>
      <w:bookmarkEnd w:id="2449"/>
      <w:bookmarkEnd w:id="2450"/>
      <w:bookmarkEnd w:id="2451"/>
      <w:r>
        <w:rPr>
          <w:rFonts w:ascii="宋体" w:hAnsi="宋体"/>
          <w:sz w:val="24"/>
          <w:highlight w:val="none"/>
        </w:rPr>
        <w:t>（实质性格式）</w:t>
      </w:r>
    </w:p>
    <w:p w14:paraId="0F759ADC">
      <w:pPr>
        <w:tabs>
          <w:tab w:val="left" w:pos="5580"/>
        </w:tabs>
        <w:spacing w:line="360" w:lineRule="auto"/>
        <w:rPr>
          <w:rFonts w:hint="eastAsia" w:ascii="宋体" w:hAnsi="宋体"/>
          <w:color w:val="000000"/>
          <w:sz w:val="24"/>
          <w:highlight w:val="none"/>
        </w:rPr>
      </w:pPr>
    </w:p>
    <w:p w14:paraId="2DC29F92">
      <w:pPr>
        <w:spacing w:line="360" w:lineRule="auto"/>
        <w:jc w:val="center"/>
        <w:rPr>
          <w:rFonts w:hint="eastAsia" w:ascii="宋体" w:hAnsi="宋体"/>
          <w:b/>
          <w:color w:val="000000"/>
          <w:sz w:val="36"/>
          <w:szCs w:val="36"/>
          <w:highlight w:val="none"/>
        </w:rPr>
      </w:pPr>
      <w:r>
        <w:rPr>
          <w:rFonts w:ascii="宋体" w:hAnsi="宋体"/>
          <w:b/>
          <w:color w:val="000000"/>
          <w:sz w:val="36"/>
          <w:szCs w:val="36"/>
          <w:highlight w:val="none"/>
        </w:rPr>
        <w:t>响应书</w:t>
      </w:r>
    </w:p>
    <w:p w14:paraId="1E707FFA">
      <w:pPr>
        <w:tabs>
          <w:tab w:val="left" w:pos="5580"/>
        </w:tabs>
        <w:spacing w:line="360" w:lineRule="auto"/>
        <w:rPr>
          <w:rFonts w:hint="eastAsia" w:ascii="宋体" w:hAnsi="宋体"/>
          <w:color w:val="000000"/>
          <w:sz w:val="24"/>
          <w:highlight w:val="none"/>
        </w:rPr>
      </w:pPr>
      <w:r>
        <w:rPr>
          <w:rFonts w:ascii="宋体" w:hAnsi="宋体"/>
          <w:color w:val="000000"/>
          <w:sz w:val="24"/>
          <w:highlight w:val="none"/>
        </w:rPr>
        <w:t>致：</w:t>
      </w:r>
      <w:r>
        <w:rPr>
          <w:rFonts w:ascii="宋体" w:hAnsi="宋体"/>
          <w:color w:val="000000"/>
          <w:sz w:val="24"/>
          <w:highlight w:val="none"/>
          <w:u w:val="single"/>
        </w:rPr>
        <w:t>（采购人或采购代理机构）</w:t>
      </w:r>
    </w:p>
    <w:p w14:paraId="5CEA6ECA">
      <w:pPr>
        <w:tabs>
          <w:tab w:val="left" w:pos="5580"/>
        </w:tabs>
        <w:spacing w:line="360" w:lineRule="auto"/>
        <w:rPr>
          <w:rFonts w:hint="eastAsia" w:ascii="宋体" w:hAnsi="宋体"/>
          <w:color w:val="000000"/>
          <w:sz w:val="24"/>
          <w:szCs w:val="20"/>
          <w:highlight w:val="none"/>
        </w:rPr>
      </w:pPr>
    </w:p>
    <w:p w14:paraId="28A91479">
      <w:pPr>
        <w:tabs>
          <w:tab w:val="left" w:pos="5580"/>
        </w:tabs>
        <w:spacing w:line="360" w:lineRule="auto"/>
        <w:ind w:firstLine="408"/>
        <w:rPr>
          <w:rFonts w:hint="eastAsia" w:ascii="宋体" w:hAnsi="宋体"/>
          <w:color w:val="000000"/>
          <w:sz w:val="24"/>
          <w:szCs w:val="20"/>
          <w:highlight w:val="none"/>
        </w:rPr>
      </w:pPr>
      <w:r>
        <w:rPr>
          <w:rFonts w:ascii="宋体" w:hAnsi="宋体"/>
          <w:color w:val="000000"/>
          <w:sz w:val="24"/>
          <w:szCs w:val="20"/>
          <w:highlight w:val="none"/>
        </w:rPr>
        <w:t>我方参加你方就</w:t>
      </w:r>
      <w:r>
        <w:rPr>
          <w:rFonts w:ascii="宋体" w:hAnsi="宋体"/>
          <w:sz w:val="24"/>
          <w:highlight w:val="none"/>
        </w:rPr>
        <w:t>______</w:t>
      </w:r>
      <w:r>
        <w:rPr>
          <w:rFonts w:ascii="宋体" w:hAnsi="宋体"/>
          <w:color w:val="000000"/>
          <w:sz w:val="24"/>
          <w:szCs w:val="20"/>
          <w:highlight w:val="none"/>
        </w:rPr>
        <w:t>（项目名称，项目编号/包号）组织的采购活动，并对此项目进行磋商。</w:t>
      </w:r>
    </w:p>
    <w:p w14:paraId="79833EAB">
      <w:pPr>
        <w:tabs>
          <w:tab w:val="left" w:pos="5580"/>
        </w:tabs>
        <w:spacing w:line="360" w:lineRule="auto"/>
        <w:ind w:firstLine="408"/>
        <w:rPr>
          <w:rFonts w:hint="eastAsia" w:ascii="宋体" w:hAnsi="宋体"/>
          <w:color w:val="000000"/>
          <w:sz w:val="24"/>
          <w:szCs w:val="20"/>
          <w:highlight w:val="none"/>
        </w:rPr>
      </w:pPr>
      <w:r>
        <w:rPr>
          <w:rFonts w:ascii="宋体" w:hAnsi="宋体"/>
          <w:color w:val="000000"/>
          <w:sz w:val="24"/>
          <w:szCs w:val="20"/>
          <w:highlight w:val="none"/>
        </w:rPr>
        <w:t>1. 我方</w:t>
      </w:r>
      <w:r>
        <w:rPr>
          <w:rFonts w:ascii="宋体" w:hAnsi="宋体"/>
          <w:color w:val="000000"/>
          <w:sz w:val="24"/>
          <w:highlight w:val="none"/>
        </w:rPr>
        <w:t>已详细审查全部竞争性磋商文件</w:t>
      </w:r>
      <w:r>
        <w:rPr>
          <w:rFonts w:ascii="宋体" w:hAnsi="宋体"/>
          <w:color w:val="000000"/>
          <w:sz w:val="24"/>
          <w:szCs w:val="20"/>
          <w:highlight w:val="none"/>
        </w:rPr>
        <w:t>，自愿参与磋商并承诺如下：</w:t>
      </w:r>
    </w:p>
    <w:p w14:paraId="3B0828B9">
      <w:pPr>
        <w:tabs>
          <w:tab w:val="left" w:pos="720"/>
          <w:tab w:val="left" w:pos="900"/>
        </w:tabs>
        <w:spacing w:line="360" w:lineRule="auto"/>
        <w:ind w:left="360" w:firstLine="72" w:firstLineChars="30"/>
        <w:rPr>
          <w:rFonts w:hint="eastAsia" w:ascii="宋体" w:hAnsi="宋体"/>
          <w:color w:val="000000"/>
          <w:sz w:val="24"/>
          <w:szCs w:val="20"/>
          <w:highlight w:val="none"/>
        </w:rPr>
      </w:pPr>
      <w:r>
        <w:rPr>
          <w:rFonts w:ascii="宋体" w:hAnsi="宋体"/>
          <w:color w:val="000000"/>
          <w:sz w:val="24"/>
          <w:szCs w:val="20"/>
          <w:highlight w:val="none"/>
        </w:rPr>
        <w:t>（1）本响应有效期为自响应文件提交截止之日起</w:t>
      </w:r>
      <w:r>
        <w:rPr>
          <w:rFonts w:ascii="宋体" w:hAnsi="宋体"/>
          <w:sz w:val="24"/>
          <w:highlight w:val="none"/>
        </w:rPr>
        <w:t>______</w:t>
      </w:r>
      <w:r>
        <w:rPr>
          <w:rFonts w:ascii="宋体" w:hAnsi="宋体"/>
          <w:color w:val="000000"/>
          <w:sz w:val="24"/>
          <w:szCs w:val="20"/>
          <w:highlight w:val="none"/>
        </w:rPr>
        <w:t>个日历日。</w:t>
      </w:r>
    </w:p>
    <w:p w14:paraId="430F0BC3">
      <w:pPr>
        <w:tabs>
          <w:tab w:val="left" w:pos="720"/>
          <w:tab w:val="left" w:pos="900"/>
        </w:tabs>
        <w:spacing w:line="360" w:lineRule="auto"/>
        <w:ind w:left="360" w:firstLine="72" w:firstLineChars="30"/>
        <w:rPr>
          <w:rFonts w:hint="eastAsia" w:ascii="宋体" w:hAnsi="宋体"/>
          <w:color w:val="000000"/>
          <w:sz w:val="24"/>
          <w:szCs w:val="20"/>
          <w:highlight w:val="none"/>
        </w:rPr>
      </w:pPr>
      <w:r>
        <w:rPr>
          <w:rFonts w:ascii="宋体" w:hAnsi="宋体"/>
          <w:color w:val="000000"/>
          <w:sz w:val="24"/>
          <w:szCs w:val="20"/>
          <w:highlight w:val="none"/>
        </w:rPr>
        <w:t>（2）除合同条款及采购需求偏离表列出的偏离外，我方响应竞争性磋商文件的全部要求。</w:t>
      </w:r>
    </w:p>
    <w:p w14:paraId="3343076A">
      <w:pPr>
        <w:tabs>
          <w:tab w:val="left" w:pos="5580"/>
        </w:tabs>
        <w:spacing w:line="360" w:lineRule="auto"/>
        <w:ind w:firstLine="420" w:firstLineChars="175"/>
        <w:rPr>
          <w:rFonts w:hint="eastAsia" w:ascii="宋体" w:hAnsi="宋体"/>
          <w:color w:val="000000"/>
          <w:sz w:val="24"/>
          <w:szCs w:val="20"/>
          <w:highlight w:val="none"/>
        </w:rPr>
      </w:pPr>
      <w:r>
        <w:rPr>
          <w:rFonts w:ascii="宋体" w:hAnsi="宋体"/>
          <w:color w:val="000000"/>
          <w:sz w:val="24"/>
          <w:szCs w:val="20"/>
          <w:highlight w:val="none"/>
        </w:rPr>
        <w:t>（3）我方已提供的全部文件资料是真实、准确的，并对此承担一切法律后果。</w:t>
      </w:r>
    </w:p>
    <w:p w14:paraId="2D80439A">
      <w:pPr>
        <w:tabs>
          <w:tab w:val="left" w:pos="5580"/>
        </w:tabs>
        <w:spacing w:line="360" w:lineRule="auto"/>
        <w:ind w:firstLine="420" w:firstLineChars="175"/>
        <w:rPr>
          <w:rFonts w:hint="eastAsia" w:ascii="宋体" w:hAnsi="宋体"/>
          <w:color w:val="000000"/>
          <w:sz w:val="24"/>
          <w:highlight w:val="none"/>
        </w:rPr>
      </w:pPr>
      <w:r>
        <w:rPr>
          <w:rFonts w:ascii="宋体" w:hAnsi="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2CAE3979">
      <w:pPr>
        <w:spacing w:line="360" w:lineRule="auto"/>
        <w:ind w:left="420"/>
        <w:rPr>
          <w:rFonts w:hint="eastAsia" w:ascii="宋体" w:hAnsi="宋体"/>
          <w:color w:val="000000"/>
          <w:sz w:val="24"/>
          <w:highlight w:val="none"/>
        </w:rPr>
      </w:pPr>
      <w:r>
        <w:rPr>
          <w:rFonts w:ascii="宋体" w:hAnsi="宋体"/>
          <w:color w:val="000000"/>
          <w:sz w:val="24"/>
          <w:highlight w:val="none"/>
        </w:rPr>
        <w:t>2. 其他补充条款（如有）：</w:t>
      </w:r>
      <w:r>
        <w:rPr>
          <w:rFonts w:ascii="宋体" w:hAnsi="宋体"/>
          <w:sz w:val="24"/>
          <w:highlight w:val="none"/>
        </w:rPr>
        <w:t>______</w:t>
      </w:r>
      <w:r>
        <w:rPr>
          <w:rFonts w:ascii="宋体" w:hAnsi="宋体"/>
          <w:color w:val="000000"/>
          <w:sz w:val="24"/>
          <w:highlight w:val="none"/>
        </w:rPr>
        <w:t>。</w:t>
      </w:r>
    </w:p>
    <w:p w14:paraId="32DF9839">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与本磋商有关的一切正式往来信函请寄：</w:t>
      </w:r>
    </w:p>
    <w:p w14:paraId="46DF7E33">
      <w:pPr>
        <w:tabs>
          <w:tab w:val="left" w:pos="5580"/>
        </w:tabs>
        <w:spacing w:line="360" w:lineRule="auto"/>
        <w:ind w:left="420"/>
        <w:rPr>
          <w:rFonts w:hint="eastAsia" w:ascii="宋体" w:hAnsi="宋体"/>
          <w:color w:val="000000"/>
          <w:sz w:val="24"/>
          <w:szCs w:val="20"/>
          <w:highlight w:val="none"/>
        </w:rPr>
      </w:pPr>
    </w:p>
    <w:p w14:paraId="72EFC70F">
      <w:pPr>
        <w:tabs>
          <w:tab w:val="left" w:pos="5580"/>
        </w:tabs>
        <w:spacing w:line="360" w:lineRule="auto"/>
        <w:ind w:left="420"/>
        <w:rPr>
          <w:rFonts w:ascii="宋体" w:hAnsi="宋体"/>
          <w:color w:val="000000"/>
          <w:sz w:val="24"/>
          <w:szCs w:val="20"/>
          <w:highlight w:val="none"/>
        </w:rPr>
      </w:pPr>
      <w:r>
        <w:rPr>
          <w:rFonts w:ascii="宋体" w:hAnsi="宋体"/>
          <w:color w:val="000000"/>
          <w:sz w:val="24"/>
          <w:szCs w:val="20"/>
          <w:highlight w:val="none"/>
        </w:rPr>
        <w:t>地址</w:t>
      </w:r>
      <w:r>
        <w:rPr>
          <w:rFonts w:ascii="宋体" w:hAnsi="宋体"/>
          <w:bCs/>
          <w:color w:val="000000"/>
          <w:sz w:val="24"/>
          <w:highlight w:val="none"/>
        </w:rPr>
        <w:t>_________________________</w:t>
      </w:r>
      <w:r>
        <w:rPr>
          <w:rFonts w:ascii="宋体" w:hAnsi="宋体"/>
          <w:color w:val="000000"/>
          <w:sz w:val="24"/>
          <w:szCs w:val="20"/>
          <w:highlight w:val="none"/>
        </w:rPr>
        <w:t xml:space="preserve">      </w:t>
      </w:r>
    </w:p>
    <w:p w14:paraId="06F94CE9">
      <w:pPr>
        <w:tabs>
          <w:tab w:val="left" w:pos="5580"/>
        </w:tabs>
        <w:spacing w:line="360" w:lineRule="auto"/>
        <w:ind w:left="420"/>
        <w:rPr>
          <w:rFonts w:hint="eastAsia" w:ascii="宋体" w:hAnsi="宋体"/>
          <w:color w:val="000000"/>
          <w:sz w:val="24"/>
          <w:szCs w:val="20"/>
          <w:highlight w:val="none"/>
        </w:rPr>
      </w:pPr>
      <w:r>
        <w:rPr>
          <w:rFonts w:ascii="宋体" w:hAnsi="宋体"/>
          <w:color w:val="000000"/>
          <w:sz w:val="24"/>
          <w:szCs w:val="20"/>
          <w:highlight w:val="none"/>
        </w:rPr>
        <w:t>传真</w:t>
      </w:r>
      <w:r>
        <w:rPr>
          <w:rFonts w:ascii="宋体" w:hAnsi="宋体"/>
          <w:bCs/>
          <w:color w:val="000000"/>
          <w:sz w:val="24"/>
          <w:highlight w:val="none"/>
        </w:rPr>
        <w:t>_________________________</w:t>
      </w:r>
    </w:p>
    <w:p w14:paraId="3F044A3E">
      <w:pPr>
        <w:tabs>
          <w:tab w:val="left" w:pos="5580"/>
        </w:tabs>
        <w:spacing w:line="360" w:lineRule="auto"/>
        <w:ind w:left="420"/>
        <w:rPr>
          <w:rFonts w:ascii="宋体" w:hAnsi="宋体"/>
          <w:color w:val="000000"/>
          <w:sz w:val="24"/>
          <w:szCs w:val="20"/>
          <w:highlight w:val="none"/>
        </w:rPr>
      </w:pPr>
      <w:r>
        <w:rPr>
          <w:rFonts w:ascii="宋体" w:hAnsi="宋体"/>
          <w:color w:val="000000"/>
          <w:sz w:val="24"/>
          <w:szCs w:val="20"/>
          <w:highlight w:val="none"/>
        </w:rPr>
        <w:t>电话</w:t>
      </w:r>
      <w:r>
        <w:rPr>
          <w:rFonts w:ascii="宋体" w:hAnsi="宋体"/>
          <w:bCs/>
          <w:color w:val="000000"/>
          <w:sz w:val="24"/>
          <w:highlight w:val="none"/>
        </w:rPr>
        <w:t>_________________________</w:t>
      </w:r>
      <w:r>
        <w:rPr>
          <w:rFonts w:ascii="宋体" w:hAnsi="宋体"/>
          <w:color w:val="000000"/>
          <w:sz w:val="24"/>
          <w:szCs w:val="20"/>
          <w:highlight w:val="none"/>
        </w:rPr>
        <w:t xml:space="preserve">      </w:t>
      </w:r>
    </w:p>
    <w:p w14:paraId="25084D14">
      <w:pPr>
        <w:tabs>
          <w:tab w:val="left" w:pos="5580"/>
        </w:tabs>
        <w:spacing w:line="360" w:lineRule="auto"/>
        <w:ind w:left="420"/>
        <w:rPr>
          <w:rFonts w:hint="eastAsia" w:ascii="宋体" w:hAnsi="宋体"/>
          <w:color w:val="000000"/>
          <w:sz w:val="24"/>
          <w:szCs w:val="20"/>
          <w:highlight w:val="none"/>
        </w:rPr>
      </w:pPr>
      <w:r>
        <w:rPr>
          <w:rFonts w:ascii="宋体" w:hAnsi="宋体"/>
          <w:color w:val="000000"/>
          <w:sz w:val="24"/>
          <w:szCs w:val="20"/>
          <w:highlight w:val="none"/>
        </w:rPr>
        <w:t>电子函件</w:t>
      </w:r>
      <w:r>
        <w:rPr>
          <w:rFonts w:ascii="宋体" w:hAnsi="宋体"/>
          <w:bCs/>
          <w:color w:val="000000"/>
          <w:sz w:val="24"/>
          <w:highlight w:val="none"/>
        </w:rPr>
        <w:t>_____________________</w:t>
      </w:r>
    </w:p>
    <w:p w14:paraId="4A81C837">
      <w:pPr>
        <w:tabs>
          <w:tab w:val="left" w:pos="5580"/>
        </w:tabs>
        <w:spacing w:line="360" w:lineRule="auto"/>
        <w:ind w:left="420"/>
        <w:rPr>
          <w:rFonts w:hint="eastAsia" w:ascii="宋体" w:hAnsi="宋体"/>
          <w:color w:val="000000"/>
          <w:sz w:val="24"/>
          <w:szCs w:val="20"/>
          <w:highlight w:val="none"/>
        </w:rPr>
      </w:pPr>
    </w:p>
    <w:p w14:paraId="6FEAB88D">
      <w:pPr>
        <w:tabs>
          <w:tab w:val="left" w:pos="5580"/>
        </w:tabs>
        <w:spacing w:line="360" w:lineRule="auto"/>
        <w:ind w:left="420"/>
        <w:rPr>
          <w:rFonts w:hint="eastAsia" w:ascii="宋体" w:hAnsi="宋体"/>
          <w:color w:val="000000"/>
          <w:sz w:val="24"/>
          <w:szCs w:val="20"/>
          <w:highlight w:val="none"/>
        </w:rPr>
      </w:pPr>
    </w:p>
    <w:p w14:paraId="1AB6D982">
      <w:pPr>
        <w:tabs>
          <w:tab w:val="left" w:pos="5580"/>
        </w:tabs>
        <w:spacing w:line="360" w:lineRule="auto"/>
        <w:ind w:left="420"/>
        <w:rPr>
          <w:rFonts w:hint="eastAsia" w:ascii="宋体" w:hAnsi="宋体"/>
          <w:color w:val="000000"/>
          <w:sz w:val="24"/>
          <w:szCs w:val="20"/>
          <w:highlight w:val="none"/>
        </w:rPr>
      </w:pPr>
    </w:p>
    <w:p w14:paraId="73C3136F">
      <w:pPr>
        <w:autoSpaceDE w:val="0"/>
        <w:autoSpaceDN w:val="0"/>
        <w:adjustRightInd w:val="0"/>
        <w:snapToGrid w:val="0"/>
        <w:spacing w:before="25" w:after="25" w:line="360" w:lineRule="auto"/>
        <w:ind w:right="360" w:firstLine="360" w:firstLineChars="150"/>
        <w:rPr>
          <w:rFonts w:hint="eastAsia"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1DCD86E8">
      <w:pPr>
        <w:tabs>
          <w:tab w:val="left" w:pos="5580"/>
        </w:tabs>
        <w:spacing w:line="360" w:lineRule="auto"/>
        <w:ind w:firstLine="360" w:firstLineChars="150"/>
        <w:rPr>
          <w:rFonts w:hint="eastAsia" w:ascii="宋体" w:hAnsi="宋体"/>
          <w:color w:val="000000"/>
          <w:sz w:val="24"/>
          <w:szCs w:val="20"/>
          <w:highlight w:val="none"/>
        </w:rPr>
      </w:pPr>
      <w:r>
        <w:rPr>
          <w:rFonts w:ascii="宋体" w:hAnsi="宋体"/>
          <w:color w:val="000000"/>
          <w:sz w:val="24"/>
          <w:szCs w:val="20"/>
          <w:highlight w:val="none"/>
        </w:rPr>
        <w:t xml:space="preserve">日期：____年____月____日  </w:t>
      </w:r>
    </w:p>
    <w:p w14:paraId="70BD363D">
      <w:pPr>
        <w:tabs>
          <w:tab w:val="left" w:pos="5580"/>
        </w:tabs>
        <w:spacing w:line="360" w:lineRule="auto"/>
        <w:ind w:left="420"/>
        <w:jc w:val="left"/>
        <w:rPr>
          <w:rFonts w:hint="eastAsia" w:ascii="宋体" w:hAnsi="宋体"/>
          <w:color w:val="000000"/>
          <w:sz w:val="24"/>
          <w:szCs w:val="20"/>
          <w:highlight w:val="none"/>
        </w:rPr>
      </w:pPr>
    </w:p>
    <w:p w14:paraId="25D6B8B3">
      <w:pPr>
        <w:widowControl/>
        <w:jc w:val="left"/>
        <w:rPr>
          <w:rFonts w:hint="eastAsia" w:ascii="宋体" w:hAnsi="宋体"/>
          <w:b/>
          <w:color w:val="000000"/>
          <w:sz w:val="24"/>
          <w:szCs w:val="20"/>
          <w:highlight w:val="none"/>
        </w:rPr>
      </w:pPr>
      <w:r>
        <w:rPr>
          <w:rFonts w:ascii="宋体" w:hAnsi="宋体"/>
          <w:b/>
          <w:color w:val="000000"/>
          <w:sz w:val="24"/>
          <w:szCs w:val="20"/>
          <w:highlight w:val="none"/>
        </w:rPr>
        <w:br w:type="page"/>
      </w:r>
    </w:p>
    <w:p w14:paraId="39786C4A">
      <w:pPr>
        <w:tabs>
          <w:tab w:val="left" w:pos="360"/>
        </w:tabs>
        <w:snapToGrid w:val="0"/>
        <w:spacing w:line="360" w:lineRule="auto"/>
        <w:outlineLvl w:val="1"/>
        <w:rPr>
          <w:rFonts w:hint="eastAsia" w:ascii="宋体" w:hAnsi="宋体"/>
          <w:sz w:val="24"/>
          <w:highlight w:val="none"/>
        </w:rPr>
      </w:pPr>
      <w:bookmarkStart w:id="2452" w:name="_Hlt520355938"/>
      <w:bookmarkEnd w:id="2452"/>
      <w:bookmarkStart w:id="2453" w:name="_Hlt520356243"/>
      <w:bookmarkEnd w:id="2453"/>
      <w:bookmarkStart w:id="2454" w:name="_Toc305158825"/>
      <w:bookmarkStart w:id="2455" w:name="_Toc142311059"/>
      <w:bookmarkStart w:id="2456" w:name="_Toc226965747"/>
      <w:bookmarkStart w:id="2457" w:name="_Ref467988705"/>
      <w:bookmarkStart w:id="2458" w:name="_Toc150774762"/>
      <w:bookmarkStart w:id="2459" w:name="_Toc226309801"/>
      <w:bookmarkStart w:id="2460" w:name="_Toc127151557"/>
      <w:bookmarkStart w:id="2461" w:name="_Toc195842922"/>
      <w:bookmarkStart w:id="2462" w:name="_Toc150480795"/>
      <w:bookmarkStart w:id="2463" w:name="_Toc264969247"/>
      <w:bookmarkStart w:id="2464" w:name="_Toc480942350"/>
      <w:bookmarkStart w:id="2465" w:name="_Toc226337253"/>
      <w:bookmarkStart w:id="2466" w:name="_Toc226965830"/>
      <w:bookmarkStart w:id="2467" w:name="_Toc305158899"/>
      <w:bookmarkStart w:id="2468" w:name="_Toc265228395"/>
      <w:bookmarkStart w:id="2469" w:name="_Toc520356218"/>
      <w:r>
        <w:rPr>
          <w:rFonts w:ascii="宋体" w:hAnsi="宋体"/>
          <w:sz w:val="24"/>
          <w:highlight w:val="none"/>
        </w:rPr>
        <w:t>6  授权委托书（实质性格式）</w:t>
      </w:r>
    </w:p>
    <w:p w14:paraId="5BDF34BD">
      <w:pPr>
        <w:autoSpaceDE w:val="0"/>
        <w:autoSpaceDN w:val="0"/>
        <w:adjustRightInd w:val="0"/>
        <w:spacing w:line="360" w:lineRule="auto"/>
        <w:jc w:val="center"/>
        <w:rPr>
          <w:rFonts w:hint="eastAsia" w:ascii="宋体" w:hAnsi="宋体"/>
          <w:b/>
          <w:color w:val="000000"/>
          <w:sz w:val="36"/>
          <w:szCs w:val="36"/>
          <w:highlight w:val="none"/>
        </w:rPr>
      </w:pPr>
      <w:r>
        <w:rPr>
          <w:rFonts w:ascii="宋体" w:hAnsi="宋体"/>
          <w:b/>
          <w:color w:val="000000"/>
          <w:sz w:val="36"/>
          <w:szCs w:val="36"/>
          <w:highlight w:val="none"/>
        </w:rPr>
        <w:t>授权委托书</w:t>
      </w:r>
    </w:p>
    <w:p w14:paraId="1CF7190B">
      <w:pPr>
        <w:spacing w:line="360" w:lineRule="auto"/>
        <w:ind w:firstLine="420"/>
        <w:rPr>
          <w:rFonts w:hint="eastAsia" w:ascii="宋体" w:hAnsi="宋体"/>
          <w:color w:val="000000"/>
          <w:sz w:val="24"/>
          <w:szCs w:val="20"/>
          <w:highlight w:val="none"/>
        </w:rPr>
      </w:pPr>
      <w:r>
        <w:rPr>
          <w:rFonts w:ascii="宋体" w:hAnsi="宋体"/>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E88816E">
      <w:pPr>
        <w:spacing w:line="360" w:lineRule="auto"/>
        <w:ind w:firstLine="420"/>
        <w:rPr>
          <w:rFonts w:hint="eastAsia" w:ascii="宋体" w:hAnsi="宋体"/>
          <w:color w:val="000000"/>
          <w:sz w:val="24"/>
          <w:szCs w:val="20"/>
          <w:highlight w:val="none"/>
        </w:rPr>
      </w:pPr>
      <w:r>
        <w:rPr>
          <w:rFonts w:ascii="宋体" w:hAnsi="宋体"/>
          <w:color w:val="000000"/>
          <w:sz w:val="24"/>
          <w:szCs w:val="20"/>
          <w:highlight w:val="none"/>
        </w:rPr>
        <w:t>委托期限：自本授权委托书签署之日起至响应有效期届满之日止。</w:t>
      </w:r>
    </w:p>
    <w:p w14:paraId="65DA28E8">
      <w:pPr>
        <w:spacing w:line="360" w:lineRule="auto"/>
        <w:ind w:firstLine="420"/>
        <w:rPr>
          <w:rFonts w:hint="eastAsia" w:ascii="宋体" w:hAnsi="宋体"/>
          <w:color w:val="000000"/>
          <w:sz w:val="24"/>
          <w:szCs w:val="20"/>
          <w:highlight w:val="none"/>
        </w:rPr>
      </w:pPr>
      <w:r>
        <w:rPr>
          <w:rFonts w:ascii="宋体" w:hAnsi="宋体"/>
          <w:color w:val="000000"/>
          <w:sz w:val="24"/>
          <w:szCs w:val="20"/>
          <w:highlight w:val="none"/>
        </w:rPr>
        <w:t>代理人无转委托权。</w:t>
      </w:r>
      <w:r>
        <w:rPr>
          <w:rFonts w:ascii="宋体" w:hAnsi="宋体"/>
          <w:color w:val="000000"/>
          <w:sz w:val="24"/>
          <w:szCs w:val="20"/>
          <w:highlight w:val="none"/>
        </w:rPr>
        <w:cr/>
      </w:r>
    </w:p>
    <w:p w14:paraId="7D604536">
      <w:pPr>
        <w:spacing w:line="360" w:lineRule="auto"/>
        <w:rPr>
          <w:rFonts w:hint="eastAsia"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color w:val="000000"/>
          <w:sz w:val="24"/>
          <w:szCs w:val="20"/>
          <w:highlight w:val="none"/>
        </w:rPr>
        <w:t>______________</w:t>
      </w:r>
    </w:p>
    <w:p w14:paraId="714C2F43">
      <w:pPr>
        <w:spacing w:line="360" w:lineRule="auto"/>
        <w:rPr>
          <w:rFonts w:hint="eastAsia" w:ascii="宋体" w:hAnsi="宋体"/>
          <w:color w:val="000000"/>
          <w:sz w:val="24"/>
          <w:szCs w:val="20"/>
          <w:highlight w:val="none"/>
        </w:rPr>
      </w:pPr>
      <w:r>
        <w:rPr>
          <w:rFonts w:ascii="宋体" w:hAnsi="宋体"/>
          <w:color w:val="000000"/>
          <w:sz w:val="24"/>
          <w:szCs w:val="20"/>
          <w:highlight w:val="none"/>
        </w:rPr>
        <w:t>法定代表人（单位负责人）（签字或签章）：______________</w:t>
      </w:r>
    </w:p>
    <w:p w14:paraId="12BE06EB">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委托代理人（签字</w:t>
      </w:r>
      <w:r>
        <w:rPr>
          <w:rFonts w:ascii="宋体" w:hAnsi="宋体"/>
          <w:color w:val="000000"/>
          <w:sz w:val="24"/>
          <w:szCs w:val="20"/>
          <w:highlight w:val="none"/>
        </w:rPr>
        <w:t>或签章</w:t>
      </w:r>
      <w:r>
        <w:rPr>
          <w:rFonts w:ascii="宋体" w:hAnsi="宋体"/>
          <w:color w:val="000000"/>
          <w:sz w:val="24"/>
          <w:highlight w:val="none"/>
        </w:rPr>
        <w:t>）：</w:t>
      </w:r>
      <w:r>
        <w:rPr>
          <w:rFonts w:ascii="宋体" w:hAnsi="宋体"/>
          <w:color w:val="000000"/>
          <w:sz w:val="24"/>
          <w:szCs w:val="20"/>
          <w:highlight w:val="none"/>
        </w:rPr>
        <w:t>______________</w:t>
      </w:r>
      <w:r>
        <w:rPr>
          <w:rFonts w:ascii="宋体" w:hAnsi="宋体"/>
          <w:color w:val="000000"/>
          <w:sz w:val="24"/>
          <w:highlight w:val="none"/>
          <w:lang w:val="zh-CN"/>
        </w:rPr>
        <w:t xml:space="preserve">        </w:t>
      </w:r>
    </w:p>
    <w:p w14:paraId="1F1C164D">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w:t>
      </w:r>
      <w:r>
        <w:rPr>
          <w:rFonts w:ascii="宋体" w:hAnsi="宋体"/>
          <w:color w:val="000000"/>
          <w:sz w:val="24"/>
          <w:highlight w:val="none"/>
        </w:rPr>
        <w:t>年</w:t>
      </w:r>
      <w:r>
        <w:rPr>
          <w:rFonts w:ascii="宋体" w:hAnsi="宋体"/>
          <w:color w:val="000000"/>
          <w:sz w:val="24"/>
          <w:szCs w:val="20"/>
          <w:highlight w:val="none"/>
        </w:rPr>
        <w:t>____</w:t>
      </w:r>
      <w:r>
        <w:rPr>
          <w:rFonts w:ascii="宋体" w:hAnsi="宋体"/>
          <w:color w:val="000000"/>
          <w:sz w:val="24"/>
          <w:highlight w:val="none"/>
        </w:rPr>
        <w:t>月</w:t>
      </w:r>
      <w:r>
        <w:rPr>
          <w:rFonts w:ascii="宋体" w:hAnsi="宋体"/>
          <w:color w:val="000000"/>
          <w:sz w:val="24"/>
          <w:szCs w:val="20"/>
          <w:highlight w:val="none"/>
        </w:rPr>
        <w:t>____</w:t>
      </w:r>
      <w:r>
        <w:rPr>
          <w:rFonts w:ascii="宋体" w:hAnsi="宋体"/>
          <w:color w:val="000000"/>
          <w:sz w:val="24"/>
          <w:highlight w:val="none"/>
        </w:rPr>
        <w:t>日</w:t>
      </w:r>
    </w:p>
    <w:p w14:paraId="139052E7">
      <w:pPr>
        <w:tabs>
          <w:tab w:val="left" w:pos="5580"/>
        </w:tabs>
        <w:spacing w:line="360" w:lineRule="auto"/>
        <w:ind w:firstLine="480" w:firstLineChars="200"/>
        <w:rPr>
          <w:rFonts w:hint="eastAsia" w:ascii="宋体" w:hAnsi="宋体"/>
          <w:color w:val="000000"/>
          <w:sz w:val="24"/>
          <w:szCs w:val="20"/>
          <w:highlight w:val="none"/>
        </w:rPr>
      </w:pPr>
    </w:p>
    <w:p w14:paraId="22C933F9">
      <w:pPr>
        <w:tabs>
          <w:tab w:val="left" w:pos="5580"/>
        </w:tabs>
        <w:spacing w:line="360" w:lineRule="auto"/>
        <w:rPr>
          <w:rFonts w:hint="eastAsia" w:ascii="宋体" w:hAnsi="宋体"/>
          <w:color w:val="000000"/>
          <w:sz w:val="24"/>
          <w:szCs w:val="20"/>
          <w:highlight w:val="none"/>
        </w:rPr>
      </w:pPr>
      <w:r>
        <w:rPr>
          <w:rFonts w:hint="eastAsia" w:ascii="宋体" w:hAnsi="宋体"/>
          <w:color w:val="000000"/>
          <w:sz w:val="24"/>
          <w:szCs w:val="20"/>
          <w:highlight w:val="none"/>
        </w:rPr>
        <w:t>附：</w:t>
      </w:r>
      <w:r>
        <w:rPr>
          <w:rFonts w:ascii="宋体" w:hAnsi="宋体"/>
          <w:color w:val="000000"/>
          <w:sz w:val="24"/>
          <w:szCs w:val="20"/>
          <w:highlight w:val="none"/>
        </w:rPr>
        <w:t>法定代表人</w:t>
      </w:r>
      <w:r>
        <w:rPr>
          <w:rFonts w:hint="eastAsia" w:ascii="宋体" w:hAnsi="宋体"/>
          <w:sz w:val="24"/>
          <w:szCs w:val="20"/>
          <w:highlight w:val="none"/>
        </w:rPr>
        <w:t>（单位负责人）</w:t>
      </w:r>
      <w:r>
        <w:rPr>
          <w:rFonts w:ascii="宋体" w:hAnsi="宋体"/>
          <w:color w:val="000000"/>
          <w:sz w:val="24"/>
          <w:szCs w:val="20"/>
          <w:highlight w:val="none"/>
        </w:rPr>
        <w:t>及委托代理人身份证明文件电子件：</w:t>
      </w:r>
    </w:p>
    <w:p w14:paraId="1BDB98F2">
      <w:pPr>
        <w:tabs>
          <w:tab w:val="left" w:pos="5580"/>
        </w:tabs>
        <w:spacing w:line="360" w:lineRule="auto"/>
        <w:jc w:val="left"/>
        <w:rPr>
          <w:rFonts w:hint="eastAsia" w:ascii="宋体" w:hAnsi="宋体"/>
          <w:color w:val="000000"/>
          <w:sz w:val="24"/>
          <w:szCs w:val="20"/>
          <w:highlight w:val="none"/>
        </w:rPr>
      </w:pPr>
    </w:p>
    <w:p w14:paraId="2B876F15">
      <w:pPr>
        <w:tabs>
          <w:tab w:val="left" w:pos="5580"/>
        </w:tabs>
        <w:spacing w:line="360" w:lineRule="auto"/>
        <w:jc w:val="left"/>
        <w:rPr>
          <w:rFonts w:hint="eastAsia" w:ascii="宋体" w:hAnsi="宋体"/>
          <w:color w:val="000000"/>
          <w:sz w:val="24"/>
          <w:szCs w:val="20"/>
          <w:highlight w:val="none"/>
        </w:rPr>
      </w:pPr>
    </w:p>
    <w:p w14:paraId="05BD4030">
      <w:pPr>
        <w:tabs>
          <w:tab w:val="left" w:pos="5580"/>
        </w:tabs>
        <w:spacing w:line="360" w:lineRule="auto"/>
        <w:jc w:val="left"/>
        <w:rPr>
          <w:rFonts w:hint="eastAsia" w:ascii="宋体" w:hAnsi="宋体"/>
          <w:color w:val="000000"/>
          <w:sz w:val="24"/>
          <w:szCs w:val="20"/>
          <w:highlight w:val="none"/>
        </w:rPr>
      </w:pPr>
    </w:p>
    <w:p w14:paraId="485436D2">
      <w:pPr>
        <w:tabs>
          <w:tab w:val="left" w:pos="5580"/>
        </w:tabs>
        <w:spacing w:line="360" w:lineRule="auto"/>
        <w:jc w:val="left"/>
        <w:rPr>
          <w:rFonts w:hint="eastAsia" w:ascii="宋体" w:hAnsi="宋体"/>
          <w:color w:val="000000"/>
          <w:sz w:val="24"/>
          <w:szCs w:val="20"/>
          <w:highlight w:val="none"/>
        </w:rPr>
      </w:pPr>
    </w:p>
    <w:p w14:paraId="61C7F7C5">
      <w:pPr>
        <w:tabs>
          <w:tab w:val="left" w:pos="5580"/>
        </w:tabs>
        <w:spacing w:line="360" w:lineRule="auto"/>
        <w:jc w:val="left"/>
        <w:rPr>
          <w:rFonts w:hint="eastAsia" w:ascii="宋体" w:hAnsi="宋体"/>
          <w:color w:val="000000"/>
          <w:sz w:val="24"/>
          <w:szCs w:val="20"/>
          <w:highlight w:val="none"/>
        </w:rPr>
      </w:pPr>
      <w:r>
        <w:rPr>
          <w:rFonts w:ascii="宋体" w:hAnsi="宋体"/>
          <w:color w:val="000000"/>
          <w:sz w:val="24"/>
          <w:szCs w:val="20"/>
          <w:highlight w:val="none"/>
        </w:rPr>
        <w:t>说明：</w:t>
      </w:r>
    </w:p>
    <w:p w14:paraId="4F792678">
      <w:pPr>
        <w:tabs>
          <w:tab w:val="left" w:pos="5580"/>
        </w:tabs>
        <w:spacing w:line="360" w:lineRule="auto"/>
        <w:jc w:val="left"/>
        <w:rPr>
          <w:rFonts w:hint="eastAsia" w:ascii="宋体" w:hAnsi="宋体"/>
          <w:color w:val="000000"/>
          <w:sz w:val="24"/>
          <w:szCs w:val="20"/>
          <w:highlight w:val="none"/>
        </w:rPr>
      </w:pPr>
      <w:r>
        <w:rPr>
          <w:rFonts w:ascii="宋体" w:hAnsi="宋体"/>
          <w:color w:val="000000"/>
          <w:sz w:val="24"/>
          <w:szCs w:val="20"/>
          <w:highlight w:val="none"/>
        </w:rPr>
        <w:t>1.若供应商为事业单位或其他组织或分支机构，则法定代表人（单位负责人）处的签署人可为单位负责人。</w:t>
      </w:r>
    </w:p>
    <w:p w14:paraId="75C5A4A1">
      <w:pPr>
        <w:tabs>
          <w:tab w:val="left" w:pos="5580"/>
        </w:tabs>
        <w:spacing w:line="360" w:lineRule="auto"/>
        <w:jc w:val="left"/>
        <w:rPr>
          <w:rFonts w:hint="eastAsia" w:ascii="宋体" w:hAnsi="宋体"/>
          <w:color w:val="000000"/>
          <w:sz w:val="24"/>
          <w:szCs w:val="20"/>
          <w:highlight w:val="none"/>
        </w:rPr>
      </w:pPr>
      <w:r>
        <w:rPr>
          <w:rFonts w:ascii="宋体" w:hAnsi="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3A49A8ED">
      <w:pPr>
        <w:tabs>
          <w:tab w:val="left" w:pos="5580"/>
        </w:tabs>
        <w:spacing w:line="360" w:lineRule="auto"/>
        <w:jc w:val="left"/>
        <w:rPr>
          <w:rFonts w:hint="eastAsia" w:ascii="宋体" w:hAnsi="宋体"/>
          <w:color w:val="000000"/>
          <w:sz w:val="24"/>
          <w:szCs w:val="20"/>
          <w:highlight w:val="none"/>
        </w:rPr>
      </w:pPr>
      <w:r>
        <w:rPr>
          <w:rFonts w:ascii="宋体" w:hAnsi="宋体"/>
          <w:color w:val="000000"/>
          <w:sz w:val="24"/>
          <w:szCs w:val="20"/>
          <w:highlight w:val="none"/>
        </w:rPr>
        <w:t>3.供应商为自然人的情形，可不提供本《授权委托书》。</w:t>
      </w:r>
    </w:p>
    <w:p w14:paraId="36E2706D">
      <w:pPr>
        <w:tabs>
          <w:tab w:val="left" w:pos="5580"/>
        </w:tabs>
        <w:spacing w:line="360" w:lineRule="auto"/>
        <w:jc w:val="left"/>
        <w:rPr>
          <w:rFonts w:hint="eastAsia" w:ascii="宋体" w:hAnsi="宋体"/>
          <w:color w:val="000000"/>
          <w:sz w:val="30"/>
          <w:szCs w:val="30"/>
          <w:highlight w:val="none"/>
        </w:rPr>
      </w:pPr>
      <w:r>
        <w:rPr>
          <w:rFonts w:ascii="宋体" w:hAnsi="宋体"/>
          <w:color w:val="000000"/>
          <w:sz w:val="24"/>
          <w:szCs w:val="20"/>
          <w:highlight w:val="none"/>
        </w:rPr>
        <w:t>4.供应商应随本《授权委托书》同时提供法定代表人（单位负责人）及委托代理人的有效的身份证</w:t>
      </w:r>
      <w:r>
        <w:rPr>
          <w:rFonts w:hint="eastAsia" w:ascii="宋体" w:hAnsi="宋体"/>
          <w:color w:val="000000"/>
          <w:sz w:val="24"/>
          <w:szCs w:val="20"/>
          <w:highlight w:val="none"/>
        </w:rPr>
        <w:t>或</w:t>
      </w:r>
      <w:r>
        <w:rPr>
          <w:rFonts w:ascii="宋体" w:hAnsi="宋体"/>
          <w:color w:val="000000"/>
          <w:sz w:val="24"/>
          <w:szCs w:val="20"/>
          <w:highlight w:val="none"/>
        </w:rPr>
        <w:t>护照等身份证明文件电子件。提供身份证的，应同时提供身份证</w:t>
      </w:r>
      <w:r>
        <w:rPr>
          <w:rFonts w:ascii="宋体" w:hAnsi="宋体"/>
          <w:b/>
          <w:color w:val="000000"/>
          <w:sz w:val="24"/>
          <w:szCs w:val="20"/>
          <w:highlight w:val="none"/>
        </w:rPr>
        <w:t>双面</w:t>
      </w:r>
      <w:r>
        <w:rPr>
          <w:rFonts w:ascii="宋体" w:hAnsi="宋体"/>
          <w:color w:val="000000"/>
          <w:sz w:val="24"/>
          <w:szCs w:val="20"/>
          <w:highlight w:val="none"/>
        </w:rPr>
        <w:t>电子件。</w:t>
      </w:r>
      <w:r>
        <w:rPr>
          <w:rFonts w:ascii="宋体" w:hAnsi="宋体"/>
          <w:color w:val="000000"/>
          <w:sz w:val="30"/>
          <w:szCs w:val="30"/>
          <w:highlight w:val="none"/>
        </w:rPr>
        <w:br w:type="page"/>
      </w:r>
    </w:p>
    <w:p w14:paraId="27FFE7C1">
      <w:pPr>
        <w:autoSpaceDE w:val="0"/>
        <w:autoSpaceDN w:val="0"/>
        <w:adjustRightInd w:val="0"/>
        <w:spacing w:line="360" w:lineRule="auto"/>
        <w:jc w:val="center"/>
        <w:rPr>
          <w:rFonts w:hint="eastAsia" w:ascii="宋体" w:hAnsi="宋体"/>
          <w:b/>
          <w:color w:val="000000"/>
          <w:sz w:val="36"/>
          <w:szCs w:val="36"/>
          <w:highlight w:val="none"/>
        </w:rPr>
      </w:pPr>
      <w:r>
        <w:rPr>
          <w:rFonts w:ascii="宋体" w:hAnsi="宋体"/>
          <w:b/>
          <w:color w:val="000000"/>
          <w:sz w:val="36"/>
          <w:szCs w:val="36"/>
          <w:highlight w:val="none"/>
        </w:rPr>
        <w:t>法定代表人（单位负责人）身份证明</w:t>
      </w:r>
    </w:p>
    <w:p w14:paraId="1F6AAF02">
      <w:pPr>
        <w:kinsoku w:val="0"/>
        <w:overflowPunct w:val="0"/>
        <w:spacing w:line="200" w:lineRule="exact"/>
        <w:rPr>
          <w:rFonts w:hint="eastAsia" w:ascii="宋体" w:hAnsi="宋体"/>
          <w:sz w:val="20"/>
          <w:szCs w:val="20"/>
          <w:highlight w:val="none"/>
        </w:rPr>
      </w:pPr>
    </w:p>
    <w:p w14:paraId="5AC895AC">
      <w:pPr>
        <w:tabs>
          <w:tab w:val="left" w:pos="5580"/>
        </w:tabs>
        <w:spacing w:line="360" w:lineRule="auto"/>
        <w:rPr>
          <w:rFonts w:hint="eastAsia" w:ascii="宋体" w:hAnsi="宋体"/>
          <w:color w:val="000000"/>
          <w:sz w:val="24"/>
          <w:highlight w:val="none"/>
        </w:rPr>
      </w:pPr>
      <w:r>
        <w:rPr>
          <w:rFonts w:ascii="宋体" w:hAnsi="宋体"/>
          <w:color w:val="000000"/>
          <w:sz w:val="24"/>
          <w:highlight w:val="none"/>
        </w:rPr>
        <w:t>致：</w:t>
      </w:r>
      <w:r>
        <w:rPr>
          <w:rFonts w:ascii="宋体" w:hAnsi="宋体"/>
          <w:color w:val="000000"/>
          <w:sz w:val="24"/>
          <w:szCs w:val="20"/>
          <w:highlight w:val="none"/>
        </w:rPr>
        <w:t>____</w:t>
      </w:r>
      <w:r>
        <w:rPr>
          <w:rFonts w:ascii="宋体" w:hAnsi="宋体"/>
          <w:color w:val="000000"/>
          <w:sz w:val="24"/>
          <w:highlight w:val="none"/>
        </w:rPr>
        <w:t>（采购人或采购代理机构）</w:t>
      </w:r>
    </w:p>
    <w:p w14:paraId="5C22DF4B">
      <w:pPr>
        <w:pStyle w:val="17"/>
        <w:tabs>
          <w:tab w:val="left" w:pos="2412"/>
          <w:tab w:val="left" w:pos="3883"/>
          <w:tab w:val="left" w:pos="5352"/>
          <w:tab w:val="left" w:pos="6821"/>
        </w:tabs>
        <w:kinsoku w:val="0"/>
        <w:overflowPunct w:val="0"/>
        <w:spacing w:line="335" w:lineRule="exact"/>
        <w:ind w:firstLine="480" w:firstLineChars="200"/>
        <w:rPr>
          <w:rFonts w:hint="eastAsia"/>
          <w:highlight w:val="none"/>
        </w:rPr>
      </w:pPr>
      <w:r>
        <w:rPr>
          <w:highlight w:val="none"/>
        </w:rPr>
        <w:t>兹证明，</w:t>
      </w:r>
    </w:p>
    <w:p w14:paraId="40DD2B18">
      <w:pPr>
        <w:pStyle w:val="17"/>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color w:val="000000"/>
          <w:szCs w:val="20"/>
          <w:highlight w:val="none"/>
        </w:rPr>
        <w:t>____</w:t>
      </w:r>
      <w:r>
        <w:rPr>
          <w:highlight w:val="none"/>
        </w:rPr>
        <w:t>性别：</w:t>
      </w:r>
      <w:r>
        <w:rPr>
          <w:color w:val="000000"/>
          <w:szCs w:val="20"/>
          <w:highlight w:val="none"/>
        </w:rPr>
        <w:t>____</w:t>
      </w:r>
      <w:r>
        <w:rPr>
          <w:highlight w:val="none"/>
        </w:rPr>
        <w:t>年龄：</w:t>
      </w:r>
      <w:r>
        <w:rPr>
          <w:color w:val="000000"/>
          <w:szCs w:val="20"/>
          <w:highlight w:val="none"/>
        </w:rPr>
        <w:t>____</w:t>
      </w:r>
      <w:r>
        <w:rPr>
          <w:highlight w:val="none"/>
        </w:rPr>
        <w:t>职务：</w:t>
      </w:r>
      <w:r>
        <w:rPr>
          <w:color w:val="000000"/>
          <w:szCs w:val="20"/>
          <w:highlight w:val="none"/>
        </w:rPr>
        <w:t>____</w:t>
      </w:r>
    </w:p>
    <w:p w14:paraId="7FCB124E">
      <w:pPr>
        <w:pStyle w:val="17"/>
        <w:tabs>
          <w:tab w:val="left" w:pos="2412"/>
          <w:tab w:val="left" w:pos="3883"/>
          <w:tab w:val="left" w:pos="5352"/>
          <w:tab w:val="left" w:pos="6821"/>
        </w:tabs>
        <w:kinsoku w:val="0"/>
        <w:overflowPunct w:val="0"/>
        <w:spacing w:line="335" w:lineRule="exact"/>
        <w:rPr>
          <w:rFonts w:hint="eastAsia"/>
          <w:highlight w:val="none"/>
        </w:rPr>
      </w:pPr>
    </w:p>
    <w:p w14:paraId="2C8A2B54">
      <w:pPr>
        <w:pStyle w:val="17"/>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r>
        <w:rPr>
          <w:color w:val="000000"/>
          <w:szCs w:val="20"/>
          <w:highlight w:val="none"/>
        </w:rPr>
        <w:t>__________</w:t>
      </w:r>
      <w:r>
        <w:rPr>
          <w:highlight w:val="none"/>
        </w:rPr>
        <w:t>（供应商名称）的法定代表人（单位负责人）。</w:t>
      </w:r>
    </w:p>
    <w:p w14:paraId="4BAD0C0F">
      <w:pPr>
        <w:pStyle w:val="17"/>
        <w:tabs>
          <w:tab w:val="left" w:pos="2412"/>
          <w:tab w:val="left" w:pos="3883"/>
          <w:tab w:val="left" w:pos="5352"/>
          <w:tab w:val="left" w:pos="6821"/>
        </w:tabs>
        <w:kinsoku w:val="0"/>
        <w:overflowPunct w:val="0"/>
        <w:spacing w:line="335" w:lineRule="exact"/>
        <w:rPr>
          <w:rFonts w:hint="eastAsia"/>
          <w:highlight w:val="none"/>
        </w:rPr>
      </w:pPr>
    </w:p>
    <w:p w14:paraId="48B46D6C">
      <w:pPr>
        <w:pStyle w:val="17"/>
        <w:tabs>
          <w:tab w:val="left" w:pos="2412"/>
          <w:tab w:val="left" w:pos="3883"/>
          <w:tab w:val="left" w:pos="5352"/>
          <w:tab w:val="left" w:pos="6821"/>
        </w:tabs>
        <w:kinsoku w:val="0"/>
        <w:overflowPunct w:val="0"/>
        <w:spacing w:line="335" w:lineRule="exact"/>
        <w:rPr>
          <w:rFonts w:hint="eastAsia"/>
          <w:highlight w:val="none"/>
        </w:rPr>
      </w:pPr>
    </w:p>
    <w:p w14:paraId="4CD69722">
      <w:pPr>
        <w:pStyle w:val="17"/>
        <w:kinsoku w:val="0"/>
        <w:overflowPunct w:val="0"/>
        <w:spacing w:line="583" w:lineRule="auto"/>
        <w:ind w:right="-46"/>
        <w:rPr>
          <w:rFonts w:hint="eastAsia"/>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护照等身份证明文件电子件：</w:t>
      </w:r>
    </w:p>
    <w:p w14:paraId="5F70D774">
      <w:pPr>
        <w:pStyle w:val="17"/>
        <w:kinsoku w:val="0"/>
        <w:overflowPunct w:val="0"/>
        <w:spacing w:line="583" w:lineRule="auto"/>
        <w:ind w:right="4305"/>
        <w:rPr>
          <w:rFonts w:hint="eastAsia"/>
          <w:spacing w:val="-3"/>
          <w:highlight w:val="none"/>
        </w:rPr>
      </w:pPr>
    </w:p>
    <w:p w14:paraId="070670C2">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1D20805F">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spacing w:val="-3"/>
          <w:sz w:val="24"/>
          <w:highlight w:val="none"/>
        </w:rPr>
        <w:t>法定代表人（</w:t>
      </w:r>
      <w:r>
        <w:rPr>
          <w:rFonts w:ascii="宋体" w:hAnsi="宋体"/>
          <w:sz w:val="24"/>
          <w:highlight w:val="none"/>
        </w:rPr>
        <w:t>单位负责人</w:t>
      </w:r>
      <w:r>
        <w:rPr>
          <w:rFonts w:ascii="宋体" w:hAnsi="宋体"/>
          <w:spacing w:val="-3"/>
          <w:sz w:val="24"/>
          <w:highlight w:val="none"/>
        </w:rPr>
        <w:t>）（签字</w:t>
      </w:r>
      <w:r>
        <w:rPr>
          <w:rFonts w:ascii="宋体" w:hAnsi="宋体"/>
          <w:color w:val="000000"/>
          <w:sz w:val="24"/>
          <w:szCs w:val="20"/>
          <w:highlight w:val="none"/>
        </w:rPr>
        <w:t>或签章</w:t>
      </w:r>
      <w:r>
        <w:rPr>
          <w:rFonts w:ascii="宋体" w:hAnsi="宋体"/>
          <w:spacing w:val="-3"/>
          <w:sz w:val="24"/>
          <w:highlight w:val="none"/>
        </w:rPr>
        <w:t>）：</w:t>
      </w:r>
      <w:r>
        <w:rPr>
          <w:rFonts w:ascii="宋体" w:hAnsi="宋体"/>
          <w:sz w:val="24"/>
          <w:highlight w:val="none"/>
        </w:rPr>
        <w:t>______</w:t>
      </w:r>
    </w:p>
    <w:p w14:paraId="02E97157">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____年____月____日</w:t>
      </w:r>
    </w:p>
    <w:p w14:paraId="50ADCC41">
      <w:pPr>
        <w:widowControl/>
        <w:jc w:val="left"/>
        <w:rPr>
          <w:rFonts w:hint="eastAsia" w:ascii="宋体" w:hAnsi="宋体"/>
          <w:i/>
          <w:color w:val="000000"/>
          <w:sz w:val="24"/>
          <w:szCs w:val="20"/>
          <w:highlight w:val="none"/>
          <w:u w:val="single"/>
        </w:rPr>
      </w:pPr>
    </w:p>
    <w:p w14:paraId="3681B58E">
      <w:pPr>
        <w:widowControl/>
        <w:jc w:val="left"/>
        <w:rPr>
          <w:rFonts w:hint="eastAsia" w:ascii="宋体" w:hAnsi="宋体"/>
          <w:color w:val="000000"/>
          <w:sz w:val="24"/>
          <w:szCs w:val="20"/>
          <w:highlight w:val="none"/>
        </w:rPr>
      </w:pPr>
      <w:r>
        <w:rPr>
          <w:rFonts w:ascii="宋体" w:hAnsi="宋体"/>
          <w:color w:val="000000"/>
          <w:sz w:val="24"/>
          <w:szCs w:val="20"/>
          <w:highlight w:val="none"/>
        </w:rPr>
        <w:br w:type="page"/>
      </w:r>
    </w:p>
    <w:p w14:paraId="291ECE32">
      <w:pPr>
        <w:tabs>
          <w:tab w:val="left" w:pos="360"/>
        </w:tabs>
        <w:snapToGrid w:val="0"/>
        <w:spacing w:line="360" w:lineRule="auto"/>
        <w:outlineLvl w:val="1"/>
        <w:rPr>
          <w:rFonts w:hint="eastAsia" w:ascii="宋体" w:hAnsi="宋体"/>
          <w:sz w:val="24"/>
          <w:highlight w:val="none"/>
        </w:rPr>
      </w:pPr>
      <w:r>
        <w:rPr>
          <w:rFonts w:ascii="宋体" w:hAnsi="宋体"/>
          <w:sz w:val="24"/>
          <w:highlight w:val="none"/>
        </w:rPr>
        <w:t>7  报价一览表</w:t>
      </w:r>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p>
    <w:p w14:paraId="1DD92431">
      <w:pPr>
        <w:spacing w:line="360" w:lineRule="exact"/>
        <w:jc w:val="center"/>
        <w:rPr>
          <w:rFonts w:hint="eastAsia" w:ascii="宋体" w:hAnsi="宋体"/>
          <w:b/>
          <w:color w:val="000000"/>
          <w:sz w:val="36"/>
          <w:szCs w:val="36"/>
          <w:highlight w:val="none"/>
        </w:rPr>
      </w:pPr>
      <w:bookmarkStart w:id="2470" w:name="_Toc305158826"/>
      <w:bookmarkStart w:id="2471" w:name="_Toc195842923"/>
      <w:bookmarkStart w:id="2472" w:name="_Toc305158900"/>
      <w:bookmarkStart w:id="2473" w:name="_Toc226337254"/>
      <w:bookmarkStart w:id="2474" w:name="_Toc265228396"/>
      <w:bookmarkStart w:id="2475" w:name="_Toc226309802"/>
      <w:bookmarkStart w:id="2476" w:name="_Toc164608672"/>
      <w:bookmarkStart w:id="2477" w:name="_Toc226965831"/>
      <w:bookmarkStart w:id="2478" w:name="_Toc164608827"/>
      <w:bookmarkStart w:id="2479" w:name="_Toc264969248"/>
      <w:bookmarkStart w:id="2480" w:name="_Toc226965748"/>
      <w:r>
        <w:rPr>
          <w:rFonts w:ascii="宋体" w:hAnsi="宋体"/>
          <w:b/>
          <w:color w:val="000000"/>
          <w:sz w:val="36"/>
          <w:szCs w:val="36"/>
          <w:highlight w:val="none"/>
        </w:rPr>
        <w:t>报价一览表</w:t>
      </w:r>
      <w:bookmarkEnd w:id="2470"/>
      <w:bookmarkEnd w:id="2471"/>
      <w:bookmarkEnd w:id="2472"/>
      <w:bookmarkEnd w:id="2473"/>
      <w:bookmarkEnd w:id="2474"/>
      <w:bookmarkEnd w:id="2475"/>
      <w:bookmarkEnd w:id="2476"/>
      <w:bookmarkEnd w:id="2477"/>
      <w:bookmarkEnd w:id="2478"/>
      <w:bookmarkEnd w:id="2479"/>
      <w:bookmarkEnd w:id="2480"/>
    </w:p>
    <w:p w14:paraId="2E4E1EFA">
      <w:pPr>
        <w:tabs>
          <w:tab w:val="left" w:pos="1800"/>
          <w:tab w:val="left" w:pos="5580"/>
        </w:tabs>
        <w:spacing w:line="360" w:lineRule="auto"/>
        <w:jc w:val="left"/>
        <w:rPr>
          <w:rFonts w:hint="eastAsia" w:ascii="宋体" w:hAnsi="宋体"/>
          <w:color w:val="000000"/>
          <w:sz w:val="24"/>
          <w:highlight w:val="none"/>
        </w:rPr>
      </w:pPr>
    </w:p>
    <w:p w14:paraId="5E21DF0E">
      <w:pPr>
        <w:tabs>
          <w:tab w:val="left" w:pos="1800"/>
          <w:tab w:val="left" w:pos="5580"/>
        </w:tabs>
        <w:spacing w:line="360" w:lineRule="auto"/>
        <w:ind w:firstLine="240" w:firstLineChars="100"/>
        <w:jc w:val="left"/>
        <w:rPr>
          <w:rFonts w:hint="eastAsia" w:ascii="宋体" w:hAnsi="宋体"/>
          <w:color w:val="000000"/>
          <w:sz w:val="24"/>
          <w:highlight w:val="none"/>
          <w:u w:val="single"/>
        </w:rPr>
      </w:pPr>
      <w:r>
        <w:rPr>
          <w:rFonts w:ascii="宋体" w:hAnsi="宋体"/>
          <w:color w:val="000000"/>
          <w:sz w:val="24"/>
          <w:highlight w:val="none"/>
        </w:rPr>
        <w:t>项目编号：</w:t>
      </w:r>
      <w:r>
        <w:rPr>
          <w:rFonts w:ascii="宋体" w:hAnsi="宋体"/>
          <w:sz w:val="24"/>
          <w:highlight w:val="none"/>
        </w:rPr>
        <w:t>___________</w:t>
      </w:r>
      <w:r>
        <w:rPr>
          <w:rFonts w:ascii="宋体" w:hAnsi="宋体"/>
          <w:color w:val="000000"/>
          <w:sz w:val="24"/>
          <w:highlight w:val="none"/>
        </w:rPr>
        <w:t xml:space="preserve">     项目名称：</w:t>
      </w:r>
      <w:r>
        <w:rPr>
          <w:rFonts w:ascii="宋体" w:hAnsi="宋体"/>
          <w:sz w:val="24"/>
          <w:highlight w:val="none"/>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3"/>
        <w:gridCol w:w="2934"/>
        <w:gridCol w:w="1855"/>
        <w:gridCol w:w="1952"/>
      </w:tblGrid>
      <w:tr w14:paraId="126D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4770F2D">
            <w:pPr>
              <w:tabs>
                <w:tab w:val="left" w:pos="5580"/>
              </w:tabs>
              <w:jc w:val="center"/>
              <w:rPr>
                <w:rFonts w:hint="eastAsia" w:ascii="宋体" w:hAnsi="宋体"/>
                <w:b/>
                <w:sz w:val="24"/>
                <w:highlight w:val="none"/>
              </w:rPr>
            </w:pPr>
            <w:r>
              <w:rPr>
                <w:rFonts w:ascii="宋体" w:hAnsi="宋体"/>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768E0B2F">
            <w:pPr>
              <w:tabs>
                <w:tab w:val="left" w:pos="5580"/>
              </w:tabs>
              <w:jc w:val="center"/>
              <w:rPr>
                <w:rFonts w:hint="eastAsia" w:ascii="宋体" w:hAnsi="宋体"/>
                <w:b/>
                <w:sz w:val="24"/>
                <w:highlight w:val="none"/>
              </w:rPr>
            </w:pPr>
            <w:r>
              <w:rPr>
                <w:rFonts w:ascii="宋体" w:hAnsi="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4250021C">
            <w:pPr>
              <w:tabs>
                <w:tab w:val="left" w:pos="5580"/>
              </w:tabs>
              <w:jc w:val="center"/>
              <w:rPr>
                <w:rFonts w:hint="eastAsia" w:ascii="宋体" w:hAnsi="宋体"/>
                <w:b/>
                <w:sz w:val="24"/>
                <w:highlight w:val="none"/>
              </w:rPr>
            </w:pPr>
            <w:r>
              <w:rPr>
                <w:rFonts w:ascii="宋体" w:hAnsi="宋体"/>
                <w:b/>
                <w:sz w:val="24"/>
                <w:highlight w:val="none"/>
              </w:rPr>
              <w:t>报价</w:t>
            </w:r>
          </w:p>
        </w:tc>
      </w:tr>
      <w:tr w14:paraId="41D7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846B348">
            <w:pPr>
              <w:widowControl/>
              <w:jc w:val="left"/>
              <w:rPr>
                <w:rFonts w:hint="eastAsia" w:ascii="宋体" w:hAnsi="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5894AA">
            <w:pPr>
              <w:widowControl/>
              <w:jc w:val="left"/>
              <w:rPr>
                <w:rFonts w:hint="eastAsia" w:ascii="宋体" w:hAnsi="宋体"/>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404C30D9">
            <w:pPr>
              <w:tabs>
                <w:tab w:val="left" w:pos="5580"/>
              </w:tabs>
              <w:jc w:val="center"/>
              <w:rPr>
                <w:rFonts w:hint="eastAsia" w:ascii="宋体" w:hAnsi="宋体"/>
                <w:b/>
                <w:sz w:val="24"/>
                <w:highlight w:val="none"/>
              </w:rPr>
            </w:pPr>
            <w:r>
              <w:rPr>
                <w:rFonts w:ascii="宋体" w:hAnsi="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5FACEAC">
            <w:pPr>
              <w:tabs>
                <w:tab w:val="left" w:pos="5580"/>
              </w:tabs>
              <w:jc w:val="center"/>
              <w:rPr>
                <w:rFonts w:hint="eastAsia" w:ascii="宋体" w:hAnsi="宋体"/>
                <w:b/>
                <w:sz w:val="24"/>
                <w:highlight w:val="none"/>
              </w:rPr>
            </w:pPr>
            <w:r>
              <w:rPr>
                <w:rFonts w:ascii="宋体" w:hAnsi="宋体"/>
                <w:b/>
                <w:sz w:val="24"/>
                <w:highlight w:val="none"/>
              </w:rPr>
              <w:t>小写</w:t>
            </w:r>
          </w:p>
        </w:tc>
      </w:tr>
      <w:tr w14:paraId="3A52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0A9CDED">
            <w:pPr>
              <w:tabs>
                <w:tab w:val="left" w:pos="5580"/>
              </w:tabs>
              <w:jc w:val="center"/>
              <w:rPr>
                <w:rFonts w:hint="eastAsia" w:ascii="宋体" w:hAnsi="宋体"/>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0D4DA4F7">
            <w:pPr>
              <w:tabs>
                <w:tab w:val="left" w:pos="5580"/>
              </w:tabs>
              <w:jc w:val="center"/>
              <w:rPr>
                <w:rFonts w:hint="eastAsia" w:ascii="宋体" w:hAnsi="宋体"/>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76BE3D1E">
            <w:pPr>
              <w:tabs>
                <w:tab w:val="left" w:pos="5580"/>
              </w:tabs>
              <w:jc w:val="center"/>
              <w:rPr>
                <w:rFonts w:hint="eastAsia"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7B3BA5BD">
            <w:pPr>
              <w:tabs>
                <w:tab w:val="left" w:pos="5580"/>
              </w:tabs>
              <w:jc w:val="center"/>
              <w:rPr>
                <w:rFonts w:hint="eastAsia" w:ascii="宋体" w:hAnsi="宋体"/>
                <w:sz w:val="24"/>
                <w:highlight w:val="none"/>
              </w:rPr>
            </w:pPr>
          </w:p>
        </w:tc>
      </w:tr>
    </w:tbl>
    <w:p w14:paraId="7E8423BD">
      <w:pPr>
        <w:autoSpaceDE w:val="0"/>
        <w:autoSpaceDN w:val="0"/>
        <w:adjustRightInd w:val="0"/>
        <w:jc w:val="left"/>
        <w:rPr>
          <w:rFonts w:hint="eastAsia" w:ascii="宋体" w:hAnsi="宋体"/>
          <w:color w:val="000000"/>
          <w:kern w:val="0"/>
          <w:sz w:val="24"/>
          <w:highlight w:val="none"/>
        </w:rPr>
      </w:pPr>
    </w:p>
    <w:p w14:paraId="2E5C0A8A">
      <w:pPr>
        <w:autoSpaceDE w:val="0"/>
        <w:autoSpaceDN w:val="0"/>
        <w:adjustRightInd w:val="0"/>
        <w:jc w:val="left"/>
        <w:rPr>
          <w:rFonts w:hint="eastAsia" w:ascii="宋体" w:hAnsi="宋体"/>
          <w:color w:val="000000"/>
          <w:sz w:val="24"/>
          <w:szCs w:val="20"/>
          <w:highlight w:val="none"/>
        </w:rPr>
      </w:pPr>
      <w:r>
        <w:rPr>
          <w:rFonts w:ascii="宋体" w:hAnsi="宋体"/>
          <w:color w:val="000000"/>
          <w:kern w:val="0"/>
          <w:sz w:val="24"/>
          <w:highlight w:val="none"/>
        </w:rPr>
        <w:t>注：1</w:t>
      </w:r>
      <w:r>
        <w:rPr>
          <w:rFonts w:ascii="宋体" w:hAnsi="宋体"/>
          <w:color w:val="000000"/>
          <w:sz w:val="24"/>
          <w:szCs w:val="20"/>
          <w:highlight w:val="none"/>
        </w:rPr>
        <w:t>.此表中，每包的报价应和《分项报价表》中的总价相一致。</w:t>
      </w:r>
    </w:p>
    <w:p w14:paraId="1C0D13CC">
      <w:pPr>
        <w:tabs>
          <w:tab w:val="left" w:pos="5580"/>
        </w:tabs>
        <w:ind w:firstLine="480" w:firstLineChars="200"/>
        <w:rPr>
          <w:rFonts w:hint="eastAsia" w:ascii="宋体" w:hAnsi="宋体"/>
          <w:color w:val="000000"/>
          <w:sz w:val="24"/>
          <w:szCs w:val="20"/>
          <w:highlight w:val="none"/>
        </w:rPr>
      </w:pPr>
      <w:r>
        <w:rPr>
          <w:rFonts w:ascii="宋体" w:hAnsi="宋体"/>
          <w:color w:val="000000"/>
          <w:sz w:val="24"/>
          <w:szCs w:val="20"/>
          <w:highlight w:val="none"/>
        </w:rPr>
        <w:t>2.本表必须按包分别填写。</w:t>
      </w:r>
    </w:p>
    <w:p w14:paraId="3CBD2D69">
      <w:pPr>
        <w:tabs>
          <w:tab w:val="left" w:pos="5580"/>
        </w:tabs>
        <w:ind w:firstLine="480" w:firstLineChars="200"/>
        <w:rPr>
          <w:rFonts w:hint="eastAsia" w:ascii="宋体" w:hAnsi="宋体"/>
          <w:color w:val="000000"/>
          <w:sz w:val="24"/>
          <w:szCs w:val="20"/>
          <w:highlight w:val="none"/>
        </w:rPr>
      </w:pPr>
    </w:p>
    <w:p w14:paraId="4083E6BE">
      <w:pPr>
        <w:autoSpaceDE w:val="0"/>
        <w:autoSpaceDN w:val="0"/>
        <w:adjustRightInd w:val="0"/>
        <w:snapToGrid w:val="0"/>
        <w:spacing w:before="25" w:after="25" w:line="360" w:lineRule="auto"/>
        <w:rPr>
          <w:rFonts w:hint="eastAsia" w:ascii="宋体" w:hAnsi="宋体"/>
          <w:color w:val="000000"/>
          <w:sz w:val="24"/>
          <w:highlight w:val="none"/>
          <w:lang w:val="zh-CN"/>
        </w:rPr>
      </w:pPr>
    </w:p>
    <w:p w14:paraId="1F37D972">
      <w:pPr>
        <w:autoSpaceDE w:val="0"/>
        <w:autoSpaceDN w:val="0"/>
        <w:adjustRightInd w:val="0"/>
        <w:snapToGrid w:val="0"/>
        <w:spacing w:before="25" w:after="25" w:line="360" w:lineRule="auto"/>
        <w:rPr>
          <w:rFonts w:hint="eastAsia" w:ascii="宋体" w:hAnsi="宋体"/>
          <w:color w:val="000000"/>
          <w:sz w:val="24"/>
          <w:highlight w:val="none"/>
          <w:lang w:val="zh-CN"/>
        </w:rPr>
      </w:pPr>
      <w:r>
        <w:rPr>
          <w:rFonts w:ascii="宋体" w:hAnsi="宋体"/>
          <w:color w:val="000000"/>
          <w:sz w:val="24"/>
          <w:highlight w:val="none"/>
          <w:lang w:val="zh-CN"/>
        </w:rPr>
        <w:t xml:space="preserve">   </w:t>
      </w:r>
    </w:p>
    <w:p w14:paraId="3C9DBCC3">
      <w:pPr>
        <w:autoSpaceDE w:val="0"/>
        <w:autoSpaceDN w:val="0"/>
        <w:adjustRightInd w:val="0"/>
        <w:snapToGrid w:val="0"/>
        <w:spacing w:before="25" w:after="25" w:line="360" w:lineRule="auto"/>
        <w:rPr>
          <w:rFonts w:hint="eastAsia"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___________</w:t>
      </w:r>
    </w:p>
    <w:p w14:paraId="0A5F5039">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日期：</w:t>
      </w:r>
      <w:r>
        <w:rPr>
          <w:rFonts w:ascii="宋体" w:hAnsi="宋体"/>
          <w:color w:val="000000"/>
          <w:sz w:val="24"/>
          <w:szCs w:val="20"/>
          <w:highlight w:val="none"/>
        </w:rPr>
        <w:t>____年____月____日</w:t>
      </w:r>
    </w:p>
    <w:p w14:paraId="059543D9">
      <w:pPr>
        <w:autoSpaceDE w:val="0"/>
        <w:autoSpaceDN w:val="0"/>
        <w:adjustRightInd w:val="0"/>
        <w:snapToGrid w:val="0"/>
        <w:spacing w:before="25" w:after="25" w:line="360" w:lineRule="auto"/>
        <w:rPr>
          <w:rFonts w:hint="eastAsia" w:ascii="宋体" w:hAnsi="宋体"/>
          <w:color w:val="000000"/>
          <w:sz w:val="24"/>
          <w:highlight w:val="none"/>
          <w:lang w:val="zh-CN"/>
        </w:rPr>
      </w:pPr>
      <w:r>
        <w:rPr>
          <w:rFonts w:ascii="宋体" w:hAnsi="宋体"/>
          <w:color w:val="000000"/>
          <w:sz w:val="24"/>
          <w:szCs w:val="20"/>
          <w:highlight w:val="none"/>
        </w:rPr>
        <w:t xml:space="preserve">  </w:t>
      </w:r>
    </w:p>
    <w:p w14:paraId="4A588498">
      <w:pPr>
        <w:tabs>
          <w:tab w:val="left" w:pos="360"/>
        </w:tabs>
        <w:snapToGrid w:val="0"/>
        <w:spacing w:line="360" w:lineRule="auto"/>
        <w:outlineLvl w:val="1"/>
        <w:rPr>
          <w:rFonts w:hint="eastAsia" w:ascii="宋体" w:hAnsi="宋体"/>
          <w:sz w:val="24"/>
          <w:highlight w:val="none"/>
        </w:rPr>
        <w:sectPr>
          <w:headerReference r:id="rId22" w:type="first"/>
          <w:footerReference r:id="rId24" w:type="first"/>
          <w:headerReference r:id="rId21" w:type="even"/>
          <w:footerReference r:id="rId23" w:type="even"/>
          <w:pgSz w:w="11907" w:h="16840"/>
          <w:pgMar w:top="1440" w:right="1800" w:bottom="1440" w:left="1800" w:header="851" w:footer="851" w:gutter="0"/>
          <w:cols w:space="720" w:num="1"/>
          <w:docGrid w:linePitch="462" w:charSpace="0"/>
        </w:sectPr>
      </w:pPr>
      <w:bookmarkStart w:id="2481" w:name="_Toc264969249"/>
      <w:bookmarkStart w:id="2482" w:name="_Toc265228397"/>
      <w:bookmarkStart w:id="2483" w:name="_Toc226309803"/>
      <w:bookmarkStart w:id="2484" w:name="_Toc226965749"/>
      <w:bookmarkStart w:id="2485" w:name="_Toc142311060"/>
      <w:bookmarkStart w:id="2486" w:name="_Toc305158901"/>
      <w:bookmarkStart w:id="2487" w:name="_Toc226965832"/>
      <w:bookmarkStart w:id="2488" w:name="_Toc226337255"/>
      <w:bookmarkStart w:id="2489" w:name="_Toc305158827"/>
      <w:bookmarkStart w:id="2490" w:name="_Toc150774763"/>
      <w:bookmarkStart w:id="2491" w:name="_Toc127151558"/>
      <w:bookmarkStart w:id="2492" w:name="_Toc195842924"/>
      <w:bookmarkStart w:id="2493" w:name="_Toc150480796"/>
    </w:p>
    <w:p w14:paraId="07818C92">
      <w:pPr>
        <w:tabs>
          <w:tab w:val="left" w:pos="360"/>
        </w:tabs>
        <w:snapToGrid w:val="0"/>
        <w:spacing w:line="360" w:lineRule="auto"/>
        <w:outlineLvl w:val="1"/>
        <w:rPr>
          <w:rFonts w:ascii="宋体" w:hAnsi="宋体"/>
          <w:sz w:val="24"/>
          <w:highlight w:val="none"/>
        </w:rPr>
      </w:pPr>
      <w:r>
        <w:rPr>
          <w:rFonts w:ascii="宋体" w:hAnsi="宋体"/>
          <w:sz w:val="24"/>
          <w:highlight w:val="none"/>
        </w:rPr>
        <w:t>8  分项报价表</w:t>
      </w:r>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Start w:id="2494" w:name="_Toc226965752"/>
      <w:bookmarkStart w:id="2495" w:name="_Toc305158830"/>
      <w:bookmarkStart w:id="2496" w:name="_Toc226965835"/>
      <w:bookmarkStart w:id="2497" w:name="_Toc264969252"/>
      <w:bookmarkStart w:id="2498" w:name="_Toc195842927"/>
      <w:bookmarkStart w:id="2499" w:name="_Toc305158904"/>
      <w:bookmarkStart w:id="2500" w:name="_Toc150774765"/>
      <w:bookmarkStart w:id="2501" w:name="_Toc150480798"/>
      <w:bookmarkStart w:id="2502" w:name="_Toc226337258"/>
      <w:bookmarkStart w:id="2503" w:name="_Toc226309806"/>
      <w:bookmarkStart w:id="2504" w:name="_Toc127151562"/>
      <w:bookmarkStart w:id="2505" w:name="_Toc142311062"/>
      <w:bookmarkStart w:id="2506" w:name="_Toc265228400"/>
      <w:bookmarkStart w:id="2507" w:name="_Toc195842926"/>
      <w:bookmarkStart w:id="2508" w:name="_Toc150480797"/>
      <w:bookmarkStart w:id="2509" w:name="_Toc226309805"/>
      <w:bookmarkStart w:id="2510" w:name="_Toc226965834"/>
      <w:bookmarkStart w:id="2511" w:name="_Toc127151561"/>
      <w:bookmarkStart w:id="2512" w:name="_Toc226337257"/>
      <w:bookmarkStart w:id="2513" w:name="_Toc142311061"/>
      <w:bookmarkStart w:id="2514" w:name="_Toc150774764"/>
      <w:bookmarkStart w:id="2515" w:name="_Toc305158829"/>
      <w:bookmarkStart w:id="2516" w:name="_Toc226965751"/>
      <w:bookmarkStart w:id="2517" w:name="_Toc265228399"/>
      <w:bookmarkStart w:id="2518" w:name="_Toc305158903"/>
      <w:bookmarkStart w:id="2519" w:name="_Toc264969251"/>
    </w:p>
    <w:p w14:paraId="7763E180">
      <w:pPr>
        <w:jc w:val="center"/>
        <w:rPr>
          <w:rFonts w:ascii="宋体" w:hAnsi="宋体"/>
          <w:b w:val="0"/>
          <w:bCs w:val="0"/>
          <w:sz w:val="24"/>
          <w:highlight w:val="none"/>
        </w:rPr>
      </w:pPr>
      <w:r>
        <w:rPr>
          <w:rFonts w:hint="eastAsia" w:ascii="宋体" w:hAnsi="宋体" w:cstheme="minorEastAsia"/>
          <w:b/>
          <w:color w:val="000000"/>
          <w:sz w:val="36"/>
          <w:szCs w:val="36"/>
          <w:highlight w:val="none"/>
        </w:rPr>
        <w:t>已标价工程量清单</w:t>
      </w:r>
    </w:p>
    <w:p w14:paraId="59B7931C">
      <w:pPr>
        <w:rPr>
          <w:rFonts w:ascii="宋体" w:hAnsi="宋体"/>
          <w:sz w:val="24"/>
          <w:highlight w:val="none"/>
        </w:rPr>
      </w:pPr>
      <w:r>
        <w:rPr>
          <w:rFonts w:ascii="宋体" w:hAnsi="宋体"/>
          <w:sz w:val="24"/>
          <w:highlight w:val="none"/>
        </w:rPr>
        <w:br w:type="page"/>
      </w:r>
    </w:p>
    <w:p w14:paraId="65DB6CE0">
      <w:pPr>
        <w:tabs>
          <w:tab w:val="left" w:pos="360"/>
        </w:tabs>
        <w:snapToGrid w:val="0"/>
        <w:spacing w:line="360" w:lineRule="auto"/>
        <w:outlineLvl w:val="1"/>
        <w:rPr>
          <w:rFonts w:hint="eastAsia" w:ascii="宋体" w:hAnsi="宋体"/>
          <w:color w:val="000000"/>
          <w:sz w:val="24"/>
          <w:szCs w:val="20"/>
          <w:highlight w:val="none"/>
        </w:rPr>
      </w:pPr>
      <w:r>
        <w:rPr>
          <w:rFonts w:ascii="宋体" w:hAnsi="宋体"/>
          <w:sz w:val="24"/>
          <w:highlight w:val="none"/>
        </w:rPr>
        <w:t>9  合同条款偏离表</w:t>
      </w:r>
      <w:bookmarkEnd w:id="2494"/>
      <w:bookmarkEnd w:id="2495"/>
      <w:bookmarkEnd w:id="2496"/>
      <w:bookmarkEnd w:id="2497"/>
      <w:bookmarkEnd w:id="2498"/>
      <w:bookmarkEnd w:id="2499"/>
      <w:bookmarkEnd w:id="2500"/>
      <w:bookmarkEnd w:id="2501"/>
      <w:bookmarkEnd w:id="2502"/>
      <w:bookmarkEnd w:id="2503"/>
      <w:bookmarkEnd w:id="2504"/>
      <w:bookmarkEnd w:id="2505"/>
      <w:bookmarkEnd w:id="2506"/>
      <w:r>
        <w:rPr>
          <w:rFonts w:ascii="宋体" w:hAnsi="宋体"/>
          <w:sz w:val="24"/>
          <w:highlight w:val="none"/>
        </w:rPr>
        <w:t>（实质性格式）</w:t>
      </w:r>
    </w:p>
    <w:p w14:paraId="2DECB59A">
      <w:pPr>
        <w:spacing w:line="360" w:lineRule="auto"/>
        <w:rPr>
          <w:rFonts w:hint="eastAsia" w:ascii="宋体" w:hAnsi="宋体"/>
          <w:color w:val="000000"/>
          <w:sz w:val="24"/>
          <w:szCs w:val="20"/>
          <w:highlight w:val="none"/>
        </w:rPr>
      </w:pPr>
    </w:p>
    <w:p w14:paraId="6CFFA1D2">
      <w:pPr>
        <w:tabs>
          <w:tab w:val="left" w:pos="2775"/>
          <w:tab w:val="center" w:pos="4153"/>
        </w:tabs>
        <w:autoSpaceDE w:val="0"/>
        <w:autoSpaceDN w:val="0"/>
        <w:adjustRightInd w:val="0"/>
        <w:spacing w:line="360" w:lineRule="auto"/>
        <w:jc w:val="left"/>
        <w:rPr>
          <w:rFonts w:hint="eastAsia" w:ascii="宋体" w:hAnsi="宋体"/>
          <w:b/>
          <w:color w:val="000000"/>
          <w:sz w:val="36"/>
          <w:szCs w:val="36"/>
          <w:highlight w:val="none"/>
        </w:rPr>
      </w:pPr>
      <w:r>
        <w:rPr>
          <w:rFonts w:ascii="宋体" w:hAnsi="宋体"/>
          <w:color w:val="000000"/>
          <w:sz w:val="36"/>
          <w:szCs w:val="36"/>
          <w:highlight w:val="none"/>
        </w:rPr>
        <w:tab/>
      </w:r>
      <w:r>
        <w:rPr>
          <w:rFonts w:ascii="宋体" w:hAnsi="宋体"/>
          <w:b/>
          <w:color w:val="000000"/>
          <w:sz w:val="36"/>
          <w:szCs w:val="36"/>
          <w:highlight w:val="none"/>
        </w:rPr>
        <w:tab/>
      </w:r>
      <w:r>
        <w:rPr>
          <w:rFonts w:ascii="宋体" w:hAnsi="宋体"/>
          <w:b/>
          <w:color w:val="000000"/>
          <w:sz w:val="36"/>
          <w:szCs w:val="36"/>
          <w:highlight w:val="none"/>
        </w:rPr>
        <w:t>合同条款偏离表</w:t>
      </w:r>
    </w:p>
    <w:p w14:paraId="25EFDD11">
      <w:pPr>
        <w:spacing w:line="360" w:lineRule="auto"/>
        <w:rPr>
          <w:rFonts w:hint="eastAsia" w:ascii="宋体" w:hAnsi="宋体"/>
          <w:color w:val="000000"/>
          <w:sz w:val="24"/>
          <w:szCs w:val="20"/>
          <w:highlight w:val="none"/>
        </w:rPr>
      </w:pPr>
    </w:p>
    <w:p w14:paraId="7E009EAD">
      <w:pPr>
        <w:tabs>
          <w:tab w:val="left" w:pos="1800"/>
          <w:tab w:val="left" w:pos="5580"/>
        </w:tabs>
        <w:spacing w:line="360" w:lineRule="auto"/>
        <w:ind w:firstLine="360" w:firstLineChars="150"/>
        <w:jc w:val="left"/>
        <w:rPr>
          <w:rFonts w:hint="eastAsia" w:ascii="宋体" w:hAnsi="宋体"/>
          <w:color w:val="000000"/>
          <w:sz w:val="24"/>
          <w:highlight w:val="none"/>
        </w:rPr>
      </w:pPr>
      <w:r>
        <w:rPr>
          <w:rFonts w:ascii="宋体" w:hAnsi="宋体"/>
          <w:color w:val="000000"/>
          <w:sz w:val="24"/>
          <w:highlight w:val="none"/>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457"/>
        <w:gridCol w:w="1616"/>
        <w:gridCol w:w="1617"/>
        <w:gridCol w:w="1973"/>
        <w:gridCol w:w="917"/>
      </w:tblGrid>
      <w:tr w14:paraId="03D5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8D45A51">
            <w:pPr>
              <w:adjustRightInd w:val="0"/>
              <w:snapToGrid w:val="0"/>
              <w:jc w:val="center"/>
              <w:rPr>
                <w:rFonts w:hint="eastAsia" w:ascii="宋体" w:hAnsi="宋体"/>
                <w:color w:val="000000"/>
                <w:sz w:val="24"/>
                <w:highlight w:val="none"/>
              </w:rPr>
            </w:pPr>
            <w:r>
              <w:rPr>
                <w:rFonts w:ascii="宋体" w:hAnsi="宋体"/>
                <w:color w:val="000000"/>
                <w:sz w:val="24"/>
                <w:highlight w:val="none"/>
              </w:rPr>
              <w:t>序号</w:t>
            </w:r>
          </w:p>
        </w:tc>
        <w:tc>
          <w:tcPr>
            <w:tcW w:w="1394" w:type="dxa"/>
            <w:vAlign w:val="center"/>
          </w:tcPr>
          <w:p w14:paraId="0599BEDB">
            <w:pPr>
              <w:adjustRightInd w:val="0"/>
              <w:snapToGrid w:val="0"/>
              <w:jc w:val="center"/>
              <w:rPr>
                <w:rFonts w:hint="eastAsia" w:ascii="宋体" w:hAnsi="宋体"/>
                <w:color w:val="000000"/>
                <w:sz w:val="24"/>
                <w:highlight w:val="none"/>
              </w:rPr>
            </w:pPr>
            <w:r>
              <w:rPr>
                <w:rFonts w:ascii="宋体" w:hAnsi="宋体"/>
                <w:color w:val="000000"/>
                <w:sz w:val="24"/>
                <w:szCs w:val="21"/>
                <w:highlight w:val="none"/>
              </w:rPr>
              <w:t>竞争性磋商文件</w:t>
            </w:r>
            <w:r>
              <w:rPr>
                <w:rFonts w:ascii="宋体" w:hAnsi="宋体"/>
                <w:color w:val="000000"/>
                <w:sz w:val="24"/>
                <w:highlight w:val="none"/>
              </w:rPr>
              <w:t>条目号（页码）</w:t>
            </w:r>
          </w:p>
        </w:tc>
        <w:tc>
          <w:tcPr>
            <w:tcW w:w="1808" w:type="dxa"/>
            <w:vAlign w:val="center"/>
          </w:tcPr>
          <w:p w14:paraId="763B7A8C">
            <w:pPr>
              <w:adjustRightInd w:val="0"/>
              <w:snapToGrid w:val="0"/>
              <w:jc w:val="center"/>
              <w:rPr>
                <w:rFonts w:hint="eastAsia" w:ascii="宋体" w:hAnsi="宋体"/>
                <w:color w:val="000000"/>
                <w:sz w:val="24"/>
                <w:highlight w:val="none"/>
              </w:rPr>
            </w:pPr>
            <w:r>
              <w:rPr>
                <w:rFonts w:ascii="宋体" w:hAnsi="宋体"/>
                <w:color w:val="000000"/>
                <w:sz w:val="24"/>
                <w:szCs w:val="21"/>
                <w:highlight w:val="none"/>
              </w:rPr>
              <w:t>竞争性磋商文件</w:t>
            </w:r>
            <w:r>
              <w:rPr>
                <w:rFonts w:ascii="宋体" w:hAnsi="宋体"/>
                <w:color w:val="000000"/>
                <w:sz w:val="24"/>
                <w:highlight w:val="none"/>
              </w:rPr>
              <w:t>要求</w:t>
            </w:r>
          </w:p>
        </w:tc>
        <w:tc>
          <w:tcPr>
            <w:tcW w:w="1809" w:type="dxa"/>
            <w:vAlign w:val="center"/>
          </w:tcPr>
          <w:p w14:paraId="62D94664">
            <w:pPr>
              <w:adjustRightInd w:val="0"/>
              <w:snapToGrid w:val="0"/>
              <w:jc w:val="center"/>
              <w:rPr>
                <w:rFonts w:hint="eastAsia" w:ascii="宋体" w:hAnsi="宋体"/>
                <w:color w:val="000000"/>
                <w:sz w:val="24"/>
                <w:highlight w:val="none"/>
              </w:rPr>
            </w:pPr>
            <w:r>
              <w:rPr>
                <w:rFonts w:ascii="宋体" w:hAnsi="宋体"/>
                <w:color w:val="000000"/>
                <w:sz w:val="24"/>
                <w:highlight w:val="none"/>
              </w:rPr>
              <w:t>响应文件内容</w:t>
            </w:r>
          </w:p>
        </w:tc>
        <w:tc>
          <w:tcPr>
            <w:tcW w:w="2290" w:type="dxa"/>
            <w:vAlign w:val="center"/>
          </w:tcPr>
          <w:p w14:paraId="446E5C25">
            <w:pPr>
              <w:adjustRightInd w:val="0"/>
              <w:snapToGrid w:val="0"/>
              <w:jc w:val="center"/>
              <w:rPr>
                <w:rFonts w:hint="eastAsia" w:ascii="宋体" w:hAnsi="宋体"/>
                <w:color w:val="000000"/>
                <w:sz w:val="24"/>
                <w:highlight w:val="none"/>
              </w:rPr>
            </w:pPr>
            <w:r>
              <w:rPr>
                <w:rFonts w:ascii="宋体" w:hAnsi="宋体"/>
                <w:color w:val="000000"/>
                <w:sz w:val="24"/>
                <w:highlight w:val="none"/>
              </w:rPr>
              <w:t>偏离情况</w:t>
            </w:r>
          </w:p>
        </w:tc>
        <w:tc>
          <w:tcPr>
            <w:tcW w:w="863" w:type="dxa"/>
            <w:vAlign w:val="center"/>
          </w:tcPr>
          <w:p w14:paraId="58D1CDE8">
            <w:pPr>
              <w:adjustRightInd w:val="0"/>
              <w:snapToGrid w:val="0"/>
              <w:jc w:val="center"/>
              <w:rPr>
                <w:rFonts w:hint="eastAsia" w:ascii="宋体" w:hAnsi="宋体"/>
                <w:color w:val="000000"/>
                <w:sz w:val="24"/>
                <w:highlight w:val="none"/>
              </w:rPr>
            </w:pPr>
            <w:r>
              <w:rPr>
                <w:rFonts w:ascii="宋体" w:hAnsi="宋体"/>
                <w:color w:val="000000"/>
                <w:sz w:val="24"/>
                <w:highlight w:val="none"/>
              </w:rPr>
              <w:t>说明</w:t>
            </w:r>
          </w:p>
        </w:tc>
      </w:tr>
      <w:tr w14:paraId="7A41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46B6954">
            <w:pPr>
              <w:adjustRightInd w:val="0"/>
              <w:snapToGrid w:val="0"/>
              <w:jc w:val="left"/>
              <w:rPr>
                <w:rFonts w:hint="eastAsia" w:ascii="宋体" w:hAnsi="宋体"/>
                <w:b/>
                <w:color w:val="000000"/>
                <w:sz w:val="24"/>
                <w:highlight w:val="none"/>
              </w:rPr>
            </w:pPr>
            <w:r>
              <w:rPr>
                <w:rFonts w:ascii="宋体" w:hAnsi="宋体"/>
                <w:b/>
                <w:color w:val="000000"/>
                <w:sz w:val="24"/>
                <w:highlight w:val="none"/>
              </w:rPr>
              <w:t>对本项目合同条款的偏离情况（</w:t>
            </w:r>
            <w:r>
              <w:rPr>
                <w:rFonts w:hint="eastAsia" w:ascii="宋体" w:hAnsi="宋体"/>
                <w:bCs/>
                <w:color w:val="000000"/>
                <w:sz w:val="24"/>
                <w:highlight w:val="none"/>
              </w:rPr>
              <w:t>应</w:t>
            </w:r>
            <w:r>
              <w:rPr>
                <w:rFonts w:ascii="宋体" w:hAnsi="宋体"/>
                <w:bCs/>
                <w:color w:val="000000"/>
                <w:sz w:val="24"/>
                <w:highlight w:val="none"/>
              </w:rPr>
              <w:t>进行选择</w:t>
            </w:r>
            <w:r>
              <w:rPr>
                <w:rFonts w:hint="eastAsia" w:ascii="宋体" w:hAnsi="宋体"/>
                <w:bCs/>
                <w:color w:val="000000"/>
                <w:sz w:val="24"/>
                <w:highlight w:val="none"/>
              </w:rPr>
              <w:t>，未选择</w:t>
            </w:r>
            <w:r>
              <w:rPr>
                <w:rFonts w:hint="eastAsia" w:ascii="宋体" w:hAnsi="宋体"/>
                <w:b/>
                <w:color w:val="000000"/>
                <w:sz w:val="24"/>
                <w:highlight w:val="none"/>
              </w:rPr>
              <w:t>响应无效</w:t>
            </w:r>
            <w:r>
              <w:rPr>
                <w:rFonts w:ascii="宋体" w:hAnsi="宋体"/>
                <w:b/>
                <w:color w:val="000000"/>
                <w:sz w:val="24"/>
                <w:highlight w:val="none"/>
              </w:rPr>
              <w:t>）：</w:t>
            </w:r>
          </w:p>
          <w:p w14:paraId="47B478E2">
            <w:pPr>
              <w:adjustRightInd w:val="0"/>
              <w:snapToGrid w:val="0"/>
              <w:jc w:val="left"/>
              <w:rPr>
                <w:rFonts w:hint="eastAsia" w:ascii="宋体" w:hAnsi="宋体"/>
                <w:b/>
                <w:color w:val="000000"/>
                <w:sz w:val="24"/>
                <w:highlight w:val="none"/>
              </w:rPr>
            </w:pPr>
            <w:r>
              <w:rPr>
                <w:rFonts w:ascii="宋体" w:hAnsi="宋体"/>
                <w:b/>
                <w:color w:val="000000"/>
                <w:sz w:val="24"/>
                <w:highlight w:val="none"/>
              </w:rPr>
              <w:t>□无偏离</w:t>
            </w:r>
            <w:r>
              <w:rPr>
                <w:rFonts w:ascii="宋体" w:hAnsi="宋体"/>
                <w:color w:val="000000"/>
                <w:sz w:val="24"/>
                <w:highlight w:val="none"/>
              </w:rPr>
              <w:t>（</w:t>
            </w:r>
            <w:r>
              <w:rPr>
                <w:rFonts w:ascii="宋体" w:hAnsi="宋体"/>
                <w:color w:val="000000"/>
                <w:sz w:val="24"/>
                <w:szCs w:val="21"/>
                <w:highlight w:val="none"/>
              </w:rPr>
              <w:t>如无偏离，仅选择无偏离即可</w:t>
            </w:r>
            <w:r>
              <w:rPr>
                <w:rFonts w:hint="eastAsia" w:ascii="宋体" w:hAnsi="宋体"/>
                <w:color w:val="000000"/>
                <w:sz w:val="24"/>
                <w:szCs w:val="21"/>
                <w:highlight w:val="none"/>
              </w:rPr>
              <w:t>；</w:t>
            </w:r>
            <w:r>
              <w:rPr>
                <w:rFonts w:hint="eastAsia" w:ascii="宋体" w:hAnsi="宋体"/>
                <w:bCs/>
                <w:color w:val="000000"/>
                <w:sz w:val="24"/>
                <w:highlight w:val="none"/>
              </w:rPr>
              <w:t>无偏离即为</w:t>
            </w:r>
            <w:r>
              <w:rPr>
                <w:rFonts w:ascii="宋体" w:hAnsi="宋体"/>
                <w:sz w:val="24"/>
                <w:highlight w:val="none"/>
              </w:rPr>
              <w:t>对合同条款中的所有要求</w:t>
            </w:r>
            <w:r>
              <w:rPr>
                <w:rFonts w:hint="eastAsia" w:ascii="宋体" w:hAnsi="宋体"/>
                <w:sz w:val="24"/>
                <w:highlight w:val="none"/>
              </w:rPr>
              <w:t>，</w:t>
            </w:r>
            <w:r>
              <w:rPr>
                <w:rFonts w:ascii="宋体" w:hAnsi="宋体"/>
                <w:sz w:val="24"/>
                <w:highlight w:val="none"/>
              </w:rPr>
              <w:t>均视作供应商已对之理解和响应。</w:t>
            </w:r>
            <w:r>
              <w:rPr>
                <w:rFonts w:ascii="宋体" w:hAnsi="宋体"/>
                <w:color w:val="000000"/>
                <w:sz w:val="24"/>
                <w:highlight w:val="none"/>
              </w:rPr>
              <w:t>）</w:t>
            </w:r>
          </w:p>
          <w:p w14:paraId="718E46DF">
            <w:pPr>
              <w:adjustRightInd w:val="0"/>
              <w:snapToGrid w:val="0"/>
              <w:jc w:val="left"/>
              <w:rPr>
                <w:rFonts w:hint="eastAsia" w:ascii="宋体" w:hAnsi="宋体"/>
                <w:color w:val="000000"/>
                <w:sz w:val="24"/>
                <w:highlight w:val="none"/>
              </w:rPr>
            </w:pPr>
            <w:r>
              <w:rPr>
                <w:rFonts w:ascii="宋体" w:hAnsi="宋体"/>
                <w:b/>
                <w:color w:val="000000"/>
                <w:sz w:val="24"/>
                <w:highlight w:val="none"/>
              </w:rPr>
              <w:t>□有偏离</w:t>
            </w:r>
            <w:r>
              <w:rPr>
                <w:rFonts w:ascii="宋体" w:hAnsi="宋体"/>
                <w:color w:val="000000"/>
                <w:sz w:val="24"/>
                <w:highlight w:val="none"/>
              </w:rPr>
              <w:t>（</w:t>
            </w:r>
            <w:r>
              <w:rPr>
                <w:rFonts w:ascii="宋体" w:hAnsi="宋体"/>
                <w:color w:val="000000"/>
                <w:sz w:val="24"/>
                <w:szCs w:val="21"/>
                <w:highlight w:val="none"/>
              </w:rPr>
              <w:t>如有偏离，</w:t>
            </w:r>
            <w:r>
              <w:rPr>
                <w:rFonts w:ascii="宋体" w:hAnsi="宋体"/>
                <w:color w:val="000000"/>
                <w:sz w:val="24"/>
                <w:highlight w:val="none"/>
              </w:rPr>
              <w:t>则</w:t>
            </w:r>
            <w:r>
              <w:rPr>
                <w:rFonts w:hint="eastAsia" w:ascii="宋体" w:hAnsi="宋体"/>
                <w:color w:val="000000"/>
                <w:sz w:val="24"/>
                <w:highlight w:val="none"/>
              </w:rPr>
              <w:t>应</w:t>
            </w:r>
            <w:r>
              <w:rPr>
                <w:rFonts w:ascii="宋体" w:hAnsi="宋体"/>
                <w:color w:val="000000"/>
                <w:sz w:val="24"/>
                <w:highlight w:val="none"/>
              </w:rPr>
              <w:t>在本表中对负偏离项逐一列明</w:t>
            </w:r>
            <w:r>
              <w:rPr>
                <w:rFonts w:hint="eastAsia" w:ascii="宋体" w:hAnsi="宋体"/>
                <w:color w:val="000000"/>
                <w:sz w:val="24"/>
                <w:highlight w:val="none"/>
              </w:rPr>
              <w:t>，否则</w:t>
            </w:r>
            <w:r>
              <w:rPr>
                <w:rFonts w:hint="eastAsia" w:ascii="宋体" w:hAnsi="宋体"/>
                <w:b/>
                <w:bCs/>
                <w:color w:val="000000"/>
                <w:sz w:val="24"/>
                <w:highlight w:val="none"/>
              </w:rPr>
              <w:t>响应无效</w:t>
            </w:r>
            <w:r>
              <w:rPr>
                <w:rFonts w:ascii="宋体" w:hAnsi="宋体"/>
                <w:color w:val="000000"/>
                <w:sz w:val="24"/>
                <w:highlight w:val="none"/>
              </w:rPr>
              <w:t>；</w:t>
            </w:r>
            <w:r>
              <w:rPr>
                <w:rFonts w:ascii="宋体" w:hAnsi="宋体"/>
                <w:sz w:val="24"/>
                <w:highlight w:val="none"/>
              </w:rPr>
              <w:t>对合同条款中的所有要求，除本表列明的偏离外，均视作供应商已对之理解和响应。</w:t>
            </w:r>
            <w:r>
              <w:rPr>
                <w:rFonts w:ascii="宋体" w:hAnsi="宋体"/>
                <w:color w:val="000000"/>
                <w:sz w:val="24"/>
                <w:highlight w:val="none"/>
              </w:rPr>
              <w:t>）</w:t>
            </w:r>
          </w:p>
        </w:tc>
      </w:tr>
      <w:tr w14:paraId="13A0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A1D3167">
            <w:pPr>
              <w:adjustRightInd w:val="0"/>
              <w:snapToGrid w:val="0"/>
              <w:jc w:val="center"/>
              <w:rPr>
                <w:rFonts w:hint="eastAsia" w:ascii="宋体" w:hAnsi="宋体"/>
                <w:color w:val="000000"/>
                <w:sz w:val="24"/>
                <w:highlight w:val="none"/>
              </w:rPr>
            </w:pPr>
          </w:p>
        </w:tc>
        <w:tc>
          <w:tcPr>
            <w:tcW w:w="1394" w:type="dxa"/>
            <w:vAlign w:val="center"/>
          </w:tcPr>
          <w:p w14:paraId="5CFD0AB7">
            <w:pPr>
              <w:adjustRightInd w:val="0"/>
              <w:snapToGrid w:val="0"/>
              <w:jc w:val="center"/>
              <w:rPr>
                <w:rFonts w:hint="eastAsia" w:ascii="宋体" w:hAnsi="宋体"/>
                <w:color w:val="000000"/>
                <w:sz w:val="24"/>
                <w:highlight w:val="none"/>
              </w:rPr>
            </w:pPr>
          </w:p>
        </w:tc>
        <w:tc>
          <w:tcPr>
            <w:tcW w:w="1808" w:type="dxa"/>
            <w:vAlign w:val="center"/>
          </w:tcPr>
          <w:p w14:paraId="72910790">
            <w:pPr>
              <w:adjustRightInd w:val="0"/>
              <w:snapToGrid w:val="0"/>
              <w:jc w:val="center"/>
              <w:rPr>
                <w:rFonts w:hint="eastAsia" w:ascii="宋体" w:hAnsi="宋体"/>
                <w:color w:val="000000"/>
                <w:sz w:val="24"/>
                <w:highlight w:val="none"/>
              </w:rPr>
            </w:pPr>
          </w:p>
        </w:tc>
        <w:tc>
          <w:tcPr>
            <w:tcW w:w="1809" w:type="dxa"/>
            <w:vAlign w:val="center"/>
          </w:tcPr>
          <w:p w14:paraId="40DC0D88">
            <w:pPr>
              <w:adjustRightInd w:val="0"/>
              <w:snapToGrid w:val="0"/>
              <w:jc w:val="center"/>
              <w:rPr>
                <w:rFonts w:hint="eastAsia" w:ascii="宋体" w:hAnsi="宋体"/>
                <w:color w:val="000000"/>
                <w:sz w:val="24"/>
                <w:highlight w:val="none"/>
              </w:rPr>
            </w:pPr>
          </w:p>
        </w:tc>
        <w:tc>
          <w:tcPr>
            <w:tcW w:w="2290" w:type="dxa"/>
            <w:vAlign w:val="center"/>
          </w:tcPr>
          <w:p w14:paraId="54FFFBBD">
            <w:pPr>
              <w:adjustRightInd w:val="0"/>
              <w:snapToGrid w:val="0"/>
              <w:jc w:val="center"/>
              <w:rPr>
                <w:rFonts w:hint="eastAsia" w:ascii="宋体" w:hAnsi="宋体"/>
                <w:color w:val="000000"/>
                <w:sz w:val="24"/>
                <w:highlight w:val="none"/>
              </w:rPr>
            </w:pPr>
          </w:p>
        </w:tc>
        <w:tc>
          <w:tcPr>
            <w:tcW w:w="863" w:type="dxa"/>
            <w:vAlign w:val="center"/>
          </w:tcPr>
          <w:p w14:paraId="7B69599F">
            <w:pPr>
              <w:adjustRightInd w:val="0"/>
              <w:snapToGrid w:val="0"/>
              <w:jc w:val="center"/>
              <w:rPr>
                <w:rFonts w:hint="eastAsia" w:ascii="宋体" w:hAnsi="宋体"/>
                <w:color w:val="000000"/>
                <w:sz w:val="24"/>
                <w:highlight w:val="none"/>
              </w:rPr>
            </w:pPr>
          </w:p>
        </w:tc>
      </w:tr>
      <w:tr w14:paraId="5A0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3BA8D30">
            <w:pPr>
              <w:adjustRightInd w:val="0"/>
              <w:snapToGrid w:val="0"/>
              <w:jc w:val="center"/>
              <w:rPr>
                <w:rFonts w:hint="eastAsia" w:ascii="宋体" w:hAnsi="宋体"/>
                <w:color w:val="000000"/>
                <w:sz w:val="24"/>
                <w:highlight w:val="none"/>
              </w:rPr>
            </w:pPr>
          </w:p>
        </w:tc>
        <w:tc>
          <w:tcPr>
            <w:tcW w:w="1394" w:type="dxa"/>
            <w:vAlign w:val="center"/>
          </w:tcPr>
          <w:p w14:paraId="26C70FE7">
            <w:pPr>
              <w:adjustRightInd w:val="0"/>
              <w:snapToGrid w:val="0"/>
              <w:jc w:val="center"/>
              <w:rPr>
                <w:rFonts w:hint="eastAsia" w:ascii="宋体" w:hAnsi="宋体"/>
                <w:color w:val="000000"/>
                <w:sz w:val="24"/>
                <w:highlight w:val="none"/>
              </w:rPr>
            </w:pPr>
          </w:p>
        </w:tc>
        <w:tc>
          <w:tcPr>
            <w:tcW w:w="1808" w:type="dxa"/>
            <w:vAlign w:val="center"/>
          </w:tcPr>
          <w:p w14:paraId="3DB9E3DD">
            <w:pPr>
              <w:adjustRightInd w:val="0"/>
              <w:snapToGrid w:val="0"/>
              <w:jc w:val="center"/>
              <w:rPr>
                <w:rFonts w:hint="eastAsia" w:ascii="宋体" w:hAnsi="宋体"/>
                <w:color w:val="000000"/>
                <w:sz w:val="24"/>
                <w:highlight w:val="none"/>
              </w:rPr>
            </w:pPr>
          </w:p>
        </w:tc>
        <w:tc>
          <w:tcPr>
            <w:tcW w:w="1809" w:type="dxa"/>
            <w:vAlign w:val="center"/>
          </w:tcPr>
          <w:p w14:paraId="1F67720C">
            <w:pPr>
              <w:adjustRightInd w:val="0"/>
              <w:snapToGrid w:val="0"/>
              <w:jc w:val="center"/>
              <w:rPr>
                <w:rFonts w:hint="eastAsia" w:ascii="宋体" w:hAnsi="宋体"/>
                <w:color w:val="000000"/>
                <w:sz w:val="24"/>
                <w:highlight w:val="none"/>
              </w:rPr>
            </w:pPr>
          </w:p>
        </w:tc>
        <w:tc>
          <w:tcPr>
            <w:tcW w:w="2290" w:type="dxa"/>
            <w:vAlign w:val="center"/>
          </w:tcPr>
          <w:p w14:paraId="5E8F0B40">
            <w:pPr>
              <w:adjustRightInd w:val="0"/>
              <w:snapToGrid w:val="0"/>
              <w:jc w:val="center"/>
              <w:rPr>
                <w:rFonts w:hint="eastAsia" w:ascii="宋体" w:hAnsi="宋体"/>
                <w:color w:val="000000"/>
                <w:sz w:val="24"/>
                <w:highlight w:val="none"/>
              </w:rPr>
            </w:pPr>
          </w:p>
        </w:tc>
        <w:tc>
          <w:tcPr>
            <w:tcW w:w="863" w:type="dxa"/>
            <w:vAlign w:val="center"/>
          </w:tcPr>
          <w:p w14:paraId="30AF8EBC">
            <w:pPr>
              <w:adjustRightInd w:val="0"/>
              <w:snapToGrid w:val="0"/>
              <w:jc w:val="center"/>
              <w:rPr>
                <w:rFonts w:hint="eastAsia" w:ascii="宋体" w:hAnsi="宋体"/>
                <w:color w:val="000000"/>
                <w:sz w:val="24"/>
                <w:highlight w:val="none"/>
              </w:rPr>
            </w:pPr>
          </w:p>
        </w:tc>
      </w:tr>
      <w:tr w14:paraId="4063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7FCB736">
            <w:pPr>
              <w:adjustRightInd w:val="0"/>
              <w:snapToGrid w:val="0"/>
              <w:jc w:val="center"/>
              <w:rPr>
                <w:rFonts w:hint="eastAsia" w:ascii="宋体" w:hAnsi="宋体"/>
                <w:color w:val="000000"/>
                <w:sz w:val="24"/>
                <w:highlight w:val="none"/>
              </w:rPr>
            </w:pPr>
          </w:p>
        </w:tc>
        <w:tc>
          <w:tcPr>
            <w:tcW w:w="1394" w:type="dxa"/>
            <w:vAlign w:val="center"/>
          </w:tcPr>
          <w:p w14:paraId="150D86FC">
            <w:pPr>
              <w:adjustRightInd w:val="0"/>
              <w:snapToGrid w:val="0"/>
              <w:jc w:val="center"/>
              <w:rPr>
                <w:rFonts w:hint="eastAsia" w:ascii="宋体" w:hAnsi="宋体"/>
                <w:color w:val="000000"/>
                <w:sz w:val="24"/>
                <w:highlight w:val="none"/>
              </w:rPr>
            </w:pPr>
          </w:p>
        </w:tc>
        <w:tc>
          <w:tcPr>
            <w:tcW w:w="1808" w:type="dxa"/>
            <w:vAlign w:val="center"/>
          </w:tcPr>
          <w:p w14:paraId="43002865">
            <w:pPr>
              <w:adjustRightInd w:val="0"/>
              <w:snapToGrid w:val="0"/>
              <w:jc w:val="center"/>
              <w:rPr>
                <w:rFonts w:hint="eastAsia" w:ascii="宋体" w:hAnsi="宋体"/>
                <w:color w:val="000000"/>
                <w:sz w:val="24"/>
                <w:highlight w:val="none"/>
              </w:rPr>
            </w:pPr>
          </w:p>
        </w:tc>
        <w:tc>
          <w:tcPr>
            <w:tcW w:w="1809" w:type="dxa"/>
            <w:vAlign w:val="center"/>
          </w:tcPr>
          <w:p w14:paraId="781A8307">
            <w:pPr>
              <w:adjustRightInd w:val="0"/>
              <w:snapToGrid w:val="0"/>
              <w:jc w:val="center"/>
              <w:rPr>
                <w:rFonts w:hint="eastAsia" w:ascii="宋体" w:hAnsi="宋体"/>
                <w:color w:val="000000"/>
                <w:sz w:val="24"/>
                <w:highlight w:val="none"/>
              </w:rPr>
            </w:pPr>
          </w:p>
        </w:tc>
        <w:tc>
          <w:tcPr>
            <w:tcW w:w="2290" w:type="dxa"/>
            <w:vAlign w:val="center"/>
          </w:tcPr>
          <w:p w14:paraId="2C21A9AB">
            <w:pPr>
              <w:adjustRightInd w:val="0"/>
              <w:snapToGrid w:val="0"/>
              <w:jc w:val="center"/>
              <w:rPr>
                <w:rFonts w:hint="eastAsia" w:ascii="宋体" w:hAnsi="宋体"/>
                <w:color w:val="000000"/>
                <w:sz w:val="24"/>
                <w:highlight w:val="none"/>
              </w:rPr>
            </w:pPr>
          </w:p>
        </w:tc>
        <w:tc>
          <w:tcPr>
            <w:tcW w:w="863" w:type="dxa"/>
            <w:vAlign w:val="center"/>
          </w:tcPr>
          <w:p w14:paraId="2276BDFE">
            <w:pPr>
              <w:adjustRightInd w:val="0"/>
              <w:snapToGrid w:val="0"/>
              <w:jc w:val="center"/>
              <w:rPr>
                <w:rFonts w:hint="eastAsia" w:ascii="宋体" w:hAnsi="宋体"/>
                <w:color w:val="000000"/>
                <w:sz w:val="24"/>
                <w:highlight w:val="none"/>
              </w:rPr>
            </w:pPr>
          </w:p>
        </w:tc>
      </w:tr>
      <w:tr w14:paraId="1338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6493A21">
            <w:pPr>
              <w:adjustRightInd w:val="0"/>
              <w:snapToGrid w:val="0"/>
              <w:jc w:val="center"/>
              <w:rPr>
                <w:rFonts w:hint="eastAsia" w:ascii="宋体" w:hAnsi="宋体"/>
                <w:color w:val="000000"/>
                <w:sz w:val="24"/>
                <w:highlight w:val="none"/>
              </w:rPr>
            </w:pPr>
          </w:p>
        </w:tc>
        <w:tc>
          <w:tcPr>
            <w:tcW w:w="1394" w:type="dxa"/>
            <w:vAlign w:val="center"/>
          </w:tcPr>
          <w:p w14:paraId="0247ED31">
            <w:pPr>
              <w:adjustRightInd w:val="0"/>
              <w:snapToGrid w:val="0"/>
              <w:jc w:val="center"/>
              <w:rPr>
                <w:rFonts w:hint="eastAsia" w:ascii="宋体" w:hAnsi="宋体"/>
                <w:color w:val="000000"/>
                <w:sz w:val="24"/>
                <w:highlight w:val="none"/>
              </w:rPr>
            </w:pPr>
          </w:p>
        </w:tc>
        <w:tc>
          <w:tcPr>
            <w:tcW w:w="1808" w:type="dxa"/>
            <w:vAlign w:val="center"/>
          </w:tcPr>
          <w:p w14:paraId="1C63252E">
            <w:pPr>
              <w:adjustRightInd w:val="0"/>
              <w:snapToGrid w:val="0"/>
              <w:jc w:val="center"/>
              <w:rPr>
                <w:rFonts w:hint="eastAsia" w:ascii="宋体" w:hAnsi="宋体"/>
                <w:color w:val="000000"/>
                <w:sz w:val="24"/>
                <w:highlight w:val="none"/>
              </w:rPr>
            </w:pPr>
          </w:p>
        </w:tc>
        <w:tc>
          <w:tcPr>
            <w:tcW w:w="1809" w:type="dxa"/>
            <w:vAlign w:val="center"/>
          </w:tcPr>
          <w:p w14:paraId="229607EB">
            <w:pPr>
              <w:adjustRightInd w:val="0"/>
              <w:snapToGrid w:val="0"/>
              <w:jc w:val="center"/>
              <w:rPr>
                <w:rFonts w:hint="eastAsia" w:ascii="宋体" w:hAnsi="宋体"/>
                <w:color w:val="000000"/>
                <w:sz w:val="24"/>
                <w:highlight w:val="none"/>
              </w:rPr>
            </w:pPr>
          </w:p>
        </w:tc>
        <w:tc>
          <w:tcPr>
            <w:tcW w:w="2290" w:type="dxa"/>
            <w:vAlign w:val="center"/>
          </w:tcPr>
          <w:p w14:paraId="70BA814F">
            <w:pPr>
              <w:adjustRightInd w:val="0"/>
              <w:snapToGrid w:val="0"/>
              <w:jc w:val="center"/>
              <w:rPr>
                <w:rFonts w:hint="eastAsia" w:ascii="宋体" w:hAnsi="宋体"/>
                <w:color w:val="000000"/>
                <w:sz w:val="24"/>
                <w:highlight w:val="none"/>
              </w:rPr>
            </w:pPr>
          </w:p>
        </w:tc>
        <w:tc>
          <w:tcPr>
            <w:tcW w:w="863" w:type="dxa"/>
            <w:vAlign w:val="center"/>
          </w:tcPr>
          <w:p w14:paraId="3DFFA3B8">
            <w:pPr>
              <w:adjustRightInd w:val="0"/>
              <w:snapToGrid w:val="0"/>
              <w:jc w:val="center"/>
              <w:rPr>
                <w:rFonts w:hint="eastAsia" w:ascii="宋体" w:hAnsi="宋体"/>
                <w:color w:val="000000"/>
                <w:sz w:val="24"/>
                <w:highlight w:val="none"/>
              </w:rPr>
            </w:pPr>
          </w:p>
        </w:tc>
      </w:tr>
      <w:tr w14:paraId="7343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C5CDFBB">
            <w:pPr>
              <w:adjustRightInd w:val="0"/>
              <w:snapToGrid w:val="0"/>
              <w:jc w:val="center"/>
              <w:rPr>
                <w:rFonts w:hint="eastAsia" w:ascii="宋体" w:hAnsi="宋体"/>
                <w:color w:val="000000"/>
                <w:sz w:val="24"/>
                <w:highlight w:val="none"/>
              </w:rPr>
            </w:pPr>
          </w:p>
        </w:tc>
        <w:tc>
          <w:tcPr>
            <w:tcW w:w="1394" w:type="dxa"/>
            <w:vAlign w:val="center"/>
          </w:tcPr>
          <w:p w14:paraId="11FFF535">
            <w:pPr>
              <w:adjustRightInd w:val="0"/>
              <w:snapToGrid w:val="0"/>
              <w:jc w:val="center"/>
              <w:rPr>
                <w:rFonts w:hint="eastAsia" w:ascii="宋体" w:hAnsi="宋体"/>
                <w:color w:val="000000"/>
                <w:sz w:val="24"/>
                <w:highlight w:val="none"/>
              </w:rPr>
            </w:pPr>
          </w:p>
        </w:tc>
        <w:tc>
          <w:tcPr>
            <w:tcW w:w="1808" w:type="dxa"/>
            <w:vAlign w:val="center"/>
          </w:tcPr>
          <w:p w14:paraId="236EB7DD">
            <w:pPr>
              <w:adjustRightInd w:val="0"/>
              <w:snapToGrid w:val="0"/>
              <w:jc w:val="center"/>
              <w:rPr>
                <w:rFonts w:hint="eastAsia" w:ascii="宋体" w:hAnsi="宋体"/>
                <w:color w:val="000000"/>
                <w:sz w:val="24"/>
                <w:highlight w:val="none"/>
              </w:rPr>
            </w:pPr>
          </w:p>
        </w:tc>
        <w:tc>
          <w:tcPr>
            <w:tcW w:w="1809" w:type="dxa"/>
            <w:vAlign w:val="center"/>
          </w:tcPr>
          <w:p w14:paraId="6990694E">
            <w:pPr>
              <w:adjustRightInd w:val="0"/>
              <w:snapToGrid w:val="0"/>
              <w:jc w:val="center"/>
              <w:rPr>
                <w:rFonts w:hint="eastAsia" w:ascii="宋体" w:hAnsi="宋体"/>
                <w:color w:val="000000"/>
                <w:sz w:val="24"/>
                <w:highlight w:val="none"/>
              </w:rPr>
            </w:pPr>
          </w:p>
        </w:tc>
        <w:tc>
          <w:tcPr>
            <w:tcW w:w="2290" w:type="dxa"/>
            <w:vAlign w:val="center"/>
          </w:tcPr>
          <w:p w14:paraId="6424D53D">
            <w:pPr>
              <w:adjustRightInd w:val="0"/>
              <w:snapToGrid w:val="0"/>
              <w:jc w:val="center"/>
              <w:rPr>
                <w:rFonts w:hint="eastAsia" w:ascii="宋体" w:hAnsi="宋体"/>
                <w:color w:val="000000"/>
                <w:sz w:val="24"/>
                <w:highlight w:val="none"/>
              </w:rPr>
            </w:pPr>
          </w:p>
        </w:tc>
        <w:tc>
          <w:tcPr>
            <w:tcW w:w="863" w:type="dxa"/>
            <w:vAlign w:val="center"/>
          </w:tcPr>
          <w:p w14:paraId="74156152">
            <w:pPr>
              <w:adjustRightInd w:val="0"/>
              <w:snapToGrid w:val="0"/>
              <w:jc w:val="center"/>
              <w:rPr>
                <w:rFonts w:hint="eastAsia" w:ascii="宋体" w:hAnsi="宋体"/>
                <w:color w:val="000000"/>
                <w:sz w:val="24"/>
                <w:highlight w:val="none"/>
              </w:rPr>
            </w:pPr>
          </w:p>
        </w:tc>
      </w:tr>
    </w:tbl>
    <w:p w14:paraId="7D45F68E">
      <w:pPr>
        <w:tabs>
          <w:tab w:val="left" w:pos="1800"/>
          <w:tab w:val="left" w:pos="5580"/>
        </w:tabs>
        <w:jc w:val="left"/>
        <w:rPr>
          <w:rFonts w:hint="eastAsia" w:ascii="宋体" w:hAnsi="宋体"/>
          <w:color w:val="000000"/>
          <w:sz w:val="24"/>
          <w:highlight w:val="none"/>
        </w:rPr>
      </w:pPr>
    </w:p>
    <w:p w14:paraId="0010ACD6">
      <w:pPr>
        <w:tabs>
          <w:tab w:val="left" w:pos="1800"/>
          <w:tab w:val="left" w:pos="5580"/>
        </w:tabs>
        <w:jc w:val="left"/>
        <w:rPr>
          <w:rFonts w:hint="eastAsia" w:ascii="宋体" w:hAnsi="宋体"/>
          <w:color w:val="000000"/>
          <w:sz w:val="24"/>
          <w:highlight w:val="none"/>
        </w:rPr>
      </w:pPr>
      <w:r>
        <w:rPr>
          <w:rFonts w:ascii="宋体" w:hAnsi="宋体"/>
          <w:color w:val="000000"/>
          <w:sz w:val="24"/>
          <w:highlight w:val="none"/>
        </w:rPr>
        <w:t>注：</w:t>
      </w:r>
      <w:r>
        <w:rPr>
          <w:rFonts w:ascii="宋体" w:hAnsi="宋体"/>
          <w:sz w:val="24"/>
          <w:highlight w:val="none"/>
        </w:rPr>
        <w:t xml:space="preserve"> “偏离情况”列应</w:t>
      </w:r>
      <w:r>
        <w:rPr>
          <w:rFonts w:ascii="宋体" w:hAnsi="宋体"/>
          <w:color w:val="000000"/>
          <w:sz w:val="24"/>
          <w:highlight w:val="none"/>
        </w:rPr>
        <w:t>据实</w:t>
      </w:r>
      <w:r>
        <w:rPr>
          <w:rFonts w:ascii="宋体" w:hAnsi="宋体"/>
          <w:sz w:val="24"/>
          <w:highlight w:val="none"/>
        </w:rPr>
        <w:t>填写“正偏离”或“负偏离”。</w:t>
      </w:r>
    </w:p>
    <w:p w14:paraId="1AC33BFA">
      <w:pPr>
        <w:spacing w:line="360" w:lineRule="auto"/>
        <w:rPr>
          <w:rFonts w:hint="eastAsia" w:ascii="宋体" w:hAnsi="宋体"/>
          <w:color w:val="000000"/>
          <w:sz w:val="24"/>
          <w:szCs w:val="20"/>
          <w:highlight w:val="none"/>
        </w:rPr>
      </w:pPr>
    </w:p>
    <w:p w14:paraId="4EE09C12">
      <w:pPr>
        <w:autoSpaceDE w:val="0"/>
        <w:autoSpaceDN w:val="0"/>
        <w:adjustRightInd w:val="0"/>
        <w:snapToGrid w:val="0"/>
        <w:spacing w:before="25" w:after="25" w:line="360" w:lineRule="auto"/>
        <w:rPr>
          <w:rFonts w:hint="eastAsia"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color w:val="000000"/>
          <w:sz w:val="24"/>
          <w:highlight w:val="none"/>
        </w:rPr>
        <w:t>_______________</w:t>
      </w:r>
    </w:p>
    <w:p w14:paraId="19D03323">
      <w:pPr>
        <w:autoSpaceDE w:val="0"/>
        <w:autoSpaceDN w:val="0"/>
        <w:adjustRightInd w:val="0"/>
        <w:snapToGrid w:val="0"/>
        <w:spacing w:before="25" w:after="25" w:line="360" w:lineRule="auto"/>
        <w:rPr>
          <w:rFonts w:hint="eastAsia" w:ascii="宋体" w:hAnsi="宋体"/>
          <w:color w:val="000000"/>
          <w:sz w:val="24"/>
          <w:highlight w:val="none"/>
          <w:lang w:val="zh-CN"/>
        </w:rPr>
      </w:pPr>
      <w:r>
        <w:rPr>
          <w:rFonts w:ascii="宋体" w:hAnsi="宋体"/>
          <w:color w:val="000000"/>
          <w:sz w:val="24"/>
          <w:szCs w:val="20"/>
          <w:highlight w:val="none"/>
        </w:rPr>
        <w:t xml:space="preserve">日期：____年____月____日    </w:t>
      </w:r>
    </w:p>
    <w:p w14:paraId="63467BF6">
      <w:pPr>
        <w:tabs>
          <w:tab w:val="left" w:pos="360"/>
        </w:tabs>
        <w:snapToGrid w:val="0"/>
        <w:spacing w:line="360" w:lineRule="auto"/>
        <w:outlineLvl w:val="1"/>
        <w:rPr>
          <w:rFonts w:hint="eastAsia" w:ascii="宋体" w:hAnsi="宋体"/>
          <w:color w:val="000000"/>
          <w:sz w:val="24"/>
          <w:szCs w:val="20"/>
          <w:highlight w:val="none"/>
        </w:rPr>
      </w:pPr>
      <w:r>
        <w:rPr>
          <w:rFonts w:ascii="宋体" w:hAnsi="宋体"/>
          <w:color w:val="000000"/>
          <w:sz w:val="24"/>
          <w:szCs w:val="20"/>
          <w:highlight w:val="none"/>
        </w:rPr>
        <w:br w:type="page"/>
      </w:r>
      <w:r>
        <w:rPr>
          <w:rFonts w:ascii="宋体" w:hAnsi="宋体"/>
          <w:sz w:val="24"/>
          <w:highlight w:val="none"/>
        </w:rPr>
        <w:t xml:space="preserve">10  </w:t>
      </w:r>
      <w:bookmarkEnd w:id="2507"/>
      <w:bookmarkEnd w:id="2508"/>
      <w:bookmarkEnd w:id="2509"/>
      <w:bookmarkEnd w:id="2510"/>
      <w:bookmarkEnd w:id="2511"/>
      <w:bookmarkEnd w:id="2512"/>
      <w:bookmarkEnd w:id="2513"/>
      <w:bookmarkEnd w:id="2514"/>
      <w:bookmarkEnd w:id="2515"/>
      <w:bookmarkEnd w:id="2516"/>
      <w:bookmarkEnd w:id="2517"/>
      <w:bookmarkEnd w:id="2518"/>
      <w:bookmarkEnd w:id="2519"/>
      <w:r>
        <w:rPr>
          <w:rFonts w:ascii="宋体" w:hAnsi="宋体"/>
          <w:sz w:val="24"/>
          <w:highlight w:val="none"/>
        </w:rPr>
        <w:t>采购需求偏离表（实质性格式）</w:t>
      </w:r>
    </w:p>
    <w:p w14:paraId="220E79B1">
      <w:pPr>
        <w:autoSpaceDE w:val="0"/>
        <w:autoSpaceDN w:val="0"/>
        <w:adjustRightInd w:val="0"/>
        <w:spacing w:line="360" w:lineRule="auto"/>
        <w:jc w:val="center"/>
        <w:rPr>
          <w:rFonts w:hint="eastAsia" w:ascii="宋体" w:hAnsi="宋体"/>
          <w:b/>
          <w:color w:val="000000"/>
          <w:sz w:val="36"/>
          <w:szCs w:val="36"/>
          <w:highlight w:val="none"/>
        </w:rPr>
      </w:pPr>
      <w:r>
        <w:rPr>
          <w:rFonts w:ascii="宋体" w:hAnsi="宋体"/>
          <w:b/>
          <w:color w:val="000000"/>
          <w:sz w:val="36"/>
          <w:szCs w:val="36"/>
          <w:highlight w:val="none"/>
        </w:rPr>
        <w:t>采购需求偏离表</w:t>
      </w:r>
    </w:p>
    <w:p w14:paraId="205F2F4E">
      <w:pPr>
        <w:tabs>
          <w:tab w:val="left" w:pos="1800"/>
          <w:tab w:val="left" w:pos="5580"/>
        </w:tabs>
        <w:spacing w:line="360" w:lineRule="auto"/>
        <w:ind w:firstLine="360" w:firstLineChars="150"/>
        <w:jc w:val="left"/>
        <w:rPr>
          <w:rFonts w:hint="eastAsia" w:ascii="宋体" w:hAnsi="宋体"/>
          <w:color w:val="000000"/>
          <w:sz w:val="24"/>
          <w:highlight w:val="none"/>
        </w:rPr>
      </w:pPr>
      <w:r>
        <w:rPr>
          <w:rFonts w:ascii="宋体" w:hAnsi="宋体"/>
          <w:color w:val="000000"/>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11F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EA6790E">
            <w:pPr>
              <w:adjustRightInd w:val="0"/>
              <w:snapToGrid w:val="0"/>
              <w:jc w:val="center"/>
              <w:rPr>
                <w:rFonts w:hint="eastAsia" w:ascii="宋体" w:hAnsi="宋体"/>
                <w:color w:val="000000"/>
                <w:sz w:val="24"/>
                <w:highlight w:val="none"/>
              </w:rPr>
            </w:pPr>
            <w:r>
              <w:rPr>
                <w:rFonts w:ascii="宋体" w:hAnsi="宋体"/>
                <w:color w:val="000000"/>
                <w:sz w:val="24"/>
                <w:highlight w:val="none"/>
              </w:rPr>
              <w:t>序号</w:t>
            </w:r>
          </w:p>
        </w:tc>
        <w:tc>
          <w:tcPr>
            <w:tcW w:w="1482" w:type="dxa"/>
            <w:vAlign w:val="center"/>
          </w:tcPr>
          <w:p w14:paraId="537F175B">
            <w:pPr>
              <w:adjustRightInd w:val="0"/>
              <w:snapToGrid w:val="0"/>
              <w:jc w:val="center"/>
              <w:rPr>
                <w:rFonts w:hint="eastAsia" w:ascii="宋体" w:hAnsi="宋体"/>
                <w:color w:val="000000"/>
                <w:sz w:val="24"/>
                <w:highlight w:val="none"/>
              </w:rPr>
            </w:pPr>
            <w:r>
              <w:rPr>
                <w:rFonts w:ascii="宋体" w:hAnsi="宋体"/>
                <w:color w:val="000000"/>
                <w:sz w:val="24"/>
                <w:highlight w:val="none"/>
              </w:rPr>
              <w:t>竞争性磋商文件条目号(页码)</w:t>
            </w:r>
          </w:p>
        </w:tc>
        <w:tc>
          <w:tcPr>
            <w:tcW w:w="2384" w:type="dxa"/>
            <w:vAlign w:val="center"/>
          </w:tcPr>
          <w:p w14:paraId="4DAFCEE8">
            <w:pPr>
              <w:adjustRightInd w:val="0"/>
              <w:snapToGrid w:val="0"/>
              <w:jc w:val="center"/>
              <w:rPr>
                <w:rFonts w:hint="eastAsia" w:ascii="宋体" w:hAnsi="宋体"/>
                <w:color w:val="000000"/>
                <w:sz w:val="24"/>
                <w:highlight w:val="none"/>
              </w:rPr>
            </w:pPr>
            <w:r>
              <w:rPr>
                <w:rFonts w:ascii="宋体" w:hAnsi="宋体"/>
                <w:color w:val="000000"/>
                <w:sz w:val="24"/>
                <w:highlight w:val="none"/>
              </w:rPr>
              <w:t>竞争性磋商文件要求</w:t>
            </w:r>
          </w:p>
        </w:tc>
        <w:tc>
          <w:tcPr>
            <w:tcW w:w="2126" w:type="dxa"/>
            <w:vAlign w:val="center"/>
          </w:tcPr>
          <w:p w14:paraId="6CA173BE">
            <w:pPr>
              <w:adjustRightInd w:val="0"/>
              <w:snapToGrid w:val="0"/>
              <w:jc w:val="center"/>
              <w:rPr>
                <w:rFonts w:hint="eastAsia" w:ascii="宋体" w:hAnsi="宋体"/>
                <w:color w:val="000000"/>
                <w:sz w:val="24"/>
                <w:highlight w:val="none"/>
              </w:rPr>
            </w:pPr>
            <w:r>
              <w:rPr>
                <w:rFonts w:ascii="宋体" w:hAnsi="宋体"/>
                <w:color w:val="000000"/>
                <w:sz w:val="24"/>
                <w:highlight w:val="none"/>
              </w:rPr>
              <w:t>响应内容</w:t>
            </w:r>
          </w:p>
        </w:tc>
        <w:tc>
          <w:tcPr>
            <w:tcW w:w="1875" w:type="dxa"/>
            <w:vAlign w:val="center"/>
          </w:tcPr>
          <w:p w14:paraId="08E23B95">
            <w:pPr>
              <w:adjustRightInd w:val="0"/>
              <w:snapToGrid w:val="0"/>
              <w:jc w:val="center"/>
              <w:rPr>
                <w:rFonts w:hint="eastAsia" w:ascii="宋体" w:hAnsi="宋体"/>
                <w:color w:val="000000"/>
                <w:sz w:val="24"/>
                <w:highlight w:val="none"/>
              </w:rPr>
            </w:pPr>
            <w:r>
              <w:rPr>
                <w:rFonts w:ascii="宋体" w:hAnsi="宋体"/>
                <w:color w:val="000000"/>
                <w:sz w:val="24"/>
                <w:highlight w:val="none"/>
              </w:rPr>
              <w:t>偏离情况</w:t>
            </w:r>
          </w:p>
        </w:tc>
        <w:tc>
          <w:tcPr>
            <w:tcW w:w="1009" w:type="dxa"/>
            <w:vAlign w:val="center"/>
          </w:tcPr>
          <w:p w14:paraId="6A148AD5">
            <w:pPr>
              <w:adjustRightInd w:val="0"/>
              <w:snapToGrid w:val="0"/>
              <w:jc w:val="center"/>
              <w:rPr>
                <w:rFonts w:hint="eastAsia" w:ascii="宋体" w:hAnsi="宋体"/>
                <w:color w:val="000000"/>
                <w:sz w:val="24"/>
                <w:highlight w:val="none"/>
              </w:rPr>
            </w:pPr>
            <w:r>
              <w:rPr>
                <w:rFonts w:ascii="宋体" w:hAnsi="宋体"/>
                <w:color w:val="000000"/>
                <w:sz w:val="24"/>
                <w:highlight w:val="none"/>
              </w:rPr>
              <w:t>说明</w:t>
            </w:r>
          </w:p>
        </w:tc>
      </w:tr>
      <w:tr w14:paraId="1BDC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5ECA0E">
            <w:pPr>
              <w:adjustRightInd w:val="0"/>
              <w:snapToGrid w:val="0"/>
              <w:jc w:val="center"/>
              <w:rPr>
                <w:rFonts w:hint="eastAsia" w:ascii="宋体" w:hAnsi="宋体"/>
                <w:color w:val="000000"/>
                <w:sz w:val="24"/>
                <w:highlight w:val="none"/>
              </w:rPr>
            </w:pPr>
          </w:p>
        </w:tc>
        <w:tc>
          <w:tcPr>
            <w:tcW w:w="1482" w:type="dxa"/>
            <w:vAlign w:val="center"/>
          </w:tcPr>
          <w:p w14:paraId="657A3B5F">
            <w:pPr>
              <w:adjustRightInd w:val="0"/>
              <w:snapToGrid w:val="0"/>
              <w:jc w:val="center"/>
              <w:rPr>
                <w:rFonts w:hint="eastAsia" w:ascii="宋体" w:hAnsi="宋体"/>
                <w:color w:val="000000"/>
                <w:sz w:val="24"/>
                <w:highlight w:val="none"/>
              </w:rPr>
            </w:pPr>
          </w:p>
        </w:tc>
        <w:tc>
          <w:tcPr>
            <w:tcW w:w="2384" w:type="dxa"/>
            <w:vAlign w:val="center"/>
          </w:tcPr>
          <w:p w14:paraId="1D44A5DF">
            <w:pPr>
              <w:adjustRightInd w:val="0"/>
              <w:snapToGrid w:val="0"/>
              <w:jc w:val="center"/>
              <w:rPr>
                <w:rFonts w:hint="eastAsia" w:ascii="宋体" w:hAnsi="宋体"/>
                <w:color w:val="000000"/>
                <w:sz w:val="24"/>
                <w:highlight w:val="none"/>
              </w:rPr>
            </w:pPr>
          </w:p>
        </w:tc>
        <w:tc>
          <w:tcPr>
            <w:tcW w:w="2126" w:type="dxa"/>
            <w:vAlign w:val="center"/>
          </w:tcPr>
          <w:p w14:paraId="6D9C273D">
            <w:pPr>
              <w:adjustRightInd w:val="0"/>
              <w:snapToGrid w:val="0"/>
              <w:jc w:val="center"/>
              <w:rPr>
                <w:rFonts w:hint="eastAsia" w:ascii="宋体" w:hAnsi="宋体"/>
                <w:color w:val="000000"/>
                <w:sz w:val="24"/>
                <w:highlight w:val="none"/>
              </w:rPr>
            </w:pPr>
          </w:p>
        </w:tc>
        <w:tc>
          <w:tcPr>
            <w:tcW w:w="1875" w:type="dxa"/>
            <w:vAlign w:val="center"/>
          </w:tcPr>
          <w:p w14:paraId="1A9A3717">
            <w:pPr>
              <w:adjustRightInd w:val="0"/>
              <w:snapToGrid w:val="0"/>
              <w:jc w:val="center"/>
              <w:rPr>
                <w:rFonts w:hint="eastAsia" w:ascii="宋体" w:hAnsi="宋体"/>
                <w:color w:val="000000"/>
                <w:sz w:val="24"/>
                <w:highlight w:val="none"/>
              </w:rPr>
            </w:pPr>
          </w:p>
        </w:tc>
        <w:tc>
          <w:tcPr>
            <w:tcW w:w="1009" w:type="dxa"/>
            <w:vAlign w:val="center"/>
          </w:tcPr>
          <w:p w14:paraId="29401E6F">
            <w:pPr>
              <w:adjustRightInd w:val="0"/>
              <w:snapToGrid w:val="0"/>
              <w:jc w:val="center"/>
              <w:rPr>
                <w:rFonts w:hint="eastAsia" w:ascii="宋体" w:hAnsi="宋体"/>
                <w:color w:val="000000"/>
                <w:sz w:val="24"/>
                <w:highlight w:val="none"/>
              </w:rPr>
            </w:pPr>
          </w:p>
        </w:tc>
      </w:tr>
      <w:tr w14:paraId="2486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89589C">
            <w:pPr>
              <w:adjustRightInd w:val="0"/>
              <w:snapToGrid w:val="0"/>
              <w:jc w:val="center"/>
              <w:rPr>
                <w:rFonts w:hint="eastAsia" w:ascii="宋体" w:hAnsi="宋体"/>
                <w:color w:val="000000"/>
                <w:sz w:val="24"/>
                <w:highlight w:val="none"/>
              </w:rPr>
            </w:pPr>
          </w:p>
        </w:tc>
        <w:tc>
          <w:tcPr>
            <w:tcW w:w="1482" w:type="dxa"/>
            <w:vAlign w:val="center"/>
          </w:tcPr>
          <w:p w14:paraId="60194145">
            <w:pPr>
              <w:adjustRightInd w:val="0"/>
              <w:snapToGrid w:val="0"/>
              <w:jc w:val="center"/>
              <w:rPr>
                <w:rFonts w:hint="eastAsia" w:ascii="宋体" w:hAnsi="宋体"/>
                <w:color w:val="000000"/>
                <w:sz w:val="24"/>
                <w:highlight w:val="none"/>
              </w:rPr>
            </w:pPr>
          </w:p>
        </w:tc>
        <w:tc>
          <w:tcPr>
            <w:tcW w:w="2384" w:type="dxa"/>
            <w:vAlign w:val="center"/>
          </w:tcPr>
          <w:p w14:paraId="43E9E3C9">
            <w:pPr>
              <w:adjustRightInd w:val="0"/>
              <w:snapToGrid w:val="0"/>
              <w:jc w:val="center"/>
              <w:rPr>
                <w:rFonts w:hint="eastAsia" w:ascii="宋体" w:hAnsi="宋体"/>
                <w:color w:val="000000"/>
                <w:sz w:val="24"/>
                <w:highlight w:val="none"/>
              </w:rPr>
            </w:pPr>
          </w:p>
        </w:tc>
        <w:tc>
          <w:tcPr>
            <w:tcW w:w="2126" w:type="dxa"/>
            <w:vAlign w:val="center"/>
          </w:tcPr>
          <w:p w14:paraId="7ED46930">
            <w:pPr>
              <w:adjustRightInd w:val="0"/>
              <w:snapToGrid w:val="0"/>
              <w:jc w:val="center"/>
              <w:rPr>
                <w:rFonts w:hint="eastAsia" w:ascii="宋体" w:hAnsi="宋体"/>
                <w:color w:val="000000"/>
                <w:sz w:val="24"/>
                <w:highlight w:val="none"/>
              </w:rPr>
            </w:pPr>
          </w:p>
        </w:tc>
        <w:tc>
          <w:tcPr>
            <w:tcW w:w="1875" w:type="dxa"/>
            <w:vAlign w:val="center"/>
          </w:tcPr>
          <w:p w14:paraId="35D4481B">
            <w:pPr>
              <w:adjustRightInd w:val="0"/>
              <w:snapToGrid w:val="0"/>
              <w:jc w:val="center"/>
              <w:rPr>
                <w:rFonts w:hint="eastAsia" w:ascii="宋体" w:hAnsi="宋体"/>
                <w:color w:val="000000"/>
                <w:sz w:val="24"/>
                <w:highlight w:val="none"/>
              </w:rPr>
            </w:pPr>
          </w:p>
        </w:tc>
        <w:tc>
          <w:tcPr>
            <w:tcW w:w="1009" w:type="dxa"/>
            <w:vAlign w:val="center"/>
          </w:tcPr>
          <w:p w14:paraId="2BDEFC6A">
            <w:pPr>
              <w:adjustRightInd w:val="0"/>
              <w:snapToGrid w:val="0"/>
              <w:jc w:val="center"/>
              <w:rPr>
                <w:rFonts w:hint="eastAsia" w:ascii="宋体" w:hAnsi="宋体"/>
                <w:color w:val="000000"/>
                <w:sz w:val="24"/>
                <w:highlight w:val="none"/>
              </w:rPr>
            </w:pPr>
          </w:p>
        </w:tc>
      </w:tr>
      <w:tr w14:paraId="2E15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A0AF5B">
            <w:pPr>
              <w:adjustRightInd w:val="0"/>
              <w:snapToGrid w:val="0"/>
              <w:jc w:val="center"/>
              <w:rPr>
                <w:rFonts w:hint="eastAsia" w:ascii="宋体" w:hAnsi="宋体"/>
                <w:color w:val="000000"/>
                <w:sz w:val="24"/>
                <w:highlight w:val="none"/>
              </w:rPr>
            </w:pPr>
          </w:p>
        </w:tc>
        <w:tc>
          <w:tcPr>
            <w:tcW w:w="1482" w:type="dxa"/>
            <w:vAlign w:val="center"/>
          </w:tcPr>
          <w:p w14:paraId="05742136">
            <w:pPr>
              <w:adjustRightInd w:val="0"/>
              <w:snapToGrid w:val="0"/>
              <w:jc w:val="center"/>
              <w:rPr>
                <w:rFonts w:hint="eastAsia" w:ascii="宋体" w:hAnsi="宋体"/>
                <w:color w:val="000000"/>
                <w:sz w:val="24"/>
                <w:highlight w:val="none"/>
              </w:rPr>
            </w:pPr>
          </w:p>
        </w:tc>
        <w:tc>
          <w:tcPr>
            <w:tcW w:w="2384" w:type="dxa"/>
            <w:vAlign w:val="center"/>
          </w:tcPr>
          <w:p w14:paraId="532ABE5A">
            <w:pPr>
              <w:adjustRightInd w:val="0"/>
              <w:snapToGrid w:val="0"/>
              <w:jc w:val="center"/>
              <w:rPr>
                <w:rFonts w:hint="eastAsia" w:ascii="宋体" w:hAnsi="宋体"/>
                <w:color w:val="000000"/>
                <w:sz w:val="24"/>
                <w:highlight w:val="none"/>
              </w:rPr>
            </w:pPr>
          </w:p>
        </w:tc>
        <w:tc>
          <w:tcPr>
            <w:tcW w:w="2126" w:type="dxa"/>
            <w:vAlign w:val="center"/>
          </w:tcPr>
          <w:p w14:paraId="29D56334">
            <w:pPr>
              <w:adjustRightInd w:val="0"/>
              <w:snapToGrid w:val="0"/>
              <w:jc w:val="center"/>
              <w:rPr>
                <w:rFonts w:hint="eastAsia" w:ascii="宋体" w:hAnsi="宋体"/>
                <w:color w:val="000000"/>
                <w:sz w:val="24"/>
                <w:highlight w:val="none"/>
              </w:rPr>
            </w:pPr>
          </w:p>
        </w:tc>
        <w:tc>
          <w:tcPr>
            <w:tcW w:w="1875" w:type="dxa"/>
            <w:vAlign w:val="center"/>
          </w:tcPr>
          <w:p w14:paraId="7A4B99EE">
            <w:pPr>
              <w:adjustRightInd w:val="0"/>
              <w:snapToGrid w:val="0"/>
              <w:jc w:val="center"/>
              <w:rPr>
                <w:rFonts w:hint="eastAsia" w:ascii="宋体" w:hAnsi="宋体"/>
                <w:color w:val="000000"/>
                <w:sz w:val="24"/>
                <w:highlight w:val="none"/>
              </w:rPr>
            </w:pPr>
          </w:p>
        </w:tc>
        <w:tc>
          <w:tcPr>
            <w:tcW w:w="1009" w:type="dxa"/>
            <w:vAlign w:val="center"/>
          </w:tcPr>
          <w:p w14:paraId="415D29B6">
            <w:pPr>
              <w:adjustRightInd w:val="0"/>
              <w:snapToGrid w:val="0"/>
              <w:jc w:val="center"/>
              <w:rPr>
                <w:rFonts w:hint="eastAsia" w:ascii="宋体" w:hAnsi="宋体"/>
                <w:color w:val="000000"/>
                <w:sz w:val="24"/>
                <w:highlight w:val="none"/>
              </w:rPr>
            </w:pPr>
          </w:p>
        </w:tc>
      </w:tr>
      <w:tr w14:paraId="2353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509921">
            <w:pPr>
              <w:adjustRightInd w:val="0"/>
              <w:snapToGrid w:val="0"/>
              <w:jc w:val="center"/>
              <w:rPr>
                <w:rFonts w:hint="eastAsia" w:ascii="宋体" w:hAnsi="宋体"/>
                <w:color w:val="000000"/>
                <w:sz w:val="24"/>
                <w:highlight w:val="none"/>
              </w:rPr>
            </w:pPr>
          </w:p>
        </w:tc>
        <w:tc>
          <w:tcPr>
            <w:tcW w:w="1482" w:type="dxa"/>
            <w:vAlign w:val="center"/>
          </w:tcPr>
          <w:p w14:paraId="7E0F524A">
            <w:pPr>
              <w:adjustRightInd w:val="0"/>
              <w:snapToGrid w:val="0"/>
              <w:jc w:val="center"/>
              <w:rPr>
                <w:rFonts w:hint="eastAsia" w:ascii="宋体" w:hAnsi="宋体"/>
                <w:color w:val="000000"/>
                <w:sz w:val="24"/>
                <w:highlight w:val="none"/>
              </w:rPr>
            </w:pPr>
          </w:p>
        </w:tc>
        <w:tc>
          <w:tcPr>
            <w:tcW w:w="2384" w:type="dxa"/>
            <w:vAlign w:val="center"/>
          </w:tcPr>
          <w:p w14:paraId="2CD4CFC7">
            <w:pPr>
              <w:adjustRightInd w:val="0"/>
              <w:snapToGrid w:val="0"/>
              <w:jc w:val="center"/>
              <w:rPr>
                <w:rFonts w:hint="eastAsia" w:ascii="宋体" w:hAnsi="宋体"/>
                <w:color w:val="000000"/>
                <w:sz w:val="24"/>
                <w:highlight w:val="none"/>
              </w:rPr>
            </w:pPr>
          </w:p>
        </w:tc>
        <w:tc>
          <w:tcPr>
            <w:tcW w:w="2126" w:type="dxa"/>
            <w:vAlign w:val="center"/>
          </w:tcPr>
          <w:p w14:paraId="7B33D889">
            <w:pPr>
              <w:adjustRightInd w:val="0"/>
              <w:snapToGrid w:val="0"/>
              <w:jc w:val="center"/>
              <w:rPr>
                <w:rFonts w:hint="eastAsia" w:ascii="宋体" w:hAnsi="宋体"/>
                <w:color w:val="000000"/>
                <w:sz w:val="24"/>
                <w:highlight w:val="none"/>
              </w:rPr>
            </w:pPr>
          </w:p>
        </w:tc>
        <w:tc>
          <w:tcPr>
            <w:tcW w:w="1875" w:type="dxa"/>
            <w:vAlign w:val="center"/>
          </w:tcPr>
          <w:p w14:paraId="0F06F868">
            <w:pPr>
              <w:adjustRightInd w:val="0"/>
              <w:snapToGrid w:val="0"/>
              <w:jc w:val="center"/>
              <w:rPr>
                <w:rFonts w:hint="eastAsia" w:ascii="宋体" w:hAnsi="宋体"/>
                <w:color w:val="000000"/>
                <w:sz w:val="24"/>
                <w:highlight w:val="none"/>
              </w:rPr>
            </w:pPr>
          </w:p>
        </w:tc>
        <w:tc>
          <w:tcPr>
            <w:tcW w:w="1009" w:type="dxa"/>
            <w:vAlign w:val="center"/>
          </w:tcPr>
          <w:p w14:paraId="19747258">
            <w:pPr>
              <w:adjustRightInd w:val="0"/>
              <w:snapToGrid w:val="0"/>
              <w:jc w:val="center"/>
              <w:rPr>
                <w:rFonts w:hint="eastAsia" w:ascii="宋体" w:hAnsi="宋体"/>
                <w:color w:val="000000"/>
                <w:sz w:val="24"/>
                <w:highlight w:val="none"/>
              </w:rPr>
            </w:pPr>
          </w:p>
        </w:tc>
      </w:tr>
      <w:tr w14:paraId="2646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EF6F2C4">
            <w:pPr>
              <w:adjustRightInd w:val="0"/>
              <w:snapToGrid w:val="0"/>
              <w:jc w:val="center"/>
              <w:rPr>
                <w:rFonts w:hint="eastAsia" w:ascii="宋体" w:hAnsi="宋体"/>
                <w:color w:val="000000"/>
                <w:sz w:val="24"/>
                <w:highlight w:val="none"/>
              </w:rPr>
            </w:pPr>
          </w:p>
        </w:tc>
        <w:tc>
          <w:tcPr>
            <w:tcW w:w="1482" w:type="dxa"/>
            <w:vAlign w:val="center"/>
          </w:tcPr>
          <w:p w14:paraId="72CC201E">
            <w:pPr>
              <w:adjustRightInd w:val="0"/>
              <w:snapToGrid w:val="0"/>
              <w:jc w:val="center"/>
              <w:rPr>
                <w:rFonts w:hint="eastAsia" w:ascii="宋体" w:hAnsi="宋体"/>
                <w:color w:val="000000"/>
                <w:sz w:val="24"/>
                <w:highlight w:val="none"/>
              </w:rPr>
            </w:pPr>
          </w:p>
        </w:tc>
        <w:tc>
          <w:tcPr>
            <w:tcW w:w="2384" w:type="dxa"/>
            <w:vAlign w:val="center"/>
          </w:tcPr>
          <w:p w14:paraId="1BF913B7">
            <w:pPr>
              <w:adjustRightInd w:val="0"/>
              <w:snapToGrid w:val="0"/>
              <w:jc w:val="center"/>
              <w:rPr>
                <w:rFonts w:hint="eastAsia" w:ascii="宋体" w:hAnsi="宋体"/>
                <w:color w:val="000000"/>
                <w:sz w:val="24"/>
                <w:highlight w:val="none"/>
              </w:rPr>
            </w:pPr>
          </w:p>
        </w:tc>
        <w:tc>
          <w:tcPr>
            <w:tcW w:w="2126" w:type="dxa"/>
            <w:vAlign w:val="center"/>
          </w:tcPr>
          <w:p w14:paraId="3D760DDA">
            <w:pPr>
              <w:adjustRightInd w:val="0"/>
              <w:snapToGrid w:val="0"/>
              <w:jc w:val="center"/>
              <w:rPr>
                <w:rFonts w:hint="eastAsia" w:ascii="宋体" w:hAnsi="宋体"/>
                <w:color w:val="000000"/>
                <w:sz w:val="24"/>
                <w:highlight w:val="none"/>
              </w:rPr>
            </w:pPr>
          </w:p>
        </w:tc>
        <w:tc>
          <w:tcPr>
            <w:tcW w:w="1875" w:type="dxa"/>
            <w:vAlign w:val="center"/>
          </w:tcPr>
          <w:p w14:paraId="74FE2AC6">
            <w:pPr>
              <w:adjustRightInd w:val="0"/>
              <w:snapToGrid w:val="0"/>
              <w:jc w:val="center"/>
              <w:rPr>
                <w:rFonts w:hint="eastAsia" w:ascii="宋体" w:hAnsi="宋体"/>
                <w:color w:val="000000"/>
                <w:sz w:val="24"/>
                <w:highlight w:val="none"/>
              </w:rPr>
            </w:pPr>
          </w:p>
        </w:tc>
        <w:tc>
          <w:tcPr>
            <w:tcW w:w="1009" w:type="dxa"/>
            <w:vAlign w:val="center"/>
          </w:tcPr>
          <w:p w14:paraId="55BBF22D">
            <w:pPr>
              <w:adjustRightInd w:val="0"/>
              <w:snapToGrid w:val="0"/>
              <w:jc w:val="center"/>
              <w:rPr>
                <w:rFonts w:hint="eastAsia" w:ascii="宋体" w:hAnsi="宋体"/>
                <w:color w:val="000000"/>
                <w:sz w:val="24"/>
                <w:highlight w:val="none"/>
              </w:rPr>
            </w:pPr>
          </w:p>
        </w:tc>
      </w:tr>
      <w:tr w14:paraId="4743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6CD588">
            <w:pPr>
              <w:adjustRightInd w:val="0"/>
              <w:snapToGrid w:val="0"/>
              <w:jc w:val="center"/>
              <w:rPr>
                <w:rFonts w:hint="eastAsia" w:ascii="宋体" w:hAnsi="宋体"/>
                <w:color w:val="000000"/>
                <w:sz w:val="24"/>
                <w:highlight w:val="none"/>
              </w:rPr>
            </w:pPr>
          </w:p>
        </w:tc>
        <w:tc>
          <w:tcPr>
            <w:tcW w:w="1482" w:type="dxa"/>
            <w:vAlign w:val="center"/>
          </w:tcPr>
          <w:p w14:paraId="5348C71A">
            <w:pPr>
              <w:adjustRightInd w:val="0"/>
              <w:snapToGrid w:val="0"/>
              <w:jc w:val="center"/>
              <w:rPr>
                <w:rFonts w:hint="eastAsia" w:ascii="宋体" w:hAnsi="宋体"/>
                <w:color w:val="000000"/>
                <w:sz w:val="24"/>
                <w:highlight w:val="none"/>
              </w:rPr>
            </w:pPr>
          </w:p>
        </w:tc>
        <w:tc>
          <w:tcPr>
            <w:tcW w:w="2384" w:type="dxa"/>
            <w:vAlign w:val="center"/>
          </w:tcPr>
          <w:p w14:paraId="2A0B24A9">
            <w:pPr>
              <w:adjustRightInd w:val="0"/>
              <w:snapToGrid w:val="0"/>
              <w:jc w:val="center"/>
              <w:rPr>
                <w:rFonts w:hint="eastAsia" w:ascii="宋体" w:hAnsi="宋体"/>
                <w:color w:val="000000"/>
                <w:sz w:val="24"/>
                <w:highlight w:val="none"/>
              </w:rPr>
            </w:pPr>
          </w:p>
        </w:tc>
        <w:tc>
          <w:tcPr>
            <w:tcW w:w="2126" w:type="dxa"/>
            <w:vAlign w:val="center"/>
          </w:tcPr>
          <w:p w14:paraId="088A36AC">
            <w:pPr>
              <w:adjustRightInd w:val="0"/>
              <w:snapToGrid w:val="0"/>
              <w:jc w:val="center"/>
              <w:rPr>
                <w:rFonts w:hint="eastAsia" w:ascii="宋体" w:hAnsi="宋体"/>
                <w:color w:val="000000"/>
                <w:sz w:val="24"/>
                <w:highlight w:val="none"/>
              </w:rPr>
            </w:pPr>
          </w:p>
        </w:tc>
        <w:tc>
          <w:tcPr>
            <w:tcW w:w="1875" w:type="dxa"/>
            <w:vAlign w:val="center"/>
          </w:tcPr>
          <w:p w14:paraId="39601EB4">
            <w:pPr>
              <w:adjustRightInd w:val="0"/>
              <w:snapToGrid w:val="0"/>
              <w:jc w:val="center"/>
              <w:rPr>
                <w:rFonts w:hint="eastAsia" w:ascii="宋体" w:hAnsi="宋体"/>
                <w:color w:val="000000"/>
                <w:sz w:val="24"/>
                <w:highlight w:val="none"/>
              </w:rPr>
            </w:pPr>
          </w:p>
        </w:tc>
        <w:tc>
          <w:tcPr>
            <w:tcW w:w="1009" w:type="dxa"/>
            <w:vAlign w:val="center"/>
          </w:tcPr>
          <w:p w14:paraId="3786BE67">
            <w:pPr>
              <w:adjustRightInd w:val="0"/>
              <w:snapToGrid w:val="0"/>
              <w:jc w:val="center"/>
              <w:rPr>
                <w:rFonts w:hint="eastAsia" w:ascii="宋体" w:hAnsi="宋体"/>
                <w:color w:val="000000"/>
                <w:sz w:val="24"/>
                <w:highlight w:val="none"/>
              </w:rPr>
            </w:pPr>
          </w:p>
        </w:tc>
      </w:tr>
    </w:tbl>
    <w:p w14:paraId="785C15A7">
      <w:pPr>
        <w:tabs>
          <w:tab w:val="left" w:pos="1800"/>
          <w:tab w:val="left" w:pos="5580"/>
        </w:tabs>
        <w:spacing w:line="360" w:lineRule="auto"/>
        <w:ind w:firstLine="360" w:firstLineChars="150"/>
        <w:jc w:val="left"/>
        <w:rPr>
          <w:rFonts w:hint="eastAsia" w:ascii="宋体" w:hAnsi="宋体"/>
          <w:color w:val="000000"/>
          <w:sz w:val="24"/>
          <w:highlight w:val="none"/>
          <w:u w:val="single"/>
        </w:rPr>
      </w:pPr>
    </w:p>
    <w:p w14:paraId="7FB78FBD">
      <w:pPr>
        <w:tabs>
          <w:tab w:val="left" w:pos="1800"/>
          <w:tab w:val="left" w:pos="5580"/>
        </w:tabs>
        <w:spacing w:line="360" w:lineRule="auto"/>
        <w:ind w:firstLine="360" w:firstLineChars="150"/>
        <w:jc w:val="left"/>
        <w:rPr>
          <w:rFonts w:hint="eastAsia" w:ascii="宋体" w:hAnsi="宋体"/>
          <w:color w:val="000000"/>
          <w:sz w:val="24"/>
          <w:highlight w:val="none"/>
          <w:u w:val="single"/>
        </w:rPr>
      </w:pPr>
    </w:p>
    <w:p w14:paraId="40125167">
      <w:pPr>
        <w:tabs>
          <w:tab w:val="left" w:pos="1800"/>
          <w:tab w:val="left" w:pos="5580"/>
        </w:tabs>
        <w:jc w:val="left"/>
        <w:rPr>
          <w:rFonts w:hint="eastAsia" w:ascii="宋体" w:hAnsi="宋体"/>
          <w:color w:val="000000"/>
          <w:sz w:val="24"/>
          <w:highlight w:val="none"/>
        </w:rPr>
      </w:pPr>
      <w:r>
        <w:rPr>
          <w:rFonts w:ascii="宋体" w:hAnsi="宋体"/>
          <w:color w:val="000000"/>
          <w:sz w:val="24"/>
          <w:highlight w:val="none"/>
        </w:rPr>
        <w:t>注：</w:t>
      </w:r>
    </w:p>
    <w:p w14:paraId="19C9AD1E">
      <w:pPr>
        <w:tabs>
          <w:tab w:val="left" w:pos="1800"/>
          <w:tab w:val="left" w:pos="5580"/>
        </w:tabs>
        <w:jc w:val="left"/>
        <w:rPr>
          <w:rFonts w:hint="eastAsia" w:ascii="宋体" w:hAnsi="宋体"/>
          <w:sz w:val="24"/>
          <w:highlight w:val="none"/>
        </w:rPr>
      </w:pPr>
      <w:r>
        <w:rPr>
          <w:rFonts w:ascii="宋体" w:hAnsi="宋体"/>
          <w:color w:val="000000"/>
          <w:sz w:val="24"/>
          <w:highlight w:val="none"/>
        </w:rPr>
        <w:t xml:space="preserve">1. </w:t>
      </w:r>
      <w:r>
        <w:rPr>
          <w:rFonts w:ascii="宋体" w:hAnsi="宋体"/>
          <w:sz w:val="24"/>
          <w:highlight w:val="none"/>
        </w:rPr>
        <w:t>对竞争性磋商文件中的所有商务、技术要求，除本表所列明的所有偏离外，均视作供应商已对之理解和响应。此表中若无任何文字说明，内容为空白的，</w:t>
      </w:r>
      <w:r>
        <w:rPr>
          <w:rFonts w:ascii="宋体" w:hAnsi="宋体"/>
          <w:b/>
          <w:sz w:val="24"/>
          <w:highlight w:val="none"/>
        </w:rPr>
        <w:t>响应无效</w:t>
      </w:r>
      <w:r>
        <w:rPr>
          <w:rFonts w:ascii="宋体" w:hAnsi="宋体"/>
          <w:sz w:val="24"/>
          <w:highlight w:val="none"/>
        </w:rPr>
        <w:t>。</w:t>
      </w:r>
    </w:p>
    <w:p w14:paraId="6903236D">
      <w:pPr>
        <w:tabs>
          <w:tab w:val="left" w:pos="1800"/>
          <w:tab w:val="left" w:pos="5580"/>
        </w:tabs>
        <w:jc w:val="left"/>
        <w:rPr>
          <w:rFonts w:hint="eastAsia" w:ascii="宋体" w:hAnsi="宋体"/>
          <w:color w:val="000000"/>
          <w:sz w:val="24"/>
          <w:highlight w:val="none"/>
        </w:rPr>
      </w:pPr>
      <w:r>
        <w:rPr>
          <w:rFonts w:ascii="宋体" w:hAnsi="宋体"/>
          <w:sz w:val="24"/>
          <w:highlight w:val="none"/>
        </w:rPr>
        <w:t>2.“偏离情况”列应</w:t>
      </w:r>
      <w:r>
        <w:rPr>
          <w:rFonts w:ascii="宋体" w:hAnsi="宋体"/>
          <w:color w:val="000000"/>
          <w:sz w:val="24"/>
          <w:highlight w:val="none"/>
        </w:rPr>
        <w:t>据实</w:t>
      </w:r>
      <w:r>
        <w:rPr>
          <w:rFonts w:ascii="宋体" w:hAnsi="宋体"/>
          <w:sz w:val="24"/>
          <w:highlight w:val="none"/>
        </w:rPr>
        <w:t>填写“无偏离”、“正偏离”或“负偏离”。</w:t>
      </w:r>
    </w:p>
    <w:p w14:paraId="3872EA09">
      <w:pPr>
        <w:tabs>
          <w:tab w:val="left" w:pos="1800"/>
          <w:tab w:val="left" w:pos="5580"/>
        </w:tabs>
        <w:jc w:val="left"/>
        <w:rPr>
          <w:rFonts w:hint="eastAsia" w:ascii="宋体" w:hAnsi="宋体"/>
          <w:color w:val="000000"/>
          <w:sz w:val="24"/>
          <w:highlight w:val="none"/>
        </w:rPr>
      </w:pPr>
    </w:p>
    <w:p w14:paraId="2B892227">
      <w:pPr>
        <w:rPr>
          <w:rFonts w:hint="eastAsia" w:ascii="宋体" w:hAnsi="宋体"/>
          <w:color w:val="000000"/>
          <w:sz w:val="24"/>
          <w:szCs w:val="20"/>
          <w:highlight w:val="none"/>
        </w:rPr>
      </w:pPr>
    </w:p>
    <w:p w14:paraId="46F00590">
      <w:pPr>
        <w:autoSpaceDE w:val="0"/>
        <w:autoSpaceDN w:val="0"/>
        <w:adjustRightInd w:val="0"/>
        <w:snapToGrid w:val="0"/>
        <w:spacing w:before="25" w:after="25" w:line="360" w:lineRule="auto"/>
        <w:ind w:right="360"/>
        <w:jc w:val="left"/>
        <w:rPr>
          <w:rFonts w:hint="eastAsia" w:ascii="宋体" w:hAnsi="宋体"/>
          <w:color w:val="000000"/>
          <w:sz w:val="24"/>
          <w:highlight w:val="none"/>
          <w:lang w:val="zh-CN"/>
        </w:rPr>
      </w:pPr>
      <w:r>
        <w:rPr>
          <w:rFonts w:ascii="宋体" w:hAnsi="宋体"/>
          <w:color w:val="000000"/>
          <w:sz w:val="24"/>
          <w:highlight w:val="none"/>
        </w:rPr>
        <w:t>供应商名称（加盖公章）</w:t>
      </w:r>
      <w:r>
        <w:rPr>
          <w:rFonts w:ascii="宋体" w:hAnsi="宋体"/>
          <w:color w:val="000000"/>
          <w:sz w:val="24"/>
          <w:highlight w:val="none"/>
          <w:lang w:val="zh-CN"/>
        </w:rPr>
        <w:t>：</w:t>
      </w:r>
      <w:r>
        <w:rPr>
          <w:rFonts w:ascii="宋体" w:hAnsi="宋体"/>
          <w:sz w:val="24"/>
          <w:highlight w:val="none"/>
        </w:rPr>
        <w:t>______</w:t>
      </w:r>
    </w:p>
    <w:p w14:paraId="01124586">
      <w:pPr>
        <w:autoSpaceDE w:val="0"/>
        <w:autoSpaceDN w:val="0"/>
        <w:adjustRightInd w:val="0"/>
        <w:snapToGrid w:val="0"/>
        <w:spacing w:before="25" w:after="25" w:line="360" w:lineRule="auto"/>
        <w:ind w:right="360"/>
        <w:jc w:val="left"/>
        <w:rPr>
          <w:rFonts w:hint="eastAsia" w:ascii="宋体" w:hAnsi="宋体"/>
          <w:color w:val="000000"/>
          <w:sz w:val="24"/>
          <w:szCs w:val="20"/>
          <w:highlight w:val="none"/>
        </w:rPr>
      </w:pPr>
      <w:r>
        <w:rPr>
          <w:rFonts w:ascii="宋体" w:hAnsi="宋体"/>
          <w:color w:val="000000"/>
          <w:sz w:val="24"/>
          <w:szCs w:val="20"/>
          <w:highlight w:val="none"/>
        </w:rPr>
        <w:t xml:space="preserve">日期：____年____月____日 </w:t>
      </w:r>
    </w:p>
    <w:p w14:paraId="3501E1D9">
      <w:pPr>
        <w:tabs>
          <w:tab w:val="left" w:pos="360"/>
        </w:tabs>
        <w:snapToGrid w:val="0"/>
        <w:spacing w:line="360" w:lineRule="auto"/>
        <w:outlineLvl w:val="1"/>
        <w:rPr>
          <w:rFonts w:hint="eastAsia" w:ascii="宋体" w:hAnsi="宋体"/>
          <w:color w:val="000000"/>
          <w:sz w:val="24"/>
          <w:szCs w:val="20"/>
          <w:highlight w:val="none"/>
        </w:rPr>
      </w:pPr>
      <w:r>
        <w:rPr>
          <w:rFonts w:ascii="宋体" w:hAnsi="宋体"/>
          <w:color w:val="000000"/>
          <w:sz w:val="24"/>
          <w:szCs w:val="20"/>
          <w:highlight w:val="none"/>
        </w:rPr>
        <w:br w:type="page"/>
      </w:r>
      <w:r>
        <w:rPr>
          <w:rFonts w:ascii="宋体" w:hAnsi="宋体"/>
          <w:sz w:val="24"/>
          <w:highlight w:val="none"/>
        </w:rPr>
        <w:t xml:space="preserve">11  </w:t>
      </w:r>
      <w:r>
        <w:rPr>
          <w:rFonts w:hint="eastAsia" w:ascii="宋体" w:hAnsi="宋体"/>
          <w:color w:val="000000"/>
          <w:sz w:val="24"/>
          <w:szCs w:val="20"/>
          <w:highlight w:val="none"/>
        </w:rPr>
        <w:t>本国产品标准证明文件</w:t>
      </w:r>
    </w:p>
    <w:p w14:paraId="24421634">
      <w:pPr>
        <w:pStyle w:val="37"/>
        <w:shd w:val="clear" w:color="auto" w:fill="FFFFFF"/>
        <w:spacing w:before="30" w:beforeAutospacing="0" w:after="30" w:afterAutospacing="0"/>
        <w:jc w:val="center"/>
        <w:rPr>
          <w:rFonts w:hint="eastAsia"/>
          <w:color w:val="333333"/>
          <w:sz w:val="36"/>
          <w:szCs w:val="36"/>
          <w:highlight w:val="none"/>
        </w:rPr>
      </w:pPr>
      <w:r>
        <w:rPr>
          <w:rStyle w:val="46"/>
          <w:rFonts w:hint="eastAsia"/>
          <w:color w:val="333333"/>
          <w:sz w:val="36"/>
          <w:szCs w:val="36"/>
          <w:highlight w:val="none"/>
          <w:shd w:val="clear" w:color="auto" w:fill="FFFFFF"/>
        </w:rPr>
        <w:t>关于符合本国产品标准的声明函</w:t>
      </w:r>
    </w:p>
    <w:p w14:paraId="165A9C1A">
      <w:pPr>
        <w:pStyle w:val="37"/>
        <w:shd w:val="clear" w:color="auto" w:fill="FFFFFF"/>
        <w:spacing w:before="30" w:beforeAutospacing="0" w:after="30" w:afterAutospacing="0"/>
        <w:ind w:firstLine="420"/>
        <w:rPr>
          <w:rFonts w:hint="eastAsia"/>
          <w:color w:val="333333"/>
          <w:highlight w:val="none"/>
        </w:rPr>
      </w:pPr>
    </w:p>
    <w:p w14:paraId="2D234D0D">
      <w:pPr>
        <w:pStyle w:val="37"/>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E4FC560">
      <w:pPr>
        <w:pStyle w:val="37"/>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1.</w:t>
      </w:r>
      <w:r>
        <w:rPr>
          <w:rStyle w:val="49"/>
          <w:rFonts w:hint="eastAsia"/>
          <w:color w:val="333333"/>
          <w:highlight w:val="none"/>
          <w:u w:val="single"/>
          <w:shd w:val="clear" w:color="auto" w:fill="FFFFFF"/>
        </w:rPr>
        <w:t>（产品名称1）</w:t>
      </w:r>
      <w:r>
        <w:rPr>
          <w:rStyle w:val="49"/>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49"/>
          <w:rFonts w:hint="eastAsia"/>
          <w:color w:val="333333"/>
          <w:highlight w:val="none"/>
          <w:u w:val="single"/>
          <w:shd w:val="clear" w:color="auto" w:fill="FFFFFF"/>
        </w:rPr>
        <w:t>（厂名）</w:t>
      </w:r>
      <w:r>
        <w:rPr>
          <w:rStyle w:val="49"/>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49"/>
          <w:rFonts w:hint="eastAsia"/>
          <w:color w:val="333333"/>
          <w:highlight w:val="none"/>
          <w:u w:val="single"/>
          <w:shd w:val="clear" w:color="auto" w:fill="FFFFFF"/>
        </w:rPr>
        <w:t>（生产厂址）</w:t>
      </w:r>
      <w:r>
        <w:rPr>
          <w:rFonts w:hint="eastAsia"/>
          <w:color w:val="333333"/>
          <w:highlight w:val="none"/>
          <w:shd w:val="clear" w:color="auto" w:fill="FFFFFF"/>
        </w:rPr>
        <w:t>。</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49"/>
          <w:rFonts w:hint="eastAsia"/>
          <w:color w:val="333333"/>
          <w:highlight w:val="none"/>
          <w:u w:val="single"/>
          <w:shd w:val="clear" w:color="auto" w:fill="FFFFFF"/>
        </w:rPr>
        <w:t>（规定比例）</w:t>
      </w:r>
      <w:r>
        <w:rPr>
          <w:rStyle w:val="49"/>
          <w:rFonts w:hint="eastAsia"/>
          <w:color w:val="333333"/>
          <w:highlight w:val="none"/>
          <w:shd w:val="clear" w:color="auto" w:fill="FFFFFF"/>
          <w:vertAlign w:val="superscript"/>
        </w:rPr>
        <w:t>3</w:t>
      </w:r>
      <w:r>
        <w:rPr>
          <w:rFonts w:hint="eastAsia"/>
          <w:color w:val="333333"/>
          <w:highlight w:val="none"/>
          <w:shd w:val="clear" w:color="auto" w:fill="FFFFFF"/>
        </w:rPr>
        <w:t>。</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49"/>
          <w:rFonts w:hint="eastAsia"/>
          <w:color w:val="333333"/>
          <w:highlight w:val="none"/>
          <w:u w:val="single"/>
          <w:shd w:val="clear" w:color="auto" w:fill="FFFFFF"/>
        </w:rPr>
        <w:t>（关键组件）</w:t>
      </w:r>
      <w:r>
        <w:rPr>
          <w:rStyle w:val="49"/>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49"/>
          <w:rFonts w:hint="eastAsia"/>
          <w:color w:val="333333"/>
          <w:highlight w:val="none"/>
          <w:u w:val="single"/>
          <w:shd w:val="clear" w:color="auto" w:fill="FFFFFF"/>
        </w:rPr>
        <w:t>（关键工序）</w:t>
      </w:r>
      <w:r>
        <w:rPr>
          <w:rStyle w:val="49"/>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1553C750">
      <w:pPr>
        <w:pStyle w:val="37"/>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2.</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49"/>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49"/>
          <w:rFonts w:hint="eastAsia"/>
          <w:color w:val="333333"/>
          <w:highlight w:val="none"/>
          <w:u w:val="single"/>
          <w:shd w:val="clear" w:color="auto" w:fill="FFFFFF"/>
        </w:rPr>
        <w:t>（生产厂址）</w:t>
      </w:r>
      <w:r>
        <w:rPr>
          <w:rFonts w:hint="eastAsia"/>
          <w:color w:val="333333"/>
          <w:highlight w:val="none"/>
          <w:shd w:val="clear" w:color="auto" w:fill="FFFFFF"/>
        </w:rPr>
        <w:t>。</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49"/>
          <w:rFonts w:hint="eastAsia"/>
          <w:color w:val="333333"/>
          <w:highlight w:val="none"/>
          <w:u w:val="single"/>
          <w:shd w:val="clear" w:color="auto" w:fill="FFFFFF"/>
        </w:rPr>
        <w:t>（规定比例）</w:t>
      </w:r>
      <w:r>
        <w:rPr>
          <w:rFonts w:hint="eastAsia"/>
          <w:color w:val="333333"/>
          <w:highlight w:val="none"/>
          <w:shd w:val="clear" w:color="auto" w:fill="FFFFFF"/>
        </w:rPr>
        <w:t>。</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49"/>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49"/>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4A11F22C">
      <w:pPr>
        <w:pStyle w:val="37"/>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w:t>
      </w:r>
    </w:p>
    <w:p w14:paraId="2D845EF9">
      <w:pPr>
        <w:pStyle w:val="37"/>
        <w:shd w:val="clear" w:color="auto" w:fill="FFFFFF"/>
        <w:spacing w:before="0" w:beforeAutospacing="0" w:after="0" w:afterAutospacing="0" w:line="360" w:lineRule="auto"/>
        <w:ind w:firstLine="480" w:firstLineChars="200"/>
        <w:rPr>
          <w:rFonts w:hint="eastAsia"/>
          <w:color w:val="333333"/>
          <w:highlight w:val="none"/>
        </w:rPr>
      </w:pPr>
      <w:r>
        <w:rPr>
          <w:rFonts w:hint="eastAsia"/>
          <w:color w:val="333333"/>
          <w:highlight w:val="none"/>
          <w:shd w:val="clear" w:color="auto" w:fill="FFFFFF"/>
        </w:rPr>
        <w:t>本公司（单位）对上述声明内容的真实性负责。如有虚假，愿承担相应法律责任。</w:t>
      </w:r>
    </w:p>
    <w:p w14:paraId="4A3C39E4">
      <w:pPr>
        <w:pStyle w:val="37"/>
        <w:shd w:val="clear" w:color="auto" w:fill="FFFFFF"/>
        <w:spacing w:before="0" w:beforeAutospacing="0" w:after="0" w:afterAutospacing="0" w:line="360" w:lineRule="auto"/>
        <w:rPr>
          <w:rFonts w:hint="eastAsia"/>
          <w:color w:val="333333"/>
          <w:highlight w:val="none"/>
        </w:rPr>
      </w:pPr>
    </w:p>
    <w:p w14:paraId="0385CBF4">
      <w:pPr>
        <w:pStyle w:val="37"/>
        <w:shd w:val="clear" w:color="auto" w:fill="FFFFFF"/>
        <w:spacing w:before="0" w:beforeAutospacing="0" w:after="0" w:afterAutospacing="0" w:line="360" w:lineRule="auto"/>
        <w:jc w:val="right"/>
        <w:rPr>
          <w:rFonts w:hint="eastAsia"/>
          <w:color w:val="333333"/>
          <w:highlight w:val="none"/>
          <w:shd w:val="clear" w:color="auto" w:fill="FFFFFF"/>
        </w:rPr>
      </w:pPr>
    </w:p>
    <w:p w14:paraId="3EEE073D">
      <w:pPr>
        <w:pStyle w:val="37"/>
        <w:shd w:val="clear" w:color="auto" w:fill="FFFFFF"/>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公司（单位）名称（盖章）：　        </w:t>
      </w:r>
    </w:p>
    <w:p w14:paraId="4C988075">
      <w:pPr>
        <w:pStyle w:val="37"/>
        <w:shd w:val="clear" w:color="auto" w:fill="FFFFFF"/>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日期：　     年　  月　  日         </w:t>
      </w:r>
    </w:p>
    <w:p w14:paraId="1184E56B">
      <w:pPr>
        <w:pStyle w:val="37"/>
        <w:shd w:val="clear" w:color="auto" w:fill="FFFFFF"/>
        <w:spacing w:before="0" w:beforeAutospacing="0" w:after="0" w:afterAutospacing="0" w:line="360" w:lineRule="auto"/>
        <w:rPr>
          <w:rFonts w:hint="eastAsia"/>
          <w:color w:val="333333"/>
          <w:highlight w:val="none"/>
          <w:shd w:val="clear" w:color="auto" w:fill="FFFFFF"/>
        </w:rPr>
      </w:pPr>
    </w:p>
    <w:p w14:paraId="3261F657">
      <w:pPr>
        <w:pStyle w:val="37"/>
        <w:shd w:val="clear" w:color="auto" w:fill="FFFFFF"/>
        <w:spacing w:before="0" w:beforeAutospacing="0" w:after="0" w:afterAutospacing="0" w:line="360" w:lineRule="auto"/>
        <w:rPr>
          <w:rFonts w:hint="eastAsia"/>
          <w:color w:val="333333"/>
          <w:highlight w:val="none"/>
          <w:shd w:val="clear" w:color="auto" w:fill="FFFFFF"/>
        </w:rPr>
      </w:pPr>
    </w:p>
    <w:p w14:paraId="7334317B">
      <w:pPr>
        <w:spacing w:line="360" w:lineRule="auto"/>
        <w:ind w:left="424" w:leftChars="1" w:hanging="422" w:hangingChars="201"/>
        <w:rPr>
          <w:rFonts w:hint="eastAsia" w:ascii="宋体" w:hAnsi="宋体"/>
          <w:color w:val="333333"/>
          <w:szCs w:val="21"/>
          <w:highlight w:val="none"/>
          <w:shd w:val="clear" w:color="auto" w:fill="FFFFFF"/>
        </w:rPr>
      </w:pPr>
      <w:r>
        <w:rPr>
          <w:rFonts w:hint="eastAsia" w:ascii="宋体" w:hAnsi="宋体"/>
          <w:color w:val="333333"/>
          <w:szCs w:val="21"/>
          <w:highlight w:val="none"/>
          <w:shd w:val="clear" w:color="auto" w:fill="FFFFFF"/>
        </w:rPr>
        <w:t>注：</w:t>
      </w:r>
      <w:r>
        <w:rPr>
          <w:rFonts w:ascii="宋体" w:hAnsi="宋体"/>
          <w:color w:val="333333"/>
          <w:szCs w:val="21"/>
          <w:highlight w:val="none"/>
          <w:shd w:val="clear" w:color="auto" w:fill="FFFFFF"/>
        </w:rPr>
        <w:t>1.</w:t>
      </w:r>
      <w:r>
        <w:rPr>
          <w:rFonts w:hint="eastAsia" w:ascii="宋体" w:hAnsi="宋体"/>
          <w:color w:val="333333"/>
          <w:szCs w:val="21"/>
          <w:highlight w:val="none"/>
          <w:shd w:val="clear" w:color="auto" w:fill="FFFFFF"/>
        </w:rPr>
        <w:t>产品如有型号，请在</w:t>
      </w:r>
      <w:r>
        <w:rPr>
          <w:rFonts w:ascii="宋体" w:hAnsi="宋体"/>
          <w:color w:val="333333"/>
          <w:szCs w:val="21"/>
          <w:highlight w:val="none"/>
          <w:shd w:val="clear" w:color="auto" w:fill="FFFFFF"/>
        </w:rPr>
        <w:t>“</w:t>
      </w:r>
      <w:r>
        <w:rPr>
          <w:rFonts w:hint="eastAsia" w:ascii="宋体" w:hAnsi="宋体"/>
          <w:color w:val="333333"/>
          <w:szCs w:val="21"/>
          <w:highlight w:val="none"/>
          <w:shd w:val="clear" w:color="auto" w:fill="FFFFFF"/>
        </w:rPr>
        <w:t>产品名称</w:t>
      </w:r>
      <w:r>
        <w:rPr>
          <w:rFonts w:ascii="宋体" w:hAnsi="宋体"/>
          <w:color w:val="333333"/>
          <w:szCs w:val="21"/>
          <w:highlight w:val="none"/>
          <w:shd w:val="clear" w:color="auto" w:fill="FFFFFF"/>
        </w:rPr>
        <w:t>”</w:t>
      </w:r>
      <w:r>
        <w:rPr>
          <w:rFonts w:hint="eastAsia" w:ascii="宋体" w:hAnsi="宋体"/>
          <w:color w:val="333333"/>
          <w:szCs w:val="21"/>
          <w:highlight w:val="none"/>
          <w:shd w:val="clear" w:color="auto" w:fill="FFFFFF"/>
        </w:rPr>
        <w:t>栏一并填写。</w:t>
      </w:r>
    </w:p>
    <w:p w14:paraId="345B3FA2">
      <w:pPr>
        <w:spacing w:line="360" w:lineRule="auto"/>
        <w:ind w:left="420" w:leftChars="200"/>
        <w:rPr>
          <w:rFonts w:hint="eastAsia" w:ascii="宋体" w:hAnsi="宋体"/>
          <w:color w:val="333333"/>
          <w:szCs w:val="21"/>
          <w:highlight w:val="none"/>
          <w:shd w:val="clear" w:color="auto" w:fill="FFFFFF"/>
        </w:rPr>
      </w:pPr>
      <w:r>
        <w:rPr>
          <w:rFonts w:ascii="宋体" w:hAnsi="宋体"/>
          <w:color w:val="333333"/>
          <w:szCs w:val="21"/>
          <w:highlight w:val="none"/>
          <w:shd w:val="clear" w:color="auto" w:fill="FFFFFF"/>
        </w:rPr>
        <w:t>2.</w:t>
      </w:r>
      <w:r>
        <w:rPr>
          <w:rFonts w:hint="eastAsia" w:ascii="宋体" w:hAnsi="宋体"/>
          <w:color w:val="333333"/>
          <w:szCs w:val="21"/>
          <w:highlight w:val="none"/>
          <w:shd w:val="clear" w:color="auto" w:fill="FFFFFF"/>
        </w:rPr>
        <w:t>生产厂名与厂址应与生产厂营业执照载明的相关信息保持一致。</w:t>
      </w:r>
    </w:p>
    <w:p w14:paraId="2BA4FEBF">
      <w:pPr>
        <w:spacing w:line="360" w:lineRule="auto"/>
        <w:ind w:left="420" w:leftChars="200"/>
        <w:rPr>
          <w:rFonts w:hint="eastAsia" w:ascii="宋体" w:hAnsi="宋体"/>
          <w:color w:val="333333"/>
          <w:szCs w:val="21"/>
          <w:highlight w:val="none"/>
          <w:shd w:val="clear" w:color="auto" w:fill="FFFFFF"/>
        </w:rPr>
      </w:pPr>
      <w:r>
        <w:rPr>
          <w:rFonts w:ascii="宋体" w:hAnsi="宋体"/>
          <w:color w:val="333333"/>
          <w:szCs w:val="21"/>
          <w:highlight w:val="none"/>
          <w:shd w:val="clear" w:color="auto" w:fill="FFFFFF"/>
        </w:rPr>
        <w:t>3.</w:t>
      </w:r>
      <w:r>
        <w:rPr>
          <w:rFonts w:hint="eastAsia" w:ascii="宋体" w:hAnsi="宋体"/>
          <w:color w:val="333333"/>
          <w:szCs w:val="21"/>
          <w:highlight w:val="none"/>
          <w:shd w:val="clear" w:color="auto" w:fill="FFFFFF"/>
        </w:rPr>
        <w:t>该产品的中国境内生产的组件成本占比相关要求实施前，</w:t>
      </w:r>
      <w:r>
        <w:rPr>
          <w:rFonts w:ascii="宋体" w:hAnsi="宋体"/>
          <w:color w:val="333333"/>
          <w:szCs w:val="21"/>
          <w:highlight w:val="none"/>
          <w:shd w:val="clear" w:color="auto" w:fill="FFFFFF"/>
        </w:rPr>
        <w:t>“</w:t>
      </w:r>
      <w:r>
        <w:rPr>
          <w:rFonts w:hint="eastAsia" w:ascii="宋体" w:hAnsi="宋体"/>
          <w:color w:val="333333"/>
          <w:szCs w:val="21"/>
          <w:highlight w:val="none"/>
          <w:shd w:val="clear" w:color="auto" w:fill="FFFFFF"/>
        </w:rPr>
        <w:t>规定比例</w:t>
      </w:r>
      <w:r>
        <w:rPr>
          <w:rFonts w:ascii="宋体" w:hAnsi="宋体"/>
          <w:color w:val="333333"/>
          <w:szCs w:val="21"/>
          <w:highlight w:val="none"/>
          <w:shd w:val="clear" w:color="auto" w:fill="FFFFFF"/>
        </w:rPr>
        <w:t>”</w:t>
      </w:r>
      <w:r>
        <w:rPr>
          <w:rFonts w:hint="eastAsia" w:ascii="宋体" w:hAnsi="宋体"/>
          <w:color w:val="333333"/>
          <w:szCs w:val="21"/>
          <w:highlight w:val="none"/>
          <w:shd w:val="clear" w:color="auto" w:fill="FFFFFF"/>
        </w:rPr>
        <w:t>栏可不填。</w:t>
      </w:r>
    </w:p>
    <w:p w14:paraId="73CDB781">
      <w:pPr>
        <w:spacing w:line="360" w:lineRule="auto"/>
        <w:ind w:left="420" w:leftChars="200"/>
        <w:rPr>
          <w:rFonts w:hint="eastAsia" w:ascii="宋体" w:hAnsi="宋体"/>
          <w:color w:val="333333"/>
          <w:szCs w:val="21"/>
          <w:highlight w:val="none"/>
          <w:shd w:val="clear" w:color="auto" w:fill="FFFFFF"/>
        </w:rPr>
      </w:pPr>
      <w:r>
        <w:rPr>
          <w:rFonts w:ascii="宋体" w:hAnsi="宋体"/>
          <w:color w:val="333333"/>
          <w:szCs w:val="21"/>
          <w:highlight w:val="none"/>
          <w:shd w:val="clear" w:color="auto" w:fill="FFFFFF"/>
        </w:rPr>
        <w:t>4.</w:t>
      </w:r>
      <w:r>
        <w:rPr>
          <w:rFonts w:hint="eastAsia" w:ascii="宋体" w:hAnsi="宋体"/>
          <w:color w:val="333333"/>
          <w:szCs w:val="21"/>
          <w:highlight w:val="none"/>
          <w:shd w:val="clear" w:color="auto" w:fill="FFFFFF"/>
        </w:rPr>
        <w:t>该产品的关键组件要求实施前，</w:t>
      </w:r>
      <w:r>
        <w:rPr>
          <w:rFonts w:ascii="宋体" w:hAnsi="宋体"/>
          <w:color w:val="333333"/>
          <w:szCs w:val="21"/>
          <w:highlight w:val="none"/>
          <w:shd w:val="clear" w:color="auto" w:fill="FFFFFF"/>
        </w:rPr>
        <w:t>“</w:t>
      </w:r>
      <w:r>
        <w:rPr>
          <w:rFonts w:hint="eastAsia" w:ascii="宋体" w:hAnsi="宋体"/>
          <w:color w:val="333333"/>
          <w:szCs w:val="21"/>
          <w:highlight w:val="none"/>
          <w:shd w:val="clear" w:color="auto" w:fill="FFFFFF"/>
        </w:rPr>
        <w:t>关键组件</w:t>
      </w:r>
      <w:r>
        <w:rPr>
          <w:rFonts w:ascii="宋体" w:hAnsi="宋体"/>
          <w:color w:val="333333"/>
          <w:szCs w:val="21"/>
          <w:highlight w:val="none"/>
          <w:shd w:val="clear" w:color="auto" w:fill="FFFFFF"/>
        </w:rPr>
        <w:t>”</w:t>
      </w:r>
      <w:r>
        <w:rPr>
          <w:rFonts w:hint="eastAsia" w:ascii="宋体" w:hAnsi="宋体"/>
          <w:color w:val="333333"/>
          <w:szCs w:val="21"/>
          <w:highlight w:val="none"/>
          <w:shd w:val="clear" w:color="auto" w:fill="FFFFFF"/>
        </w:rPr>
        <w:t>栏可不填。</w:t>
      </w:r>
    </w:p>
    <w:p w14:paraId="3605D310">
      <w:pPr>
        <w:spacing w:line="360" w:lineRule="auto"/>
        <w:ind w:left="420" w:leftChars="200"/>
        <w:rPr>
          <w:rFonts w:hint="eastAsia" w:ascii="宋体" w:hAnsi="宋体"/>
          <w:color w:val="333333"/>
          <w:szCs w:val="21"/>
          <w:highlight w:val="none"/>
          <w:shd w:val="clear" w:color="auto" w:fill="FFFFFF"/>
        </w:rPr>
      </w:pPr>
      <w:r>
        <w:rPr>
          <w:rFonts w:ascii="宋体" w:hAnsi="宋体"/>
          <w:color w:val="333333"/>
          <w:szCs w:val="21"/>
          <w:highlight w:val="none"/>
          <w:shd w:val="clear" w:color="auto" w:fill="FFFFFF"/>
        </w:rPr>
        <w:t>5.</w:t>
      </w:r>
      <w:r>
        <w:rPr>
          <w:rFonts w:hint="eastAsia" w:ascii="宋体" w:hAnsi="宋体"/>
          <w:color w:val="333333"/>
          <w:szCs w:val="21"/>
          <w:highlight w:val="none"/>
          <w:shd w:val="clear" w:color="auto" w:fill="FFFFFF"/>
        </w:rPr>
        <w:t>该产品的关键工序要求实施前，</w:t>
      </w:r>
      <w:r>
        <w:rPr>
          <w:rFonts w:ascii="宋体" w:hAnsi="宋体"/>
          <w:color w:val="333333"/>
          <w:szCs w:val="21"/>
          <w:highlight w:val="none"/>
          <w:shd w:val="clear" w:color="auto" w:fill="FFFFFF"/>
        </w:rPr>
        <w:t>“</w:t>
      </w:r>
      <w:r>
        <w:rPr>
          <w:rFonts w:hint="eastAsia" w:ascii="宋体" w:hAnsi="宋体"/>
          <w:color w:val="333333"/>
          <w:szCs w:val="21"/>
          <w:highlight w:val="none"/>
          <w:shd w:val="clear" w:color="auto" w:fill="FFFFFF"/>
        </w:rPr>
        <w:t>关键工序</w:t>
      </w:r>
      <w:r>
        <w:rPr>
          <w:rFonts w:ascii="宋体" w:hAnsi="宋体"/>
          <w:color w:val="333333"/>
          <w:szCs w:val="21"/>
          <w:highlight w:val="none"/>
          <w:shd w:val="clear" w:color="auto" w:fill="FFFFFF"/>
        </w:rPr>
        <w:t>”</w:t>
      </w:r>
      <w:r>
        <w:rPr>
          <w:rFonts w:hint="eastAsia" w:ascii="宋体" w:hAnsi="宋体"/>
          <w:color w:val="333333"/>
          <w:szCs w:val="21"/>
          <w:highlight w:val="none"/>
          <w:shd w:val="clear" w:color="auto" w:fill="FFFFFF"/>
        </w:rPr>
        <w:t>栏可不填。</w:t>
      </w:r>
    </w:p>
    <w:p w14:paraId="187EE8C1">
      <w:pPr>
        <w:widowControl/>
        <w:jc w:val="left"/>
        <w:rPr>
          <w:rFonts w:hint="eastAsia" w:ascii="宋体" w:hAnsi="宋体"/>
          <w:color w:val="333333"/>
          <w:szCs w:val="21"/>
          <w:highlight w:val="none"/>
          <w:shd w:val="clear" w:color="auto" w:fill="FFFFFF"/>
        </w:rPr>
      </w:pPr>
      <w:r>
        <w:rPr>
          <w:rFonts w:ascii="宋体" w:hAnsi="宋体"/>
          <w:color w:val="333333"/>
          <w:szCs w:val="21"/>
          <w:highlight w:val="none"/>
          <w:shd w:val="clear" w:color="auto" w:fill="FFFFFF"/>
        </w:rPr>
        <w:br w:type="page"/>
      </w:r>
    </w:p>
    <w:p w14:paraId="57B3E2B8">
      <w:pPr>
        <w:pStyle w:val="37"/>
        <w:shd w:val="clear" w:color="auto" w:fill="FFFFFF"/>
        <w:spacing w:before="30" w:beforeAutospacing="0" w:after="30" w:afterAutospacing="0"/>
        <w:jc w:val="center"/>
        <w:rPr>
          <w:rStyle w:val="46"/>
          <w:rFonts w:hint="eastAsia"/>
          <w:sz w:val="36"/>
          <w:szCs w:val="36"/>
          <w:highlight w:val="none"/>
        </w:rPr>
      </w:pPr>
      <w:r>
        <w:rPr>
          <w:rStyle w:val="46"/>
          <w:rFonts w:hint="eastAsia"/>
          <w:sz w:val="36"/>
          <w:szCs w:val="36"/>
          <w:highlight w:val="none"/>
        </w:rPr>
        <w:t>产品成本占比承诺函</w:t>
      </w:r>
    </w:p>
    <w:p w14:paraId="2B0D85EF">
      <w:pPr>
        <w:pStyle w:val="37"/>
        <w:shd w:val="clear" w:color="auto" w:fill="FFFFFF"/>
        <w:spacing w:before="30" w:beforeAutospacing="0" w:after="30" w:afterAutospacing="0"/>
        <w:rPr>
          <w:rStyle w:val="46"/>
          <w:rFonts w:hint="eastAsia"/>
          <w:sz w:val="36"/>
          <w:szCs w:val="36"/>
          <w:highlight w:val="none"/>
        </w:rPr>
      </w:pPr>
    </w:p>
    <w:p w14:paraId="40D7FA8A">
      <w:pPr>
        <w:widowControl/>
        <w:spacing w:line="360" w:lineRule="auto"/>
        <w:ind w:firstLine="480" w:firstLineChars="200"/>
        <w:jc w:val="left"/>
        <w:rPr>
          <w:rFonts w:hint="eastAsia" w:ascii="宋体" w:hAnsi="宋体"/>
          <w:color w:val="333333"/>
          <w:sz w:val="24"/>
          <w:highlight w:val="none"/>
          <w:shd w:val="clear" w:color="auto" w:fill="FFFFFF"/>
        </w:rPr>
      </w:pPr>
      <w:r>
        <w:rPr>
          <w:rFonts w:hint="eastAsia" w:ascii="宋体" w:hAnsi="宋体"/>
          <w:color w:val="333333"/>
          <w:sz w:val="24"/>
          <w:highlight w:val="none"/>
          <w:shd w:val="clear" w:color="auto" w:fill="FFFFFF"/>
        </w:rPr>
        <w:t>我公司（单位）郑重承诺，我公司已阅读并理解《国务院办公厅关于在政府采购中实施本国产品标准及相关政策的通知》（国办发〔</w:t>
      </w:r>
      <w:r>
        <w:rPr>
          <w:rFonts w:ascii="宋体" w:hAnsi="宋体"/>
          <w:color w:val="333333"/>
          <w:sz w:val="24"/>
          <w:highlight w:val="none"/>
          <w:shd w:val="clear" w:color="auto" w:fill="FFFFFF"/>
        </w:rPr>
        <w:t>2025</w:t>
      </w:r>
      <w:r>
        <w:rPr>
          <w:rFonts w:hint="eastAsia" w:ascii="宋体" w:hAnsi="宋体"/>
          <w:color w:val="333333"/>
          <w:sz w:val="24"/>
          <w:highlight w:val="none"/>
          <w:shd w:val="clear" w:color="auto" w:fill="FFFFFF"/>
        </w:rPr>
        <w:t>〕</w:t>
      </w:r>
      <w:r>
        <w:rPr>
          <w:rFonts w:ascii="宋体" w:hAnsi="宋体"/>
          <w:color w:val="333333"/>
          <w:sz w:val="24"/>
          <w:highlight w:val="none"/>
          <w:shd w:val="clear" w:color="auto" w:fill="FFFFFF"/>
        </w:rPr>
        <w:t>34</w:t>
      </w:r>
      <w:r>
        <w:rPr>
          <w:rFonts w:hint="eastAsia" w:ascii="宋体" w:hAnsi="宋体"/>
          <w:color w:val="333333"/>
          <w:sz w:val="24"/>
          <w:highlight w:val="none"/>
          <w:shd w:val="clear" w:color="auto" w:fill="FFFFFF"/>
        </w:rPr>
        <w:t>号）的规定。据此承诺如下：</w:t>
      </w:r>
    </w:p>
    <w:p w14:paraId="38B35C5F">
      <w:pPr>
        <w:widowControl/>
        <w:spacing w:line="360" w:lineRule="auto"/>
        <w:ind w:firstLine="480" w:firstLineChars="200"/>
        <w:jc w:val="left"/>
        <w:rPr>
          <w:rFonts w:hint="eastAsia" w:ascii="宋体" w:hAnsi="宋体"/>
          <w:spacing w:val="6"/>
          <w:sz w:val="24"/>
          <w:highlight w:val="none"/>
        </w:rPr>
      </w:pPr>
      <w:r>
        <w:rPr>
          <w:rFonts w:hint="eastAsia" w:ascii="宋体" w:hAnsi="宋体"/>
          <w:color w:val="333333"/>
          <w:sz w:val="24"/>
          <w:highlight w:val="none"/>
          <w:shd w:val="clear" w:color="auto" w:fill="FFFFFF"/>
        </w:rPr>
        <w:t>为本采购项目或者采购包提供的符合本国产品标准的产品成本之和占提供的全部产品成本之和的比例为</w:t>
      </w:r>
      <w:r>
        <w:rPr>
          <w:rFonts w:ascii="宋体" w:hAnsi="宋体"/>
          <w:spacing w:val="6"/>
          <w:sz w:val="24"/>
          <w:highlight w:val="none"/>
        </w:rPr>
        <w:t>______%</w:t>
      </w:r>
      <w:r>
        <w:rPr>
          <w:rFonts w:hint="eastAsia" w:ascii="宋体" w:hAnsi="宋体"/>
          <w:spacing w:val="6"/>
          <w:sz w:val="24"/>
          <w:highlight w:val="none"/>
        </w:rPr>
        <w:t>。</w:t>
      </w:r>
    </w:p>
    <w:p w14:paraId="53EB72FD">
      <w:pPr>
        <w:widowControl/>
        <w:spacing w:line="360" w:lineRule="auto"/>
        <w:ind w:firstLine="480" w:firstLineChars="200"/>
        <w:jc w:val="left"/>
        <w:rPr>
          <w:rFonts w:hint="eastAsia" w:ascii="宋体" w:hAnsi="宋体"/>
          <w:color w:val="000000"/>
          <w:sz w:val="24"/>
          <w:highlight w:val="none"/>
        </w:rPr>
      </w:pPr>
    </w:p>
    <w:p w14:paraId="0AA742E2">
      <w:pPr>
        <w:pStyle w:val="37"/>
        <w:shd w:val="clear" w:color="auto" w:fill="FFFFFF"/>
        <w:spacing w:before="0" w:beforeAutospacing="0" w:after="0" w:afterAutospacing="0" w:line="360" w:lineRule="auto"/>
        <w:jc w:val="right"/>
        <w:rPr>
          <w:rFonts w:hint="eastAsia"/>
          <w:color w:val="333333"/>
          <w:highlight w:val="none"/>
        </w:rPr>
      </w:pPr>
      <w:r>
        <w:rPr>
          <w:rFonts w:hint="eastAsia"/>
          <w:color w:val="333333"/>
          <w:highlight w:val="none"/>
          <w:shd w:val="clear" w:color="auto" w:fill="FFFFFF"/>
        </w:rPr>
        <w:t>公司（单位）名称（盖章）：　        </w:t>
      </w:r>
    </w:p>
    <w:p w14:paraId="4DBD8BF4">
      <w:pPr>
        <w:widowControl/>
        <w:spacing w:line="360" w:lineRule="auto"/>
        <w:ind w:firstLine="480" w:firstLineChars="200"/>
        <w:jc w:val="right"/>
        <w:rPr>
          <w:rFonts w:hint="eastAsia" w:ascii="宋体" w:hAnsi="宋体"/>
          <w:color w:val="000000"/>
          <w:sz w:val="24"/>
          <w:highlight w:val="none"/>
        </w:rPr>
      </w:pPr>
      <w:r>
        <w:rPr>
          <w:rFonts w:hint="eastAsia" w:ascii="宋体" w:hAnsi="宋体"/>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ascii="宋体" w:hAnsi="宋体"/>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ascii="宋体" w:hAnsi="宋体"/>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ascii="宋体" w:hAnsi="宋体"/>
          <w:color w:val="333333"/>
          <w:sz w:val="24"/>
          <w:highlight w:val="none"/>
          <w:shd w:val="clear" w:color="auto" w:fill="FFFFFF"/>
        </w:rPr>
        <w:t>     </w:t>
      </w:r>
    </w:p>
    <w:p w14:paraId="7BAEDDCA">
      <w:pPr>
        <w:widowControl/>
        <w:spacing w:line="360" w:lineRule="auto"/>
        <w:jc w:val="left"/>
        <w:rPr>
          <w:rFonts w:hint="eastAsia" w:ascii="宋体" w:hAnsi="宋体"/>
          <w:color w:val="000000"/>
          <w:sz w:val="24"/>
          <w:highlight w:val="none"/>
        </w:rPr>
      </w:pPr>
    </w:p>
    <w:p w14:paraId="7E7F7987">
      <w:pPr>
        <w:widowControl/>
        <w:spacing w:line="360" w:lineRule="auto"/>
        <w:jc w:val="left"/>
        <w:rPr>
          <w:rFonts w:hint="eastAsia" w:ascii="宋体" w:hAnsi="宋体"/>
          <w:color w:val="000000"/>
          <w:sz w:val="24"/>
          <w:highlight w:val="none"/>
        </w:rPr>
      </w:pPr>
    </w:p>
    <w:p w14:paraId="7B6626A7">
      <w:pPr>
        <w:spacing w:line="360" w:lineRule="auto"/>
        <w:rPr>
          <w:rFonts w:hint="eastAsia" w:ascii="宋体" w:hAnsi="宋体"/>
          <w:color w:val="000000"/>
          <w:sz w:val="22"/>
          <w:szCs w:val="22"/>
          <w:highlight w:val="none"/>
        </w:rPr>
      </w:pPr>
      <w:r>
        <w:rPr>
          <w:rFonts w:hint="eastAsia" w:ascii="宋体" w:hAnsi="宋体"/>
          <w:color w:val="000000"/>
          <w:sz w:val="22"/>
          <w:szCs w:val="22"/>
          <w:highlight w:val="none"/>
        </w:rPr>
        <w:t>注：</w:t>
      </w:r>
    </w:p>
    <w:p w14:paraId="18E5C331">
      <w:pPr>
        <w:spacing w:line="360" w:lineRule="auto"/>
        <w:rPr>
          <w:rFonts w:hint="eastAsia" w:ascii="宋体" w:hAnsi="宋体"/>
          <w:color w:val="333333"/>
          <w:szCs w:val="21"/>
          <w:highlight w:val="none"/>
          <w:shd w:val="clear" w:color="auto" w:fill="FFFFFF"/>
        </w:rPr>
      </w:pPr>
      <w:r>
        <w:rPr>
          <w:rFonts w:ascii="宋体" w:hAnsi="宋体"/>
          <w:color w:val="333333"/>
          <w:szCs w:val="21"/>
          <w:highlight w:val="none"/>
          <w:shd w:val="clear" w:color="auto" w:fill="FFFFFF"/>
        </w:rPr>
        <w:t xml:space="preserve">1. </w:t>
      </w:r>
      <w:r>
        <w:rPr>
          <w:rFonts w:hint="eastAsia" w:ascii="宋体" w:hAnsi="宋体"/>
          <w:color w:val="333333"/>
          <w:szCs w:val="21"/>
          <w:highlight w:val="none"/>
          <w:shd w:val="clear" w:color="auto" w:fill="FFFFFF"/>
        </w:rPr>
        <w:t>本承诺函应按包分别提供。</w:t>
      </w:r>
    </w:p>
    <w:p w14:paraId="417DDF48">
      <w:pPr>
        <w:spacing w:line="360" w:lineRule="auto"/>
        <w:rPr>
          <w:rFonts w:hint="eastAsia" w:ascii="宋体" w:hAnsi="宋体"/>
          <w:color w:val="333333"/>
          <w:szCs w:val="21"/>
          <w:highlight w:val="none"/>
          <w:shd w:val="clear" w:color="auto" w:fill="FFFFFF"/>
        </w:rPr>
      </w:pPr>
      <w:r>
        <w:rPr>
          <w:rFonts w:ascii="宋体" w:hAnsi="宋体"/>
          <w:color w:val="333333"/>
          <w:szCs w:val="21"/>
          <w:highlight w:val="none"/>
          <w:shd w:val="clear" w:color="auto" w:fill="FFFFFF"/>
        </w:rPr>
        <w:t xml:space="preserve">2. </w:t>
      </w:r>
      <w:r>
        <w:rPr>
          <w:rFonts w:hint="eastAsia" w:ascii="宋体" w:hAnsi="宋体"/>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14EB94A4">
      <w:pPr>
        <w:spacing w:line="360" w:lineRule="auto"/>
        <w:rPr>
          <w:rFonts w:hint="eastAsia" w:ascii="宋体" w:hAnsi="宋体"/>
          <w:color w:val="333333"/>
          <w:szCs w:val="21"/>
          <w:highlight w:val="none"/>
          <w:shd w:val="clear" w:color="auto" w:fill="FFFFFF"/>
        </w:rPr>
      </w:pPr>
      <w:r>
        <w:rPr>
          <w:rFonts w:ascii="宋体" w:hAnsi="宋体"/>
          <w:color w:val="333333"/>
          <w:szCs w:val="21"/>
          <w:highlight w:val="none"/>
          <w:shd w:val="clear" w:color="auto" w:fill="FFFFFF"/>
        </w:rPr>
        <w:t xml:space="preserve">3. </w:t>
      </w:r>
      <w:r>
        <w:rPr>
          <w:rFonts w:hint="eastAsia" w:ascii="宋体" w:hAnsi="宋体"/>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highlight w:val="none"/>
        </w:rPr>
        <w:t>价格评审优惠</w:t>
      </w:r>
      <w:r>
        <w:rPr>
          <w:rFonts w:hint="eastAsia" w:ascii="宋体" w:hAnsi="宋体"/>
          <w:color w:val="333333"/>
          <w:szCs w:val="21"/>
          <w:highlight w:val="none"/>
          <w:shd w:val="clear" w:color="auto" w:fill="FFFFFF"/>
        </w:rPr>
        <w:t>。</w:t>
      </w:r>
    </w:p>
    <w:p w14:paraId="2CB215FF">
      <w:pPr>
        <w:spacing w:line="360" w:lineRule="auto"/>
        <w:ind w:left="420" w:leftChars="200"/>
        <w:rPr>
          <w:rFonts w:hint="eastAsia" w:ascii="宋体" w:hAnsi="宋体"/>
          <w:color w:val="333333"/>
          <w:szCs w:val="21"/>
          <w:highlight w:val="none"/>
          <w:shd w:val="clear" w:color="auto" w:fill="FFFFFF"/>
        </w:rPr>
      </w:pPr>
    </w:p>
    <w:p w14:paraId="470296E0">
      <w:pPr>
        <w:widowControl/>
        <w:jc w:val="left"/>
        <w:rPr>
          <w:rFonts w:hint="eastAsia" w:ascii="宋体" w:hAnsi="宋体"/>
          <w:sz w:val="24"/>
          <w:highlight w:val="none"/>
        </w:rPr>
      </w:pPr>
      <w:r>
        <w:rPr>
          <w:rFonts w:ascii="宋体" w:hAnsi="宋体"/>
          <w:sz w:val="24"/>
          <w:highlight w:val="none"/>
        </w:rPr>
        <w:br w:type="page"/>
      </w:r>
    </w:p>
    <w:p w14:paraId="4962F4E7">
      <w:pPr>
        <w:tabs>
          <w:tab w:val="left" w:pos="360"/>
        </w:tabs>
        <w:snapToGrid w:val="0"/>
        <w:spacing w:line="360" w:lineRule="auto"/>
        <w:outlineLvl w:val="1"/>
        <w:rPr>
          <w:rFonts w:hint="eastAsia" w:ascii="宋体" w:hAnsi="宋体"/>
          <w:color w:val="000000"/>
          <w:sz w:val="24"/>
          <w:szCs w:val="20"/>
          <w:highlight w:val="none"/>
        </w:rPr>
      </w:pPr>
      <w:r>
        <w:rPr>
          <w:rFonts w:ascii="宋体" w:hAnsi="宋体"/>
          <w:sz w:val="24"/>
          <w:highlight w:val="none"/>
        </w:rPr>
        <w:t>12  竞争性磋商文件要求提供或供应商认为应附的其他材料</w:t>
      </w:r>
    </w:p>
    <w:p w14:paraId="745A2079">
      <w:pPr>
        <w:widowControl/>
        <w:jc w:val="left"/>
        <w:rPr>
          <w:rFonts w:hint="eastAsia" w:ascii="宋体" w:hAnsi="宋体"/>
          <w:b/>
          <w:sz w:val="36"/>
          <w:szCs w:val="36"/>
          <w:highlight w:val="none"/>
        </w:rPr>
      </w:pPr>
    </w:p>
    <w:p w14:paraId="409CCB00">
      <w:pPr>
        <w:widowControl/>
        <w:jc w:val="left"/>
        <w:rPr>
          <w:rFonts w:hint="eastAsia" w:ascii="宋体" w:hAnsi="宋体"/>
          <w:color w:val="000000"/>
          <w:sz w:val="24"/>
          <w:szCs w:val="20"/>
          <w:highlight w:val="none"/>
        </w:rPr>
      </w:pPr>
      <w:bookmarkStart w:id="2520" w:name="_Hlk167094858"/>
      <w:r>
        <w:rPr>
          <w:rFonts w:hint="eastAsia" w:ascii="宋体" w:hAnsi="宋体"/>
          <w:color w:val="000000"/>
          <w:sz w:val="24"/>
          <w:szCs w:val="20"/>
          <w:highlight w:val="none"/>
        </w:rPr>
        <w:t>1</w:t>
      </w:r>
      <w:r>
        <w:rPr>
          <w:rFonts w:ascii="宋体" w:hAnsi="宋体"/>
          <w:color w:val="000000"/>
          <w:sz w:val="24"/>
          <w:szCs w:val="20"/>
          <w:highlight w:val="none"/>
        </w:rPr>
        <w:t>2-1</w:t>
      </w:r>
      <w:r>
        <w:rPr>
          <w:rFonts w:hint="eastAsia" w:ascii="宋体" w:hAnsi="宋体"/>
          <w:color w:val="000000"/>
          <w:sz w:val="24"/>
          <w:szCs w:val="20"/>
          <w:highlight w:val="none"/>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2"/>
        <w:gridCol w:w="2840"/>
      </w:tblGrid>
      <w:tr w14:paraId="357CE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A24A161">
            <w:pPr>
              <w:rPr>
                <w:rFonts w:hint="eastAsia" w:ascii="宋体" w:hAnsi="宋体"/>
                <w:sz w:val="24"/>
                <w:highlight w:val="none"/>
              </w:rPr>
            </w:pPr>
            <w:r>
              <w:rPr>
                <w:rFonts w:hint="eastAsia" w:ascii="宋体" w:hAnsi="宋体"/>
                <w:sz w:val="24"/>
                <w:highlight w:val="none"/>
              </w:rPr>
              <w:t>供应商名称</w:t>
            </w:r>
          </w:p>
        </w:tc>
        <w:tc>
          <w:tcPr>
            <w:tcW w:w="1667" w:type="pct"/>
          </w:tcPr>
          <w:p w14:paraId="4A4FF309">
            <w:pPr>
              <w:rPr>
                <w:rFonts w:hint="eastAsia" w:ascii="宋体" w:hAnsi="宋体"/>
                <w:sz w:val="24"/>
                <w:highlight w:val="none"/>
              </w:rPr>
            </w:pPr>
            <w:r>
              <w:rPr>
                <w:rFonts w:hint="eastAsia" w:ascii="宋体" w:hAnsi="宋体"/>
                <w:sz w:val="24"/>
                <w:highlight w:val="none"/>
              </w:rPr>
              <w:t>供应商所属性别</w:t>
            </w:r>
          </w:p>
        </w:tc>
        <w:tc>
          <w:tcPr>
            <w:tcW w:w="1667" w:type="pct"/>
          </w:tcPr>
          <w:p w14:paraId="782B7037">
            <w:pPr>
              <w:rPr>
                <w:rFonts w:hint="eastAsia" w:ascii="宋体" w:hAnsi="宋体"/>
                <w:sz w:val="24"/>
                <w:highlight w:val="none"/>
              </w:rPr>
            </w:pPr>
            <w:r>
              <w:rPr>
                <w:rFonts w:hint="eastAsia" w:ascii="宋体" w:hAnsi="宋体"/>
                <w:sz w:val="24"/>
                <w:highlight w:val="none"/>
              </w:rPr>
              <w:t>外商投资类型</w:t>
            </w:r>
          </w:p>
        </w:tc>
      </w:tr>
      <w:tr w14:paraId="582E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3B37F72">
            <w:pPr>
              <w:rPr>
                <w:rFonts w:hint="eastAsia" w:ascii="宋体" w:hAnsi="宋体"/>
                <w:sz w:val="24"/>
                <w:highlight w:val="none"/>
              </w:rPr>
            </w:pPr>
          </w:p>
        </w:tc>
        <w:tc>
          <w:tcPr>
            <w:tcW w:w="1667" w:type="pct"/>
          </w:tcPr>
          <w:p w14:paraId="682CE31F">
            <w:pPr>
              <w:rPr>
                <w:rFonts w:hint="eastAsia" w:ascii="宋体" w:hAnsi="宋体"/>
                <w:sz w:val="24"/>
                <w:highlight w:val="none"/>
              </w:rPr>
            </w:pPr>
          </w:p>
        </w:tc>
        <w:tc>
          <w:tcPr>
            <w:tcW w:w="1667" w:type="pct"/>
          </w:tcPr>
          <w:p w14:paraId="1D120AA2">
            <w:pPr>
              <w:rPr>
                <w:rFonts w:hint="eastAsia" w:ascii="宋体" w:hAnsi="宋体"/>
                <w:sz w:val="24"/>
                <w:highlight w:val="none"/>
              </w:rPr>
            </w:pPr>
          </w:p>
        </w:tc>
      </w:tr>
      <w:tr w14:paraId="54D7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2634F55">
            <w:pPr>
              <w:rPr>
                <w:rFonts w:hint="eastAsia" w:ascii="宋体" w:hAnsi="宋体"/>
                <w:highlight w:val="none"/>
              </w:rPr>
            </w:pPr>
          </w:p>
        </w:tc>
        <w:tc>
          <w:tcPr>
            <w:tcW w:w="1667" w:type="pct"/>
          </w:tcPr>
          <w:p w14:paraId="06E731AB">
            <w:pPr>
              <w:rPr>
                <w:rFonts w:hint="eastAsia" w:ascii="宋体" w:hAnsi="宋体"/>
                <w:highlight w:val="none"/>
              </w:rPr>
            </w:pPr>
          </w:p>
        </w:tc>
        <w:tc>
          <w:tcPr>
            <w:tcW w:w="1667" w:type="pct"/>
          </w:tcPr>
          <w:p w14:paraId="6E693307">
            <w:pPr>
              <w:rPr>
                <w:rFonts w:hint="eastAsia" w:ascii="宋体" w:hAnsi="宋体"/>
                <w:highlight w:val="none"/>
              </w:rPr>
            </w:pPr>
          </w:p>
        </w:tc>
      </w:tr>
      <w:tr w14:paraId="5BE1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A40DB1B">
            <w:pPr>
              <w:rPr>
                <w:rFonts w:hint="eastAsia" w:ascii="宋体" w:hAnsi="宋体"/>
                <w:highlight w:val="none"/>
              </w:rPr>
            </w:pPr>
          </w:p>
        </w:tc>
        <w:tc>
          <w:tcPr>
            <w:tcW w:w="1667" w:type="pct"/>
          </w:tcPr>
          <w:p w14:paraId="55227878">
            <w:pPr>
              <w:rPr>
                <w:rFonts w:hint="eastAsia" w:ascii="宋体" w:hAnsi="宋体"/>
                <w:highlight w:val="none"/>
              </w:rPr>
            </w:pPr>
          </w:p>
        </w:tc>
        <w:tc>
          <w:tcPr>
            <w:tcW w:w="1667" w:type="pct"/>
          </w:tcPr>
          <w:p w14:paraId="26746F62">
            <w:pPr>
              <w:rPr>
                <w:rFonts w:hint="eastAsia" w:ascii="宋体" w:hAnsi="宋体"/>
                <w:highlight w:val="none"/>
              </w:rPr>
            </w:pPr>
          </w:p>
        </w:tc>
      </w:tr>
      <w:tr w14:paraId="6257A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0012D30">
            <w:pPr>
              <w:rPr>
                <w:rFonts w:hint="eastAsia" w:ascii="宋体" w:hAnsi="宋体"/>
                <w:highlight w:val="none"/>
              </w:rPr>
            </w:pPr>
          </w:p>
        </w:tc>
        <w:tc>
          <w:tcPr>
            <w:tcW w:w="1667" w:type="pct"/>
          </w:tcPr>
          <w:p w14:paraId="482F3C0A">
            <w:pPr>
              <w:rPr>
                <w:rFonts w:hint="eastAsia" w:ascii="宋体" w:hAnsi="宋体"/>
                <w:highlight w:val="none"/>
              </w:rPr>
            </w:pPr>
          </w:p>
        </w:tc>
        <w:tc>
          <w:tcPr>
            <w:tcW w:w="1667" w:type="pct"/>
          </w:tcPr>
          <w:p w14:paraId="571F2EEA">
            <w:pPr>
              <w:rPr>
                <w:rFonts w:hint="eastAsia" w:ascii="宋体" w:hAnsi="宋体"/>
                <w:highlight w:val="none"/>
              </w:rPr>
            </w:pPr>
          </w:p>
        </w:tc>
      </w:tr>
    </w:tbl>
    <w:p w14:paraId="56F6342D">
      <w:pPr>
        <w:tabs>
          <w:tab w:val="left" w:pos="1800"/>
          <w:tab w:val="left" w:pos="5580"/>
        </w:tabs>
        <w:jc w:val="left"/>
        <w:rPr>
          <w:rFonts w:hint="eastAsia" w:ascii="宋体" w:hAnsi="宋体"/>
          <w:color w:val="000000"/>
          <w:sz w:val="24"/>
          <w:highlight w:val="none"/>
        </w:rPr>
      </w:pPr>
      <w:r>
        <w:rPr>
          <w:rFonts w:hint="eastAsia" w:ascii="宋体" w:hAnsi="宋体"/>
          <w:color w:val="000000"/>
          <w:sz w:val="24"/>
          <w:highlight w:val="none"/>
        </w:rPr>
        <w:t>注：1.供应商如为联合体，则应填写联合体各成员信息。</w:t>
      </w:r>
    </w:p>
    <w:p w14:paraId="3E3C7E49">
      <w:pPr>
        <w:tabs>
          <w:tab w:val="left" w:pos="1800"/>
          <w:tab w:val="left" w:pos="5580"/>
        </w:tabs>
        <w:ind w:firstLine="480" w:firstLineChars="200"/>
        <w:jc w:val="left"/>
        <w:rPr>
          <w:rFonts w:hint="eastAsia" w:ascii="宋体" w:hAnsi="宋体"/>
          <w:color w:val="000000"/>
          <w:sz w:val="24"/>
          <w:highlight w:val="none"/>
        </w:rPr>
      </w:pPr>
      <w:r>
        <w:rPr>
          <w:rFonts w:hint="eastAsia" w:ascii="宋体" w:hAnsi="宋体"/>
          <w:color w:val="000000"/>
          <w:sz w:val="24"/>
          <w:highlight w:val="none"/>
        </w:rPr>
        <w:t>2.供应商所属性别请填写“男”或“女”，指拥有供应商</w:t>
      </w:r>
      <w:r>
        <w:rPr>
          <w:rFonts w:ascii="宋体" w:hAnsi="宋体"/>
          <w:color w:val="000000"/>
          <w:sz w:val="24"/>
          <w:highlight w:val="none"/>
        </w:rPr>
        <w:t>51%</w:t>
      </w:r>
      <w:r>
        <w:rPr>
          <w:rFonts w:hint="eastAsia" w:ascii="宋体" w:hAnsi="宋体"/>
          <w:color w:val="000000"/>
          <w:sz w:val="24"/>
          <w:highlight w:val="none"/>
        </w:rPr>
        <w:t>以上绝对所有权的性别；绝对所有权拥有者可以是一个人，也可以是多人合计计算。</w:t>
      </w:r>
    </w:p>
    <w:p w14:paraId="31C58B7D">
      <w:pPr>
        <w:tabs>
          <w:tab w:val="left" w:pos="1800"/>
          <w:tab w:val="left" w:pos="5580"/>
        </w:tabs>
        <w:ind w:firstLine="480" w:firstLineChars="200"/>
        <w:jc w:val="left"/>
        <w:rPr>
          <w:rFonts w:hint="eastAsia" w:ascii="宋体" w:hAnsi="宋体"/>
          <w:color w:val="000000"/>
          <w:sz w:val="24"/>
          <w:highlight w:val="none"/>
        </w:rPr>
      </w:pPr>
      <w:r>
        <w:rPr>
          <w:rFonts w:hint="eastAsia" w:ascii="宋体" w:hAnsi="宋体"/>
          <w:color w:val="000000"/>
          <w:sz w:val="24"/>
          <w:highlight w:val="none"/>
        </w:rPr>
        <w:t>3.外商投资类型请填写“外商单独投资”、“外商部分投资”或“内资”。</w:t>
      </w:r>
    </w:p>
    <w:bookmarkEnd w:id="2520"/>
    <w:p w14:paraId="02851381">
      <w:pPr>
        <w:widowControl/>
        <w:jc w:val="left"/>
        <w:rPr>
          <w:rFonts w:hint="eastAsia" w:ascii="宋体" w:hAnsi="宋体"/>
          <w:b/>
          <w:sz w:val="36"/>
          <w:szCs w:val="36"/>
          <w:highlight w:val="none"/>
        </w:rPr>
      </w:pPr>
      <w:r>
        <w:rPr>
          <w:rFonts w:ascii="宋体" w:hAnsi="宋体"/>
          <w:b/>
          <w:sz w:val="36"/>
          <w:szCs w:val="36"/>
          <w:highlight w:val="none"/>
        </w:rPr>
        <w:br w:type="page"/>
      </w:r>
    </w:p>
    <w:p w14:paraId="4649EE37">
      <w:pPr>
        <w:tabs>
          <w:tab w:val="left" w:pos="360"/>
        </w:tabs>
        <w:snapToGrid w:val="0"/>
        <w:spacing w:line="360" w:lineRule="auto"/>
        <w:outlineLvl w:val="1"/>
        <w:rPr>
          <w:rFonts w:hint="eastAsia" w:ascii="宋体" w:hAnsi="宋体"/>
          <w:sz w:val="24"/>
          <w:highlight w:val="none"/>
        </w:rPr>
      </w:pPr>
      <w:r>
        <w:rPr>
          <w:rFonts w:ascii="宋体" w:hAnsi="宋体"/>
          <w:sz w:val="24"/>
          <w:highlight w:val="none"/>
        </w:rPr>
        <w:t>13  最后报价一览表（实质性格式，磋商后提交）</w:t>
      </w:r>
    </w:p>
    <w:p w14:paraId="1D449039">
      <w:pPr>
        <w:widowControl/>
        <w:jc w:val="left"/>
        <w:rPr>
          <w:rFonts w:hint="eastAsia" w:ascii="宋体" w:hAnsi="宋体"/>
          <w:kern w:val="0"/>
          <w:sz w:val="24"/>
          <w:szCs w:val="20"/>
          <w:highlight w:val="none"/>
        </w:rPr>
      </w:pPr>
    </w:p>
    <w:p w14:paraId="6A5D95D3">
      <w:pPr>
        <w:spacing w:line="360" w:lineRule="exact"/>
        <w:ind w:firstLine="720"/>
        <w:jc w:val="center"/>
        <w:rPr>
          <w:rFonts w:hint="eastAsia" w:ascii="宋体" w:hAnsi="宋体"/>
          <w:b/>
          <w:color w:val="000000"/>
          <w:sz w:val="36"/>
          <w:szCs w:val="36"/>
          <w:highlight w:val="none"/>
        </w:rPr>
      </w:pPr>
      <w:r>
        <w:rPr>
          <w:rFonts w:ascii="宋体" w:hAnsi="宋体"/>
          <w:b/>
          <w:color w:val="000000"/>
          <w:sz w:val="36"/>
          <w:szCs w:val="36"/>
          <w:highlight w:val="none"/>
        </w:rPr>
        <w:t>最后报价一览表</w:t>
      </w:r>
    </w:p>
    <w:p w14:paraId="2349A58F">
      <w:pPr>
        <w:tabs>
          <w:tab w:val="left" w:pos="1800"/>
          <w:tab w:val="left" w:pos="5580"/>
        </w:tabs>
        <w:spacing w:line="360" w:lineRule="auto"/>
        <w:jc w:val="left"/>
        <w:rPr>
          <w:rFonts w:hint="eastAsia" w:ascii="宋体" w:hAnsi="宋体"/>
          <w:color w:val="000000"/>
          <w:sz w:val="24"/>
          <w:highlight w:val="none"/>
        </w:rPr>
      </w:pPr>
    </w:p>
    <w:p w14:paraId="5B61139F">
      <w:pPr>
        <w:tabs>
          <w:tab w:val="left" w:pos="1800"/>
          <w:tab w:val="left" w:pos="5580"/>
        </w:tabs>
        <w:spacing w:line="360" w:lineRule="auto"/>
        <w:ind w:firstLine="360" w:firstLineChars="150"/>
        <w:jc w:val="left"/>
        <w:rPr>
          <w:rFonts w:hint="eastAsia" w:ascii="宋体" w:hAnsi="宋体"/>
          <w:color w:val="000000"/>
          <w:sz w:val="24"/>
          <w:highlight w:val="none"/>
        </w:rPr>
      </w:pPr>
      <w:r>
        <w:rPr>
          <w:rFonts w:ascii="宋体" w:hAnsi="宋体"/>
          <w:color w:val="000000"/>
          <w:sz w:val="24"/>
          <w:highlight w:val="none"/>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0"/>
        <w:gridCol w:w="2110"/>
        <w:gridCol w:w="1569"/>
        <w:gridCol w:w="1398"/>
        <w:gridCol w:w="1337"/>
      </w:tblGrid>
      <w:tr w14:paraId="1736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63AAF34">
            <w:pPr>
              <w:tabs>
                <w:tab w:val="left" w:pos="5580"/>
              </w:tabs>
              <w:jc w:val="center"/>
              <w:rPr>
                <w:rFonts w:hint="eastAsia" w:ascii="宋体" w:hAnsi="宋体"/>
                <w:b/>
                <w:sz w:val="24"/>
                <w:highlight w:val="none"/>
              </w:rPr>
            </w:pPr>
            <w:r>
              <w:rPr>
                <w:rFonts w:ascii="宋体" w:hAnsi="宋体"/>
                <w:b/>
                <w:sz w:val="24"/>
                <w:highlight w:val="none"/>
              </w:rPr>
              <w:t>序号</w:t>
            </w:r>
          </w:p>
        </w:tc>
        <w:tc>
          <w:tcPr>
            <w:tcW w:w="1498" w:type="pct"/>
            <w:vMerge w:val="restart"/>
            <w:vAlign w:val="center"/>
          </w:tcPr>
          <w:p w14:paraId="04601BB6">
            <w:pPr>
              <w:tabs>
                <w:tab w:val="left" w:pos="5580"/>
              </w:tabs>
              <w:jc w:val="center"/>
              <w:rPr>
                <w:rFonts w:hint="eastAsia" w:ascii="宋体" w:hAnsi="宋体"/>
                <w:b/>
                <w:sz w:val="24"/>
                <w:highlight w:val="none"/>
              </w:rPr>
            </w:pPr>
            <w:r>
              <w:rPr>
                <w:rFonts w:ascii="宋体" w:hAnsi="宋体"/>
                <w:b/>
                <w:sz w:val="24"/>
                <w:highlight w:val="none"/>
              </w:rPr>
              <w:t>供应商名称</w:t>
            </w:r>
          </w:p>
        </w:tc>
        <w:tc>
          <w:tcPr>
            <w:tcW w:w="2106" w:type="pct"/>
            <w:gridSpan w:val="2"/>
            <w:vAlign w:val="center"/>
          </w:tcPr>
          <w:p w14:paraId="7613C2F8">
            <w:pPr>
              <w:tabs>
                <w:tab w:val="left" w:pos="5580"/>
              </w:tabs>
              <w:jc w:val="center"/>
              <w:rPr>
                <w:rFonts w:hint="eastAsia" w:ascii="宋体" w:hAnsi="宋体"/>
                <w:b/>
                <w:sz w:val="24"/>
                <w:highlight w:val="none"/>
              </w:rPr>
            </w:pPr>
            <w:r>
              <w:rPr>
                <w:rFonts w:ascii="宋体" w:hAnsi="宋体"/>
                <w:b/>
                <w:sz w:val="24"/>
                <w:highlight w:val="none"/>
              </w:rPr>
              <w:t>最后报价</w:t>
            </w:r>
          </w:p>
        </w:tc>
        <w:tc>
          <w:tcPr>
            <w:tcW w:w="949" w:type="pct"/>
            <w:vMerge w:val="restart"/>
            <w:vAlign w:val="center"/>
          </w:tcPr>
          <w:p w14:paraId="6F2BAA96">
            <w:pPr>
              <w:tabs>
                <w:tab w:val="left" w:pos="5580"/>
              </w:tabs>
              <w:jc w:val="center"/>
              <w:rPr>
                <w:rFonts w:hint="eastAsia" w:ascii="宋体" w:hAnsi="宋体"/>
                <w:b/>
                <w:sz w:val="24"/>
                <w:highlight w:val="none"/>
              </w:rPr>
            </w:pPr>
            <w:r>
              <w:rPr>
                <w:rFonts w:ascii="宋体" w:hAnsi="宋体"/>
                <w:b/>
                <w:sz w:val="24"/>
                <w:highlight w:val="none"/>
              </w:rPr>
              <w:t>其他</w:t>
            </w:r>
          </w:p>
          <w:p w14:paraId="793C3E7D">
            <w:pPr>
              <w:tabs>
                <w:tab w:val="left" w:pos="5580"/>
              </w:tabs>
              <w:jc w:val="center"/>
              <w:rPr>
                <w:rFonts w:hint="eastAsia" w:ascii="宋体" w:hAnsi="宋体"/>
                <w:b/>
                <w:sz w:val="24"/>
                <w:highlight w:val="none"/>
              </w:rPr>
            </w:pPr>
            <w:r>
              <w:rPr>
                <w:rFonts w:ascii="宋体" w:hAnsi="宋体"/>
                <w:b/>
                <w:sz w:val="24"/>
                <w:highlight w:val="none"/>
              </w:rPr>
              <w:t>声明</w:t>
            </w:r>
          </w:p>
        </w:tc>
      </w:tr>
      <w:tr w14:paraId="0A8F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85A6BF5">
            <w:pPr>
              <w:tabs>
                <w:tab w:val="left" w:pos="5580"/>
              </w:tabs>
              <w:jc w:val="center"/>
              <w:rPr>
                <w:rFonts w:hint="eastAsia" w:ascii="宋体" w:hAnsi="宋体"/>
                <w:sz w:val="24"/>
                <w:highlight w:val="none"/>
              </w:rPr>
            </w:pPr>
          </w:p>
        </w:tc>
        <w:tc>
          <w:tcPr>
            <w:tcW w:w="1498" w:type="pct"/>
            <w:vMerge w:val="continue"/>
            <w:vAlign w:val="center"/>
          </w:tcPr>
          <w:p w14:paraId="5FEC49B4">
            <w:pPr>
              <w:tabs>
                <w:tab w:val="left" w:pos="5580"/>
              </w:tabs>
              <w:jc w:val="center"/>
              <w:rPr>
                <w:rFonts w:hint="eastAsia" w:ascii="宋体" w:hAnsi="宋体"/>
                <w:sz w:val="24"/>
                <w:highlight w:val="none"/>
              </w:rPr>
            </w:pPr>
          </w:p>
        </w:tc>
        <w:tc>
          <w:tcPr>
            <w:tcW w:w="1114" w:type="pct"/>
            <w:vAlign w:val="center"/>
          </w:tcPr>
          <w:p w14:paraId="06D464F9">
            <w:pPr>
              <w:tabs>
                <w:tab w:val="left" w:pos="5580"/>
              </w:tabs>
              <w:jc w:val="center"/>
              <w:rPr>
                <w:rFonts w:hint="eastAsia" w:ascii="宋体" w:hAnsi="宋体"/>
                <w:b/>
                <w:sz w:val="24"/>
                <w:highlight w:val="none"/>
              </w:rPr>
            </w:pPr>
            <w:r>
              <w:rPr>
                <w:rFonts w:ascii="宋体" w:hAnsi="宋体"/>
                <w:b/>
                <w:sz w:val="24"/>
                <w:highlight w:val="none"/>
              </w:rPr>
              <w:t>大写</w:t>
            </w:r>
          </w:p>
        </w:tc>
        <w:tc>
          <w:tcPr>
            <w:tcW w:w="992" w:type="pct"/>
            <w:vAlign w:val="center"/>
          </w:tcPr>
          <w:p w14:paraId="1D324B1F">
            <w:pPr>
              <w:tabs>
                <w:tab w:val="left" w:pos="5580"/>
              </w:tabs>
              <w:jc w:val="center"/>
              <w:rPr>
                <w:rFonts w:hint="eastAsia" w:ascii="宋体" w:hAnsi="宋体"/>
                <w:b/>
                <w:sz w:val="24"/>
                <w:highlight w:val="none"/>
              </w:rPr>
            </w:pPr>
            <w:r>
              <w:rPr>
                <w:rFonts w:ascii="宋体" w:hAnsi="宋体"/>
                <w:b/>
                <w:sz w:val="24"/>
                <w:highlight w:val="none"/>
              </w:rPr>
              <w:t>小写</w:t>
            </w:r>
          </w:p>
        </w:tc>
        <w:tc>
          <w:tcPr>
            <w:tcW w:w="949" w:type="pct"/>
            <w:vMerge w:val="continue"/>
            <w:vAlign w:val="center"/>
          </w:tcPr>
          <w:p w14:paraId="2D78B39D">
            <w:pPr>
              <w:tabs>
                <w:tab w:val="left" w:pos="5580"/>
              </w:tabs>
              <w:ind w:firstLine="482"/>
              <w:jc w:val="center"/>
              <w:rPr>
                <w:rFonts w:hint="eastAsia" w:ascii="宋体" w:hAnsi="宋体"/>
                <w:b/>
                <w:sz w:val="24"/>
                <w:highlight w:val="none"/>
              </w:rPr>
            </w:pPr>
          </w:p>
        </w:tc>
      </w:tr>
      <w:tr w14:paraId="01F4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6DF1899">
            <w:pPr>
              <w:tabs>
                <w:tab w:val="left" w:pos="5580"/>
              </w:tabs>
              <w:jc w:val="center"/>
              <w:rPr>
                <w:rFonts w:hint="eastAsia" w:ascii="宋体" w:hAnsi="宋体"/>
                <w:sz w:val="24"/>
                <w:highlight w:val="none"/>
              </w:rPr>
            </w:pPr>
          </w:p>
        </w:tc>
        <w:tc>
          <w:tcPr>
            <w:tcW w:w="1498" w:type="pct"/>
            <w:vAlign w:val="center"/>
          </w:tcPr>
          <w:p w14:paraId="27BF65B9">
            <w:pPr>
              <w:tabs>
                <w:tab w:val="left" w:pos="5580"/>
              </w:tabs>
              <w:jc w:val="center"/>
              <w:rPr>
                <w:rFonts w:hint="eastAsia" w:ascii="宋体" w:hAnsi="宋体"/>
                <w:sz w:val="24"/>
                <w:highlight w:val="none"/>
              </w:rPr>
            </w:pPr>
          </w:p>
        </w:tc>
        <w:tc>
          <w:tcPr>
            <w:tcW w:w="1114" w:type="pct"/>
            <w:vAlign w:val="center"/>
          </w:tcPr>
          <w:p w14:paraId="74AE3043">
            <w:pPr>
              <w:tabs>
                <w:tab w:val="left" w:pos="5580"/>
              </w:tabs>
              <w:jc w:val="center"/>
              <w:rPr>
                <w:rFonts w:hint="eastAsia" w:ascii="宋体" w:hAnsi="宋体"/>
                <w:sz w:val="24"/>
                <w:highlight w:val="none"/>
              </w:rPr>
            </w:pPr>
          </w:p>
        </w:tc>
        <w:tc>
          <w:tcPr>
            <w:tcW w:w="992" w:type="pct"/>
            <w:vAlign w:val="center"/>
          </w:tcPr>
          <w:p w14:paraId="597E742C">
            <w:pPr>
              <w:tabs>
                <w:tab w:val="left" w:pos="5580"/>
              </w:tabs>
              <w:jc w:val="center"/>
              <w:rPr>
                <w:rFonts w:hint="eastAsia" w:ascii="宋体" w:hAnsi="宋体"/>
                <w:sz w:val="24"/>
                <w:highlight w:val="none"/>
              </w:rPr>
            </w:pPr>
          </w:p>
        </w:tc>
        <w:tc>
          <w:tcPr>
            <w:tcW w:w="949" w:type="pct"/>
            <w:vAlign w:val="center"/>
          </w:tcPr>
          <w:p w14:paraId="633BA34F">
            <w:pPr>
              <w:tabs>
                <w:tab w:val="left" w:pos="5580"/>
              </w:tabs>
              <w:jc w:val="center"/>
              <w:rPr>
                <w:rFonts w:hint="eastAsia" w:ascii="宋体" w:hAnsi="宋体"/>
                <w:sz w:val="24"/>
                <w:highlight w:val="none"/>
              </w:rPr>
            </w:pPr>
          </w:p>
        </w:tc>
      </w:tr>
    </w:tbl>
    <w:p w14:paraId="2E296ADD">
      <w:pPr>
        <w:autoSpaceDE w:val="0"/>
        <w:autoSpaceDN w:val="0"/>
        <w:adjustRightInd w:val="0"/>
        <w:jc w:val="left"/>
        <w:rPr>
          <w:rFonts w:hint="eastAsia" w:ascii="宋体" w:hAnsi="宋体"/>
          <w:color w:val="000000"/>
          <w:kern w:val="0"/>
          <w:sz w:val="24"/>
          <w:highlight w:val="none"/>
        </w:rPr>
      </w:pPr>
    </w:p>
    <w:p w14:paraId="05F5653A">
      <w:pPr>
        <w:autoSpaceDE w:val="0"/>
        <w:autoSpaceDN w:val="0"/>
        <w:adjustRightInd w:val="0"/>
        <w:jc w:val="left"/>
        <w:rPr>
          <w:rFonts w:hint="eastAsia" w:ascii="宋体" w:hAnsi="宋体"/>
          <w:color w:val="000000"/>
          <w:kern w:val="0"/>
          <w:sz w:val="24"/>
          <w:highlight w:val="none"/>
        </w:rPr>
      </w:pPr>
    </w:p>
    <w:p w14:paraId="32390A62">
      <w:pPr>
        <w:autoSpaceDE w:val="0"/>
        <w:autoSpaceDN w:val="0"/>
        <w:adjustRightInd w:val="0"/>
        <w:jc w:val="left"/>
        <w:rPr>
          <w:rFonts w:hint="eastAsia" w:ascii="宋体" w:hAnsi="宋体"/>
          <w:color w:val="000000"/>
          <w:kern w:val="0"/>
          <w:sz w:val="24"/>
          <w:highlight w:val="none"/>
        </w:rPr>
      </w:pPr>
    </w:p>
    <w:p w14:paraId="515020CD">
      <w:pPr>
        <w:autoSpaceDE w:val="0"/>
        <w:autoSpaceDN w:val="0"/>
        <w:adjustRightInd w:val="0"/>
        <w:jc w:val="left"/>
        <w:rPr>
          <w:rFonts w:hint="eastAsia" w:ascii="宋体" w:hAnsi="宋体"/>
          <w:color w:val="000000"/>
          <w:kern w:val="0"/>
          <w:sz w:val="24"/>
          <w:highlight w:val="none"/>
        </w:rPr>
      </w:pPr>
    </w:p>
    <w:p w14:paraId="0A073217">
      <w:pPr>
        <w:autoSpaceDE w:val="0"/>
        <w:autoSpaceDN w:val="0"/>
        <w:adjustRightInd w:val="0"/>
        <w:jc w:val="left"/>
        <w:rPr>
          <w:rFonts w:hint="eastAsia" w:ascii="宋体" w:hAnsi="宋体"/>
          <w:color w:val="000000"/>
          <w:sz w:val="24"/>
          <w:szCs w:val="20"/>
          <w:highlight w:val="none"/>
        </w:rPr>
      </w:pPr>
      <w:r>
        <w:rPr>
          <w:rFonts w:ascii="宋体" w:hAnsi="宋体"/>
          <w:color w:val="000000"/>
          <w:kern w:val="0"/>
          <w:sz w:val="24"/>
          <w:highlight w:val="none"/>
        </w:rPr>
        <w:t>注：1</w:t>
      </w:r>
      <w:r>
        <w:rPr>
          <w:rFonts w:ascii="宋体" w:hAnsi="宋体"/>
          <w:color w:val="000000"/>
          <w:sz w:val="24"/>
          <w:szCs w:val="20"/>
          <w:highlight w:val="none"/>
        </w:rPr>
        <w:t>.此表中，每包的最后报价应和《最后分项报价表》中的总价相一致。</w:t>
      </w:r>
    </w:p>
    <w:p w14:paraId="5119591F">
      <w:pPr>
        <w:tabs>
          <w:tab w:val="left" w:pos="5580"/>
        </w:tabs>
        <w:ind w:firstLine="480" w:firstLineChars="200"/>
        <w:rPr>
          <w:rFonts w:hint="eastAsia" w:ascii="宋体" w:hAnsi="宋体"/>
          <w:color w:val="000000"/>
          <w:sz w:val="24"/>
          <w:szCs w:val="20"/>
          <w:highlight w:val="none"/>
        </w:rPr>
      </w:pPr>
      <w:r>
        <w:rPr>
          <w:rFonts w:ascii="宋体" w:hAnsi="宋体"/>
          <w:color w:val="000000"/>
          <w:sz w:val="24"/>
          <w:szCs w:val="20"/>
          <w:highlight w:val="none"/>
        </w:rPr>
        <w:t>2.本表必须按包分别填写。</w:t>
      </w:r>
    </w:p>
    <w:p w14:paraId="547CE003">
      <w:pPr>
        <w:pStyle w:val="177"/>
        <w:ind w:left="642" w:leftChars="227" w:hanging="165" w:hangingChars="69"/>
        <w:rPr>
          <w:rFonts w:hint="eastAsia"/>
          <w:sz w:val="24"/>
          <w:szCs w:val="24"/>
          <w:highlight w:val="none"/>
        </w:rPr>
      </w:pPr>
      <w:r>
        <w:rPr>
          <w:sz w:val="24"/>
          <w:szCs w:val="24"/>
          <w:highlight w:val="none"/>
        </w:rPr>
        <w:t>3.</w:t>
      </w:r>
      <w:bookmarkStart w:id="2521" w:name="_Hlk137145809"/>
      <w:r>
        <w:rPr>
          <w:sz w:val="24"/>
          <w:szCs w:val="24"/>
          <w:highlight w:val="none"/>
        </w:rPr>
        <w:t>此表无需在响应文件中提交，磋商后供应商按磋商小组要求提交。</w:t>
      </w:r>
      <w:bookmarkEnd w:id="2521"/>
    </w:p>
    <w:p w14:paraId="55AAC68E">
      <w:pPr>
        <w:tabs>
          <w:tab w:val="left" w:pos="5580"/>
        </w:tabs>
        <w:ind w:firstLine="480" w:firstLineChars="200"/>
        <w:rPr>
          <w:rFonts w:hint="eastAsia" w:ascii="宋体" w:hAnsi="宋体"/>
          <w:color w:val="000000"/>
          <w:sz w:val="24"/>
          <w:szCs w:val="20"/>
          <w:highlight w:val="none"/>
        </w:rPr>
      </w:pPr>
    </w:p>
    <w:p w14:paraId="13900BE8">
      <w:pPr>
        <w:autoSpaceDE w:val="0"/>
        <w:autoSpaceDN w:val="0"/>
        <w:adjustRightInd w:val="0"/>
        <w:snapToGrid w:val="0"/>
        <w:spacing w:before="25" w:after="25" w:line="360" w:lineRule="auto"/>
        <w:rPr>
          <w:rFonts w:hint="eastAsia" w:ascii="宋体" w:hAnsi="宋体"/>
          <w:color w:val="000000"/>
          <w:sz w:val="24"/>
          <w:highlight w:val="none"/>
          <w:lang w:val="zh-CN"/>
        </w:rPr>
      </w:pPr>
    </w:p>
    <w:p w14:paraId="1825805A">
      <w:pPr>
        <w:autoSpaceDE w:val="0"/>
        <w:autoSpaceDN w:val="0"/>
        <w:adjustRightInd w:val="0"/>
        <w:snapToGrid w:val="0"/>
        <w:spacing w:before="25" w:after="25" w:line="360" w:lineRule="auto"/>
        <w:rPr>
          <w:rFonts w:hint="eastAsia" w:ascii="宋体" w:hAnsi="宋体"/>
          <w:color w:val="000000"/>
          <w:sz w:val="24"/>
          <w:highlight w:val="none"/>
          <w:lang w:val="zh-CN"/>
        </w:rPr>
      </w:pPr>
      <w:r>
        <w:rPr>
          <w:rFonts w:ascii="宋体" w:hAnsi="宋体"/>
          <w:color w:val="000000"/>
          <w:sz w:val="24"/>
          <w:highlight w:val="none"/>
          <w:lang w:val="zh-CN"/>
        </w:rPr>
        <w:t xml:space="preserve">      </w:t>
      </w:r>
    </w:p>
    <w:p w14:paraId="71B9B198">
      <w:pPr>
        <w:autoSpaceDE w:val="0"/>
        <w:autoSpaceDN w:val="0"/>
        <w:adjustRightInd w:val="0"/>
        <w:snapToGrid w:val="0"/>
        <w:spacing w:before="25" w:after="25" w:line="360" w:lineRule="auto"/>
        <w:rPr>
          <w:rFonts w:hint="eastAsia" w:ascii="宋体" w:hAnsi="宋体"/>
          <w:color w:val="000000"/>
          <w:sz w:val="24"/>
          <w:highlight w:val="none"/>
          <w:lang w:val="zh-CN"/>
        </w:rPr>
      </w:pPr>
      <w:r>
        <w:rPr>
          <w:rFonts w:ascii="宋体" w:hAnsi="宋体"/>
          <w:color w:val="000000"/>
          <w:sz w:val="24"/>
          <w:highlight w:val="none"/>
        </w:rPr>
        <w:t>供应商授权代表签字（或加盖供应商公章）</w:t>
      </w:r>
      <w:r>
        <w:rPr>
          <w:rFonts w:ascii="宋体" w:hAnsi="宋体"/>
          <w:color w:val="000000"/>
          <w:sz w:val="24"/>
          <w:highlight w:val="none"/>
          <w:lang w:val="zh-CN"/>
        </w:rPr>
        <w:t xml:space="preserve">：___________ </w:t>
      </w:r>
    </w:p>
    <w:p w14:paraId="7BDEF732">
      <w:pPr>
        <w:widowControl/>
        <w:jc w:val="left"/>
        <w:rPr>
          <w:rFonts w:hint="eastAsia" w:ascii="宋体" w:hAnsi="宋体"/>
          <w:color w:val="000000"/>
          <w:sz w:val="24"/>
          <w:szCs w:val="20"/>
          <w:highlight w:val="none"/>
        </w:rPr>
      </w:pPr>
      <w:r>
        <w:rPr>
          <w:rFonts w:ascii="宋体" w:hAnsi="宋体"/>
          <w:color w:val="000000"/>
          <w:sz w:val="24"/>
          <w:szCs w:val="20"/>
          <w:highlight w:val="none"/>
        </w:rPr>
        <w:t xml:space="preserve">日期：____年____月____日   </w:t>
      </w:r>
    </w:p>
    <w:p w14:paraId="33BE376B">
      <w:pPr>
        <w:widowControl/>
        <w:jc w:val="left"/>
        <w:rPr>
          <w:rFonts w:hint="eastAsia" w:ascii="宋体" w:hAnsi="宋体"/>
          <w:color w:val="000000"/>
          <w:sz w:val="24"/>
          <w:szCs w:val="20"/>
          <w:highlight w:val="none"/>
        </w:rPr>
      </w:pPr>
    </w:p>
    <w:p w14:paraId="2360E042">
      <w:pPr>
        <w:tabs>
          <w:tab w:val="left" w:pos="360"/>
        </w:tabs>
        <w:snapToGrid w:val="0"/>
        <w:spacing w:line="360" w:lineRule="auto"/>
        <w:outlineLvl w:val="1"/>
        <w:rPr>
          <w:rFonts w:hint="eastAsia" w:ascii="宋体" w:hAnsi="宋体"/>
          <w:sz w:val="24"/>
          <w:highlight w:val="none"/>
        </w:rPr>
        <w:sectPr>
          <w:pgSz w:w="11907" w:h="16840"/>
          <w:pgMar w:top="1440" w:right="1800" w:bottom="1440" w:left="1800" w:header="851" w:footer="851" w:gutter="0"/>
          <w:cols w:space="720" w:num="1"/>
          <w:docGrid w:linePitch="462" w:charSpace="0"/>
        </w:sectPr>
      </w:pPr>
    </w:p>
    <w:p w14:paraId="624C8EA4">
      <w:pPr>
        <w:widowControl/>
        <w:jc w:val="left"/>
        <w:rPr>
          <w:rFonts w:hint="eastAsia" w:ascii="宋体" w:hAnsi="宋体"/>
          <w:sz w:val="24"/>
          <w:highlight w:val="none"/>
        </w:rPr>
      </w:pPr>
      <w:r>
        <w:rPr>
          <w:rFonts w:ascii="宋体" w:hAnsi="宋体"/>
          <w:sz w:val="24"/>
          <w:highlight w:val="none"/>
        </w:rPr>
        <w:t>14  最后报价构成表（</w:t>
      </w:r>
      <w:r>
        <w:rPr>
          <w:rFonts w:hint="eastAsia" w:ascii="宋体" w:hAnsi="宋体"/>
          <w:sz w:val="24"/>
          <w:highlight w:val="none"/>
        </w:rPr>
        <w:t>如有，磋商后提交</w:t>
      </w:r>
      <w:r>
        <w:rPr>
          <w:rFonts w:ascii="宋体" w:hAnsi="宋体"/>
          <w:sz w:val="24"/>
          <w:highlight w:val="none"/>
        </w:rPr>
        <w:t>）</w:t>
      </w:r>
    </w:p>
    <w:p w14:paraId="2E0914A7">
      <w:pPr>
        <w:tabs>
          <w:tab w:val="left" w:pos="1800"/>
          <w:tab w:val="left" w:pos="5580"/>
        </w:tabs>
        <w:jc w:val="left"/>
        <w:rPr>
          <w:rFonts w:hint="eastAsia" w:ascii="宋体" w:hAnsi="宋体"/>
          <w:color w:val="000000"/>
          <w:sz w:val="24"/>
          <w:highlight w:val="none"/>
        </w:rPr>
      </w:pPr>
      <w:r>
        <w:rPr>
          <w:rFonts w:hint="eastAsia" w:ascii="宋体" w:hAnsi="宋体"/>
          <w:color w:val="000000"/>
          <w:sz w:val="24"/>
          <w:highlight w:val="none"/>
          <w:lang w:val="en-US" w:eastAsia="zh-CN"/>
        </w:rPr>
        <w:t>14</w:t>
      </w:r>
      <w:r>
        <w:rPr>
          <w:rFonts w:ascii="宋体" w:hAnsi="宋体"/>
          <w:color w:val="000000"/>
          <w:sz w:val="24"/>
          <w:highlight w:val="none"/>
        </w:rPr>
        <w:t>-1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3150D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D6A13CD">
            <w:pPr>
              <w:pStyle w:val="246"/>
              <w:jc w:val="center"/>
              <w:rPr>
                <w:rFonts w:hint="eastAsia" w:cs="Times New Roman" w:eastAsiaTheme="minorEastAsia"/>
                <w:sz w:val="24"/>
                <w:highlight w:val="none"/>
              </w:rPr>
            </w:pPr>
            <w:r>
              <w:rPr>
                <w:rFonts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59865DBD">
            <w:pPr>
              <w:pStyle w:val="246"/>
              <w:jc w:val="center"/>
              <w:rPr>
                <w:rFonts w:hint="eastAsia" w:cs="Times New Roman" w:eastAsiaTheme="minorEastAsia"/>
                <w:sz w:val="24"/>
                <w:highlight w:val="none"/>
              </w:rPr>
            </w:pPr>
            <w:r>
              <w:rPr>
                <w:rFonts w:cs="Times New Roman" w:eastAsiaTheme="minorEastAsia"/>
                <w:sz w:val="24"/>
                <w:highlight w:val="none"/>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12C6F354">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分包承担主体类型</w:t>
            </w:r>
          </w:p>
          <w:p w14:paraId="7571A4EB">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23D0CF8C">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拟分包合同金额</w:t>
            </w:r>
          </w:p>
          <w:p w14:paraId="1CB6F139">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（人民币元）</w:t>
            </w:r>
          </w:p>
        </w:tc>
      </w:tr>
      <w:tr w14:paraId="3903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41A839">
            <w:pPr>
              <w:pStyle w:val="246"/>
              <w:jc w:val="center"/>
              <w:rPr>
                <w:rFonts w:hint="eastAsia" w:cs="Times New Roman" w:eastAsiaTheme="minorEastAsia"/>
                <w:sz w:val="24"/>
                <w:highlight w:val="none"/>
              </w:rPr>
            </w:pPr>
            <w:r>
              <w:rPr>
                <w:rFonts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42DF3D44">
            <w:pPr>
              <w:pStyle w:val="246"/>
              <w:jc w:val="center"/>
              <w:rPr>
                <w:rFonts w:hint="eastAsia"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93E3A24">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□中型企业</w:t>
            </w:r>
          </w:p>
          <w:p w14:paraId="334921CA">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□小微企业</w:t>
            </w:r>
          </w:p>
          <w:p w14:paraId="17A20A64">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E756729">
            <w:pPr>
              <w:pStyle w:val="246"/>
              <w:jc w:val="center"/>
              <w:rPr>
                <w:rFonts w:hint="eastAsia" w:cs="Times New Roman" w:eastAsiaTheme="minorEastAsia"/>
                <w:sz w:val="30"/>
                <w:highlight w:val="none"/>
                <w:lang w:eastAsia="zh-CN"/>
              </w:rPr>
            </w:pPr>
          </w:p>
        </w:tc>
      </w:tr>
      <w:tr w14:paraId="34E2D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6CC074">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77200E69">
            <w:pPr>
              <w:pStyle w:val="246"/>
              <w:jc w:val="center"/>
              <w:rPr>
                <w:rFonts w:hint="eastAsia"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3D5BE0B">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□中型企业</w:t>
            </w:r>
          </w:p>
          <w:p w14:paraId="59E8750D">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□小微企业</w:t>
            </w:r>
          </w:p>
          <w:p w14:paraId="45DF5162">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341F864">
            <w:pPr>
              <w:pStyle w:val="246"/>
              <w:jc w:val="center"/>
              <w:rPr>
                <w:rFonts w:hint="eastAsia" w:cs="Times New Roman" w:eastAsiaTheme="minorEastAsia"/>
                <w:sz w:val="30"/>
                <w:highlight w:val="none"/>
                <w:lang w:eastAsia="zh-CN"/>
              </w:rPr>
            </w:pPr>
          </w:p>
        </w:tc>
      </w:tr>
      <w:tr w14:paraId="26DD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0639C0">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4FE27914">
            <w:pPr>
              <w:pStyle w:val="246"/>
              <w:jc w:val="center"/>
              <w:rPr>
                <w:rFonts w:hint="eastAsia"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E4BD7B2">
            <w:pPr>
              <w:pStyle w:val="246"/>
              <w:tabs>
                <w:tab w:val="left" w:pos="235"/>
              </w:tabs>
              <w:jc w:val="center"/>
              <w:rPr>
                <w:rFonts w:hint="eastAsia"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E9EA2EC">
            <w:pPr>
              <w:pStyle w:val="246"/>
              <w:jc w:val="center"/>
              <w:rPr>
                <w:rFonts w:hint="eastAsia" w:cs="Times New Roman" w:eastAsiaTheme="minorEastAsia"/>
                <w:sz w:val="30"/>
                <w:highlight w:val="none"/>
              </w:rPr>
            </w:pPr>
          </w:p>
        </w:tc>
      </w:tr>
      <w:tr w14:paraId="47A77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1167429">
            <w:pPr>
              <w:pStyle w:val="246"/>
              <w:tabs>
                <w:tab w:val="left" w:pos="235"/>
              </w:tabs>
              <w:jc w:val="center"/>
              <w:rPr>
                <w:rFonts w:hint="eastAsia" w:cs="Times New Roman" w:eastAsiaTheme="minorEastAsia"/>
                <w:sz w:val="24"/>
                <w:highlight w:val="none"/>
                <w:lang w:eastAsia="zh-CN"/>
              </w:rPr>
            </w:pPr>
            <w:r>
              <w:rPr>
                <w:rFonts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2572FED8">
            <w:pPr>
              <w:pStyle w:val="246"/>
              <w:jc w:val="center"/>
              <w:rPr>
                <w:rFonts w:hint="eastAsia" w:cs="Times New Roman" w:eastAsiaTheme="minorEastAsia"/>
                <w:sz w:val="30"/>
                <w:highlight w:val="none"/>
              </w:rPr>
            </w:pPr>
          </w:p>
        </w:tc>
      </w:tr>
    </w:tbl>
    <w:p w14:paraId="7E637CDA">
      <w:pPr>
        <w:tabs>
          <w:tab w:val="left" w:pos="1800"/>
          <w:tab w:val="left" w:pos="5580"/>
        </w:tabs>
        <w:jc w:val="left"/>
        <w:rPr>
          <w:rFonts w:hint="eastAsia" w:ascii="宋体" w:hAnsi="宋体"/>
          <w:color w:val="000000"/>
          <w:sz w:val="24"/>
          <w:highlight w:val="none"/>
        </w:rPr>
      </w:pPr>
    </w:p>
    <w:p w14:paraId="49B9B826">
      <w:pPr>
        <w:tabs>
          <w:tab w:val="left" w:pos="1800"/>
          <w:tab w:val="left" w:pos="5580"/>
        </w:tabs>
        <w:jc w:val="left"/>
        <w:rPr>
          <w:rFonts w:hint="eastAsia"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lang w:val="en-US" w:eastAsia="zh-CN"/>
        </w:rPr>
        <w:t>4</w:t>
      </w:r>
      <w:r>
        <w:rPr>
          <w:rFonts w:ascii="宋体" w:hAnsi="宋体"/>
          <w:color w:val="000000"/>
          <w:sz w:val="24"/>
          <w:highlight w:val="none"/>
        </w:rPr>
        <w:t>-2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2BC84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4DA5481">
            <w:pPr>
              <w:pStyle w:val="246"/>
              <w:jc w:val="center"/>
              <w:rPr>
                <w:rFonts w:hint="eastAsia" w:cs="Times New Roman" w:eastAsiaTheme="minorEastAsia"/>
                <w:sz w:val="24"/>
                <w:highlight w:val="none"/>
              </w:rPr>
            </w:pPr>
            <w:r>
              <w:rPr>
                <w:rFonts w:cs="Times New Roman" w:eastAsiaTheme="minorEastAsia"/>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76E8DCBC">
            <w:pPr>
              <w:pStyle w:val="246"/>
              <w:jc w:val="center"/>
              <w:rPr>
                <w:rFonts w:hint="eastAsia" w:cs="Times New Roman" w:eastAsiaTheme="minorEastAsia"/>
                <w:sz w:val="24"/>
                <w:highlight w:val="none"/>
              </w:rPr>
            </w:pPr>
            <w:r>
              <w:rPr>
                <w:rFonts w:cs="Times New Roman" w:eastAsiaTheme="minorEastAsia"/>
                <w:sz w:val="24"/>
                <w:highlight w:val="none"/>
                <w:lang w:eastAsia="zh-CN"/>
              </w:rPr>
              <w:t>联合体成员</w:t>
            </w:r>
            <w:r>
              <w:rPr>
                <w:rFonts w:cs="Times New Roman" w:eastAsiaTheme="minorEastAsia"/>
                <w:sz w:val="24"/>
                <w:highlight w:val="none"/>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5E690C82">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联合体成员类型</w:t>
            </w:r>
          </w:p>
          <w:p w14:paraId="7F11CCEF">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8EFFABC">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合同金额</w:t>
            </w:r>
          </w:p>
          <w:p w14:paraId="5972FFB2">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（人民币元）</w:t>
            </w:r>
          </w:p>
        </w:tc>
      </w:tr>
      <w:tr w14:paraId="36672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CE97DA0">
            <w:pPr>
              <w:pStyle w:val="246"/>
              <w:jc w:val="center"/>
              <w:rPr>
                <w:rFonts w:hint="eastAsia" w:cs="Times New Roman" w:eastAsiaTheme="minorEastAsia"/>
                <w:sz w:val="24"/>
                <w:highlight w:val="none"/>
              </w:rPr>
            </w:pPr>
            <w:r>
              <w:rPr>
                <w:rFonts w:cs="Times New Roman" w:eastAsiaTheme="minorEastAsia"/>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64853758">
            <w:pPr>
              <w:pStyle w:val="246"/>
              <w:jc w:val="center"/>
              <w:rPr>
                <w:rFonts w:hint="eastAsia"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5A90B1A">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□中型企业</w:t>
            </w:r>
          </w:p>
          <w:p w14:paraId="211BC003">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□小微企业</w:t>
            </w:r>
          </w:p>
          <w:p w14:paraId="40A1E538">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1DE35CAE">
            <w:pPr>
              <w:pStyle w:val="246"/>
              <w:jc w:val="center"/>
              <w:rPr>
                <w:rFonts w:hint="eastAsia" w:cs="Times New Roman" w:eastAsiaTheme="minorEastAsia"/>
                <w:sz w:val="30"/>
                <w:highlight w:val="none"/>
                <w:lang w:eastAsia="zh-CN"/>
              </w:rPr>
            </w:pPr>
          </w:p>
        </w:tc>
      </w:tr>
      <w:tr w14:paraId="7698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9D60C9">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4396BD6F">
            <w:pPr>
              <w:pStyle w:val="246"/>
              <w:jc w:val="center"/>
              <w:rPr>
                <w:rFonts w:hint="eastAsia"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8EE30EE">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□中型企业</w:t>
            </w:r>
          </w:p>
          <w:p w14:paraId="34D7D9A0">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□小微企业</w:t>
            </w:r>
          </w:p>
          <w:p w14:paraId="57C4ADAF">
            <w:pPr>
              <w:pStyle w:val="246"/>
              <w:tabs>
                <w:tab w:val="left" w:pos="235"/>
              </w:tabs>
              <w:ind w:left="1" w:leftChars="-43" w:hanging="91" w:hangingChars="38"/>
              <w:jc w:val="center"/>
              <w:rPr>
                <w:rFonts w:hint="eastAsia" w:cs="Times New Roman" w:eastAsiaTheme="minorEastAsia"/>
                <w:sz w:val="24"/>
                <w:highlight w:val="none"/>
                <w:lang w:eastAsia="zh-CN"/>
              </w:rPr>
            </w:pPr>
            <w:r>
              <w:rPr>
                <w:rFonts w:cs="Times New Roman" w:eastAsiaTheme="minorEastAsia"/>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F47F542">
            <w:pPr>
              <w:pStyle w:val="246"/>
              <w:jc w:val="center"/>
              <w:rPr>
                <w:rFonts w:hint="eastAsia" w:cs="Times New Roman" w:eastAsiaTheme="minorEastAsia"/>
                <w:sz w:val="30"/>
                <w:highlight w:val="none"/>
                <w:lang w:eastAsia="zh-CN"/>
              </w:rPr>
            </w:pPr>
          </w:p>
        </w:tc>
      </w:tr>
      <w:tr w14:paraId="43DE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623D33">
            <w:pPr>
              <w:pStyle w:val="246"/>
              <w:jc w:val="center"/>
              <w:rPr>
                <w:rFonts w:hint="eastAsia" w:cs="Times New Roman" w:eastAsiaTheme="minorEastAsia"/>
                <w:sz w:val="24"/>
                <w:highlight w:val="none"/>
                <w:lang w:eastAsia="zh-CN"/>
              </w:rPr>
            </w:pPr>
            <w:r>
              <w:rPr>
                <w:rFonts w:cs="Times New Roman" w:eastAsiaTheme="minorEastAsia"/>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4BD2A1AC">
            <w:pPr>
              <w:pStyle w:val="246"/>
              <w:jc w:val="center"/>
              <w:rPr>
                <w:rFonts w:hint="eastAsia" w:cs="Times New Roman" w:eastAsiaTheme="minorEastAsia"/>
                <w:sz w:val="30"/>
                <w:highlight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6A911CA6">
            <w:pPr>
              <w:pStyle w:val="246"/>
              <w:tabs>
                <w:tab w:val="left" w:pos="235"/>
              </w:tabs>
              <w:jc w:val="center"/>
              <w:rPr>
                <w:rFonts w:hint="eastAsia" w:cs="Times New Roman" w:eastAsiaTheme="minorEastAsia"/>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C04EBFD">
            <w:pPr>
              <w:pStyle w:val="246"/>
              <w:jc w:val="center"/>
              <w:rPr>
                <w:rFonts w:hint="eastAsia" w:cs="Times New Roman" w:eastAsiaTheme="minorEastAsia"/>
                <w:sz w:val="30"/>
                <w:highlight w:val="none"/>
              </w:rPr>
            </w:pPr>
          </w:p>
        </w:tc>
      </w:tr>
      <w:tr w14:paraId="0D0EB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3BA5D466">
            <w:pPr>
              <w:pStyle w:val="246"/>
              <w:tabs>
                <w:tab w:val="left" w:pos="235"/>
              </w:tabs>
              <w:jc w:val="center"/>
              <w:rPr>
                <w:rFonts w:hint="eastAsia" w:cs="Times New Roman" w:eastAsiaTheme="minorEastAsia"/>
                <w:sz w:val="24"/>
                <w:highlight w:val="none"/>
                <w:lang w:eastAsia="zh-CN"/>
              </w:rPr>
            </w:pPr>
            <w:r>
              <w:rPr>
                <w:rFonts w:cs="Times New Roman" w:eastAsiaTheme="minorEastAsia"/>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63D21223">
            <w:pPr>
              <w:pStyle w:val="246"/>
              <w:jc w:val="center"/>
              <w:rPr>
                <w:rFonts w:hint="eastAsia" w:cs="Times New Roman" w:eastAsiaTheme="minorEastAsia"/>
                <w:sz w:val="30"/>
                <w:highlight w:val="none"/>
              </w:rPr>
            </w:pPr>
          </w:p>
        </w:tc>
      </w:tr>
    </w:tbl>
    <w:p w14:paraId="083693F7">
      <w:pPr>
        <w:tabs>
          <w:tab w:val="left" w:pos="1800"/>
          <w:tab w:val="left" w:pos="5580"/>
        </w:tabs>
        <w:jc w:val="left"/>
        <w:rPr>
          <w:rFonts w:hint="eastAsia" w:ascii="宋体" w:hAnsi="宋体"/>
          <w:color w:val="000000"/>
          <w:sz w:val="24"/>
          <w:highlight w:val="none"/>
        </w:rPr>
      </w:pPr>
    </w:p>
    <w:p w14:paraId="30D71DE8">
      <w:pPr>
        <w:tabs>
          <w:tab w:val="left" w:pos="1800"/>
          <w:tab w:val="left" w:pos="5580"/>
        </w:tabs>
        <w:jc w:val="left"/>
        <w:rPr>
          <w:rFonts w:hint="eastAsia" w:ascii="宋体" w:hAnsi="宋体"/>
          <w:color w:val="000000"/>
          <w:sz w:val="24"/>
          <w:highlight w:val="none"/>
        </w:rPr>
      </w:pPr>
    </w:p>
    <w:p w14:paraId="47A32971">
      <w:pPr>
        <w:tabs>
          <w:tab w:val="left" w:pos="1800"/>
          <w:tab w:val="left" w:pos="5580"/>
        </w:tabs>
        <w:jc w:val="left"/>
        <w:rPr>
          <w:rFonts w:hint="eastAsia" w:ascii="宋体" w:hAnsi="宋体"/>
          <w:sz w:val="24"/>
          <w:highlight w:val="none"/>
        </w:rPr>
      </w:pPr>
      <w:r>
        <w:rPr>
          <w:rFonts w:ascii="宋体" w:hAnsi="宋体"/>
          <w:color w:val="000000"/>
          <w:sz w:val="24"/>
          <w:highlight w:val="none"/>
        </w:rPr>
        <w:t xml:space="preserve">注： </w:t>
      </w:r>
    </w:p>
    <w:p w14:paraId="5979BDEC">
      <w:pPr>
        <w:tabs>
          <w:tab w:val="left" w:pos="1800"/>
          <w:tab w:val="left" w:pos="5580"/>
        </w:tabs>
        <w:jc w:val="left"/>
        <w:rPr>
          <w:rFonts w:hint="eastAsia" w:ascii="宋体" w:hAnsi="宋体"/>
          <w:color w:val="000000"/>
          <w:sz w:val="24"/>
          <w:highlight w:val="none"/>
        </w:rPr>
      </w:pPr>
      <w:r>
        <w:rPr>
          <w:rFonts w:ascii="宋体" w:hAnsi="宋体"/>
          <w:sz w:val="24"/>
          <w:highlight w:val="none"/>
        </w:rPr>
        <w:t>1.</w:t>
      </w:r>
      <w:r>
        <w:rPr>
          <w:rFonts w:hint="eastAsia" w:ascii="宋体" w:hAnsi="宋体"/>
          <w:sz w:val="24"/>
          <w:highlight w:val="none"/>
        </w:rPr>
        <w:t xml:space="preserve"> </w:t>
      </w:r>
      <w:bookmarkStart w:id="2522" w:name="_Hlk176775226"/>
      <w:r>
        <w:rPr>
          <w:rFonts w:hint="eastAsia" w:ascii="宋体" w:hAnsi="宋体"/>
          <w:sz w:val="24"/>
          <w:highlight w:val="none"/>
        </w:rPr>
        <w:t>如供应商为联合体或拟进行合同分包，则必须选择一种表格填报，否则</w:t>
      </w:r>
      <w:r>
        <w:rPr>
          <w:rFonts w:hint="eastAsia" w:ascii="宋体" w:hAnsi="宋体"/>
          <w:b/>
          <w:bCs/>
          <w:sz w:val="24"/>
          <w:highlight w:val="none"/>
        </w:rPr>
        <w:t>响应无效</w:t>
      </w:r>
      <w:bookmarkEnd w:id="2522"/>
      <w:r>
        <w:rPr>
          <w:rFonts w:hint="eastAsia" w:ascii="宋体" w:hAnsi="宋体"/>
          <w:sz w:val="24"/>
          <w:highlight w:val="none"/>
        </w:rPr>
        <w:t>。</w:t>
      </w:r>
    </w:p>
    <w:p w14:paraId="2E77F9D3">
      <w:pPr>
        <w:tabs>
          <w:tab w:val="left" w:pos="1800"/>
          <w:tab w:val="left" w:pos="5580"/>
        </w:tabs>
        <w:ind w:firstLine="480" w:firstLineChars="200"/>
        <w:jc w:val="left"/>
        <w:rPr>
          <w:rFonts w:hint="eastAsia" w:ascii="宋体" w:hAnsi="宋体"/>
          <w:color w:val="000000"/>
          <w:sz w:val="24"/>
          <w:highlight w:val="none"/>
        </w:rPr>
      </w:pPr>
      <w:r>
        <w:rPr>
          <w:rFonts w:ascii="宋体" w:hAnsi="宋体"/>
          <w:color w:val="000000"/>
          <w:sz w:val="24"/>
          <w:highlight w:val="none"/>
        </w:rPr>
        <w:t>2.本表应按包分别填写。</w:t>
      </w:r>
    </w:p>
    <w:p w14:paraId="4BB7ED7E">
      <w:pPr>
        <w:tabs>
          <w:tab w:val="left" w:pos="1800"/>
          <w:tab w:val="left" w:pos="5580"/>
        </w:tabs>
        <w:ind w:firstLine="480" w:firstLineChars="200"/>
        <w:jc w:val="left"/>
        <w:rPr>
          <w:rFonts w:hint="eastAsia" w:ascii="宋体" w:hAnsi="宋体"/>
          <w:sz w:val="24"/>
          <w:highlight w:val="none"/>
        </w:rPr>
      </w:pPr>
      <w:r>
        <w:rPr>
          <w:rFonts w:ascii="宋体" w:hAnsi="宋体"/>
          <w:color w:val="000000"/>
          <w:sz w:val="24"/>
          <w:highlight w:val="none"/>
        </w:rPr>
        <w:t>3</w:t>
      </w:r>
      <w:r>
        <w:rPr>
          <w:rFonts w:ascii="宋体" w:hAnsi="宋体"/>
          <w:sz w:val="24"/>
          <w:highlight w:val="none"/>
        </w:rPr>
        <w:t>.此表无需在响应文件中提交，磋商后供应商按磋商小组要求提交。</w:t>
      </w:r>
    </w:p>
    <w:p w14:paraId="6A1ECC71">
      <w:pPr>
        <w:tabs>
          <w:tab w:val="left" w:pos="1800"/>
          <w:tab w:val="left" w:pos="5580"/>
        </w:tabs>
        <w:jc w:val="left"/>
        <w:rPr>
          <w:rFonts w:hint="eastAsia" w:ascii="宋体" w:hAnsi="宋体"/>
          <w:color w:val="000000"/>
          <w:sz w:val="24"/>
          <w:highlight w:val="none"/>
        </w:rPr>
      </w:pPr>
    </w:p>
    <w:p w14:paraId="3A960ACE">
      <w:pPr>
        <w:autoSpaceDE w:val="0"/>
        <w:autoSpaceDN w:val="0"/>
        <w:adjustRightInd w:val="0"/>
        <w:snapToGrid w:val="0"/>
        <w:spacing w:before="25" w:after="25" w:line="360" w:lineRule="auto"/>
        <w:rPr>
          <w:rFonts w:hint="eastAsia" w:ascii="宋体" w:hAnsi="宋体"/>
          <w:color w:val="000000"/>
          <w:sz w:val="24"/>
          <w:highlight w:val="none"/>
          <w:lang w:val="zh-CN"/>
        </w:rPr>
      </w:pPr>
      <w:r>
        <w:rPr>
          <w:rFonts w:ascii="宋体" w:hAnsi="宋体"/>
          <w:kern w:val="0"/>
          <w:sz w:val="24"/>
          <w:highlight w:val="none"/>
        </w:rPr>
        <w:t>供应商授权代表签字（或加盖供应商公章）</w:t>
      </w:r>
      <w:r>
        <w:rPr>
          <w:rFonts w:ascii="宋体" w:hAnsi="宋体"/>
          <w:color w:val="000000"/>
          <w:sz w:val="24"/>
          <w:highlight w:val="none"/>
          <w:lang w:val="zh-CN"/>
        </w:rPr>
        <w:t xml:space="preserve">：____________ </w:t>
      </w:r>
    </w:p>
    <w:p w14:paraId="29294F10">
      <w:pPr>
        <w:autoSpaceDE w:val="0"/>
        <w:autoSpaceDN w:val="0"/>
        <w:adjustRightInd w:val="0"/>
        <w:snapToGrid w:val="0"/>
        <w:spacing w:before="25" w:after="25" w:line="360" w:lineRule="auto"/>
        <w:rPr>
          <w:rFonts w:hint="eastAsia" w:ascii="宋体" w:hAnsi="宋体"/>
          <w:color w:val="000000"/>
          <w:sz w:val="24"/>
          <w:highlight w:val="none"/>
        </w:rPr>
      </w:pPr>
      <w:r>
        <w:rPr>
          <w:rFonts w:ascii="宋体" w:hAnsi="宋体"/>
          <w:color w:val="000000"/>
          <w:sz w:val="24"/>
          <w:szCs w:val="20"/>
          <w:highlight w:val="none"/>
        </w:rPr>
        <w:t xml:space="preserve">日期：____年____月____日   </w:t>
      </w:r>
    </w:p>
    <w:p w14:paraId="30CAE491">
      <w:pPr>
        <w:tabs>
          <w:tab w:val="left" w:pos="1800"/>
          <w:tab w:val="left" w:pos="5580"/>
        </w:tabs>
        <w:jc w:val="left"/>
        <w:rPr>
          <w:rFonts w:hint="eastAsia" w:ascii="宋体" w:hAnsi="宋体"/>
          <w:color w:val="000000"/>
          <w:sz w:val="24"/>
          <w:highlight w:val="none"/>
        </w:rPr>
      </w:pPr>
    </w:p>
    <w:sectPr>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46F2">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600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4CE2CE3">
    <w:pPr>
      <w:pStyle w:val="28"/>
      <w:ind w:right="360"/>
    </w:pPr>
  </w:p>
  <w:p w14:paraId="149CBE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1DBE">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4F70">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6B02F89">
    <w:pPr>
      <w:pStyle w:val="28"/>
      <w:ind w:right="360"/>
    </w:pPr>
  </w:p>
  <w:p w14:paraId="601C8F4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159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AA52">
    <w:pPr>
      <w:pStyle w:val="28"/>
      <w:framePr w:wrap="around" w:vAnchor="text" w:hAnchor="margin" w:xAlign="center" w:y="1"/>
      <w:rPr>
        <w:rStyle w:val="47"/>
      </w:rPr>
    </w:pPr>
    <w:r>
      <w:fldChar w:fldCharType="begin"/>
    </w:r>
    <w:r>
      <w:rPr>
        <w:rStyle w:val="47"/>
      </w:rPr>
      <w:instrText xml:space="preserve">PAGE  </w:instrText>
    </w:r>
    <w:r>
      <w:fldChar w:fldCharType="end"/>
    </w:r>
  </w:p>
  <w:p w14:paraId="6C25BCCA">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C24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A94B">
    <w:pPr>
      <w:pStyle w:val="28"/>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88148">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B088148">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2367">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9C5F7">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909C5F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67FAF">
    <w:pPr>
      <w:pStyle w:val="28"/>
      <w:spacing w:before="48" w:after="4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FEE01">
                          <w:pPr>
                            <w:pStyle w:val="2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72FEE01">
                    <w:pPr>
                      <w:pStyle w:val="2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820A">
    <w:pPr>
      <w:pStyle w:val="28"/>
      <w:spacing w:before="48" w:after="4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E4BD5">
                          <w:pPr>
                            <w:pStyle w:val="2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1DE4BD5">
                    <w:pPr>
                      <w:pStyle w:val="2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B9A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F7E7C3C">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3F9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835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80C2">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57E0">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FAFD">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92C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7F61">
    <w:pPr>
      <w:pStyle w:val="29"/>
    </w:pPr>
  </w:p>
  <w:p w14:paraId="2E1057D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40E7">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C040">
    <w:pPr>
      <w:pStyle w:val="29"/>
    </w:pPr>
  </w:p>
  <w:p w14:paraId="3955337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5684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12F4C"/>
    <w:multiLevelType w:val="singleLevel"/>
    <w:tmpl w:val="CF612F4C"/>
    <w:lvl w:ilvl="0" w:tentative="0">
      <w:start w:val="4"/>
      <w:numFmt w:val="decimal"/>
      <w:suff w:val="nothing"/>
      <w:lvlText w:val="（%1）"/>
      <w:lvlJc w:val="left"/>
    </w:lvl>
  </w:abstractNum>
  <w:abstractNum w:abstractNumId="1">
    <w:nsid w:val="DBBB8FE4"/>
    <w:multiLevelType w:val="singleLevel"/>
    <w:tmpl w:val="DBBB8FE4"/>
    <w:lvl w:ilvl="0" w:tentative="0">
      <w:start w:val="4"/>
      <w:numFmt w:val="decimal"/>
      <w:suff w:val="nothing"/>
      <w:lvlText w:val="%1）"/>
      <w:lvlJc w:val="left"/>
    </w:lvl>
  </w:abstractNum>
  <w:abstractNum w:abstractNumId="2">
    <w:nsid w:val="E3707ACE"/>
    <w:multiLevelType w:val="multilevel"/>
    <w:tmpl w:val="E3707ACE"/>
    <w:lvl w:ilvl="0" w:tentative="0">
      <w:start w:val="1"/>
      <w:numFmt w:val="decimal"/>
      <w:lvlText w:val="%1."/>
      <w:lvlJc w:val="left"/>
      <w:pPr>
        <w:tabs>
          <w:tab w:val="left" w:pos="312"/>
        </w:tabs>
      </w:pPr>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3">
    <w:nsid w:val="E58A7AC0"/>
    <w:multiLevelType w:val="singleLevel"/>
    <w:tmpl w:val="E58A7AC0"/>
    <w:lvl w:ilvl="0" w:tentative="0">
      <w:start w:val="4"/>
      <w:numFmt w:val="decimal"/>
      <w:suff w:val="nothing"/>
      <w:lvlText w:val="%1）"/>
      <w:lvlJc w:val="left"/>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35E281B"/>
    <w:multiLevelType w:val="multilevel"/>
    <w:tmpl w:val="135E281B"/>
    <w:lvl w:ilvl="0" w:tentative="0">
      <w:start w:val="1"/>
      <w:numFmt w:val="japaneseCounting"/>
      <w:lvlText w:val="%1、"/>
      <w:lvlJc w:val="left"/>
      <w:pPr>
        <w:tabs>
          <w:tab w:val="left" w:pos="900"/>
        </w:tabs>
        <w:ind w:left="900" w:hanging="480"/>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E155DDE"/>
    <w:multiLevelType w:val="multilevel"/>
    <w:tmpl w:val="3E155DDE"/>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3"/>
  </w:num>
  <w:num w:numId="9">
    <w:abstractNumId w:val="10"/>
  </w:num>
  <w:num w:numId="10">
    <w:abstractNumId w:val="15"/>
  </w:num>
  <w:num w:numId="11">
    <w:abstractNumId w:val="4"/>
  </w:num>
  <w:num w:numId="12">
    <w:abstractNumId w:val="13"/>
  </w:num>
  <w:num w:numId="13">
    <w:abstractNumId w:val="2"/>
  </w:num>
  <w:num w:numId="14">
    <w:abstractNumId w:val="0"/>
  </w:num>
  <w:num w:numId="15">
    <w:abstractNumId w:val="17"/>
  </w:num>
  <w:num w:numId="16">
    <w:abstractNumId w:val="14"/>
  </w:num>
  <w:num w:numId="17">
    <w:abstractNumId w:val="16"/>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9D7"/>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2DFC"/>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BAE"/>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986"/>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28"/>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CDA"/>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DB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2B7"/>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A8D"/>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D7"/>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8E46D8"/>
    <w:rsid w:val="051F30AA"/>
    <w:rsid w:val="06411958"/>
    <w:rsid w:val="07716F4D"/>
    <w:rsid w:val="07A066C8"/>
    <w:rsid w:val="07BF65A4"/>
    <w:rsid w:val="0A371FFD"/>
    <w:rsid w:val="0AB71FC2"/>
    <w:rsid w:val="0B660C1A"/>
    <w:rsid w:val="0B9B72EF"/>
    <w:rsid w:val="0D5F4DB5"/>
    <w:rsid w:val="12823991"/>
    <w:rsid w:val="13E332DE"/>
    <w:rsid w:val="141C0520"/>
    <w:rsid w:val="145418AA"/>
    <w:rsid w:val="14553F09"/>
    <w:rsid w:val="14707098"/>
    <w:rsid w:val="1491694F"/>
    <w:rsid w:val="15D76A63"/>
    <w:rsid w:val="15FC2B5C"/>
    <w:rsid w:val="174753BE"/>
    <w:rsid w:val="17F93E0B"/>
    <w:rsid w:val="188A79CB"/>
    <w:rsid w:val="18D67542"/>
    <w:rsid w:val="1A966F2B"/>
    <w:rsid w:val="1C455CA5"/>
    <w:rsid w:val="1D2C69D2"/>
    <w:rsid w:val="1EAC4D8E"/>
    <w:rsid w:val="200F101E"/>
    <w:rsid w:val="239E00B4"/>
    <w:rsid w:val="241850BC"/>
    <w:rsid w:val="251E74A4"/>
    <w:rsid w:val="27843CE5"/>
    <w:rsid w:val="2BD32F65"/>
    <w:rsid w:val="2DFC345F"/>
    <w:rsid w:val="2E9F76C2"/>
    <w:rsid w:val="2FAE247E"/>
    <w:rsid w:val="3142287D"/>
    <w:rsid w:val="32EB653A"/>
    <w:rsid w:val="33194D3D"/>
    <w:rsid w:val="3AD4224F"/>
    <w:rsid w:val="3BCB6780"/>
    <w:rsid w:val="3DAB38B6"/>
    <w:rsid w:val="3E7C0E1E"/>
    <w:rsid w:val="3E862CD1"/>
    <w:rsid w:val="3F9651BD"/>
    <w:rsid w:val="402A6AAC"/>
    <w:rsid w:val="41103449"/>
    <w:rsid w:val="42CD0A98"/>
    <w:rsid w:val="43173997"/>
    <w:rsid w:val="431A0C09"/>
    <w:rsid w:val="443A04B0"/>
    <w:rsid w:val="458657E5"/>
    <w:rsid w:val="46B149CD"/>
    <w:rsid w:val="47161858"/>
    <w:rsid w:val="47A52FE3"/>
    <w:rsid w:val="480E2158"/>
    <w:rsid w:val="4A5E21D9"/>
    <w:rsid w:val="4B65373A"/>
    <w:rsid w:val="4B693428"/>
    <w:rsid w:val="4BC535EC"/>
    <w:rsid w:val="4C651A12"/>
    <w:rsid w:val="4D00163A"/>
    <w:rsid w:val="4F0F5BE3"/>
    <w:rsid w:val="52422029"/>
    <w:rsid w:val="55040901"/>
    <w:rsid w:val="56DF05DE"/>
    <w:rsid w:val="57FC6189"/>
    <w:rsid w:val="5805517D"/>
    <w:rsid w:val="588717F4"/>
    <w:rsid w:val="59C873C6"/>
    <w:rsid w:val="5F073306"/>
    <w:rsid w:val="5F5F73B9"/>
    <w:rsid w:val="60BA3752"/>
    <w:rsid w:val="61850FE5"/>
    <w:rsid w:val="64875941"/>
    <w:rsid w:val="65624D19"/>
    <w:rsid w:val="6838144E"/>
    <w:rsid w:val="68AA7398"/>
    <w:rsid w:val="6B2258A5"/>
    <w:rsid w:val="6C725726"/>
    <w:rsid w:val="6CAD529C"/>
    <w:rsid w:val="6D1B0C22"/>
    <w:rsid w:val="70686ED2"/>
    <w:rsid w:val="71067748"/>
    <w:rsid w:val="72375681"/>
    <w:rsid w:val="73E81A79"/>
    <w:rsid w:val="742C597A"/>
    <w:rsid w:val="755C1F0A"/>
    <w:rsid w:val="76067942"/>
    <w:rsid w:val="7943155F"/>
    <w:rsid w:val="7D0719EC"/>
    <w:rsid w:val="7ECC7663"/>
    <w:rsid w:val="7F217CD1"/>
    <w:rsid w:val="7F4F6123"/>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wmf"/><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134</Pages>
  <Words>12918</Words>
  <Characters>13547</Characters>
  <Lines>96</Lines>
  <Paragraphs>199</Paragraphs>
  <TotalTime>9</TotalTime>
  <ScaleCrop>false</ScaleCrop>
  <LinksUpToDate>false</LinksUpToDate>
  <CharactersWithSpaces>13679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华采招标集团</cp:lastModifiedBy>
  <cp:lastPrinted>2026-01-30T09:20:00Z</cp:lastPrinted>
  <dcterms:modified xsi:type="dcterms:W3CDTF">2026-04-20T07:52:30Z</dcterms:modified>
  <dc:title>政府采购示范文本（2023）</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eyJoZGlkIjoiYTJkZmM3N2ZmN2NiNGYwODU4MzMzNzQ3YzY1NTA2NmEiLCJ1c2VySWQiOiI2MzA1MDE2MDAifQ==</vt:lpwstr>
  </property>
</Properties>
</file>