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3C4761">
      <w:pPr>
        <w:spacing w:before="5"/>
        <w:jc w:val="center"/>
        <w:rPr>
          <w:rFonts w:hint="eastAsia" w:ascii="宋体" w:hAnsi="宋体" w:cs="宋体"/>
          <w:spacing w:val="2"/>
          <w:position w:val="-4"/>
          <w:sz w:val="36"/>
          <w:szCs w:val="36"/>
          <w:u w:val="single"/>
        </w:rPr>
      </w:pPr>
      <w:r>
        <w:drawing>
          <wp:inline distT="0" distB="0" distL="114300" distR="114300">
            <wp:extent cx="5752465" cy="8252460"/>
            <wp:effectExtent l="0" t="0" r="635" b="254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42"/>
                    <a:stretch>
                      <a:fillRect/>
                    </a:stretch>
                  </pic:blipFill>
                  <pic:spPr>
                    <a:xfrm>
                      <a:off x="0" y="0"/>
                      <a:ext cx="5752465" cy="8252460"/>
                    </a:xfrm>
                    <a:prstGeom prst="rect">
                      <a:avLst/>
                    </a:prstGeom>
                    <a:noFill/>
                    <a:ln>
                      <a:noFill/>
                    </a:ln>
                  </pic:spPr>
                </pic:pic>
              </a:graphicData>
            </a:graphic>
          </wp:inline>
        </w:drawing>
      </w:r>
    </w:p>
    <w:p w14:paraId="1F8D63C8">
      <w:pPr>
        <w:spacing w:before="5"/>
        <w:jc w:val="both"/>
        <w:rPr>
          <w:rFonts w:hint="eastAsia" w:ascii="宋体" w:hAnsi="宋体" w:cs="宋体"/>
          <w:spacing w:val="2"/>
          <w:position w:val="-4"/>
          <w:sz w:val="36"/>
          <w:szCs w:val="36"/>
          <w:u w:val="single"/>
        </w:rPr>
      </w:pPr>
    </w:p>
    <w:p w14:paraId="518A0EF8">
      <w:pPr>
        <w:spacing w:before="5"/>
        <w:jc w:val="center"/>
        <w:rPr>
          <w:rFonts w:hint="eastAsia" w:ascii="宋体" w:hAnsi="宋体" w:cs="宋体"/>
          <w:spacing w:val="2"/>
          <w:position w:val="-4"/>
          <w:sz w:val="36"/>
          <w:szCs w:val="36"/>
          <w:u w:val="single"/>
        </w:rPr>
      </w:pPr>
    </w:p>
    <w:p w14:paraId="1A25162D">
      <w:pPr>
        <w:spacing w:line="360" w:lineRule="auto"/>
        <w:jc w:val="center"/>
        <w:outlineLvl w:val="0"/>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目      录</w:t>
      </w:r>
    </w:p>
    <w:p w14:paraId="0422D72B">
      <w:pPr>
        <w:rPr>
          <w:rFonts w:hint="eastAsia" w:ascii="宋体" w:hAnsi="宋体" w:eastAsia="宋体" w:cs="宋体"/>
          <w:color w:val="000000" w:themeColor="text1"/>
          <w14:textFill>
            <w14:solidFill>
              <w14:schemeClr w14:val="tx1"/>
            </w14:solidFill>
          </w14:textFill>
        </w:rPr>
      </w:pPr>
    </w:p>
    <w:p w14:paraId="29DA552C">
      <w:pPr>
        <w:rPr>
          <w:rFonts w:hint="eastAsia" w:ascii="宋体" w:hAnsi="宋体" w:eastAsia="宋体" w:cs="宋体"/>
          <w:color w:val="000000" w:themeColor="text1"/>
          <w14:textFill>
            <w14:solidFill>
              <w14:schemeClr w14:val="tx1"/>
            </w14:solidFill>
          </w14:textFill>
        </w:rPr>
      </w:pPr>
    </w:p>
    <w:p w14:paraId="01EC761C">
      <w:pPr>
        <w:rPr>
          <w:rFonts w:hint="eastAsia" w:ascii="宋体" w:hAnsi="宋体" w:eastAsia="宋体" w:cs="宋体"/>
          <w:color w:val="000000" w:themeColor="text1"/>
          <w14:textFill>
            <w14:solidFill>
              <w14:schemeClr w14:val="tx1"/>
            </w14:solidFill>
          </w14:textFill>
        </w:rPr>
      </w:pPr>
    </w:p>
    <w:p w14:paraId="430905B2">
      <w:pPr>
        <w:pStyle w:val="30"/>
        <w:spacing w:line="360" w:lineRule="auto"/>
        <w:rPr>
          <w:rFonts w:hint="eastAsia" w:ascii="宋体" w:hAnsi="宋体" w:eastAsia="宋体" w:cs="宋体"/>
          <w:b w:val="0"/>
          <w:color w:val="000000" w:themeColor="text1"/>
          <w:sz w:val="21"/>
          <w:szCs w:val="22"/>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fldChar w:fldCharType="begin"/>
      </w:r>
      <w:r>
        <w:rPr>
          <w:rFonts w:hint="eastAsia" w:ascii="宋体" w:hAnsi="宋体" w:eastAsia="宋体" w:cs="宋体"/>
          <w:b w:val="0"/>
          <w:color w:val="000000" w:themeColor="text1"/>
          <w14:textFill>
            <w14:solidFill>
              <w14:schemeClr w14:val="tx1"/>
            </w14:solidFill>
          </w14:textFill>
        </w:rPr>
        <w:instrText xml:space="preserve"> TOC \o "1-1" \h \z \u </w:instrText>
      </w:r>
      <w:r>
        <w:rPr>
          <w:rFonts w:hint="eastAsia" w:ascii="宋体" w:hAnsi="宋体" w:eastAsia="宋体" w:cs="宋体"/>
          <w:b w:val="0"/>
          <w:color w:val="000000" w:themeColor="text1"/>
          <w14:textFill>
            <w14:solidFill>
              <w14:schemeClr w14:val="tx1"/>
            </w14:solidFill>
          </w14:textFill>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"_Toc97371941" </w:instrText>
      </w:r>
      <w:r>
        <w:rPr>
          <w:rFonts w:hint="eastAsia" w:ascii="宋体" w:hAnsi="宋体" w:eastAsia="宋体" w:cs="宋体"/>
        </w:rPr>
        <w:fldChar w:fldCharType="separate"/>
      </w:r>
      <w:r>
        <w:rPr>
          <w:rStyle w:val="59"/>
          <w:rFonts w:hint="eastAsia" w:ascii="宋体" w:hAnsi="宋体" w:eastAsia="宋体" w:cs="宋体"/>
          <w:color w:val="000000" w:themeColor="text1"/>
          <w14:textFill>
            <w14:solidFill>
              <w14:schemeClr w14:val="tx1"/>
            </w14:solidFill>
          </w14:textFill>
        </w:rPr>
        <w:t>第一章   采购邀请</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_Toc97371941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2140EF47">
      <w:pPr>
        <w:pStyle w:val="30"/>
        <w:spacing w:line="360" w:lineRule="auto"/>
        <w:rPr>
          <w:rFonts w:hint="eastAsia" w:ascii="宋体" w:hAnsi="宋体" w:eastAsia="宋体" w:cs="宋体"/>
          <w:b w:val="0"/>
          <w:color w:val="000000" w:themeColor="text1"/>
          <w:sz w:val="21"/>
          <w:szCs w:val="22"/>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"_Toc97371942" </w:instrText>
      </w:r>
      <w:r>
        <w:rPr>
          <w:rFonts w:hint="eastAsia" w:ascii="宋体" w:hAnsi="宋体" w:eastAsia="宋体" w:cs="宋体"/>
        </w:rPr>
        <w:fldChar w:fldCharType="separate"/>
      </w:r>
      <w:r>
        <w:rPr>
          <w:rStyle w:val="59"/>
          <w:rFonts w:hint="eastAsia" w:ascii="宋体" w:hAnsi="宋体" w:eastAsia="宋体" w:cs="宋体"/>
          <w:color w:val="000000" w:themeColor="text1"/>
          <w14:textFill>
            <w14:solidFill>
              <w14:schemeClr w14:val="tx1"/>
            </w14:solidFill>
          </w14:textFill>
        </w:rPr>
        <w:t>第二章   供应商须知</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_Toc97371942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3C034F7F">
      <w:pPr>
        <w:pStyle w:val="30"/>
        <w:spacing w:line="360" w:lineRule="auto"/>
        <w:rPr>
          <w:rFonts w:hint="eastAsia" w:ascii="宋体" w:hAnsi="宋体" w:eastAsia="宋体" w:cs="宋体"/>
          <w:b w:val="0"/>
          <w:color w:val="000000" w:themeColor="text1"/>
          <w:sz w:val="21"/>
          <w:szCs w:val="22"/>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"_Toc97371943" </w:instrText>
      </w:r>
      <w:r>
        <w:rPr>
          <w:rFonts w:hint="eastAsia" w:ascii="宋体" w:hAnsi="宋体" w:eastAsia="宋体" w:cs="宋体"/>
        </w:rPr>
        <w:fldChar w:fldCharType="separate"/>
      </w:r>
      <w:r>
        <w:rPr>
          <w:rStyle w:val="59"/>
          <w:rFonts w:hint="eastAsia" w:ascii="宋体" w:hAnsi="宋体" w:eastAsia="宋体" w:cs="宋体"/>
          <w:color w:val="000000" w:themeColor="text1"/>
          <w14:textFill>
            <w14:solidFill>
              <w14:schemeClr w14:val="tx1"/>
            </w14:solidFill>
          </w14:textFill>
        </w:rPr>
        <w:t>第三章   评审方法和评审标准</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_Toc97371943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23</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13ECE6A6">
      <w:pPr>
        <w:pStyle w:val="30"/>
        <w:spacing w:line="360" w:lineRule="auto"/>
        <w:rPr>
          <w:rFonts w:hint="eastAsia" w:ascii="宋体" w:hAnsi="宋体" w:eastAsia="宋体" w:cs="宋体"/>
          <w:b w:val="0"/>
          <w:color w:val="000000" w:themeColor="text1"/>
          <w:sz w:val="21"/>
          <w:szCs w:val="22"/>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"_Toc97371945" </w:instrText>
      </w:r>
      <w:r>
        <w:rPr>
          <w:rFonts w:hint="eastAsia" w:ascii="宋体" w:hAnsi="宋体" w:eastAsia="宋体" w:cs="宋体"/>
        </w:rPr>
        <w:fldChar w:fldCharType="separate"/>
      </w:r>
      <w:r>
        <w:rPr>
          <w:rStyle w:val="59"/>
          <w:rFonts w:hint="eastAsia" w:ascii="宋体" w:hAnsi="宋体" w:eastAsia="宋体" w:cs="宋体"/>
          <w:color w:val="000000" w:themeColor="text1"/>
          <w14:textFill>
            <w14:solidFill>
              <w14:schemeClr w14:val="tx1"/>
            </w14:solidFill>
          </w14:textFill>
        </w:rPr>
        <w:t>第四章   采购需求</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_Toc97371945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35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100AD8E6">
      <w:pPr>
        <w:pStyle w:val="30"/>
        <w:spacing w:line="360" w:lineRule="auto"/>
        <w:rPr>
          <w:rFonts w:hint="eastAsia" w:ascii="宋体" w:hAnsi="宋体" w:eastAsia="宋体" w:cs="宋体"/>
          <w:b w:val="0"/>
          <w:color w:val="000000" w:themeColor="text1"/>
          <w:sz w:val="21"/>
          <w:szCs w:val="22"/>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"_Toc97371946" </w:instrText>
      </w:r>
      <w:r>
        <w:rPr>
          <w:rFonts w:hint="eastAsia" w:ascii="宋体" w:hAnsi="宋体" w:eastAsia="宋体" w:cs="宋体"/>
        </w:rPr>
        <w:fldChar w:fldCharType="separate"/>
      </w:r>
      <w:r>
        <w:rPr>
          <w:rStyle w:val="59"/>
          <w:rFonts w:hint="eastAsia" w:ascii="宋体" w:hAnsi="宋体" w:eastAsia="宋体" w:cs="宋体"/>
          <w:color w:val="000000" w:themeColor="text1"/>
          <w14:textFill>
            <w14:solidFill>
              <w14:schemeClr w14:val="tx1"/>
            </w14:solidFill>
          </w14:textFill>
        </w:rPr>
        <w:t>第五章   合同草案条款</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_Toc97371946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49</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2F13A6E3">
      <w:pPr>
        <w:pStyle w:val="30"/>
        <w:spacing w:line="360" w:lineRule="auto"/>
        <w:rPr>
          <w:rFonts w:hint="eastAsia" w:ascii="宋体" w:hAnsi="宋体" w:eastAsia="宋体" w:cs="宋体"/>
          <w:b w:val="0"/>
          <w:color w:val="000000" w:themeColor="text1"/>
          <w:sz w:val="21"/>
          <w:szCs w:val="22"/>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"_Toc97371947" </w:instrText>
      </w:r>
      <w:r>
        <w:rPr>
          <w:rFonts w:hint="eastAsia" w:ascii="宋体" w:hAnsi="宋体" w:eastAsia="宋体" w:cs="宋体"/>
        </w:rPr>
        <w:fldChar w:fldCharType="separate"/>
      </w:r>
      <w:r>
        <w:rPr>
          <w:rStyle w:val="59"/>
          <w:rFonts w:hint="eastAsia" w:ascii="宋体" w:hAnsi="宋体" w:eastAsia="宋体" w:cs="宋体"/>
          <w:color w:val="000000" w:themeColor="text1"/>
          <w14:textFill>
            <w14:solidFill>
              <w14:schemeClr w14:val="tx1"/>
            </w14:solidFill>
          </w14:textFill>
        </w:rPr>
        <w:t>第六章   响应文件格式</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_Toc97371947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51</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50216245">
      <w:pPr>
        <w:pStyle w:val="30"/>
        <w:spacing w:line="480" w:lineRule="auto"/>
        <w:rPr>
          <w:rFonts w:hint="eastAsia"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fldChar w:fldCharType="end"/>
      </w:r>
    </w:p>
    <w:p w14:paraId="43910094">
      <w:pPr>
        <w:rPr>
          <w:rFonts w:hint="eastAsia" w:ascii="宋体" w:hAnsi="宋体" w:eastAsia="宋体" w:cs="宋体"/>
          <w:color w:val="000000" w:themeColor="text1"/>
          <w14:textFill>
            <w14:solidFill>
              <w14:schemeClr w14:val="tx1"/>
            </w14:solidFill>
          </w14:textFill>
        </w:rPr>
      </w:pPr>
    </w:p>
    <w:p w14:paraId="186AE365">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注：采购文件条款中以 “■”形式标记的内容适用于本项目，以“□”形式标记的内容不适用于本项目。</w:t>
      </w:r>
    </w:p>
    <w:p w14:paraId="10E57F51">
      <w:pPr>
        <w:pStyle w:val="30"/>
        <w:spacing w:line="360" w:lineRule="auto"/>
        <w:rPr>
          <w:rFonts w:hint="eastAsia" w:ascii="宋体" w:hAnsi="宋体" w:eastAsia="宋体" w:cs="宋体"/>
          <w:b w:val="0"/>
          <w:color w:val="000000" w:themeColor="text1"/>
          <w14:textFill>
            <w14:solidFill>
              <w14:schemeClr w14:val="tx1"/>
            </w14:solidFill>
          </w14:textFill>
        </w:rPr>
      </w:pPr>
    </w:p>
    <w:p w14:paraId="482DD85F">
      <w:pPr>
        <w:pStyle w:val="30"/>
        <w:spacing w:line="360" w:lineRule="auto"/>
        <w:rPr>
          <w:rFonts w:hint="eastAsia" w:ascii="宋体" w:hAnsi="宋体" w:eastAsia="宋体" w:cs="宋体"/>
          <w:b w:val="0"/>
          <w:color w:val="000000" w:themeColor="text1"/>
          <w:sz w:val="36"/>
          <w:szCs w:val="36"/>
          <w14:textFill>
            <w14:solidFill>
              <w14:schemeClr w14:val="tx1"/>
            </w14:solidFill>
          </w14:textFill>
        </w:rPr>
      </w:pPr>
      <w:bookmarkStart w:id="0" w:name="_Toc97371941"/>
    </w:p>
    <w:p w14:paraId="16973A05">
      <w:pPr>
        <w:spacing w:line="360" w:lineRule="auto"/>
        <w:jc w:val="center"/>
        <w:outlineLvl w:val="0"/>
        <w:rPr>
          <w:rFonts w:hint="eastAsia" w:ascii="宋体" w:hAnsi="宋体" w:eastAsia="宋体" w:cs="宋体"/>
          <w:b/>
          <w:color w:val="000000" w:themeColor="text1"/>
          <w:sz w:val="36"/>
          <w:szCs w:val="36"/>
          <w14:textFill>
            <w14:solidFill>
              <w14:schemeClr w14:val="tx1"/>
            </w14:solidFill>
          </w14:textFill>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fmt="decimal" w:start="1"/>
          <w:cols w:space="720" w:num="1"/>
          <w:titlePg/>
          <w:docGrid w:linePitch="462" w:charSpace="0"/>
        </w:sectPr>
      </w:pPr>
    </w:p>
    <w:p w14:paraId="6C036601">
      <w:pPr>
        <w:spacing w:line="360" w:lineRule="auto"/>
        <w:jc w:val="center"/>
        <w:outlineLvl w:val="0"/>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第一章   采购邀请</w:t>
      </w:r>
      <w:bookmarkEnd w:id="0"/>
      <w:bookmarkStart w:id="1" w:name="_Toc28359002"/>
      <w:bookmarkStart w:id="2" w:name="_Toc35393790"/>
      <w:bookmarkStart w:id="3" w:name="_Toc35393621"/>
      <w:bookmarkStart w:id="4" w:name="_Toc28359079"/>
      <w:bookmarkStart w:id="5" w:name="_Hlk24379207"/>
    </w:p>
    <w:p w14:paraId="5E8356A5">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6B57A956">
      <w:pPr>
        <w:pStyle w:val="3"/>
        <w:spacing w:before="0"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一、项目基本情况</w:t>
      </w:r>
      <w:bookmarkEnd w:id="1"/>
      <w:bookmarkEnd w:id="2"/>
      <w:bookmarkEnd w:id="3"/>
      <w:bookmarkEnd w:id="4"/>
    </w:p>
    <w:p w14:paraId="338DDCD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1.项目编号：</w:t>
      </w:r>
      <w:r>
        <w:rPr>
          <w:rFonts w:hint="eastAsia" w:ascii="宋体" w:hAnsi="宋体" w:cs="宋体"/>
          <w:color w:val="000000" w:themeColor="text1"/>
          <w:sz w:val="24"/>
          <w:u w:val="single"/>
          <w:lang w:eastAsia="zh-CN"/>
          <w14:textFill>
            <w14:solidFill>
              <w14:schemeClr w14:val="tx1"/>
            </w14:solidFill>
          </w14:textFill>
        </w:rPr>
        <w:t>11011826210200013475-XM001</w:t>
      </w:r>
    </w:p>
    <w:p w14:paraId="5347DA1C">
      <w:pPr>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2.项目名称：</w:t>
      </w:r>
      <w:r>
        <w:rPr>
          <w:rFonts w:hint="eastAsia" w:ascii="宋体" w:hAnsi="宋体" w:cs="宋体"/>
          <w:color w:val="000000" w:themeColor="text1"/>
          <w:sz w:val="24"/>
          <w:u w:val="single"/>
          <w:lang w:eastAsia="zh-CN"/>
          <w14:textFill>
            <w14:solidFill>
              <w14:schemeClr w14:val="tx1"/>
            </w14:solidFill>
          </w14:textFill>
        </w:rPr>
        <w:t>密云区太师屯镇民族村基础设施灾后修复及防灾减灾能力提升项目</w:t>
      </w:r>
    </w:p>
    <w:p w14:paraId="5BEE7D66">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3.采购方式：</w:t>
      </w:r>
      <w:r>
        <w:rPr>
          <w:rFonts w:hint="eastAsia" w:ascii="宋体" w:hAnsi="宋体" w:eastAsia="宋体" w:cs="宋体"/>
          <w:color w:val="000000" w:themeColor="text1"/>
          <w:sz w:val="24"/>
          <w:u w:val="single"/>
          <w14:textFill>
            <w14:solidFill>
              <w14:schemeClr w14:val="tx1"/>
            </w14:solidFill>
          </w14:textFill>
        </w:rPr>
        <w:t>竞争性磋商</w:t>
      </w:r>
    </w:p>
    <w:bookmarkEnd w:id="5"/>
    <w:p w14:paraId="1A22EC0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4.项目预算金额：</w:t>
      </w:r>
      <w:r>
        <w:rPr>
          <w:rFonts w:hint="eastAsia" w:ascii="宋体" w:hAnsi="宋体" w:cs="宋体"/>
          <w:color w:val="000000" w:themeColor="text1"/>
          <w:sz w:val="24"/>
          <w:u w:val="single"/>
          <w:lang w:eastAsia="zh-CN"/>
          <w14:textFill>
            <w14:solidFill>
              <w14:schemeClr w14:val="tx1"/>
            </w14:solidFill>
          </w14:textFill>
        </w:rPr>
        <w:t>398.845677</w:t>
      </w:r>
      <w:r>
        <w:rPr>
          <w:rFonts w:hint="eastAsia" w:ascii="宋体" w:hAnsi="宋体" w:eastAsia="宋体" w:cs="宋体"/>
          <w:color w:val="000000" w:themeColor="text1"/>
          <w:sz w:val="24"/>
          <w14:textFill>
            <w14:solidFill>
              <w14:schemeClr w14:val="tx1"/>
            </w14:solidFill>
          </w14:textFill>
        </w:rPr>
        <w:t>万元、项目最高限价（如有）：</w:t>
      </w:r>
      <w:r>
        <w:rPr>
          <w:rFonts w:hint="eastAsia" w:ascii="宋体" w:hAnsi="宋体" w:cs="宋体"/>
          <w:color w:val="000000" w:themeColor="text1"/>
          <w:sz w:val="24"/>
          <w:u w:val="single"/>
          <w:lang w:eastAsia="zh-CN"/>
          <w14:textFill>
            <w14:solidFill>
              <w14:schemeClr w14:val="tx1"/>
            </w14:solidFill>
          </w14:textFill>
        </w:rPr>
        <w:t>398.780015</w:t>
      </w:r>
      <w:r>
        <w:rPr>
          <w:rFonts w:hint="eastAsia" w:ascii="宋体" w:hAnsi="宋体" w:eastAsia="宋体" w:cs="宋体"/>
          <w:color w:val="000000" w:themeColor="text1"/>
          <w:sz w:val="24"/>
          <w14:textFill>
            <w14:solidFill>
              <w14:schemeClr w14:val="tx1"/>
            </w14:solidFill>
          </w14:textFill>
        </w:rPr>
        <w:t>万元</w:t>
      </w:r>
    </w:p>
    <w:p w14:paraId="45E92A01">
      <w:pPr>
        <w:spacing w:line="360" w:lineRule="auto"/>
        <w:ind w:firstLine="480" w:firstLineChars="200"/>
        <w:rPr>
          <w:rFonts w:hint="eastAsia" w:ascii="宋体" w:hAnsi="宋体" w:eastAsia="宋体" w:cs="宋体"/>
          <w:sz w:val="24"/>
        </w:rPr>
      </w:pPr>
      <w:r>
        <w:rPr>
          <w:rFonts w:hint="eastAsia" w:ascii="宋体" w:hAnsi="宋体" w:eastAsia="宋体" w:cs="宋体"/>
          <w:sz w:val="24"/>
        </w:rPr>
        <w:t>5.采购需求：</w:t>
      </w:r>
    </w:p>
    <w:tbl>
      <w:tblPr>
        <w:tblStyle w:val="48"/>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2495"/>
        <w:gridCol w:w="1416"/>
        <w:gridCol w:w="1064"/>
        <w:gridCol w:w="3569"/>
      </w:tblGrid>
      <w:tr w14:paraId="51A7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vAlign w:val="center"/>
          </w:tcPr>
          <w:p w14:paraId="08E93700">
            <w:pPr>
              <w:jc w:val="center"/>
              <w:rPr>
                <w:rFonts w:hint="eastAsia" w:ascii="宋体" w:hAnsi="宋体" w:eastAsia="宋体" w:cs="宋体"/>
                <w:bCs/>
                <w:sz w:val="24"/>
                <w:szCs w:val="24"/>
              </w:rPr>
            </w:pPr>
            <w:r>
              <w:rPr>
                <w:rFonts w:hint="eastAsia" w:ascii="宋体" w:hAnsi="宋体" w:eastAsia="宋体" w:cs="宋体"/>
                <w:bCs/>
                <w:sz w:val="24"/>
                <w:szCs w:val="24"/>
              </w:rPr>
              <w:t>包号</w:t>
            </w:r>
          </w:p>
        </w:tc>
        <w:tc>
          <w:tcPr>
            <w:tcW w:w="1354" w:type="pct"/>
            <w:vAlign w:val="center"/>
          </w:tcPr>
          <w:p w14:paraId="4C38CFF6">
            <w:pPr>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754" w:type="pct"/>
            <w:vAlign w:val="center"/>
          </w:tcPr>
          <w:p w14:paraId="3839CC17">
            <w:pPr>
              <w:jc w:val="center"/>
              <w:rPr>
                <w:rFonts w:hint="eastAsia" w:ascii="宋体" w:hAnsi="宋体" w:eastAsia="宋体" w:cs="宋体"/>
                <w:bCs/>
                <w:sz w:val="24"/>
                <w:szCs w:val="24"/>
              </w:rPr>
            </w:pPr>
            <w:r>
              <w:rPr>
                <w:rFonts w:hint="eastAsia" w:ascii="宋体" w:hAnsi="宋体" w:eastAsia="宋体" w:cs="宋体"/>
                <w:bCs/>
                <w:sz w:val="24"/>
                <w:szCs w:val="24"/>
              </w:rPr>
              <w:t>采购包预算金额</w:t>
            </w:r>
          </w:p>
          <w:p w14:paraId="66ECC0D9">
            <w:pPr>
              <w:jc w:val="center"/>
              <w:rPr>
                <w:rFonts w:hint="eastAsia" w:ascii="宋体" w:hAnsi="宋体" w:eastAsia="宋体" w:cs="宋体"/>
                <w:bCs/>
                <w:sz w:val="24"/>
                <w:szCs w:val="24"/>
              </w:rPr>
            </w:pPr>
            <w:r>
              <w:rPr>
                <w:rFonts w:hint="eastAsia" w:ascii="宋体" w:hAnsi="宋体" w:eastAsia="宋体" w:cs="宋体"/>
                <w:bCs/>
                <w:sz w:val="24"/>
                <w:szCs w:val="24"/>
              </w:rPr>
              <w:t>（万元）</w:t>
            </w:r>
          </w:p>
        </w:tc>
        <w:tc>
          <w:tcPr>
            <w:tcW w:w="579" w:type="pct"/>
            <w:vAlign w:val="center"/>
          </w:tcPr>
          <w:p w14:paraId="62D1176B">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1935" w:type="pct"/>
            <w:vAlign w:val="center"/>
          </w:tcPr>
          <w:p w14:paraId="06071D06">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0884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78" w:type="pct"/>
            <w:vAlign w:val="center"/>
          </w:tcPr>
          <w:p w14:paraId="6EDDCA6C">
            <w:pPr>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1354" w:type="pct"/>
            <w:vAlign w:val="center"/>
          </w:tcPr>
          <w:p w14:paraId="1EA1604E">
            <w:pPr>
              <w:jc w:val="center"/>
              <w:rPr>
                <w:rFonts w:hint="eastAsia" w:ascii="宋体" w:hAnsi="宋体" w:eastAsia="宋体" w:cs="宋体"/>
                <w:bCs/>
                <w:sz w:val="24"/>
                <w:szCs w:val="24"/>
                <w:lang w:eastAsia="zh-CN"/>
              </w:rPr>
            </w:pPr>
            <w:r>
              <w:rPr>
                <w:rFonts w:hint="eastAsia" w:ascii="宋体" w:hAnsi="宋体" w:cs="宋体"/>
                <w:bCs/>
                <w:sz w:val="24"/>
                <w:szCs w:val="24"/>
                <w:lang w:eastAsia="zh-CN"/>
              </w:rPr>
              <w:t>密云区太师屯镇民族村基础设施灾后修复及防灾减灾能力提升项目</w:t>
            </w:r>
          </w:p>
        </w:tc>
        <w:tc>
          <w:tcPr>
            <w:tcW w:w="754" w:type="pct"/>
            <w:vAlign w:val="center"/>
          </w:tcPr>
          <w:p w14:paraId="6F1099BE">
            <w:pPr>
              <w:jc w:val="center"/>
              <w:rPr>
                <w:rFonts w:hint="eastAsia" w:ascii="宋体" w:hAnsi="宋体" w:eastAsia="宋体" w:cs="宋体"/>
                <w:bCs/>
                <w:sz w:val="24"/>
                <w:szCs w:val="24"/>
                <w:lang w:eastAsia="zh-CN"/>
              </w:rPr>
            </w:pPr>
            <w:r>
              <w:rPr>
                <w:rFonts w:hint="eastAsia" w:ascii="宋体" w:hAnsi="宋体" w:cs="宋体"/>
                <w:sz w:val="24"/>
                <w:szCs w:val="24"/>
                <w:lang w:eastAsia="zh-CN"/>
              </w:rPr>
              <w:t>398.845677</w:t>
            </w:r>
          </w:p>
        </w:tc>
        <w:tc>
          <w:tcPr>
            <w:tcW w:w="579" w:type="pct"/>
            <w:vAlign w:val="center"/>
          </w:tcPr>
          <w:p w14:paraId="1C241D78">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935" w:type="pct"/>
            <w:vAlign w:val="center"/>
          </w:tcPr>
          <w:p w14:paraId="1B0474EB">
            <w:pPr>
              <w:jc w:val="center"/>
              <w:rPr>
                <w:rFonts w:hint="eastAsia" w:ascii="宋体" w:hAnsi="宋体" w:eastAsia="宋体" w:cs="宋体"/>
                <w:bCs/>
                <w:sz w:val="24"/>
                <w:szCs w:val="24"/>
                <w:lang w:eastAsia="zh-CN"/>
              </w:rPr>
            </w:pPr>
            <w:r>
              <w:rPr>
                <w:rFonts w:hint="eastAsia" w:ascii="宋体" w:hAnsi="宋体" w:cs="宋体"/>
                <w:bCs/>
                <w:sz w:val="24"/>
                <w:szCs w:val="24"/>
                <w:lang w:eastAsia="zh-CN"/>
              </w:rPr>
              <w:t>密云区太师屯镇民族村基础设施灾后修复及防灾减灾能力提升项目</w:t>
            </w:r>
            <w:r>
              <w:rPr>
                <w:rFonts w:hint="eastAsia" w:ascii="宋体" w:hAnsi="宋体" w:eastAsia="宋体" w:cs="宋体"/>
                <w:bCs/>
                <w:sz w:val="24"/>
                <w:szCs w:val="24"/>
                <w:lang w:eastAsia="zh-CN"/>
              </w:rPr>
              <w:t>清单及图纸范围内全部内容</w:t>
            </w:r>
          </w:p>
        </w:tc>
      </w:tr>
    </w:tbl>
    <w:p w14:paraId="49BDC575">
      <w:pPr>
        <w:spacing w:line="360" w:lineRule="auto"/>
        <w:ind w:firstLine="480" w:firstLineChars="2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bookmarkStart w:id="6" w:name="OLE_LINK3"/>
      <w:r>
        <w:rPr>
          <w:rFonts w:hint="eastAsia" w:ascii="宋体" w:hAnsi="宋体" w:eastAsia="宋体" w:cs="宋体"/>
          <w:color w:val="000000" w:themeColor="text1"/>
          <w:sz w:val="24"/>
          <w:szCs w:val="24"/>
          <w14:textFill>
            <w14:solidFill>
              <w14:schemeClr w14:val="tx1"/>
            </w14:solidFill>
          </w14:textFill>
        </w:rPr>
        <w:t>合同履行期限</w:t>
      </w:r>
      <w:bookmarkEnd w:id="6"/>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68</w:t>
      </w:r>
      <w:r>
        <w:rPr>
          <w:rFonts w:hint="eastAsia" w:ascii="宋体" w:hAnsi="宋体" w:eastAsia="宋体" w:cs="宋体"/>
          <w:color w:val="000000" w:themeColor="text1"/>
          <w:sz w:val="24"/>
          <w:szCs w:val="24"/>
          <w14:textFill>
            <w14:solidFill>
              <w14:schemeClr w14:val="tx1"/>
            </w14:solidFill>
          </w14:textFill>
        </w:rPr>
        <w:t>日历天（计划开工时间：2026年0</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日，计划竣工时间：2026年0</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31</w:t>
      </w:r>
      <w:r>
        <w:rPr>
          <w:rFonts w:hint="eastAsia" w:ascii="宋体" w:hAnsi="宋体" w:eastAsia="宋体" w:cs="宋体"/>
          <w:color w:val="000000" w:themeColor="text1"/>
          <w:sz w:val="24"/>
          <w:szCs w:val="24"/>
          <w14:textFill>
            <w14:solidFill>
              <w14:schemeClr w14:val="tx1"/>
            </w14:solidFill>
          </w14:textFill>
        </w:rPr>
        <w:t>日）</w:t>
      </w:r>
    </w:p>
    <w:p w14:paraId="66A122F4">
      <w:pPr>
        <w:spacing w:line="360" w:lineRule="auto"/>
        <w:ind w:firstLine="480" w:firstLineChars="200"/>
        <w:rPr>
          <w:rFonts w:hint="eastAsia" w:ascii="宋体" w:hAnsi="宋体" w:eastAsia="宋体" w:cs="宋体"/>
          <w:sz w:val="24"/>
        </w:rPr>
      </w:pPr>
      <w:r>
        <w:rPr>
          <w:rFonts w:hint="eastAsia" w:ascii="宋体" w:hAnsi="宋体" w:eastAsia="宋体" w:cs="宋体"/>
          <w:sz w:val="24"/>
        </w:rPr>
        <w:t>7.本项目是否接受联合体：</w:t>
      </w:r>
      <w:r>
        <w:rPr>
          <w:rFonts w:hint="eastAsia" w:ascii="宋体" w:hAnsi="宋体" w:eastAsia="宋体" w:cs="宋体"/>
        </w:rPr>
        <w:t>□</w:t>
      </w:r>
      <w:r>
        <w:rPr>
          <w:rFonts w:hint="eastAsia" w:ascii="宋体" w:hAnsi="宋体" w:eastAsia="宋体" w:cs="宋体"/>
          <w:sz w:val="24"/>
        </w:rPr>
        <w:t>是  ■否。</w:t>
      </w:r>
    </w:p>
    <w:p w14:paraId="45634771">
      <w:pPr>
        <w:pStyle w:val="3"/>
        <w:spacing w:before="0" w:line="360" w:lineRule="auto"/>
        <w:jc w:val="left"/>
        <w:rPr>
          <w:rFonts w:hint="eastAsia" w:ascii="宋体" w:hAnsi="宋体" w:eastAsia="宋体" w:cs="宋体"/>
          <w:sz w:val="24"/>
          <w:szCs w:val="24"/>
        </w:rPr>
      </w:pPr>
      <w:bookmarkStart w:id="7" w:name="_Toc28359080"/>
      <w:bookmarkStart w:id="8" w:name="_Toc28359003"/>
      <w:bookmarkStart w:id="9" w:name="_Toc35393622"/>
      <w:bookmarkStart w:id="10" w:name="_Toc35393791"/>
      <w:r>
        <w:rPr>
          <w:rFonts w:hint="eastAsia" w:ascii="宋体" w:hAnsi="宋体" w:eastAsia="宋体" w:cs="宋体"/>
          <w:sz w:val="24"/>
          <w:szCs w:val="24"/>
        </w:rPr>
        <w:t>二、申请人的资格要求（须同时满足）</w:t>
      </w:r>
      <w:bookmarkEnd w:id="7"/>
      <w:bookmarkEnd w:id="8"/>
      <w:bookmarkEnd w:id="9"/>
      <w:bookmarkEnd w:id="10"/>
    </w:p>
    <w:p w14:paraId="7B326C49">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3DECBC1E">
      <w:pPr>
        <w:spacing w:line="360" w:lineRule="auto"/>
        <w:ind w:firstLine="480" w:firstLineChars="200"/>
        <w:rPr>
          <w:rFonts w:hint="eastAsia" w:ascii="宋体" w:hAnsi="宋体" w:eastAsia="宋体" w:cs="宋体"/>
          <w:sz w:val="24"/>
        </w:rPr>
      </w:pPr>
      <w:bookmarkStart w:id="11" w:name="_Toc28359004"/>
      <w:bookmarkStart w:id="12" w:name="_Toc28359081"/>
      <w:r>
        <w:rPr>
          <w:rFonts w:hint="eastAsia" w:ascii="宋体" w:hAnsi="宋体" w:eastAsia="宋体" w:cs="宋体"/>
          <w:sz w:val="24"/>
        </w:rPr>
        <w:t>2.落实政府采购政策需满足的资格要求：</w:t>
      </w:r>
    </w:p>
    <w:p w14:paraId="79581616">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17CD5635">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■本项目不专门面向中小企业预留采购份额。</w:t>
      </w:r>
    </w:p>
    <w:p w14:paraId="035E9B72">
      <w:pPr>
        <w:spacing w:line="360" w:lineRule="auto"/>
        <w:ind w:firstLine="420" w:firstLineChars="200"/>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 xml:space="preserve">本项目专门面向  </w:t>
      </w:r>
      <w:r>
        <w:rPr>
          <w:rFonts w:hint="eastAsia" w:ascii="宋体" w:hAnsi="宋体" w:eastAsia="宋体" w:cs="宋体"/>
        </w:rPr>
        <w:t>□</w:t>
      </w:r>
      <w:r>
        <w:rPr>
          <w:rFonts w:hint="eastAsia" w:ascii="宋体" w:hAnsi="宋体" w:eastAsia="宋体" w:cs="宋体"/>
          <w:sz w:val="24"/>
        </w:rPr>
        <w:t xml:space="preserve">中小 </w:t>
      </w:r>
      <w:r>
        <w:rPr>
          <w:rFonts w:hint="eastAsia" w:ascii="宋体" w:hAnsi="宋体" w:eastAsia="宋体" w:cs="宋体"/>
        </w:rPr>
        <w:t>□</w:t>
      </w:r>
      <w:r>
        <w:rPr>
          <w:rFonts w:hint="eastAsia" w:ascii="宋体" w:hAnsi="宋体" w:eastAsia="宋体" w:cs="宋体"/>
          <w:sz w:val="24"/>
        </w:rPr>
        <w:t>小微企业  采购。即：提供的货物全部由符合政策要求的中小/小微企业制造、服务全部由符合政策要求的中小/小微企业承接。</w:t>
      </w:r>
    </w:p>
    <w:p w14:paraId="6B1797F9">
      <w:pPr>
        <w:spacing w:line="360" w:lineRule="auto"/>
        <w:ind w:firstLine="420" w:firstLineChars="200"/>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本项目预留部分采购项目预算专门面向中小企业采购。对于预留份额，提供的货物由符合政策要求的中小企业制造、服务由符合政策要求的中小企业承接。预留份额通过以下措施进行：___________。</w:t>
      </w:r>
    </w:p>
    <w:p w14:paraId="1BC05382">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p w14:paraId="28920AFD">
      <w:pPr>
        <w:widowControl/>
        <w:spacing w:line="360" w:lineRule="auto"/>
        <w:ind w:firstLine="480" w:firstLineChars="200"/>
        <w:jc w:val="left"/>
        <w:rPr>
          <w:rFonts w:hint="eastAsia" w:ascii="宋体" w:hAnsi="宋体" w:eastAsia="宋体" w:cs="宋体"/>
        </w:rPr>
      </w:pPr>
      <w:r>
        <w:rPr>
          <w:rFonts w:hint="eastAsia" w:ascii="宋体" w:hAnsi="宋体" w:eastAsia="宋体" w:cs="宋体"/>
          <w:color w:val="000000"/>
          <w:kern w:val="0"/>
          <w:sz w:val="24"/>
          <w:lang w:bidi="ar"/>
        </w:rPr>
        <w:t xml:space="preserve">2.3投标人没有处于被责令停业，财产被接管、冻结，没有处于破产状态； </w:t>
      </w:r>
    </w:p>
    <w:p w14:paraId="6473CD0D">
      <w:pPr>
        <w:widowControl/>
        <w:spacing w:line="360" w:lineRule="auto"/>
        <w:ind w:firstLine="480" w:firstLineChars="200"/>
        <w:jc w:val="left"/>
        <w:rPr>
          <w:rFonts w:hint="eastAsia" w:ascii="宋体" w:hAnsi="宋体" w:eastAsia="宋体" w:cs="宋体"/>
        </w:rPr>
      </w:pPr>
      <w:r>
        <w:rPr>
          <w:rFonts w:hint="eastAsia" w:ascii="宋体" w:hAnsi="宋体" w:eastAsia="宋体" w:cs="宋体"/>
          <w:color w:val="000000"/>
          <w:kern w:val="0"/>
          <w:sz w:val="24"/>
          <w:lang w:bidi="ar"/>
        </w:rPr>
        <w:t xml:space="preserve">2.4投标人的投标资格未被取消，且在最近三年内没有出现骗取中标、严重违约、重大工程质量、安全等问题。 </w:t>
      </w:r>
    </w:p>
    <w:p w14:paraId="06BA6BCD">
      <w:pPr>
        <w:widowControl/>
        <w:spacing w:line="360" w:lineRule="auto"/>
        <w:ind w:firstLine="480" w:firstLineChars="200"/>
        <w:jc w:val="left"/>
        <w:rPr>
          <w:rFonts w:hint="eastAsia" w:ascii="宋体" w:hAnsi="宋体" w:eastAsia="宋体" w:cs="宋体"/>
          <w:i/>
          <w:iCs/>
          <w:sz w:val="24"/>
          <w:u w:val="single"/>
        </w:rPr>
      </w:pPr>
      <w:r>
        <w:rPr>
          <w:rFonts w:hint="eastAsia" w:ascii="宋体" w:hAnsi="宋体" w:eastAsia="宋体" w:cs="宋体"/>
          <w:color w:val="000000"/>
          <w:kern w:val="0"/>
          <w:sz w:val="24"/>
          <w:lang w:bidi="ar"/>
        </w:rPr>
        <w:t>2.5投标人未被“信用中国”网站(www.creditchina.gov.cn)列入“失信被执行人和重大税收违法失信主体”，不得被中国政府采购网（www.ccgp.gov.cn）列入“政府采购严重违法失信行为记录名单”。</w:t>
      </w:r>
    </w:p>
    <w:p w14:paraId="69192A72">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5D2B6775">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3921B957">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rPr>
        <w:t>■否</w:t>
      </w:r>
    </w:p>
    <w:p w14:paraId="0A1F286B">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是，公益一类事业单位、使用事业编制且由财政拨款保障的群团组织，不得作为承接主体；</w:t>
      </w:r>
    </w:p>
    <w:bookmarkEnd w:id="11"/>
    <w:bookmarkEnd w:id="12"/>
    <w:p w14:paraId="5F53B5C3">
      <w:pPr>
        <w:pStyle w:val="17"/>
        <w:spacing w:before="32" w:line="220" w:lineRule="auto"/>
        <w:ind w:left="500"/>
        <w:rPr>
          <w:rFonts w:hint="eastAsia" w:ascii="宋体" w:hAnsi="宋体" w:eastAsia="宋体" w:cs="宋体"/>
        </w:rPr>
      </w:pPr>
      <w:bookmarkStart w:id="13" w:name="_Toc35393623"/>
      <w:bookmarkStart w:id="14" w:name="_Toc35393792"/>
      <w:r>
        <w:rPr>
          <w:rFonts w:hint="eastAsia" w:ascii="宋体" w:hAnsi="宋体" w:eastAsia="宋体" w:cs="宋体"/>
        </w:rPr>
        <w:t>3.2 其他特定资格要求：</w:t>
      </w:r>
    </w:p>
    <w:p w14:paraId="6FD5AAD3">
      <w:pPr>
        <w:pStyle w:val="17"/>
        <w:spacing w:line="400" w:lineRule="exact"/>
        <w:ind w:left="499"/>
        <w:rPr>
          <w:rFonts w:hint="eastAsia" w:ascii="宋体" w:hAnsi="宋体" w:eastAsia="宋体" w:cs="宋体"/>
        </w:rPr>
      </w:pPr>
      <w:bookmarkStart w:id="15" w:name="OLE_LINK7"/>
      <w:r>
        <w:rPr>
          <w:rFonts w:hint="eastAsia" w:ascii="宋体" w:hAnsi="宋体" w:eastAsia="宋体" w:cs="宋体"/>
        </w:rPr>
        <w:t>（1）投标人具备</w:t>
      </w:r>
      <w:r>
        <w:rPr>
          <w:rFonts w:hint="eastAsia" w:ascii="宋体" w:hAnsi="宋体" w:eastAsia="宋体" w:cs="宋体"/>
          <w:lang w:eastAsia="zh-CN"/>
        </w:rPr>
        <w:t>市政公用工程</w:t>
      </w:r>
      <w:r>
        <w:rPr>
          <w:rFonts w:hint="eastAsia" w:ascii="宋体" w:hAnsi="宋体" w:eastAsia="宋体" w:cs="宋体"/>
        </w:rPr>
        <w:t>施工总承包</w:t>
      </w:r>
      <w:r>
        <w:rPr>
          <w:rFonts w:hint="eastAsia" w:ascii="宋体" w:hAnsi="宋体" w:eastAsia="宋体" w:cs="宋体"/>
          <w:lang w:val="en-US" w:eastAsia="zh-CN"/>
        </w:rPr>
        <w:t>叁</w:t>
      </w:r>
      <w:r>
        <w:rPr>
          <w:rFonts w:hint="eastAsia" w:ascii="宋体" w:hAnsi="宋体" w:eastAsia="宋体" w:cs="宋体"/>
        </w:rPr>
        <w:t>级（含）以上资质；</w:t>
      </w:r>
    </w:p>
    <w:p w14:paraId="16F5CCDA">
      <w:pPr>
        <w:pStyle w:val="17"/>
        <w:spacing w:line="400" w:lineRule="exact"/>
        <w:ind w:left="499"/>
        <w:rPr>
          <w:rFonts w:hint="eastAsia" w:ascii="宋体" w:hAnsi="宋体" w:eastAsia="宋体" w:cs="宋体"/>
        </w:rPr>
      </w:pPr>
      <w:r>
        <w:rPr>
          <w:rFonts w:hint="eastAsia" w:ascii="宋体" w:hAnsi="宋体" w:eastAsia="宋体" w:cs="宋体"/>
        </w:rPr>
        <w:t>（2）投标人具备有效的安全生产许可证；</w:t>
      </w:r>
    </w:p>
    <w:p w14:paraId="2EEC115E">
      <w:pPr>
        <w:pStyle w:val="17"/>
        <w:spacing w:line="400" w:lineRule="exact"/>
        <w:ind w:left="499"/>
        <w:rPr>
          <w:rFonts w:hint="eastAsia" w:ascii="宋体" w:hAnsi="宋体" w:eastAsia="宋体" w:cs="宋体"/>
        </w:rPr>
      </w:pPr>
      <w:r>
        <w:rPr>
          <w:rFonts w:hint="eastAsia" w:ascii="宋体" w:hAnsi="宋体" w:eastAsia="宋体" w:cs="宋体"/>
        </w:rPr>
        <w:t>（3）</w:t>
      </w:r>
      <w:bookmarkStart w:id="16" w:name="OLE_LINK45"/>
      <w:r>
        <w:rPr>
          <w:rFonts w:hint="eastAsia" w:ascii="宋体" w:hAnsi="宋体" w:eastAsia="宋体" w:cs="宋体"/>
        </w:rPr>
        <w:t>拟派本项目的项目经理专业要求：受聘于投标人已取得</w:t>
      </w:r>
      <w:r>
        <w:rPr>
          <w:rFonts w:hint="eastAsia" w:ascii="宋体" w:hAnsi="宋体" w:eastAsia="宋体" w:cs="宋体"/>
          <w:u w:val="single"/>
        </w:rPr>
        <w:t xml:space="preserve"> </w:t>
      </w:r>
      <w:r>
        <w:rPr>
          <w:rFonts w:hint="eastAsia" w:ascii="宋体" w:hAnsi="宋体" w:eastAsia="宋体" w:cs="宋体"/>
          <w:u w:val="single"/>
          <w:lang w:eastAsia="zh-CN"/>
        </w:rPr>
        <w:t>市政公用工程</w:t>
      </w:r>
      <w:r>
        <w:rPr>
          <w:rFonts w:hint="eastAsia" w:ascii="宋体" w:hAnsi="宋体" w:eastAsia="宋体" w:cs="宋体"/>
          <w:u w:val="single"/>
        </w:rPr>
        <w:t>专业二级（含二级）</w:t>
      </w:r>
      <w:r>
        <w:rPr>
          <w:rFonts w:hint="eastAsia" w:ascii="宋体" w:hAnsi="宋体" w:eastAsia="宋体" w:cs="宋体"/>
        </w:rPr>
        <w:t>以上建造师注册证书，同时还须提供&lt;安全生产考核合格证书&gt;(简称B本)，且均在有效期内；且在确定中标人时不得担任其他在施建设工程的项目经理</w:t>
      </w:r>
      <w:bookmarkEnd w:id="16"/>
      <w:r>
        <w:rPr>
          <w:rFonts w:hint="eastAsia" w:ascii="宋体" w:hAnsi="宋体" w:eastAsia="宋体" w:cs="宋体"/>
        </w:rPr>
        <w:t>。</w:t>
      </w:r>
    </w:p>
    <w:bookmarkEnd w:id="15"/>
    <w:p w14:paraId="0D56CEDB">
      <w:pPr>
        <w:pStyle w:val="3"/>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三、获取采购文件</w:t>
      </w:r>
      <w:bookmarkEnd w:id="13"/>
      <w:bookmarkEnd w:id="14"/>
    </w:p>
    <w:p w14:paraId="7EE46221">
      <w:pPr>
        <w:adjustRightInd w:val="0"/>
        <w:snapToGrid w:val="0"/>
        <w:spacing w:line="360" w:lineRule="auto"/>
        <w:ind w:firstLine="480" w:firstLineChars="200"/>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1.时间：</w:t>
      </w:r>
      <w:r>
        <w:rPr>
          <w:rFonts w:hint="eastAsia" w:ascii="宋体" w:hAnsi="宋体" w:eastAsia="宋体" w:cs="宋体"/>
          <w:color w:val="000000" w:themeColor="text1"/>
          <w:sz w:val="24"/>
          <w14:textFill>
            <w14:solidFill>
              <w14:schemeClr w14:val="tx1"/>
            </w14:solidFill>
          </w14:textFill>
        </w:rPr>
        <w:t>2026</w:t>
      </w:r>
      <w:r>
        <w:rPr>
          <w:rFonts w:hint="eastAsia" w:ascii="宋体" w:hAnsi="宋体" w:eastAsia="宋体" w:cs="宋体"/>
          <w:color w:val="000000" w:themeColor="text1"/>
          <w:sz w:val="24"/>
          <w:lang w:bidi="ar"/>
          <w14:textFill>
            <w14:solidFill>
              <w14:schemeClr w14:val="tx1"/>
            </w14:solidFill>
          </w14:textFill>
        </w:rPr>
        <w:t>年0</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lang w:bidi="ar"/>
          <w14:textFill>
            <w14:solidFill>
              <w14:schemeClr w14:val="tx1"/>
            </w14:solidFill>
          </w14:textFill>
        </w:rPr>
        <w:t>月</w:t>
      </w:r>
      <w:r>
        <w:rPr>
          <w:rFonts w:hint="eastAsia" w:ascii="宋体" w:hAnsi="宋体" w:cs="宋体"/>
          <w:color w:val="000000" w:themeColor="text1"/>
          <w:sz w:val="24"/>
          <w:lang w:val="en-US" w:eastAsia="zh-CN" w:bidi="ar"/>
          <w14:textFill>
            <w14:solidFill>
              <w14:schemeClr w14:val="tx1"/>
            </w14:solidFill>
          </w14:textFill>
        </w:rPr>
        <w:t>08</w:t>
      </w:r>
      <w:r>
        <w:rPr>
          <w:rFonts w:hint="eastAsia" w:ascii="宋体" w:hAnsi="宋体" w:eastAsia="宋体" w:cs="宋体"/>
          <w:color w:val="000000" w:themeColor="text1"/>
          <w:sz w:val="24"/>
          <w:lang w:bidi="ar"/>
          <w14:textFill>
            <w14:solidFill>
              <w14:schemeClr w14:val="tx1"/>
            </w14:solidFill>
          </w14:textFill>
        </w:rPr>
        <w:t>日至</w:t>
      </w:r>
      <w:r>
        <w:rPr>
          <w:rFonts w:hint="eastAsia" w:ascii="宋体" w:hAnsi="宋体" w:eastAsia="宋体" w:cs="宋体"/>
          <w:color w:val="000000" w:themeColor="text1"/>
          <w:sz w:val="24"/>
          <w14:textFill>
            <w14:solidFill>
              <w14:schemeClr w14:val="tx1"/>
            </w14:solidFill>
          </w14:textFill>
        </w:rPr>
        <w:t>2026</w:t>
      </w:r>
      <w:r>
        <w:rPr>
          <w:rFonts w:hint="eastAsia" w:ascii="宋体" w:hAnsi="宋体" w:eastAsia="宋体" w:cs="宋体"/>
          <w:color w:val="000000" w:themeColor="text1"/>
          <w:sz w:val="24"/>
          <w:lang w:bidi="ar"/>
          <w14:textFill>
            <w14:solidFill>
              <w14:schemeClr w14:val="tx1"/>
            </w14:solidFill>
          </w14:textFill>
        </w:rPr>
        <w:t>年0</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lang w:bidi="ar"/>
          <w14:textFill>
            <w14:solidFill>
              <w14:schemeClr w14:val="tx1"/>
            </w14:solidFill>
          </w14:textFill>
        </w:rPr>
        <w:t>月</w:t>
      </w:r>
      <w:r>
        <w:rPr>
          <w:rFonts w:hint="eastAsia" w:ascii="宋体" w:hAnsi="宋体" w:cs="宋体"/>
          <w:color w:val="000000" w:themeColor="text1"/>
          <w:sz w:val="24"/>
          <w:lang w:val="en-US" w:eastAsia="zh-CN" w:bidi="ar"/>
          <w14:textFill>
            <w14:solidFill>
              <w14:schemeClr w14:val="tx1"/>
            </w14:solidFill>
          </w14:textFill>
        </w:rPr>
        <w:t>13</w:t>
      </w:r>
      <w:r>
        <w:rPr>
          <w:rFonts w:hint="eastAsia" w:ascii="宋体" w:hAnsi="宋体" w:eastAsia="宋体" w:cs="宋体"/>
          <w:color w:val="000000" w:themeColor="text1"/>
          <w:sz w:val="24"/>
          <w:lang w:bidi="ar"/>
          <w14:textFill>
            <w14:solidFill>
              <w14:schemeClr w14:val="tx1"/>
            </w14:solidFill>
          </w14:textFill>
        </w:rPr>
        <w:t>日，每天上午09：00至12:00，下午1</w:t>
      </w:r>
      <w:r>
        <w:rPr>
          <w:rFonts w:hint="eastAsia" w:ascii="宋体" w:hAnsi="宋体" w:cs="宋体"/>
          <w:color w:val="000000" w:themeColor="text1"/>
          <w:sz w:val="24"/>
          <w:lang w:val="en-US" w:eastAsia="zh-CN" w:bidi="ar"/>
          <w14:textFill>
            <w14:solidFill>
              <w14:schemeClr w14:val="tx1"/>
            </w14:solidFill>
          </w14:textFill>
        </w:rPr>
        <w:t>3</w:t>
      </w:r>
      <w:r>
        <w:rPr>
          <w:rFonts w:hint="eastAsia" w:ascii="宋体" w:hAnsi="宋体" w:eastAsia="宋体" w:cs="宋体"/>
          <w:color w:val="000000" w:themeColor="text1"/>
          <w:sz w:val="24"/>
          <w:lang w:bidi="ar"/>
          <w14:textFill>
            <w14:solidFill>
              <w14:schemeClr w14:val="tx1"/>
            </w14:solidFill>
          </w14:textFill>
        </w:rPr>
        <w:t>:00至</w:t>
      </w:r>
      <w:r>
        <w:rPr>
          <w:rFonts w:hint="eastAsia" w:ascii="宋体" w:hAnsi="宋体" w:cs="宋体"/>
          <w:color w:val="000000" w:themeColor="text1"/>
          <w:sz w:val="24"/>
          <w:lang w:val="en-US" w:eastAsia="zh-CN" w:bidi="ar"/>
          <w14:textFill>
            <w14:solidFill>
              <w14:schemeClr w14:val="tx1"/>
            </w14:solidFill>
          </w14:textFill>
        </w:rPr>
        <w:t>16</w:t>
      </w:r>
      <w:r>
        <w:rPr>
          <w:rFonts w:hint="eastAsia" w:ascii="宋体" w:hAnsi="宋体" w:eastAsia="宋体" w:cs="宋体"/>
          <w:color w:val="000000" w:themeColor="text1"/>
          <w:sz w:val="24"/>
          <w:lang w:bidi="ar"/>
          <w14:textFill>
            <w14:solidFill>
              <w14:schemeClr w14:val="tx1"/>
            </w14:solidFill>
          </w14:textFill>
        </w:rPr>
        <w:t>:00（北京时间，法定节假日除外）。</w:t>
      </w:r>
    </w:p>
    <w:p w14:paraId="22495F7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3F822B15">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3.方式：</w:t>
      </w:r>
      <w:bookmarkStart w:id="17" w:name="OLE_LINK39"/>
      <w:r>
        <w:rPr>
          <w:rFonts w:hint="eastAsia" w:ascii="宋体" w:hAnsi="宋体" w:eastAsia="宋体" w:cs="宋体"/>
          <w:sz w:val="24"/>
          <w:lang w:bidi="ar"/>
        </w:rPr>
        <w:t>供应商使用CA数字证书或电子营业执照登录北京市政府采购电子交易平台（http://zbcg-bjzc.zhongcy.com/bjczj-portal-site/index.html#/home）获取电子版竞争性磋商文件。</w:t>
      </w:r>
    </w:p>
    <w:bookmarkEnd w:id="17"/>
    <w:p w14:paraId="026373EE">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4.售价：0元。</w:t>
      </w:r>
    </w:p>
    <w:p w14:paraId="68248F08">
      <w:pPr>
        <w:pStyle w:val="3"/>
        <w:widowControl/>
        <w:spacing w:before="0" w:line="360" w:lineRule="auto"/>
        <w:jc w:val="left"/>
        <w:rPr>
          <w:rFonts w:hint="eastAsia" w:ascii="宋体" w:hAnsi="宋体" w:eastAsia="宋体" w:cs="宋体"/>
          <w:color w:val="000000" w:themeColor="text1"/>
          <w:sz w:val="24"/>
          <w:szCs w:val="24"/>
          <w14:textFill>
            <w14:solidFill>
              <w14:schemeClr w14:val="tx1"/>
            </w14:solidFill>
          </w14:textFill>
        </w:rPr>
      </w:pPr>
      <w:bookmarkStart w:id="18" w:name="_Toc35393624"/>
      <w:bookmarkStart w:id="19" w:name="_Toc28359082"/>
      <w:bookmarkStart w:id="20" w:name="_Toc28359005"/>
      <w:bookmarkStart w:id="21" w:name="_Toc35393793"/>
      <w:r>
        <w:rPr>
          <w:rFonts w:hint="eastAsia" w:ascii="宋体" w:hAnsi="宋体" w:eastAsia="宋体" w:cs="宋体"/>
          <w:color w:val="000000" w:themeColor="text1"/>
          <w:sz w:val="24"/>
          <w:szCs w:val="24"/>
          <w14:textFill>
            <w14:solidFill>
              <w14:schemeClr w14:val="tx1"/>
            </w14:solidFill>
          </w14:textFill>
        </w:rPr>
        <w:t>四、</w:t>
      </w:r>
      <w:bookmarkEnd w:id="18"/>
      <w:bookmarkEnd w:id="19"/>
      <w:bookmarkEnd w:id="20"/>
      <w:bookmarkEnd w:id="21"/>
      <w:r>
        <w:rPr>
          <w:rFonts w:hint="eastAsia" w:ascii="宋体" w:hAnsi="宋体" w:eastAsia="宋体" w:cs="宋体"/>
          <w:color w:val="000000" w:themeColor="text1"/>
          <w:sz w:val="24"/>
          <w:szCs w:val="24"/>
          <w14:textFill>
            <w14:solidFill>
              <w14:schemeClr w14:val="tx1"/>
            </w14:solidFill>
          </w14:textFill>
        </w:rPr>
        <w:t>响应文件提交</w:t>
      </w:r>
    </w:p>
    <w:p w14:paraId="60C9E251">
      <w:pPr>
        <w:spacing w:line="360" w:lineRule="auto"/>
        <w:ind w:firstLine="480" w:firstLineChars="200"/>
        <w:rPr>
          <w:rFonts w:hint="eastAsia"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截止时间：</w:t>
      </w:r>
      <w:r>
        <w:rPr>
          <w:rFonts w:hint="eastAsia" w:ascii="宋体" w:hAnsi="宋体" w:cs="宋体"/>
          <w:color w:val="000000" w:themeColor="text1"/>
          <w:sz w:val="24"/>
          <w:lang w:eastAsia="zh-CN"/>
          <w14:textFill>
            <w14:solidFill>
              <w14:schemeClr w14:val="tx1"/>
            </w14:solidFill>
          </w14:textFill>
        </w:rPr>
        <w:t>2026年05月18日</w:t>
      </w:r>
      <w:r>
        <w:rPr>
          <w:rFonts w:hint="eastAsia" w:ascii="宋体" w:hAnsi="宋体" w:eastAsia="宋体" w:cs="宋体"/>
          <w:color w:val="000000" w:themeColor="text1"/>
          <w:sz w:val="24"/>
          <w:lang w:eastAsia="zh-CN"/>
          <w14:textFill>
            <w14:solidFill>
              <w14:schemeClr w14:val="tx1"/>
            </w14:solidFill>
          </w14:textFill>
        </w:rPr>
        <w:t>09点30分</w:t>
      </w:r>
      <w:r>
        <w:rPr>
          <w:rFonts w:hint="eastAsia" w:ascii="宋体" w:hAnsi="宋体" w:eastAsia="宋体" w:cs="宋体"/>
          <w:bCs/>
          <w:color w:val="000000" w:themeColor="text1"/>
          <w:sz w:val="24"/>
          <w:lang w:bidi="ar"/>
          <w14:textFill>
            <w14:solidFill>
              <w14:schemeClr w14:val="tx1"/>
            </w14:solidFill>
          </w14:textFill>
        </w:rPr>
        <w:t>（北京时间）</w:t>
      </w:r>
      <w:r>
        <w:rPr>
          <w:rFonts w:hint="eastAsia" w:ascii="宋体" w:hAnsi="宋体" w:eastAsia="宋体" w:cs="宋体"/>
          <w:iCs/>
          <w:color w:val="000000" w:themeColor="text1"/>
          <w:sz w:val="24"/>
          <w:lang w:bidi="ar"/>
          <w14:textFill>
            <w14:solidFill>
              <w14:schemeClr w14:val="tx1"/>
            </w14:solidFill>
          </w14:textFill>
        </w:rPr>
        <w:t>。</w:t>
      </w:r>
    </w:p>
    <w:p w14:paraId="1CA369CB">
      <w:pPr>
        <w:spacing w:before="182" w:line="345" w:lineRule="auto"/>
        <w:ind w:left="11" w:firstLine="478"/>
        <w:rPr>
          <w:rFonts w:hint="eastAsia"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地点：</w:t>
      </w:r>
      <w:r>
        <w:rPr>
          <w:rFonts w:hint="eastAsia" w:ascii="宋体" w:hAnsi="宋体" w:eastAsia="宋体" w:cs="宋体"/>
          <w:color w:val="000000" w:themeColor="text1"/>
          <w:spacing w:val="-2"/>
          <w:sz w:val="24"/>
          <w:lang w:eastAsia="zh-CN"/>
          <w14:textFill>
            <w14:solidFill>
              <w14:schemeClr w14:val="tx1"/>
            </w14:solidFill>
          </w14:textFill>
        </w:rPr>
        <w:t>北京市政府采购电子交易平台</w:t>
      </w:r>
      <w:r>
        <w:rPr>
          <w:rFonts w:hint="eastAsia" w:ascii="宋体" w:hAnsi="宋体" w:eastAsia="宋体" w:cs="宋体"/>
          <w:color w:val="000000" w:themeColor="text1"/>
          <w:spacing w:val="-2"/>
          <w:sz w:val="24"/>
          <w14:textFill>
            <w14:solidFill>
              <w14:schemeClr w14:val="tx1"/>
            </w14:solidFill>
          </w14:textFill>
        </w:rPr>
        <w:t xml:space="preserve"> </w:t>
      </w:r>
      <w:r>
        <w:rPr>
          <w:rFonts w:hint="eastAsia" w:ascii="宋体" w:hAnsi="宋体" w:eastAsia="宋体" w:cs="宋体"/>
          <w:color w:val="000000" w:themeColor="text1"/>
          <w:spacing w:val="-2"/>
          <w:sz w:val="24"/>
          <w14:textFill>
            <w14:solidFill>
              <w14:schemeClr w14:val="tx1"/>
            </w14:solidFill>
          </w14:textFill>
        </w:rPr>
        <w:tab/>
      </w:r>
    </w:p>
    <w:p w14:paraId="41D53372">
      <w:pPr>
        <w:pStyle w:val="3"/>
        <w:spacing w:before="0"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五、开启</w:t>
      </w:r>
    </w:p>
    <w:p w14:paraId="104C08C1">
      <w:pPr>
        <w:spacing w:line="360" w:lineRule="auto"/>
        <w:ind w:firstLine="480" w:firstLineChars="200"/>
        <w:rPr>
          <w:rFonts w:hint="eastAsia"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时间：</w:t>
      </w:r>
      <w:r>
        <w:rPr>
          <w:rFonts w:hint="eastAsia" w:ascii="宋体" w:hAnsi="宋体" w:cs="宋体"/>
          <w:color w:val="000000" w:themeColor="text1"/>
          <w:sz w:val="24"/>
          <w:lang w:eastAsia="zh-CN"/>
          <w14:textFill>
            <w14:solidFill>
              <w14:schemeClr w14:val="tx1"/>
            </w14:solidFill>
          </w14:textFill>
        </w:rPr>
        <w:t>2026年05月18日</w:t>
      </w:r>
      <w:r>
        <w:rPr>
          <w:rFonts w:hint="eastAsia" w:ascii="宋体" w:hAnsi="宋体" w:eastAsia="宋体" w:cs="宋体"/>
          <w:color w:val="000000" w:themeColor="text1"/>
          <w:sz w:val="24"/>
          <w:lang w:eastAsia="zh-CN"/>
          <w14:textFill>
            <w14:solidFill>
              <w14:schemeClr w14:val="tx1"/>
            </w14:solidFill>
          </w14:textFill>
        </w:rPr>
        <w:t>09点30分</w:t>
      </w:r>
      <w:r>
        <w:rPr>
          <w:rFonts w:hint="eastAsia" w:ascii="宋体" w:hAnsi="宋体" w:eastAsia="宋体" w:cs="宋体"/>
          <w:bCs/>
          <w:color w:val="000000" w:themeColor="text1"/>
          <w:sz w:val="24"/>
          <w:lang w:bidi="ar"/>
          <w14:textFill>
            <w14:solidFill>
              <w14:schemeClr w14:val="tx1"/>
            </w14:solidFill>
          </w14:textFill>
        </w:rPr>
        <w:t>（北京时间）</w:t>
      </w:r>
      <w:r>
        <w:rPr>
          <w:rFonts w:hint="eastAsia" w:ascii="宋体" w:hAnsi="宋体" w:eastAsia="宋体" w:cs="宋体"/>
          <w:iCs/>
          <w:color w:val="000000" w:themeColor="text1"/>
          <w:sz w:val="24"/>
          <w:lang w:bidi="ar"/>
          <w14:textFill>
            <w14:solidFill>
              <w14:schemeClr w14:val="tx1"/>
            </w14:solidFill>
          </w14:textFill>
        </w:rPr>
        <w:t>。</w:t>
      </w:r>
    </w:p>
    <w:p w14:paraId="6E4EC3EA">
      <w:pPr>
        <w:spacing w:before="182" w:line="345" w:lineRule="auto"/>
        <w:ind w:left="11" w:firstLine="478"/>
        <w:rPr>
          <w:rFonts w:hint="eastAsia" w:ascii="宋体" w:hAnsi="宋体" w:eastAsia="宋体" w:cs="宋体"/>
          <w:bCs/>
          <w:sz w:val="24"/>
          <w:u w:val="single"/>
        </w:rPr>
      </w:pPr>
      <w:r>
        <w:rPr>
          <w:rFonts w:hint="eastAsia" w:ascii="宋体" w:hAnsi="宋体" w:eastAsia="宋体" w:cs="宋体"/>
          <w:sz w:val="24"/>
          <w:lang w:bidi="ar"/>
        </w:rPr>
        <w:t>地点：</w:t>
      </w:r>
      <w:r>
        <w:rPr>
          <w:rFonts w:hint="eastAsia" w:ascii="宋体" w:hAnsi="宋体" w:eastAsia="宋体" w:cs="宋体"/>
          <w:spacing w:val="-2"/>
          <w:sz w:val="24"/>
          <w:lang w:eastAsia="zh-CN"/>
        </w:rPr>
        <w:t>北京市政府采购电子交易平台</w:t>
      </w:r>
    </w:p>
    <w:p w14:paraId="5C040F93">
      <w:pPr>
        <w:pStyle w:val="3"/>
        <w:spacing w:before="0" w:line="360" w:lineRule="auto"/>
        <w:jc w:val="left"/>
        <w:rPr>
          <w:rFonts w:hint="eastAsia" w:ascii="宋体" w:hAnsi="宋体" w:eastAsia="宋体" w:cs="宋体"/>
          <w:sz w:val="24"/>
          <w:szCs w:val="24"/>
        </w:rPr>
      </w:pPr>
      <w:bookmarkStart w:id="22" w:name="_Toc28359007"/>
      <w:bookmarkStart w:id="23" w:name="_Toc35393625"/>
      <w:bookmarkStart w:id="24" w:name="_Toc28359084"/>
      <w:bookmarkStart w:id="25" w:name="_Toc35393794"/>
      <w:r>
        <w:rPr>
          <w:rFonts w:hint="eastAsia" w:ascii="宋体" w:hAnsi="宋体" w:eastAsia="宋体" w:cs="宋体"/>
          <w:sz w:val="24"/>
          <w:szCs w:val="24"/>
        </w:rPr>
        <w:t>六、公告期限</w:t>
      </w:r>
      <w:bookmarkEnd w:id="22"/>
      <w:bookmarkEnd w:id="23"/>
      <w:bookmarkEnd w:id="24"/>
      <w:bookmarkEnd w:id="25"/>
    </w:p>
    <w:p w14:paraId="43616B8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w:t>
      </w:r>
      <w:r>
        <w:rPr>
          <w:rFonts w:hint="eastAsia" w:ascii="宋体" w:hAnsi="宋体" w:cs="宋体"/>
          <w:kern w:val="0"/>
          <w:sz w:val="24"/>
          <w:lang w:val="en-US" w:eastAsia="zh-CN"/>
        </w:rPr>
        <w:t>5</w:t>
      </w:r>
      <w:r>
        <w:rPr>
          <w:rFonts w:hint="eastAsia" w:ascii="宋体" w:hAnsi="宋体" w:eastAsia="宋体" w:cs="宋体"/>
          <w:kern w:val="0"/>
          <w:sz w:val="24"/>
        </w:rPr>
        <w:t>个工作日。</w:t>
      </w:r>
    </w:p>
    <w:p w14:paraId="6BB85B51">
      <w:pPr>
        <w:pStyle w:val="3"/>
        <w:spacing w:before="0" w:line="360" w:lineRule="auto"/>
        <w:jc w:val="left"/>
        <w:rPr>
          <w:rFonts w:hint="eastAsia" w:ascii="宋体" w:hAnsi="宋体" w:eastAsia="宋体" w:cs="宋体"/>
          <w:sz w:val="24"/>
          <w:szCs w:val="24"/>
        </w:rPr>
      </w:pPr>
      <w:bookmarkStart w:id="26" w:name="_Toc35393795"/>
      <w:bookmarkStart w:id="27" w:name="_Toc35393626"/>
      <w:r>
        <w:rPr>
          <w:rFonts w:hint="eastAsia" w:ascii="宋体" w:hAnsi="宋体" w:eastAsia="宋体" w:cs="宋体"/>
          <w:sz w:val="24"/>
          <w:szCs w:val="24"/>
        </w:rPr>
        <w:t>七、其他补充事宜</w:t>
      </w:r>
      <w:bookmarkEnd w:id="26"/>
      <w:bookmarkEnd w:id="27"/>
    </w:p>
    <w:p w14:paraId="306965AF">
      <w:pPr>
        <w:spacing w:line="360" w:lineRule="auto"/>
        <w:ind w:firstLine="480" w:firstLineChars="200"/>
        <w:rPr>
          <w:rFonts w:hint="eastAsia" w:ascii="宋体" w:hAnsi="宋体" w:eastAsia="宋体" w:cs="宋体"/>
          <w:sz w:val="24"/>
        </w:rPr>
      </w:pPr>
      <w:bookmarkStart w:id="28" w:name="OLE_LINK41"/>
      <w:r>
        <w:rPr>
          <w:rFonts w:hint="eastAsia" w:ascii="宋体" w:hAnsi="宋体" w:eastAsia="宋体" w:cs="宋体"/>
          <w:sz w:val="24"/>
        </w:rPr>
        <w:t>1.本项目需要落实的政府采购政策：</w:t>
      </w:r>
      <w:r>
        <w:rPr>
          <w:rFonts w:hint="eastAsia" w:ascii="宋体" w:hAnsi="宋体" w:eastAsia="宋体" w:cs="宋体"/>
          <w:spacing w:val="-1"/>
          <w:sz w:val="24"/>
        </w:rPr>
        <w:t>《关于调整优化节能产品、环境标志产品政府</w:t>
      </w:r>
      <w:r>
        <w:rPr>
          <w:rFonts w:hint="eastAsia" w:ascii="宋体" w:hAnsi="宋体" w:eastAsia="宋体" w:cs="宋体"/>
          <w:spacing w:val="-2"/>
          <w:sz w:val="24"/>
        </w:rPr>
        <w:t>采购执行机制的通知》、《财政部、司法部关于政府采购支持监狱企业发展有关问题的通知》、《关于促进残疾人就业政府采购政策的通知》、《财政部关于在政府采购活动</w:t>
      </w:r>
      <w:r>
        <w:rPr>
          <w:rFonts w:hint="eastAsia" w:ascii="宋体" w:hAnsi="宋体" w:eastAsia="宋体" w:cs="宋体"/>
          <w:spacing w:val="-1"/>
          <w:sz w:val="24"/>
        </w:rPr>
        <w:t>中查询及使用信用记录有关问题的通知》、《政府采购促进</w:t>
      </w:r>
      <w:r>
        <w:rPr>
          <w:rFonts w:hint="eastAsia" w:ascii="宋体" w:hAnsi="宋体" w:eastAsia="宋体" w:cs="宋体"/>
          <w:spacing w:val="-2"/>
          <w:sz w:val="24"/>
        </w:rPr>
        <w:t>中小企业发展管理办法》。</w:t>
      </w:r>
      <w:r>
        <w:rPr>
          <w:rFonts w:hint="eastAsia" w:ascii="宋体" w:hAnsi="宋体" w:eastAsia="宋体" w:cs="宋体"/>
          <w:sz w:val="24"/>
          <w:lang w:bidi="ar"/>
        </w:rPr>
        <w:t>。</w:t>
      </w:r>
    </w:p>
    <w:p w14:paraId="79FE5701">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eastAsia="宋体" w:cs="宋体"/>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24D376B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CA数字证书服务热线 010-58511086</w:t>
      </w:r>
    </w:p>
    <w:p w14:paraId="33EA450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25072F1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 xml:space="preserve">技术支持服务热线    010-86483801    </w:t>
      </w:r>
    </w:p>
    <w:p w14:paraId="694A634E">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2.1办理CA数字证书或电子营业执照</w:t>
      </w:r>
    </w:p>
    <w:p w14:paraId="07D2C6BE">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 /“电子营业执照使用指南”，按照程序要求办理。</w:t>
      </w:r>
    </w:p>
    <w:p w14:paraId="0A94573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2.2注册</w:t>
      </w:r>
    </w:p>
    <w:p w14:paraId="036A26A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5BEEEE09">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2.3驱动、客户端下载</w:t>
      </w:r>
    </w:p>
    <w:p w14:paraId="22B79E0E">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7BB15C9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65B92EA4">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2.4 获取电子竞争性磋商文件</w:t>
      </w:r>
    </w:p>
    <w:p w14:paraId="1B1EE2CE">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供应商使用CA数字证书或电子营业执照登录北京市政府采购电子交易平台获取电子竞争性磋商文件。</w:t>
      </w:r>
    </w:p>
    <w:p w14:paraId="71D2DA4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963BDE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2.5编制电子响应文件</w:t>
      </w:r>
    </w:p>
    <w:p w14:paraId="0B202459">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供应商应使用电子投标客户端编制电子响应文件并进行线上响应，供应商电子响应文件需要加密并加盖电子签章</w:t>
      </w:r>
      <w:r>
        <w:rPr>
          <w:rFonts w:hint="eastAsia" w:ascii="宋体" w:hAnsi="宋体" w:eastAsia="宋体" w:cs="宋体"/>
          <w:bCs/>
          <w:sz w:val="24"/>
          <w:lang w:bidi="ar"/>
        </w:rPr>
        <w:t>，如无法按照要求在电子响应文件中加盖电子签章和加密，请及时通过技术支持服务热线联系技术人员</w:t>
      </w:r>
      <w:r>
        <w:rPr>
          <w:rFonts w:hint="eastAsia" w:ascii="宋体" w:hAnsi="宋体" w:eastAsia="宋体" w:cs="宋体"/>
          <w:sz w:val="24"/>
          <w:lang w:bidi="ar"/>
        </w:rPr>
        <w:t>。</w:t>
      </w:r>
    </w:p>
    <w:p w14:paraId="5E76A88C">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eastAsia="宋体" w:cs="宋体"/>
          <w:sz w:val="24"/>
          <w:lang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提交电子响应文件</w:t>
      </w:r>
    </w:p>
    <w:p w14:paraId="1BEB9361">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w:t>
      </w:r>
      <w:r>
        <w:rPr>
          <w:rFonts w:hint="eastAsia" w:ascii="宋体" w:hAnsi="宋体" w:eastAsia="宋体" w:cs="宋体"/>
          <w:sz w:val="24"/>
        </w:rPr>
        <w:t>响应文件提交</w:t>
      </w:r>
      <w:r>
        <w:rPr>
          <w:rFonts w:hint="eastAsia" w:ascii="宋体" w:hAnsi="宋体" w:eastAsia="宋体" w:cs="宋体"/>
          <w:sz w:val="24"/>
          <w:lang w:bidi="ar"/>
        </w:rPr>
        <w:t>截止时间前在北京市政府采购电子交易平台提交电子响应文件，上传电子响应文件过程中请保持与互联网的连接畅通。</w:t>
      </w:r>
    </w:p>
    <w:p w14:paraId="4F7146C2">
      <w:pPr>
        <w:spacing w:line="360" w:lineRule="auto"/>
        <w:ind w:firstLine="480" w:firstLineChars="200"/>
        <w:rPr>
          <w:rFonts w:hint="eastAsia" w:ascii="宋体" w:hAnsi="宋体" w:eastAsia="宋体" w:cs="宋体"/>
          <w:sz w:val="24"/>
          <w:lang w:eastAsia="zh-TW"/>
        </w:rPr>
      </w:pPr>
      <w:r>
        <w:rPr>
          <w:rFonts w:hint="eastAsia" w:ascii="宋体" w:hAnsi="宋体" w:eastAsia="宋体" w:cs="宋体"/>
          <w:sz w:val="24"/>
          <w:lang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 xml:space="preserve">7 </w:t>
      </w:r>
      <w:r>
        <w:rPr>
          <w:rFonts w:hint="eastAsia" w:ascii="宋体" w:hAnsi="宋体" w:eastAsia="宋体" w:cs="宋体"/>
          <w:sz w:val="24"/>
          <w:lang w:val="zh-TW" w:bidi="ar"/>
        </w:rPr>
        <w:t>开启响应文件</w:t>
      </w:r>
    </w:p>
    <w:p w14:paraId="3D4912CA">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rPr>
        <w:t>供应商于</w:t>
      </w:r>
      <w:r>
        <w:rPr>
          <w:rFonts w:hint="eastAsia" w:ascii="宋体" w:hAnsi="宋体" w:eastAsia="宋体" w:cs="宋体"/>
          <w:sz w:val="24"/>
          <w:lang w:val="zh-TW" w:bidi="ar"/>
        </w:rPr>
        <w:t>磋商文件规定的开启时间、在开启地点使用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北京市政府采购电子交易平台解密并开启响应文件。如因供应商问题，解密不成功，则</w:t>
      </w:r>
      <w:r>
        <w:rPr>
          <w:rFonts w:hint="eastAsia" w:ascii="宋体" w:hAnsi="宋体" w:eastAsia="宋体" w:cs="宋体"/>
          <w:b/>
          <w:sz w:val="24"/>
          <w:lang w:bidi="ar"/>
        </w:rPr>
        <w:t>响应无效</w:t>
      </w:r>
      <w:r>
        <w:rPr>
          <w:rFonts w:hint="eastAsia" w:ascii="宋体" w:hAnsi="宋体" w:eastAsia="宋体" w:cs="宋体"/>
          <w:sz w:val="24"/>
          <w:lang w:bidi="ar"/>
        </w:rPr>
        <w:t>。</w:t>
      </w:r>
    </w:p>
    <w:bookmarkEnd w:id="28"/>
    <w:p w14:paraId="11862903">
      <w:pPr>
        <w:spacing w:line="360" w:lineRule="auto"/>
        <w:ind w:firstLine="480" w:firstLineChars="200"/>
        <w:rPr>
          <w:rFonts w:hint="eastAsia" w:ascii="宋体" w:hAnsi="宋体" w:eastAsia="宋体" w:cs="宋体"/>
          <w:sz w:val="24"/>
        </w:rPr>
      </w:pPr>
    </w:p>
    <w:p w14:paraId="5D2317D3">
      <w:pPr>
        <w:pStyle w:val="3"/>
        <w:spacing w:before="0" w:line="360" w:lineRule="auto"/>
        <w:jc w:val="left"/>
        <w:rPr>
          <w:rFonts w:hint="eastAsia" w:ascii="宋体" w:hAnsi="宋体" w:eastAsia="宋体" w:cs="宋体"/>
          <w:sz w:val="24"/>
          <w:szCs w:val="24"/>
        </w:rPr>
      </w:pPr>
      <w:bookmarkStart w:id="29" w:name="_Toc28359085"/>
      <w:bookmarkStart w:id="30" w:name="_Toc35393627"/>
      <w:bookmarkStart w:id="31" w:name="_Toc35393796"/>
      <w:bookmarkStart w:id="32" w:name="_Toc28359008"/>
      <w:r>
        <w:rPr>
          <w:rFonts w:hint="eastAsia" w:ascii="宋体" w:hAnsi="宋体" w:eastAsia="宋体" w:cs="宋体"/>
          <w:sz w:val="24"/>
          <w:szCs w:val="24"/>
        </w:rPr>
        <w:t>八、对本次采购提出询问，请按以下方式联系。</w:t>
      </w:r>
      <w:bookmarkEnd w:id="29"/>
      <w:bookmarkEnd w:id="30"/>
      <w:bookmarkEnd w:id="31"/>
      <w:bookmarkEnd w:id="32"/>
    </w:p>
    <w:p w14:paraId="0B267F99">
      <w:pPr>
        <w:widowControl/>
        <w:spacing w:line="360" w:lineRule="auto"/>
        <w:jc w:val="left"/>
        <w:rPr>
          <w:rFonts w:hint="eastAsia"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407B88D1">
      <w:pPr>
        <w:spacing w:line="360" w:lineRule="auto"/>
        <w:ind w:left="1079" w:leftChars="371" w:hanging="300" w:hangingChars="125"/>
        <w:jc w:val="left"/>
        <w:rPr>
          <w:rFonts w:hint="eastAsia" w:ascii="宋体" w:hAnsi="宋体" w:eastAsia="宋体" w:cs="宋体"/>
          <w:kern w:val="0"/>
          <w:sz w:val="24"/>
          <w:lang w:eastAsia="zh-CN"/>
        </w:rPr>
      </w:pPr>
      <w:bookmarkStart w:id="33" w:name="_Toc28359086"/>
      <w:bookmarkStart w:id="34" w:name="_Toc28359009"/>
      <w:r>
        <w:rPr>
          <w:rFonts w:hint="eastAsia" w:ascii="宋体" w:hAnsi="宋体" w:eastAsia="宋体" w:cs="宋体"/>
          <w:sz w:val="24"/>
        </w:rPr>
        <w:t>名    称：</w:t>
      </w:r>
      <w:r>
        <w:rPr>
          <w:rFonts w:hint="eastAsia" w:ascii="宋体" w:hAnsi="宋体" w:cs="宋体"/>
          <w:kern w:val="0"/>
          <w:sz w:val="24"/>
          <w:u w:val="single"/>
          <w:lang w:eastAsia="zh-CN"/>
        </w:rPr>
        <w:t>北京市密云区太师屯镇人民政府</w:t>
      </w:r>
    </w:p>
    <w:p w14:paraId="1A28AB9A">
      <w:pPr>
        <w:spacing w:line="360" w:lineRule="auto"/>
        <w:ind w:left="1079" w:leftChars="371" w:hanging="300" w:hangingChars="125"/>
        <w:jc w:val="left"/>
        <w:rPr>
          <w:rFonts w:hint="eastAsia" w:ascii="宋体" w:hAnsi="宋体" w:eastAsia="宋体" w:cs="宋体"/>
          <w:sz w:val="24"/>
          <w:lang w:eastAsia="zh-CN"/>
        </w:rPr>
      </w:pPr>
      <w:r>
        <w:rPr>
          <w:rFonts w:hint="eastAsia" w:ascii="宋体" w:hAnsi="宋体" w:eastAsia="宋体" w:cs="宋体"/>
          <w:sz w:val="24"/>
        </w:rPr>
        <w:t>地    址：</w:t>
      </w:r>
      <w:r>
        <w:rPr>
          <w:rFonts w:hint="eastAsia" w:ascii="宋体" w:hAnsi="宋体" w:cs="宋体"/>
          <w:sz w:val="24"/>
          <w:u w:val="single"/>
          <w:lang w:eastAsia="zh-CN"/>
        </w:rPr>
        <w:t>北京市密云区太师屯镇葡萄园村</w:t>
      </w:r>
    </w:p>
    <w:p w14:paraId="34CE9FF3">
      <w:pPr>
        <w:spacing w:line="360" w:lineRule="auto"/>
        <w:ind w:left="1079" w:leftChars="371" w:hanging="300" w:hangingChars="125"/>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cs="宋体"/>
          <w:sz w:val="24"/>
          <w:u w:val="single"/>
          <w:lang w:eastAsia="zh-CN"/>
        </w:rPr>
        <w:t>于越</w:t>
      </w:r>
      <w:r>
        <w:rPr>
          <w:rFonts w:hint="eastAsia" w:ascii="宋体" w:hAnsi="宋体" w:eastAsia="宋体" w:cs="宋体"/>
          <w:sz w:val="24"/>
          <w:u w:val="single"/>
          <w:lang w:eastAsia="zh-CN"/>
        </w:rPr>
        <w:t xml:space="preserve"> </w:t>
      </w:r>
      <w:r>
        <w:rPr>
          <w:rFonts w:hint="eastAsia" w:ascii="宋体" w:hAnsi="宋体" w:cs="宋体"/>
          <w:sz w:val="24"/>
          <w:u w:val="single"/>
          <w:lang w:eastAsia="zh-CN"/>
        </w:rPr>
        <w:t>010-69046899</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AD506E4">
      <w:pPr>
        <w:spacing w:line="360" w:lineRule="auto"/>
        <w:ind w:left="1079" w:leftChars="371" w:hanging="300" w:hangingChars="125"/>
        <w:jc w:val="left"/>
        <w:rPr>
          <w:rFonts w:hint="eastAsia" w:ascii="宋体" w:hAnsi="宋体" w:eastAsia="宋体" w:cs="宋体"/>
          <w:sz w:val="24"/>
          <w:u w:val="single"/>
        </w:rPr>
      </w:pPr>
    </w:p>
    <w:p w14:paraId="02A23823">
      <w:pPr>
        <w:spacing w:line="360" w:lineRule="auto"/>
        <w:ind w:left="1078" w:leftChars="371" w:hanging="299" w:hangingChars="124"/>
        <w:jc w:val="left"/>
        <w:rPr>
          <w:rFonts w:hint="eastAsia" w:ascii="宋体" w:hAnsi="宋体" w:eastAsia="宋体" w:cs="宋体"/>
          <w:b/>
          <w:sz w:val="24"/>
        </w:rPr>
      </w:pPr>
      <w:r>
        <w:rPr>
          <w:rFonts w:hint="eastAsia" w:ascii="宋体" w:hAnsi="宋体" w:eastAsia="宋体" w:cs="宋体"/>
          <w:b/>
          <w:sz w:val="24"/>
        </w:rPr>
        <w:t>2.采购代理机构信息</w:t>
      </w:r>
      <w:bookmarkEnd w:id="33"/>
      <w:bookmarkEnd w:id="34"/>
    </w:p>
    <w:p w14:paraId="42B4F445">
      <w:pPr>
        <w:spacing w:line="360" w:lineRule="auto"/>
        <w:ind w:left="1079" w:leftChars="371" w:hanging="300" w:hangingChars="125"/>
        <w:jc w:val="left"/>
        <w:rPr>
          <w:rFonts w:hint="eastAsia" w:ascii="宋体" w:hAnsi="宋体" w:eastAsia="宋体" w:cs="宋体"/>
          <w:sz w:val="24"/>
        </w:rPr>
      </w:pPr>
      <w:bookmarkStart w:id="35" w:name="_Toc28359010"/>
      <w:bookmarkStart w:id="36" w:name="_Toc28359087"/>
      <w:r>
        <w:rPr>
          <w:rFonts w:hint="eastAsia" w:ascii="宋体" w:hAnsi="宋体" w:eastAsia="宋体" w:cs="宋体"/>
          <w:sz w:val="24"/>
        </w:rPr>
        <w:t>名    称：</w:t>
      </w:r>
      <w:r>
        <w:rPr>
          <w:rFonts w:hint="eastAsia" w:ascii="宋体" w:hAnsi="宋体" w:cs="宋体"/>
          <w:sz w:val="24"/>
          <w:u w:val="single"/>
          <w:lang w:eastAsia="zh-CN"/>
        </w:rPr>
        <w:t>北京鸣晟工程管理咨询有限公司</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4A588E11">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cs="宋体"/>
          <w:sz w:val="24"/>
          <w:u w:val="single"/>
          <w:lang w:eastAsia="zh-CN"/>
        </w:rPr>
        <w:t>北京市密云区行宫街23号楼一层23-3</w:t>
      </w:r>
      <w:r>
        <w:rPr>
          <w:rFonts w:hint="eastAsia" w:ascii="宋体" w:hAnsi="宋体" w:eastAsia="宋体" w:cs="宋体"/>
          <w:sz w:val="24"/>
        </w:rPr>
        <w:t xml:space="preserve"> </w:t>
      </w:r>
    </w:p>
    <w:p w14:paraId="33145D98">
      <w:pPr>
        <w:spacing w:line="360" w:lineRule="auto"/>
        <w:ind w:left="1079" w:leftChars="371" w:hanging="300" w:hangingChars="125"/>
        <w:jc w:val="left"/>
        <w:rPr>
          <w:rFonts w:hint="eastAsia" w:ascii="宋体" w:hAnsi="宋体" w:eastAsia="宋体" w:cs="宋体"/>
          <w:bCs/>
          <w:sz w:val="24"/>
        </w:rPr>
      </w:pPr>
      <w:r>
        <w:rPr>
          <w:rFonts w:hint="eastAsia" w:ascii="宋体" w:hAnsi="宋体" w:eastAsia="宋体" w:cs="宋体"/>
          <w:bCs/>
          <w:sz w:val="24"/>
        </w:rPr>
        <w:t>联系方式：</w:t>
      </w:r>
      <w:r>
        <w:rPr>
          <w:rFonts w:hint="eastAsia" w:ascii="宋体" w:hAnsi="宋体" w:cs="宋体"/>
          <w:bCs/>
          <w:sz w:val="24"/>
          <w:u w:val="single"/>
          <w:lang w:eastAsia="zh-CN"/>
        </w:rPr>
        <w:t>010-61099540</w:t>
      </w:r>
      <w:r>
        <w:rPr>
          <w:rFonts w:hint="eastAsia" w:ascii="宋体" w:hAnsi="宋体" w:eastAsia="宋体" w:cs="宋体"/>
          <w:bCs/>
          <w:sz w:val="24"/>
        </w:rPr>
        <w:t xml:space="preserve"> </w:t>
      </w:r>
    </w:p>
    <w:p w14:paraId="51ABFD73">
      <w:pPr>
        <w:spacing w:line="360" w:lineRule="auto"/>
        <w:jc w:val="left"/>
        <w:rPr>
          <w:rFonts w:hint="eastAsia" w:ascii="宋体" w:hAnsi="宋体" w:eastAsia="宋体" w:cs="宋体"/>
          <w:sz w:val="24"/>
          <w:u w:val="single"/>
        </w:rPr>
      </w:pPr>
    </w:p>
    <w:p w14:paraId="128EC02D">
      <w:pPr>
        <w:spacing w:line="360" w:lineRule="auto"/>
        <w:ind w:left="1078" w:leftChars="371" w:hanging="299" w:hangingChars="124"/>
        <w:rPr>
          <w:rFonts w:hint="eastAsia" w:ascii="宋体" w:hAnsi="宋体" w:eastAsia="宋体" w:cs="宋体"/>
          <w:b/>
          <w:sz w:val="24"/>
          <w:u w:val="single"/>
        </w:rPr>
      </w:pPr>
      <w:r>
        <w:rPr>
          <w:rFonts w:hint="eastAsia" w:ascii="宋体" w:hAnsi="宋体" w:eastAsia="宋体" w:cs="宋体"/>
          <w:b/>
          <w:sz w:val="24"/>
        </w:rPr>
        <w:t>3.项目联系方式</w:t>
      </w:r>
      <w:bookmarkEnd w:id="35"/>
      <w:bookmarkEnd w:id="36"/>
    </w:p>
    <w:p w14:paraId="5F466497">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项目联系人：</w:t>
      </w:r>
      <w:r>
        <w:rPr>
          <w:rFonts w:hint="eastAsia" w:ascii="宋体" w:hAnsi="宋体" w:cs="宋体"/>
          <w:sz w:val="24"/>
          <w:lang w:eastAsia="zh-CN"/>
        </w:rPr>
        <w:t>谢一鸣</w:t>
      </w:r>
      <w:r>
        <w:rPr>
          <w:rFonts w:hint="eastAsia" w:ascii="宋体" w:hAnsi="宋体" w:eastAsia="宋体" w:cs="宋体"/>
          <w:sz w:val="24"/>
        </w:rPr>
        <w:t xml:space="preserve">   </w:t>
      </w:r>
    </w:p>
    <w:p w14:paraId="05D52A56">
      <w:pPr>
        <w:spacing w:line="360" w:lineRule="auto"/>
        <w:ind w:left="1079" w:leftChars="371" w:hanging="300" w:hangingChars="125"/>
        <w:jc w:val="left"/>
        <w:rPr>
          <w:rFonts w:hint="eastAsia" w:ascii="宋体" w:hAnsi="宋体" w:eastAsia="宋体" w:cs="宋体"/>
          <w:sz w:val="24"/>
          <w:lang w:eastAsia="zh-CN"/>
        </w:rPr>
      </w:pPr>
      <w:r>
        <w:rPr>
          <w:rFonts w:hint="eastAsia" w:ascii="宋体" w:hAnsi="宋体" w:eastAsia="宋体" w:cs="宋体"/>
          <w:sz w:val="24"/>
        </w:rPr>
        <w:t>电 话：</w:t>
      </w:r>
      <w:r>
        <w:rPr>
          <w:rFonts w:hint="eastAsia" w:ascii="宋体" w:hAnsi="宋体" w:cs="宋体"/>
          <w:sz w:val="24"/>
          <w:u w:val="single"/>
          <w:lang w:eastAsia="zh-CN"/>
        </w:rPr>
        <w:t>010-61099540</w:t>
      </w:r>
    </w:p>
    <w:p w14:paraId="2B09BF7A">
      <w:pPr>
        <w:pStyle w:val="23"/>
        <w:spacing w:line="360" w:lineRule="auto"/>
        <w:ind w:left="1076" w:leftChars="371" w:hanging="297" w:hangingChars="124"/>
        <w:rPr>
          <w:rFonts w:hint="eastAsia" w:ascii="宋体" w:hAnsi="宋体" w:eastAsia="宋体" w:cs="宋体"/>
          <w:sz w:val="24"/>
          <w:szCs w:val="24"/>
        </w:rPr>
      </w:pPr>
    </w:p>
    <w:p w14:paraId="02F7A4F2">
      <w:pPr>
        <w:spacing w:line="360" w:lineRule="auto"/>
        <w:ind w:firstLine="5880" w:firstLineChars="2450"/>
        <w:jc w:val="right"/>
        <w:rPr>
          <w:rFonts w:hint="eastAsia" w:ascii="宋体" w:hAnsi="宋体" w:eastAsia="宋体" w:cs="宋体"/>
          <w:sz w:val="24"/>
        </w:rPr>
      </w:pPr>
    </w:p>
    <w:p w14:paraId="762AC2A8">
      <w:pPr>
        <w:spacing w:line="360" w:lineRule="auto"/>
        <w:jc w:val="center"/>
        <w:outlineLvl w:val="0"/>
        <w:rPr>
          <w:rFonts w:hint="eastAsia" w:ascii="宋体" w:hAnsi="宋体" w:eastAsia="宋体" w:cs="宋体"/>
          <w:b/>
          <w:sz w:val="32"/>
          <w:szCs w:val="32"/>
        </w:rPr>
      </w:pPr>
      <w:bookmarkStart w:id="37" w:name="_Toc226965856"/>
      <w:bookmarkStart w:id="38" w:name="_Toc127151777"/>
      <w:bookmarkStart w:id="39" w:name="_Toc353873938"/>
      <w:bookmarkStart w:id="40" w:name="_Toc195842950"/>
      <w:bookmarkStart w:id="41" w:name="_Toc150774783"/>
      <w:bookmarkStart w:id="42" w:name="_Toc353825548"/>
      <w:bookmarkStart w:id="43" w:name="_Toc305158928"/>
      <w:bookmarkStart w:id="44" w:name="_Toc305158854"/>
      <w:bookmarkStart w:id="45" w:name="_Toc512937850"/>
      <w:bookmarkStart w:id="46" w:name="_Toc127161488"/>
      <w:bookmarkStart w:id="47" w:name="_Toc264969275"/>
      <w:bookmarkStart w:id="48" w:name="_Toc97371942"/>
      <w:bookmarkStart w:id="49" w:name="_Toc265228423"/>
      <w:r>
        <w:rPr>
          <w:rFonts w:hint="eastAsia" w:ascii="宋体" w:hAnsi="宋体" w:eastAsia="宋体" w:cs="宋体"/>
          <w:b/>
          <w:sz w:val="36"/>
          <w:szCs w:val="36"/>
        </w:rPr>
        <w:t>第二章   供应商须知</w:t>
      </w:r>
      <w:bookmarkEnd w:id="37"/>
      <w:bookmarkEnd w:id="38"/>
      <w:bookmarkEnd w:id="39"/>
      <w:bookmarkEnd w:id="40"/>
      <w:bookmarkEnd w:id="41"/>
      <w:bookmarkEnd w:id="42"/>
      <w:bookmarkEnd w:id="43"/>
      <w:bookmarkEnd w:id="44"/>
      <w:bookmarkEnd w:id="45"/>
      <w:bookmarkEnd w:id="46"/>
      <w:bookmarkEnd w:id="47"/>
      <w:bookmarkEnd w:id="48"/>
      <w:bookmarkEnd w:id="49"/>
    </w:p>
    <w:p w14:paraId="757AE9D0">
      <w:pPr>
        <w:pStyle w:val="3"/>
        <w:tabs>
          <w:tab w:val="center" w:pos="4592"/>
          <w:tab w:val="left" w:pos="7860"/>
        </w:tabs>
        <w:spacing w:before="0" w:line="360" w:lineRule="auto"/>
        <w:rPr>
          <w:rFonts w:hint="eastAsia" w:ascii="宋体" w:hAnsi="宋体" w:eastAsia="宋体" w:cs="宋体"/>
          <w:b w:val="0"/>
          <w:sz w:val="28"/>
        </w:rPr>
      </w:pPr>
      <w:bookmarkStart w:id="50" w:name="_Toc164608788"/>
      <w:bookmarkStart w:id="51" w:name="_Toc151193907"/>
      <w:bookmarkStart w:id="52" w:name="_Toc151193761"/>
      <w:bookmarkStart w:id="53" w:name="_Toc226337215"/>
      <w:bookmarkStart w:id="54" w:name="_Toc127151519"/>
      <w:bookmarkStart w:id="55" w:name="_Toc164229214"/>
      <w:bookmarkStart w:id="56" w:name="_Toc151193617"/>
      <w:bookmarkStart w:id="57" w:name="_Toc164229360"/>
      <w:bookmarkStart w:id="58" w:name="_Toc164608633"/>
      <w:bookmarkStart w:id="59" w:name="_Toc149720812"/>
      <w:bookmarkStart w:id="60" w:name="_Toc226965709"/>
      <w:bookmarkStart w:id="61" w:name="_Toc127151720"/>
      <w:bookmarkStart w:id="62" w:name="_Toc151193689"/>
      <w:bookmarkStart w:id="63" w:name="_Toc195842884"/>
      <w:bookmarkStart w:id="64" w:name="_Toc226309763"/>
      <w:bookmarkStart w:id="65" w:name="_Toc151193833"/>
      <w:bookmarkStart w:id="66" w:name="_Toc150774619"/>
      <w:bookmarkStart w:id="67" w:name="_Toc127161433"/>
      <w:bookmarkStart w:id="68" w:name="_Toc150774724"/>
      <w:bookmarkStart w:id="69" w:name="_Toc150480757"/>
      <w:bookmarkStart w:id="70" w:name="_Toc164351613"/>
      <w:bookmarkStart w:id="71" w:name="_Toc520356144"/>
      <w:bookmarkStart w:id="72" w:name="_Toc226965792"/>
      <w:bookmarkStart w:id="73" w:name="_Toc150509270"/>
      <w:bookmarkStart w:id="74" w:name="_Toc142311021"/>
      <w:bookmarkStart w:id="75" w:name="_Toc151190146"/>
      <w:r>
        <w:rPr>
          <w:rFonts w:hint="eastAsia" w:ascii="宋体" w:hAnsi="宋体" w:eastAsia="宋体" w:cs="宋体"/>
          <w:sz w:val="28"/>
        </w:rPr>
        <w:t>供应商须知资料表</w:t>
      </w:r>
    </w:p>
    <w:p w14:paraId="760BCF68">
      <w:pPr>
        <w:jc w:val="center"/>
        <w:rPr>
          <w:rFonts w:hint="eastAsia" w:ascii="宋体" w:hAnsi="宋体" w:eastAsia="宋体" w:cs="宋体"/>
          <w:b/>
          <w:sz w:val="28"/>
          <w:szCs w:val="28"/>
        </w:rPr>
      </w:pPr>
    </w:p>
    <w:p w14:paraId="42CB8512">
      <w:pPr>
        <w:spacing w:line="360" w:lineRule="auto"/>
        <w:ind w:firstLine="480"/>
        <w:rPr>
          <w:rFonts w:hint="eastAsia" w:ascii="宋体" w:hAnsi="宋体" w:eastAsia="宋体" w:cs="宋体"/>
          <w:sz w:val="24"/>
        </w:rPr>
      </w:pPr>
      <w:r>
        <w:rPr>
          <w:rFonts w:hint="eastAsia" w:ascii="宋体" w:hAnsi="宋体" w:eastAsia="宋体" w:cs="宋体"/>
          <w:sz w:val="24"/>
        </w:rPr>
        <w:t>本表是对供应商须知的具体补充和修改，如有矛盾，均以本资料表为准。</w:t>
      </w:r>
    </w:p>
    <w:tbl>
      <w:tblPr>
        <w:tblStyle w:val="4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366FE05">
        <w:tblPrEx>
          <w:tblCellMar>
            <w:top w:w="0" w:type="dxa"/>
            <w:left w:w="108" w:type="dxa"/>
            <w:bottom w:w="0" w:type="dxa"/>
            <w:right w:w="108" w:type="dxa"/>
          </w:tblCellMar>
        </w:tblPrEx>
        <w:trPr>
          <w:trHeight w:val="594" w:hRule="atLeast"/>
          <w:tblHeader/>
          <w:jc w:val="center"/>
        </w:trPr>
        <w:tc>
          <w:tcPr>
            <w:tcW w:w="988" w:type="dxa"/>
            <w:vAlign w:val="center"/>
          </w:tcPr>
          <w:p w14:paraId="2E06CA0A">
            <w:pPr>
              <w:jc w:val="center"/>
              <w:rPr>
                <w:rFonts w:hint="eastAsia" w:ascii="宋体" w:hAnsi="宋体" w:eastAsia="宋体" w:cs="宋体"/>
                <w:b/>
                <w:bCs/>
                <w:sz w:val="24"/>
              </w:rPr>
            </w:pPr>
            <w:r>
              <w:rPr>
                <w:rFonts w:hint="eastAsia" w:ascii="宋体" w:hAnsi="宋体" w:eastAsia="宋体" w:cs="宋体"/>
                <w:b/>
                <w:sz w:val="24"/>
              </w:rPr>
              <w:t>条款号</w:t>
            </w:r>
          </w:p>
        </w:tc>
        <w:tc>
          <w:tcPr>
            <w:tcW w:w="1701" w:type="dxa"/>
            <w:vAlign w:val="center"/>
          </w:tcPr>
          <w:p w14:paraId="1781439B">
            <w:pPr>
              <w:jc w:val="center"/>
              <w:rPr>
                <w:rFonts w:hint="eastAsia" w:ascii="宋体" w:hAnsi="宋体" w:eastAsia="宋体" w:cs="宋体"/>
                <w:b/>
                <w:bCs/>
                <w:sz w:val="24"/>
              </w:rPr>
            </w:pPr>
            <w:r>
              <w:rPr>
                <w:rFonts w:hint="eastAsia" w:ascii="宋体" w:hAnsi="宋体" w:eastAsia="宋体" w:cs="宋体"/>
                <w:b/>
                <w:bCs/>
                <w:sz w:val="24"/>
              </w:rPr>
              <w:t>条目</w:t>
            </w:r>
          </w:p>
        </w:tc>
        <w:tc>
          <w:tcPr>
            <w:tcW w:w="7253" w:type="dxa"/>
            <w:vAlign w:val="center"/>
          </w:tcPr>
          <w:p w14:paraId="13F71692">
            <w:pPr>
              <w:jc w:val="center"/>
              <w:rPr>
                <w:rFonts w:hint="eastAsia" w:ascii="宋体" w:hAnsi="宋体" w:eastAsia="宋体" w:cs="宋体"/>
                <w:b/>
                <w:bCs/>
                <w:sz w:val="24"/>
              </w:rPr>
            </w:pPr>
            <w:r>
              <w:rPr>
                <w:rFonts w:hint="eastAsia" w:ascii="宋体" w:hAnsi="宋体" w:eastAsia="宋体" w:cs="宋体"/>
                <w:b/>
                <w:bCs/>
                <w:sz w:val="24"/>
              </w:rPr>
              <w:t>内容</w:t>
            </w:r>
          </w:p>
        </w:tc>
      </w:tr>
      <w:tr w14:paraId="7E7A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A7AFB8">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w:t>
            </w:r>
          </w:p>
        </w:tc>
        <w:tc>
          <w:tcPr>
            <w:tcW w:w="1701" w:type="dxa"/>
            <w:vAlign w:val="center"/>
          </w:tcPr>
          <w:p w14:paraId="73638056">
            <w:pPr>
              <w:jc w:val="center"/>
              <w:rPr>
                <w:rFonts w:hint="eastAsia" w:ascii="宋体" w:hAnsi="宋体" w:eastAsia="宋体" w:cs="宋体"/>
                <w:sz w:val="24"/>
              </w:rPr>
            </w:pPr>
            <w:r>
              <w:rPr>
                <w:rFonts w:hint="eastAsia" w:ascii="宋体" w:hAnsi="宋体" w:eastAsia="宋体" w:cs="宋体"/>
                <w:sz w:val="24"/>
              </w:rPr>
              <w:t>项目属性</w:t>
            </w:r>
          </w:p>
        </w:tc>
        <w:tc>
          <w:tcPr>
            <w:tcW w:w="7253" w:type="dxa"/>
            <w:vAlign w:val="center"/>
          </w:tcPr>
          <w:p w14:paraId="7BF4D88D">
            <w:pPr>
              <w:jc w:val="left"/>
              <w:rPr>
                <w:rFonts w:hint="eastAsia" w:ascii="宋体" w:hAnsi="宋体" w:eastAsia="宋体" w:cs="宋体"/>
                <w:sz w:val="24"/>
              </w:rPr>
            </w:pPr>
            <w:r>
              <w:rPr>
                <w:rFonts w:hint="eastAsia" w:ascii="宋体" w:hAnsi="宋体" w:eastAsia="宋体" w:cs="宋体"/>
                <w:sz w:val="24"/>
              </w:rPr>
              <w:t>项目属性：</w:t>
            </w:r>
          </w:p>
          <w:p w14:paraId="77F209CB">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服务</w:t>
            </w:r>
          </w:p>
          <w:p w14:paraId="6615F959">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货物</w:t>
            </w:r>
          </w:p>
          <w:p w14:paraId="349DE770">
            <w:pPr>
              <w:jc w:val="left"/>
              <w:rPr>
                <w:rFonts w:hint="eastAsia" w:ascii="宋体" w:hAnsi="宋体" w:eastAsia="宋体" w:cs="宋体"/>
                <w:sz w:val="24"/>
              </w:rPr>
            </w:pPr>
            <w:r>
              <w:rPr>
                <w:rFonts w:hint="eastAsia" w:ascii="宋体" w:hAnsi="宋体" w:eastAsia="宋体" w:cs="宋体"/>
                <w:sz w:val="24"/>
              </w:rPr>
              <w:t>■工程</w:t>
            </w:r>
          </w:p>
        </w:tc>
      </w:tr>
      <w:tr w14:paraId="7DC4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742BD0">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w:t>
            </w:r>
          </w:p>
        </w:tc>
        <w:tc>
          <w:tcPr>
            <w:tcW w:w="1701" w:type="dxa"/>
            <w:vAlign w:val="center"/>
          </w:tcPr>
          <w:p w14:paraId="3163F053">
            <w:pPr>
              <w:jc w:val="center"/>
              <w:rPr>
                <w:rFonts w:hint="eastAsia" w:ascii="宋体" w:hAnsi="宋体" w:eastAsia="宋体" w:cs="宋体"/>
                <w:sz w:val="24"/>
              </w:rPr>
            </w:pPr>
            <w:r>
              <w:rPr>
                <w:rFonts w:hint="eastAsia" w:ascii="宋体" w:hAnsi="宋体" w:eastAsia="宋体" w:cs="宋体"/>
                <w:sz w:val="24"/>
              </w:rPr>
              <w:t>科研仪器设备</w:t>
            </w:r>
          </w:p>
        </w:tc>
        <w:tc>
          <w:tcPr>
            <w:tcW w:w="7253" w:type="dxa"/>
            <w:vAlign w:val="center"/>
          </w:tcPr>
          <w:p w14:paraId="519833FB">
            <w:pPr>
              <w:jc w:val="left"/>
              <w:rPr>
                <w:rFonts w:hint="eastAsia" w:ascii="宋体" w:hAnsi="宋体" w:eastAsia="宋体" w:cs="宋体"/>
                <w:sz w:val="24"/>
              </w:rPr>
            </w:pPr>
            <w:r>
              <w:rPr>
                <w:rFonts w:hint="eastAsia" w:ascii="宋体" w:hAnsi="宋体" w:eastAsia="宋体" w:cs="宋体"/>
                <w:sz w:val="24"/>
              </w:rPr>
              <w:t>是否属于科研仪器设备采购项目：</w:t>
            </w:r>
          </w:p>
          <w:p w14:paraId="1CF2BD0A">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是</w:t>
            </w:r>
          </w:p>
          <w:p w14:paraId="1CB9911D">
            <w:pPr>
              <w:jc w:val="left"/>
              <w:rPr>
                <w:rFonts w:hint="eastAsia" w:ascii="宋体" w:hAnsi="宋体" w:eastAsia="宋体" w:cs="宋体"/>
                <w:sz w:val="24"/>
              </w:rPr>
            </w:pPr>
            <w:r>
              <w:rPr>
                <w:rFonts w:hint="eastAsia" w:ascii="宋体" w:hAnsi="宋体" w:eastAsia="宋体" w:cs="宋体"/>
                <w:sz w:val="24"/>
              </w:rPr>
              <w:t>■否</w:t>
            </w:r>
          </w:p>
        </w:tc>
      </w:tr>
      <w:tr w14:paraId="7AAE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637EAD7">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3.1</w:t>
            </w:r>
          </w:p>
        </w:tc>
        <w:tc>
          <w:tcPr>
            <w:tcW w:w="1701" w:type="dxa"/>
            <w:vAlign w:val="center"/>
          </w:tcPr>
          <w:p w14:paraId="2A7ACD70">
            <w:pPr>
              <w:jc w:val="center"/>
              <w:rPr>
                <w:rFonts w:hint="eastAsia" w:ascii="宋体" w:hAnsi="宋体" w:eastAsia="宋体" w:cs="宋体"/>
                <w:sz w:val="24"/>
              </w:rPr>
            </w:pPr>
            <w:r>
              <w:rPr>
                <w:rFonts w:hint="eastAsia" w:ascii="宋体" w:hAnsi="宋体" w:eastAsia="宋体" w:cs="宋体"/>
                <w:sz w:val="24"/>
              </w:rPr>
              <w:t>现场考察</w:t>
            </w:r>
          </w:p>
        </w:tc>
        <w:tc>
          <w:tcPr>
            <w:tcW w:w="7253" w:type="dxa"/>
            <w:vAlign w:val="center"/>
          </w:tcPr>
          <w:p w14:paraId="5D61D7A2">
            <w:pPr>
              <w:jc w:val="left"/>
              <w:rPr>
                <w:rFonts w:hint="eastAsia" w:ascii="宋体" w:hAnsi="宋体" w:eastAsia="宋体" w:cs="宋体"/>
                <w:sz w:val="24"/>
              </w:rPr>
            </w:pPr>
            <w:r>
              <w:rPr>
                <w:rFonts w:hint="eastAsia" w:ascii="宋体" w:hAnsi="宋体" w:eastAsia="宋体" w:cs="宋体"/>
                <w:sz w:val="24"/>
              </w:rPr>
              <w:t>■不组织</w:t>
            </w:r>
          </w:p>
          <w:p w14:paraId="02E1A2B9">
            <w:pPr>
              <w:jc w:val="left"/>
              <w:rPr>
                <w:rFonts w:hint="eastAsia" w:ascii="宋体" w:hAnsi="宋体" w:eastAsia="宋体" w:cs="宋体"/>
                <w:bCs/>
                <w:sz w:val="24"/>
              </w:rPr>
            </w:pPr>
            <w:r>
              <w:rPr>
                <w:rFonts w:hint="eastAsia" w:ascii="宋体" w:hAnsi="宋体" w:eastAsia="宋体" w:cs="宋体"/>
              </w:rPr>
              <w:t>□</w:t>
            </w:r>
            <w:r>
              <w:rPr>
                <w:rFonts w:hint="eastAsia" w:ascii="宋体" w:hAnsi="宋体" w:eastAsia="宋体" w:cs="宋体"/>
                <w:sz w:val="24"/>
              </w:rPr>
              <w:t>组织，考察时间：___</w:t>
            </w:r>
            <w:r>
              <w:rPr>
                <w:rFonts w:hint="eastAsia" w:ascii="宋体" w:hAnsi="宋体" w:eastAsia="宋体" w:cs="宋体"/>
                <w:sz w:val="24"/>
                <w:lang w:bidi="ar"/>
              </w:rPr>
              <w:t>年</w:t>
            </w:r>
            <w:r>
              <w:rPr>
                <w:rFonts w:hint="eastAsia" w:ascii="宋体" w:hAnsi="宋体" w:eastAsia="宋体" w:cs="宋体"/>
                <w:sz w:val="24"/>
              </w:rPr>
              <w:t>___</w:t>
            </w:r>
            <w:r>
              <w:rPr>
                <w:rFonts w:hint="eastAsia" w:ascii="宋体" w:hAnsi="宋体" w:eastAsia="宋体" w:cs="宋体"/>
                <w:sz w:val="24"/>
                <w:lang w:bidi="ar"/>
              </w:rPr>
              <w:t>月</w:t>
            </w:r>
            <w:r>
              <w:rPr>
                <w:rFonts w:hint="eastAsia" w:ascii="宋体" w:hAnsi="宋体" w:eastAsia="宋体" w:cs="宋体"/>
                <w:sz w:val="24"/>
              </w:rPr>
              <w:t>___</w:t>
            </w:r>
            <w:r>
              <w:rPr>
                <w:rFonts w:hint="eastAsia" w:ascii="宋体" w:hAnsi="宋体" w:eastAsia="宋体" w:cs="宋体"/>
                <w:sz w:val="24"/>
                <w:lang w:bidi="ar"/>
              </w:rPr>
              <w:t>日</w:t>
            </w:r>
            <w:r>
              <w:rPr>
                <w:rFonts w:hint="eastAsia" w:ascii="宋体" w:hAnsi="宋体" w:eastAsia="宋体" w:cs="宋体"/>
                <w:sz w:val="24"/>
              </w:rPr>
              <w:t>___</w:t>
            </w:r>
            <w:r>
              <w:rPr>
                <w:rFonts w:hint="eastAsia" w:ascii="宋体" w:hAnsi="宋体" w:eastAsia="宋体" w:cs="宋体"/>
                <w:sz w:val="24"/>
                <w:lang w:bidi="ar"/>
              </w:rPr>
              <w:t>点</w:t>
            </w:r>
            <w:r>
              <w:rPr>
                <w:rFonts w:hint="eastAsia" w:ascii="宋体" w:hAnsi="宋体" w:eastAsia="宋体" w:cs="宋体"/>
                <w:sz w:val="24"/>
              </w:rPr>
              <w:t>___</w:t>
            </w:r>
            <w:r>
              <w:rPr>
                <w:rFonts w:hint="eastAsia" w:ascii="宋体" w:hAnsi="宋体" w:eastAsia="宋体" w:cs="宋体"/>
                <w:sz w:val="24"/>
                <w:lang w:bidi="ar"/>
              </w:rPr>
              <w:t>分</w:t>
            </w:r>
          </w:p>
          <w:p w14:paraId="4B0E88BB">
            <w:pPr>
              <w:pStyle w:val="23"/>
              <w:adjustRightInd w:val="0"/>
              <w:snapToGrid w:val="0"/>
              <w:rPr>
                <w:rFonts w:hint="eastAsia" w:ascii="宋体" w:hAnsi="宋体" w:eastAsia="宋体" w:cs="宋体"/>
                <w:sz w:val="24"/>
              </w:rPr>
            </w:pPr>
            <w:r>
              <w:rPr>
                <w:rFonts w:hint="eastAsia" w:ascii="宋体" w:hAnsi="宋体" w:eastAsia="宋体" w:cs="宋体"/>
                <w:sz w:val="24"/>
              </w:rPr>
              <w:t>考察地点：___________。</w:t>
            </w:r>
          </w:p>
        </w:tc>
      </w:tr>
      <w:tr w14:paraId="0D34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E482CA2">
            <w:pPr>
              <w:pStyle w:val="23"/>
              <w:adjustRightInd w:val="0"/>
              <w:snapToGrid w:val="0"/>
              <w:jc w:val="center"/>
              <w:rPr>
                <w:rFonts w:hint="eastAsia" w:ascii="宋体" w:hAnsi="宋体" w:eastAsia="宋体" w:cs="宋体"/>
                <w:sz w:val="24"/>
                <w:szCs w:val="24"/>
              </w:rPr>
            </w:pPr>
          </w:p>
        </w:tc>
        <w:tc>
          <w:tcPr>
            <w:tcW w:w="1701" w:type="dxa"/>
            <w:vAlign w:val="center"/>
          </w:tcPr>
          <w:p w14:paraId="5C2EA41D">
            <w:pPr>
              <w:jc w:val="center"/>
              <w:rPr>
                <w:rFonts w:hint="eastAsia" w:ascii="宋体" w:hAnsi="宋体" w:eastAsia="宋体" w:cs="宋体"/>
                <w:sz w:val="24"/>
              </w:rPr>
            </w:pPr>
            <w:r>
              <w:rPr>
                <w:rFonts w:hint="eastAsia" w:ascii="宋体" w:hAnsi="宋体" w:eastAsia="宋体" w:cs="宋体"/>
                <w:sz w:val="24"/>
              </w:rPr>
              <w:t>磋商前答疑会</w:t>
            </w:r>
          </w:p>
        </w:tc>
        <w:tc>
          <w:tcPr>
            <w:tcW w:w="7253" w:type="dxa"/>
            <w:vAlign w:val="center"/>
          </w:tcPr>
          <w:p w14:paraId="7C045CCD">
            <w:pPr>
              <w:jc w:val="left"/>
              <w:rPr>
                <w:rFonts w:hint="eastAsia" w:ascii="宋体" w:hAnsi="宋体" w:eastAsia="宋体" w:cs="宋体"/>
                <w:sz w:val="24"/>
              </w:rPr>
            </w:pPr>
            <w:r>
              <w:rPr>
                <w:rFonts w:hint="eastAsia" w:ascii="宋体" w:hAnsi="宋体" w:eastAsia="宋体" w:cs="宋体"/>
                <w:sz w:val="24"/>
              </w:rPr>
              <w:t>■不召开</w:t>
            </w:r>
          </w:p>
          <w:p w14:paraId="1F603132">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召开，召开时间：___</w:t>
            </w:r>
            <w:r>
              <w:rPr>
                <w:rFonts w:hint="eastAsia" w:ascii="宋体" w:hAnsi="宋体" w:eastAsia="宋体" w:cs="宋体"/>
                <w:sz w:val="24"/>
                <w:lang w:bidi="ar"/>
              </w:rPr>
              <w:t>年</w:t>
            </w:r>
            <w:r>
              <w:rPr>
                <w:rFonts w:hint="eastAsia" w:ascii="宋体" w:hAnsi="宋体" w:eastAsia="宋体" w:cs="宋体"/>
                <w:sz w:val="24"/>
              </w:rPr>
              <w:t>___</w:t>
            </w:r>
            <w:r>
              <w:rPr>
                <w:rFonts w:hint="eastAsia" w:ascii="宋体" w:hAnsi="宋体" w:eastAsia="宋体" w:cs="宋体"/>
                <w:sz w:val="24"/>
                <w:lang w:bidi="ar"/>
              </w:rPr>
              <w:t>月</w:t>
            </w:r>
            <w:r>
              <w:rPr>
                <w:rFonts w:hint="eastAsia" w:ascii="宋体" w:hAnsi="宋体" w:eastAsia="宋体" w:cs="宋体"/>
                <w:sz w:val="24"/>
              </w:rPr>
              <w:t>___</w:t>
            </w:r>
            <w:r>
              <w:rPr>
                <w:rFonts w:hint="eastAsia" w:ascii="宋体" w:hAnsi="宋体" w:eastAsia="宋体" w:cs="宋体"/>
                <w:sz w:val="24"/>
                <w:lang w:bidi="ar"/>
              </w:rPr>
              <w:t>日</w:t>
            </w:r>
            <w:r>
              <w:rPr>
                <w:rFonts w:hint="eastAsia" w:ascii="宋体" w:hAnsi="宋体" w:eastAsia="宋体" w:cs="宋体"/>
                <w:sz w:val="24"/>
              </w:rPr>
              <w:t>___</w:t>
            </w:r>
            <w:r>
              <w:rPr>
                <w:rFonts w:hint="eastAsia" w:ascii="宋体" w:hAnsi="宋体" w:eastAsia="宋体" w:cs="宋体"/>
                <w:sz w:val="24"/>
                <w:lang w:bidi="ar"/>
              </w:rPr>
              <w:t>点</w:t>
            </w:r>
            <w:r>
              <w:rPr>
                <w:rFonts w:hint="eastAsia" w:ascii="宋体" w:hAnsi="宋体" w:eastAsia="宋体" w:cs="宋体"/>
                <w:sz w:val="24"/>
              </w:rPr>
              <w:t>___</w:t>
            </w:r>
            <w:r>
              <w:rPr>
                <w:rFonts w:hint="eastAsia" w:ascii="宋体" w:hAnsi="宋体" w:eastAsia="宋体" w:cs="宋体"/>
                <w:sz w:val="24"/>
                <w:lang w:bidi="ar"/>
              </w:rPr>
              <w:t>分</w:t>
            </w:r>
          </w:p>
          <w:p w14:paraId="11C74A9F">
            <w:pPr>
              <w:jc w:val="left"/>
              <w:rPr>
                <w:rFonts w:hint="eastAsia" w:ascii="宋体" w:hAnsi="宋体" w:eastAsia="宋体" w:cs="宋体"/>
                <w:sz w:val="24"/>
              </w:rPr>
            </w:pPr>
            <w:r>
              <w:rPr>
                <w:rFonts w:hint="eastAsia" w:ascii="宋体" w:hAnsi="宋体" w:eastAsia="宋体" w:cs="宋体"/>
                <w:sz w:val="24"/>
              </w:rPr>
              <w:t>召开地点：___________。</w:t>
            </w:r>
          </w:p>
        </w:tc>
      </w:tr>
      <w:tr w14:paraId="4095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95F5088">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4.3.5</w:t>
            </w:r>
          </w:p>
        </w:tc>
        <w:tc>
          <w:tcPr>
            <w:tcW w:w="1701" w:type="dxa"/>
            <w:vAlign w:val="center"/>
          </w:tcPr>
          <w:p w14:paraId="72F5BD49">
            <w:pPr>
              <w:jc w:val="center"/>
              <w:rPr>
                <w:rFonts w:hint="eastAsia" w:ascii="宋体" w:hAnsi="宋体" w:eastAsia="宋体" w:cs="宋体"/>
                <w:sz w:val="24"/>
              </w:rPr>
            </w:pPr>
            <w:r>
              <w:rPr>
                <w:rFonts w:hint="eastAsia" w:ascii="宋体" w:hAnsi="宋体" w:eastAsia="宋体" w:cs="宋体"/>
                <w:sz w:val="24"/>
              </w:rPr>
              <w:t>标的所属行业</w:t>
            </w:r>
          </w:p>
        </w:tc>
        <w:tc>
          <w:tcPr>
            <w:tcW w:w="7253" w:type="dxa"/>
            <w:vAlign w:val="center"/>
          </w:tcPr>
          <w:p w14:paraId="60E48EB1">
            <w:pPr>
              <w:jc w:val="left"/>
              <w:rPr>
                <w:rFonts w:hint="eastAsia" w:ascii="宋体" w:hAnsi="宋体" w:eastAsia="宋体" w:cs="宋体"/>
                <w:sz w:val="24"/>
              </w:rPr>
            </w:pPr>
            <w:r>
              <w:rPr>
                <w:rFonts w:hint="eastAsia" w:ascii="宋体" w:hAnsi="宋体" w:eastAsia="宋体" w:cs="宋体"/>
                <w:sz w:val="24"/>
              </w:rPr>
              <w:t>本项目采购标的对应的中小企业划分标准所属行业：</w:t>
            </w:r>
          </w:p>
          <w:tbl>
            <w:tblPr>
              <w:tblStyle w:val="48"/>
              <w:tblW w:w="49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843"/>
              <w:gridCol w:w="3391"/>
            </w:tblGrid>
            <w:tr w14:paraId="28B0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7" w:type="pct"/>
                  <w:tcBorders>
                    <w:top w:val="single" w:color="auto" w:sz="4" w:space="0"/>
                    <w:left w:val="single" w:color="auto" w:sz="4" w:space="0"/>
                    <w:bottom w:val="single" w:color="auto" w:sz="4" w:space="0"/>
                    <w:right w:val="single" w:color="auto" w:sz="4" w:space="0"/>
                  </w:tcBorders>
                  <w:vAlign w:val="center"/>
                </w:tcPr>
                <w:p w14:paraId="34AB8DAD">
                  <w:pPr>
                    <w:jc w:val="center"/>
                    <w:rPr>
                      <w:rFonts w:hint="eastAsia" w:ascii="宋体" w:hAnsi="宋体" w:eastAsia="宋体" w:cs="宋体"/>
                      <w:bCs/>
                      <w:sz w:val="24"/>
                    </w:rPr>
                  </w:pPr>
                  <w:r>
                    <w:rPr>
                      <w:rFonts w:hint="eastAsia" w:ascii="宋体" w:hAnsi="宋体" w:eastAsia="宋体" w:cs="宋体"/>
                      <w:bCs/>
                      <w:sz w:val="24"/>
                    </w:rPr>
                    <w:t>包号</w:t>
                  </w:r>
                </w:p>
              </w:tc>
              <w:tc>
                <w:tcPr>
                  <w:tcW w:w="2040" w:type="pct"/>
                  <w:tcBorders>
                    <w:top w:val="single" w:color="auto" w:sz="4" w:space="0"/>
                    <w:left w:val="single" w:color="auto" w:sz="4" w:space="0"/>
                    <w:bottom w:val="single" w:color="auto" w:sz="4" w:space="0"/>
                    <w:right w:val="single" w:color="auto" w:sz="4" w:space="0"/>
                  </w:tcBorders>
                  <w:vAlign w:val="center"/>
                </w:tcPr>
                <w:p w14:paraId="60CB792F">
                  <w:pPr>
                    <w:jc w:val="center"/>
                    <w:rPr>
                      <w:rFonts w:hint="eastAsia" w:ascii="宋体" w:hAnsi="宋体" w:eastAsia="宋体" w:cs="宋体"/>
                      <w:bCs/>
                      <w:sz w:val="24"/>
                    </w:rPr>
                  </w:pPr>
                  <w:r>
                    <w:rPr>
                      <w:rFonts w:hint="eastAsia" w:ascii="宋体" w:hAnsi="宋体" w:eastAsia="宋体" w:cs="宋体"/>
                      <w:bCs/>
                      <w:sz w:val="24"/>
                    </w:rPr>
                    <w:t>标的名称</w:t>
                  </w:r>
                </w:p>
              </w:tc>
              <w:tc>
                <w:tcPr>
                  <w:tcW w:w="2433" w:type="pct"/>
                  <w:tcBorders>
                    <w:top w:val="single" w:color="auto" w:sz="4" w:space="0"/>
                    <w:left w:val="single" w:color="auto" w:sz="4" w:space="0"/>
                    <w:bottom w:val="single" w:color="auto" w:sz="4" w:space="0"/>
                    <w:right w:val="single" w:color="auto" w:sz="4" w:space="0"/>
                  </w:tcBorders>
                  <w:vAlign w:val="center"/>
                </w:tcPr>
                <w:p w14:paraId="5CD6168F">
                  <w:pPr>
                    <w:jc w:val="center"/>
                    <w:rPr>
                      <w:rFonts w:hint="eastAsia" w:ascii="宋体" w:hAnsi="宋体" w:eastAsia="宋体" w:cs="宋体"/>
                      <w:sz w:val="24"/>
                    </w:rPr>
                  </w:pPr>
                  <w:r>
                    <w:rPr>
                      <w:rFonts w:hint="eastAsia" w:ascii="宋体" w:hAnsi="宋体" w:eastAsia="宋体" w:cs="宋体"/>
                      <w:sz w:val="24"/>
                    </w:rPr>
                    <w:t>中小企业划分标准所属行业</w:t>
                  </w:r>
                </w:p>
              </w:tc>
            </w:tr>
            <w:tr w14:paraId="5A82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27" w:type="pct"/>
                  <w:tcBorders>
                    <w:top w:val="single" w:color="auto" w:sz="4" w:space="0"/>
                    <w:left w:val="single" w:color="auto" w:sz="4" w:space="0"/>
                    <w:bottom w:val="single" w:color="auto" w:sz="4" w:space="0"/>
                    <w:right w:val="single" w:color="auto" w:sz="4" w:space="0"/>
                  </w:tcBorders>
                  <w:vAlign w:val="center"/>
                </w:tcPr>
                <w:p w14:paraId="40FD2733">
                  <w:pPr>
                    <w:jc w:val="center"/>
                    <w:rPr>
                      <w:rFonts w:hint="eastAsia" w:ascii="宋体" w:hAnsi="宋体" w:eastAsia="宋体" w:cs="宋体"/>
                      <w:bCs/>
                      <w:sz w:val="24"/>
                    </w:rPr>
                  </w:pPr>
                  <w:r>
                    <w:rPr>
                      <w:rFonts w:hint="eastAsia" w:ascii="宋体" w:hAnsi="宋体" w:eastAsia="宋体" w:cs="宋体"/>
                      <w:bCs/>
                      <w:sz w:val="24"/>
                    </w:rPr>
                    <w:t>01</w:t>
                  </w:r>
                </w:p>
              </w:tc>
              <w:tc>
                <w:tcPr>
                  <w:tcW w:w="2040" w:type="pct"/>
                  <w:tcBorders>
                    <w:top w:val="single" w:color="auto" w:sz="4" w:space="0"/>
                    <w:left w:val="single" w:color="auto" w:sz="4" w:space="0"/>
                    <w:bottom w:val="single" w:color="auto" w:sz="4" w:space="0"/>
                    <w:right w:val="single" w:color="auto" w:sz="4" w:space="0"/>
                  </w:tcBorders>
                  <w:vAlign w:val="center"/>
                </w:tcPr>
                <w:p w14:paraId="5DE42731">
                  <w:pPr>
                    <w:rPr>
                      <w:rFonts w:hint="eastAsia" w:ascii="宋体" w:hAnsi="宋体" w:eastAsia="宋体" w:cs="宋体"/>
                      <w:bCs/>
                      <w:sz w:val="24"/>
                      <w:lang w:eastAsia="zh-CN"/>
                    </w:rPr>
                  </w:pPr>
                  <w:r>
                    <w:rPr>
                      <w:rFonts w:hint="eastAsia" w:ascii="宋体" w:hAnsi="宋体" w:cs="宋体"/>
                      <w:sz w:val="24"/>
                      <w:lang w:eastAsia="zh-CN"/>
                    </w:rPr>
                    <w:t>密云区太师屯镇民族村基础设施灾后修复及防灾减灾能力提升项目</w:t>
                  </w:r>
                </w:p>
              </w:tc>
              <w:tc>
                <w:tcPr>
                  <w:tcW w:w="2433" w:type="pct"/>
                  <w:tcBorders>
                    <w:top w:val="single" w:color="auto" w:sz="4" w:space="0"/>
                    <w:left w:val="single" w:color="auto" w:sz="4" w:space="0"/>
                    <w:bottom w:val="single" w:color="auto" w:sz="4" w:space="0"/>
                    <w:right w:val="single" w:color="auto" w:sz="4" w:space="0"/>
                  </w:tcBorders>
                  <w:vAlign w:val="center"/>
                </w:tcPr>
                <w:p w14:paraId="53FFD5B4">
                  <w:pPr>
                    <w:jc w:val="center"/>
                    <w:rPr>
                      <w:rFonts w:hint="eastAsia" w:ascii="宋体" w:hAnsi="宋体" w:eastAsia="宋体" w:cs="宋体"/>
                      <w:kern w:val="0"/>
                      <w:sz w:val="24"/>
                    </w:rPr>
                  </w:pPr>
                  <w:r>
                    <w:rPr>
                      <w:rFonts w:hint="eastAsia" w:ascii="宋体" w:hAnsi="宋体" w:eastAsia="宋体" w:cs="宋体"/>
                      <w:sz w:val="24"/>
                    </w:rPr>
                    <w:t>建筑业</w:t>
                  </w:r>
                </w:p>
              </w:tc>
            </w:tr>
          </w:tbl>
          <w:p w14:paraId="2CF87A56">
            <w:pPr>
              <w:jc w:val="left"/>
              <w:rPr>
                <w:rFonts w:hint="eastAsia" w:ascii="宋体" w:hAnsi="宋体" w:eastAsia="宋体" w:cs="宋体"/>
                <w:sz w:val="24"/>
              </w:rPr>
            </w:pPr>
          </w:p>
        </w:tc>
      </w:tr>
      <w:tr w14:paraId="0C19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58A8A78">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10.2</w:t>
            </w:r>
          </w:p>
        </w:tc>
        <w:tc>
          <w:tcPr>
            <w:tcW w:w="1701" w:type="dxa"/>
            <w:vAlign w:val="center"/>
          </w:tcPr>
          <w:p w14:paraId="0440D961">
            <w:pPr>
              <w:jc w:val="center"/>
              <w:rPr>
                <w:rFonts w:hint="eastAsia" w:ascii="宋体" w:hAnsi="宋体" w:eastAsia="宋体" w:cs="宋体"/>
                <w:sz w:val="24"/>
              </w:rPr>
            </w:pPr>
            <w:r>
              <w:rPr>
                <w:rFonts w:hint="eastAsia" w:ascii="宋体" w:hAnsi="宋体" w:eastAsia="宋体" w:cs="宋体"/>
                <w:sz w:val="24"/>
              </w:rPr>
              <w:t>报价</w:t>
            </w:r>
          </w:p>
        </w:tc>
        <w:tc>
          <w:tcPr>
            <w:tcW w:w="7253" w:type="dxa"/>
            <w:vAlign w:val="center"/>
          </w:tcPr>
          <w:p w14:paraId="1C772949">
            <w:pPr>
              <w:jc w:val="left"/>
              <w:rPr>
                <w:rFonts w:hint="eastAsia" w:ascii="宋体" w:hAnsi="宋体" w:eastAsia="宋体" w:cs="宋体"/>
                <w:sz w:val="24"/>
              </w:rPr>
            </w:pPr>
            <w:r>
              <w:rPr>
                <w:rFonts w:hint="eastAsia" w:ascii="宋体" w:hAnsi="宋体" w:eastAsia="宋体" w:cs="宋体"/>
                <w:sz w:val="24"/>
              </w:rPr>
              <w:t>报价的特殊规定：</w:t>
            </w:r>
          </w:p>
          <w:p w14:paraId="547F6052">
            <w:pPr>
              <w:jc w:val="left"/>
              <w:rPr>
                <w:rFonts w:hint="eastAsia" w:ascii="宋体" w:hAnsi="宋体" w:eastAsia="宋体" w:cs="宋体"/>
                <w:sz w:val="24"/>
              </w:rPr>
            </w:pPr>
            <w:r>
              <w:rPr>
                <w:rFonts w:hint="eastAsia" w:ascii="宋体" w:hAnsi="宋体" w:eastAsia="宋体" w:cs="宋体"/>
                <w:sz w:val="24"/>
              </w:rPr>
              <w:t>■无</w:t>
            </w:r>
          </w:p>
          <w:p w14:paraId="58E03FC2">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有，具体情形：___________。</w:t>
            </w:r>
          </w:p>
        </w:tc>
      </w:tr>
      <w:tr w14:paraId="2B0B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416990">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11.1</w:t>
            </w:r>
          </w:p>
        </w:tc>
        <w:tc>
          <w:tcPr>
            <w:tcW w:w="1701" w:type="dxa"/>
            <w:vMerge w:val="restart"/>
            <w:vAlign w:val="center"/>
          </w:tcPr>
          <w:p w14:paraId="43B8126F">
            <w:pPr>
              <w:jc w:val="center"/>
              <w:rPr>
                <w:rFonts w:hint="eastAsia" w:ascii="宋体" w:hAnsi="宋体" w:eastAsia="宋体" w:cs="宋体"/>
                <w:sz w:val="24"/>
              </w:rPr>
            </w:pPr>
            <w:r>
              <w:rPr>
                <w:rFonts w:hint="eastAsia" w:ascii="宋体" w:hAnsi="宋体" w:eastAsia="宋体" w:cs="宋体"/>
                <w:sz w:val="24"/>
              </w:rPr>
              <w:t>磋商保证金</w:t>
            </w:r>
          </w:p>
        </w:tc>
        <w:tc>
          <w:tcPr>
            <w:tcW w:w="7253" w:type="dxa"/>
            <w:vAlign w:val="center"/>
          </w:tcPr>
          <w:p w14:paraId="0584DE6B">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磋商保证金金额：</w:t>
            </w:r>
          </w:p>
          <w:p w14:paraId="348C3012">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01包：</w:t>
            </w:r>
            <w:r>
              <w:rPr>
                <w:rFonts w:hint="eastAsia" w:ascii="宋体" w:hAnsi="宋体" w:eastAsia="宋体" w:cs="宋体"/>
                <w:sz w:val="24"/>
              </w:rPr>
              <w:t>___________</w:t>
            </w:r>
            <w:r>
              <w:rPr>
                <w:rFonts w:hint="eastAsia" w:ascii="宋体" w:hAnsi="宋体" w:eastAsia="宋体" w:cs="宋体"/>
                <w:sz w:val="24"/>
                <w:szCs w:val="24"/>
              </w:rPr>
              <w:t>；</w:t>
            </w:r>
          </w:p>
          <w:p w14:paraId="5844C375">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 包：</w:t>
            </w:r>
            <w:r>
              <w:rPr>
                <w:rFonts w:hint="eastAsia" w:ascii="宋体" w:hAnsi="宋体" w:eastAsia="宋体" w:cs="宋体"/>
                <w:sz w:val="24"/>
              </w:rPr>
              <w:t>___________</w:t>
            </w:r>
            <w:r>
              <w:rPr>
                <w:rFonts w:hint="eastAsia" w:ascii="宋体" w:hAnsi="宋体" w:eastAsia="宋体" w:cs="宋体"/>
                <w:sz w:val="24"/>
                <w:szCs w:val="24"/>
              </w:rPr>
              <w:t>。</w:t>
            </w:r>
          </w:p>
          <w:p w14:paraId="59016EB7">
            <w:pPr>
              <w:jc w:val="left"/>
              <w:rPr>
                <w:rFonts w:hint="eastAsia" w:ascii="宋体" w:hAnsi="宋体" w:eastAsia="宋体" w:cs="宋体"/>
                <w:sz w:val="24"/>
              </w:rPr>
            </w:pPr>
            <w:r>
              <w:rPr>
                <w:rFonts w:hint="eastAsia" w:ascii="宋体" w:hAnsi="宋体" w:eastAsia="宋体" w:cs="宋体"/>
                <w:sz w:val="24"/>
              </w:rPr>
              <w:t>磋商保证金收受人信息：___________。</w:t>
            </w:r>
          </w:p>
        </w:tc>
      </w:tr>
      <w:tr w14:paraId="2153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353581">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11.8.5</w:t>
            </w:r>
          </w:p>
        </w:tc>
        <w:tc>
          <w:tcPr>
            <w:tcW w:w="1701" w:type="dxa"/>
            <w:vMerge w:val="continue"/>
            <w:vAlign w:val="center"/>
          </w:tcPr>
          <w:p w14:paraId="6E2EE081">
            <w:pPr>
              <w:jc w:val="center"/>
              <w:rPr>
                <w:rFonts w:hint="eastAsia" w:ascii="宋体" w:hAnsi="宋体" w:eastAsia="宋体" w:cs="宋体"/>
                <w:sz w:val="24"/>
              </w:rPr>
            </w:pPr>
          </w:p>
        </w:tc>
        <w:tc>
          <w:tcPr>
            <w:tcW w:w="7253" w:type="dxa"/>
            <w:vAlign w:val="center"/>
          </w:tcPr>
          <w:p w14:paraId="2C4D6EAD">
            <w:pPr>
              <w:jc w:val="left"/>
              <w:rPr>
                <w:rFonts w:hint="eastAsia" w:ascii="宋体" w:hAnsi="宋体" w:eastAsia="宋体" w:cs="宋体"/>
                <w:sz w:val="24"/>
              </w:rPr>
            </w:pPr>
            <w:r>
              <w:rPr>
                <w:rFonts w:hint="eastAsia" w:ascii="宋体" w:hAnsi="宋体" w:eastAsia="宋体" w:cs="宋体"/>
                <w:sz w:val="24"/>
              </w:rPr>
              <w:t>磋商保证金不予退还的其他情形：</w:t>
            </w:r>
          </w:p>
          <w:p w14:paraId="32F18CAB">
            <w:pPr>
              <w:jc w:val="left"/>
              <w:rPr>
                <w:rFonts w:hint="eastAsia" w:ascii="宋体" w:hAnsi="宋体" w:eastAsia="宋体" w:cs="宋体"/>
                <w:sz w:val="24"/>
              </w:rPr>
            </w:pPr>
            <w:r>
              <w:rPr>
                <w:rFonts w:hint="eastAsia" w:ascii="宋体" w:hAnsi="宋体" w:eastAsia="宋体" w:cs="宋体"/>
                <w:sz w:val="24"/>
              </w:rPr>
              <w:t>■无</w:t>
            </w:r>
          </w:p>
          <w:p w14:paraId="6681BA45">
            <w:pPr>
              <w:pStyle w:val="23"/>
              <w:adjustRightInd w:val="0"/>
              <w:snapToGrid w:val="0"/>
              <w:rPr>
                <w:rFonts w:hint="eastAsia" w:ascii="宋体" w:hAnsi="宋体" w:eastAsia="宋体" w:cs="宋体"/>
                <w:sz w:val="24"/>
                <w:szCs w:val="24"/>
              </w:rPr>
            </w:pPr>
            <w:r>
              <w:rPr>
                <w:rFonts w:hint="eastAsia" w:ascii="宋体" w:hAnsi="宋体" w:eastAsia="宋体" w:cs="宋体"/>
              </w:rPr>
              <w:t>□</w:t>
            </w:r>
            <w:r>
              <w:rPr>
                <w:rFonts w:hint="eastAsia" w:ascii="宋体" w:hAnsi="宋体" w:eastAsia="宋体" w:cs="宋体"/>
                <w:sz w:val="24"/>
              </w:rPr>
              <w:t>有，具体情形：___________。</w:t>
            </w:r>
          </w:p>
        </w:tc>
      </w:tr>
      <w:tr w14:paraId="61FA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0A6846">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12.1</w:t>
            </w:r>
          </w:p>
        </w:tc>
        <w:tc>
          <w:tcPr>
            <w:tcW w:w="1701" w:type="dxa"/>
            <w:vAlign w:val="center"/>
          </w:tcPr>
          <w:p w14:paraId="0D133FE2">
            <w:pPr>
              <w:jc w:val="center"/>
              <w:rPr>
                <w:rFonts w:hint="eastAsia" w:ascii="宋体" w:hAnsi="宋体" w:eastAsia="宋体" w:cs="宋体"/>
                <w:sz w:val="24"/>
              </w:rPr>
            </w:pPr>
            <w:r>
              <w:rPr>
                <w:rFonts w:hint="eastAsia" w:ascii="宋体" w:hAnsi="宋体" w:eastAsia="宋体" w:cs="宋体"/>
                <w:sz w:val="24"/>
              </w:rPr>
              <w:t>响应有效期</w:t>
            </w:r>
          </w:p>
        </w:tc>
        <w:tc>
          <w:tcPr>
            <w:tcW w:w="7253" w:type="dxa"/>
            <w:vAlign w:val="center"/>
          </w:tcPr>
          <w:p w14:paraId="36F40E49">
            <w:pPr>
              <w:jc w:val="left"/>
              <w:rPr>
                <w:rFonts w:hint="eastAsia" w:ascii="宋体" w:hAnsi="宋体" w:eastAsia="宋体" w:cs="宋体"/>
                <w:sz w:val="24"/>
              </w:rPr>
            </w:pPr>
            <w:r>
              <w:rPr>
                <w:rFonts w:hint="eastAsia" w:ascii="宋体" w:hAnsi="宋体" w:eastAsia="宋体" w:cs="宋体"/>
                <w:sz w:val="24"/>
              </w:rPr>
              <w:t>自响应文件提交截止之日起算</w:t>
            </w:r>
            <w:r>
              <w:rPr>
                <w:rFonts w:hint="eastAsia" w:ascii="宋体" w:hAnsi="宋体" w:cs="宋体"/>
                <w:sz w:val="24"/>
                <w:u w:val="single"/>
                <w:lang w:val="en-US" w:eastAsia="zh-CN"/>
              </w:rPr>
              <w:t xml:space="preserve">  </w:t>
            </w:r>
            <w:r>
              <w:rPr>
                <w:rFonts w:hint="eastAsia" w:ascii="宋体" w:hAnsi="宋体" w:eastAsia="宋体" w:cs="宋体"/>
                <w:sz w:val="24"/>
                <w:u w:val="single"/>
              </w:rPr>
              <w:t>90</w:t>
            </w:r>
            <w:r>
              <w:rPr>
                <w:rFonts w:hint="eastAsia" w:ascii="宋体" w:hAnsi="宋体" w:cs="宋体"/>
                <w:sz w:val="24"/>
                <w:u w:val="single"/>
                <w:lang w:val="en-US" w:eastAsia="zh-CN"/>
              </w:rPr>
              <w:t xml:space="preserve">  </w:t>
            </w:r>
            <w:r>
              <w:rPr>
                <w:rFonts w:hint="eastAsia" w:ascii="宋体" w:hAnsi="宋体" w:eastAsia="宋体" w:cs="宋体"/>
                <w:sz w:val="24"/>
              </w:rPr>
              <w:t>日历天。</w:t>
            </w:r>
          </w:p>
        </w:tc>
      </w:tr>
      <w:tr w14:paraId="1A90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D86116">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17.2</w:t>
            </w:r>
          </w:p>
        </w:tc>
        <w:tc>
          <w:tcPr>
            <w:tcW w:w="1701" w:type="dxa"/>
            <w:vAlign w:val="center"/>
          </w:tcPr>
          <w:p w14:paraId="01DDA266">
            <w:pPr>
              <w:jc w:val="center"/>
              <w:rPr>
                <w:rFonts w:hint="eastAsia" w:ascii="宋体" w:hAnsi="宋体" w:eastAsia="宋体" w:cs="宋体"/>
                <w:sz w:val="24"/>
              </w:rPr>
            </w:pPr>
            <w:r>
              <w:rPr>
                <w:rFonts w:hint="eastAsia" w:ascii="宋体" w:hAnsi="宋体" w:eastAsia="宋体" w:cs="宋体"/>
                <w:sz w:val="24"/>
              </w:rPr>
              <w:t>解密时间</w:t>
            </w:r>
          </w:p>
        </w:tc>
        <w:tc>
          <w:tcPr>
            <w:tcW w:w="7253" w:type="dxa"/>
            <w:vAlign w:val="center"/>
          </w:tcPr>
          <w:p w14:paraId="2854A759">
            <w:pPr>
              <w:jc w:val="left"/>
              <w:rPr>
                <w:rFonts w:hint="eastAsia" w:ascii="宋体" w:hAnsi="宋体" w:eastAsia="宋体" w:cs="宋体"/>
                <w:sz w:val="24"/>
              </w:rPr>
            </w:pPr>
            <w:r>
              <w:rPr>
                <w:rFonts w:hint="eastAsia" w:ascii="宋体" w:hAnsi="宋体" w:eastAsia="宋体" w:cs="宋体"/>
                <w:sz w:val="24"/>
              </w:rPr>
              <w:t>解密时间：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3</w:t>
            </w:r>
            <w:r>
              <w:rPr>
                <w:rFonts w:hint="eastAsia" w:ascii="宋体" w:hAnsi="宋体" w:eastAsia="宋体" w:cs="宋体"/>
                <w:sz w:val="24"/>
                <w:u w:val="single"/>
              </w:rPr>
              <w:t xml:space="preserve">0   </w:t>
            </w:r>
            <w:r>
              <w:rPr>
                <w:rFonts w:hint="eastAsia" w:ascii="宋体" w:hAnsi="宋体" w:eastAsia="宋体" w:cs="宋体"/>
                <w:sz w:val="24"/>
              </w:rPr>
              <w:t>分钟</w:t>
            </w:r>
          </w:p>
        </w:tc>
      </w:tr>
      <w:tr w14:paraId="3766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D92C47">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20.1</w:t>
            </w:r>
          </w:p>
        </w:tc>
        <w:tc>
          <w:tcPr>
            <w:tcW w:w="1701" w:type="dxa"/>
            <w:vAlign w:val="center"/>
          </w:tcPr>
          <w:p w14:paraId="7C5FC7F2">
            <w:pPr>
              <w:jc w:val="center"/>
              <w:rPr>
                <w:rFonts w:hint="eastAsia" w:ascii="宋体" w:hAnsi="宋体" w:eastAsia="宋体" w:cs="宋体"/>
                <w:sz w:val="24"/>
              </w:rPr>
            </w:pPr>
            <w:r>
              <w:rPr>
                <w:rFonts w:hint="eastAsia" w:ascii="宋体" w:hAnsi="宋体" w:eastAsia="宋体" w:cs="宋体"/>
                <w:sz w:val="24"/>
              </w:rPr>
              <w:t>确定成交供应商</w:t>
            </w:r>
          </w:p>
        </w:tc>
        <w:tc>
          <w:tcPr>
            <w:tcW w:w="7253" w:type="dxa"/>
            <w:vAlign w:val="center"/>
          </w:tcPr>
          <w:p w14:paraId="114D2021">
            <w:pPr>
              <w:pStyle w:val="23"/>
              <w:adjustRightInd w:val="0"/>
              <w:snapToGrid w:val="0"/>
              <w:rPr>
                <w:rFonts w:hint="eastAsia" w:ascii="宋体" w:hAnsi="宋体" w:eastAsia="宋体" w:cs="宋体"/>
                <w:sz w:val="24"/>
              </w:rPr>
            </w:pPr>
            <w:r>
              <w:rPr>
                <w:rFonts w:hint="eastAsia" w:ascii="宋体" w:hAnsi="宋体" w:eastAsia="宋体" w:cs="宋体"/>
                <w:sz w:val="24"/>
              </w:rPr>
              <w:t>采购人是否</w:t>
            </w:r>
            <w:r>
              <w:rPr>
                <w:rFonts w:hint="eastAsia" w:ascii="宋体" w:hAnsi="宋体" w:eastAsia="宋体" w:cs="宋体"/>
                <w:color w:val="000000"/>
                <w:sz w:val="24"/>
              </w:rPr>
              <w:t>授权磋商小组直接确定成交供应商</w:t>
            </w:r>
            <w:r>
              <w:rPr>
                <w:rFonts w:hint="eastAsia" w:ascii="宋体" w:hAnsi="宋体" w:eastAsia="宋体" w:cs="宋体"/>
                <w:sz w:val="24"/>
              </w:rPr>
              <w:t>：</w:t>
            </w:r>
          </w:p>
          <w:p w14:paraId="48E74E9F">
            <w:pPr>
              <w:pStyle w:val="23"/>
              <w:adjustRightInd w:val="0"/>
              <w:snapToGrid w:val="0"/>
              <w:rPr>
                <w:rFonts w:hint="eastAsia" w:ascii="宋体" w:hAnsi="宋体" w:eastAsia="宋体" w:cs="宋体"/>
                <w:sz w:val="24"/>
              </w:rPr>
            </w:pPr>
            <w:r>
              <w:rPr>
                <w:rFonts w:hint="eastAsia" w:ascii="宋体" w:hAnsi="宋体" w:eastAsia="宋体" w:cs="宋体"/>
                <w:sz w:val="24"/>
              </w:rPr>
              <w:t>■否</w:t>
            </w:r>
          </w:p>
          <w:p w14:paraId="4E761DD9">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是</w:t>
            </w:r>
          </w:p>
          <w:p w14:paraId="0BF0E17C">
            <w:pPr>
              <w:jc w:val="left"/>
              <w:rPr>
                <w:rFonts w:hint="eastAsia" w:ascii="宋体" w:hAnsi="宋体" w:eastAsia="宋体" w:cs="宋体"/>
                <w:sz w:val="24"/>
                <w:u w:val="single"/>
              </w:rPr>
            </w:pPr>
            <w:r>
              <w:rPr>
                <w:rFonts w:hint="eastAsia" w:ascii="宋体" w:hAnsi="宋体" w:eastAsia="宋体" w:cs="宋体"/>
                <w:sz w:val="24"/>
              </w:rPr>
              <w:t>成交候选人并列的，按照以下方式确定成交供应商：</w:t>
            </w:r>
            <w:r>
              <w:rPr>
                <w:rFonts w:hint="eastAsia" w:ascii="宋体" w:hAnsi="宋体" w:eastAsia="宋体" w:cs="宋体"/>
                <w:sz w:val="24"/>
                <w:u w:val="single"/>
              </w:rPr>
              <w:t>以施工组织设计得分高者为中标人</w:t>
            </w:r>
            <w:r>
              <w:rPr>
                <w:rFonts w:hint="eastAsia" w:ascii="宋体" w:hAnsi="宋体" w:eastAsia="宋体" w:cs="宋体"/>
                <w:sz w:val="24"/>
              </w:rPr>
              <w:t>_。</w:t>
            </w:r>
          </w:p>
        </w:tc>
      </w:tr>
      <w:tr w14:paraId="691E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A1E6F9">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23.5</w:t>
            </w:r>
          </w:p>
        </w:tc>
        <w:tc>
          <w:tcPr>
            <w:tcW w:w="1701" w:type="dxa"/>
            <w:vAlign w:val="center"/>
          </w:tcPr>
          <w:p w14:paraId="7CBFBAAA">
            <w:pPr>
              <w:jc w:val="center"/>
              <w:rPr>
                <w:rFonts w:hint="eastAsia" w:ascii="宋体" w:hAnsi="宋体" w:eastAsia="宋体" w:cs="宋体"/>
                <w:sz w:val="24"/>
              </w:rPr>
            </w:pPr>
            <w:r>
              <w:rPr>
                <w:rFonts w:hint="eastAsia" w:ascii="宋体" w:hAnsi="宋体" w:eastAsia="宋体" w:cs="宋体"/>
                <w:sz w:val="24"/>
              </w:rPr>
              <w:t>分包</w:t>
            </w:r>
          </w:p>
        </w:tc>
        <w:tc>
          <w:tcPr>
            <w:tcW w:w="7253" w:type="dxa"/>
            <w:vAlign w:val="center"/>
          </w:tcPr>
          <w:p w14:paraId="1A9CB041">
            <w:pPr>
              <w:jc w:val="left"/>
              <w:rPr>
                <w:rFonts w:hint="eastAsia" w:ascii="宋体" w:hAnsi="宋体" w:eastAsia="宋体" w:cs="宋体"/>
                <w:sz w:val="24"/>
              </w:rPr>
            </w:pPr>
            <w:r>
              <w:rPr>
                <w:rFonts w:hint="eastAsia" w:ascii="宋体" w:hAnsi="宋体" w:eastAsia="宋体" w:cs="宋体"/>
                <w:sz w:val="24"/>
              </w:rPr>
              <w:t xml:space="preserve">本项目是否允许分包： </w:t>
            </w:r>
          </w:p>
          <w:p w14:paraId="7A4EC819">
            <w:pPr>
              <w:jc w:val="left"/>
              <w:rPr>
                <w:rFonts w:hint="eastAsia" w:ascii="宋体" w:hAnsi="宋体" w:eastAsia="宋体" w:cs="宋体"/>
                <w:sz w:val="24"/>
              </w:rPr>
            </w:pPr>
            <w:r>
              <w:rPr>
                <w:rFonts w:hint="eastAsia" w:ascii="宋体" w:hAnsi="宋体" w:eastAsia="宋体" w:cs="宋体"/>
                <w:sz w:val="24"/>
              </w:rPr>
              <w:t>■不允许</w:t>
            </w:r>
          </w:p>
          <w:p w14:paraId="0E30686B">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允许，具体要求：_______。</w:t>
            </w:r>
          </w:p>
          <w:p w14:paraId="719D7D01">
            <w:pPr>
              <w:jc w:val="left"/>
              <w:rPr>
                <w:rFonts w:hint="eastAsia" w:ascii="宋体" w:hAnsi="宋体" w:eastAsia="宋体" w:cs="宋体"/>
                <w:sz w:val="24"/>
              </w:rPr>
            </w:pPr>
            <w:r>
              <w:rPr>
                <w:rFonts w:hint="eastAsia" w:ascii="宋体" w:hAnsi="宋体" w:eastAsia="宋体" w:cs="宋体"/>
                <w:sz w:val="24"/>
              </w:rPr>
              <w:t>（1）可以分包履行的具体内容：_______；</w:t>
            </w:r>
          </w:p>
          <w:p w14:paraId="781C2EAF">
            <w:pPr>
              <w:jc w:val="left"/>
              <w:rPr>
                <w:rFonts w:hint="eastAsia" w:ascii="宋体" w:hAnsi="宋体" w:eastAsia="宋体" w:cs="宋体"/>
                <w:sz w:val="24"/>
              </w:rPr>
            </w:pPr>
            <w:r>
              <w:rPr>
                <w:rFonts w:hint="eastAsia" w:ascii="宋体" w:hAnsi="宋体" w:eastAsia="宋体" w:cs="宋体"/>
                <w:sz w:val="24"/>
              </w:rPr>
              <w:t>（2）允许分包的金额或者比例：_______；</w:t>
            </w:r>
          </w:p>
          <w:p w14:paraId="37F24CD6">
            <w:pPr>
              <w:jc w:val="left"/>
              <w:rPr>
                <w:rFonts w:hint="eastAsia" w:ascii="宋体" w:hAnsi="宋体" w:eastAsia="宋体" w:cs="宋体"/>
                <w:sz w:val="24"/>
                <w:u w:val="single"/>
              </w:rPr>
            </w:pPr>
            <w:r>
              <w:rPr>
                <w:rFonts w:hint="eastAsia" w:ascii="宋体" w:hAnsi="宋体" w:eastAsia="宋体" w:cs="宋体"/>
                <w:sz w:val="24"/>
              </w:rPr>
              <w:t>（3）其他要求：_______。</w:t>
            </w:r>
          </w:p>
        </w:tc>
      </w:tr>
      <w:tr w14:paraId="4054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E366F3">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23.6</w:t>
            </w:r>
          </w:p>
        </w:tc>
        <w:tc>
          <w:tcPr>
            <w:tcW w:w="1701" w:type="dxa"/>
            <w:vAlign w:val="center"/>
          </w:tcPr>
          <w:p w14:paraId="382EAC25">
            <w:pPr>
              <w:jc w:val="center"/>
              <w:rPr>
                <w:rFonts w:hint="eastAsia" w:ascii="宋体" w:hAnsi="宋体" w:eastAsia="宋体" w:cs="宋体"/>
                <w:sz w:val="24"/>
              </w:rPr>
            </w:pPr>
            <w:r>
              <w:rPr>
                <w:rFonts w:hint="eastAsia" w:ascii="宋体" w:hAnsi="宋体" w:eastAsia="宋体" w:cs="宋体"/>
                <w:sz w:val="24"/>
              </w:rPr>
              <w:t>政采贷</w:t>
            </w:r>
          </w:p>
        </w:tc>
        <w:tc>
          <w:tcPr>
            <w:tcW w:w="7253" w:type="dxa"/>
            <w:vAlign w:val="center"/>
          </w:tcPr>
          <w:p w14:paraId="6240000C">
            <w:pPr>
              <w:jc w:val="left"/>
              <w:rPr>
                <w:rFonts w:hint="eastAsia" w:ascii="宋体" w:hAnsi="宋体" w:eastAsia="宋体" w:cs="宋体"/>
                <w:sz w:val="24"/>
              </w:rPr>
            </w:pPr>
            <w:r>
              <w:rPr>
                <w:rFonts w:hint="eastAsia" w:ascii="宋体" w:hAnsi="宋体" w:eastAsia="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6D1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E14B17D">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24.1.1</w:t>
            </w:r>
          </w:p>
        </w:tc>
        <w:tc>
          <w:tcPr>
            <w:tcW w:w="1701" w:type="dxa"/>
            <w:vAlign w:val="center"/>
          </w:tcPr>
          <w:p w14:paraId="20B8C848">
            <w:pPr>
              <w:jc w:val="center"/>
              <w:rPr>
                <w:rFonts w:hint="eastAsia" w:ascii="宋体" w:hAnsi="宋体" w:eastAsia="宋体" w:cs="宋体"/>
                <w:sz w:val="24"/>
              </w:rPr>
            </w:pPr>
            <w:r>
              <w:rPr>
                <w:rFonts w:hint="eastAsia" w:ascii="宋体" w:hAnsi="宋体" w:eastAsia="宋体" w:cs="宋体"/>
                <w:sz w:val="24"/>
              </w:rPr>
              <w:t>询问</w:t>
            </w:r>
          </w:p>
        </w:tc>
        <w:tc>
          <w:tcPr>
            <w:tcW w:w="7253" w:type="dxa"/>
            <w:vAlign w:val="center"/>
          </w:tcPr>
          <w:p w14:paraId="1A6EA745">
            <w:pPr>
              <w:jc w:val="left"/>
              <w:rPr>
                <w:rFonts w:hint="eastAsia" w:ascii="宋体" w:hAnsi="宋体" w:eastAsia="宋体" w:cs="宋体"/>
                <w:sz w:val="24"/>
              </w:rPr>
            </w:pPr>
            <w:r>
              <w:rPr>
                <w:rFonts w:hint="eastAsia" w:ascii="宋体" w:hAnsi="宋体" w:eastAsia="宋体" w:cs="宋体"/>
                <w:sz w:val="24"/>
              </w:rPr>
              <w:t>询问提出形式：</w:t>
            </w:r>
            <w:r>
              <w:rPr>
                <w:rFonts w:hint="eastAsia" w:ascii="宋体" w:hAnsi="宋体" w:eastAsia="宋体" w:cs="宋体"/>
                <w:sz w:val="24"/>
                <w:u w:val="single"/>
              </w:rPr>
              <w:t>以纸质版形式递交至代理机构</w:t>
            </w:r>
            <w:r>
              <w:rPr>
                <w:rFonts w:hint="eastAsia" w:ascii="宋体" w:hAnsi="宋体" w:eastAsia="宋体" w:cs="宋体"/>
                <w:sz w:val="24"/>
              </w:rPr>
              <w:t>。</w:t>
            </w:r>
          </w:p>
        </w:tc>
      </w:tr>
      <w:tr w14:paraId="6FFE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733310">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24.3</w:t>
            </w:r>
          </w:p>
        </w:tc>
        <w:tc>
          <w:tcPr>
            <w:tcW w:w="1701" w:type="dxa"/>
            <w:vAlign w:val="center"/>
          </w:tcPr>
          <w:p w14:paraId="48AE62DE">
            <w:pPr>
              <w:jc w:val="center"/>
              <w:rPr>
                <w:rFonts w:hint="eastAsia" w:ascii="宋体" w:hAnsi="宋体" w:eastAsia="宋体" w:cs="宋体"/>
                <w:sz w:val="24"/>
              </w:rPr>
            </w:pPr>
            <w:r>
              <w:rPr>
                <w:rFonts w:hint="eastAsia" w:ascii="宋体" w:hAnsi="宋体" w:eastAsia="宋体" w:cs="宋体"/>
                <w:sz w:val="24"/>
              </w:rPr>
              <w:t>联系方式</w:t>
            </w:r>
          </w:p>
        </w:tc>
        <w:tc>
          <w:tcPr>
            <w:tcW w:w="7253" w:type="dxa"/>
            <w:vAlign w:val="center"/>
          </w:tcPr>
          <w:p w14:paraId="74670DE2">
            <w:pPr>
              <w:jc w:val="left"/>
              <w:rPr>
                <w:rFonts w:hint="eastAsia" w:ascii="宋体" w:hAnsi="宋体" w:eastAsia="宋体" w:cs="宋体"/>
                <w:sz w:val="24"/>
              </w:rPr>
            </w:pPr>
            <w:r>
              <w:rPr>
                <w:rFonts w:hint="eastAsia" w:ascii="宋体" w:hAnsi="宋体" w:eastAsia="宋体" w:cs="宋体"/>
                <w:sz w:val="24"/>
              </w:rPr>
              <w:t>接收询问和质疑的联系方式</w:t>
            </w:r>
          </w:p>
          <w:p w14:paraId="44CBB9A5">
            <w:pPr>
              <w:jc w:val="left"/>
              <w:rPr>
                <w:rFonts w:hint="eastAsia" w:ascii="宋体" w:hAnsi="宋体" w:eastAsia="宋体" w:cs="宋体"/>
                <w:sz w:val="24"/>
              </w:rPr>
            </w:pPr>
            <w:r>
              <w:rPr>
                <w:rFonts w:hint="eastAsia" w:ascii="宋体" w:hAnsi="宋体" w:eastAsia="宋体" w:cs="宋体"/>
                <w:sz w:val="24"/>
              </w:rPr>
              <w:t>联系部门：</w:t>
            </w:r>
            <w:r>
              <w:rPr>
                <w:rFonts w:hint="eastAsia" w:ascii="宋体" w:hAnsi="宋体" w:eastAsia="宋体" w:cs="宋体"/>
                <w:sz w:val="24"/>
                <w:u w:val="single"/>
              </w:rPr>
              <w:t>招标部</w:t>
            </w:r>
            <w:r>
              <w:rPr>
                <w:rFonts w:hint="eastAsia" w:ascii="宋体" w:hAnsi="宋体" w:eastAsia="宋体" w:cs="宋体"/>
                <w:sz w:val="24"/>
              </w:rPr>
              <w:t>；</w:t>
            </w:r>
          </w:p>
          <w:p w14:paraId="1C33E878">
            <w:pPr>
              <w:jc w:val="left"/>
              <w:rPr>
                <w:rFonts w:hint="eastAsia" w:ascii="宋体" w:hAnsi="宋体" w:eastAsia="宋体" w:cs="宋体"/>
                <w:sz w:val="24"/>
              </w:rPr>
            </w:pPr>
            <w:r>
              <w:rPr>
                <w:rFonts w:hint="eastAsia" w:ascii="宋体" w:hAnsi="宋体" w:eastAsia="宋体" w:cs="宋体"/>
                <w:sz w:val="24"/>
              </w:rPr>
              <w:t>联系电话：</w:t>
            </w:r>
            <w:r>
              <w:rPr>
                <w:rFonts w:hint="eastAsia" w:ascii="宋体" w:hAnsi="宋体" w:cs="宋体"/>
                <w:sz w:val="24"/>
                <w:u w:val="single"/>
                <w:lang w:eastAsia="zh-CN"/>
              </w:rPr>
              <w:t>010-61099540</w:t>
            </w:r>
            <w:r>
              <w:rPr>
                <w:rFonts w:hint="eastAsia" w:ascii="宋体" w:hAnsi="宋体" w:eastAsia="宋体" w:cs="宋体"/>
                <w:sz w:val="24"/>
              </w:rPr>
              <w:t>；</w:t>
            </w:r>
          </w:p>
          <w:p w14:paraId="25221AF9">
            <w:pPr>
              <w:jc w:val="left"/>
              <w:rPr>
                <w:rFonts w:hint="eastAsia" w:ascii="宋体" w:hAnsi="宋体" w:eastAsia="宋体" w:cs="宋体"/>
                <w:sz w:val="24"/>
              </w:rPr>
            </w:pPr>
            <w:r>
              <w:rPr>
                <w:rFonts w:hint="eastAsia" w:ascii="宋体" w:hAnsi="宋体" w:eastAsia="宋体" w:cs="宋体"/>
                <w:sz w:val="24"/>
              </w:rPr>
              <w:t>通讯地址：</w:t>
            </w:r>
            <w:r>
              <w:rPr>
                <w:rFonts w:hint="eastAsia" w:ascii="宋体" w:hAnsi="宋体" w:cs="宋体"/>
                <w:sz w:val="24"/>
                <w:u w:val="single"/>
                <w:lang w:eastAsia="zh-CN"/>
              </w:rPr>
              <w:t>北京市密云区行宫街23号楼一层23-3</w:t>
            </w:r>
            <w:r>
              <w:rPr>
                <w:rFonts w:hint="eastAsia" w:ascii="宋体" w:hAnsi="宋体" w:eastAsia="宋体" w:cs="宋体"/>
                <w:sz w:val="24"/>
              </w:rPr>
              <w:t>。</w:t>
            </w:r>
          </w:p>
        </w:tc>
      </w:tr>
      <w:tr w14:paraId="68A4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28B55C">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25</w:t>
            </w:r>
          </w:p>
        </w:tc>
        <w:tc>
          <w:tcPr>
            <w:tcW w:w="1701" w:type="dxa"/>
            <w:vAlign w:val="center"/>
          </w:tcPr>
          <w:p w14:paraId="5E722C27">
            <w:pPr>
              <w:jc w:val="center"/>
              <w:rPr>
                <w:rFonts w:hint="eastAsia" w:ascii="宋体" w:hAnsi="宋体" w:eastAsia="宋体" w:cs="宋体"/>
                <w:sz w:val="24"/>
              </w:rPr>
            </w:pPr>
            <w:r>
              <w:rPr>
                <w:rFonts w:hint="eastAsia" w:ascii="宋体" w:hAnsi="宋体" w:eastAsia="宋体" w:cs="宋体"/>
                <w:sz w:val="24"/>
              </w:rPr>
              <w:t>代理费</w:t>
            </w:r>
          </w:p>
        </w:tc>
        <w:tc>
          <w:tcPr>
            <w:tcW w:w="7253" w:type="dxa"/>
            <w:vAlign w:val="center"/>
          </w:tcPr>
          <w:p w14:paraId="513528BF">
            <w:pPr>
              <w:jc w:val="left"/>
              <w:rPr>
                <w:rFonts w:hint="eastAsia" w:ascii="宋体" w:hAnsi="宋体" w:eastAsia="宋体" w:cs="宋体"/>
                <w:sz w:val="24"/>
              </w:rPr>
            </w:pPr>
            <w:r>
              <w:rPr>
                <w:rFonts w:hint="eastAsia" w:ascii="宋体" w:hAnsi="宋体" w:eastAsia="宋体" w:cs="宋体"/>
                <w:sz w:val="24"/>
              </w:rPr>
              <w:t>收费对象：</w:t>
            </w:r>
          </w:p>
          <w:p w14:paraId="4DF16D11">
            <w:pPr>
              <w:jc w:val="left"/>
              <w:rPr>
                <w:rFonts w:hint="eastAsia" w:ascii="宋体" w:hAnsi="宋体" w:eastAsia="宋体" w:cs="宋体"/>
                <w:sz w:val="24"/>
              </w:rPr>
            </w:pPr>
            <w:r>
              <w:rPr>
                <w:rFonts w:hint="eastAsia" w:ascii="宋体" w:hAnsi="宋体" w:eastAsia="宋体" w:cs="宋体"/>
                <w:sz w:val="24"/>
              </w:rPr>
              <w:t>■采购人</w:t>
            </w:r>
          </w:p>
          <w:p w14:paraId="0D270F16">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成交供应商</w:t>
            </w:r>
          </w:p>
          <w:p w14:paraId="02526F52">
            <w:pPr>
              <w:jc w:val="left"/>
              <w:rPr>
                <w:rFonts w:hint="eastAsia" w:ascii="宋体" w:hAnsi="宋体" w:eastAsia="宋体" w:cs="宋体"/>
                <w:sz w:val="24"/>
                <w:u w:val="single"/>
              </w:rPr>
            </w:pPr>
            <w:r>
              <w:rPr>
                <w:rFonts w:hint="eastAsia" w:ascii="宋体" w:hAnsi="宋体" w:eastAsia="宋体" w:cs="宋体"/>
                <w:sz w:val="24"/>
              </w:rPr>
              <w:t>收费标准：</w:t>
            </w:r>
            <w:r>
              <w:rPr>
                <w:rFonts w:hint="eastAsia" w:ascii="宋体" w:hAnsi="宋体" w:eastAsia="宋体" w:cs="宋体"/>
                <w:sz w:val="24"/>
                <w:u w:val="single"/>
              </w:rPr>
              <w:t>参照原《国家计委关于印发招标代理服务收费管理暂行办法的通知》（计价格〔2002〕1980号）和《国家发展改革委办公厅关于招标代理服务收费有关问题的通知》（发改办价格〔2003〕857号）的规定进行收取。</w:t>
            </w:r>
            <w:r>
              <w:rPr>
                <w:rFonts w:hint="eastAsia" w:ascii="宋体" w:hAnsi="宋体" w:eastAsia="宋体" w:cs="宋体"/>
                <w:sz w:val="24"/>
              </w:rPr>
              <w:t>；</w:t>
            </w:r>
          </w:p>
          <w:p w14:paraId="75323A37">
            <w:pPr>
              <w:jc w:val="left"/>
              <w:rPr>
                <w:rFonts w:hint="eastAsia" w:ascii="宋体" w:hAnsi="宋体" w:eastAsia="宋体" w:cs="宋体"/>
                <w:sz w:val="24"/>
              </w:rPr>
            </w:pPr>
            <w:r>
              <w:rPr>
                <w:rFonts w:hint="eastAsia" w:ascii="宋体" w:hAnsi="宋体" w:eastAsia="宋体" w:cs="宋体"/>
                <w:sz w:val="24"/>
              </w:rPr>
              <w:t>缴纳时间：</w:t>
            </w:r>
            <w:r>
              <w:rPr>
                <w:rFonts w:hint="eastAsia" w:ascii="宋体" w:hAnsi="宋体" w:cs="宋体"/>
                <w:sz w:val="24"/>
                <w:u w:val="single"/>
                <w:lang w:val="en-US" w:eastAsia="zh-CN"/>
              </w:rPr>
              <w:t>代理机构</w:t>
            </w:r>
            <w:r>
              <w:rPr>
                <w:rFonts w:hint="eastAsia" w:ascii="宋体" w:hAnsi="宋体" w:eastAsia="宋体" w:cs="宋体"/>
                <w:sz w:val="24"/>
                <w:u w:val="single"/>
              </w:rPr>
              <w:t>完成招标代理工作，并向</w:t>
            </w:r>
            <w:r>
              <w:rPr>
                <w:rFonts w:hint="eastAsia" w:ascii="宋体" w:hAnsi="宋体" w:cs="宋体"/>
                <w:sz w:val="24"/>
                <w:u w:val="single"/>
                <w:lang w:val="en-US" w:eastAsia="zh-CN"/>
              </w:rPr>
              <w:t>招标</w:t>
            </w:r>
            <w:r>
              <w:rPr>
                <w:rFonts w:hint="eastAsia" w:ascii="宋体" w:hAnsi="宋体" w:eastAsia="宋体" w:cs="宋体"/>
                <w:sz w:val="24"/>
                <w:u w:val="single"/>
              </w:rPr>
              <w:t>人移交全部招标资料且财政资金到位后（包括电子版），</w:t>
            </w:r>
            <w:r>
              <w:rPr>
                <w:rFonts w:hint="eastAsia" w:ascii="宋体" w:hAnsi="宋体" w:cs="宋体"/>
                <w:sz w:val="24"/>
                <w:u w:val="single"/>
                <w:lang w:val="en-US" w:eastAsia="zh-CN"/>
              </w:rPr>
              <w:t>招标</w:t>
            </w:r>
            <w:r>
              <w:rPr>
                <w:rFonts w:hint="eastAsia" w:ascii="宋体" w:hAnsi="宋体" w:eastAsia="宋体" w:cs="宋体"/>
                <w:sz w:val="24"/>
                <w:u w:val="single"/>
              </w:rPr>
              <w:t>人向</w:t>
            </w:r>
            <w:r>
              <w:rPr>
                <w:rFonts w:hint="eastAsia" w:ascii="宋体" w:hAnsi="宋体" w:cs="宋体"/>
                <w:sz w:val="24"/>
                <w:u w:val="single"/>
                <w:lang w:val="en-US" w:eastAsia="zh-CN"/>
              </w:rPr>
              <w:t>代理机构</w:t>
            </w:r>
            <w:r>
              <w:rPr>
                <w:rFonts w:hint="eastAsia" w:ascii="宋体" w:hAnsi="宋体" w:eastAsia="宋体" w:cs="宋体"/>
                <w:sz w:val="24"/>
                <w:u w:val="single"/>
              </w:rPr>
              <w:t>支付合同金额的80%；委托人完成工程结算（决算）评审后，按照结算（决算）评审审定金额支付剩余费用</w:t>
            </w:r>
            <w:r>
              <w:rPr>
                <w:rFonts w:hint="eastAsia" w:ascii="宋体" w:hAnsi="宋体" w:eastAsia="宋体" w:cs="宋体"/>
                <w:sz w:val="24"/>
              </w:rPr>
              <w:t>。</w:t>
            </w:r>
          </w:p>
        </w:tc>
      </w:tr>
      <w:tr w14:paraId="7F3F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7D7199">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其他</w:t>
            </w:r>
          </w:p>
        </w:tc>
        <w:tc>
          <w:tcPr>
            <w:tcW w:w="1701" w:type="dxa"/>
            <w:vAlign w:val="center"/>
          </w:tcPr>
          <w:p w14:paraId="280EFC93">
            <w:pPr>
              <w:jc w:val="center"/>
              <w:rPr>
                <w:rFonts w:hint="eastAsia" w:ascii="宋体" w:hAnsi="宋体" w:eastAsia="宋体" w:cs="宋体"/>
                <w:sz w:val="24"/>
              </w:rPr>
            </w:pPr>
            <w:r>
              <w:rPr>
                <w:rFonts w:hint="eastAsia" w:ascii="宋体" w:hAnsi="宋体" w:eastAsia="宋体" w:cs="宋体"/>
                <w:sz w:val="24"/>
              </w:rPr>
              <w:t>控制价</w:t>
            </w:r>
          </w:p>
        </w:tc>
        <w:tc>
          <w:tcPr>
            <w:tcW w:w="7253" w:type="dxa"/>
            <w:vAlign w:val="center"/>
          </w:tcPr>
          <w:p w14:paraId="46543134">
            <w:pPr>
              <w:bidi w:val="0"/>
              <w:rPr>
                <w:rFonts w:hint="eastAsia" w:ascii="宋体" w:hAnsi="宋体" w:eastAsia="宋体" w:cs="宋体"/>
                <w:color w:val="auto"/>
                <w:sz w:val="24"/>
                <w:szCs w:val="24"/>
              </w:rPr>
            </w:pPr>
            <w:r>
              <w:rPr>
                <w:rFonts w:hint="eastAsia" w:ascii="宋体" w:hAnsi="宋体" w:eastAsia="宋体" w:cs="宋体"/>
                <w:color w:val="auto"/>
                <w:sz w:val="24"/>
                <w:szCs w:val="24"/>
              </w:rPr>
              <w:t>本工程招标控制价为：</w:t>
            </w:r>
            <w:r>
              <w:rPr>
                <w:rFonts w:hint="eastAsia" w:ascii="宋体" w:hAnsi="宋体" w:eastAsia="宋体" w:cs="宋体"/>
                <w:color w:val="auto"/>
                <w:sz w:val="24"/>
                <w:szCs w:val="24"/>
                <w:lang w:val="en-US" w:eastAsia="zh-CN"/>
              </w:rPr>
              <w:t>3987800.15</w:t>
            </w:r>
            <w:r>
              <w:rPr>
                <w:rFonts w:hint="eastAsia" w:ascii="宋体" w:hAnsi="宋体" w:eastAsia="宋体" w:cs="宋体"/>
                <w:color w:val="auto"/>
                <w:sz w:val="24"/>
                <w:szCs w:val="24"/>
              </w:rPr>
              <w:t>元</w:t>
            </w:r>
          </w:p>
          <w:p w14:paraId="4A90F82B">
            <w:pPr>
              <w:bidi w:val="0"/>
              <w:rPr>
                <w:rFonts w:hint="eastAsia" w:ascii="宋体" w:hAnsi="宋体" w:eastAsia="宋体" w:cs="宋体"/>
                <w:color w:val="auto"/>
                <w:sz w:val="24"/>
                <w:szCs w:val="24"/>
              </w:rPr>
            </w:pPr>
            <w:r>
              <w:rPr>
                <w:rFonts w:hint="eastAsia" w:ascii="宋体" w:hAnsi="宋体" w:eastAsia="宋体" w:cs="宋体"/>
                <w:color w:val="auto"/>
                <w:sz w:val="24"/>
                <w:szCs w:val="24"/>
              </w:rPr>
              <w:t>其中：分部分项工程合价为：</w:t>
            </w:r>
            <w:r>
              <w:rPr>
                <w:rFonts w:hint="eastAsia" w:ascii="宋体" w:hAnsi="宋体" w:eastAsia="宋体" w:cs="宋体"/>
                <w:color w:val="auto"/>
                <w:sz w:val="24"/>
                <w:szCs w:val="24"/>
                <w:lang w:val="en-US" w:eastAsia="zh-CN"/>
              </w:rPr>
              <w:t>2954806.42</w:t>
            </w:r>
            <w:r>
              <w:rPr>
                <w:rFonts w:hint="eastAsia" w:ascii="宋体" w:hAnsi="宋体" w:eastAsia="宋体" w:cs="宋体"/>
                <w:color w:val="auto"/>
                <w:sz w:val="24"/>
                <w:szCs w:val="24"/>
              </w:rPr>
              <w:t>元；</w:t>
            </w:r>
          </w:p>
          <w:p w14:paraId="1AD873C4">
            <w:pPr>
              <w:bidi w:val="0"/>
              <w:rPr>
                <w:rFonts w:hint="eastAsia" w:ascii="宋体" w:hAnsi="宋体" w:eastAsia="宋体" w:cs="宋体"/>
                <w:color w:val="auto"/>
                <w:sz w:val="24"/>
                <w:szCs w:val="24"/>
              </w:rPr>
            </w:pPr>
            <w:r>
              <w:rPr>
                <w:rFonts w:hint="eastAsia" w:ascii="宋体" w:hAnsi="宋体" w:eastAsia="宋体" w:cs="宋体"/>
                <w:color w:val="auto"/>
                <w:sz w:val="24"/>
                <w:szCs w:val="24"/>
              </w:rPr>
              <w:t>措施项目合价为：</w:t>
            </w:r>
            <w:r>
              <w:rPr>
                <w:rFonts w:hint="eastAsia" w:ascii="宋体" w:hAnsi="宋体" w:eastAsia="宋体" w:cs="宋体"/>
                <w:color w:val="auto"/>
                <w:sz w:val="24"/>
                <w:szCs w:val="24"/>
                <w:lang w:val="en-US" w:eastAsia="zh-CN"/>
              </w:rPr>
              <w:t>703725.83</w:t>
            </w:r>
            <w:r>
              <w:rPr>
                <w:rFonts w:hint="eastAsia" w:ascii="宋体" w:hAnsi="宋体" w:eastAsia="宋体" w:cs="宋体"/>
                <w:color w:val="auto"/>
                <w:sz w:val="24"/>
                <w:szCs w:val="24"/>
              </w:rPr>
              <w:t>元；</w:t>
            </w:r>
          </w:p>
          <w:p w14:paraId="0BA4BE9D">
            <w:pPr>
              <w:bidi w:val="0"/>
              <w:rPr>
                <w:rFonts w:hint="eastAsia" w:ascii="宋体" w:hAnsi="宋体" w:eastAsia="宋体" w:cs="宋体"/>
                <w:color w:val="auto"/>
                <w:sz w:val="24"/>
                <w:szCs w:val="24"/>
              </w:rPr>
            </w:pPr>
            <w:r>
              <w:rPr>
                <w:rFonts w:hint="eastAsia" w:ascii="宋体" w:hAnsi="宋体" w:eastAsia="宋体" w:cs="宋体"/>
                <w:color w:val="auto"/>
                <w:sz w:val="24"/>
                <w:szCs w:val="24"/>
              </w:rPr>
              <w:t>其他项目合价为：</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元；</w:t>
            </w:r>
          </w:p>
          <w:p w14:paraId="56AA34DD">
            <w:pPr>
              <w:bidi w:val="0"/>
              <w:rPr>
                <w:rFonts w:hint="eastAsia" w:ascii="宋体" w:hAnsi="宋体" w:eastAsia="宋体" w:cs="宋体"/>
                <w:color w:val="auto"/>
                <w:sz w:val="24"/>
                <w:szCs w:val="24"/>
              </w:rPr>
            </w:pPr>
            <w:r>
              <w:rPr>
                <w:rFonts w:hint="eastAsia" w:ascii="宋体" w:hAnsi="宋体" w:eastAsia="宋体" w:cs="宋体"/>
                <w:color w:val="auto"/>
                <w:sz w:val="24"/>
                <w:szCs w:val="24"/>
              </w:rPr>
              <w:t>税金的合价为：</w:t>
            </w:r>
            <w:r>
              <w:rPr>
                <w:rFonts w:hint="eastAsia" w:ascii="宋体" w:hAnsi="宋体" w:eastAsia="宋体" w:cs="宋体"/>
                <w:color w:val="auto"/>
                <w:sz w:val="24"/>
                <w:szCs w:val="24"/>
                <w:lang w:val="en-US" w:eastAsia="zh-CN"/>
              </w:rPr>
              <w:t>329267.9</w:t>
            </w:r>
            <w:r>
              <w:rPr>
                <w:rFonts w:hint="eastAsia" w:ascii="宋体" w:hAnsi="宋体" w:eastAsia="宋体" w:cs="宋体"/>
                <w:color w:val="auto"/>
                <w:sz w:val="24"/>
                <w:szCs w:val="24"/>
              </w:rPr>
              <w:t>元；</w:t>
            </w:r>
          </w:p>
          <w:p w14:paraId="2D4CBEE8">
            <w:pPr>
              <w:bidi w:val="0"/>
              <w:rPr>
                <w:rFonts w:hint="eastAsia" w:ascii="宋体" w:hAnsi="宋体" w:eastAsia="宋体" w:cs="宋体"/>
                <w:color w:val="auto"/>
                <w:sz w:val="24"/>
                <w:szCs w:val="24"/>
              </w:rPr>
            </w:pPr>
            <w:r>
              <w:rPr>
                <w:rFonts w:hint="eastAsia" w:ascii="宋体" w:hAnsi="宋体" w:eastAsia="宋体" w:cs="宋体"/>
                <w:color w:val="auto"/>
                <w:sz w:val="24"/>
                <w:szCs w:val="24"/>
              </w:rPr>
              <w:t>其他说明：专业工程暂估价(含税)合计金额：</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元；</w:t>
            </w:r>
          </w:p>
          <w:p w14:paraId="17610297">
            <w:pPr>
              <w:bidi w:val="0"/>
              <w:rPr>
                <w:rFonts w:hint="eastAsia" w:ascii="宋体" w:hAnsi="宋体" w:eastAsia="宋体" w:cs="宋体"/>
                <w:color w:val="auto"/>
                <w:sz w:val="24"/>
                <w:szCs w:val="24"/>
              </w:rPr>
            </w:pPr>
            <w:r>
              <w:rPr>
                <w:rFonts w:hint="eastAsia" w:ascii="宋体" w:hAnsi="宋体" w:eastAsia="宋体" w:cs="宋体"/>
                <w:color w:val="auto"/>
                <w:sz w:val="24"/>
                <w:szCs w:val="24"/>
              </w:rPr>
              <w:t>材料和工程设备暂估价(不含税)合计金额：/元；</w:t>
            </w:r>
          </w:p>
          <w:p w14:paraId="4A9C8C10">
            <w:pPr>
              <w:bidi w:val="0"/>
              <w:rPr>
                <w:rFonts w:hint="eastAsia" w:ascii="宋体" w:hAnsi="宋体" w:eastAsia="宋体" w:cs="宋体"/>
                <w:color w:val="auto"/>
                <w:sz w:val="24"/>
                <w:szCs w:val="24"/>
              </w:rPr>
            </w:pPr>
            <w:r>
              <w:rPr>
                <w:rFonts w:hint="eastAsia" w:ascii="宋体" w:hAnsi="宋体" w:eastAsia="宋体" w:cs="宋体"/>
                <w:color w:val="auto"/>
                <w:sz w:val="24"/>
                <w:szCs w:val="24"/>
              </w:rPr>
              <w:t>暂列金额（不含计日工）（含税）合计金额：</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元；</w:t>
            </w:r>
          </w:p>
          <w:p w14:paraId="77B079DB">
            <w:pPr>
              <w:bidi w:val="0"/>
              <w:rPr>
                <w:rFonts w:hint="eastAsia" w:ascii="宋体" w:hAnsi="宋体" w:eastAsia="宋体" w:cs="宋体"/>
                <w:color w:val="auto"/>
                <w:sz w:val="24"/>
                <w:szCs w:val="24"/>
              </w:rPr>
            </w:pPr>
            <w:r>
              <w:rPr>
                <w:rFonts w:hint="eastAsia" w:ascii="宋体" w:hAnsi="宋体" w:eastAsia="宋体" w:cs="宋体"/>
                <w:color w:val="auto"/>
                <w:sz w:val="24"/>
                <w:szCs w:val="24"/>
              </w:rPr>
              <w:t>安全生产标准化措施费（含税）合计金额：</w:t>
            </w:r>
            <w:r>
              <w:rPr>
                <w:rFonts w:hint="eastAsia" w:ascii="宋体" w:hAnsi="宋体" w:eastAsia="宋体" w:cs="宋体"/>
                <w:color w:val="auto"/>
                <w:sz w:val="24"/>
                <w:szCs w:val="24"/>
                <w:lang w:val="en-US" w:eastAsia="zh-CN"/>
              </w:rPr>
              <w:t xml:space="preserve"> 435971.18</w:t>
            </w:r>
            <w:r>
              <w:rPr>
                <w:rFonts w:hint="eastAsia" w:ascii="宋体" w:hAnsi="宋体" w:eastAsia="宋体" w:cs="宋体"/>
                <w:color w:val="auto"/>
                <w:sz w:val="24"/>
                <w:szCs w:val="24"/>
              </w:rPr>
              <w:t>元；</w:t>
            </w:r>
          </w:p>
          <w:p w14:paraId="2F50AF8A">
            <w:pPr>
              <w:bidi w:val="0"/>
              <w:rPr>
                <w:rFonts w:hint="eastAsia" w:ascii="宋体" w:hAnsi="宋体" w:eastAsia="宋体" w:cs="宋体"/>
              </w:rPr>
            </w:pPr>
            <w:r>
              <w:rPr>
                <w:rFonts w:hint="eastAsia" w:ascii="宋体" w:hAnsi="宋体" w:eastAsia="宋体" w:cs="宋体"/>
                <w:color w:val="auto"/>
                <w:sz w:val="24"/>
                <w:szCs w:val="24"/>
              </w:rPr>
              <w:t>赶工增加费（含税）合计金额（如有）：/元；</w:t>
            </w:r>
          </w:p>
        </w:tc>
      </w:tr>
      <w:tr w14:paraId="670D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36DEB6">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26</w:t>
            </w:r>
          </w:p>
        </w:tc>
        <w:tc>
          <w:tcPr>
            <w:tcW w:w="1701" w:type="dxa"/>
            <w:vAlign w:val="center"/>
          </w:tcPr>
          <w:p w14:paraId="03635B04">
            <w:pPr>
              <w:jc w:val="center"/>
              <w:rPr>
                <w:rFonts w:hint="eastAsia" w:ascii="宋体" w:hAnsi="宋体" w:eastAsia="宋体" w:cs="宋体"/>
                <w:sz w:val="24"/>
              </w:rPr>
            </w:pPr>
            <w:r>
              <w:rPr>
                <w:rFonts w:hint="eastAsia" w:ascii="宋体" w:hAnsi="宋体" w:eastAsia="宋体" w:cs="宋体"/>
                <w:sz w:val="24"/>
              </w:rPr>
              <w:t>类似业绩</w:t>
            </w:r>
          </w:p>
        </w:tc>
        <w:tc>
          <w:tcPr>
            <w:tcW w:w="7253" w:type="dxa"/>
            <w:vAlign w:val="center"/>
          </w:tcPr>
          <w:p w14:paraId="35BEF168">
            <w:pPr>
              <w:spacing w:line="360" w:lineRule="auto"/>
              <w:jc w:val="left"/>
              <w:rPr>
                <w:rFonts w:hint="eastAsia" w:ascii="宋体" w:hAnsi="宋体" w:eastAsia="宋体" w:cs="宋体"/>
                <w:color w:val="FF0000"/>
                <w:spacing w:val="-1"/>
                <w:sz w:val="24"/>
                <w:highlight w:val="yellow"/>
              </w:rPr>
            </w:pPr>
            <w:r>
              <w:rPr>
                <w:rFonts w:hint="eastAsia" w:ascii="宋体" w:hAnsi="宋体" w:eastAsia="宋体" w:cs="宋体"/>
                <w:sz w:val="24"/>
                <w:szCs w:val="21"/>
              </w:rPr>
              <w:t>指供应商自2023年03月01日起至今承担过已竣工的与本项目建设内容或投资相类似的工程业绩。</w:t>
            </w:r>
          </w:p>
        </w:tc>
      </w:tr>
    </w:tbl>
    <w:p w14:paraId="1B8D4A6D">
      <w:pPr>
        <w:tabs>
          <w:tab w:val="left" w:pos="5580"/>
        </w:tabs>
        <w:adjustRightInd w:val="0"/>
        <w:spacing w:line="360" w:lineRule="auto"/>
        <w:jc w:val="distribute"/>
        <w:rPr>
          <w:rFonts w:hint="eastAsia" w:ascii="宋体" w:hAnsi="宋体" w:eastAsia="宋体" w:cs="宋体"/>
          <w:sz w:val="24"/>
        </w:rPr>
        <w:sectPr>
          <w:footerReference r:id="rId9" w:type="first"/>
          <w:footerReference r:id="rId8" w:type="default"/>
          <w:pgSz w:w="11907" w:h="16840"/>
          <w:pgMar w:top="1418" w:right="1134" w:bottom="1418" w:left="1701" w:header="851" w:footer="851" w:gutter="0"/>
          <w:pgNumType w:fmt="decimal"/>
          <w:cols w:space="720" w:num="1"/>
          <w:titlePg/>
          <w:docGrid w:linePitch="462" w:charSpace="0"/>
        </w:sectPr>
      </w:pPr>
    </w:p>
    <w:p w14:paraId="229A04AF">
      <w:pPr>
        <w:spacing w:before="240" w:beforeLines="100" w:after="240" w:afterLines="100"/>
        <w:jc w:val="center"/>
        <w:rPr>
          <w:rFonts w:hint="eastAsia" w:ascii="宋体" w:hAnsi="宋体" w:eastAsia="宋体" w:cs="宋体"/>
          <w:b/>
          <w:sz w:val="28"/>
          <w:szCs w:val="28"/>
        </w:rPr>
      </w:pPr>
      <w:r>
        <w:rPr>
          <w:rFonts w:hint="eastAsia" w:ascii="宋体" w:hAnsi="宋体" w:eastAsia="宋体" w:cs="宋体"/>
          <w:b/>
          <w:sz w:val="28"/>
          <w:szCs w:val="28"/>
        </w:rPr>
        <w:t>供应商须知</w:t>
      </w:r>
    </w:p>
    <w:p w14:paraId="62EA4BAE">
      <w:pPr>
        <w:pStyle w:val="3"/>
        <w:tabs>
          <w:tab w:val="center" w:pos="4592"/>
          <w:tab w:val="left" w:pos="7860"/>
        </w:tabs>
        <w:spacing w:before="0" w:line="360" w:lineRule="auto"/>
        <w:jc w:val="left"/>
        <w:rPr>
          <w:rFonts w:hint="eastAsia" w:ascii="宋体" w:hAnsi="宋体" w:eastAsia="宋体" w:cs="宋体"/>
          <w:sz w:val="28"/>
        </w:rPr>
      </w:pPr>
      <w:bookmarkStart w:id="76" w:name="_Toc520356143"/>
      <w:bookmarkStart w:id="77" w:name="_Toc127151518"/>
      <w:r>
        <w:rPr>
          <w:rFonts w:hint="eastAsia" w:ascii="宋体" w:hAnsi="宋体" w:eastAsia="宋体" w:cs="宋体"/>
          <w:sz w:val="28"/>
        </w:rPr>
        <w:tab/>
      </w:r>
      <w:bookmarkStart w:id="78" w:name="_Toc142311020"/>
      <w:bookmarkStart w:id="79" w:name="_Toc305158786"/>
      <w:bookmarkStart w:id="80" w:name="_Toc264969208"/>
      <w:bookmarkStart w:id="81" w:name="_Toc151193832"/>
      <w:bookmarkStart w:id="82" w:name="_Toc305158860"/>
      <w:bookmarkStart w:id="83" w:name="_Toc226337214"/>
      <w:bookmarkStart w:id="84" w:name="_Toc151193906"/>
      <w:bookmarkStart w:id="85" w:name="_Toc151193616"/>
      <w:bookmarkStart w:id="86" w:name="_Toc226309762"/>
      <w:bookmarkStart w:id="87" w:name="_Toc195842883"/>
      <w:bookmarkStart w:id="88" w:name="_Toc226965708"/>
      <w:bookmarkStart w:id="89" w:name="_Toc150509269"/>
      <w:bookmarkStart w:id="90" w:name="_Toc226965791"/>
      <w:bookmarkStart w:id="91" w:name="_Toc150774618"/>
      <w:bookmarkStart w:id="92" w:name="_Toc150480756"/>
      <w:bookmarkStart w:id="93" w:name="_Toc151193760"/>
      <w:bookmarkStart w:id="94" w:name="_Toc151193688"/>
      <w:bookmarkStart w:id="95" w:name="_Toc265228356"/>
      <w:bookmarkStart w:id="96" w:name="_Toc150774723"/>
      <w:bookmarkStart w:id="97" w:name="_Toc151190145"/>
      <w:r>
        <w:rPr>
          <w:rFonts w:hint="eastAsia" w:ascii="宋体" w:hAnsi="宋体" w:eastAsia="宋体" w:cs="宋体"/>
          <w:sz w:val="28"/>
        </w:rPr>
        <w:t>一   说  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hint="eastAsia" w:ascii="宋体" w:hAnsi="宋体" w:eastAsia="宋体" w:cs="宋体"/>
          <w:sz w:val="28"/>
        </w:rPr>
        <w:tab/>
      </w:r>
    </w:p>
    <w:p w14:paraId="7CF8079F">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rPr>
      </w:pPr>
      <w:bookmarkStart w:id="98" w:name="_Toc305158787"/>
      <w:bookmarkStart w:id="99" w:name="_Toc265228357"/>
      <w:bookmarkStart w:id="100" w:name="_Toc264969209"/>
      <w:bookmarkStart w:id="101" w:name="_Toc305158861"/>
      <w:r>
        <w:rPr>
          <w:rFonts w:hint="eastAsia" w:ascii="宋体" w:hAnsi="宋体" w:eastAsia="宋体" w:cs="宋体"/>
          <w:sz w:val="24"/>
        </w:rPr>
        <w:t>采购人、采购代理机构、供应商</w:t>
      </w:r>
      <w:bookmarkEnd w:id="98"/>
      <w:bookmarkEnd w:id="99"/>
      <w:bookmarkEnd w:id="100"/>
      <w:bookmarkEnd w:id="101"/>
      <w:r>
        <w:rPr>
          <w:rFonts w:hint="eastAsia" w:ascii="宋体" w:hAnsi="宋体" w:eastAsia="宋体" w:cs="宋体"/>
          <w:sz w:val="24"/>
        </w:rPr>
        <w:t>、联合体</w:t>
      </w:r>
    </w:p>
    <w:p w14:paraId="1E201654">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采购人、采购代理机构：指依法进行政府采购的国家机关、事业单位、团体组织，及其委托的采购代理机构。本项目采购人、采购代理机构见第一章《采购邀请》。</w:t>
      </w:r>
    </w:p>
    <w:p w14:paraId="230E9E01">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供应商（也称“申请人”）：指向采购人提供货物、工程或者服务的法人、其他组织或者自然人。</w:t>
      </w:r>
    </w:p>
    <w:p w14:paraId="28C3FEA1">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联合体：指两个以上的自然人、法人或者其他组织组成一个联合体，以一个供应商的身份共同参加政府采购。</w:t>
      </w:r>
    </w:p>
    <w:p w14:paraId="47A9422F">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rPr>
      </w:pPr>
      <w:bookmarkStart w:id="102" w:name="_Toc150509271"/>
      <w:bookmarkStart w:id="103" w:name="_Toc305158862"/>
      <w:bookmarkStart w:id="104" w:name="_Toc226337216"/>
      <w:bookmarkStart w:id="105" w:name="_Toc151193690"/>
      <w:bookmarkStart w:id="106" w:name="_Toc151193908"/>
      <w:bookmarkStart w:id="107" w:name="_Toc226309764"/>
      <w:bookmarkStart w:id="108" w:name="_Toc151190147"/>
      <w:bookmarkStart w:id="109" w:name="_Toc226965793"/>
      <w:bookmarkStart w:id="110" w:name="_Toc195842885"/>
      <w:bookmarkStart w:id="111" w:name="_Toc150774725"/>
      <w:bookmarkStart w:id="112" w:name="_Toc150480758"/>
      <w:bookmarkStart w:id="113" w:name="_Toc127161434"/>
      <w:bookmarkStart w:id="114" w:name="_Toc265228358"/>
      <w:bookmarkStart w:id="115" w:name="_Toc149720813"/>
      <w:bookmarkStart w:id="116" w:name="_Toc164608789"/>
      <w:bookmarkStart w:id="117" w:name="_Toc164351614"/>
      <w:bookmarkStart w:id="118" w:name="_Toc142311022"/>
      <w:bookmarkStart w:id="119" w:name="_Toc305158788"/>
      <w:bookmarkStart w:id="120" w:name="_Toc151193618"/>
      <w:bookmarkStart w:id="121" w:name="_Toc264969210"/>
      <w:bookmarkStart w:id="122" w:name="_Toc164608634"/>
      <w:bookmarkStart w:id="123" w:name="_Toc164229215"/>
      <w:bookmarkStart w:id="124" w:name="_Toc164229361"/>
      <w:bookmarkStart w:id="125" w:name="_Toc226965710"/>
      <w:bookmarkStart w:id="126" w:name="_Toc127151721"/>
      <w:bookmarkStart w:id="127" w:name="_Toc151193762"/>
      <w:bookmarkStart w:id="128" w:name="_Toc150774620"/>
      <w:bookmarkStart w:id="129" w:name="_Toc151193834"/>
      <w:bookmarkStart w:id="130" w:name="_Toc127151520"/>
      <w:r>
        <w:rPr>
          <w:rFonts w:hint="eastAsia" w:ascii="宋体" w:hAnsi="宋体" w:eastAsia="宋体" w:cs="宋体"/>
          <w:sz w:val="24"/>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hint="eastAsia" w:ascii="宋体" w:hAnsi="宋体" w:eastAsia="宋体" w:cs="宋体"/>
          <w:sz w:val="24"/>
        </w:rPr>
        <w:t>、项目属性、科研仪器设备采购</w:t>
      </w:r>
    </w:p>
    <w:p w14:paraId="142A8C98">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资金来源为财政性资金和/或本项目采购中无法与财政性资金分割的非财政性资金。</w:t>
      </w:r>
    </w:p>
    <w:p w14:paraId="13BEB98A">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项目属性见《供应商须知资料表》。</w:t>
      </w:r>
    </w:p>
    <w:p w14:paraId="01194F35">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是否属于科研仪器设备采购见《供应商须知资料表》。</w:t>
      </w:r>
    </w:p>
    <w:p w14:paraId="12CD64A8">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现场考察、磋商前答疑会</w:t>
      </w:r>
    </w:p>
    <w:p w14:paraId="716943C0">
      <w:pPr>
        <w:numPr>
          <w:ilvl w:val="1"/>
          <w:numId w:val="8"/>
        </w:numPr>
        <w:tabs>
          <w:tab w:val="left" w:pos="1080"/>
          <w:tab w:val="left" w:pos="2014"/>
        </w:tabs>
        <w:snapToGrid w:val="0"/>
        <w:spacing w:line="360" w:lineRule="auto"/>
        <w:ind w:left="1080" w:hanging="720"/>
        <w:rPr>
          <w:rFonts w:hint="eastAsia" w:ascii="宋体" w:hAnsi="宋体" w:eastAsia="宋体" w:cs="宋体"/>
          <w:sz w:val="28"/>
        </w:rPr>
      </w:pPr>
      <w:r>
        <w:rPr>
          <w:rFonts w:hint="eastAsia" w:ascii="宋体" w:hAnsi="宋体" w:eastAsia="宋体" w:cs="宋体"/>
          <w:sz w:val="24"/>
        </w:rPr>
        <w:t>若《供应商须知资料表》中规定了组织现场考察、召开磋商前答疑会，则供应商应按要求在规定的时间和地点参加。</w:t>
      </w:r>
      <w:bookmarkStart w:id="131" w:name="_Toc150480760"/>
      <w:bookmarkStart w:id="132" w:name="_Toc127151522"/>
      <w:bookmarkStart w:id="133" w:name="_Toc151193836"/>
      <w:bookmarkStart w:id="134" w:name="_Toc151193620"/>
      <w:bookmarkStart w:id="135" w:name="_Toc226965712"/>
      <w:bookmarkStart w:id="136" w:name="_Toc142311024"/>
      <w:bookmarkStart w:id="137" w:name="_Toc305158790"/>
      <w:bookmarkStart w:id="138" w:name="_Toc226309766"/>
      <w:bookmarkStart w:id="139" w:name="_Toc150774622"/>
      <w:bookmarkStart w:id="140" w:name="_Toc520356146"/>
      <w:bookmarkStart w:id="141" w:name="_Toc195842887"/>
      <w:bookmarkStart w:id="142" w:name="_Toc151193692"/>
      <w:bookmarkStart w:id="143" w:name="_Toc264969212"/>
      <w:bookmarkStart w:id="144" w:name="_Toc151193764"/>
      <w:bookmarkStart w:id="145" w:name="_Toc151190149"/>
      <w:bookmarkStart w:id="146" w:name="_Toc305158864"/>
      <w:bookmarkStart w:id="147" w:name="_Toc151193910"/>
      <w:bookmarkStart w:id="148" w:name="_Toc226337218"/>
      <w:bookmarkStart w:id="149" w:name="_Toc226965795"/>
      <w:bookmarkStart w:id="150" w:name="_Toc150774727"/>
      <w:bookmarkStart w:id="151" w:name="_Toc265228360"/>
      <w:bookmarkStart w:id="152" w:name="_Toc150509273"/>
    </w:p>
    <w:p w14:paraId="228F4632">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由于未参加现场考察或磋商前答疑会而导致对项目实际情况不了解，影响响应文件编制、报价准确性、综合因素响应不全面等问题的，由供应商自行承担不利评审后果。</w:t>
      </w:r>
    </w:p>
    <w:p w14:paraId="7C719174">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政府采购政策（包括但不限于下列具体政策要求）</w:t>
      </w:r>
    </w:p>
    <w:p w14:paraId="6A1AED78">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采购本国货物、工程和服务</w:t>
      </w:r>
    </w:p>
    <w:p w14:paraId="1425C2DC">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kern w:val="0"/>
          <w:sz w:val="24"/>
        </w:rPr>
        <w:t>政府采购应当采购本国货物、工程和服务。但有《</w:t>
      </w:r>
      <w:r>
        <w:rPr>
          <w:rFonts w:hint="eastAsia" w:ascii="宋体" w:hAnsi="宋体" w:eastAsia="宋体" w:cs="宋体"/>
          <w:b/>
          <w:kern w:val="0"/>
          <w:sz w:val="24"/>
        </w:rPr>
        <w:t>中华人民共和国政府采购法</w:t>
      </w:r>
      <w:r>
        <w:rPr>
          <w:rFonts w:hint="eastAsia" w:ascii="宋体" w:hAnsi="宋体" w:eastAsia="宋体" w:cs="宋体"/>
          <w:kern w:val="0"/>
          <w:sz w:val="24"/>
        </w:rPr>
        <w:t>》第十条规定情形的除外。</w:t>
      </w:r>
    </w:p>
    <w:p w14:paraId="66B81427">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本项目如接受非本国货物、工程、服务参与响应，则具体要求见第四章《采购需求》。</w:t>
      </w:r>
    </w:p>
    <w:p w14:paraId="302E34B6">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E60730B">
      <w:pPr>
        <w:numPr>
          <w:ilvl w:val="1"/>
          <w:numId w:val="8"/>
        </w:numPr>
        <w:tabs>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本国产品</w:t>
      </w:r>
    </w:p>
    <w:p w14:paraId="72CD1371">
      <w:pPr>
        <w:tabs>
          <w:tab w:val="left" w:pos="1080"/>
          <w:tab w:val="left" w:pos="2014"/>
        </w:tabs>
        <w:snapToGrid w:val="0"/>
        <w:spacing w:line="360" w:lineRule="auto"/>
        <w:ind w:left="1080"/>
        <w:rPr>
          <w:rFonts w:hint="eastAsia" w:ascii="宋体" w:hAnsi="宋体" w:eastAsia="宋体" w:cs="宋体"/>
          <w:sz w:val="24"/>
        </w:rPr>
      </w:pPr>
      <w:r>
        <w:rPr>
          <w:rFonts w:hint="eastAsia" w:ascii="宋体" w:hAnsi="宋体" w:eastAsia="宋体" w:cs="宋体"/>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63CE6BA9">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中小企业、监狱企业及残疾人福利性单位</w:t>
      </w:r>
    </w:p>
    <w:p w14:paraId="327356A0">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中小企业定义：</w:t>
      </w:r>
    </w:p>
    <w:p w14:paraId="137A8E6B">
      <w:pPr>
        <w:pStyle w:val="106"/>
        <w:numPr>
          <w:ilvl w:val="0"/>
          <w:numId w:val="9"/>
        </w:numPr>
        <w:tabs>
          <w:tab w:val="left" w:pos="1589"/>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390E1BA9">
      <w:pPr>
        <w:pStyle w:val="106"/>
        <w:numPr>
          <w:ilvl w:val="0"/>
          <w:numId w:val="9"/>
        </w:numPr>
        <w:tabs>
          <w:tab w:val="left" w:pos="1589"/>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3CA2F301">
      <w:pPr>
        <w:pStyle w:val="106"/>
        <w:numPr>
          <w:ilvl w:val="0"/>
          <w:numId w:val="9"/>
        </w:numPr>
        <w:tabs>
          <w:tab w:val="left" w:pos="1589"/>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066642E9">
      <w:pPr>
        <w:pStyle w:val="106"/>
        <w:numPr>
          <w:ilvl w:val="0"/>
          <w:numId w:val="9"/>
        </w:numPr>
        <w:tabs>
          <w:tab w:val="left" w:pos="1589"/>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683E1FF7">
      <w:pPr>
        <w:pStyle w:val="106"/>
        <w:numPr>
          <w:ilvl w:val="1"/>
          <w:numId w:val="9"/>
        </w:numPr>
        <w:tabs>
          <w:tab w:val="left" w:pos="900"/>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60763137">
      <w:pPr>
        <w:pStyle w:val="106"/>
        <w:numPr>
          <w:ilvl w:val="1"/>
          <w:numId w:val="9"/>
        </w:numPr>
        <w:tabs>
          <w:tab w:val="left" w:pos="900"/>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36ED32D6">
      <w:pPr>
        <w:pStyle w:val="106"/>
        <w:numPr>
          <w:ilvl w:val="1"/>
          <w:numId w:val="9"/>
        </w:numPr>
        <w:tabs>
          <w:tab w:val="left" w:pos="900"/>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345616C7">
      <w:pPr>
        <w:pStyle w:val="106"/>
        <w:numPr>
          <w:ilvl w:val="2"/>
          <w:numId w:val="9"/>
        </w:numPr>
        <w:tabs>
          <w:tab w:val="left" w:pos="900"/>
          <w:tab w:val="left" w:pos="1589"/>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5E08BD12">
      <w:pPr>
        <w:numPr>
          <w:ilvl w:val="3"/>
          <w:numId w:val="9"/>
        </w:numPr>
        <w:tabs>
          <w:tab w:val="left" w:pos="1589"/>
          <w:tab w:val="left" w:pos="1988"/>
          <w:tab w:val="left" w:pos="2035"/>
          <w:tab w:val="left" w:pos="2977"/>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65A9D0BB">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供应商提供的货物、工程或者服务符合下列情形的，享受中小企业扶持政策：</w:t>
      </w:r>
    </w:p>
    <w:p w14:paraId="6BCE81AF">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（1）在货物采购项目中，货物由中小企业制造，即货物由中小企业生产且使用该中小企业商号或者注册商标；</w:t>
      </w:r>
    </w:p>
    <w:p w14:paraId="1015CA12">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（2）在工程采购项目中，工程由中小企业承建，即工程施工单位为中小企业；</w:t>
      </w:r>
    </w:p>
    <w:p w14:paraId="3A72938F">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63EDC15">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rPr>
      </w:pPr>
      <w:r>
        <w:rPr>
          <w:rFonts w:hint="eastAsia" w:ascii="宋体" w:hAnsi="宋体" w:eastAsia="宋体" w:cs="宋体"/>
          <w:sz w:val="24"/>
        </w:rPr>
        <w:t>在货物采购项目中，供应商提供的货物既有中小企业制造货物，也有大型企业制造货物的，不享受中小企业扶持政策。</w:t>
      </w:r>
    </w:p>
    <w:p w14:paraId="3EA963A7">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A42062D">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B8EC1AC">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44A0645">
      <w:pPr>
        <w:pStyle w:val="106"/>
        <w:numPr>
          <w:ilvl w:val="2"/>
          <w:numId w:val="9"/>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333FB495">
      <w:pPr>
        <w:pStyle w:val="106"/>
        <w:numPr>
          <w:ilvl w:val="2"/>
          <w:numId w:val="9"/>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462A482B">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安置的残疾人占本单位在职职工人数的比例不低于25%（含25%），并且安置的残疾人人数不少于10 人（含10 人）；</w:t>
      </w:r>
    </w:p>
    <w:p w14:paraId="114ADA87">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依法与安置的每位残疾人签订了一年以上（含一年）的劳动合同或服务协议；</w:t>
      </w:r>
    </w:p>
    <w:p w14:paraId="77C487AF">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为安置的每位残疾人按月足额缴纳了基本养老保险、基本医疗保险、失业保险、工伤保险和生育保险等社会保险费；</w:t>
      </w:r>
    </w:p>
    <w:p w14:paraId="417225BB">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通过银行等金融机构向安置的每位残疾人，按月支付了不低于单位所在区县适用的经省级人民政府批准的月最低工资标准的工资；</w:t>
      </w:r>
    </w:p>
    <w:p w14:paraId="4FACC063">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提供本单位制造的货物、承担的工程或者服务（以下简称产品），或者提供其他残疾人福利性单位制造的货物（不包括使用非残疾人福利性单位注册商标的货物）；</w:t>
      </w:r>
    </w:p>
    <w:p w14:paraId="7D168B55">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39A9678">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本项目是否专门面向中小企业预留采购份额见第一章《采购邀请》。</w:t>
      </w:r>
    </w:p>
    <w:p w14:paraId="134411F9">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采购标的对应的中小企业划分标准所属行业见《供应商须知资料表》。</w:t>
      </w:r>
    </w:p>
    <w:p w14:paraId="1897B0ED">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小微企业价格评审优惠的政策调整：见第三章《评审方法和评审标准》。</w:t>
      </w:r>
    </w:p>
    <w:p w14:paraId="3E99AFE1">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政府采购节能产品、环境标志产品</w:t>
      </w:r>
    </w:p>
    <w:p w14:paraId="7F9AD44E">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C4B1C20">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81A7295">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rPr>
        <w:t>否则</w:t>
      </w:r>
      <w:r>
        <w:rPr>
          <w:rFonts w:hint="eastAsia" w:ascii="宋体" w:hAnsi="宋体" w:eastAsia="宋体" w:cs="宋体"/>
          <w:b/>
          <w:kern w:val="0"/>
          <w:sz w:val="24"/>
        </w:rPr>
        <w:t>响应无效</w:t>
      </w:r>
      <w:r>
        <w:rPr>
          <w:rFonts w:hint="eastAsia" w:ascii="宋体" w:hAnsi="宋体" w:eastAsia="宋体" w:cs="宋体"/>
          <w:sz w:val="24"/>
        </w:rPr>
        <w:t>；</w:t>
      </w:r>
    </w:p>
    <w:p w14:paraId="50256C43">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非政府强制采购的节能产品或环境标志产品，依据品目清单和认证证书实施政府优先采购。优先采购的具体规定见第三章《评审方法和评审标准》（如涉及）。</w:t>
      </w:r>
    </w:p>
    <w:p w14:paraId="664C77C6">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正版软件</w:t>
      </w:r>
    </w:p>
    <w:p w14:paraId="514EE2D8">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00AF9EB">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网络安全专用产品</w:t>
      </w:r>
    </w:p>
    <w:p w14:paraId="341EBABB">
      <w:pPr>
        <w:numPr>
          <w:ilvl w:val="2"/>
          <w:numId w:val="8"/>
        </w:numPr>
        <w:tabs>
          <w:tab w:val="left" w:pos="900"/>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E72BC21">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推广使用低挥发性有机化合物（VOCs）</w:t>
      </w:r>
    </w:p>
    <w:p w14:paraId="6913781E">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eastAsia="宋体" w:cs="宋体"/>
          <w:kern w:val="0"/>
          <w:sz w:val="24"/>
        </w:rPr>
        <w:t>否则</w:t>
      </w:r>
      <w:r>
        <w:rPr>
          <w:rFonts w:hint="eastAsia" w:ascii="宋体" w:hAnsi="宋体" w:eastAsia="宋体" w:cs="宋体"/>
          <w:b/>
          <w:kern w:val="0"/>
          <w:sz w:val="24"/>
        </w:rPr>
        <w:t>响应无效</w:t>
      </w:r>
      <w:r>
        <w:rPr>
          <w:rFonts w:hint="eastAsia" w:ascii="宋体" w:hAnsi="宋体" w:eastAsia="宋体" w:cs="宋体"/>
          <w:sz w:val="24"/>
        </w:rPr>
        <w:t>；属于推荐性标准的，优先采购，具体见第三章《评审方法和评审标准》。</w:t>
      </w:r>
    </w:p>
    <w:p w14:paraId="5063AD72">
      <w:pPr>
        <w:numPr>
          <w:ilvl w:val="1"/>
          <w:numId w:val="8"/>
        </w:numPr>
        <w:tabs>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采购需求标准</w:t>
      </w:r>
    </w:p>
    <w:p w14:paraId="446E5EE9">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商品包装、快递包装政府采购需求标准（试行）</w:t>
      </w:r>
    </w:p>
    <w:p w14:paraId="26174F38">
      <w:pPr>
        <w:tabs>
          <w:tab w:val="left" w:pos="900"/>
          <w:tab w:val="left" w:pos="1980"/>
        </w:tabs>
        <w:snapToGrid w:val="0"/>
        <w:spacing w:line="360" w:lineRule="auto"/>
        <w:ind w:left="1985"/>
        <w:rPr>
          <w:rFonts w:hint="eastAsia" w:ascii="宋体" w:hAnsi="宋体" w:eastAsia="宋体" w:cs="宋体"/>
          <w:sz w:val="24"/>
        </w:rPr>
      </w:pPr>
      <w:r>
        <w:rPr>
          <w:rFonts w:hint="eastAsia" w:ascii="宋体" w:hAnsi="宋体" w:eastAsia="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238DCD1">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 xml:space="preserve">其他政府采购需求标准 </w:t>
      </w:r>
    </w:p>
    <w:p w14:paraId="03214476">
      <w:pPr>
        <w:tabs>
          <w:tab w:val="left" w:pos="900"/>
          <w:tab w:val="left" w:pos="1980"/>
        </w:tabs>
        <w:snapToGrid w:val="0"/>
        <w:spacing w:line="360" w:lineRule="auto"/>
        <w:ind w:left="1980"/>
        <w:rPr>
          <w:rFonts w:hint="eastAsia" w:ascii="宋体" w:hAnsi="宋体" w:eastAsia="宋体" w:cs="宋体"/>
          <w:sz w:val="24"/>
        </w:rPr>
      </w:pPr>
      <w:r>
        <w:rPr>
          <w:rFonts w:hint="eastAsia" w:ascii="宋体" w:hAnsi="宋体" w:eastAsia="宋体" w:cs="宋体"/>
          <w:sz w:val="24"/>
        </w:rPr>
        <w:t>为贯彻落实《深化政府采购制度改革方案》有关要求，推动政府采购需求标准建设，</w:t>
      </w:r>
      <w:bookmarkStart w:id="153" w:name="_Hlk168431650"/>
      <w:r>
        <w:rPr>
          <w:rFonts w:hint="eastAsia" w:ascii="宋体" w:hAnsi="宋体" w:eastAsia="宋体" w:cs="宋体"/>
          <w:sz w:val="24"/>
        </w:rPr>
        <w:t>财政部门会同有关部门制定发布的</w:t>
      </w:r>
      <w:bookmarkEnd w:id="153"/>
      <w:r>
        <w:rPr>
          <w:rFonts w:hint="eastAsia" w:ascii="宋体" w:hAnsi="宋体" w:eastAsia="宋体" w:cs="宋体"/>
          <w:sz w:val="24"/>
        </w:rPr>
        <w:t>其他政府采购需求标准，本项目如涉及，则具体要求见第四章《采购需求》。</w:t>
      </w:r>
    </w:p>
    <w:p w14:paraId="7951DD68">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响应费用</w:t>
      </w:r>
    </w:p>
    <w:p w14:paraId="04594D70">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供应商应自行承担所有与准备和参加磋商有关的费用，无论磋商的结果如何，采购人或采购代理机构在任何情况下均无承担这些费用的义务和责任。</w:t>
      </w:r>
    </w:p>
    <w:p w14:paraId="3B377907">
      <w:pPr>
        <w:tabs>
          <w:tab w:val="left" w:pos="1080"/>
        </w:tabs>
        <w:snapToGrid w:val="0"/>
        <w:spacing w:line="360" w:lineRule="auto"/>
        <w:ind w:left="1080"/>
        <w:rPr>
          <w:rFonts w:hint="eastAsia" w:ascii="宋体" w:hAnsi="宋体" w:eastAsia="宋体" w:cs="宋体"/>
          <w:sz w:val="28"/>
        </w:rPr>
      </w:pPr>
      <w:bookmarkStart w:id="154" w:name="_1.8_计量单位"/>
      <w:bookmarkEnd w:id="154"/>
    </w:p>
    <w:p w14:paraId="3D5828A3">
      <w:pPr>
        <w:pStyle w:val="3"/>
        <w:spacing w:before="0" w:line="360" w:lineRule="auto"/>
        <w:rPr>
          <w:rFonts w:hint="eastAsia" w:ascii="宋体" w:hAnsi="宋体" w:eastAsia="宋体" w:cs="宋体"/>
          <w:sz w:val="28"/>
        </w:rPr>
      </w:pPr>
      <w:r>
        <w:rPr>
          <w:rFonts w:hint="eastAsia" w:ascii="宋体" w:hAnsi="宋体" w:eastAsia="宋体" w:cs="宋体"/>
          <w:sz w:val="28"/>
        </w:rPr>
        <w:t>二   竞争性磋商文件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E61792E">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155" w:name="_Toc150774623"/>
      <w:bookmarkStart w:id="156" w:name="_Toc195842888"/>
      <w:bookmarkStart w:id="157" w:name="_Toc151193621"/>
      <w:bookmarkStart w:id="158" w:name="_Toc265228361"/>
      <w:bookmarkStart w:id="159" w:name="_Toc150480761"/>
      <w:bookmarkStart w:id="160" w:name="_Toc520356147"/>
      <w:bookmarkStart w:id="161" w:name="_Toc226337219"/>
      <w:bookmarkStart w:id="162" w:name="_Toc164608792"/>
      <w:bookmarkStart w:id="163" w:name="_Toc149720816"/>
      <w:bookmarkStart w:id="164" w:name="_Toc127161437"/>
      <w:bookmarkStart w:id="165" w:name="_Toc150774728"/>
      <w:bookmarkStart w:id="166" w:name="_Toc226309767"/>
      <w:bookmarkStart w:id="167" w:name="_Toc127151523"/>
      <w:bookmarkStart w:id="168" w:name="_Toc151193693"/>
      <w:bookmarkStart w:id="169" w:name="_Toc164351617"/>
      <w:bookmarkStart w:id="170" w:name="_Toc164229364"/>
      <w:bookmarkStart w:id="171" w:name="_Toc164608637"/>
      <w:bookmarkStart w:id="172" w:name="_Toc142311025"/>
      <w:bookmarkStart w:id="173" w:name="_Toc127151724"/>
      <w:bookmarkStart w:id="174" w:name="_Toc264969213"/>
      <w:bookmarkStart w:id="175" w:name="_Toc151193911"/>
      <w:bookmarkStart w:id="176" w:name="_Toc305158791"/>
      <w:bookmarkStart w:id="177" w:name="_Toc151193837"/>
      <w:bookmarkStart w:id="178" w:name="_Toc305158865"/>
      <w:bookmarkStart w:id="179" w:name="_Toc226965713"/>
      <w:bookmarkStart w:id="180" w:name="_Toc226965796"/>
      <w:bookmarkStart w:id="181" w:name="_Toc150509274"/>
      <w:bookmarkStart w:id="182" w:name="_Toc164229218"/>
      <w:bookmarkStart w:id="183" w:name="_Toc151193765"/>
      <w:bookmarkStart w:id="184" w:name="_Toc151190150"/>
      <w:r>
        <w:rPr>
          <w:rFonts w:hint="eastAsia" w:ascii="宋体" w:hAnsi="宋体" w:eastAsia="宋体" w:cs="宋体"/>
          <w:sz w:val="24"/>
        </w:rPr>
        <w:t>竞争性磋商文件构</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ascii="宋体" w:hAnsi="宋体" w:eastAsia="宋体" w:cs="宋体"/>
          <w:sz w:val="24"/>
        </w:rPr>
        <w:t>成</w:t>
      </w:r>
    </w:p>
    <w:p w14:paraId="0539251B">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竞争性磋商文件包括以下部分：</w:t>
      </w:r>
    </w:p>
    <w:p w14:paraId="6AE2EEB5">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采购邀请</w:t>
      </w:r>
    </w:p>
    <w:p w14:paraId="2FC4EBC7">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供应商须知</w:t>
      </w:r>
    </w:p>
    <w:p w14:paraId="721A10FA">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评审方法和评审标准</w:t>
      </w:r>
    </w:p>
    <w:p w14:paraId="4B53385B">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采购需求</w:t>
      </w:r>
    </w:p>
    <w:p w14:paraId="59FEE141">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合同草案条款</w:t>
      </w:r>
    </w:p>
    <w:p w14:paraId="0F019A12">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响应文件格式</w:t>
      </w:r>
    </w:p>
    <w:p w14:paraId="787E021B">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rPr>
        <w:t>响应无效</w:t>
      </w:r>
      <w:r>
        <w:rPr>
          <w:rFonts w:hint="eastAsia" w:ascii="宋体" w:hAnsi="宋体" w:eastAsia="宋体" w:cs="宋体"/>
          <w:sz w:val="24"/>
        </w:rPr>
        <w:t>。</w:t>
      </w:r>
    </w:p>
    <w:p w14:paraId="104123E2">
      <w:pPr>
        <w:numPr>
          <w:ilvl w:val="0"/>
          <w:numId w:val="8"/>
        </w:numPr>
        <w:tabs>
          <w:tab w:val="left" w:pos="1080"/>
          <w:tab w:val="left" w:pos="2014"/>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对竞争性磋商文件的澄清或修改</w:t>
      </w:r>
    </w:p>
    <w:p w14:paraId="2A8384C1">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3D05F1C">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上述书面通知，按照获取竞争性磋商文件的潜在供应商提供的联系方式发出，因提供的信息有误导致通知延迟或无法通知的，采购人或采购代理机构不承担责任。</w:t>
      </w:r>
    </w:p>
    <w:p w14:paraId="5E867E14">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宋体" w:hAnsi="宋体" w:eastAsia="宋体" w:cs="宋体"/>
          <w:kern w:val="0"/>
          <w:sz w:val="24"/>
        </w:rPr>
        <w:t>以书面形式通知所有获取磋商文件的供应商</w:t>
      </w:r>
      <w:r>
        <w:rPr>
          <w:rFonts w:hint="eastAsia" w:ascii="宋体" w:hAnsi="宋体" w:eastAsia="宋体" w:cs="宋体"/>
          <w:sz w:val="24"/>
        </w:rPr>
        <w:t>；不足上述时间的，将顺延提交首次响应文件截止时间。</w:t>
      </w:r>
    </w:p>
    <w:p w14:paraId="04FB0014">
      <w:pPr>
        <w:tabs>
          <w:tab w:val="left" w:pos="1080"/>
          <w:tab w:val="left" w:pos="1561"/>
        </w:tabs>
        <w:snapToGrid w:val="0"/>
        <w:spacing w:line="360" w:lineRule="auto"/>
        <w:ind w:left="1080"/>
        <w:rPr>
          <w:rFonts w:hint="eastAsia" w:ascii="宋体" w:hAnsi="宋体" w:eastAsia="宋体" w:cs="宋体"/>
          <w:sz w:val="28"/>
        </w:rPr>
      </w:pPr>
      <w:bookmarkStart w:id="185" w:name="_Toc516367020"/>
      <w:bookmarkStart w:id="186" w:name="_Toc226337222"/>
      <w:bookmarkStart w:id="187" w:name="_Toc151193696"/>
      <w:bookmarkStart w:id="188" w:name="_Toc151190153"/>
      <w:bookmarkStart w:id="189" w:name="_Toc150509277"/>
      <w:bookmarkStart w:id="190" w:name="_Toc195842891"/>
      <w:bookmarkStart w:id="191" w:name="_Toc226309770"/>
      <w:bookmarkStart w:id="192" w:name="_Toc142311028"/>
      <w:bookmarkStart w:id="193" w:name="_Toc305158794"/>
      <w:bookmarkStart w:id="194" w:name="_Toc127151526"/>
      <w:bookmarkStart w:id="195" w:name="_Toc226965716"/>
      <w:bookmarkStart w:id="196" w:name="_Toc265228364"/>
      <w:bookmarkStart w:id="197" w:name="_Toc226965799"/>
      <w:bookmarkStart w:id="198" w:name="_Toc151193840"/>
      <w:bookmarkStart w:id="199" w:name="_Toc520356150"/>
      <w:bookmarkStart w:id="200" w:name="_Toc151193768"/>
      <w:bookmarkStart w:id="201" w:name="_Toc264969216"/>
      <w:bookmarkStart w:id="202" w:name="_Toc150774731"/>
      <w:bookmarkStart w:id="203" w:name="_Toc305158868"/>
      <w:bookmarkStart w:id="204" w:name="_Toc150774626"/>
      <w:bookmarkStart w:id="205" w:name="_Toc151193914"/>
      <w:bookmarkStart w:id="206" w:name="_Toc150480764"/>
      <w:bookmarkStart w:id="207" w:name="_Toc151193624"/>
    </w:p>
    <w:p w14:paraId="3796305B">
      <w:pPr>
        <w:pStyle w:val="3"/>
        <w:spacing w:before="0" w:line="360" w:lineRule="auto"/>
        <w:rPr>
          <w:rFonts w:hint="eastAsia" w:ascii="宋体" w:hAnsi="宋体" w:eastAsia="宋体" w:cs="宋体"/>
          <w:sz w:val="28"/>
        </w:rPr>
      </w:pPr>
      <w:r>
        <w:rPr>
          <w:rFonts w:hint="eastAsia" w:ascii="宋体" w:hAnsi="宋体" w:eastAsia="宋体" w:cs="宋体"/>
          <w:sz w:val="28"/>
        </w:rPr>
        <w:t>三   响应文件</w:t>
      </w:r>
      <w:bookmarkEnd w:id="185"/>
      <w:r>
        <w:rPr>
          <w:rFonts w:hint="eastAsia" w:ascii="宋体" w:hAnsi="宋体" w:eastAsia="宋体" w:cs="宋体"/>
          <w:sz w:val="28"/>
        </w:rPr>
        <w:t>的编制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2391EE62">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208" w:name="_Toc164608796"/>
      <w:bookmarkStart w:id="209" w:name="_Toc226309771"/>
      <w:bookmarkStart w:id="210" w:name="_Toc151193841"/>
      <w:bookmarkStart w:id="211" w:name="_Toc226965717"/>
      <w:bookmarkStart w:id="212" w:name="_Toc520356151"/>
      <w:bookmarkStart w:id="213" w:name="_Toc264969217"/>
      <w:bookmarkStart w:id="214" w:name="_Toc265228365"/>
      <w:bookmarkStart w:id="215" w:name="_Toc151190154"/>
      <w:bookmarkStart w:id="216" w:name="_Toc151193915"/>
      <w:bookmarkStart w:id="217" w:name="_Toc150509278"/>
      <w:bookmarkStart w:id="218" w:name="_Toc150480765"/>
      <w:bookmarkStart w:id="219" w:name="_Toc226337223"/>
      <w:bookmarkStart w:id="220" w:name="_Toc151193769"/>
      <w:bookmarkStart w:id="221" w:name="_Toc164229368"/>
      <w:bookmarkStart w:id="222" w:name="_Toc151193697"/>
      <w:bookmarkStart w:id="223" w:name="_Toc516367021"/>
      <w:bookmarkStart w:id="224" w:name="_Toc305158795"/>
      <w:bookmarkStart w:id="225" w:name="_Toc226965800"/>
      <w:bookmarkStart w:id="226" w:name="_Toc151193625"/>
      <w:bookmarkStart w:id="227" w:name="_Toc127161441"/>
      <w:bookmarkStart w:id="228" w:name="_Toc195842892"/>
      <w:bookmarkStart w:id="229" w:name="_Toc127151728"/>
      <w:bookmarkStart w:id="230" w:name="_Toc127151527"/>
      <w:bookmarkStart w:id="231" w:name="_Toc150774627"/>
      <w:bookmarkStart w:id="232" w:name="_Toc150774732"/>
      <w:bookmarkStart w:id="233" w:name="_Toc305158869"/>
      <w:bookmarkStart w:id="234" w:name="_Toc149720820"/>
      <w:bookmarkStart w:id="235" w:name="_Toc164608641"/>
      <w:bookmarkStart w:id="236" w:name="_Toc142311029"/>
      <w:bookmarkStart w:id="237" w:name="_Toc164351621"/>
      <w:bookmarkStart w:id="238" w:name="_Toc164229222"/>
      <w:r>
        <w:rPr>
          <w:rFonts w:hint="eastAsia" w:ascii="宋体" w:hAnsi="宋体" w:eastAsia="宋体" w:cs="宋体"/>
          <w:sz w:val="24"/>
        </w:rPr>
        <w:t>响应范围、竞争性磋商文件中计量单位的使用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rFonts w:hint="eastAsia" w:ascii="宋体" w:hAnsi="宋体" w:eastAsia="宋体" w:cs="宋体"/>
          <w:sz w:val="24"/>
        </w:rPr>
        <w:t>及磋商语言</w:t>
      </w:r>
    </w:p>
    <w:p w14:paraId="6244F69E">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宋体" w:hAnsi="宋体" w:eastAsia="宋体" w:cs="宋体"/>
          <w:b/>
          <w:sz w:val="24"/>
        </w:rPr>
        <w:t>无效响应</w:t>
      </w:r>
      <w:r>
        <w:rPr>
          <w:rFonts w:hint="eastAsia" w:ascii="宋体" w:hAnsi="宋体" w:eastAsia="宋体" w:cs="宋体"/>
          <w:sz w:val="24"/>
        </w:rPr>
        <w:t>。</w:t>
      </w:r>
    </w:p>
    <w:p w14:paraId="0F12B12F">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除竞争性磋商文件有特殊要求外，本项目磋商所使用的计量单位，应采用中华人民共和国法定计量单位。</w:t>
      </w:r>
    </w:p>
    <w:p w14:paraId="6677E27E">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7F1683C">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239" w:name="_Toc516367022"/>
      <w:bookmarkStart w:id="240" w:name="_Ref467306195"/>
      <w:bookmarkStart w:id="241" w:name="_Ref467306676"/>
      <w:bookmarkStart w:id="242" w:name="_Toc226337224"/>
      <w:bookmarkStart w:id="243" w:name="_Toc149720821"/>
      <w:bookmarkStart w:id="244" w:name="_Toc150774733"/>
      <w:bookmarkStart w:id="245" w:name="_Toc164608642"/>
      <w:bookmarkStart w:id="246" w:name="_Toc127151528"/>
      <w:bookmarkStart w:id="247" w:name="_Toc151193698"/>
      <w:bookmarkStart w:id="248" w:name="_Toc226965801"/>
      <w:bookmarkStart w:id="249" w:name="_Toc164229223"/>
      <w:bookmarkStart w:id="250" w:name="_Toc151193770"/>
      <w:bookmarkStart w:id="251" w:name="_Toc150480766"/>
      <w:bookmarkStart w:id="252" w:name="_Toc264969218"/>
      <w:bookmarkStart w:id="253" w:name="_Toc151193626"/>
      <w:bookmarkStart w:id="254" w:name="_Toc150774628"/>
      <w:bookmarkStart w:id="255" w:name="_Toc305158796"/>
      <w:bookmarkStart w:id="256" w:name="_Toc305158870"/>
      <w:bookmarkStart w:id="257" w:name="_Toc226965718"/>
      <w:bookmarkStart w:id="258" w:name="_Toc150509279"/>
      <w:bookmarkStart w:id="259" w:name="_Toc164608797"/>
      <w:bookmarkStart w:id="260" w:name="_Toc127161442"/>
      <w:bookmarkStart w:id="261" w:name="_Toc151190155"/>
      <w:bookmarkStart w:id="262" w:name="_Toc226309772"/>
      <w:bookmarkStart w:id="263" w:name="_Toc151193842"/>
      <w:bookmarkStart w:id="264" w:name="_Toc151193916"/>
      <w:bookmarkStart w:id="265" w:name="_Toc265228366"/>
      <w:bookmarkStart w:id="266" w:name="_Toc127151729"/>
      <w:bookmarkStart w:id="267" w:name="_Toc520356152"/>
      <w:bookmarkStart w:id="268" w:name="_Toc164229369"/>
      <w:bookmarkStart w:id="269" w:name="_Toc142311030"/>
      <w:bookmarkStart w:id="270" w:name="_Toc164351622"/>
      <w:bookmarkStart w:id="271" w:name="_Toc195842893"/>
      <w:r>
        <w:rPr>
          <w:rFonts w:hint="eastAsia" w:ascii="宋体" w:hAnsi="宋体" w:eastAsia="宋体" w:cs="宋体"/>
          <w:sz w:val="24"/>
        </w:rPr>
        <w:t>响应文件</w:t>
      </w:r>
      <w:bookmarkEnd w:id="239"/>
      <w:bookmarkEnd w:id="240"/>
      <w:bookmarkEnd w:id="241"/>
      <w:r>
        <w:rPr>
          <w:rFonts w:hint="eastAsia" w:ascii="宋体" w:hAnsi="宋体" w:eastAsia="宋体" w:cs="宋体"/>
          <w:sz w:val="24"/>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73AD0548">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272" w:name="_Ref467052588"/>
      <w:r>
        <w:rPr>
          <w:rFonts w:hint="eastAsia" w:ascii="宋体" w:hAnsi="宋体" w:eastAsia="宋体" w:cs="宋体"/>
          <w:sz w:val="24"/>
        </w:rPr>
        <w:t>供应商应当按照竞争性磋商文件的要求编制响应文件，</w:t>
      </w:r>
      <w:r>
        <w:rPr>
          <w:rFonts w:hint="eastAsia" w:ascii="宋体" w:hAnsi="宋体" w:eastAsia="宋体" w:cs="宋体"/>
          <w:kern w:val="0"/>
          <w:sz w:val="24"/>
        </w:rPr>
        <w:t>并对其提交的响应文件的真实性、合法性承担法律责任</w:t>
      </w:r>
      <w:r>
        <w:rPr>
          <w:rFonts w:hint="eastAsia" w:ascii="宋体" w:hAnsi="宋体" w:eastAsia="宋体" w:cs="宋体"/>
          <w:sz w:val="24"/>
        </w:rPr>
        <w:t>。响应文件的部分格式要求，见第六章《响应文件格式》。</w:t>
      </w:r>
    </w:p>
    <w:p w14:paraId="295DF54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rPr>
        <w:t>对于竞争性磋商文件中标记了“实质性格式”文件的，</w:t>
      </w:r>
      <w:r>
        <w:rPr>
          <w:rFonts w:hint="eastAsia" w:ascii="宋体" w:hAnsi="宋体" w:eastAsia="宋体" w:cs="宋体"/>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rPr>
        <w:t>否则响应无效</w:t>
      </w:r>
      <w:r>
        <w:rPr>
          <w:rFonts w:hint="eastAsia" w:ascii="宋体" w:hAnsi="宋体" w:eastAsia="宋体" w:cs="宋体"/>
          <w:kern w:val="0"/>
          <w:sz w:val="24"/>
        </w:rPr>
        <w:t>。未标记“实质性格式”的文件和竞争性磋商文件未提供格式的内容，可由供应商自行编写。</w:t>
      </w:r>
    </w:p>
    <w:p w14:paraId="79206F5D">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第三章《评审方法和评审标准》中涉及的证明文件。</w:t>
      </w:r>
    </w:p>
    <w:p w14:paraId="69059CD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BFE1FDD">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供应商认为应附的其他材料。</w:t>
      </w:r>
      <w:bookmarkEnd w:id="272"/>
    </w:p>
    <w:p w14:paraId="16F71A0C">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273" w:name="_Toc150509281"/>
      <w:bookmarkStart w:id="274" w:name="_Toc142311032"/>
      <w:bookmarkStart w:id="275" w:name="_Toc151193918"/>
      <w:bookmarkStart w:id="276" w:name="_Toc127151731"/>
      <w:bookmarkStart w:id="277" w:name="_Toc149720823"/>
      <w:bookmarkStart w:id="278" w:name="_Toc164351624"/>
      <w:bookmarkStart w:id="279" w:name="_Toc151193700"/>
      <w:bookmarkStart w:id="280" w:name="_Toc195842895"/>
      <w:bookmarkStart w:id="281" w:name="_Toc150774735"/>
      <w:bookmarkStart w:id="282" w:name="_Toc127151530"/>
      <w:bookmarkStart w:id="283" w:name="_Toc150480768"/>
      <w:bookmarkStart w:id="284" w:name="_Toc164229225"/>
      <w:bookmarkStart w:id="285" w:name="_Toc151193628"/>
      <w:bookmarkStart w:id="286" w:name="_Toc520356155"/>
      <w:bookmarkStart w:id="287" w:name="_Toc164608799"/>
      <w:bookmarkStart w:id="288" w:name="_Toc151193772"/>
      <w:bookmarkStart w:id="289" w:name="_Toc151190157"/>
      <w:bookmarkStart w:id="290" w:name="_Toc127161444"/>
      <w:bookmarkStart w:id="291" w:name="_Toc150774630"/>
      <w:bookmarkStart w:id="292" w:name="_Toc164229371"/>
      <w:bookmarkStart w:id="293" w:name="_Toc164608644"/>
      <w:bookmarkStart w:id="294" w:name="_Toc151193844"/>
      <w:r>
        <w:rPr>
          <w:rFonts w:hint="eastAsia" w:ascii="宋体" w:hAnsi="宋体" w:eastAsia="宋体" w:cs="宋体"/>
          <w:sz w:val="24"/>
        </w:rPr>
        <w:t>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66D1DB1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所有响应均以人民币为计价货币。</w:t>
      </w:r>
    </w:p>
    <w:p w14:paraId="26032618">
      <w:pPr>
        <w:numPr>
          <w:ilvl w:val="1"/>
          <w:numId w:val="8"/>
        </w:numPr>
        <w:tabs>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315B4724">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2D33C8C">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按照竞争性磋商文件要求完成本项目的全部相关费用。</w:t>
      </w:r>
    </w:p>
    <w:p w14:paraId="7B7BAF64">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采购人不得向供应商索要或者接受其给予的赠品、回扣或者与采购无关的其他商品、服务。</w:t>
      </w:r>
    </w:p>
    <w:p w14:paraId="1DEE2DEB">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供应商不能提供任何有选择性或可调整的最后报价（</w:t>
      </w:r>
      <w:r>
        <w:rPr>
          <w:rFonts w:hint="eastAsia" w:ascii="宋体" w:hAnsi="宋体" w:eastAsia="宋体" w:cs="宋体"/>
          <w:color w:val="000000"/>
          <w:kern w:val="0"/>
          <w:sz w:val="24"/>
        </w:rPr>
        <w:t>竞争性磋商文件</w:t>
      </w:r>
      <w:r>
        <w:rPr>
          <w:rFonts w:hint="eastAsia" w:ascii="宋体" w:hAnsi="宋体" w:eastAsia="宋体" w:cs="宋体"/>
          <w:sz w:val="24"/>
        </w:rPr>
        <w:t>另有规定的除外），否则其</w:t>
      </w:r>
      <w:r>
        <w:rPr>
          <w:rFonts w:hint="eastAsia" w:ascii="宋体" w:hAnsi="宋体" w:eastAsia="宋体" w:cs="宋体"/>
          <w:b/>
          <w:sz w:val="24"/>
        </w:rPr>
        <w:t>响应无效</w:t>
      </w:r>
      <w:r>
        <w:rPr>
          <w:rFonts w:hint="eastAsia" w:ascii="宋体" w:hAnsi="宋体" w:eastAsia="宋体" w:cs="宋体"/>
          <w:sz w:val="24"/>
        </w:rPr>
        <w:t>。</w:t>
      </w:r>
    </w:p>
    <w:p w14:paraId="45C324C1">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磋商保证金</w:t>
      </w:r>
    </w:p>
    <w:p w14:paraId="1ABA9814">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295" w:name="_Ref467306302"/>
      <w:r>
        <w:rPr>
          <w:rFonts w:hint="eastAsia" w:ascii="宋体" w:hAnsi="宋体" w:eastAsia="宋体" w:cs="宋体"/>
          <w:sz w:val="24"/>
        </w:rPr>
        <w:t>供应商应按《供应商须知资料表》中规定的金额及要求交纳磋商保证金</w:t>
      </w:r>
      <w:bookmarkEnd w:id="295"/>
      <w:r>
        <w:rPr>
          <w:rFonts w:hint="eastAsia" w:ascii="宋体" w:hAnsi="宋体" w:eastAsia="宋体" w:cs="宋体"/>
          <w:sz w:val="24"/>
        </w:rPr>
        <w:t>。供应商自愿超额缴纳磋商保证金的，响应文件不做无效处理。</w:t>
      </w:r>
    </w:p>
    <w:p w14:paraId="2B946B95">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交纳磋商保证金可采用的形式：政府采购法律法规接受的支票、汇票、本票、网上银行支付或者金融机构、担保机构出具的保函等非现金形式。</w:t>
      </w:r>
    </w:p>
    <w:p w14:paraId="18B58B7D">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w:t>
      </w:r>
      <w:bookmarkStart w:id="296" w:name="_Hlk164959831"/>
      <w:r>
        <w:rPr>
          <w:rFonts w:hint="eastAsia" w:ascii="宋体" w:hAnsi="宋体" w:eastAsia="宋体" w:cs="宋体"/>
          <w:sz w:val="24"/>
        </w:rPr>
        <w:t>以电子保函形式提交磋商保证金的，应在首次响应文件提交截止时间前通过</w:t>
      </w:r>
      <w:r>
        <w:rPr>
          <w:rFonts w:hint="eastAsia" w:ascii="宋体" w:hAnsi="宋体" w:eastAsia="宋体" w:cs="宋体"/>
          <w:sz w:val="24"/>
          <w:lang w:bidi="ar"/>
        </w:rPr>
        <w:t>北京市政府采购电子交易平台完成电子保函在线办理。</w:t>
      </w:r>
      <w:bookmarkEnd w:id="296"/>
      <w:r>
        <w:rPr>
          <w:rFonts w:hint="eastAsia" w:ascii="宋体" w:hAnsi="宋体" w:eastAsia="宋体" w:cs="宋体"/>
          <w:sz w:val="24"/>
        </w:rPr>
        <w:t>未按上述要求缴纳保证金的，其</w:t>
      </w:r>
      <w:r>
        <w:rPr>
          <w:rFonts w:hint="eastAsia" w:ascii="宋体" w:hAnsi="宋体" w:eastAsia="宋体" w:cs="宋体"/>
          <w:b/>
          <w:sz w:val="24"/>
        </w:rPr>
        <w:t>响应无效</w:t>
      </w:r>
      <w:r>
        <w:rPr>
          <w:rFonts w:hint="eastAsia" w:ascii="宋体" w:hAnsi="宋体" w:eastAsia="宋体" w:cs="宋体"/>
          <w:sz w:val="24"/>
        </w:rPr>
        <w:t>。</w:t>
      </w:r>
    </w:p>
    <w:p w14:paraId="316F966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297" w:name="_Hlk168432698"/>
      <w:r>
        <w:rPr>
          <w:rFonts w:hint="eastAsia" w:ascii="宋体" w:hAnsi="宋体" w:eastAsia="宋体" w:cs="宋体"/>
          <w:sz w:val="24"/>
        </w:rPr>
        <w:t>供应商</w:t>
      </w:r>
      <w:r>
        <w:rPr>
          <w:rFonts w:hint="eastAsia" w:ascii="宋体" w:hAnsi="宋体" w:eastAsia="宋体" w:cs="宋体"/>
          <w:color w:val="000000"/>
          <w:sz w:val="24"/>
        </w:rPr>
        <w:t>除需在响应文件中提供“</w:t>
      </w:r>
      <w:r>
        <w:rPr>
          <w:rFonts w:hint="eastAsia" w:ascii="宋体" w:hAnsi="宋体" w:eastAsia="宋体" w:cs="宋体"/>
          <w:color w:val="000000"/>
          <w:sz w:val="24"/>
          <w:szCs w:val="20"/>
        </w:rPr>
        <w:t>磋商保证金凭证/交款单据电子件</w:t>
      </w:r>
      <w:r>
        <w:rPr>
          <w:rFonts w:hint="eastAsia" w:ascii="宋体" w:hAnsi="宋体" w:eastAsia="宋体" w:cs="宋体"/>
          <w:color w:val="000000"/>
          <w:sz w:val="24"/>
        </w:rPr>
        <w:t>”，</w:t>
      </w:r>
      <w:r>
        <w:rPr>
          <w:rFonts w:hint="eastAsia" w:ascii="宋体" w:hAnsi="宋体" w:eastAsia="宋体" w:cs="宋体"/>
          <w:sz w:val="24"/>
        </w:rPr>
        <w:t>还需在首次响应文件提交截止时间前，通过电子交易平台上传“</w:t>
      </w:r>
      <w:r>
        <w:rPr>
          <w:rFonts w:hint="eastAsia" w:ascii="宋体" w:hAnsi="宋体" w:eastAsia="宋体" w:cs="宋体"/>
          <w:color w:val="000000"/>
          <w:sz w:val="24"/>
          <w:szCs w:val="20"/>
        </w:rPr>
        <w:t>磋商保证金凭证/交款单据电子件</w:t>
      </w:r>
      <w:r>
        <w:rPr>
          <w:rFonts w:hint="eastAsia" w:ascii="宋体" w:hAnsi="宋体" w:eastAsia="宋体" w:cs="宋体"/>
          <w:sz w:val="24"/>
        </w:rPr>
        <w:t>”。</w:t>
      </w:r>
    </w:p>
    <w:bookmarkEnd w:id="297"/>
    <w:p w14:paraId="0E654D28">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磋商保证金有效期同响应有效期。</w:t>
      </w:r>
    </w:p>
    <w:p w14:paraId="160EE106">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供应商为联合体的，可以由联合体中的一方或者多方共同交纳磋商保证金，其交纳的保证金对联合体各方均具有约束力。</w:t>
      </w:r>
    </w:p>
    <w:p w14:paraId="4B0B907B">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9B6FF5D">
      <w:pPr>
        <w:numPr>
          <w:ilvl w:val="2"/>
          <w:numId w:val="8"/>
        </w:numPr>
        <w:snapToGrid w:val="0"/>
        <w:spacing w:line="360" w:lineRule="auto"/>
        <w:rPr>
          <w:rFonts w:hint="eastAsia" w:ascii="宋体" w:hAnsi="宋体" w:eastAsia="宋体" w:cs="宋体"/>
          <w:sz w:val="24"/>
        </w:rPr>
      </w:pPr>
      <w:r>
        <w:rPr>
          <w:rFonts w:hint="eastAsia" w:ascii="宋体" w:hAnsi="宋体" w:eastAsia="宋体" w:cs="宋体"/>
          <w:snapToGrid w:val="0"/>
          <w:kern w:val="0"/>
          <w:sz w:val="24"/>
        </w:rPr>
        <w:t>已提交响应文件的供应商，在提交最后报价之前，可以根据磋商情况退出磋商。采购人、采购代理机构将退还退出磋商的供应商的磋商保证金；</w:t>
      </w:r>
    </w:p>
    <w:p w14:paraId="0470CFE0">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成交供应商的磋商保证金，在采购合同签订后5个工作日内退还成交供应商；</w:t>
      </w:r>
    </w:p>
    <w:p w14:paraId="0F411419">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未成交供应商的磋商保证金，在成交通知书发出后5个工作日内退还。</w:t>
      </w:r>
    </w:p>
    <w:p w14:paraId="37F6131C">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有下列情形之一的，采购人或采购代理机构不予退还磋商保证金：</w:t>
      </w:r>
    </w:p>
    <w:p w14:paraId="626E3B58">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供应商在响应文件提交截止时间后撤回响应文件的；</w:t>
      </w:r>
    </w:p>
    <w:p w14:paraId="324EE70B">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供应商在响应文件中提供虚假材料的；</w:t>
      </w:r>
    </w:p>
    <w:p w14:paraId="71698C1A">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除因不可抗力或磋商文件认可的情形以外，成交供应商不与采购人签订合同的；</w:t>
      </w:r>
    </w:p>
    <w:p w14:paraId="505B7DCA">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供应商与采购人、其他供应商或者采购代理机构恶意串通的；</w:t>
      </w:r>
    </w:p>
    <w:p w14:paraId="62907EEA">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《供应商须知资料表》规定的其他情形。</w:t>
      </w:r>
    </w:p>
    <w:p w14:paraId="724D5BAB">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响应有效期</w:t>
      </w:r>
    </w:p>
    <w:p w14:paraId="55E38A0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响应文件应在本竞争性磋商文件《供应商须知资料表》中规定的响应有效期内保持有效，响应有效期少于竞争性磋商文件规定期限的，其</w:t>
      </w:r>
      <w:r>
        <w:rPr>
          <w:rFonts w:hint="eastAsia" w:ascii="宋体" w:hAnsi="宋体" w:eastAsia="宋体" w:cs="宋体"/>
          <w:b/>
          <w:sz w:val="24"/>
        </w:rPr>
        <w:t>响应无效</w:t>
      </w:r>
      <w:r>
        <w:rPr>
          <w:rFonts w:hint="eastAsia" w:ascii="宋体" w:hAnsi="宋体" w:eastAsia="宋体" w:cs="宋体"/>
          <w:sz w:val="24"/>
        </w:rPr>
        <w:t>。</w:t>
      </w:r>
    </w:p>
    <w:p w14:paraId="1C241087">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298" w:name="_Toc226965806"/>
      <w:bookmarkStart w:id="299" w:name="_Toc164229374"/>
      <w:bookmarkStart w:id="300" w:name="_Toc151193703"/>
      <w:bookmarkStart w:id="301" w:name="_Toc164351627"/>
      <w:bookmarkStart w:id="302" w:name="_Toc150774738"/>
      <w:bookmarkStart w:id="303" w:name="_Toc151193847"/>
      <w:bookmarkStart w:id="304" w:name="_Toc226309777"/>
      <w:bookmarkStart w:id="305" w:name="_Toc151193631"/>
      <w:bookmarkStart w:id="306" w:name="_Toc305158801"/>
      <w:bookmarkStart w:id="307" w:name="_Toc127151734"/>
      <w:bookmarkStart w:id="308" w:name="_Toc164608802"/>
      <w:bookmarkStart w:id="309" w:name="_Toc520356158"/>
      <w:bookmarkStart w:id="310" w:name="_Toc142311035"/>
      <w:bookmarkStart w:id="311" w:name="_Toc305158875"/>
      <w:bookmarkStart w:id="312" w:name="_Toc164608647"/>
      <w:bookmarkStart w:id="313" w:name="_Toc150480771"/>
      <w:bookmarkStart w:id="314" w:name="_Toc264969223"/>
      <w:bookmarkStart w:id="315" w:name="_Toc226965723"/>
      <w:bookmarkStart w:id="316" w:name="_Toc226337229"/>
      <w:bookmarkStart w:id="317" w:name="_Toc127151533"/>
      <w:bookmarkStart w:id="318" w:name="_Toc150774633"/>
      <w:bookmarkStart w:id="319" w:name="_Toc195842898"/>
      <w:bookmarkStart w:id="320" w:name="_Toc127161447"/>
      <w:bookmarkStart w:id="321" w:name="_Toc164229228"/>
      <w:bookmarkStart w:id="322" w:name="_Toc151190160"/>
      <w:bookmarkStart w:id="323" w:name="_Toc150509284"/>
      <w:bookmarkStart w:id="324" w:name="_Toc151193921"/>
      <w:bookmarkStart w:id="325" w:name="_Toc149720826"/>
      <w:bookmarkStart w:id="326" w:name="_Toc151193775"/>
      <w:bookmarkStart w:id="327" w:name="_Toc265228371"/>
      <w:r>
        <w:rPr>
          <w:rFonts w:hint="eastAsia" w:ascii="宋体" w:hAnsi="宋体" w:eastAsia="宋体" w:cs="宋体"/>
          <w:sz w:val="24"/>
        </w:rPr>
        <w:t>响应文件的签署</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rFonts w:hint="eastAsia" w:ascii="宋体" w:hAnsi="宋体" w:eastAsia="宋体" w:cs="宋体"/>
          <w:sz w:val="24"/>
        </w:rPr>
        <w:t>、盖章</w:t>
      </w:r>
    </w:p>
    <w:p w14:paraId="50529623">
      <w:pPr>
        <w:numPr>
          <w:ilvl w:val="1"/>
          <w:numId w:val="8"/>
        </w:numPr>
        <w:tabs>
          <w:tab w:val="left" w:pos="1080"/>
        </w:tabs>
        <w:snapToGrid w:val="0"/>
        <w:spacing w:line="360" w:lineRule="auto"/>
        <w:rPr>
          <w:rFonts w:hint="eastAsia" w:ascii="宋体" w:hAnsi="宋体" w:eastAsia="宋体" w:cs="宋体"/>
          <w:sz w:val="24"/>
        </w:rPr>
      </w:pPr>
      <w:bookmarkStart w:id="328" w:name="_Toc142311036"/>
      <w:bookmarkStart w:id="329" w:name="_Toc226965807"/>
      <w:bookmarkStart w:id="330" w:name="_Toc150480772"/>
      <w:bookmarkStart w:id="331" w:name="_Toc195842899"/>
      <w:bookmarkStart w:id="332" w:name="_Toc226965724"/>
      <w:bookmarkStart w:id="333" w:name="_Toc151193922"/>
      <w:bookmarkStart w:id="334" w:name="_Toc305158802"/>
      <w:bookmarkStart w:id="335" w:name="_Toc520356159"/>
      <w:bookmarkStart w:id="336" w:name="_Toc151193704"/>
      <w:bookmarkStart w:id="337" w:name="_Toc150509285"/>
      <w:bookmarkStart w:id="338" w:name="_Toc151193848"/>
      <w:bookmarkStart w:id="339" w:name="_Toc151190161"/>
      <w:bookmarkStart w:id="340" w:name="_Toc265228372"/>
      <w:bookmarkStart w:id="341" w:name="_Toc226337230"/>
      <w:bookmarkStart w:id="342" w:name="_Toc150774739"/>
      <w:bookmarkStart w:id="343" w:name="_Toc151193632"/>
      <w:bookmarkStart w:id="344" w:name="_Toc127151534"/>
      <w:bookmarkStart w:id="345" w:name="_Toc264969224"/>
      <w:bookmarkStart w:id="346" w:name="_Toc151193776"/>
      <w:bookmarkStart w:id="347" w:name="_Toc150774634"/>
      <w:bookmarkStart w:id="348" w:name="_Toc305158876"/>
      <w:bookmarkStart w:id="349" w:name="_Toc226309778"/>
      <w:r>
        <w:rPr>
          <w:rFonts w:hint="eastAsia" w:ascii="宋体" w:hAnsi="宋体" w:eastAsia="宋体" w:cs="宋体"/>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0B213BC">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竞争性磋商文件要求盖章的内容，一般通过投标文件编制工具加盖电子签章。</w:t>
      </w:r>
    </w:p>
    <w:p w14:paraId="7D94EF85">
      <w:pPr>
        <w:tabs>
          <w:tab w:val="left" w:pos="900"/>
          <w:tab w:val="left" w:pos="1080"/>
        </w:tabs>
        <w:snapToGrid w:val="0"/>
        <w:spacing w:line="360" w:lineRule="auto"/>
        <w:ind w:left="357"/>
        <w:rPr>
          <w:rFonts w:hint="eastAsia" w:ascii="宋体" w:hAnsi="宋体" w:eastAsia="宋体" w:cs="宋体"/>
        </w:rPr>
      </w:pPr>
    </w:p>
    <w:p w14:paraId="658176A1">
      <w:pPr>
        <w:pStyle w:val="3"/>
        <w:spacing w:before="0" w:line="360" w:lineRule="auto"/>
        <w:rPr>
          <w:rFonts w:hint="eastAsia" w:ascii="宋体" w:hAnsi="宋体" w:eastAsia="宋体" w:cs="宋体"/>
          <w:sz w:val="28"/>
        </w:rPr>
      </w:pPr>
      <w:r>
        <w:rPr>
          <w:rFonts w:hint="eastAsia" w:ascii="宋体" w:hAnsi="宋体" w:eastAsia="宋体" w:cs="宋体"/>
          <w:sz w:val="28"/>
        </w:rPr>
        <w:t>四   响应文件的提交</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0FB74E22">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350" w:name="_Toc164608804"/>
      <w:bookmarkStart w:id="351" w:name="_Toc127151736"/>
      <w:bookmarkStart w:id="352" w:name="_Toc164351629"/>
      <w:bookmarkStart w:id="353" w:name="_Toc520356160"/>
      <w:bookmarkStart w:id="354" w:name="_Toc264969225"/>
      <w:bookmarkStart w:id="355" w:name="_Toc142311037"/>
      <w:bookmarkStart w:id="356" w:name="_Toc305158877"/>
      <w:bookmarkStart w:id="357" w:name="_Toc226337231"/>
      <w:bookmarkStart w:id="358" w:name="_Toc151193633"/>
      <w:bookmarkStart w:id="359" w:name="_Toc226965808"/>
      <w:bookmarkStart w:id="360" w:name="_Toc195842900"/>
      <w:bookmarkStart w:id="361" w:name="_Toc151193705"/>
      <w:bookmarkStart w:id="362" w:name="_Toc151193777"/>
      <w:bookmarkStart w:id="363" w:name="_Toc151193923"/>
      <w:bookmarkStart w:id="364" w:name="_Toc265228373"/>
      <w:bookmarkStart w:id="365" w:name="_Toc150480773"/>
      <w:bookmarkStart w:id="366" w:name="_Toc226965725"/>
      <w:bookmarkStart w:id="367" w:name="_Toc150509286"/>
      <w:bookmarkStart w:id="368" w:name="_Toc150774740"/>
      <w:bookmarkStart w:id="369" w:name="_Toc151193849"/>
      <w:bookmarkStart w:id="370" w:name="_Toc127151535"/>
      <w:bookmarkStart w:id="371" w:name="_Toc305158803"/>
      <w:bookmarkStart w:id="372" w:name="_Toc150774635"/>
      <w:bookmarkStart w:id="373" w:name="_Toc127161449"/>
      <w:bookmarkStart w:id="374" w:name="_Toc151190162"/>
      <w:bookmarkStart w:id="375" w:name="_Toc149720828"/>
      <w:bookmarkStart w:id="376" w:name="_Toc164229376"/>
      <w:bookmarkStart w:id="377" w:name="_Toc164229230"/>
      <w:bookmarkStart w:id="378" w:name="_Toc226309779"/>
      <w:bookmarkStart w:id="379" w:name="_Toc164608649"/>
      <w:r>
        <w:rPr>
          <w:rFonts w:hint="eastAsia" w:ascii="宋体" w:hAnsi="宋体" w:eastAsia="宋体" w:cs="宋体"/>
          <w:sz w:val="24"/>
        </w:rPr>
        <w:t>响应文件的</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hint="eastAsia" w:ascii="宋体" w:hAnsi="宋体" w:eastAsia="宋体" w:cs="宋体"/>
          <w:sz w:val="24"/>
        </w:rPr>
        <w:t>提交</w:t>
      </w:r>
    </w:p>
    <w:p w14:paraId="36607EB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本项目使用北京市政府采购电子交易平台。供应商根据竞争性磋商文件及电子交易平台供应商操作手册要求编制、生成并提交电子响应文件。</w:t>
      </w:r>
    </w:p>
    <w:p w14:paraId="57A5847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采购人及采购代理机构拒绝接受通过电子交易平台以外任何形式提交的首次响应文件，磋商保证金除外。</w:t>
      </w:r>
    </w:p>
    <w:p w14:paraId="63DA57B0">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380" w:name="_Toc305158804"/>
      <w:bookmarkStart w:id="381" w:name="_Toc127151536"/>
      <w:bookmarkStart w:id="382" w:name="_Toc226309780"/>
      <w:bookmarkStart w:id="383" w:name="_Toc150480774"/>
      <w:bookmarkStart w:id="384" w:name="_Toc150774741"/>
      <w:bookmarkStart w:id="385" w:name="_Toc151193634"/>
      <w:bookmarkStart w:id="386" w:name="_Toc151193924"/>
      <w:bookmarkStart w:id="387" w:name="_Toc142311038"/>
      <w:bookmarkStart w:id="388" w:name="_Toc264969226"/>
      <w:bookmarkStart w:id="389" w:name="_Toc151193778"/>
      <w:bookmarkStart w:id="390" w:name="_Toc305158878"/>
      <w:bookmarkStart w:id="391" w:name="_Toc164351630"/>
      <w:bookmarkStart w:id="392" w:name="_Toc150774636"/>
      <w:bookmarkStart w:id="393" w:name="_Toc127161450"/>
      <w:bookmarkStart w:id="394" w:name="_Toc226965809"/>
      <w:bookmarkStart w:id="395" w:name="_Toc151193850"/>
      <w:bookmarkStart w:id="396" w:name="_Toc164608650"/>
      <w:bookmarkStart w:id="397" w:name="_Toc150509287"/>
      <w:bookmarkStart w:id="398" w:name="_Toc149720829"/>
      <w:bookmarkStart w:id="399" w:name="_Toc195842901"/>
      <w:bookmarkStart w:id="400" w:name="_Toc164608805"/>
      <w:bookmarkStart w:id="401" w:name="_Toc226337232"/>
      <w:bookmarkStart w:id="402" w:name="_Toc164229377"/>
      <w:bookmarkStart w:id="403" w:name="_Toc520356161"/>
      <w:bookmarkStart w:id="404" w:name="_Toc151193706"/>
      <w:bookmarkStart w:id="405" w:name="_Toc127151737"/>
      <w:bookmarkStart w:id="406" w:name="_Toc164229231"/>
      <w:bookmarkStart w:id="407" w:name="_Toc151190163"/>
      <w:bookmarkStart w:id="408" w:name="_Toc265228374"/>
      <w:bookmarkStart w:id="409" w:name="_Toc226965726"/>
      <w:r>
        <w:rPr>
          <w:rFonts w:hint="eastAsia" w:ascii="宋体" w:hAnsi="宋体" w:eastAsia="宋体" w:cs="宋体"/>
          <w:sz w:val="24"/>
        </w:rPr>
        <w:t>响应文件提交截止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Fonts w:hint="eastAsia" w:ascii="宋体" w:hAnsi="宋体" w:eastAsia="宋体" w:cs="宋体"/>
          <w:sz w:val="24"/>
        </w:rPr>
        <w:t>时间</w:t>
      </w:r>
    </w:p>
    <w:p w14:paraId="518FD37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供应商应在竞争性磋商文件要求响应文件提交截止时间前，将电子响应文件提交至电子交易平台。</w:t>
      </w:r>
    </w:p>
    <w:p w14:paraId="381AF706">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410" w:name="_Toc305158805"/>
      <w:bookmarkStart w:id="411" w:name="_Toc151193635"/>
      <w:bookmarkStart w:id="412" w:name="_Toc164229232"/>
      <w:bookmarkStart w:id="413" w:name="_Toc265228375"/>
      <w:bookmarkStart w:id="414" w:name="_Toc164608651"/>
      <w:bookmarkStart w:id="415" w:name="_Toc226965810"/>
      <w:bookmarkStart w:id="416" w:name="_Toc150509288"/>
      <w:bookmarkStart w:id="417" w:name="_Toc226965727"/>
      <w:bookmarkStart w:id="418" w:name="_Toc164351631"/>
      <w:bookmarkStart w:id="419" w:name="_Toc149720830"/>
      <w:bookmarkStart w:id="420" w:name="_Toc305158879"/>
      <w:bookmarkStart w:id="421" w:name="_Toc164229378"/>
      <w:bookmarkStart w:id="422" w:name="_Toc151193851"/>
      <w:bookmarkStart w:id="423" w:name="_Toc151190164"/>
      <w:bookmarkStart w:id="424" w:name="_Toc151193925"/>
      <w:bookmarkStart w:id="425" w:name="_Toc151193707"/>
      <w:bookmarkStart w:id="426" w:name="_Toc127151537"/>
      <w:bookmarkStart w:id="427" w:name="_Toc127151738"/>
      <w:bookmarkStart w:id="428" w:name="_Toc195842902"/>
      <w:bookmarkStart w:id="429" w:name="_Toc226309781"/>
      <w:bookmarkStart w:id="430" w:name="_Toc150480775"/>
      <w:bookmarkStart w:id="431" w:name="_Toc127161451"/>
      <w:bookmarkStart w:id="432" w:name="_Toc150774742"/>
      <w:bookmarkStart w:id="433" w:name="_Toc151193779"/>
      <w:bookmarkStart w:id="434" w:name="_Toc520356162"/>
      <w:bookmarkStart w:id="435" w:name="_Toc142311039"/>
      <w:bookmarkStart w:id="436" w:name="_Toc226337233"/>
      <w:bookmarkStart w:id="437" w:name="_Toc164608806"/>
      <w:bookmarkStart w:id="438" w:name="_Toc150774637"/>
      <w:bookmarkStart w:id="439" w:name="_Toc264969227"/>
      <w:r>
        <w:rPr>
          <w:rFonts w:hint="eastAsia" w:ascii="宋体" w:hAnsi="宋体" w:eastAsia="宋体" w:cs="宋体"/>
          <w:sz w:val="24"/>
        </w:rPr>
        <w:t>响应文件的修改与撤回</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44F20C9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响应文件提交截止时间前，供应商可以通过电子交易平台对所提交的响应文件进行补充、修改或者撤回。</w:t>
      </w:r>
      <w:r>
        <w:rPr>
          <w:rFonts w:hint="eastAsia" w:ascii="宋体" w:hAnsi="宋体" w:eastAsia="宋体" w:cs="宋体"/>
          <w:color w:val="000000"/>
          <w:sz w:val="24"/>
        </w:rPr>
        <w:t>磋商保证金的补充、修改或者撤回</w:t>
      </w:r>
      <w:r>
        <w:rPr>
          <w:rFonts w:hint="eastAsia" w:ascii="宋体" w:hAnsi="宋体" w:eastAsia="宋体" w:cs="宋体"/>
          <w:sz w:val="24"/>
        </w:rPr>
        <w:t>无需通过电子交易平台，但应就其补充、修改或者撤回通知采购人或采购代理机构</w:t>
      </w:r>
      <w:r>
        <w:rPr>
          <w:rFonts w:hint="eastAsia" w:ascii="宋体" w:hAnsi="宋体" w:eastAsia="宋体" w:cs="宋体"/>
          <w:color w:val="000000"/>
          <w:sz w:val="24"/>
        </w:rPr>
        <w:t>。</w:t>
      </w:r>
    </w:p>
    <w:p w14:paraId="6FBE788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供应商对响应文件的补充、修改的内容应当按照竞争性磋商文件要求签署、盖章，作为响应文件的组成部分。</w:t>
      </w:r>
      <w:r>
        <w:rPr>
          <w:rFonts w:hint="eastAsia" w:ascii="宋体" w:hAnsi="宋体" w:eastAsia="宋体" w:cs="宋体"/>
          <w:kern w:val="0"/>
          <w:sz w:val="24"/>
        </w:rPr>
        <w:t>补充、修改的内容与响应文件不一致的，以补充、修改的内容为准。</w:t>
      </w:r>
    </w:p>
    <w:p w14:paraId="3E67BBC0">
      <w:pPr>
        <w:tabs>
          <w:tab w:val="left" w:pos="900"/>
          <w:tab w:val="left" w:pos="1080"/>
          <w:tab w:val="left" w:pos="1589"/>
        </w:tabs>
        <w:snapToGrid w:val="0"/>
        <w:spacing w:line="360" w:lineRule="auto"/>
        <w:ind w:left="357"/>
        <w:rPr>
          <w:rFonts w:hint="eastAsia" w:ascii="宋体" w:hAnsi="宋体" w:eastAsia="宋体" w:cs="宋体"/>
          <w:sz w:val="24"/>
        </w:rPr>
      </w:pPr>
    </w:p>
    <w:p w14:paraId="48924023">
      <w:pPr>
        <w:pStyle w:val="3"/>
        <w:spacing w:before="0" w:line="360" w:lineRule="auto"/>
        <w:rPr>
          <w:rFonts w:hint="eastAsia" w:ascii="宋体" w:hAnsi="宋体" w:eastAsia="宋体" w:cs="宋体"/>
          <w:sz w:val="28"/>
        </w:rPr>
      </w:pPr>
      <w:bookmarkStart w:id="440" w:name="_Toc151193636"/>
      <w:bookmarkStart w:id="441" w:name="_Toc127151538"/>
      <w:bookmarkStart w:id="442" w:name="_Toc265228376"/>
      <w:bookmarkStart w:id="443" w:name="_Toc150509289"/>
      <w:bookmarkStart w:id="444" w:name="_Toc150774638"/>
      <w:bookmarkStart w:id="445" w:name="_Toc142311040"/>
      <w:bookmarkStart w:id="446" w:name="_Toc226309782"/>
      <w:bookmarkStart w:id="447" w:name="_Toc305158880"/>
      <w:bookmarkStart w:id="448" w:name="_Toc150774743"/>
      <w:bookmarkStart w:id="449" w:name="_Toc151193708"/>
      <w:bookmarkStart w:id="450" w:name="_Toc226337234"/>
      <w:bookmarkStart w:id="451" w:name="_Toc264969228"/>
      <w:bookmarkStart w:id="452" w:name="_Toc195842903"/>
      <w:bookmarkStart w:id="453" w:name="_Toc151193926"/>
      <w:bookmarkStart w:id="454" w:name="_Toc151193852"/>
      <w:bookmarkStart w:id="455" w:name="_Toc520356163"/>
      <w:bookmarkStart w:id="456" w:name="_Toc226965811"/>
      <w:bookmarkStart w:id="457" w:name="_Toc305158806"/>
      <w:bookmarkStart w:id="458" w:name="_Toc150480776"/>
      <w:bookmarkStart w:id="459" w:name="_Toc151193780"/>
      <w:bookmarkStart w:id="460" w:name="_Toc151190165"/>
      <w:bookmarkStart w:id="461" w:name="_Toc226965728"/>
      <w:r>
        <w:rPr>
          <w:rFonts w:hint="eastAsia" w:ascii="宋体" w:hAnsi="宋体" w:eastAsia="宋体" w:cs="宋体"/>
          <w:sz w:val="28"/>
        </w:rPr>
        <w:t xml:space="preserve">五   </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hint="eastAsia" w:ascii="宋体" w:hAnsi="宋体" w:eastAsia="宋体" w:cs="宋体"/>
          <w:sz w:val="28"/>
        </w:rPr>
        <w:t>评审</w:t>
      </w:r>
    </w:p>
    <w:p w14:paraId="4047B57C">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响应文件的解密与开启</w:t>
      </w:r>
    </w:p>
    <w:p w14:paraId="278362F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采购人或采购代理机构将按竞争性磋商文件的规定，在响应文件提交截止时间的同一时间和竞争性磋商文件预先确定的地点开启响应文件。</w:t>
      </w:r>
    </w:p>
    <w:p w14:paraId="3798F41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本项目解密使用北京市政府采购电子交易平台。供应商应在《供应商须知资料表》规定的时间内对响应文件进行解密，因非系统原因导致的解密失败，视为</w:t>
      </w:r>
      <w:r>
        <w:rPr>
          <w:rFonts w:hint="eastAsia" w:ascii="宋体" w:hAnsi="宋体" w:eastAsia="宋体" w:cs="宋体"/>
          <w:b/>
          <w:sz w:val="24"/>
        </w:rPr>
        <w:t>无效响应</w:t>
      </w:r>
      <w:r>
        <w:rPr>
          <w:rFonts w:hint="eastAsia" w:ascii="宋体" w:hAnsi="宋体" w:eastAsia="宋体" w:cs="宋体"/>
          <w:sz w:val="24"/>
        </w:rPr>
        <w:t>。</w:t>
      </w:r>
    </w:p>
    <w:p w14:paraId="0D28287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C3DF891">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供应商不足3家的，不予解密。</w:t>
      </w:r>
    </w:p>
    <w:p w14:paraId="017A9CD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462" w:name="_Toc520356165"/>
      <w:r>
        <w:rPr>
          <w:rFonts w:hint="eastAsia" w:ascii="宋体" w:hAnsi="宋体" w:eastAsia="宋体" w:cs="宋体"/>
          <w:sz w:val="24"/>
        </w:rPr>
        <w:t>本项目不公开报价。</w:t>
      </w:r>
    </w:p>
    <w:bookmarkEnd w:id="462"/>
    <w:p w14:paraId="2955D9E8">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磋商小组</w:t>
      </w:r>
    </w:p>
    <w:p w14:paraId="0AB8B422">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磋商小组根据政府采购有关规定和本次采购项目的特点进行组建，并负责具体评审与磋商事务，独立履行职责。</w:t>
      </w:r>
      <w:bookmarkStart w:id="463" w:name="_Toc520356166"/>
    </w:p>
    <w:p w14:paraId="092D446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3"/>
      <w:bookmarkStart w:id="464" w:name="_Toc520356169"/>
    </w:p>
    <w:p w14:paraId="277B5EFD">
      <w:pPr>
        <w:numPr>
          <w:ilvl w:val="0"/>
          <w:numId w:val="8"/>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评审方法和评审标准</w:t>
      </w:r>
    </w:p>
    <w:p w14:paraId="607DED0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见第三章《评审方法和评审标准》。</w:t>
      </w:r>
    </w:p>
    <w:p w14:paraId="38B18647">
      <w:pPr>
        <w:tabs>
          <w:tab w:val="left" w:pos="360"/>
          <w:tab w:val="left" w:pos="1080"/>
        </w:tabs>
        <w:snapToGrid w:val="0"/>
        <w:spacing w:line="360" w:lineRule="auto"/>
        <w:ind w:left="1080"/>
        <w:rPr>
          <w:rFonts w:hint="eastAsia" w:ascii="宋体" w:hAnsi="宋体" w:eastAsia="宋体" w:cs="宋体"/>
          <w:sz w:val="24"/>
        </w:rPr>
      </w:pPr>
    </w:p>
    <w:p w14:paraId="4101BFD6">
      <w:pPr>
        <w:pStyle w:val="3"/>
        <w:spacing w:before="0" w:line="360" w:lineRule="auto"/>
        <w:rPr>
          <w:rFonts w:hint="eastAsia" w:ascii="宋体" w:hAnsi="宋体" w:eastAsia="宋体" w:cs="宋体"/>
          <w:sz w:val="28"/>
        </w:rPr>
      </w:pPr>
      <w:bookmarkStart w:id="465" w:name="_Toc150509296"/>
      <w:bookmarkStart w:id="466" w:name="_Toc150774750"/>
      <w:bookmarkStart w:id="467" w:name="_Toc226965818"/>
      <w:bookmarkStart w:id="468" w:name="_Toc151193643"/>
      <w:bookmarkStart w:id="469" w:name="_Toc305158887"/>
      <w:bookmarkStart w:id="470" w:name="_Toc151193787"/>
      <w:bookmarkStart w:id="471" w:name="_Toc151193933"/>
      <w:bookmarkStart w:id="472" w:name="_Toc226337241"/>
      <w:bookmarkStart w:id="473" w:name="_Toc150480783"/>
      <w:bookmarkStart w:id="474" w:name="_Toc127151545"/>
      <w:bookmarkStart w:id="475" w:name="_Toc150774645"/>
      <w:bookmarkStart w:id="476" w:name="_Toc265228383"/>
      <w:bookmarkStart w:id="477" w:name="_Toc226965735"/>
      <w:bookmarkStart w:id="478" w:name="_Toc151193715"/>
      <w:bookmarkStart w:id="479" w:name="_Toc305158813"/>
      <w:bookmarkStart w:id="480" w:name="_Toc226309789"/>
      <w:bookmarkStart w:id="481" w:name="_Toc151190172"/>
      <w:bookmarkStart w:id="482" w:name="_Toc264969235"/>
      <w:bookmarkStart w:id="483" w:name="_Toc142311047"/>
      <w:bookmarkStart w:id="484" w:name="_Toc151193859"/>
      <w:bookmarkStart w:id="485" w:name="_Toc195842910"/>
      <w:r>
        <w:rPr>
          <w:rFonts w:hint="eastAsia" w:ascii="宋体" w:hAnsi="宋体" w:eastAsia="宋体" w:cs="宋体"/>
          <w:sz w:val="28"/>
        </w:rPr>
        <w:t xml:space="preserve">六   </w:t>
      </w:r>
      <w:bookmarkEnd w:id="464"/>
      <w:r>
        <w:rPr>
          <w:rFonts w:hint="eastAsia" w:ascii="宋体" w:hAnsi="宋体" w:eastAsia="宋体" w:cs="宋体"/>
          <w:sz w:val="28"/>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hint="eastAsia" w:ascii="宋体" w:hAnsi="宋体" w:eastAsia="宋体" w:cs="宋体"/>
          <w:sz w:val="28"/>
        </w:rPr>
        <w:t>成交</w:t>
      </w:r>
    </w:p>
    <w:p w14:paraId="796874B8">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486" w:name="_Toc127161461"/>
      <w:bookmarkStart w:id="487" w:name="_Toc195842912"/>
      <w:bookmarkStart w:id="488" w:name="_Toc151193717"/>
      <w:bookmarkStart w:id="489" w:name="_Toc164229388"/>
      <w:bookmarkStart w:id="490" w:name="_Toc142311049"/>
      <w:bookmarkStart w:id="491" w:name="_Toc265228385"/>
      <w:bookmarkStart w:id="492" w:name="_Toc127151547"/>
      <w:bookmarkStart w:id="493" w:name="_Toc164351641"/>
      <w:bookmarkStart w:id="494" w:name="_Toc150480785"/>
      <w:bookmarkStart w:id="495" w:name="_Toc264969237"/>
      <w:bookmarkStart w:id="496" w:name="_Toc164608661"/>
      <w:bookmarkStart w:id="497" w:name="_Toc305158815"/>
      <w:bookmarkStart w:id="498" w:name="_Toc151190174"/>
      <w:bookmarkStart w:id="499" w:name="_Toc226965820"/>
      <w:bookmarkStart w:id="500" w:name="_Toc151193861"/>
      <w:bookmarkStart w:id="501" w:name="_Toc226337243"/>
      <w:bookmarkStart w:id="502" w:name="_Toc151193645"/>
      <w:bookmarkStart w:id="503" w:name="_Toc151193935"/>
      <w:bookmarkStart w:id="504" w:name="_Toc150509298"/>
      <w:bookmarkStart w:id="505" w:name="_Toc226965737"/>
      <w:bookmarkStart w:id="506" w:name="_Toc164229242"/>
      <w:bookmarkStart w:id="507" w:name="_Toc305158889"/>
      <w:bookmarkStart w:id="508" w:name="_Toc149720840"/>
      <w:bookmarkStart w:id="509" w:name="_Toc151193789"/>
      <w:bookmarkStart w:id="510" w:name="_Toc150774752"/>
      <w:bookmarkStart w:id="511" w:name="_Toc164608816"/>
      <w:bookmarkStart w:id="512" w:name="_Toc127151748"/>
      <w:bookmarkStart w:id="513" w:name="_Toc226309791"/>
      <w:bookmarkStart w:id="514" w:name="_Toc150774647"/>
      <w:r>
        <w:rPr>
          <w:rFonts w:hint="eastAsia" w:ascii="宋体" w:hAnsi="宋体" w:eastAsia="宋体" w:cs="宋体"/>
          <w:sz w:val="24"/>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72582CC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60F8B6F8">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515" w:name="_Toc305158891"/>
      <w:bookmarkStart w:id="516" w:name="_Toc305158817"/>
      <w:bookmarkStart w:id="517" w:name="_Toc164608663"/>
      <w:bookmarkStart w:id="518" w:name="_Toc151193719"/>
      <w:bookmarkStart w:id="519" w:name="_Toc150480787"/>
      <w:bookmarkStart w:id="520" w:name="_Toc150774754"/>
      <w:bookmarkStart w:id="521" w:name="_Toc164351643"/>
      <w:bookmarkStart w:id="522" w:name="_Toc226337245"/>
      <w:bookmarkStart w:id="523" w:name="_Toc151193937"/>
      <w:bookmarkStart w:id="524" w:name="_Toc265228387"/>
      <w:bookmarkStart w:id="525" w:name="_Toc164229244"/>
      <w:bookmarkStart w:id="526" w:name="_Toc151193863"/>
      <w:bookmarkStart w:id="527" w:name="_Toc164608818"/>
      <w:bookmarkStart w:id="528" w:name="_Toc226965822"/>
      <w:bookmarkStart w:id="529" w:name="_Toc226309793"/>
      <w:bookmarkStart w:id="530" w:name="_Toc142311051"/>
      <w:bookmarkStart w:id="531" w:name="_Toc226965739"/>
      <w:bookmarkStart w:id="532" w:name="_Toc164229390"/>
      <w:bookmarkStart w:id="533" w:name="_Toc264969239"/>
      <w:bookmarkStart w:id="534" w:name="_Toc151193791"/>
      <w:bookmarkStart w:id="535" w:name="_Toc150509300"/>
      <w:bookmarkStart w:id="536" w:name="_Toc127151549"/>
      <w:bookmarkStart w:id="537" w:name="_Toc127151750"/>
      <w:bookmarkStart w:id="538" w:name="_Toc127161463"/>
      <w:bookmarkStart w:id="539" w:name="_Toc151190176"/>
      <w:bookmarkStart w:id="540" w:name="_Toc195842914"/>
      <w:bookmarkStart w:id="541" w:name="_Toc150774649"/>
      <w:bookmarkStart w:id="542" w:name="_Toc149720842"/>
      <w:bookmarkStart w:id="543" w:name="_Toc151193647"/>
      <w:bookmarkStart w:id="544" w:name="_Ref467307090"/>
      <w:bookmarkStart w:id="545" w:name="_Toc520356176"/>
      <w:bookmarkStart w:id="546" w:name="_Ref467306425"/>
      <w:r>
        <w:rPr>
          <w:rFonts w:hint="eastAsia" w:ascii="宋体" w:hAnsi="宋体" w:eastAsia="宋体" w:cs="宋体"/>
          <w:sz w:val="24"/>
        </w:rPr>
        <w:t>成交公告与成交通知书</w:t>
      </w:r>
      <w:bookmarkEnd w:id="515"/>
      <w:bookmarkEnd w:id="516"/>
    </w:p>
    <w:p w14:paraId="2BA5A589">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采购人或采购代理机构将</w:t>
      </w:r>
      <w:r>
        <w:rPr>
          <w:rFonts w:hint="eastAsia" w:ascii="宋体" w:hAnsi="宋体" w:eastAsia="宋体" w:cs="宋体"/>
          <w:kern w:val="0"/>
          <w:sz w:val="24"/>
        </w:rPr>
        <w:t>在成交供应商确定后2个工作日内，在</w:t>
      </w:r>
      <w:r>
        <w:rPr>
          <w:rFonts w:hint="eastAsia" w:ascii="宋体" w:hAnsi="宋体" w:eastAsia="宋体" w:cs="宋体"/>
          <w:sz w:val="24"/>
        </w:rPr>
        <w:t>北京市政府采购网</w:t>
      </w:r>
      <w:r>
        <w:rPr>
          <w:rFonts w:hint="eastAsia" w:ascii="宋体" w:hAnsi="宋体" w:eastAsia="宋体" w:cs="宋体"/>
          <w:kern w:val="0"/>
          <w:sz w:val="24"/>
        </w:rPr>
        <w:t>公告成交结果，同时向成交供应商发出成交通知书，</w:t>
      </w:r>
      <w:r>
        <w:rPr>
          <w:rFonts w:hint="eastAsia" w:ascii="宋体" w:hAnsi="宋体" w:eastAsia="宋体" w:cs="宋体"/>
          <w:sz w:val="24"/>
        </w:rPr>
        <w:t>成交公告期限为1个工作日。</w:t>
      </w:r>
    </w:p>
    <w:p w14:paraId="62B87183">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成交通知书对采购人和成交供应商均具有法律效力。成交通知书发出后，采购人改变成交结果的，或者成交供应商放弃成交项目的，应当依法承担法律责任。</w:t>
      </w:r>
    </w:p>
    <w:p w14:paraId="64638F7C">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终止</w:t>
      </w:r>
    </w:p>
    <w:p w14:paraId="6B66A36A">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出现下列情形之一的，采购人或采购代理机构将终止竞争性磋商采购活动，发布项目终止公告并说明原因，重新开展采购活动：</w:t>
      </w:r>
    </w:p>
    <w:p w14:paraId="00A46219">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因情况变化，不再符合规定的竞争性磋商采购方式适用情形的；</w:t>
      </w:r>
    </w:p>
    <w:p w14:paraId="5DC4AF25">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出现影响采购公正的违法、违规行为的；</w:t>
      </w:r>
    </w:p>
    <w:p w14:paraId="63D83CF8">
      <w:pPr>
        <w:numPr>
          <w:ilvl w:val="2"/>
          <w:numId w:val="8"/>
        </w:numPr>
        <w:snapToGrid w:val="0"/>
        <w:spacing w:line="360" w:lineRule="auto"/>
        <w:rPr>
          <w:rFonts w:hint="eastAsia" w:ascii="宋体" w:hAnsi="宋体" w:eastAsia="宋体" w:cs="宋体"/>
          <w:sz w:val="24"/>
        </w:rPr>
      </w:pPr>
      <w:r>
        <w:rPr>
          <w:rFonts w:hint="eastAsia" w:ascii="宋体" w:hAnsi="宋体" w:eastAsia="宋体" w:cs="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5245DDB1">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547" w:name="_Toc151190177"/>
      <w:bookmarkStart w:id="548" w:name="_Toc164351644"/>
      <w:bookmarkStart w:id="549" w:name="_Ref467307062"/>
      <w:bookmarkStart w:id="550" w:name="_Toc265228388"/>
      <w:bookmarkStart w:id="551" w:name="_Toc127151550"/>
      <w:bookmarkStart w:id="552" w:name="_Toc195842915"/>
      <w:bookmarkStart w:id="553" w:name="_Toc149720843"/>
      <w:bookmarkStart w:id="554" w:name="_Toc164229245"/>
      <w:bookmarkStart w:id="555" w:name="_Toc164608819"/>
      <w:bookmarkStart w:id="556" w:name="_Toc151193720"/>
      <w:bookmarkStart w:id="557" w:name="_Toc150774650"/>
      <w:bookmarkStart w:id="558" w:name="_Toc127161464"/>
      <w:bookmarkStart w:id="559" w:name="_Toc150509301"/>
      <w:bookmarkStart w:id="560" w:name="_Ref467307204"/>
      <w:bookmarkStart w:id="561" w:name="_Toc164608664"/>
      <w:bookmarkStart w:id="562" w:name="_Toc264969240"/>
      <w:bookmarkStart w:id="563" w:name="_Toc142311052"/>
      <w:bookmarkStart w:id="564" w:name="_Toc150774755"/>
      <w:bookmarkStart w:id="565" w:name="_Toc226309794"/>
      <w:bookmarkStart w:id="566" w:name="_Toc151193648"/>
      <w:bookmarkStart w:id="567" w:name="_Toc164229391"/>
      <w:bookmarkStart w:id="568" w:name="_Toc151193864"/>
      <w:bookmarkStart w:id="569" w:name="_Toc151193792"/>
      <w:bookmarkStart w:id="570" w:name="_Toc151193938"/>
      <w:bookmarkStart w:id="571" w:name="_Toc127151751"/>
      <w:bookmarkStart w:id="572" w:name="_Toc226965740"/>
      <w:bookmarkStart w:id="573" w:name="_Toc305158892"/>
      <w:bookmarkStart w:id="574" w:name="_Toc305158818"/>
      <w:bookmarkStart w:id="575" w:name="_Toc226965823"/>
      <w:bookmarkStart w:id="576" w:name="_Toc150480788"/>
      <w:bookmarkStart w:id="577" w:name="_Toc226337246"/>
      <w:bookmarkStart w:id="578" w:name="_Ref467306978"/>
      <w:bookmarkStart w:id="579" w:name="_Toc520356175"/>
      <w:bookmarkStart w:id="580" w:name="_Ref467306377"/>
      <w:r>
        <w:rPr>
          <w:rFonts w:hint="eastAsia" w:ascii="宋体" w:hAnsi="宋体" w:eastAsia="宋体" w:cs="宋体"/>
          <w:sz w:val="24"/>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710D340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采购人与成交供应商应当在成交通知书发出之日起30日内，按照磋商文件确定的合同文本以及采购标的、规格型号、采购金额、采购数量、技术和服务要求等事项签订政府采购合同。</w:t>
      </w:r>
    </w:p>
    <w:p w14:paraId="57239216">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82F9ECA">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联合体成交的，联合体各方应当共同与采购人签订合同，就采购合同约定的事项向采购人承担连带责任。</w:t>
      </w:r>
    </w:p>
    <w:p w14:paraId="5B8DBB29">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政府采购合同不能转包。</w:t>
      </w:r>
    </w:p>
    <w:p w14:paraId="5B673066">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sz w:val="24"/>
        </w:rPr>
        <w:t>否则响应无效</w:t>
      </w:r>
      <w:r>
        <w:rPr>
          <w:rFonts w:hint="eastAsia" w:ascii="宋体" w:hAnsi="宋体" w:eastAsia="宋体" w:cs="宋体"/>
          <w:sz w:val="24"/>
        </w:rPr>
        <w:t>。成交供应商就采购项目和分包项目向采购人负责，分包供应商就分包项目承担责任。</w:t>
      </w:r>
    </w:p>
    <w:p w14:paraId="2EE5CB7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“政采贷”融资指引：详见《供应商须知资料表》。</w:t>
      </w:r>
    </w:p>
    <w:bookmarkEnd w:id="544"/>
    <w:bookmarkEnd w:id="545"/>
    <w:bookmarkEnd w:id="546"/>
    <w:p w14:paraId="377C96BC">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询问与质疑</w:t>
      </w:r>
    </w:p>
    <w:p w14:paraId="3A4D04E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询问</w:t>
      </w:r>
    </w:p>
    <w:p w14:paraId="2A087905">
      <w:pPr>
        <w:numPr>
          <w:ilvl w:val="2"/>
          <w:numId w:val="8"/>
        </w:numPr>
        <w:snapToGrid w:val="0"/>
        <w:spacing w:line="360" w:lineRule="auto"/>
        <w:rPr>
          <w:rFonts w:hint="eastAsia" w:ascii="宋体" w:hAnsi="宋体" w:eastAsia="宋体" w:cs="宋体"/>
          <w:sz w:val="24"/>
        </w:rPr>
      </w:pPr>
      <w:bookmarkStart w:id="581" w:name="_Hlk179293422"/>
      <w:r>
        <w:rPr>
          <w:rFonts w:hint="eastAsia" w:ascii="宋体" w:hAnsi="宋体" w:eastAsia="宋体" w:cs="宋体"/>
          <w:sz w:val="24"/>
        </w:rPr>
        <w:t>供应商对政府采购活动事项有疑问的，可依法向采购人或采购代理机构提出询问，提出形式见《供应商须知资料表》。</w:t>
      </w:r>
      <w:bookmarkEnd w:id="581"/>
    </w:p>
    <w:p w14:paraId="5A79B65C">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采购人或采购代理机构对供应商依法提出的询问，在3个工作日内作出答复，但答复的内容不得涉及商业秘密。</w:t>
      </w:r>
    </w:p>
    <w:p w14:paraId="1A972F16">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质疑</w:t>
      </w:r>
    </w:p>
    <w:p w14:paraId="290885AE">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78E45250">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7509B8B">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0AAC33E">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供应商应在法定质疑期内一次性提出针对同一采购程序环节的质疑，法定质疑期内针对同一采购程序环节再次提出的质疑，采购人、采购代理机构有权不予答复。</w:t>
      </w:r>
    </w:p>
    <w:p w14:paraId="0918073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接收询问和质疑的联系部门、联系电话和通讯地址见《供应商须知资料表》。</w:t>
      </w:r>
    </w:p>
    <w:p w14:paraId="2800560F">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代理费</w:t>
      </w:r>
    </w:p>
    <w:p w14:paraId="7FE44E35">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收费对象、收费标准及缴纳时间见《供应商须知资料表》。由成交供应商支付的，成交供应商须一次性向采购代理机构缴纳代理费，报价应包含代理费用。</w:t>
      </w:r>
    </w:p>
    <w:p w14:paraId="0FFE45F4">
      <w:pPr>
        <w:tabs>
          <w:tab w:val="left" w:pos="360"/>
          <w:tab w:val="left" w:pos="1080"/>
        </w:tabs>
        <w:snapToGrid w:val="0"/>
        <w:spacing w:line="360" w:lineRule="auto"/>
        <w:ind w:left="360"/>
        <w:rPr>
          <w:rFonts w:hint="eastAsia" w:ascii="宋体" w:hAnsi="宋体" w:eastAsia="宋体" w:cs="宋体"/>
          <w:sz w:val="24"/>
        </w:rPr>
      </w:pPr>
    </w:p>
    <w:p w14:paraId="2C3528A6">
      <w:pPr>
        <w:spacing w:line="360" w:lineRule="auto"/>
        <w:jc w:val="center"/>
        <w:outlineLvl w:val="0"/>
        <w:rPr>
          <w:rFonts w:hint="eastAsia" w:ascii="宋体" w:hAnsi="宋体" w:eastAsia="宋体" w:cs="宋体"/>
          <w:b/>
          <w:sz w:val="36"/>
          <w:szCs w:val="36"/>
        </w:rPr>
      </w:pPr>
      <w:bookmarkStart w:id="582" w:name="_Toc142311056"/>
      <w:bookmarkStart w:id="583" w:name="_Toc353825544"/>
      <w:bookmarkStart w:id="584" w:name="_Toc127151554"/>
      <w:bookmarkStart w:id="585" w:name="_Toc226337250"/>
      <w:bookmarkStart w:id="586" w:name="_Toc305158822"/>
      <w:bookmarkStart w:id="587" w:name="_Toc150480792"/>
      <w:bookmarkStart w:id="588" w:name="_Toc265228392"/>
      <w:bookmarkStart w:id="589" w:name="_Toc353873664"/>
      <w:bookmarkStart w:id="590" w:name="_Toc353873934"/>
      <w:bookmarkStart w:id="591" w:name="_Toc226965827"/>
      <w:bookmarkStart w:id="592" w:name="_Toc264969244"/>
      <w:bookmarkStart w:id="593" w:name="_Toc150774759"/>
      <w:bookmarkStart w:id="594" w:name="_Toc305158896"/>
      <w:r>
        <w:rPr>
          <w:rFonts w:hint="eastAsia" w:ascii="宋体" w:hAnsi="宋体" w:eastAsia="宋体" w:cs="宋体"/>
          <w:sz w:val="24"/>
        </w:rPr>
        <w:br w:type="page"/>
      </w:r>
      <w:bookmarkStart w:id="595" w:name="_Toc97371943"/>
      <w:r>
        <w:rPr>
          <w:rFonts w:hint="eastAsia" w:ascii="宋体" w:hAnsi="宋体" w:eastAsia="宋体" w:cs="宋体"/>
          <w:b/>
          <w:sz w:val="36"/>
          <w:szCs w:val="36"/>
        </w:rPr>
        <w:t xml:space="preserve">第三章   </w:t>
      </w:r>
      <w:bookmarkEnd w:id="582"/>
      <w:bookmarkEnd w:id="583"/>
      <w:bookmarkEnd w:id="584"/>
      <w:bookmarkEnd w:id="585"/>
      <w:bookmarkEnd w:id="586"/>
      <w:bookmarkEnd w:id="587"/>
      <w:bookmarkEnd w:id="588"/>
      <w:bookmarkEnd w:id="589"/>
      <w:bookmarkEnd w:id="590"/>
      <w:bookmarkEnd w:id="591"/>
      <w:bookmarkEnd w:id="592"/>
      <w:bookmarkEnd w:id="593"/>
      <w:bookmarkEnd w:id="594"/>
      <w:r>
        <w:rPr>
          <w:rFonts w:hint="eastAsia" w:ascii="宋体" w:hAnsi="宋体" w:eastAsia="宋体" w:cs="宋体"/>
          <w:b/>
          <w:sz w:val="36"/>
          <w:szCs w:val="36"/>
        </w:rPr>
        <w:t>评审方法和评审标准</w:t>
      </w:r>
      <w:bookmarkEnd w:id="595"/>
      <w:bookmarkStart w:id="596" w:name="_Toc487900382"/>
    </w:p>
    <w:p w14:paraId="6697C041">
      <w:pPr>
        <w:pStyle w:val="3"/>
        <w:spacing w:before="0" w:line="360" w:lineRule="auto"/>
        <w:rPr>
          <w:rFonts w:hint="eastAsia" w:ascii="宋体" w:hAnsi="宋体" w:eastAsia="宋体" w:cs="宋体"/>
          <w:sz w:val="24"/>
          <w:szCs w:val="24"/>
        </w:rPr>
      </w:pPr>
      <w:r>
        <w:rPr>
          <w:rFonts w:hint="eastAsia" w:ascii="宋体" w:hAnsi="宋体" w:eastAsia="宋体" w:cs="宋体"/>
          <w:sz w:val="24"/>
          <w:szCs w:val="24"/>
        </w:rPr>
        <w:t>一、评审程序和方法</w:t>
      </w:r>
    </w:p>
    <w:p w14:paraId="01800207">
      <w:pPr>
        <w:tabs>
          <w:tab w:val="left" w:pos="1080"/>
        </w:tabs>
        <w:snapToGrid w:val="0"/>
        <w:jc w:val="left"/>
        <w:rPr>
          <w:rFonts w:hint="eastAsia" w:ascii="宋体" w:hAnsi="宋体" w:eastAsia="宋体" w:cs="宋体"/>
          <w:b/>
          <w:sz w:val="24"/>
        </w:rPr>
      </w:pPr>
      <w:r>
        <w:rPr>
          <w:rFonts w:hint="eastAsia" w:ascii="宋体" w:hAnsi="宋体" w:eastAsia="宋体" w:cs="宋体"/>
          <w:b/>
          <w:sz w:val="24"/>
        </w:rPr>
        <w:tab/>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6"/>
    <w:p w14:paraId="5BA52AB5">
      <w:pPr>
        <w:numPr>
          <w:ilvl w:val="0"/>
          <w:numId w:val="11"/>
        </w:numPr>
        <w:tabs>
          <w:tab w:val="left" w:pos="360"/>
        </w:tabs>
        <w:snapToGrid w:val="0"/>
        <w:spacing w:line="360" w:lineRule="auto"/>
        <w:outlineLvl w:val="1"/>
        <w:rPr>
          <w:rFonts w:hint="eastAsia" w:ascii="宋体" w:hAnsi="宋体" w:eastAsia="宋体" w:cs="宋体"/>
          <w:sz w:val="24"/>
        </w:rPr>
      </w:pPr>
      <w:bookmarkStart w:id="597" w:name="_Toc151193711"/>
      <w:bookmarkStart w:id="598" w:name="_Toc264969231"/>
      <w:bookmarkStart w:id="599" w:name="_Toc305158809"/>
      <w:bookmarkStart w:id="600" w:name="_Toc127161455"/>
      <w:bookmarkStart w:id="601" w:name="_Toc226309785"/>
      <w:bookmarkStart w:id="602" w:name="_Toc151193783"/>
      <w:bookmarkStart w:id="603" w:name="_Toc151190168"/>
      <w:bookmarkStart w:id="604" w:name="_Toc195842906"/>
      <w:bookmarkStart w:id="605" w:name="_Toc305158883"/>
      <w:bookmarkStart w:id="606" w:name="_Toc164229382"/>
      <w:bookmarkStart w:id="607" w:name="_Toc265228379"/>
      <w:bookmarkStart w:id="608" w:name="_Toc226337237"/>
      <w:bookmarkStart w:id="609" w:name="_Toc151193855"/>
      <w:bookmarkStart w:id="610" w:name="_Toc127151742"/>
      <w:bookmarkStart w:id="611" w:name="_Toc226965814"/>
      <w:bookmarkStart w:id="612" w:name="_Toc164351635"/>
      <w:bookmarkStart w:id="613" w:name="_Toc226965731"/>
      <w:bookmarkStart w:id="614" w:name="_Toc164608655"/>
      <w:bookmarkStart w:id="615" w:name="_Toc164229236"/>
      <w:bookmarkStart w:id="616" w:name="_Toc149720834"/>
      <w:bookmarkStart w:id="617" w:name="_Toc150509292"/>
      <w:bookmarkStart w:id="618" w:name="_Toc151193639"/>
      <w:bookmarkStart w:id="619" w:name="_Toc150480779"/>
      <w:bookmarkStart w:id="620" w:name="_Toc127151541"/>
      <w:bookmarkStart w:id="621" w:name="_Toc150774641"/>
      <w:bookmarkStart w:id="622" w:name="_Toc164608810"/>
      <w:bookmarkStart w:id="623" w:name="_Toc150774746"/>
      <w:bookmarkStart w:id="624" w:name="_Toc142311043"/>
      <w:bookmarkStart w:id="625" w:name="_Toc151193929"/>
      <w:bookmarkStart w:id="626" w:name="_Toc353825551"/>
      <w:bookmarkStart w:id="627" w:name="_Toc353873941"/>
      <w:bookmarkStart w:id="628" w:name="_Toc305158823"/>
      <w:bookmarkStart w:id="629" w:name="_Toc142311057"/>
      <w:bookmarkStart w:id="630" w:name="_Toc127151555"/>
      <w:bookmarkStart w:id="631" w:name="_Toc226337251"/>
      <w:bookmarkStart w:id="632" w:name="_Toc305158897"/>
      <w:bookmarkStart w:id="633" w:name="_Toc353873935"/>
      <w:bookmarkStart w:id="634" w:name="_Toc195842920"/>
      <w:bookmarkStart w:id="635" w:name="_Toc226965828"/>
      <w:bookmarkStart w:id="636" w:name="_Toc353873665"/>
      <w:bookmarkStart w:id="637" w:name="_Toc265228393"/>
      <w:bookmarkStart w:id="638" w:name="_Toc264969245"/>
      <w:bookmarkStart w:id="639" w:name="_Toc353825545"/>
      <w:bookmarkStart w:id="640" w:name="_Toc150480793"/>
      <w:bookmarkStart w:id="641" w:name="_Toc150774760"/>
      <w:r>
        <w:rPr>
          <w:rFonts w:hint="eastAsia" w:ascii="宋体" w:hAnsi="宋体" w:eastAsia="宋体" w:cs="宋体"/>
          <w:sz w:val="24"/>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rFonts w:hint="eastAsia" w:ascii="宋体" w:hAnsi="宋体" w:eastAsia="宋体" w:cs="宋体"/>
          <w:sz w:val="24"/>
        </w:rPr>
        <w:t>资格审查和符合性审查</w:t>
      </w:r>
    </w:p>
    <w:p w14:paraId="069417FB">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eastAsia="宋体" w:cs="宋体"/>
          <w:b/>
          <w:sz w:val="24"/>
        </w:rPr>
        <w:t>无效响应</w:t>
      </w:r>
      <w:r>
        <w:rPr>
          <w:rFonts w:hint="eastAsia" w:ascii="宋体" w:hAnsi="宋体" w:eastAsia="宋体" w:cs="宋体"/>
          <w:sz w:val="24"/>
        </w:rPr>
        <w:t>处理，磋商小组应当告知提交响应文件的供应商。</w:t>
      </w:r>
    </w:p>
    <w:p w14:paraId="162E7E97">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《资格审查要求》中对格式有要求的，除竞争性磋商文件另有规定外，均为“实质性格式”文件。</w:t>
      </w:r>
    </w:p>
    <w:p w14:paraId="63375307">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《资格审查要求》见下表：</w:t>
      </w:r>
    </w:p>
    <w:p w14:paraId="145D07C7">
      <w:pPr>
        <w:tabs>
          <w:tab w:val="left" w:pos="900"/>
          <w:tab w:val="left" w:pos="1080"/>
        </w:tabs>
        <w:snapToGrid w:val="0"/>
        <w:spacing w:line="360" w:lineRule="auto"/>
        <w:ind w:left="1077" w:firstLine="2650" w:firstLineChars="1100"/>
        <w:rPr>
          <w:rFonts w:hint="eastAsia" w:ascii="宋体" w:hAnsi="宋体" w:eastAsia="宋体" w:cs="宋体"/>
          <w:b/>
          <w:sz w:val="24"/>
        </w:rPr>
      </w:pPr>
      <w:r>
        <w:rPr>
          <w:rFonts w:hint="eastAsia" w:ascii="宋体" w:hAnsi="宋体" w:eastAsia="宋体" w:cs="宋体"/>
          <w:b/>
          <w:sz w:val="24"/>
        </w:rPr>
        <w:t>资格审查要求</w:t>
      </w:r>
    </w:p>
    <w:tbl>
      <w:tblPr>
        <w:tblStyle w:val="48"/>
        <w:tblW w:w="534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2"/>
        <w:gridCol w:w="1609"/>
        <w:gridCol w:w="5030"/>
        <w:gridCol w:w="1747"/>
      </w:tblGrid>
      <w:tr w14:paraId="76CCF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26" w:type="pct"/>
            <w:vAlign w:val="center"/>
          </w:tcPr>
          <w:p w14:paraId="09EAC252">
            <w:pPr>
              <w:tabs>
                <w:tab w:val="left" w:pos="1080"/>
              </w:tabs>
              <w:snapToGrid w:val="0"/>
              <w:jc w:val="center"/>
              <w:rPr>
                <w:rFonts w:hint="eastAsia" w:ascii="宋体" w:hAnsi="宋体" w:eastAsia="宋体" w:cs="宋体"/>
                <w:b/>
                <w:sz w:val="24"/>
              </w:rPr>
            </w:pPr>
            <w:bookmarkStart w:id="642" w:name="_Hlt487972895"/>
            <w:bookmarkEnd w:id="642"/>
            <w:r>
              <w:rPr>
                <w:rFonts w:hint="eastAsia" w:ascii="宋体" w:hAnsi="宋体" w:eastAsia="宋体" w:cs="宋体"/>
                <w:b/>
                <w:sz w:val="24"/>
              </w:rPr>
              <w:t>序号</w:t>
            </w:r>
          </w:p>
        </w:tc>
        <w:tc>
          <w:tcPr>
            <w:tcW w:w="878" w:type="pct"/>
            <w:vAlign w:val="center"/>
          </w:tcPr>
          <w:p w14:paraId="494DCE44">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检查因素</w:t>
            </w:r>
          </w:p>
        </w:tc>
        <w:tc>
          <w:tcPr>
            <w:tcW w:w="2743" w:type="pct"/>
            <w:vAlign w:val="center"/>
          </w:tcPr>
          <w:p w14:paraId="7D5862B4">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检查内容</w:t>
            </w:r>
          </w:p>
        </w:tc>
        <w:tc>
          <w:tcPr>
            <w:tcW w:w="953" w:type="pct"/>
            <w:vAlign w:val="center"/>
          </w:tcPr>
          <w:p w14:paraId="292F9A63">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格式要求</w:t>
            </w:r>
          </w:p>
        </w:tc>
      </w:tr>
      <w:tr w14:paraId="1399D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26" w:type="pct"/>
            <w:vAlign w:val="center"/>
          </w:tcPr>
          <w:p w14:paraId="1E651A48">
            <w:pPr>
              <w:tabs>
                <w:tab w:val="left" w:pos="1080"/>
              </w:tabs>
              <w:snapToGrid w:val="0"/>
              <w:jc w:val="center"/>
              <w:rPr>
                <w:rFonts w:hint="eastAsia" w:ascii="宋体" w:hAnsi="宋体" w:eastAsia="宋体" w:cs="宋体"/>
                <w:sz w:val="24"/>
              </w:rPr>
            </w:pPr>
            <w:r>
              <w:rPr>
                <w:rFonts w:hint="eastAsia" w:ascii="宋体" w:hAnsi="宋体" w:eastAsia="宋体" w:cs="宋体"/>
                <w:sz w:val="24"/>
              </w:rPr>
              <w:t>1</w:t>
            </w:r>
          </w:p>
        </w:tc>
        <w:tc>
          <w:tcPr>
            <w:tcW w:w="878" w:type="pct"/>
            <w:vAlign w:val="center"/>
          </w:tcPr>
          <w:p w14:paraId="00B8A461">
            <w:pPr>
              <w:tabs>
                <w:tab w:val="left" w:pos="1080"/>
              </w:tabs>
              <w:snapToGrid w:val="0"/>
              <w:jc w:val="left"/>
              <w:rPr>
                <w:rFonts w:hint="eastAsia" w:ascii="宋体" w:hAnsi="宋体" w:eastAsia="宋体" w:cs="宋体"/>
                <w:sz w:val="24"/>
              </w:rPr>
            </w:pPr>
            <w:bookmarkStart w:id="643" w:name="OLE_LINK11"/>
            <w:bookmarkStart w:id="644" w:name="OLE_LINK10"/>
            <w:r>
              <w:rPr>
                <w:rFonts w:hint="eastAsia" w:ascii="宋体" w:hAnsi="宋体" w:eastAsia="宋体" w:cs="宋体"/>
                <w:sz w:val="24"/>
              </w:rPr>
              <w:t>满足《中华人民共和国政府采购法》第二十二条规定</w:t>
            </w:r>
            <w:bookmarkEnd w:id="643"/>
            <w:bookmarkEnd w:id="644"/>
          </w:p>
        </w:tc>
        <w:tc>
          <w:tcPr>
            <w:tcW w:w="2743" w:type="pct"/>
            <w:vAlign w:val="center"/>
          </w:tcPr>
          <w:p w14:paraId="0BE692F0">
            <w:pPr>
              <w:tabs>
                <w:tab w:val="left" w:pos="1080"/>
              </w:tabs>
              <w:snapToGrid w:val="0"/>
              <w:jc w:val="left"/>
              <w:rPr>
                <w:rFonts w:hint="eastAsia" w:ascii="宋体" w:hAnsi="宋体" w:eastAsia="宋体" w:cs="宋体"/>
                <w:sz w:val="24"/>
              </w:rPr>
            </w:pPr>
            <w:r>
              <w:rPr>
                <w:rFonts w:hint="eastAsia" w:ascii="宋体" w:hAnsi="宋体" w:eastAsia="宋体" w:cs="宋体"/>
                <w:sz w:val="24"/>
              </w:rPr>
              <w:t>具体规定见第一章《采购邀请》</w:t>
            </w:r>
          </w:p>
        </w:tc>
        <w:tc>
          <w:tcPr>
            <w:tcW w:w="953" w:type="pct"/>
            <w:vAlign w:val="center"/>
          </w:tcPr>
          <w:p w14:paraId="5EE57A9A">
            <w:pPr>
              <w:tabs>
                <w:tab w:val="left" w:pos="1080"/>
              </w:tabs>
              <w:snapToGrid w:val="0"/>
              <w:jc w:val="left"/>
              <w:rPr>
                <w:rFonts w:hint="eastAsia" w:ascii="宋体" w:hAnsi="宋体" w:eastAsia="宋体" w:cs="宋体"/>
                <w:sz w:val="24"/>
              </w:rPr>
            </w:pPr>
          </w:p>
        </w:tc>
      </w:tr>
      <w:tr w14:paraId="41E84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26" w:type="pct"/>
            <w:vAlign w:val="center"/>
          </w:tcPr>
          <w:p w14:paraId="4BD2E813">
            <w:pPr>
              <w:tabs>
                <w:tab w:val="left" w:pos="1080"/>
              </w:tabs>
              <w:snapToGrid w:val="0"/>
              <w:jc w:val="center"/>
              <w:rPr>
                <w:rFonts w:hint="eastAsia" w:ascii="宋体" w:hAnsi="宋体" w:eastAsia="宋体" w:cs="宋体"/>
                <w:sz w:val="24"/>
              </w:rPr>
            </w:pPr>
            <w:r>
              <w:rPr>
                <w:rFonts w:hint="eastAsia" w:ascii="宋体" w:hAnsi="宋体" w:eastAsia="宋体" w:cs="宋体"/>
                <w:sz w:val="24"/>
              </w:rPr>
              <w:t>1-1</w:t>
            </w:r>
          </w:p>
        </w:tc>
        <w:tc>
          <w:tcPr>
            <w:tcW w:w="878" w:type="pct"/>
            <w:vAlign w:val="center"/>
          </w:tcPr>
          <w:p w14:paraId="37CFCB37">
            <w:pPr>
              <w:tabs>
                <w:tab w:val="left" w:pos="1080"/>
              </w:tabs>
              <w:snapToGrid w:val="0"/>
              <w:jc w:val="left"/>
              <w:rPr>
                <w:rFonts w:hint="eastAsia" w:ascii="宋体" w:hAnsi="宋体" w:eastAsia="宋体" w:cs="宋体"/>
                <w:sz w:val="24"/>
              </w:rPr>
            </w:pPr>
            <w:r>
              <w:rPr>
                <w:rFonts w:hint="eastAsia" w:ascii="宋体" w:hAnsi="宋体" w:eastAsia="宋体" w:cs="宋体"/>
                <w:sz w:val="24"/>
              </w:rPr>
              <w:t>营业执照等证明文件</w:t>
            </w:r>
          </w:p>
        </w:tc>
        <w:tc>
          <w:tcPr>
            <w:tcW w:w="2743" w:type="pct"/>
            <w:vAlign w:val="center"/>
          </w:tcPr>
          <w:p w14:paraId="6EE1C42D">
            <w:pPr>
              <w:tabs>
                <w:tab w:val="left" w:pos="1080"/>
              </w:tabs>
              <w:snapToGrid w:val="0"/>
              <w:jc w:val="left"/>
              <w:rPr>
                <w:rFonts w:hint="eastAsia" w:ascii="宋体" w:hAnsi="宋体" w:eastAsia="宋体" w:cs="宋体"/>
                <w:sz w:val="24"/>
              </w:rPr>
            </w:pPr>
            <w:bookmarkStart w:id="645" w:name="OLE_LINK14"/>
            <w:bookmarkStart w:id="646" w:name="OLE_LINK13"/>
            <w:bookmarkStart w:id="647" w:name="OLE_LINK12"/>
            <w:r>
              <w:rPr>
                <w:rFonts w:hint="eastAsia" w:ascii="宋体" w:hAnsi="宋体" w:eastAsia="宋体" w:cs="宋体"/>
                <w:sz w:val="24"/>
              </w:rPr>
              <w:t>供应商为企业（包括合伙企业）的，应提供有效的“营业执照”；</w:t>
            </w:r>
          </w:p>
          <w:p w14:paraId="343E62D5">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供应商为事业单位的，应提供有效的“事业单位法人证书”；</w:t>
            </w:r>
          </w:p>
          <w:p w14:paraId="603AC95D">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供应商是非企业机构的，应提供有效的“执业许可证”、“登记证书”等证明文件；</w:t>
            </w:r>
          </w:p>
          <w:p w14:paraId="3CE714F5">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供应商是个体工商户的，应提供有效的“个体工商户营业执照”；</w:t>
            </w:r>
          </w:p>
          <w:p w14:paraId="02C00166">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供应商是自然人的，应提供有效的自然人身份证明。</w:t>
            </w:r>
          </w:p>
          <w:p w14:paraId="151DA1DC">
            <w:pPr>
              <w:tabs>
                <w:tab w:val="left" w:pos="1080"/>
              </w:tabs>
              <w:snapToGrid w:val="0"/>
              <w:jc w:val="left"/>
              <w:rPr>
                <w:rFonts w:hint="eastAsia" w:ascii="宋体" w:hAnsi="宋体" w:eastAsia="宋体" w:cs="宋体"/>
                <w:color w:val="000000"/>
                <w:sz w:val="24"/>
              </w:rPr>
            </w:pPr>
            <w:r>
              <w:rPr>
                <w:rFonts w:hint="eastAsia" w:ascii="宋体" w:hAnsi="宋体" w:eastAsia="宋体" w:cs="宋体"/>
                <w:color w:val="000000"/>
                <w:sz w:val="24"/>
              </w:rPr>
              <w:t>分支机构参加响应的，应提供该分支机构或其所属法人/其他组织的相应证明文件；同时还应提供其所属法人/其他组织出具的授权其参与本项目的授权书（格式自拟，须加</w:t>
            </w:r>
            <w:r>
              <w:rPr>
                <w:rFonts w:hint="eastAsia" w:ascii="宋体" w:hAnsi="宋体" w:eastAsia="宋体" w:cs="宋体"/>
                <w:sz w:val="24"/>
              </w:rPr>
              <w:t>盖其所属法人/其他组织的公章）；对于</w:t>
            </w:r>
            <w:r>
              <w:rPr>
                <w:rFonts w:hint="eastAsia" w:ascii="宋体" w:hAnsi="宋体" w:eastAsia="宋体" w:cs="宋体"/>
                <w:iCs/>
                <w:sz w:val="24"/>
              </w:rPr>
              <w:t>银行、保险、石油石化、电力、电信等行业的分支机构，可以提供上述</w:t>
            </w:r>
            <w:r>
              <w:rPr>
                <w:rFonts w:hint="eastAsia" w:ascii="宋体" w:hAnsi="宋体" w:eastAsia="宋体" w:cs="宋体"/>
                <w:sz w:val="24"/>
              </w:rPr>
              <w:t>授权，也</w:t>
            </w:r>
            <w:r>
              <w:rPr>
                <w:rFonts w:hint="eastAsia" w:ascii="宋体" w:hAnsi="宋体" w:eastAsia="宋体" w:cs="宋体"/>
                <w:color w:val="000000"/>
                <w:sz w:val="24"/>
              </w:rPr>
              <w:t>可以提供其所属法人/其他组织的有关文件或制度等能够证明授权其独立开展业务的证明材料。</w:t>
            </w:r>
            <w:bookmarkEnd w:id="645"/>
            <w:bookmarkEnd w:id="646"/>
            <w:bookmarkEnd w:id="647"/>
          </w:p>
        </w:tc>
        <w:tc>
          <w:tcPr>
            <w:tcW w:w="953" w:type="pct"/>
            <w:vAlign w:val="center"/>
          </w:tcPr>
          <w:p w14:paraId="67EEE9BB">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2445B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26" w:type="pct"/>
            <w:vAlign w:val="center"/>
          </w:tcPr>
          <w:p w14:paraId="5F22E817">
            <w:pPr>
              <w:tabs>
                <w:tab w:val="left" w:pos="1080"/>
              </w:tabs>
              <w:snapToGrid w:val="0"/>
              <w:jc w:val="center"/>
              <w:rPr>
                <w:rFonts w:hint="eastAsia" w:ascii="宋体" w:hAnsi="宋体" w:eastAsia="宋体" w:cs="宋体"/>
                <w:sz w:val="24"/>
              </w:rPr>
            </w:pPr>
            <w:r>
              <w:rPr>
                <w:rFonts w:hint="eastAsia" w:ascii="宋体" w:hAnsi="宋体" w:eastAsia="宋体" w:cs="宋体"/>
                <w:sz w:val="24"/>
              </w:rPr>
              <w:t>1-2</w:t>
            </w:r>
          </w:p>
        </w:tc>
        <w:tc>
          <w:tcPr>
            <w:tcW w:w="878" w:type="pct"/>
            <w:vAlign w:val="center"/>
          </w:tcPr>
          <w:p w14:paraId="69FD3BFF">
            <w:pPr>
              <w:tabs>
                <w:tab w:val="left" w:pos="1080"/>
              </w:tabs>
              <w:snapToGrid w:val="0"/>
              <w:jc w:val="left"/>
              <w:rPr>
                <w:rFonts w:hint="eastAsia" w:ascii="宋体" w:hAnsi="宋体" w:eastAsia="宋体" w:cs="宋体"/>
                <w:sz w:val="24"/>
              </w:rPr>
            </w:pPr>
            <w:bookmarkStart w:id="648" w:name="OLE_LINK18"/>
            <w:bookmarkStart w:id="649" w:name="OLE_LINK17"/>
            <w:r>
              <w:rPr>
                <w:rFonts w:hint="eastAsia" w:ascii="宋体" w:hAnsi="宋体" w:eastAsia="宋体" w:cs="宋体"/>
                <w:sz w:val="24"/>
              </w:rPr>
              <w:t>供应商资格声明书</w:t>
            </w:r>
            <w:bookmarkEnd w:id="648"/>
            <w:bookmarkEnd w:id="649"/>
          </w:p>
        </w:tc>
        <w:tc>
          <w:tcPr>
            <w:tcW w:w="2743" w:type="pct"/>
            <w:vAlign w:val="center"/>
          </w:tcPr>
          <w:p w14:paraId="2342B6CD">
            <w:pPr>
              <w:tabs>
                <w:tab w:val="left" w:pos="1080"/>
              </w:tabs>
              <w:snapToGrid w:val="0"/>
              <w:jc w:val="left"/>
              <w:rPr>
                <w:rFonts w:hint="eastAsia" w:ascii="宋体" w:hAnsi="宋体" w:eastAsia="宋体" w:cs="宋体"/>
                <w:sz w:val="24"/>
              </w:rPr>
            </w:pPr>
            <w:bookmarkStart w:id="650" w:name="OLE_LINK19"/>
            <w:bookmarkStart w:id="651" w:name="OLE_LINK20"/>
            <w:r>
              <w:rPr>
                <w:rFonts w:hint="eastAsia" w:ascii="宋体" w:hAnsi="宋体" w:eastAsia="宋体" w:cs="宋体"/>
                <w:sz w:val="24"/>
              </w:rPr>
              <w:t>提供了符合竞争性磋商文件要求的《供应商资格声明书》。</w:t>
            </w:r>
            <w:bookmarkEnd w:id="650"/>
            <w:bookmarkEnd w:id="651"/>
          </w:p>
        </w:tc>
        <w:tc>
          <w:tcPr>
            <w:tcW w:w="953" w:type="pct"/>
            <w:vAlign w:val="center"/>
          </w:tcPr>
          <w:p w14:paraId="645A1F8A">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35738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26" w:type="pct"/>
            <w:vAlign w:val="center"/>
          </w:tcPr>
          <w:p w14:paraId="51C4D614">
            <w:pPr>
              <w:tabs>
                <w:tab w:val="left" w:pos="1080"/>
              </w:tabs>
              <w:snapToGrid w:val="0"/>
              <w:jc w:val="center"/>
              <w:rPr>
                <w:rFonts w:hint="eastAsia" w:ascii="宋体" w:hAnsi="宋体" w:eastAsia="宋体" w:cs="宋体"/>
                <w:sz w:val="24"/>
              </w:rPr>
            </w:pPr>
            <w:r>
              <w:rPr>
                <w:rFonts w:hint="eastAsia" w:ascii="宋体" w:hAnsi="宋体" w:eastAsia="宋体" w:cs="宋体"/>
                <w:sz w:val="24"/>
              </w:rPr>
              <w:t>1-3</w:t>
            </w:r>
          </w:p>
        </w:tc>
        <w:tc>
          <w:tcPr>
            <w:tcW w:w="878" w:type="pct"/>
            <w:vAlign w:val="center"/>
          </w:tcPr>
          <w:p w14:paraId="6E07A68C">
            <w:pPr>
              <w:tabs>
                <w:tab w:val="left" w:pos="1080"/>
              </w:tabs>
              <w:snapToGrid w:val="0"/>
              <w:rPr>
                <w:rFonts w:hint="eastAsia" w:ascii="宋体" w:hAnsi="宋体" w:eastAsia="宋体" w:cs="宋体"/>
                <w:sz w:val="24"/>
              </w:rPr>
            </w:pPr>
            <w:r>
              <w:rPr>
                <w:rFonts w:hint="eastAsia" w:ascii="宋体" w:hAnsi="宋体" w:eastAsia="宋体" w:cs="宋体"/>
                <w:sz w:val="24"/>
              </w:rPr>
              <w:t>供应商信用记录</w:t>
            </w:r>
          </w:p>
        </w:tc>
        <w:tc>
          <w:tcPr>
            <w:tcW w:w="2743" w:type="pct"/>
            <w:vAlign w:val="center"/>
          </w:tcPr>
          <w:p w14:paraId="6A55770D">
            <w:pPr>
              <w:tabs>
                <w:tab w:val="left" w:pos="1080"/>
              </w:tabs>
              <w:snapToGrid w:val="0"/>
              <w:rPr>
                <w:rFonts w:hint="eastAsia" w:ascii="宋体" w:hAnsi="宋体" w:eastAsia="宋体" w:cs="宋体"/>
                <w:sz w:val="24"/>
              </w:rPr>
            </w:pPr>
            <w:bookmarkStart w:id="652" w:name="OLE_LINK22"/>
            <w:bookmarkStart w:id="653" w:name="OLE_LINK21"/>
            <w:r>
              <w:rPr>
                <w:rFonts w:hint="eastAsia" w:ascii="宋体" w:hAnsi="宋体" w:eastAsia="宋体" w:cs="宋体"/>
                <w:sz w:val="24"/>
              </w:rPr>
              <w:t>查询渠道：信用中国网站和中国政府采购网（</w:t>
            </w:r>
            <w:r>
              <w:rPr>
                <w:rFonts w:hint="eastAsia" w:ascii="宋体" w:hAnsi="宋体" w:eastAsia="宋体" w:cs="宋体"/>
              </w:rPr>
              <w:t>www.creditchina.gov.cn</w:t>
            </w:r>
            <w:r>
              <w:rPr>
                <w:rFonts w:hint="eastAsia" w:ascii="宋体" w:hAnsi="宋体" w:eastAsia="宋体" w:cs="宋体"/>
                <w:sz w:val="24"/>
              </w:rPr>
              <w:t>、</w:t>
            </w:r>
            <w:r>
              <w:rPr>
                <w:rFonts w:hint="eastAsia" w:ascii="宋体" w:hAnsi="宋体" w:eastAsia="宋体" w:cs="宋体"/>
              </w:rPr>
              <w:t>www.ccgp.gov.cn</w:t>
            </w:r>
            <w:r>
              <w:rPr>
                <w:rFonts w:hint="eastAsia" w:ascii="宋体" w:hAnsi="宋体" w:eastAsia="宋体" w:cs="宋体"/>
                <w:sz w:val="24"/>
              </w:rPr>
              <w:t>）；</w:t>
            </w:r>
          </w:p>
          <w:p w14:paraId="4DE69A01">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截止时点：</w:t>
            </w:r>
            <w:r>
              <w:rPr>
                <w:rFonts w:hint="eastAsia" w:ascii="宋体" w:hAnsi="宋体" w:eastAsia="宋体" w:cs="宋体"/>
                <w:color w:val="000000"/>
                <w:kern w:val="0"/>
                <w:sz w:val="24"/>
                <w:szCs w:val="20"/>
              </w:rPr>
              <w:t>首次响应文件提交截止时间以后</w:t>
            </w:r>
            <w:r>
              <w:rPr>
                <w:rFonts w:hint="eastAsia" w:ascii="宋体" w:hAnsi="宋体" w:eastAsia="宋体" w:cs="宋体"/>
                <w:sz w:val="24"/>
              </w:rPr>
              <w:t>、资格审查阶段采购人或采购代理机构的实际查询时间；</w:t>
            </w:r>
          </w:p>
          <w:p w14:paraId="7805D4C9">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信用信息查询记录和证据留存具体方式：查询结果网页打印页作为查询记录和证据，与其他竞争性磋商文件一并保存；</w:t>
            </w:r>
          </w:p>
          <w:p w14:paraId="44A74B17">
            <w:pPr>
              <w:tabs>
                <w:tab w:val="left" w:pos="1080"/>
              </w:tabs>
              <w:snapToGrid w:val="0"/>
              <w:rPr>
                <w:rFonts w:hint="eastAsia" w:ascii="宋体" w:hAnsi="宋体" w:eastAsia="宋体" w:cs="宋体"/>
                <w:sz w:val="24"/>
              </w:rPr>
            </w:pPr>
            <w:r>
              <w:rPr>
                <w:rFonts w:hint="eastAsia" w:ascii="宋体" w:hAnsi="宋体" w:eastAsia="宋体" w:cs="宋体"/>
                <w:sz w:val="24"/>
              </w:rPr>
              <w:t>信用信息的使用原则：经认定的被列入失信被执行人、重大税收违法案件当事人名单、政府采购严重违法失信行为记录名单的供应商，其</w:t>
            </w:r>
            <w:r>
              <w:rPr>
                <w:rFonts w:hint="eastAsia" w:ascii="宋体" w:hAnsi="宋体" w:eastAsia="宋体" w:cs="宋体"/>
                <w:b/>
                <w:sz w:val="24"/>
              </w:rPr>
              <w:t>响应无效</w:t>
            </w:r>
            <w:r>
              <w:rPr>
                <w:rFonts w:hint="eastAsia" w:ascii="宋体" w:hAnsi="宋体" w:eastAsia="宋体" w:cs="宋体"/>
                <w:sz w:val="24"/>
              </w:rPr>
              <w:t>。联合体形式磋商的，联合体成员存在不良信用记录，视同联合体存在不良信用记录。</w:t>
            </w:r>
            <w:bookmarkEnd w:id="652"/>
            <w:bookmarkEnd w:id="653"/>
          </w:p>
        </w:tc>
        <w:tc>
          <w:tcPr>
            <w:tcW w:w="953" w:type="pct"/>
            <w:vAlign w:val="center"/>
          </w:tcPr>
          <w:p w14:paraId="6676D3E7">
            <w:pPr>
              <w:tabs>
                <w:tab w:val="left" w:pos="1080"/>
              </w:tabs>
              <w:snapToGrid w:val="0"/>
              <w:rPr>
                <w:rFonts w:hint="eastAsia" w:ascii="宋体" w:hAnsi="宋体" w:eastAsia="宋体" w:cs="宋体"/>
                <w:sz w:val="24"/>
              </w:rPr>
            </w:pPr>
            <w:r>
              <w:rPr>
                <w:rFonts w:hint="eastAsia" w:ascii="宋体" w:hAnsi="宋体" w:eastAsia="宋体" w:cs="宋体"/>
                <w:sz w:val="24"/>
              </w:rPr>
              <w:t>无须供应商提供，由采购人或采购代理机构查询。</w:t>
            </w:r>
          </w:p>
        </w:tc>
      </w:tr>
      <w:tr w14:paraId="3C894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26" w:type="pct"/>
            <w:vAlign w:val="center"/>
          </w:tcPr>
          <w:p w14:paraId="4A4E9235">
            <w:pPr>
              <w:tabs>
                <w:tab w:val="left" w:pos="1080"/>
              </w:tabs>
              <w:snapToGrid w:val="0"/>
              <w:jc w:val="center"/>
              <w:rPr>
                <w:rFonts w:hint="eastAsia" w:ascii="宋体" w:hAnsi="宋体" w:eastAsia="宋体" w:cs="宋体"/>
                <w:sz w:val="24"/>
              </w:rPr>
            </w:pPr>
            <w:r>
              <w:rPr>
                <w:rFonts w:hint="eastAsia" w:ascii="宋体" w:hAnsi="宋体" w:eastAsia="宋体" w:cs="宋体"/>
                <w:sz w:val="24"/>
              </w:rPr>
              <w:t>1-4</w:t>
            </w:r>
          </w:p>
        </w:tc>
        <w:tc>
          <w:tcPr>
            <w:tcW w:w="878" w:type="pct"/>
            <w:vAlign w:val="center"/>
          </w:tcPr>
          <w:p w14:paraId="77123575">
            <w:pPr>
              <w:tabs>
                <w:tab w:val="left" w:pos="1080"/>
              </w:tabs>
              <w:snapToGrid w:val="0"/>
              <w:rPr>
                <w:rFonts w:hint="eastAsia" w:ascii="宋体" w:hAnsi="宋体" w:eastAsia="宋体" w:cs="宋体"/>
                <w:sz w:val="24"/>
              </w:rPr>
            </w:pPr>
            <w:r>
              <w:rPr>
                <w:rFonts w:hint="eastAsia" w:ascii="宋体" w:hAnsi="宋体" w:eastAsia="宋体" w:cs="宋体"/>
                <w:sz w:val="24"/>
              </w:rPr>
              <w:t>法律、行政法规规定的其他条件</w:t>
            </w:r>
          </w:p>
        </w:tc>
        <w:tc>
          <w:tcPr>
            <w:tcW w:w="2743" w:type="pct"/>
            <w:vAlign w:val="center"/>
          </w:tcPr>
          <w:p w14:paraId="7DFF2341">
            <w:pPr>
              <w:tabs>
                <w:tab w:val="left" w:pos="1080"/>
              </w:tabs>
              <w:snapToGrid w:val="0"/>
              <w:rPr>
                <w:rFonts w:hint="eastAsia" w:ascii="宋体" w:hAnsi="宋体" w:eastAsia="宋体" w:cs="宋体"/>
                <w:sz w:val="24"/>
              </w:rPr>
            </w:pPr>
            <w:bookmarkStart w:id="654" w:name="OLE_LINK23"/>
            <w:r>
              <w:rPr>
                <w:rFonts w:hint="eastAsia" w:ascii="宋体" w:hAnsi="宋体" w:eastAsia="宋体" w:cs="宋体"/>
                <w:sz w:val="24"/>
              </w:rPr>
              <w:t>法律、行政法规规定的其他条件</w:t>
            </w:r>
            <w:bookmarkEnd w:id="654"/>
          </w:p>
        </w:tc>
        <w:tc>
          <w:tcPr>
            <w:tcW w:w="953" w:type="pct"/>
            <w:vAlign w:val="center"/>
          </w:tcPr>
          <w:p w14:paraId="65F7A96E">
            <w:pPr>
              <w:tabs>
                <w:tab w:val="left" w:pos="1080"/>
              </w:tabs>
              <w:snapToGrid w:val="0"/>
              <w:jc w:val="center"/>
              <w:rPr>
                <w:rFonts w:hint="eastAsia" w:ascii="宋体" w:hAnsi="宋体" w:eastAsia="宋体" w:cs="宋体"/>
                <w:sz w:val="24"/>
              </w:rPr>
            </w:pPr>
            <w:r>
              <w:rPr>
                <w:rFonts w:hint="eastAsia" w:ascii="宋体" w:hAnsi="宋体" w:eastAsia="宋体" w:cs="宋体"/>
                <w:sz w:val="24"/>
              </w:rPr>
              <w:t>/</w:t>
            </w:r>
          </w:p>
        </w:tc>
      </w:tr>
      <w:tr w14:paraId="69E86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26" w:type="pct"/>
            <w:vAlign w:val="center"/>
          </w:tcPr>
          <w:p w14:paraId="3DCB8237">
            <w:pPr>
              <w:tabs>
                <w:tab w:val="left" w:pos="1080"/>
              </w:tabs>
              <w:snapToGrid w:val="0"/>
              <w:jc w:val="center"/>
              <w:rPr>
                <w:rFonts w:hint="eastAsia" w:ascii="宋体" w:hAnsi="宋体" w:eastAsia="宋体" w:cs="宋体"/>
                <w:sz w:val="24"/>
              </w:rPr>
            </w:pPr>
            <w:r>
              <w:rPr>
                <w:rFonts w:hint="eastAsia" w:ascii="宋体" w:hAnsi="宋体" w:eastAsia="宋体" w:cs="宋体"/>
                <w:sz w:val="24"/>
              </w:rPr>
              <w:t>2</w:t>
            </w:r>
          </w:p>
        </w:tc>
        <w:tc>
          <w:tcPr>
            <w:tcW w:w="878" w:type="pct"/>
            <w:vAlign w:val="center"/>
          </w:tcPr>
          <w:p w14:paraId="4569A56C">
            <w:pPr>
              <w:tabs>
                <w:tab w:val="left" w:pos="1080"/>
              </w:tabs>
              <w:snapToGrid w:val="0"/>
              <w:jc w:val="left"/>
              <w:rPr>
                <w:rFonts w:hint="eastAsia" w:ascii="宋体" w:hAnsi="宋体" w:eastAsia="宋体" w:cs="宋体"/>
                <w:sz w:val="24"/>
              </w:rPr>
            </w:pPr>
            <w:r>
              <w:rPr>
                <w:rFonts w:hint="eastAsia" w:ascii="宋体" w:hAnsi="宋体" w:eastAsia="宋体" w:cs="宋体"/>
                <w:sz w:val="24"/>
              </w:rPr>
              <w:t>中小企业证明文件</w:t>
            </w:r>
          </w:p>
        </w:tc>
        <w:tc>
          <w:tcPr>
            <w:tcW w:w="2743" w:type="pct"/>
            <w:vAlign w:val="center"/>
          </w:tcPr>
          <w:p w14:paraId="4ED72CC5">
            <w:pPr>
              <w:tabs>
                <w:tab w:val="left" w:pos="1080"/>
              </w:tabs>
              <w:snapToGrid w:val="0"/>
              <w:jc w:val="left"/>
              <w:rPr>
                <w:rFonts w:hint="eastAsia" w:ascii="宋体" w:hAnsi="宋体" w:eastAsia="宋体" w:cs="宋体"/>
                <w:sz w:val="24"/>
              </w:rPr>
            </w:pPr>
            <w:bookmarkStart w:id="1773" w:name="_GoBack"/>
            <w:r>
              <w:rPr>
                <w:rFonts w:hint="eastAsia" w:ascii="宋体" w:hAnsi="宋体" w:eastAsia="宋体" w:cs="宋体"/>
                <w:sz w:val="24"/>
              </w:rPr>
              <w:t xml:space="preserve">当本项目（包）涉及预留份额专门面向中小企业采购，提供如下资料： </w:t>
            </w:r>
          </w:p>
          <w:p w14:paraId="1D778CE2">
            <w:pPr>
              <w:tabs>
                <w:tab w:val="left" w:pos="1080"/>
              </w:tabs>
              <w:snapToGrid w:val="0"/>
              <w:jc w:val="left"/>
              <w:rPr>
                <w:rFonts w:hint="eastAsia" w:ascii="宋体" w:hAnsi="宋体" w:eastAsia="宋体" w:cs="宋体"/>
                <w:sz w:val="24"/>
              </w:rPr>
            </w:pPr>
            <w:r>
              <w:rPr>
                <w:rFonts w:hint="eastAsia" w:ascii="宋体" w:hAnsi="宋体" w:eastAsia="宋体" w:cs="宋体"/>
                <w:sz w:val="24"/>
              </w:rPr>
              <w:t>1、供应商单独响应的，应提供《中小企业声明函》或《残疾人福利性单位声明函》或由省级以上监狱管理局、戒毒管理局（含新疆生产建设兵团）出具的属于监狱企业的证明文件。</w:t>
            </w:r>
          </w:p>
          <w:p w14:paraId="1A1171D6">
            <w:pPr>
              <w:tabs>
                <w:tab w:val="left" w:pos="1080"/>
              </w:tabs>
              <w:snapToGrid w:val="0"/>
              <w:jc w:val="left"/>
              <w:rPr>
                <w:rFonts w:hint="eastAsia" w:ascii="宋体" w:hAnsi="宋体" w:eastAsia="宋体" w:cs="宋体"/>
                <w:sz w:val="24"/>
              </w:rPr>
            </w:pPr>
            <w:r>
              <w:rPr>
                <w:rFonts w:hint="eastAsia" w:ascii="宋体" w:hAnsi="宋体" w:eastAsia="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bookmarkEnd w:id="1773"/>
          </w:p>
        </w:tc>
        <w:tc>
          <w:tcPr>
            <w:tcW w:w="953" w:type="pct"/>
            <w:vAlign w:val="center"/>
          </w:tcPr>
          <w:p w14:paraId="63C38439">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46347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26" w:type="pct"/>
            <w:vAlign w:val="center"/>
          </w:tcPr>
          <w:p w14:paraId="0EBDF062">
            <w:pPr>
              <w:tabs>
                <w:tab w:val="left" w:pos="1080"/>
              </w:tabs>
              <w:snapToGrid w:val="0"/>
              <w:jc w:val="center"/>
              <w:rPr>
                <w:rFonts w:hint="eastAsia" w:ascii="宋体" w:hAnsi="宋体" w:eastAsia="宋体" w:cs="宋体"/>
                <w:sz w:val="24"/>
              </w:rPr>
            </w:pPr>
            <w:r>
              <w:rPr>
                <w:rFonts w:hint="eastAsia" w:ascii="宋体" w:hAnsi="宋体" w:eastAsia="宋体" w:cs="宋体"/>
                <w:sz w:val="24"/>
              </w:rPr>
              <w:t>3</w:t>
            </w:r>
          </w:p>
        </w:tc>
        <w:tc>
          <w:tcPr>
            <w:tcW w:w="878" w:type="pct"/>
            <w:vAlign w:val="center"/>
          </w:tcPr>
          <w:p w14:paraId="4D9D3DBD">
            <w:pPr>
              <w:tabs>
                <w:tab w:val="left" w:pos="1080"/>
              </w:tabs>
              <w:snapToGrid w:val="0"/>
              <w:jc w:val="left"/>
              <w:rPr>
                <w:rFonts w:hint="eastAsia" w:ascii="宋体" w:hAnsi="宋体" w:eastAsia="宋体" w:cs="宋体"/>
                <w:sz w:val="24"/>
              </w:rPr>
            </w:pPr>
            <w:bookmarkStart w:id="655" w:name="OLE_LINK25"/>
            <w:bookmarkStart w:id="656" w:name="OLE_LINK24"/>
            <w:r>
              <w:rPr>
                <w:rFonts w:hint="eastAsia" w:ascii="宋体" w:hAnsi="宋体" w:eastAsia="宋体" w:cs="宋体"/>
                <w:sz w:val="24"/>
              </w:rPr>
              <w:t>本项目的特定资格要求</w:t>
            </w:r>
            <w:bookmarkEnd w:id="655"/>
            <w:bookmarkEnd w:id="656"/>
          </w:p>
        </w:tc>
        <w:tc>
          <w:tcPr>
            <w:tcW w:w="2743" w:type="pct"/>
            <w:vAlign w:val="center"/>
          </w:tcPr>
          <w:p w14:paraId="29C34A0A">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tc>
        <w:tc>
          <w:tcPr>
            <w:tcW w:w="953" w:type="pct"/>
            <w:vAlign w:val="center"/>
          </w:tcPr>
          <w:p w14:paraId="4944CA3D">
            <w:pPr>
              <w:tabs>
                <w:tab w:val="left" w:pos="1080"/>
              </w:tabs>
              <w:snapToGrid w:val="0"/>
              <w:jc w:val="left"/>
              <w:rPr>
                <w:rFonts w:hint="eastAsia" w:ascii="宋体" w:hAnsi="宋体" w:eastAsia="宋体" w:cs="宋体"/>
                <w:sz w:val="24"/>
              </w:rPr>
            </w:pPr>
          </w:p>
        </w:tc>
      </w:tr>
      <w:tr w14:paraId="114EA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26" w:type="pct"/>
            <w:vAlign w:val="center"/>
          </w:tcPr>
          <w:p w14:paraId="2F405962">
            <w:pPr>
              <w:tabs>
                <w:tab w:val="left" w:pos="1080"/>
              </w:tabs>
              <w:snapToGrid w:val="0"/>
              <w:jc w:val="center"/>
              <w:rPr>
                <w:rFonts w:hint="eastAsia" w:ascii="宋体" w:hAnsi="宋体" w:eastAsia="宋体" w:cs="宋体"/>
                <w:sz w:val="24"/>
              </w:rPr>
            </w:pPr>
            <w:r>
              <w:rPr>
                <w:rFonts w:hint="eastAsia" w:ascii="宋体" w:hAnsi="宋体" w:eastAsia="宋体" w:cs="宋体"/>
                <w:sz w:val="24"/>
              </w:rPr>
              <w:t>3-1</w:t>
            </w:r>
          </w:p>
        </w:tc>
        <w:tc>
          <w:tcPr>
            <w:tcW w:w="878" w:type="pct"/>
            <w:vAlign w:val="center"/>
          </w:tcPr>
          <w:p w14:paraId="5A86B4E3">
            <w:pPr>
              <w:tabs>
                <w:tab w:val="left" w:pos="1080"/>
              </w:tabs>
              <w:snapToGrid w:val="0"/>
              <w:rPr>
                <w:rFonts w:hint="eastAsia" w:ascii="宋体" w:hAnsi="宋体" w:eastAsia="宋体" w:cs="宋体"/>
                <w:sz w:val="24"/>
              </w:rPr>
            </w:pPr>
            <w:bookmarkStart w:id="657" w:name="OLE_LINK26"/>
            <w:bookmarkStart w:id="658" w:name="OLE_LINK27"/>
            <w:r>
              <w:rPr>
                <w:rFonts w:hint="eastAsia" w:ascii="宋体" w:hAnsi="宋体" w:eastAsia="宋体" w:cs="宋体"/>
                <w:sz w:val="24"/>
              </w:rPr>
              <w:t>其他特定资格要求</w:t>
            </w:r>
            <w:bookmarkEnd w:id="657"/>
            <w:bookmarkEnd w:id="658"/>
          </w:p>
        </w:tc>
        <w:tc>
          <w:tcPr>
            <w:tcW w:w="2743" w:type="pct"/>
            <w:vAlign w:val="center"/>
          </w:tcPr>
          <w:p w14:paraId="2293B431">
            <w:pPr>
              <w:pStyle w:val="17"/>
              <w:tabs>
                <w:tab w:val="clear" w:pos="567"/>
              </w:tabs>
              <w:spacing w:before="0" w:line="240" w:lineRule="auto"/>
              <w:rPr>
                <w:rFonts w:hint="eastAsia" w:ascii="宋体" w:hAnsi="宋体" w:eastAsia="宋体" w:cs="宋体"/>
              </w:rPr>
            </w:pPr>
            <w:r>
              <w:rPr>
                <w:rFonts w:hint="eastAsia" w:ascii="宋体" w:hAnsi="宋体" w:eastAsia="宋体" w:cs="宋体"/>
              </w:rPr>
              <w:t>（1）投标人具备</w:t>
            </w:r>
            <w:r>
              <w:rPr>
                <w:rFonts w:hint="eastAsia" w:cs="宋体"/>
                <w:lang w:eastAsia="zh-CN"/>
              </w:rPr>
              <w:t>市政公用工程施工总承包叁级</w:t>
            </w:r>
            <w:r>
              <w:rPr>
                <w:rFonts w:hint="eastAsia" w:ascii="宋体" w:hAnsi="宋体" w:eastAsia="宋体" w:cs="宋体"/>
              </w:rPr>
              <w:t>（含）以上资质；</w:t>
            </w:r>
          </w:p>
          <w:p w14:paraId="54E8E673">
            <w:pPr>
              <w:pStyle w:val="17"/>
              <w:tabs>
                <w:tab w:val="clear" w:pos="567"/>
              </w:tabs>
              <w:spacing w:before="0" w:line="240" w:lineRule="auto"/>
              <w:rPr>
                <w:rFonts w:hint="eastAsia" w:ascii="宋体" w:hAnsi="宋体" w:eastAsia="宋体" w:cs="宋体"/>
              </w:rPr>
            </w:pPr>
            <w:r>
              <w:rPr>
                <w:rFonts w:hint="eastAsia" w:ascii="宋体" w:hAnsi="宋体" w:eastAsia="宋体" w:cs="宋体"/>
              </w:rPr>
              <w:t>（2）投标人具备有效的安全生产许可证；</w:t>
            </w:r>
          </w:p>
          <w:p w14:paraId="3803159F">
            <w:pPr>
              <w:pStyle w:val="17"/>
              <w:tabs>
                <w:tab w:val="clear" w:pos="567"/>
              </w:tabs>
              <w:spacing w:before="0" w:line="240" w:lineRule="auto"/>
              <w:rPr>
                <w:rFonts w:hint="eastAsia" w:ascii="宋体" w:hAnsi="宋体" w:eastAsia="宋体" w:cs="宋体"/>
              </w:rPr>
            </w:pPr>
            <w:r>
              <w:rPr>
                <w:rFonts w:hint="eastAsia" w:ascii="宋体" w:hAnsi="宋体" w:eastAsia="宋体" w:cs="宋体"/>
              </w:rPr>
              <w:t xml:space="preserve">（3）拟派本项目的项目经理专业要求：受聘于投标人已取得 </w:t>
            </w:r>
            <w:r>
              <w:rPr>
                <w:rFonts w:hint="eastAsia" w:ascii="宋体" w:hAnsi="宋体" w:eastAsia="宋体" w:cs="宋体"/>
                <w:lang w:eastAsia="zh-CN"/>
              </w:rPr>
              <w:t>市政公用工程</w:t>
            </w:r>
            <w:r>
              <w:rPr>
                <w:rFonts w:hint="eastAsia" w:ascii="宋体" w:hAnsi="宋体" w:eastAsia="宋体" w:cs="宋体"/>
              </w:rPr>
              <w:t>专业二级（含二级）以上建造师注册证书，同时还须提供&lt;安全生产考核合格证书&gt;(简称B本)，且均在有效期内；且在确定中标人时不得担任其他在施建设工程的项目经理。</w:t>
            </w:r>
          </w:p>
        </w:tc>
        <w:tc>
          <w:tcPr>
            <w:tcW w:w="953" w:type="pct"/>
            <w:vAlign w:val="center"/>
          </w:tcPr>
          <w:p w14:paraId="695FB75C">
            <w:pPr>
              <w:tabs>
                <w:tab w:val="left" w:pos="1080"/>
              </w:tabs>
              <w:snapToGrid w:val="0"/>
              <w:rPr>
                <w:rFonts w:hint="eastAsia" w:ascii="宋体" w:hAnsi="宋体" w:eastAsia="宋体" w:cs="宋体"/>
                <w:sz w:val="24"/>
              </w:rPr>
            </w:pPr>
            <w:r>
              <w:rPr>
                <w:rFonts w:hint="eastAsia" w:ascii="宋体" w:hAnsi="宋体" w:eastAsia="宋体" w:cs="宋体"/>
                <w:sz w:val="24"/>
              </w:rPr>
              <w:t>提供证明文件的电子件或电子证照加盖电子印章</w:t>
            </w:r>
          </w:p>
        </w:tc>
      </w:tr>
    </w:tbl>
    <w:p w14:paraId="32BE10FB">
      <w:pPr>
        <w:widowControl/>
        <w:jc w:val="left"/>
        <w:rPr>
          <w:rFonts w:hint="eastAsia" w:ascii="宋体" w:hAnsi="宋体" w:eastAsia="宋体" w:cs="宋体"/>
          <w:sz w:val="24"/>
        </w:rPr>
      </w:pPr>
    </w:p>
    <w:p w14:paraId="41094F5E">
      <w:pPr>
        <w:rPr>
          <w:rFonts w:hint="eastAsia" w:ascii="宋体" w:hAnsi="宋体" w:eastAsia="宋体" w:cs="宋体"/>
          <w:sz w:val="24"/>
        </w:rPr>
      </w:pPr>
      <w:r>
        <w:rPr>
          <w:rFonts w:hint="eastAsia" w:ascii="宋体" w:hAnsi="宋体" w:eastAsia="宋体" w:cs="宋体"/>
          <w:sz w:val="24"/>
        </w:rPr>
        <w:br w:type="page"/>
      </w:r>
    </w:p>
    <w:p w14:paraId="42110993">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《符合性审查要求》见下表：</w:t>
      </w:r>
    </w:p>
    <w:p w14:paraId="26CF8116">
      <w:pPr>
        <w:widowControl/>
        <w:spacing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符合性审查要求</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61"/>
        <w:gridCol w:w="4394"/>
        <w:gridCol w:w="1919"/>
      </w:tblGrid>
      <w:tr w14:paraId="0EEC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988" w:type="dxa"/>
            <w:shd w:val="clear" w:color="000000" w:fill="FFFFFF"/>
            <w:vAlign w:val="center"/>
          </w:tcPr>
          <w:p w14:paraId="3EA4F67A">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序号</w:t>
            </w:r>
          </w:p>
        </w:tc>
        <w:tc>
          <w:tcPr>
            <w:tcW w:w="1761" w:type="dxa"/>
            <w:shd w:val="clear" w:color="000000" w:fill="FFFFFF"/>
            <w:vAlign w:val="center"/>
          </w:tcPr>
          <w:p w14:paraId="61F151B9">
            <w:pPr>
              <w:widowControl/>
              <w:jc w:val="center"/>
              <w:rPr>
                <w:rFonts w:hint="eastAsia" w:ascii="宋体" w:hAnsi="宋体" w:eastAsia="宋体" w:cs="宋体"/>
                <w:b/>
                <w:color w:val="000000"/>
                <w:kern w:val="0"/>
                <w:sz w:val="24"/>
              </w:rPr>
            </w:pPr>
            <w:r>
              <w:rPr>
                <w:rFonts w:hint="eastAsia" w:ascii="宋体" w:hAnsi="宋体" w:eastAsia="宋体" w:cs="宋体"/>
                <w:b/>
                <w:sz w:val="24"/>
              </w:rPr>
              <w:t>检查</w:t>
            </w:r>
            <w:r>
              <w:rPr>
                <w:rFonts w:hint="eastAsia" w:ascii="宋体" w:hAnsi="宋体" w:eastAsia="宋体" w:cs="宋体"/>
                <w:b/>
                <w:color w:val="000000"/>
                <w:kern w:val="0"/>
                <w:sz w:val="24"/>
              </w:rPr>
              <w:t>因素</w:t>
            </w:r>
          </w:p>
        </w:tc>
        <w:tc>
          <w:tcPr>
            <w:tcW w:w="4394" w:type="dxa"/>
            <w:shd w:val="clear" w:color="000000" w:fill="FFFFFF"/>
            <w:vAlign w:val="center"/>
          </w:tcPr>
          <w:p w14:paraId="43122A8E">
            <w:pPr>
              <w:widowControl/>
              <w:jc w:val="center"/>
              <w:rPr>
                <w:rFonts w:hint="eastAsia" w:ascii="宋体" w:hAnsi="宋体" w:eastAsia="宋体" w:cs="宋体"/>
                <w:b/>
                <w:color w:val="000000"/>
                <w:kern w:val="0"/>
                <w:sz w:val="24"/>
              </w:rPr>
            </w:pPr>
            <w:r>
              <w:rPr>
                <w:rFonts w:hint="eastAsia" w:ascii="宋体" w:hAnsi="宋体" w:eastAsia="宋体" w:cs="宋体"/>
                <w:b/>
                <w:sz w:val="24"/>
              </w:rPr>
              <w:t>检查</w:t>
            </w:r>
            <w:r>
              <w:rPr>
                <w:rFonts w:hint="eastAsia" w:ascii="宋体" w:hAnsi="宋体" w:eastAsia="宋体" w:cs="宋体"/>
                <w:b/>
                <w:color w:val="000000"/>
                <w:kern w:val="0"/>
                <w:sz w:val="24"/>
              </w:rPr>
              <w:t>内容</w:t>
            </w:r>
          </w:p>
        </w:tc>
        <w:tc>
          <w:tcPr>
            <w:tcW w:w="1919" w:type="dxa"/>
            <w:shd w:val="clear" w:color="000000" w:fill="FFFFFF"/>
            <w:vAlign w:val="center"/>
          </w:tcPr>
          <w:p w14:paraId="52A2E185">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是否允许澄清、说明或者更正</w:t>
            </w:r>
          </w:p>
        </w:tc>
      </w:tr>
      <w:tr w14:paraId="1B24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auto" w:fill="auto"/>
            <w:vAlign w:val="center"/>
          </w:tcPr>
          <w:p w14:paraId="618062CD">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761" w:type="dxa"/>
            <w:shd w:val="clear" w:color="auto" w:fill="auto"/>
            <w:vAlign w:val="center"/>
          </w:tcPr>
          <w:p w14:paraId="190026CD">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授权委托书</w:t>
            </w:r>
          </w:p>
        </w:tc>
        <w:tc>
          <w:tcPr>
            <w:tcW w:w="4394" w:type="dxa"/>
            <w:shd w:val="clear" w:color="auto" w:fill="auto"/>
            <w:vAlign w:val="center"/>
          </w:tcPr>
          <w:p w14:paraId="567F253D">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按招标文件要求提供授权委托书；</w:t>
            </w:r>
          </w:p>
        </w:tc>
        <w:tc>
          <w:tcPr>
            <w:tcW w:w="1919" w:type="dxa"/>
            <w:shd w:val="clear" w:color="000000" w:fill="FFFFFF"/>
            <w:vAlign w:val="center"/>
          </w:tcPr>
          <w:p w14:paraId="1140DB2C">
            <w:pPr>
              <w:widowControl/>
              <w:jc w:val="center"/>
              <w:rPr>
                <w:rFonts w:hint="eastAsia" w:ascii="宋体" w:hAnsi="宋体" w:eastAsia="宋体" w:cs="宋体"/>
                <w:color w:val="000000"/>
                <w:kern w:val="0"/>
                <w:sz w:val="24"/>
              </w:rPr>
            </w:pPr>
            <w:r>
              <w:rPr>
                <w:rFonts w:hint="eastAsia" w:ascii="宋体" w:hAnsi="宋体" w:eastAsia="宋体" w:cs="宋体"/>
                <w:b/>
                <w:color w:val="000000"/>
                <w:kern w:val="0"/>
                <w:sz w:val="24"/>
              </w:rPr>
              <w:t>否</w:t>
            </w:r>
          </w:p>
        </w:tc>
      </w:tr>
      <w:tr w14:paraId="642E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auto" w:fill="auto"/>
            <w:vAlign w:val="center"/>
          </w:tcPr>
          <w:p w14:paraId="54232C34">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1761" w:type="dxa"/>
            <w:shd w:val="clear" w:color="auto" w:fill="auto"/>
            <w:vAlign w:val="center"/>
          </w:tcPr>
          <w:p w14:paraId="21F0F786">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投标完整性</w:t>
            </w:r>
          </w:p>
        </w:tc>
        <w:tc>
          <w:tcPr>
            <w:tcW w:w="4394" w:type="dxa"/>
            <w:shd w:val="clear" w:color="auto" w:fill="auto"/>
            <w:vAlign w:val="center"/>
          </w:tcPr>
          <w:p w14:paraId="67E14F4F">
            <w:pPr>
              <w:widowControl/>
              <w:jc w:val="left"/>
              <w:rPr>
                <w:rFonts w:hint="eastAsia" w:ascii="宋体" w:hAnsi="宋体" w:eastAsia="宋体" w:cs="宋体"/>
                <w:color w:val="000000"/>
                <w:kern w:val="0"/>
                <w:sz w:val="24"/>
              </w:rPr>
            </w:pPr>
            <w:r>
              <w:rPr>
                <w:rFonts w:hint="eastAsia" w:ascii="宋体" w:hAnsi="宋体" w:eastAsia="宋体" w:cs="宋体"/>
                <w:sz w:val="24"/>
              </w:rPr>
              <w:t>未将一个采购包中的内容拆开投标；</w:t>
            </w:r>
          </w:p>
        </w:tc>
        <w:tc>
          <w:tcPr>
            <w:tcW w:w="1919" w:type="dxa"/>
            <w:shd w:val="clear" w:color="000000" w:fill="FFFFFF"/>
            <w:vAlign w:val="center"/>
          </w:tcPr>
          <w:p w14:paraId="26CA3FB0">
            <w:pPr>
              <w:widowControl/>
              <w:jc w:val="center"/>
              <w:rPr>
                <w:rFonts w:hint="eastAsia" w:ascii="宋体" w:hAnsi="宋体" w:eastAsia="宋体" w:cs="宋体"/>
                <w:color w:val="000000"/>
                <w:kern w:val="0"/>
                <w:sz w:val="24"/>
              </w:rPr>
            </w:pPr>
            <w:r>
              <w:rPr>
                <w:rFonts w:hint="eastAsia" w:ascii="宋体" w:hAnsi="宋体" w:eastAsia="宋体" w:cs="宋体"/>
                <w:b/>
                <w:color w:val="000000"/>
                <w:kern w:val="0"/>
                <w:sz w:val="24"/>
              </w:rPr>
              <w:t>否</w:t>
            </w:r>
          </w:p>
        </w:tc>
      </w:tr>
      <w:tr w14:paraId="6EC2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auto" w:fill="auto"/>
            <w:vAlign w:val="center"/>
          </w:tcPr>
          <w:p w14:paraId="3A0F2198">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1761" w:type="dxa"/>
            <w:shd w:val="clear" w:color="auto" w:fill="auto"/>
            <w:vAlign w:val="center"/>
          </w:tcPr>
          <w:p w14:paraId="39C8A1E2">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投标报价</w:t>
            </w:r>
          </w:p>
        </w:tc>
        <w:tc>
          <w:tcPr>
            <w:tcW w:w="4394" w:type="dxa"/>
            <w:shd w:val="clear" w:color="auto" w:fill="auto"/>
            <w:vAlign w:val="center"/>
          </w:tcPr>
          <w:p w14:paraId="5877C198">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投标报价未</w:t>
            </w:r>
            <w:r>
              <w:rPr>
                <w:rFonts w:hint="eastAsia" w:ascii="宋体" w:hAnsi="宋体" w:eastAsia="宋体" w:cs="宋体"/>
                <w:color w:val="000000"/>
                <w:sz w:val="24"/>
              </w:rPr>
              <w:t>超过招标文件中规定的项目/采购包预算金额或者项目/采购包最高限价</w:t>
            </w:r>
            <w:r>
              <w:rPr>
                <w:rFonts w:hint="eastAsia" w:ascii="宋体" w:hAnsi="宋体" w:eastAsia="宋体" w:cs="宋体"/>
                <w:color w:val="000000"/>
                <w:kern w:val="0"/>
                <w:sz w:val="24"/>
              </w:rPr>
              <w:t>；</w:t>
            </w:r>
          </w:p>
        </w:tc>
        <w:tc>
          <w:tcPr>
            <w:tcW w:w="1919" w:type="dxa"/>
            <w:shd w:val="clear" w:color="000000" w:fill="FFFFFF"/>
            <w:vAlign w:val="center"/>
          </w:tcPr>
          <w:p w14:paraId="0E03E48A">
            <w:pPr>
              <w:widowControl/>
              <w:jc w:val="center"/>
              <w:rPr>
                <w:rFonts w:hint="eastAsia" w:ascii="宋体" w:hAnsi="宋体" w:eastAsia="宋体" w:cs="宋体"/>
                <w:color w:val="000000"/>
                <w:kern w:val="0"/>
                <w:sz w:val="24"/>
              </w:rPr>
            </w:pPr>
            <w:r>
              <w:rPr>
                <w:rFonts w:hint="eastAsia" w:ascii="宋体" w:hAnsi="宋体" w:eastAsia="宋体" w:cs="宋体"/>
                <w:b/>
                <w:color w:val="000000"/>
                <w:kern w:val="0"/>
                <w:sz w:val="24"/>
              </w:rPr>
              <w:t>否</w:t>
            </w:r>
          </w:p>
        </w:tc>
      </w:tr>
      <w:tr w14:paraId="6221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auto" w:fill="auto"/>
            <w:vAlign w:val="center"/>
          </w:tcPr>
          <w:p w14:paraId="7429290C">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1761" w:type="dxa"/>
            <w:shd w:val="clear" w:color="auto" w:fill="auto"/>
            <w:vAlign w:val="center"/>
          </w:tcPr>
          <w:p w14:paraId="14AD42D1">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报价唯一性</w:t>
            </w:r>
          </w:p>
        </w:tc>
        <w:tc>
          <w:tcPr>
            <w:tcW w:w="4394" w:type="dxa"/>
            <w:shd w:val="clear" w:color="auto" w:fill="auto"/>
            <w:vAlign w:val="center"/>
          </w:tcPr>
          <w:p w14:paraId="160D85BB">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投标文件未</w:t>
            </w:r>
            <w:r>
              <w:rPr>
                <w:rFonts w:hint="eastAsia" w:ascii="宋体" w:hAnsi="宋体" w:eastAsia="宋体" w:cs="宋体"/>
                <w:sz w:val="24"/>
              </w:rPr>
              <w:t>出现可选择性或可调整的报价（招标文件另有规定的除外）</w:t>
            </w:r>
            <w:r>
              <w:rPr>
                <w:rFonts w:hint="eastAsia" w:ascii="宋体" w:hAnsi="宋体" w:eastAsia="宋体" w:cs="宋体"/>
                <w:color w:val="000000"/>
                <w:kern w:val="0"/>
                <w:sz w:val="24"/>
              </w:rPr>
              <w:t>；</w:t>
            </w:r>
          </w:p>
        </w:tc>
        <w:tc>
          <w:tcPr>
            <w:tcW w:w="1919" w:type="dxa"/>
            <w:shd w:val="clear" w:color="000000" w:fill="FFFFFF"/>
            <w:vAlign w:val="center"/>
          </w:tcPr>
          <w:p w14:paraId="747DA6B7">
            <w:pPr>
              <w:widowControl/>
              <w:jc w:val="center"/>
              <w:rPr>
                <w:rFonts w:hint="eastAsia" w:ascii="宋体" w:hAnsi="宋体" w:eastAsia="宋体" w:cs="宋体"/>
                <w:color w:val="000000"/>
                <w:kern w:val="0"/>
                <w:sz w:val="24"/>
              </w:rPr>
            </w:pPr>
            <w:r>
              <w:rPr>
                <w:rFonts w:hint="eastAsia" w:ascii="宋体" w:hAnsi="宋体" w:eastAsia="宋体" w:cs="宋体"/>
                <w:b/>
                <w:color w:val="000000"/>
                <w:kern w:val="0"/>
                <w:sz w:val="24"/>
              </w:rPr>
              <w:t>否</w:t>
            </w:r>
          </w:p>
        </w:tc>
      </w:tr>
      <w:tr w14:paraId="3D54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auto" w:fill="auto"/>
            <w:vAlign w:val="center"/>
          </w:tcPr>
          <w:p w14:paraId="1079A8AC">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5</w:t>
            </w:r>
          </w:p>
        </w:tc>
        <w:tc>
          <w:tcPr>
            <w:tcW w:w="1761" w:type="dxa"/>
            <w:shd w:val="clear" w:color="auto" w:fill="auto"/>
            <w:vAlign w:val="center"/>
          </w:tcPr>
          <w:p w14:paraId="423ECF2B">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投标有效期</w:t>
            </w:r>
          </w:p>
        </w:tc>
        <w:tc>
          <w:tcPr>
            <w:tcW w:w="4394" w:type="dxa"/>
            <w:shd w:val="clear" w:color="auto" w:fill="auto"/>
            <w:vAlign w:val="center"/>
          </w:tcPr>
          <w:p w14:paraId="586E1D59">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投标文件中承诺的投标有效期满足招标文件中载明的投标有效期的；</w:t>
            </w:r>
          </w:p>
        </w:tc>
        <w:tc>
          <w:tcPr>
            <w:tcW w:w="1919" w:type="dxa"/>
            <w:shd w:val="clear" w:color="000000" w:fill="FFFFFF"/>
            <w:vAlign w:val="center"/>
          </w:tcPr>
          <w:p w14:paraId="3518AAED">
            <w:pPr>
              <w:widowControl/>
              <w:jc w:val="center"/>
              <w:rPr>
                <w:rFonts w:hint="eastAsia" w:ascii="宋体" w:hAnsi="宋体" w:eastAsia="宋体" w:cs="宋体"/>
                <w:color w:val="000000"/>
                <w:kern w:val="0"/>
                <w:sz w:val="24"/>
              </w:rPr>
            </w:pPr>
            <w:r>
              <w:rPr>
                <w:rFonts w:hint="eastAsia" w:ascii="宋体" w:hAnsi="宋体" w:eastAsia="宋体" w:cs="宋体"/>
                <w:b/>
                <w:color w:val="000000"/>
                <w:kern w:val="0"/>
                <w:sz w:val="24"/>
              </w:rPr>
              <w:t>否</w:t>
            </w:r>
          </w:p>
        </w:tc>
      </w:tr>
      <w:tr w14:paraId="7894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auto" w:fill="auto"/>
            <w:vAlign w:val="center"/>
          </w:tcPr>
          <w:p w14:paraId="2B71985C">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6</w:t>
            </w:r>
          </w:p>
        </w:tc>
        <w:tc>
          <w:tcPr>
            <w:tcW w:w="1761" w:type="dxa"/>
            <w:shd w:val="clear" w:color="auto" w:fill="auto"/>
            <w:vAlign w:val="center"/>
          </w:tcPr>
          <w:p w14:paraId="3C30AD11">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签署、盖章</w:t>
            </w:r>
          </w:p>
        </w:tc>
        <w:tc>
          <w:tcPr>
            <w:tcW w:w="4394" w:type="dxa"/>
            <w:shd w:val="clear" w:color="auto" w:fill="auto"/>
            <w:vAlign w:val="center"/>
          </w:tcPr>
          <w:p w14:paraId="332FF2D6">
            <w:pPr>
              <w:widowControl/>
              <w:jc w:val="left"/>
              <w:rPr>
                <w:rFonts w:hint="eastAsia" w:ascii="宋体" w:hAnsi="宋体" w:eastAsia="宋体" w:cs="宋体"/>
                <w:color w:val="000000"/>
                <w:kern w:val="0"/>
                <w:sz w:val="24"/>
              </w:rPr>
            </w:pPr>
            <w:bookmarkStart w:id="659" w:name="OLE_LINK29"/>
            <w:bookmarkStart w:id="660" w:name="OLE_LINK28"/>
            <w:r>
              <w:rPr>
                <w:rFonts w:hint="eastAsia" w:ascii="宋体" w:hAnsi="宋体" w:eastAsia="宋体" w:cs="宋体"/>
                <w:color w:val="000000"/>
                <w:kern w:val="0"/>
                <w:sz w:val="24"/>
              </w:rPr>
              <w:t>按照招标文件要求签署、盖章的；</w:t>
            </w:r>
            <w:bookmarkEnd w:id="659"/>
            <w:bookmarkEnd w:id="660"/>
          </w:p>
        </w:tc>
        <w:tc>
          <w:tcPr>
            <w:tcW w:w="1919" w:type="dxa"/>
            <w:shd w:val="clear" w:color="000000" w:fill="FFFFFF"/>
            <w:vAlign w:val="center"/>
          </w:tcPr>
          <w:p w14:paraId="6EA8CEE0">
            <w:pPr>
              <w:widowControl/>
              <w:jc w:val="center"/>
              <w:rPr>
                <w:rFonts w:hint="eastAsia" w:ascii="宋体" w:hAnsi="宋体" w:eastAsia="宋体" w:cs="宋体"/>
                <w:color w:val="000000"/>
                <w:kern w:val="0"/>
                <w:sz w:val="24"/>
              </w:rPr>
            </w:pPr>
            <w:r>
              <w:rPr>
                <w:rFonts w:hint="eastAsia" w:ascii="宋体" w:hAnsi="宋体" w:eastAsia="宋体" w:cs="宋体"/>
                <w:b/>
                <w:color w:val="000000"/>
                <w:kern w:val="0"/>
                <w:sz w:val="24"/>
              </w:rPr>
              <w:t>否</w:t>
            </w:r>
          </w:p>
        </w:tc>
      </w:tr>
      <w:tr w14:paraId="50BC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vAlign w:val="center"/>
          </w:tcPr>
          <w:p w14:paraId="12F86346">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7</w:t>
            </w:r>
          </w:p>
        </w:tc>
        <w:tc>
          <w:tcPr>
            <w:tcW w:w="1761" w:type="dxa"/>
            <w:vAlign w:val="center"/>
          </w:tcPr>
          <w:p w14:paraId="005BA1C5">
            <w:pPr>
              <w:widowControl/>
              <w:jc w:val="left"/>
              <w:rPr>
                <w:rFonts w:hint="eastAsia" w:ascii="宋体" w:hAnsi="宋体" w:eastAsia="宋体" w:cs="宋体"/>
                <w:color w:val="000000"/>
                <w:kern w:val="0"/>
                <w:sz w:val="24"/>
              </w:rPr>
            </w:pPr>
            <w:bookmarkStart w:id="661" w:name="OLE_LINK31"/>
            <w:bookmarkStart w:id="662" w:name="OLE_LINK30"/>
            <w:r>
              <w:rPr>
                <w:rFonts w:hint="eastAsia" w:ascii="宋体" w:hAnsi="宋体" w:eastAsia="宋体" w:cs="宋体"/>
                <w:color w:val="000000"/>
                <w:kern w:val="0"/>
                <w:sz w:val="24"/>
              </w:rPr>
              <w:t>实质性格式</w:t>
            </w:r>
            <w:bookmarkEnd w:id="661"/>
            <w:bookmarkEnd w:id="662"/>
          </w:p>
        </w:tc>
        <w:tc>
          <w:tcPr>
            <w:tcW w:w="4394" w:type="dxa"/>
            <w:vAlign w:val="center"/>
          </w:tcPr>
          <w:p w14:paraId="5B3CD841">
            <w:pPr>
              <w:widowControl/>
              <w:jc w:val="left"/>
              <w:rPr>
                <w:rFonts w:hint="eastAsia" w:ascii="宋体" w:hAnsi="宋体" w:eastAsia="宋体" w:cs="宋体"/>
                <w:color w:val="000000"/>
                <w:kern w:val="0"/>
                <w:sz w:val="24"/>
              </w:rPr>
            </w:pPr>
            <w:r>
              <w:rPr>
                <w:rFonts w:hint="eastAsia" w:ascii="宋体" w:hAnsi="宋体" w:eastAsia="宋体" w:cs="宋体"/>
                <w:kern w:val="0"/>
                <w:sz w:val="24"/>
              </w:rPr>
              <w:t>标记为“实质性格式”的文件均按招标文件要求提供；</w:t>
            </w:r>
          </w:p>
        </w:tc>
        <w:tc>
          <w:tcPr>
            <w:tcW w:w="1919" w:type="dxa"/>
          </w:tcPr>
          <w:p w14:paraId="57447E25">
            <w:pPr>
              <w:widowControl/>
              <w:jc w:val="center"/>
              <w:rPr>
                <w:rFonts w:hint="eastAsia" w:ascii="宋体" w:hAnsi="宋体" w:eastAsia="宋体" w:cs="宋体"/>
                <w:color w:val="000000"/>
                <w:kern w:val="0"/>
                <w:sz w:val="24"/>
              </w:rPr>
            </w:pPr>
            <w:r>
              <w:rPr>
                <w:rFonts w:hint="eastAsia" w:ascii="宋体" w:hAnsi="宋体" w:eastAsia="宋体" w:cs="宋体"/>
                <w:b/>
                <w:color w:val="000000"/>
                <w:kern w:val="0"/>
                <w:sz w:val="24"/>
              </w:rPr>
              <w:t>否</w:t>
            </w:r>
          </w:p>
        </w:tc>
      </w:tr>
      <w:tr w14:paraId="40CA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vAlign w:val="center"/>
          </w:tcPr>
          <w:p w14:paraId="366893FF">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8</w:t>
            </w:r>
          </w:p>
        </w:tc>
        <w:tc>
          <w:tcPr>
            <w:tcW w:w="1761" w:type="dxa"/>
            <w:vAlign w:val="center"/>
          </w:tcPr>
          <w:p w14:paraId="68B1A13E">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其他无效情形</w:t>
            </w:r>
          </w:p>
        </w:tc>
        <w:tc>
          <w:tcPr>
            <w:tcW w:w="4394" w:type="dxa"/>
            <w:vAlign w:val="center"/>
          </w:tcPr>
          <w:p w14:paraId="0AC2E7A5">
            <w:pPr>
              <w:widowControl/>
              <w:jc w:val="left"/>
              <w:rPr>
                <w:rFonts w:hint="eastAsia" w:ascii="宋体" w:hAnsi="宋体" w:eastAsia="宋体" w:cs="宋体"/>
                <w:color w:val="000000"/>
                <w:kern w:val="0"/>
                <w:sz w:val="24"/>
              </w:rPr>
            </w:pPr>
            <w:bookmarkStart w:id="663" w:name="OLE_LINK32"/>
            <w:r>
              <w:rPr>
                <w:rFonts w:hint="eastAsia" w:ascii="宋体" w:hAnsi="宋体" w:eastAsia="宋体" w:cs="宋体"/>
                <w:color w:val="000000"/>
                <w:sz w:val="24"/>
              </w:rPr>
              <w:t>投标人、投标文件不存在不符合法律、法规和招标文件规定的其他无效情形。</w:t>
            </w:r>
            <w:bookmarkEnd w:id="663"/>
          </w:p>
        </w:tc>
        <w:tc>
          <w:tcPr>
            <w:tcW w:w="1919" w:type="dxa"/>
          </w:tcPr>
          <w:p w14:paraId="09CEE334">
            <w:pPr>
              <w:widowControl/>
              <w:jc w:val="center"/>
              <w:rPr>
                <w:rFonts w:hint="eastAsia" w:ascii="宋体" w:hAnsi="宋体" w:eastAsia="宋体" w:cs="宋体"/>
                <w:color w:val="000000"/>
                <w:kern w:val="0"/>
                <w:sz w:val="24"/>
              </w:rPr>
            </w:pPr>
            <w:r>
              <w:rPr>
                <w:rFonts w:hint="eastAsia" w:ascii="宋体" w:hAnsi="宋体" w:eastAsia="宋体" w:cs="宋体"/>
                <w:b/>
                <w:color w:val="000000"/>
                <w:kern w:val="0"/>
                <w:sz w:val="24"/>
              </w:rPr>
              <w:t>否</w:t>
            </w:r>
          </w:p>
        </w:tc>
      </w:tr>
      <w:tr w14:paraId="7869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vAlign w:val="center"/>
          </w:tcPr>
          <w:p w14:paraId="447D43C5">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9</w:t>
            </w:r>
          </w:p>
        </w:tc>
        <w:tc>
          <w:tcPr>
            <w:tcW w:w="1761" w:type="dxa"/>
            <w:vAlign w:val="center"/>
          </w:tcPr>
          <w:p w14:paraId="4F49E76C">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施工组织设计</w:t>
            </w:r>
          </w:p>
        </w:tc>
        <w:tc>
          <w:tcPr>
            <w:tcW w:w="4394" w:type="dxa"/>
            <w:vAlign w:val="center"/>
          </w:tcPr>
          <w:p w14:paraId="17664DDC">
            <w:pPr>
              <w:widowControl/>
              <w:jc w:val="left"/>
              <w:rPr>
                <w:rFonts w:hint="eastAsia" w:ascii="宋体" w:hAnsi="宋体" w:eastAsia="宋体" w:cs="宋体"/>
                <w:color w:val="000000"/>
                <w:sz w:val="24"/>
                <w:lang w:eastAsia="zh-CN"/>
              </w:rPr>
            </w:pPr>
            <w:r>
              <w:rPr>
                <w:rFonts w:hint="eastAsia" w:ascii="宋体" w:hAnsi="宋体" w:eastAsia="宋体" w:cs="宋体"/>
                <w:color w:val="000000"/>
                <w:sz w:val="24"/>
                <w:lang w:eastAsia="zh-CN"/>
              </w:rPr>
              <w:t>投标人应当针对项目特征自行编制施工组织设计，国家及地方现有工法规范已有的内容无需重复提交，施工组织设计的总篇幅不得超过150页(其中包含文件封面、目录、正文、封底等全部内容)，超过150页采用否决性惩戒。</w:t>
            </w:r>
          </w:p>
        </w:tc>
        <w:tc>
          <w:tcPr>
            <w:tcW w:w="1919" w:type="dxa"/>
            <w:vAlign w:val="center"/>
          </w:tcPr>
          <w:p w14:paraId="1023CDBC">
            <w:pPr>
              <w:widowControl/>
              <w:jc w:val="center"/>
              <w:rPr>
                <w:rFonts w:hint="eastAsia" w:ascii="宋体" w:hAnsi="宋体" w:eastAsia="宋体" w:cs="宋体"/>
                <w:color w:val="000000" w:themeColor="text1"/>
                <w:spacing w:val="1"/>
                <w:sz w:val="24"/>
                <w14:textFill>
                  <w14:solidFill>
                    <w14:schemeClr w14:val="tx1"/>
                  </w14:solidFill>
                </w14:textFill>
              </w:rPr>
            </w:pPr>
            <w:r>
              <w:rPr>
                <w:rFonts w:hint="eastAsia" w:ascii="宋体" w:hAnsi="宋体" w:eastAsia="宋体" w:cs="宋体"/>
                <w:b/>
                <w:color w:val="000000"/>
                <w:kern w:val="0"/>
                <w:sz w:val="24"/>
              </w:rPr>
              <w:t>否</w:t>
            </w:r>
          </w:p>
        </w:tc>
      </w:tr>
    </w:tbl>
    <w:p w14:paraId="61F5DEC0">
      <w:pPr>
        <w:tabs>
          <w:tab w:val="left" w:pos="900"/>
          <w:tab w:val="left" w:pos="1080"/>
          <w:tab w:val="left" w:pos="1589"/>
        </w:tabs>
        <w:snapToGrid w:val="0"/>
        <w:spacing w:line="360" w:lineRule="auto"/>
        <w:rPr>
          <w:rFonts w:hint="eastAsia" w:ascii="宋体" w:hAnsi="宋体" w:eastAsia="宋体" w:cs="宋体"/>
          <w:sz w:val="24"/>
        </w:rPr>
      </w:pPr>
    </w:p>
    <w:p w14:paraId="4DB56277">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磋商、响应文件有关事项的澄清、说明或者更正和最后报价</w:t>
      </w:r>
    </w:p>
    <w:p w14:paraId="52E89EBD">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磋商小组所有成员将集中与单一供应商分别进行磋商，并给予所有参加磋商的供应商平等的磋商机会。</w:t>
      </w:r>
    </w:p>
    <w:p w14:paraId="0923FB33">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D3891C9">
      <w:pPr>
        <w:numPr>
          <w:ilvl w:val="1"/>
          <w:numId w:val="11"/>
        </w:numPr>
        <w:tabs>
          <w:tab w:val="left" w:pos="1080"/>
          <w:tab w:val="left" w:pos="1872"/>
        </w:tabs>
        <w:snapToGrid w:val="0"/>
        <w:spacing w:line="360" w:lineRule="auto"/>
        <w:ind w:left="1077" w:hanging="720"/>
        <w:rPr>
          <w:rFonts w:hint="eastAsia" w:ascii="宋体" w:hAnsi="宋体" w:eastAsia="宋体" w:cs="宋体"/>
          <w:kern w:val="0"/>
          <w:sz w:val="24"/>
        </w:rPr>
      </w:pPr>
      <w:r>
        <w:rPr>
          <w:rFonts w:hint="eastAsia" w:ascii="宋体" w:hAnsi="宋体" w:eastAsia="宋体" w:cs="宋体"/>
          <w:kern w:val="0"/>
          <w:sz w:val="24"/>
        </w:rPr>
        <w:t>对磋商文件作出的实质性变动是磋商文件的有效组成部分，磋商小组应当及时以书面形式同时通知所有参加磋商的供应商。</w:t>
      </w:r>
    </w:p>
    <w:p w14:paraId="0A3F82DB">
      <w:pPr>
        <w:numPr>
          <w:ilvl w:val="1"/>
          <w:numId w:val="11"/>
        </w:numPr>
        <w:tabs>
          <w:tab w:val="left" w:pos="1080"/>
          <w:tab w:val="left" w:pos="1872"/>
        </w:tabs>
        <w:snapToGrid w:val="0"/>
        <w:spacing w:line="360" w:lineRule="auto"/>
        <w:ind w:left="1077" w:hanging="720"/>
        <w:rPr>
          <w:rFonts w:hint="eastAsia" w:ascii="宋体" w:hAnsi="宋体" w:eastAsia="宋体" w:cs="宋体"/>
          <w:kern w:val="0"/>
          <w:sz w:val="24"/>
        </w:rPr>
      </w:pPr>
      <w:r>
        <w:rPr>
          <w:rFonts w:hint="eastAsia" w:ascii="宋体" w:hAnsi="宋体" w:eastAsia="宋体" w:cs="宋体"/>
          <w:kern w:val="0"/>
          <w:sz w:val="24"/>
        </w:rPr>
        <w:t>供应商应当按照磋商文件的变动情况和磋商小组的要求重新提交响应文件，并由其法定代表人（</w:t>
      </w:r>
      <w:r>
        <w:rPr>
          <w:rFonts w:hint="eastAsia" w:ascii="宋体" w:hAnsi="宋体" w:eastAsia="宋体" w:cs="宋体"/>
          <w:color w:val="000000"/>
          <w:sz w:val="24"/>
          <w:szCs w:val="20"/>
        </w:rPr>
        <w:t>若供应商为事业单位或其他组织或分支机构，可为单位负责人</w:t>
      </w:r>
      <w:r>
        <w:rPr>
          <w:rFonts w:hint="eastAsia" w:ascii="宋体" w:hAnsi="宋体" w:eastAsia="宋体" w:cs="宋体"/>
          <w:kern w:val="0"/>
          <w:sz w:val="24"/>
        </w:rPr>
        <w:t>）或授权代表签字或者加盖公章。由授权代表签字的，应当附授权委托书。供应商为自然人的，应当由本人签字并附身份证明。</w:t>
      </w:r>
    </w:p>
    <w:p w14:paraId="1FA090C5">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响应文件的澄清、说明或者更正：</w:t>
      </w:r>
    </w:p>
    <w:p w14:paraId="1C574666">
      <w:pPr>
        <w:numPr>
          <w:ilvl w:val="2"/>
          <w:numId w:val="11"/>
        </w:numPr>
        <w:snapToGrid w:val="0"/>
        <w:spacing w:line="360" w:lineRule="auto"/>
        <w:rPr>
          <w:rFonts w:hint="eastAsia" w:ascii="宋体" w:hAnsi="宋体" w:eastAsia="宋体" w:cs="宋体"/>
          <w:sz w:val="24"/>
        </w:rPr>
      </w:pPr>
      <w:r>
        <w:rPr>
          <w:rFonts w:hint="eastAsia" w:ascii="宋体" w:hAnsi="宋体" w:eastAsia="宋体" w:cs="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56B73A0">
      <w:pPr>
        <w:numPr>
          <w:ilvl w:val="2"/>
          <w:numId w:val="11"/>
        </w:numPr>
        <w:snapToGrid w:val="0"/>
        <w:spacing w:line="360" w:lineRule="auto"/>
        <w:rPr>
          <w:rFonts w:hint="eastAsia" w:ascii="宋体" w:hAnsi="宋体" w:eastAsia="宋体" w:cs="宋体"/>
          <w:sz w:val="24"/>
        </w:rPr>
      </w:pPr>
      <w:r>
        <w:rPr>
          <w:rFonts w:hint="eastAsia" w:ascii="宋体" w:hAnsi="宋体" w:eastAsia="宋体" w:cs="宋体"/>
          <w:sz w:val="24"/>
        </w:rPr>
        <w:t>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rPr>
        <w:t>无效处理</w:t>
      </w:r>
      <w:r>
        <w:rPr>
          <w:rFonts w:hint="eastAsia" w:ascii="宋体" w:hAnsi="宋体" w:eastAsia="宋体" w:cs="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rPr>
        <w:t>无效处理</w:t>
      </w:r>
      <w:r>
        <w:rPr>
          <w:rFonts w:hint="eastAsia" w:ascii="宋体" w:hAnsi="宋体" w:eastAsia="宋体" w:cs="宋体"/>
          <w:sz w:val="24"/>
        </w:rPr>
        <w:t>。</w:t>
      </w:r>
    </w:p>
    <w:p w14:paraId="7449ADF4">
      <w:pPr>
        <w:numPr>
          <w:ilvl w:val="2"/>
          <w:numId w:val="11"/>
        </w:numPr>
        <w:snapToGrid w:val="0"/>
        <w:spacing w:line="360" w:lineRule="auto"/>
        <w:rPr>
          <w:rFonts w:hint="eastAsia" w:ascii="宋体" w:hAnsi="宋体" w:eastAsia="宋体" w:cs="宋体"/>
          <w:sz w:val="24"/>
        </w:rPr>
      </w:pPr>
      <w:r>
        <w:rPr>
          <w:rFonts w:hint="eastAsia" w:ascii="宋体" w:hAnsi="宋体" w:eastAsia="宋体" w:cs="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宋体" w:hAnsi="宋体" w:eastAsia="宋体" w:cs="宋体"/>
          <w:kern w:val="0"/>
          <w:sz w:val="24"/>
        </w:rPr>
        <w:t>（</w:t>
      </w:r>
      <w:r>
        <w:rPr>
          <w:rFonts w:hint="eastAsia" w:ascii="宋体" w:hAnsi="宋体" w:eastAsia="宋体" w:cs="宋体"/>
          <w:color w:val="000000"/>
          <w:sz w:val="24"/>
          <w:szCs w:val="20"/>
        </w:rPr>
        <w:t>若供应商为事业单位或其他组织或分支机构，可为单位负责人</w:t>
      </w:r>
      <w:r>
        <w:rPr>
          <w:rFonts w:hint="eastAsia" w:ascii="宋体" w:hAnsi="宋体" w:eastAsia="宋体" w:cs="宋体"/>
          <w:kern w:val="0"/>
          <w:sz w:val="24"/>
        </w:rPr>
        <w:t>）</w:t>
      </w:r>
      <w:r>
        <w:rPr>
          <w:rFonts w:hint="eastAsia" w:ascii="宋体" w:hAnsi="宋体" w:eastAsia="宋体" w:cs="宋体"/>
          <w:sz w:val="24"/>
        </w:rPr>
        <w:t>或其授权代表签字或者加盖公章。由授权代表签字的，应当附授权委托书。供应商为自然人的，应当由本人签字并附身份证明。澄清、说明或者更正文件将作为响应文件内容的一部分。</w:t>
      </w:r>
    </w:p>
    <w:p w14:paraId="2E4918A4">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磋商结束后，磋商小组将要求所有实质性响应的供应商在规定时间内提交最后报价。最后报价时间为磋商小组指定的时间，具体时间根据磋商进度另行通知。</w:t>
      </w:r>
    </w:p>
    <w:p w14:paraId="78616AD4">
      <w:pPr>
        <w:numPr>
          <w:ilvl w:val="1"/>
          <w:numId w:val="11"/>
        </w:numPr>
        <w:tabs>
          <w:tab w:val="left" w:pos="1080"/>
          <w:tab w:val="left" w:pos="1872"/>
        </w:tabs>
        <w:snapToGrid w:val="0"/>
        <w:spacing w:line="360" w:lineRule="auto"/>
        <w:ind w:left="1077" w:hanging="720"/>
        <w:rPr>
          <w:rFonts w:hint="eastAsia" w:ascii="宋体" w:hAnsi="宋体" w:eastAsia="宋体" w:cs="宋体"/>
          <w:snapToGrid w:val="0"/>
          <w:sz w:val="24"/>
        </w:rPr>
      </w:pPr>
      <w:bookmarkStart w:id="664" w:name="_Hlk220085436"/>
      <w:r>
        <w:rPr>
          <w:rFonts w:hint="eastAsia" w:ascii="宋体" w:hAnsi="宋体" w:eastAsia="宋体" w:cs="宋体"/>
          <w:snapToGrid w:val="0"/>
          <w:sz w:val="24"/>
        </w:rPr>
        <w:t>异常低价处理</w:t>
      </w:r>
    </w:p>
    <w:p w14:paraId="72594E20">
      <w:pPr>
        <w:numPr>
          <w:ilvl w:val="2"/>
          <w:numId w:val="11"/>
        </w:numPr>
        <w:snapToGrid w:val="0"/>
        <w:spacing w:line="360" w:lineRule="auto"/>
        <w:rPr>
          <w:rFonts w:hint="eastAsia" w:ascii="宋体" w:hAnsi="宋体" w:eastAsia="宋体" w:cs="宋体"/>
          <w:sz w:val="24"/>
        </w:rPr>
      </w:pPr>
      <w:r>
        <w:rPr>
          <w:rFonts w:hint="eastAsia" w:ascii="宋体" w:hAnsi="宋体" w:eastAsia="宋体" w:cs="宋体"/>
          <w:sz w:val="24"/>
        </w:rPr>
        <w:t>政府采购评审中出现下列情形之一的，评审委员会应当启动异常低价投标（响应）审查程序：</w:t>
      </w:r>
    </w:p>
    <w:p w14:paraId="3A4AF341">
      <w:pPr>
        <w:snapToGrid w:val="0"/>
        <w:spacing w:line="360" w:lineRule="auto"/>
        <w:ind w:left="1980"/>
        <w:rPr>
          <w:rFonts w:hint="eastAsia" w:ascii="宋体" w:hAnsi="宋体" w:eastAsia="宋体" w:cs="宋体"/>
          <w:sz w:val="24"/>
        </w:rPr>
      </w:pPr>
      <w:r>
        <w:rPr>
          <w:rFonts w:hint="eastAsia" w:ascii="宋体" w:hAnsi="宋体" w:eastAsia="宋体" w:cs="宋体"/>
          <w:sz w:val="24"/>
        </w:rPr>
        <w:t>（1）投标（响应）报价低于全部通过符合性审查供应商投标（响应）报价平均值50%的，即投标（响应）报价&lt;全部通过符合性审查供应商投标（响应）报价平均值×50%；</w:t>
      </w:r>
    </w:p>
    <w:p w14:paraId="5CF86CA5">
      <w:pPr>
        <w:snapToGrid w:val="0"/>
        <w:spacing w:line="360" w:lineRule="auto"/>
        <w:ind w:left="1980"/>
        <w:rPr>
          <w:rFonts w:hint="eastAsia" w:ascii="宋体" w:hAnsi="宋体" w:eastAsia="宋体" w:cs="宋体"/>
          <w:sz w:val="24"/>
        </w:rPr>
      </w:pPr>
      <w:r>
        <w:rPr>
          <w:rFonts w:hint="eastAsia" w:ascii="宋体" w:hAnsi="宋体" w:eastAsia="宋体" w:cs="宋体"/>
          <w:sz w:val="24"/>
        </w:rPr>
        <w:t>（2）投标（响应）报价低于通过符合性审查的次低报价供应商投标（响应）报价50%的，即投标（响应）报价&lt;通过符合性审查的次低报价供应商投标（响应）报价×50%；</w:t>
      </w:r>
    </w:p>
    <w:p w14:paraId="451541F0">
      <w:pPr>
        <w:snapToGrid w:val="0"/>
        <w:spacing w:line="360" w:lineRule="auto"/>
        <w:ind w:left="1980"/>
        <w:rPr>
          <w:rFonts w:hint="eastAsia" w:ascii="宋体" w:hAnsi="宋体" w:eastAsia="宋体" w:cs="宋体"/>
          <w:sz w:val="24"/>
        </w:rPr>
      </w:pPr>
      <w:r>
        <w:rPr>
          <w:rFonts w:hint="eastAsia" w:ascii="宋体" w:hAnsi="宋体" w:eastAsia="宋体" w:cs="宋体"/>
          <w:sz w:val="24"/>
        </w:rPr>
        <w:t>（3）投标（响应）报价低于采购项目最高限价45%的，即投标（响应）报价&lt;采购项目最高限价×45%；未设定最高限价的采购项目，以采购项目预算金额作为最高限价；</w:t>
      </w:r>
    </w:p>
    <w:p w14:paraId="3E86399A">
      <w:pPr>
        <w:snapToGrid w:val="0"/>
        <w:spacing w:line="360" w:lineRule="auto"/>
        <w:ind w:left="1980"/>
        <w:rPr>
          <w:rFonts w:hint="eastAsia" w:ascii="宋体" w:hAnsi="宋体" w:eastAsia="宋体" w:cs="宋体"/>
          <w:sz w:val="24"/>
        </w:rPr>
      </w:pPr>
      <w:r>
        <w:rPr>
          <w:rFonts w:hint="eastAsia" w:ascii="宋体" w:hAnsi="宋体" w:eastAsia="宋体" w:cs="宋体"/>
          <w:sz w:val="24"/>
        </w:rPr>
        <w:t>（4）评审委员会基于专业判断，认为供应商报价过低，有可能影响产品质量或者不能诚信履约的其他情形。</w:t>
      </w:r>
    </w:p>
    <w:p w14:paraId="1B117084">
      <w:pPr>
        <w:numPr>
          <w:ilvl w:val="2"/>
          <w:numId w:val="11"/>
        </w:numPr>
        <w:snapToGrid w:val="0"/>
        <w:spacing w:line="360" w:lineRule="auto"/>
        <w:rPr>
          <w:rFonts w:hint="eastAsia" w:ascii="宋体" w:hAnsi="宋体" w:eastAsia="宋体" w:cs="宋体"/>
          <w:sz w:val="24"/>
        </w:rPr>
      </w:pPr>
      <w:r>
        <w:rPr>
          <w:rFonts w:hint="eastAsia" w:ascii="宋体" w:hAnsi="宋体" w:eastAsia="宋体" w:cs="宋体"/>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F3C2E05">
      <w:pPr>
        <w:numPr>
          <w:ilvl w:val="2"/>
          <w:numId w:val="11"/>
        </w:numPr>
        <w:snapToGrid w:val="0"/>
        <w:spacing w:line="360" w:lineRule="auto"/>
        <w:rPr>
          <w:rFonts w:hint="eastAsia" w:ascii="宋体" w:hAnsi="宋体" w:eastAsia="宋体" w:cs="宋体"/>
          <w:sz w:val="24"/>
        </w:rPr>
      </w:pPr>
      <w:r>
        <w:rPr>
          <w:rFonts w:hint="eastAsia" w:ascii="宋体" w:hAnsi="宋体" w:eastAsia="宋体" w:cs="宋体"/>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7CDBE57">
      <w:pPr>
        <w:numPr>
          <w:ilvl w:val="2"/>
          <w:numId w:val="11"/>
        </w:numPr>
        <w:snapToGrid w:val="0"/>
        <w:spacing w:line="360" w:lineRule="auto"/>
        <w:rPr>
          <w:rFonts w:hint="eastAsia" w:ascii="宋体" w:hAnsi="宋体" w:eastAsia="宋体" w:cs="宋体"/>
          <w:sz w:val="24"/>
        </w:rPr>
      </w:pPr>
      <w:bookmarkStart w:id="665" w:name="_Hlk190337965"/>
      <w:r>
        <w:rPr>
          <w:rFonts w:hint="eastAsia" w:ascii="宋体" w:hAnsi="宋体" w:eastAsia="宋体" w:cs="宋体"/>
          <w:sz w:val="24"/>
        </w:rPr>
        <w:t>上述投标（响应）报价指按照本章3.2修正后的报价</w:t>
      </w:r>
      <w:bookmarkEnd w:id="665"/>
      <w:r>
        <w:rPr>
          <w:rFonts w:hint="eastAsia" w:ascii="宋体" w:hAnsi="宋体" w:eastAsia="宋体" w:cs="宋体"/>
          <w:sz w:val="24"/>
        </w:rPr>
        <w:t>。</w:t>
      </w:r>
      <w:bookmarkEnd w:id="664"/>
    </w:p>
    <w:p w14:paraId="3A5778E8">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F858AF0">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最后报价是供应商响应文件的有效组成部分。</w:t>
      </w:r>
    </w:p>
    <w:p w14:paraId="7BCDC0C2">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已提交响应文件的供应商，在提交最后报价之前，可以根据磋商情况退出磋商。</w:t>
      </w:r>
    </w:p>
    <w:p w14:paraId="40F59756">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最后报价的算术修正及政策调整</w:t>
      </w:r>
    </w:p>
    <w:p w14:paraId="26D91D1D">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hint="eastAsia" w:ascii="宋体" w:hAnsi="宋体" w:eastAsia="宋体" w:cs="宋体"/>
          <w:b/>
          <w:sz w:val="24"/>
        </w:rPr>
        <w:t>响应无效</w:t>
      </w:r>
      <w:r>
        <w:rPr>
          <w:rFonts w:hint="eastAsia" w:ascii="宋体" w:hAnsi="宋体" w:eastAsia="宋体" w:cs="宋体"/>
          <w:sz w:val="24"/>
        </w:rPr>
        <w:t>。</w:t>
      </w:r>
    </w:p>
    <w:p w14:paraId="38C39355">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最后报价出现前后不一致的，按照下列规定修正：</w:t>
      </w:r>
    </w:p>
    <w:p w14:paraId="0788B297">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竞争性磋商文件对于报价修正是否另有规定：</w:t>
      </w:r>
    </w:p>
    <w:p w14:paraId="45D8A0C2">
      <w:pPr>
        <w:tabs>
          <w:tab w:val="left" w:pos="1080"/>
          <w:tab w:val="left" w:pos="1589"/>
          <w:tab w:val="left" w:pos="2035"/>
          <w:tab w:val="left" w:pos="2114"/>
        </w:tabs>
        <w:snapToGrid w:val="0"/>
        <w:spacing w:line="360" w:lineRule="auto"/>
        <w:ind w:left="2035"/>
        <w:rPr>
          <w:rFonts w:hint="eastAsia" w:ascii="宋体" w:hAnsi="宋体" w:eastAsia="宋体" w:cs="宋体"/>
          <w:sz w:val="24"/>
          <w:u w:val="single"/>
        </w:rPr>
      </w:pPr>
      <w:r>
        <w:rPr>
          <w:rFonts w:hint="eastAsia" w:ascii="宋体" w:hAnsi="宋体" w:eastAsia="宋体" w:cs="宋体"/>
          <w:sz w:val="24"/>
        </w:rPr>
        <w:t>□有，具体规定为：___________</w:t>
      </w:r>
    </w:p>
    <w:p w14:paraId="58BE7DEB">
      <w:p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■无，按下述3.2.2-3.2.5项规定修正。</w:t>
      </w:r>
    </w:p>
    <w:p w14:paraId="44516221">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大写金额和小写金额不一致的，以大写金额为准；</w:t>
      </w:r>
    </w:p>
    <w:p w14:paraId="7596CBA2">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单价金额小数点或者百分比有明显错位的，以总价为准，并修改单价；</w:t>
      </w:r>
    </w:p>
    <w:p w14:paraId="69178548">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总价金额与按单价汇总金额不一致的，以单价金额计算结果为准。</w:t>
      </w:r>
    </w:p>
    <w:p w14:paraId="06560DF6">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同时出现两种以上不一致的，按照前款规定的顺序修正。</w:t>
      </w:r>
    </w:p>
    <w:p w14:paraId="0DD38F57">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修正后的报价经供应商书面确认后产生约束力，供应商不确认的，</w:t>
      </w:r>
      <w:r>
        <w:rPr>
          <w:rFonts w:hint="eastAsia" w:ascii="宋体" w:hAnsi="宋体" w:eastAsia="宋体" w:cs="宋体"/>
          <w:b/>
          <w:sz w:val="24"/>
        </w:rPr>
        <w:t>其响应无效</w:t>
      </w:r>
      <w:r>
        <w:rPr>
          <w:rFonts w:hint="eastAsia" w:ascii="宋体" w:hAnsi="宋体" w:eastAsia="宋体" w:cs="宋体"/>
          <w:sz w:val="24"/>
        </w:rPr>
        <w:t>。</w:t>
      </w:r>
    </w:p>
    <w:p w14:paraId="3675D9D8">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落实政府采购政策的价格调整：只有符合第二章《供应商须知》4.3条规定情形的，可以享受中小企业扶持政策，用扣除后的价格参加评审；否则，评审时价格不予扣除。</w:t>
      </w:r>
    </w:p>
    <w:p w14:paraId="3BEA1C1C">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对于未预留份额专门面向中小企业采购的采购项目，以及预留份额项目中的非预留部分采购包，对小微企业报价给予</w:t>
      </w:r>
      <w:r>
        <w:rPr>
          <w:rFonts w:hint="eastAsia" w:ascii="宋体" w:hAnsi="宋体" w:eastAsia="宋体" w:cs="宋体"/>
          <w:sz w:val="24"/>
          <w:u w:val="single"/>
        </w:rPr>
        <w:t>10</w:t>
      </w:r>
      <w:r>
        <w:rPr>
          <w:rFonts w:hint="eastAsia" w:ascii="宋体" w:hAnsi="宋体" w:eastAsia="宋体" w:cs="宋体"/>
          <w:sz w:val="24"/>
        </w:rPr>
        <w:t>%的扣除，用扣除后的价格参加评审。</w:t>
      </w:r>
    </w:p>
    <w:p w14:paraId="4F0CAE39">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sz w:val="24"/>
          <w:u w:val="single"/>
          <w:lang w:val="en-US" w:eastAsia="zh-CN"/>
        </w:rPr>
        <w:t xml:space="preserve"> / </w:t>
      </w:r>
      <w:r>
        <w:rPr>
          <w:rFonts w:hint="eastAsia" w:ascii="宋体" w:hAnsi="宋体" w:eastAsia="宋体" w:cs="宋体"/>
          <w:sz w:val="24"/>
        </w:rPr>
        <w:t>%的扣除，用扣除后的价格参加评审。</w:t>
      </w:r>
    </w:p>
    <w:p w14:paraId="52DC32C1">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组成联合体或者接受分包的小微企业与联合体内其他企业、分包企业之间存在直接控股、管理关系的，不享受价格扣除优惠政策。</w:t>
      </w:r>
    </w:p>
    <w:p w14:paraId="21C1F686">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价格扣除比例对小型企业和微型企业同等对待，不作区分。</w:t>
      </w:r>
    </w:p>
    <w:p w14:paraId="67EC3E90">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5C38C770">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监狱企业提供了由省级以上监狱管理局、戒毒管理局（含新疆生产建设兵团）出具的属于监狱企业的证明文件的，视同小微企业。</w:t>
      </w:r>
    </w:p>
    <w:p w14:paraId="3E08DAAF">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残疾人福利性单位按竞争性磋商文件要求提供了《残疾人福利性单位声明函》的，视同小微企业。</w:t>
      </w:r>
    </w:p>
    <w:p w14:paraId="429898E9">
      <w:pPr>
        <w:numPr>
          <w:ilvl w:val="2"/>
          <w:numId w:val="11"/>
        </w:numPr>
        <w:tabs>
          <w:tab w:val="left" w:pos="1080"/>
          <w:tab w:val="left" w:pos="1589"/>
          <w:tab w:val="left" w:pos="2014"/>
        </w:tabs>
        <w:snapToGrid w:val="0"/>
        <w:spacing w:line="360" w:lineRule="auto"/>
        <w:ind w:left="2035"/>
        <w:rPr>
          <w:rFonts w:hint="eastAsia" w:ascii="宋体" w:hAnsi="宋体" w:eastAsia="宋体" w:cs="宋体"/>
          <w:sz w:val="24"/>
        </w:rPr>
      </w:pPr>
      <w:r>
        <w:rPr>
          <w:rFonts w:hint="eastAsia" w:ascii="宋体" w:hAnsi="宋体" w:eastAsia="宋体" w:cs="宋体"/>
          <w:sz w:val="24"/>
        </w:rPr>
        <w:t>若供应商同时属于小型或微型企业、监狱企业、残疾人福利性单位中的两种及以上，将不重复享受小微企业价格扣减的优惠政策。</w:t>
      </w:r>
    </w:p>
    <w:p w14:paraId="0EF9E0F3">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支持本国产品政府采购的价格调整：只有符合第二章《供应商须知》4.2条规定情形的，可以享受本国产品支持政策，用扣除后的价格参加评审；否则，评审时价格不予扣除。</w:t>
      </w:r>
    </w:p>
    <w:p w14:paraId="635515BA">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本项目既有本国产品又有非本国产品参与竞争的，依法对本国产品给予价格评审优惠，对本国产品的报价给予20%的价格扣除，用扣除后的价格参与评审。</w:t>
      </w:r>
    </w:p>
    <w:p w14:paraId="27EB03DD">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4D1F92B">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供应商提供本国产品参加政府采购活动的，应当按照采购文件给定的格式出具《关于符合本国产品标准的声明函》或提供财政部会同有关部门规定的有关证明文件，否则视为非本国产品。</w:t>
      </w:r>
    </w:p>
    <w:p w14:paraId="13E62F12">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磋商环节及提交最后报价后如出现以下情况的，供应商的</w:t>
      </w:r>
      <w:r>
        <w:rPr>
          <w:rFonts w:hint="eastAsia" w:ascii="宋体" w:hAnsi="宋体" w:eastAsia="宋体" w:cs="宋体"/>
          <w:b/>
          <w:sz w:val="24"/>
        </w:rPr>
        <w:t>响应文件无效</w:t>
      </w:r>
      <w:r>
        <w:rPr>
          <w:rFonts w:hint="eastAsia" w:ascii="宋体" w:hAnsi="宋体" w:eastAsia="宋体" w:cs="宋体"/>
          <w:sz w:val="24"/>
        </w:rPr>
        <w:t>：</w:t>
      </w:r>
    </w:p>
    <w:p w14:paraId="52276470">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供应商对实质性变动不予确认的；</w:t>
      </w:r>
    </w:p>
    <w:p w14:paraId="21F35042">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不满足磋商文件★号条款或磋商文件技术指标超出磋商文件《采购需求》中主要技术参数允许偏差的最大范围的（如有）；</w:t>
      </w:r>
    </w:p>
    <w:p w14:paraId="689806A8">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未按照磋商小组规定的时间、逾期提交最后报价的；</w:t>
      </w:r>
    </w:p>
    <w:p w14:paraId="2A937721">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如供应商的最后报价超过竞争性磋商文件中规定的项目/采购包预算金额或者项目/采购包最高限价的；</w:t>
      </w:r>
    </w:p>
    <w:p w14:paraId="04F6512D">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响应文件中出现可选择性或可调整的报价的（竞争性磋商文件另有规定的除外）；</w:t>
      </w:r>
    </w:p>
    <w:p w14:paraId="4FAEA6C1">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最后报价出现前后不一致，供应商对修正后的报价不予确认的；</w:t>
      </w:r>
    </w:p>
    <w:p w14:paraId="4EFDB58A">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其他：</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bookmarkEnd w:id="626"/>
    <w:bookmarkEnd w:id="627"/>
    <w:p w14:paraId="1EAAD542">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评审方法和评审标准</w:t>
      </w:r>
    </w:p>
    <w:p w14:paraId="2D34BB2F">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0BEC0E6">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竞争性磋商文件中没有规定的评审标准不得作为评审依据。</w:t>
      </w:r>
    </w:p>
    <w:p w14:paraId="3E0179FF">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非政府强制采购的节能产品或环境标志产品，依据品目清单和认证证书实施政府优先采购。优先采购的具体规定（如涉及）_/____。</w:t>
      </w:r>
    </w:p>
    <w:p w14:paraId="531F5497">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确定</w:t>
      </w:r>
      <w:bookmarkStart w:id="666" w:name="_Toc226965736"/>
      <w:bookmarkStart w:id="667" w:name="_Toc127161460"/>
      <w:bookmarkStart w:id="668" w:name="_Toc151193644"/>
      <w:bookmarkStart w:id="669" w:name="_Toc195842911"/>
      <w:bookmarkStart w:id="670" w:name="_Toc142311048"/>
      <w:bookmarkStart w:id="671" w:name="_Toc151193860"/>
      <w:bookmarkStart w:id="672" w:name="_Toc164229241"/>
      <w:bookmarkStart w:id="673" w:name="_Toc151193716"/>
      <w:bookmarkStart w:id="674" w:name="_Toc150480784"/>
      <w:bookmarkStart w:id="675" w:name="_Toc305158888"/>
      <w:bookmarkStart w:id="676" w:name="_Toc164608815"/>
      <w:bookmarkStart w:id="677" w:name="_Toc520356170"/>
      <w:bookmarkStart w:id="678" w:name="_Toc150774646"/>
      <w:bookmarkStart w:id="679" w:name="_Toc265228384"/>
      <w:bookmarkStart w:id="680" w:name="_Toc151193934"/>
      <w:bookmarkStart w:id="681" w:name="_Toc305158814"/>
      <w:bookmarkStart w:id="682" w:name="_Ref467307010"/>
      <w:bookmarkStart w:id="683" w:name="_Toc151190173"/>
      <w:bookmarkStart w:id="684" w:name="_Toc151193788"/>
      <w:bookmarkStart w:id="685" w:name="_Toc150774751"/>
      <w:bookmarkStart w:id="686" w:name="_Toc150509297"/>
      <w:bookmarkStart w:id="687" w:name="_Toc127151747"/>
      <w:bookmarkStart w:id="688" w:name="_Toc149720839"/>
      <w:bookmarkStart w:id="689" w:name="_Toc127151546"/>
      <w:bookmarkStart w:id="690" w:name="_Toc226309790"/>
      <w:bookmarkStart w:id="691" w:name="_Toc264969236"/>
      <w:bookmarkStart w:id="692" w:name="_Toc226965819"/>
      <w:bookmarkStart w:id="693" w:name="_Toc164351640"/>
      <w:bookmarkStart w:id="694" w:name="_Toc164229387"/>
      <w:bookmarkStart w:id="695" w:name="_Toc226337242"/>
      <w:bookmarkStart w:id="696" w:name="_Toc164608660"/>
      <w:r>
        <w:rPr>
          <w:rFonts w:hint="eastAsia" w:ascii="宋体" w:hAnsi="宋体" w:eastAsia="宋体" w:cs="宋体"/>
          <w:sz w:val="24"/>
        </w:rPr>
        <w:t>成交候选人名单</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61FCD013">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60A5953">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szCs w:val="20"/>
        </w:rPr>
        <w:t xml:space="preserve">磋商小组根据上述供应商排序，依次推荐排序前 </w:t>
      </w:r>
      <w:r>
        <w:rPr>
          <w:rFonts w:hint="eastAsia" w:ascii="宋体" w:hAnsi="宋体" w:eastAsia="宋体" w:cs="宋体"/>
          <w:kern w:val="0"/>
          <w:sz w:val="24"/>
          <w:szCs w:val="20"/>
          <w:u w:val="single"/>
        </w:rPr>
        <w:t xml:space="preserve"> 3  </w:t>
      </w:r>
      <w:r>
        <w:rPr>
          <w:rFonts w:hint="eastAsia" w:ascii="宋体" w:hAnsi="宋体" w:eastAsia="宋体" w:cs="宋体"/>
          <w:sz w:val="24"/>
        </w:rPr>
        <w:t>名</w:t>
      </w:r>
      <w:r>
        <w:rPr>
          <w:rFonts w:hint="eastAsia" w:ascii="宋体" w:hAnsi="宋体" w:eastAsia="宋体" w:cs="宋体"/>
          <w:kern w:val="0"/>
          <w:sz w:val="24"/>
          <w:szCs w:val="20"/>
        </w:rPr>
        <w:t>的供应商为</w:t>
      </w:r>
      <w:r>
        <w:rPr>
          <w:rFonts w:hint="eastAsia" w:ascii="宋体" w:hAnsi="宋体" w:eastAsia="宋体" w:cs="宋体"/>
          <w:snapToGrid w:val="0"/>
          <w:kern w:val="0"/>
          <w:sz w:val="24"/>
          <w:szCs w:val="21"/>
        </w:rPr>
        <w:t>成交候选供应商</w:t>
      </w:r>
      <w:r>
        <w:rPr>
          <w:rFonts w:hint="eastAsia" w:ascii="宋体" w:hAnsi="宋体" w:eastAsia="宋体" w:cs="宋体"/>
          <w:kern w:val="0"/>
          <w:sz w:val="24"/>
          <w:szCs w:val="20"/>
        </w:rPr>
        <w:t>（若在磋商文件允许的情形下提交最后报价的供应商为二家，则依次推荐二名供应商为成交候选供应商），并编写评审报告。</w:t>
      </w:r>
    </w:p>
    <w:p w14:paraId="7B61FE7A">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磋商小组要对评分汇总情况进行复核，特别是对排名第一的、报价最低的、响应文件被认定为无效的情形进行重点复核。</w:t>
      </w:r>
    </w:p>
    <w:p w14:paraId="355530D8">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报告违法行为</w:t>
      </w:r>
    </w:p>
    <w:p w14:paraId="3F6BFC67">
      <w:pPr>
        <w:widowControl/>
        <w:numPr>
          <w:ilvl w:val="1"/>
          <w:numId w:val="11"/>
        </w:numPr>
        <w:tabs>
          <w:tab w:val="left" w:pos="1080"/>
          <w:tab w:val="left" w:pos="1872"/>
        </w:tabs>
        <w:snapToGrid w:val="0"/>
        <w:spacing w:line="360" w:lineRule="auto"/>
        <w:ind w:left="1077" w:hanging="720"/>
        <w:jc w:val="left"/>
        <w:rPr>
          <w:rFonts w:hint="eastAsia" w:ascii="宋体" w:hAnsi="宋体" w:eastAsia="宋体" w:cs="宋体"/>
          <w:b/>
          <w:sz w:val="24"/>
        </w:rPr>
      </w:pPr>
      <w:r>
        <w:rPr>
          <w:rFonts w:hint="eastAsia" w:ascii="宋体" w:hAnsi="宋体" w:eastAsia="宋体" w:cs="宋体"/>
          <w:sz w:val="24"/>
        </w:rPr>
        <w:t>磋商小组在评审过程中发现供应商有行贿、提供虚假材料或者串通等违法行为时，应当及时向财政部门报告。</w:t>
      </w:r>
      <w:r>
        <w:rPr>
          <w:rFonts w:hint="eastAsia" w:ascii="宋体" w:hAnsi="宋体" w:eastAsia="宋体" w:cs="宋体"/>
          <w:b/>
          <w:sz w:val="24"/>
        </w:rPr>
        <w:br w:type="page"/>
      </w:r>
    </w:p>
    <w:p w14:paraId="0CCE3C24">
      <w:pPr>
        <w:pStyle w:val="3"/>
        <w:spacing w:before="0" w:line="360" w:lineRule="auto"/>
        <w:rPr>
          <w:rFonts w:hint="eastAsia" w:ascii="宋体" w:hAnsi="宋体" w:eastAsia="宋体" w:cs="宋体"/>
          <w:sz w:val="24"/>
          <w:szCs w:val="24"/>
        </w:rPr>
      </w:pPr>
      <w:r>
        <w:rPr>
          <w:rFonts w:hint="eastAsia" w:ascii="宋体" w:hAnsi="宋体" w:eastAsia="宋体" w:cs="宋体"/>
          <w:sz w:val="24"/>
          <w:szCs w:val="24"/>
        </w:rPr>
        <w:t>二、评审标准</w:t>
      </w:r>
    </w:p>
    <w:tbl>
      <w:tblPr>
        <w:tblStyle w:val="258"/>
        <w:tblW w:w="10132" w:type="dxa"/>
        <w:tblInd w:w="-4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9"/>
        <w:gridCol w:w="731"/>
        <w:gridCol w:w="992"/>
        <w:gridCol w:w="567"/>
        <w:gridCol w:w="5387"/>
        <w:gridCol w:w="1896"/>
      </w:tblGrid>
      <w:tr w14:paraId="5156F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59" w:type="dxa"/>
            <w:vAlign w:val="center"/>
          </w:tcPr>
          <w:p w14:paraId="48736598">
            <w:pPr>
              <w:autoSpaceDE w:val="0"/>
              <w:autoSpaceDN w:val="0"/>
              <w:spacing w:before="40" w:line="208" w:lineRule="auto"/>
              <w:jc w:val="center"/>
              <w:rPr>
                <w:rFonts w:hint="eastAsia" w:ascii="宋体" w:hAnsi="宋体" w:eastAsia="宋体" w:cs="宋体"/>
                <w:sz w:val="24"/>
                <w:lang w:eastAsia="en-US"/>
              </w:rPr>
            </w:pPr>
            <w:r>
              <w:rPr>
                <w:rFonts w:hint="eastAsia" w:ascii="宋体" w:hAnsi="宋体" w:eastAsia="宋体" w:cs="宋体"/>
                <w:spacing w:val="-3"/>
                <w:sz w:val="24"/>
                <w:lang w:eastAsia="en-US"/>
              </w:rPr>
              <w:t>序号</w:t>
            </w:r>
          </w:p>
        </w:tc>
        <w:tc>
          <w:tcPr>
            <w:tcW w:w="1723" w:type="dxa"/>
            <w:gridSpan w:val="2"/>
            <w:vAlign w:val="center"/>
          </w:tcPr>
          <w:p w14:paraId="1620DB98">
            <w:pPr>
              <w:autoSpaceDE w:val="0"/>
              <w:autoSpaceDN w:val="0"/>
              <w:spacing w:before="40" w:line="208" w:lineRule="auto"/>
              <w:jc w:val="center"/>
              <w:rPr>
                <w:rFonts w:hint="eastAsia" w:ascii="宋体" w:hAnsi="宋体" w:eastAsia="宋体" w:cs="宋体"/>
                <w:sz w:val="24"/>
                <w:lang w:eastAsia="en-US"/>
              </w:rPr>
            </w:pPr>
            <w:r>
              <w:rPr>
                <w:rFonts w:hint="eastAsia" w:ascii="宋体" w:hAnsi="宋体" w:eastAsia="宋体" w:cs="宋体"/>
                <w:spacing w:val="-2"/>
                <w:sz w:val="24"/>
                <w:lang w:eastAsia="en-US"/>
              </w:rPr>
              <w:t>评分因素</w:t>
            </w:r>
          </w:p>
        </w:tc>
        <w:tc>
          <w:tcPr>
            <w:tcW w:w="567" w:type="dxa"/>
            <w:vAlign w:val="center"/>
          </w:tcPr>
          <w:p w14:paraId="510A5A57">
            <w:pPr>
              <w:autoSpaceDE w:val="0"/>
              <w:autoSpaceDN w:val="0"/>
              <w:spacing w:before="40" w:line="208" w:lineRule="auto"/>
              <w:jc w:val="center"/>
              <w:rPr>
                <w:rFonts w:hint="eastAsia" w:ascii="宋体" w:hAnsi="宋体" w:eastAsia="宋体" w:cs="宋体"/>
                <w:sz w:val="24"/>
                <w:lang w:eastAsia="en-US"/>
              </w:rPr>
            </w:pPr>
            <w:r>
              <w:rPr>
                <w:rFonts w:hint="eastAsia" w:ascii="宋体" w:hAnsi="宋体" w:eastAsia="宋体" w:cs="宋体"/>
                <w:spacing w:val="-4"/>
                <w:sz w:val="24"/>
                <w:lang w:eastAsia="en-US"/>
              </w:rPr>
              <w:t>分值</w:t>
            </w:r>
          </w:p>
        </w:tc>
        <w:tc>
          <w:tcPr>
            <w:tcW w:w="5387" w:type="dxa"/>
            <w:vAlign w:val="center"/>
          </w:tcPr>
          <w:p w14:paraId="4AFFA336">
            <w:pPr>
              <w:autoSpaceDE w:val="0"/>
              <w:autoSpaceDN w:val="0"/>
              <w:spacing w:before="40" w:line="208" w:lineRule="auto"/>
              <w:jc w:val="center"/>
              <w:rPr>
                <w:rFonts w:hint="eastAsia" w:ascii="宋体" w:hAnsi="宋体" w:eastAsia="宋体" w:cs="宋体"/>
                <w:sz w:val="24"/>
                <w:lang w:eastAsia="en-US"/>
              </w:rPr>
            </w:pPr>
            <w:r>
              <w:rPr>
                <w:rFonts w:hint="eastAsia" w:ascii="宋体" w:hAnsi="宋体" w:eastAsia="宋体" w:cs="宋体"/>
                <w:spacing w:val="-2"/>
                <w:sz w:val="24"/>
                <w:lang w:eastAsia="en-US"/>
              </w:rPr>
              <w:t>评分标准</w:t>
            </w:r>
          </w:p>
        </w:tc>
        <w:tc>
          <w:tcPr>
            <w:tcW w:w="1896" w:type="dxa"/>
            <w:vAlign w:val="center"/>
          </w:tcPr>
          <w:p w14:paraId="72190380">
            <w:pPr>
              <w:autoSpaceDE w:val="0"/>
              <w:autoSpaceDN w:val="0"/>
              <w:spacing w:before="40" w:line="208" w:lineRule="auto"/>
              <w:jc w:val="center"/>
              <w:rPr>
                <w:rFonts w:hint="eastAsia" w:ascii="宋体" w:hAnsi="宋体" w:eastAsia="宋体" w:cs="宋体"/>
                <w:sz w:val="24"/>
                <w:lang w:eastAsia="en-US"/>
              </w:rPr>
            </w:pPr>
            <w:r>
              <w:rPr>
                <w:rFonts w:hint="eastAsia" w:ascii="宋体" w:hAnsi="宋体" w:eastAsia="宋体" w:cs="宋体"/>
                <w:spacing w:val="-4"/>
                <w:sz w:val="24"/>
                <w:lang w:eastAsia="en-US"/>
              </w:rPr>
              <w:t>说明</w:t>
            </w:r>
          </w:p>
        </w:tc>
      </w:tr>
      <w:tr w14:paraId="160AF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4" w:hRule="atLeast"/>
        </w:trPr>
        <w:tc>
          <w:tcPr>
            <w:tcW w:w="559" w:type="dxa"/>
            <w:vAlign w:val="center"/>
          </w:tcPr>
          <w:p w14:paraId="2019F067">
            <w:pPr>
              <w:autoSpaceDE w:val="0"/>
              <w:autoSpaceDN w:val="0"/>
              <w:spacing w:before="40" w:line="208" w:lineRule="auto"/>
              <w:jc w:val="center"/>
              <w:rPr>
                <w:rFonts w:hint="eastAsia" w:ascii="宋体" w:hAnsi="宋体" w:eastAsia="宋体" w:cs="宋体"/>
                <w:spacing w:val="-3"/>
                <w:sz w:val="24"/>
                <w:lang w:eastAsia="en-US"/>
              </w:rPr>
            </w:pPr>
            <w:r>
              <w:rPr>
                <w:rFonts w:hint="eastAsia" w:ascii="宋体" w:hAnsi="宋体" w:eastAsia="宋体" w:cs="宋体"/>
                <w:spacing w:val="-3"/>
                <w:sz w:val="24"/>
                <w:lang w:eastAsia="en-US"/>
              </w:rPr>
              <w:t>1</w:t>
            </w:r>
          </w:p>
        </w:tc>
        <w:tc>
          <w:tcPr>
            <w:tcW w:w="731" w:type="dxa"/>
            <w:vMerge w:val="restart"/>
            <w:vAlign w:val="center"/>
          </w:tcPr>
          <w:p w14:paraId="74A33680">
            <w:pPr>
              <w:autoSpaceDE w:val="0"/>
              <w:autoSpaceDN w:val="0"/>
              <w:spacing w:before="40" w:line="208" w:lineRule="auto"/>
              <w:jc w:val="center"/>
              <w:rPr>
                <w:rFonts w:hint="eastAsia" w:ascii="宋体" w:hAnsi="宋体" w:eastAsia="宋体" w:cs="宋体"/>
                <w:spacing w:val="-2"/>
                <w:sz w:val="24"/>
                <w:lang w:eastAsia="en-US"/>
              </w:rPr>
            </w:pPr>
            <w:r>
              <w:rPr>
                <w:rFonts w:hint="eastAsia" w:ascii="宋体" w:hAnsi="宋体" w:eastAsia="宋体" w:cs="宋体"/>
                <w:spacing w:val="-2"/>
                <w:sz w:val="24"/>
                <w:lang w:eastAsia="en-US"/>
              </w:rPr>
              <w:t>商务部分（</w:t>
            </w:r>
            <w:r>
              <w:rPr>
                <w:rFonts w:hint="eastAsia" w:ascii="宋体" w:hAnsi="宋体" w:cs="宋体"/>
                <w:spacing w:val="-2"/>
                <w:sz w:val="24"/>
                <w:lang w:val="en-US" w:eastAsia="zh-CN"/>
              </w:rPr>
              <w:t>10</w:t>
            </w:r>
            <w:r>
              <w:rPr>
                <w:rFonts w:hint="eastAsia" w:ascii="宋体" w:hAnsi="宋体" w:eastAsia="宋体" w:cs="宋体"/>
                <w:spacing w:val="-2"/>
                <w:sz w:val="24"/>
                <w:lang w:eastAsia="en-US"/>
              </w:rPr>
              <w:t>分）</w:t>
            </w:r>
          </w:p>
        </w:tc>
        <w:tc>
          <w:tcPr>
            <w:tcW w:w="992" w:type="dxa"/>
            <w:vAlign w:val="center"/>
          </w:tcPr>
          <w:p w14:paraId="42D4BA1F">
            <w:pPr>
              <w:autoSpaceDE w:val="0"/>
              <w:autoSpaceDN w:val="0"/>
              <w:spacing w:before="40" w:line="208" w:lineRule="auto"/>
              <w:jc w:val="center"/>
              <w:rPr>
                <w:rFonts w:hint="eastAsia" w:ascii="宋体" w:hAnsi="宋体" w:eastAsia="宋体" w:cs="宋体"/>
                <w:spacing w:val="-2"/>
                <w:sz w:val="24"/>
                <w:lang w:eastAsia="en-US"/>
              </w:rPr>
            </w:pPr>
            <w:r>
              <w:rPr>
                <w:rFonts w:hint="eastAsia" w:ascii="宋体" w:hAnsi="宋体" w:eastAsia="宋体" w:cs="宋体"/>
                <w:sz w:val="24"/>
                <w:lang w:eastAsia="en-US"/>
              </w:rPr>
              <w:t>同类项目业绩</w:t>
            </w:r>
          </w:p>
        </w:tc>
        <w:tc>
          <w:tcPr>
            <w:tcW w:w="567" w:type="dxa"/>
            <w:vAlign w:val="center"/>
          </w:tcPr>
          <w:p w14:paraId="4122F072">
            <w:pPr>
              <w:autoSpaceDE w:val="0"/>
              <w:autoSpaceDN w:val="0"/>
              <w:spacing w:before="40" w:line="208" w:lineRule="auto"/>
              <w:jc w:val="center"/>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1</w:t>
            </w:r>
            <w:r>
              <w:rPr>
                <w:rFonts w:hint="eastAsia" w:ascii="宋体" w:hAnsi="宋体" w:cs="宋体"/>
                <w:spacing w:val="-2"/>
                <w:sz w:val="24"/>
                <w:lang w:val="en-US" w:eastAsia="zh-CN"/>
              </w:rPr>
              <w:t>0</w:t>
            </w:r>
          </w:p>
        </w:tc>
        <w:tc>
          <w:tcPr>
            <w:tcW w:w="5387" w:type="dxa"/>
            <w:vAlign w:val="center"/>
          </w:tcPr>
          <w:p w14:paraId="42160B72">
            <w:pPr>
              <w:pStyle w:val="260"/>
              <w:autoSpaceDE w:val="0"/>
              <w:autoSpaceDN w:val="0"/>
              <w:rPr>
                <w:rFonts w:hint="eastAsia" w:ascii="宋体" w:hAnsi="宋体" w:eastAsia="宋体" w:cs="宋体"/>
                <w:sz w:val="24"/>
                <w:szCs w:val="24"/>
                <w:lang w:eastAsia="zh-CN"/>
              </w:rPr>
            </w:pPr>
            <w:r>
              <w:rPr>
                <w:rFonts w:hint="eastAsia" w:ascii="宋体" w:hAnsi="宋体" w:eastAsia="宋体" w:cs="宋体"/>
                <w:sz w:val="24"/>
                <w:szCs w:val="24"/>
                <w:lang w:eastAsia="zh-CN"/>
              </w:rPr>
              <w:t>供应商提供2023年03月01日至今类似工程类业绩（需提供合同关键页及盖章页)，每有1个有效业绩得</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分，最多得</w:t>
            </w:r>
            <w:r>
              <w:rPr>
                <w:rFonts w:hint="eastAsia" w:ascii="宋体" w:hAnsi="宋体" w:eastAsia="宋体" w:cs="宋体"/>
                <w:sz w:val="24"/>
                <w:szCs w:val="24"/>
                <w:lang w:val="en-US" w:eastAsia="zh-CN"/>
              </w:rPr>
              <w:t>1</w:t>
            </w:r>
            <w:r>
              <w:rPr>
                <w:rFonts w:hint="eastAsia" w:cs="宋体"/>
                <w:sz w:val="24"/>
                <w:szCs w:val="24"/>
                <w:lang w:val="en-US" w:eastAsia="zh-CN"/>
              </w:rPr>
              <w:t>0</w:t>
            </w:r>
            <w:r>
              <w:rPr>
                <w:rFonts w:hint="eastAsia" w:ascii="宋体" w:hAnsi="宋体" w:eastAsia="宋体" w:cs="宋体"/>
                <w:sz w:val="24"/>
                <w:szCs w:val="24"/>
                <w:lang w:eastAsia="zh-CN"/>
              </w:rPr>
              <w:t>分。</w:t>
            </w:r>
          </w:p>
          <w:p w14:paraId="463488B2">
            <w:pPr>
              <w:autoSpaceDE w:val="0"/>
              <w:autoSpaceDN w:val="0"/>
              <w:spacing w:before="40" w:line="208" w:lineRule="auto"/>
              <w:rPr>
                <w:rFonts w:hint="eastAsia" w:ascii="宋体" w:hAnsi="宋体" w:eastAsia="宋体" w:cs="宋体"/>
                <w:spacing w:val="-2"/>
                <w:sz w:val="24"/>
                <w:lang w:eastAsia="zh-CN"/>
              </w:rPr>
            </w:pPr>
            <w:r>
              <w:rPr>
                <w:rFonts w:hint="eastAsia" w:ascii="宋体" w:hAnsi="宋体" w:eastAsia="宋体" w:cs="宋体"/>
                <w:color w:val="000000"/>
                <w:sz w:val="24"/>
                <w:lang w:eastAsia="zh-CN"/>
              </w:rPr>
              <w:t>注：需提供合同关键页及盖章页并加盖公章。</w:t>
            </w:r>
          </w:p>
        </w:tc>
        <w:tc>
          <w:tcPr>
            <w:tcW w:w="1896" w:type="dxa"/>
            <w:vAlign w:val="center"/>
          </w:tcPr>
          <w:p w14:paraId="51C43183">
            <w:pPr>
              <w:autoSpaceDE w:val="0"/>
              <w:autoSpaceDN w:val="0"/>
              <w:spacing w:before="40" w:line="208" w:lineRule="auto"/>
              <w:jc w:val="center"/>
              <w:rPr>
                <w:rFonts w:hint="eastAsia" w:ascii="宋体" w:hAnsi="宋体" w:eastAsia="宋体" w:cs="宋体"/>
                <w:spacing w:val="-4"/>
                <w:sz w:val="24"/>
                <w:lang w:eastAsia="en-US"/>
              </w:rPr>
            </w:pPr>
          </w:p>
        </w:tc>
      </w:tr>
      <w:tr w14:paraId="380AF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59" w:type="dxa"/>
            <w:vAlign w:val="center"/>
          </w:tcPr>
          <w:p w14:paraId="40A06D66">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731" w:type="dxa"/>
            <w:vMerge w:val="restart"/>
            <w:vAlign w:val="center"/>
          </w:tcPr>
          <w:p w14:paraId="58505EB7">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施工组织设计（6</w:t>
            </w:r>
            <w:r>
              <w:rPr>
                <w:rFonts w:hint="eastAsia" w:cs="宋体"/>
                <w:sz w:val="24"/>
                <w:szCs w:val="24"/>
                <w:lang w:val="en-US" w:eastAsia="zh-CN"/>
              </w:rPr>
              <w:t>0</w:t>
            </w:r>
            <w:r>
              <w:rPr>
                <w:rFonts w:hint="eastAsia" w:ascii="宋体" w:hAnsi="宋体" w:eastAsia="宋体" w:cs="宋体"/>
                <w:sz w:val="24"/>
                <w:szCs w:val="24"/>
                <w:lang w:eastAsia="zh-CN"/>
              </w:rPr>
              <w:t>）</w:t>
            </w:r>
          </w:p>
        </w:tc>
        <w:tc>
          <w:tcPr>
            <w:tcW w:w="992" w:type="dxa"/>
            <w:vAlign w:val="center"/>
          </w:tcPr>
          <w:p w14:paraId="01C0636C">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施工总体进度计划及保障措施</w:t>
            </w:r>
          </w:p>
        </w:tc>
        <w:tc>
          <w:tcPr>
            <w:tcW w:w="567" w:type="dxa"/>
            <w:vAlign w:val="center"/>
          </w:tcPr>
          <w:p w14:paraId="14237D97">
            <w:pPr>
              <w:pStyle w:val="260"/>
              <w:autoSpaceDE w:val="0"/>
              <w:autoSpaceDN w:val="0"/>
              <w:jc w:val="center"/>
              <w:rPr>
                <w:rFonts w:hint="eastAsia" w:ascii="宋体" w:hAnsi="宋体" w:eastAsia="宋体" w:cs="宋体"/>
                <w:sz w:val="24"/>
                <w:szCs w:val="24"/>
              </w:rPr>
            </w:pPr>
            <w:r>
              <w:rPr>
                <w:rFonts w:hint="eastAsia" w:ascii="宋体" w:hAnsi="宋体" w:eastAsia="宋体" w:cs="宋体"/>
                <w:bCs/>
                <w:sz w:val="24"/>
                <w:szCs w:val="24"/>
                <w:lang w:eastAsia="zh-CN"/>
              </w:rPr>
              <w:t>1</w:t>
            </w:r>
            <w:r>
              <w:rPr>
                <w:rFonts w:hint="eastAsia" w:cs="宋体"/>
                <w:bCs/>
                <w:sz w:val="24"/>
                <w:szCs w:val="24"/>
                <w:lang w:val="en-US" w:eastAsia="zh-CN"/>
              </w:rPr>
              <w:t>0</w:t>
            </w:r>
          </w:p>
        </w:tc>
        <w:tc>
          <w:tcPr>
            <w:tcW w:w="5387" w:type="dxa"/>
            <w:vAlign w:val="center"/>
          </w:tcPr>
          <w:p w14:paraId="13F4AC6E">
            <w:pPr>
              <w:pStyle w:val="260"/>
              <w:autoSpaceDE w:val="0"/>
              <w:autoSpaceDN w:val="0"/>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计划及保障措施合理，得1</w:t>
            </w:r>
            <w:r>
              <w:rPr>
                <w:rFonts w:hint="eastAsia" w:cs="宋体"/>
                <w:spacing w:val="-4"/>
                <w:sz w:val="24"/>
                <w:szCs w:val="24"/>
                <w:lang w:val="en-US" w:eastAsia="zh-CN"/>
              </w:rPr>
              <w:t>0</w:t>
            </w:r>
            <w:r>
              <w:rPr>
                <w:rFonts w:hint="eastAsia" w:ascii="宋体" w:hAnsi="宋体" w:eastAsia="宋体" w:cs="宋体"/>
                <w:spacing w:val="-4"/>
                <w:sz w:val="24"/>
                <w:szCs w:val="24"/>
                <w:lang w:eastAsia="zh-CN"/>
              </w:rPr>
              <w:t>分；</w:t>
            </w:r>
          </w:p>
          <w:p w14:paraId="4D177358">
            <w:pPr>
              <w:pStyle w:val="260"/>
              <w:autoSpaceDE w:val="0"/>
              <w:autoSpaceDN w:val="0"/>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计划及保障措施较合理，得</w:t>
            </w:r>
            <w:r>
              <w:rPr>
                <w:rFonts w:hint="eastAsia" w:cs="宋体"/>
                <w:spacing w:val="-4"/>
                <w:sz w:val="24"/>
                <w:szCs w:val="24"/>
                <w:lang w:val="en-US" w:eastAsia="zh-CN"/>
              </w:rPr>
              <w:t>7</w:t>
            </w:r>
            <w:r>
              <w:rPr>
                <w:rFonts w:hint="eastAsia" w:ascii="宋体" w:hAnsi="宋体" w:eastAsia="宋体" w:cs="宋体"/>
                <w:spacing w:val="-4"/>
                <w:sz w:val="24"/>
                <w:szCs w:val="24"/>
                <w:lang w:eastAsia="zh-CN"/>
              </w:rPr>
              <w:t>分；</w:t>
            </w:r>
          </w:p>
          <w:p w14:paraId="22AF4276">
            <w:pPr>
              <w:pStyle w:val="260"/>
              <w:autoSpaceDE w:val="0"/>
              <w:autoSpaceDN w:val="0"/>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计划及保障措施一般，得</w:t>
            </w:r>
            <w:r>
              <w:rPr>
                <w:rFonts w:hint="eastAsia" w:cs="宋体"/>
                <w:spacing w:val="-4"/>
                <w:sz w:val="24"/>
                <w:szCs w:val="24"/>
                <w:lang w:val="en-US" w:eastAsia="zh-CN"/>
              </w:rPr>
              <w:t>4</w:t>
            </w:r>
            <w:r>
              <w:rPr>
                <w:rFonts w:hint="eastAsia" w:ascii="宋体" w:hAnsi="宋体" w:eastAsia="宋体" w:cs="宋体"/>
                <w:spacing w:val="-4"/>
                <w:sz w:val="24"/>
                <w:szCs w:val="24"/>
                <w:lang w:eastAsia="zh-CN"/>
              </w:rPr>
              <w:t>分；</w:t>
            </w:r>
          </w:p>
          <w:p w14:paraId="20FC652E">
            <w:pPr>
              <w:pStyle w:val="260"/>
              <w:autoSpaceDE w:val="0"/>
              <w:autoSpaceDN w:val="0"/>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计划及保障措施较差，得1分；</w:t>
            </w:r>
          </w:p>
          <w:p w14:paraId="41A28B67">
            <w:pPr>
              <w:pStyle w:val="260"/>
              <w:autoSpaceDE w:val="0"/>
              <w:autoSpaceDN w:val="0"/>
              <w:rPr>
                <w:rFonts w:hint="eastAsia" w:ascii="宋体" w:hAnsi="宋体" w:eastAsia="宋体" w:cs="宋体"/>
                <w:sz w:val="24"/>
                <w:szCs w:val="24"/>
              </w:rPr>
            </w:pPr>
            <w:r>
              <w:rPr>
                <w:rFonts w:hint="eastAsia" w:ascii="宋体" w:hAnsi="宋体" w:eastAsia="宋体" w:cs="宋体"/>
                <w:spacing w:val="-4"/>
                <w:sz w:val="24"/>
                <w:szCs w:val="24"/>
                <w:lang w:eastAsia="zh-CN"/>
              </w:rPr>
              <w:t>不提供，得0分。</w:t>
            </w:r>
          </w:p>
        </w:tc>
        <w:tc>
          <w:tcPr>
            <w:tcW w:w="1896" w:type="dxa"/>
            <w:vAlign w:val="center"/>
          </w:tcPr>
          <w:p w14:paraId="31B47BE9">
            <w:pPr>
              <w:pStyle w:val="260"/>
              <w:autoSpaceDE w:val="0"/>
              <w:autoSpaceDN w:val="0"/>
              <w:jc w:val="center"/>
              <w:rPr>
                <w:rFonts w:hint="eastAsia" w:ascii="宋体" w:hAnsi="宋体" w:eastAsia="宋体" w:cs="宋体"/>
                <w:sz w:val="24"/>
                <w:szCs w:val="24"/>
              </w:rPr>
            </w:pPr>
          </w:p>
        </w:tc>
      </w:tr>
      <w:tr w14:paraId="0D2EE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559" w:type="dxa"/>
            <w:vAlign w:val="center"/>
          </w:tcPr>
          <w:p w14:paraId="62E166F4">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731" w:type="dxa"/>
            <w:vMerge w:val="continue"/>
            <w:vAlign w:val="center"/>
          </w:tcPr>
          <w:p w14:paraId="6C0F96C9">
            <w:pPr>
              <w:autoSpaceDE w:val="0"/>
              <w:autoSpaceDN w:val="0"/>
              <w:spacing w:before="78" w:line="219" w:lineRule="auto"/>
              <w:jc w:val="center"/>
              <w:rPr>
                <w:rFonts w:hint="eastAsia" w:ascii="宋体" w:hAnsi="宋体" w:eastAsia="宋体" w:cs="宋体"/>
                <w:spacing w:val="-2"/>
                <w:sz w:val="24"/>
                <w:lang w:eastAsia="en-US"/>
              </w:rPr>
            </w:pPr>
          </w:p>
        </w:tc>
        <w:tc>
          <w:tcPr>
            <w:tcW w:w="992" w:type="dxa"/>
            <w:vAlign w:val="center"/>
          </w:tcPr>
          <w:p w14:paraId="37E776CE">
            <w:pPr>
              <w:autoSpaceDE w:val="0"/>
              <w:autoSpaceDN w:val="0"/>
              <w:spacing w:before="78" w:line="219" w:lineRule="auto"/>
              <w:jc w:val="center"/>
              <w:rPr>
                <w:rFonts w:hint="eastAsia" w:ascii="宋体" w:hAnsi="宋体" w:eastAsia="宋体" w:cs="宋体"/>
                <w:spacing w:val="-2"/>
                <w:sz w:val="24"/>
                <w:lang w:eastAsia="en-US"/>
              </w:rPr>
            </w:pPr>
            <w:r>
              <w:rPr>
                <w:rFonts w:hint="eastAsia" w:ascii="宋体" w:hAnsi="宋体" w:eastAsia="宋体" w:cs="宋体"/>
                <w:bCs/>
                <w:sz w:val="24"/>
                <w:lang w:eastAsia="en-US"/>
              </w:rPr>
              <w:t>质量保证体系及措施</w:t>
            </w:r>
          </w:p>
        </w:tc>
        <w:tc>
          <w:tcPr>
            <w:tcW w:w="567" w:type="dxa"/>
            <w:vAlign w:val="center"/>
          </w:tcPr>
          <w:p w14:paraId="64DD6A21">
            <w:pPr>
              <w:pStyle w:val="260"/>
              <w:autoSpaceDE w:val="0"/>
              <w:autoSpaceDN w:val="0"/>
              <w:jc w:val="center"/>
              <w:rPr>
                <w:rFonts w:hint="eastAsia" w:ascii="宋体" w:hAnsi="宋体" w:eastAsia="宋体" w:cs="宋体"/>
                <w:sz w:val="24"/>
                <w:szCs w:val="24"/>
              </w:rPr>
            </w:pPr>
            <w:r>
              <w:rPr>
                <w:rFonts w:hint="eastAsia" w:ascii="宋体" w:hAnsi="宋体" w:eastAsia="宋体" w:cs="宋体"/>
                <w:bCs/>
                <w:sz w:val="24"/>
                <w:szCs w:val="24"/>
                <w:lang w:eastAsia="zh-CN"/>
              </w:rPr>
              <w:t>10</w:t>
            </w:r>
          </w:p>
        </w:tc>
        <w:tc>
          <w:tcPr>
            <w:tcW w:w="5387" w:type="dxa"/>
            <w:vAlign w:val="center"/>
          </w:tcPr>
          <w:p w14:paraId="338F72F7">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bCs/>
                <w:sz w:val="24"/>
                <w:lang w:eastAsia="zh-CN"/>
              </w:rPr>
              <w:t>质量保证体系及</w:t>
            </w:r>
            <w:r>
              <w:rPr>
                <w:rFonts w:hint="eastAsia" w:ascii="宋体" w:hAnsi="宋体" w:eastAsia="宋体" w:cs="宋体"/>
                <w:spacing w:val="-4"/>
                <w:sz w:val="24"/>
                <w:szCs w:val="24"/>
                <w:lang w:eastAsia="zh-CN"/>
              </w:rPr>
              <w:t>措施合理，创优计划严谨周密、切实可行得10分；</w:t>
            </w:r>
          </w:p>
          <w:p w14:paraId="3745FDEC">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bCs/>
                <w:sz w:val="24"/>
                <w:lang w:eastAsia="zh-CN"/>
              </w:rPr>
              <w:t>质量保证体系及</w:t>
            </w:r>
            <w:r>
              <w:rPr>
                <w:rFonts w:hint="eastAsia" w:ascii="宋体" w:hAnsi="宋体" w:eastAsia="宋体" w:cs="宋体"/>
                <w:spacing w:val="-4"/>
                <w:sz w:val="24"/>
                <w:szCs w:val="24"/>
                <w:lang w:eastAsia="zh-CN"/>
              </w:rPr>
              <w:t>措施较合理，创优计划较严谨周密、切实可行，得7分；</w:t>
            </w:r>
          </w:p>
          <w:p w14:paraId="085780C0">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bCs/>
                <w:sz w:val="24"/>
                <w:lang w:eastAsia="zh-CN"/>
              </w:rPr>
              <w:t>质量保证体系及</w:t>
            </w:r>
            <w:r>
              <w:rPr>
                <w:rFonts w:hint="eastAsia" w:ascii="宋体" w:hAnsi="宋体" w:eastAsia="宋体" w:cs="宋体"/>
                <w:spacing w:val="-4"/>
                <w:sz w:val="24"/>
                <w:szCs w:val="24"/>
                <w:lang w:eastAsia="zh-CN"/>
              </w:rPr>
              <w:t>措施一般，创优计划可行，得4分；</w:t>
            </w:r>
            <w:r>
              <w:rPr>
                <w:rFonts w:hint="eastAsia" w:ascii="宋体" w:hAnsi="宋体" w:eastAsia="宋体" w:cs="宋体"/>
                <w:bCs/>
                <w:sz w:val="24"/>
                <w:lang w:eastAsia="zh-CN"/>
              </w:rPr>
              <w:t>质量保证体系及</w:t>
            </w:r>
            <w:r>
              <w:rPr>
                <w:rFonts w:hint="eastAsia" w:ascii="宋体" w:hAnsi="宋体" w:eastAsia="宋体" w:cs="宋体"/>
                <w:spacing w:val="-4"/>
                <w:sz w:val="24"/>
                <w:szCs w:val="24"/>
                <w:lang w:eastAsia="zh-CN"/>
              </w:rPr>
              <w:t>措施及创优计划较差，得1分；</w:t>
            </w:r>
          </w:p>
          <w:p w14:paraId="2731B575">
            <w:pPr>
              <w:pStyle w:val="260"/>
              <w:autoSpaceDE w:val="0"/>
              <w:autoSpaceDN w:val="0"/>
              <w:spacing w:before="24" w:line="222" w:lineRule="auto"/>
              <w:ind w:right="197"/>
              <w:rPr>
                <w:rFonts w:hint="eastAsia" w:ascii="宋体" w:hAnsi="宋体" w:eastAsia="宋体" w:cs="宋体"/>
                <w:spacing w:val="-4"/>
                <w:sz w:val="24"/>
                <w:szCs w:val="24"/>
              </w:rPr>
            </w:pPr>
            <w:r>
              <w:rPr>
                <w:rFonts w:hint="eastAsia" w:ascii="宋体" w:hAnsi="宋体" w:eastAsia="宋体" w:cs="宋体"/>
                <w:spacing w:val="-4"/>
                <w:sz w:val="24"/>
                <w:szCs w:val="24"/>
                <w:lang w:eastAsia="zh-CN"/>
              </w:rPr>
              <w:t>不提供，得0分。</w:t>
            </w:r>
          </w:p>
        </w:tc>
        <w:tc>
          <w:tcPr>
            <w:tcW w:w="1896" w:type="dxa"/>
            <w:vAlign w:val="center"/>
          </w:tcPr>
          <w:p w14:paraId="2AB28A18">
            <w:pPr>
              <w:pStyle w:val="260"/>
              <w:autoSpaceDE w:val="0"/>
              <w:autoSpaceDN w:val="0"/>
              <w:spacing w:before="33" w:line="234" w:lineRule="auto"/>
              <w:ind w:left="76" w:right="108" w:firstLine="2"/>
              <w:jc w:val="center"/>
              <w:rPr>
                <w:rFonts w:hint="eastAsia" w:ascii="宋体" w:hAnsi="宋体" w:eastAsia="宋体" w:cs="宋体"/>
                <w:spacing w:val="10"/>
                <w:sz w:val="24"/>
                <w:szCs w:val="24"/>
              </w:rPr>
            </w:pPr>
          </w:p>
        </w:tc>
      </w:tr>
      <w:tr w14:paraId="0B06C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559" w:type="dxa"/>
            <w:vAlign w:val="center"/>
          </w:tcPr>
          <w:p w14:paraId="26782D91">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731" w:type="dxa"/>
            <w:vMerge w:val="continue"/>
            <w:vAlign w:val="center"/>
          </w:tcPr>
          <w:p w14:paraId="3585DFEC">
            <w:pPr>
              <w:autoSpaceDE w:val="0"/>
              <w:autoSpaceDN w:val="0"/>
              <w:spacing w:before="78" w:line="219" w:lineRule="auto"/>
              <w:jc w:val="center"/>
              <w:rPr>
                <w:rFonts w:hint="eastAsia" w:ascii="宋体" w:hAnsi="宋体" w:eastAsia="宋体" w:cs="宋体"/>
                <w:spacing w:val="-2"/>
                <w:sz w:val="24"/>
                <w:lang w:eastAsia="en-US"/>
              </w:rPr>
            </w:pPr>
          </w:p>
        </w:tc>
        <w:tc>
          <w:tcPr>
            <w:tcW w:w="992" w:type="dxa"/>
            <w:vAlign w:val="center"/>
          </w:tcPr>
          <w:p w14:paraId="276AB9B7">
            <w:pPr>
              <w:autoSpaceDE w:val="0"/>
              <w:autoSpaceDN w:val="0"/>
              <w:spacing w:before="78" w:line="219" w:lineRule="auto"/>
              <w:jc w:val="center"/>
              <w:rPr>
                <w:rFonts w:hint="eastAsia" w:ascii="宋体" w:hAnsi="宋体" w:eastAsia="宋体" w:cs="宋体"/>
                <w:sz w:val="24"/>
                <w:lang w:eastAsia="en-US"/>
              </w:rPr>
            </w:pPr>
            <w:bookmarkStart w:id="697" w:name="OLE_LINK51"/>
            <w:r>
              <w:rPr>
                <w:rFonts w:hint="eastAsia" w:ascii="宋体" w:hAnsi="宋体" w:eastAsia="宋体" w:cs="宋体"/>
                <w:sz w:val="24"/>
                <w:lang w:eastAsia="en-US"/>
              </w:rPr>
              <w:t>施工安全方案</w:t>
            </w:r>
            <w:bookmarkEnd w:id="697"/>
          </w:p>
        </w:tc>
        <w:tc>
          <w:tcPr>
            <w:tcW w:w="567" w:type="dxa"/>
            <w:vAlign w:val="center"/>
          </w:tcPr>
          <w:p w14:paraId="723B61C7">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5387" w:type="dxa"/>
            <w:vAlign w:val="center"/>
          </w:tcPr>
          <w:p w14:paraId="0D6FB962">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具备科学、全面的施工安全方案，针对性及可操作性强，能够及时有效的发现及预防各种安全隐患的得10分；</w:t>
            </w:r>
          </w:p>
          <w:p w14:paraId="183E5D13">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具备较为科学、全面的施工安全方案，针对性及可操作性较好，能够较好的预防各种安全隐患的得7分；</w:t>
            </w:r>
          </w:p>
          <w:p w14:paraId="10876A8E">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具备基本全面的施工安全方案，有一定的针对性及可操作性。仅能预防部分安全隐患的得4分；</w:t>
            </w:r>
          </w:p>
          <w:p w14:paraId="3A5D4772">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施工安全方案的针对性及可操作性较弱，仅能预防小部分安全隐患的得1分；</w:t>
            </w:r>
          </w:p>
          <w:p w14:paraId="5BAED4D5">
            <w:pPr>
              <w:pStyle w:val="260"/>
              <w:autoSpaceDE w:val="0"/>
              <w:autoSpaceDN w:val="0"/>
              <w:spacing w:before="24" w:line="222" w:lineRule="auto"/>
              <w:ind w:right="197"/>
              <w:rPr>
                <w:rFonts w:hint="eastAsia" w:ascii="宋体" w:hAnsi="宋体" w:eastAsia="宋体" w:cs="宋体"/>
                <w:spacing w:val="-4"/>
                <w:sz w:val="24"/>
                <w:szCs w:val="24"/>
              </w:rPr>
            </w:pPr>
            <w:r>
              <w:rPr>
                <w:rFonts w:hint="eastAsia" w:ascii="宋体" w:hAnsi="宋体" w:eastAsia="宋体" w:cs="宋体"/>
                <w:spacing w:val="-4"/>
                <w:sz w:val="24"/>
                <w:szCs w:val="24"/>
                <w:lang w:eastAsia="zh-CN"/>
              </w:rPr>
              <w:t>不提供，得0分。</w:t>
            </w:r>
          </w:p>
        </w:tc>
        <w:tc>
          <w:tcPr>
            <w:tcW w:w="1896" w:type="dxa"/>
            <w:vAlign w:val="center"/>
          </w:tcPr>
          <w:p w14:paraId="48D94C58">
            <w:pPr>
              <w:pStyle w:val="260"/>
              <w:autoSpaceDE w:val="0"/>
              <w:autoSpaceDN w:val="0"/>
              <w:spacing w:before="33" w:line="234" w:lineRule="auto"/>
              <w:ind w:left="76" w:right="108" w:firstLine="2"/>
              <w:jc w:val="center"/>
              <w:rPr>
                <w:rFonts w:hint="eastAsia" w:ascii="宋体" w:hAnsi="宋体" w:eastAsia="宋体" w:cs="宋体"/>
                <w:spacing w:val="10"/>
                <w:sz w:val="24"/>
                <w:szCs w:val="24"/>
              </w:rPr>
            </w:pPr>
          </w:p>
        </w:tc>
      </w:tr>
      <w:tr w14:paraId="4E43C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559" w:type="dxa"/>
            <w:vAlign w:val="center"/>
          </w:tcPr>
          <w:p w14:paraId="2808BE8A">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731" w:type="dxa"/>
            <w:vMerge w:val="continue"/>
            <w:vAlign w:val="center"/>
          </w:tcPr>
          <w:p w14:paraId="237DF6DE">
            <w:pPr>
              <w:autoSpaceDE w:val="0"/>
              <w:autoSpaceDN w:val="0"/>
              <w:spacing w:before="78" w:line="219" w:lineRule="auto"/>
              <w:jc w:val="center"/>
              <w:rPr>
                <w:rFonts w:hint="eastAsia" w:ascii="宋体" w:hAnsi="宋体" w:eastAsia="宋体" w:cs="宋体"/>
                <w:spacing w:val="-2"/>
                <w:sz w:val="24"/>
                <w:lang w:eastAsia="en-US"/>
              </w:rPr>
            </w:pPr>
          </w:p>
        </w:tc>
        <w:tc>
          <w:tcPr>
            <w:tcW w:w="992" w:type="dxa"/>
            <w:vAlign w:val="center"/>
          </w:tcPr>
          <w:p w14:paraId="475BE0EE">
            <w:pPr>
              <w:autoSpaceDE w:val="0"/>
              <w:autoSpaceDN w:val="0"/>
              <w:spacing w:before="78" w:line="219" w:lineRule="auto"/>
              <w:jc w:val="center"/>
              <w:rPr>
                <w:rFonts w:hint="eastAsia" w:ascii="宋体" w:hAnsi="宋体" w:eastAsia="宋体" w:cs="宋体"/>
                <w:sz w:val="24"/>
                <w:lang w:eastAsia="en-US"/>
              </w:rPr>
            </w:pPr>
            <w:r>
              <w:rPr>
                <w:rFonts w:hint="eastAsia" w:ascii="宋体" w:hAnsi="宋体" w:eastAsia="宋体" w:cs="宋体"/>
                <w:sz w:val="24"/>
                <w:lang w:eastAsia="en-US"/>
              </w:rPr>
              <w:t>施工方案和技术措施</w:t>
            </w:r>
          </w:p>
        </w:tc>
        <w:tc>
          <w:tcPr>
            <w:tcW w:w="567" w:type="dxa"/>
            <w:vAlign w:val="center"/>
          </w:tcPr>
          <w:p w14:paraId="3DDA2F10">
            <w:pPr>
              <w:pStyle w:val="260"/>
              <w:autoSpaceDE w:val="0"/>
              <w:autoSpaceDN w:val="0"/>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10</w:t>
            </w:r>
          </w:p>
        </w:tc>
        <w:tc>
          <w:tcPr>
            <w:tcW w:w="5387" w:type="dxa"/>
            <w:vAlign w:val="center"/>
          </w:tcPr>
          <w:p w14:paraId="13A77FE3">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充分结合项目特征，提出有针对性的具体施工方案。施工方案内容完整，针对性、可行性、合理性、可靠性、安全性强，完全满足采购人需求得10分；</w:t>
            </w:r>
          </w:p>
          <w:p w14:paraId="5FA5DA27">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能够结合项目特征，提出有一定针对性的具体施工方案。施工方案内容较完整，针对性、可行性、合理性、</w:t>
            </w:r>
          </w:p>
          <w:p w14:paraId="75E04ABD">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可靠性、安全性较强，较好地满足采购人需求得8分；</w:t>
            </w:r>
          </w:p>
          <w:p w14:paraId="027CB46B">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能够结合项目部分特征提出施工方案。施工方案内容基本完整，针对性、可行性、合理性、可靠性、安全性一般，基本满足采购人需求得6分；</w:t>
            </w:r>
          </w:p>
          <w:p w14:paraId="7187CA45">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不能结合项目特征，仅提出基本的施工方案。施工方案内容有部分疏漏，针对性、可行性、合理性、可靠性、安全性较弱得4分；</w:t>
            </w:r>
          </w:p>
          <w:p w14:paraId="14963092">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不能结合项目特征，仅提出范本式的施工方案。施工方案内容缺漏较多，无针对性，可行性、合理性、可靠性、安全性差得2分；</w:t>
            </w:r>
          </w:p>
          <w:p w14:paraId="087166D1">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不提供，得0分。</w:t>
            </w:r>
          </w:p>
        </w:tc>
        <w:tc>
          <w:tcPr>
            <w:tcW w:w="1896" w:type="dxa"/>
            <w:vAlign w:val="center"/>
          </w:tcPr>
          <w:p w14:paraId="2385780A">
            <w:pPr>
              <w:pStyle w:val="260"/>
              <w:autoSpaceDE w:val="0"/>
              <w:autoSpaceDN w:val="0"/>
              <w:spacing w:before="33" w:line="234" w:lineRule="auto"/>
              <w:ind w:left="76" w:right="108" w:firstLine="2"/>
              <w:jc w:val="center"/>
              <w:rPr>
                <w:rFonts w:hint="eastAsia" w:ascii="宋体" w:hAnsi="宋体" w:eastAsia="宋体" w:cs="宋体"/>
                <w:spacing w:val="10"/>
                <w:sz w:val="24"/>
                <w:szCs w:val="24"/>
              </w:rPr>
            </w:pPr>
          </w:p>
        </w:tc>
      </w:tr>
      <w:tr w14:paraId="66C54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559" w:type="dxa"/>
            <w:vAlign w:val="center"/>
          </w:tcPr>
          <w:p w14:paraId="65BB7DC4">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731" w:type="dxa"/>
            <w:vMerge w:val="continue"/>
            <w:vAlign w:val="center"/>
          </w:tcPr>
          <w:p w14:paraId="7B288C2B">
            <w:pPr>
              <w:autoSpaceDE w:val="0"/>
              <w:autoSpaceDN w:val="0"/>
              <w:spacing w:before="78" w:line="219" w:lineRule="auto"/>
              <w:jc w:val="center"/>
              <w:rPr>
                <w:rFonts w:hint="eastAsia" w:ascii="宋体" w:hAnsi="宋体" w:eastAsia="宋体" w:cs="宋体"/>
                <w:spacing w:val="-2"/>
                <w:sz w:val="24"/>
                <w:lang w:eastAsia="en-US"/>
              </w:rPr>
            </w:pPr>
          </w:p>
        </w:tc>
        <w:tc>
          <w:tcPr>
            <w:tcW w:w="992" w:type="dxa"/>
            <w:vAlign w:val="center"/>
          </w:tcPr>
          <w:p w14:paraId="4687B321">
            <w:pPr>
              <w:autoSpaceDE w:val="0"/>
              <w:autoSpaceDN w:val="0"/>
              <w:spacing w:before="78" w:line="219" w:lineRule="auto"/>
              <w:jc w:val="center"/>
              <w:rPr>
                <w:rFonts w:hint="eastAsia" w:ascii="宋体" w:hAnsi="宋体" w:eastAsia="宋体" w:cs="宋体"/>
                <w:spacing w:val="-2"/>
                <w:sz w:val="24"/>
                <w:lang w:eastAsia="en-US"/>
              </w:rPr>
            </w:pPr>
            <w:bookmarkStart w:id="698" w:name="OLE_LINK53"/>
            <w:bookmarkStart w:id="699" w:name="OLE_LINK52"/>
            <w:r>
              <w:rPr>
                <w:rFonts w:hint="eastAsia" w:ascii="宋体" w:hAnsi="宋体" w:eastAsia="宋体" w:cs="宋体"/>
                <w:sz w:val="24"/>
                <w:lang w:eastAsia="en-US"/>
              </w:rPr>
              <w:t>文明施工及环保方案</w:t>
            </w:r>
            <w:bookmarkEnd w:id="698"/>
            <w:bookmarkEnd w:id="699"/>
          </w:p>
        </w:tc>
        <w:tc>
          <w:tcPr>
            <w:tcW w:w="567" w:type="dxa"/>
            <w:vAlign w:val="center"/>
          </w:tcPr>
          <w:p w14:paraId="723A1CF1">
            <w:pPr>
              <w:pStyle w:val="260"/>
              <w:autoSpaceDE w:val="0"/>
              <w:autoSpaceDN w:val="0"/>
              <w:jc w:val="center"/>
              <w:rPr>
                <w:rFonts w:hint="eastAsia" w:ascii="宋体" w:hAnsi="宋体" w:eastAsia="宋体" w:cs="宋体"/>
                <w:sz w:val="24"/>
                <w:szCs w:val="24"/>
              </w:rPr>
            </w:pPr>
            <w:r>
              <w:rPr>
                <w:rFonts w:hint="eastAsia" w:ascii="宋体" w:hAnsi="宋体" w:eastAsia="宋体" w:cs="宋体"/>
                <w:bCs/>
                <w:sz w:val="24"/>
                <w:szCs w:val="24"/>
                <w:lang w:eastAsia="zh-CN"/>
              </w:rPr>
              <w:t>5</w:t>
            </w:r>
          </w:p>
        </w:tc>
        <w:tc>
          <w:tcPr>
            <w:tcW w:w="5387" w:type="dxa"/>
            <w:vAlign w:val="center"/>
          </w:tcPr>
          <w:p w14:paraId="3DD9F243">
            <w:pPr>
              <w:autoSpaceDE/>
              <w:autoSpaceDN/>
              <w:spacing w:line="216" w:lineRule="auto"/>
              <w:ind w:firstLine="28"/>
              <w:rPr>
                <w:rFonts w:hint="eastAsia" w:ascii="宋体" w:hAnsi="宋体" w:eastAsia="宋体" w:cs="宋体"/>
                <w:sz w:val="24"/>
                <w:lang w:eastAsia="zh-CN"/>
              </w:rPr>
            </w:pPr>
            <w:bookmarkStart w:id="700" w:name="OLE_LINK34"/>
            <w:bookmarkStart w:id="701" w:name="OLE_LINK35"/>
            <w:r>
              <w:rPr>
                <w:rFonts w:hint="eastAsia" w:ascii="宋体" w:hAnsi="宋体" w:eastAsia="宋体" w:cs="宋体"/>
                <w:spacing w:val="-4"/>
                <w:sz w:val="24"/>
                <w:lang w:eastAsia="zh-CN"/>
              </w:rPr>
              <w:t>安</w:t>
            </w:r>
            <w:r>
              <w:rPr>
                <w:rFonts w:hint="eastAsia" w:ascii="宋体" w:hAnsi="宋体" w:cs="宋体"/>
                <w:spacing w:val="-4"/>
                <w:sz w:val="24"/>
                <w:lang w:val="en-US" w:eastAsia="zh-CN"/>
              </w:rPr>
              <w:t>全</w:t>
            </w:r>
            <w:r>
              <w:rPr>
                <w:rFonts w:hint="eastAsia" w:ascii="宋体" w:hAnsi="宋体" w:eastAsia="宋体" w:cs="宋体"/>
                <w:sz w:val="24"/>
                <w:lang w:eastAsia="zh-CN"/>
              </w:rPr>
              <w:t>文明作业程度高，有完善的培训体系，实施方案内容详实，且针对性及可操作性强，能够有效避免施工周边环境污染的得5分；</w:t>
            </w:r>
          </w:p>
          <w:p w14:paraId="0C77E5DA">
            <w:pPr>
              <w:autoSpaceDE/>
              <w:autoSpaceDN/>
              <w:spacing w:line="216" w:lineRule="auto"/>
              <w:ind w:firstLine="28"/>
              <w:rPr>
                <w:rFonts w:hint="eastAsia" w:ascii="宋体" w:hAnsi="宋体" w:eastAsia="宋体" w:cs="宋体"/>
                <w:sz w:val="24"/>
                <w:lang w:eastAsia="zh-CN"/>
              </w:rPr>
            </w:pPr>
            <w:r>
              <w:rPr>
                <w:rFonts w:hint="eastAsia" w:ascii="宋体" w:hAnsi="宋体" w:eastAsia="宋体" w:cs="宋体"/>
                <w:sz w:val="24"/>
                <w:lang w:eastAsia="zh-CN"/>
              </w:rPr>
              <w:t>文明作业程度一般，相关实施方案内容简略，针对性及可操作性较弱，基本能够避免施工周边环境污染的得3分；</w:t>
            </w:r>
          </w:p>
          <w:p w14:paraId="489FDE09">
            <w:pPr>
              <w:autoSpaceDE/>
              <w:autoSpaceDN/>
              <w:spacing w:line="216" w:lineRule="auto"/>
              <w:ind w:firstLine="28"/>
              <w:rPr>
                <w:rFonts w:hint="eastAsia" w:ascii="宋体" w:hAnsi="宋体" w:eastAsia="宋体" w:cs="宋体"/>
                <w:sz w:val="24"/>
                <w:lang w:eastAsia="zh-CN"/>
              </w:rPr>
            </w:pPr>
            <w:r>
              <w:rPr>
                <w:rFonts w:hint="eastAsia" w:ascii="宋体" w:hAnsi="宋体" w:eastAsia="宋体" w:cs="宋体"/>
                <w:sz w:val="24"/>
                <w:lang w:eastAsia="zh-CN"/>
              </w:rPr>
              <w:t>文明作业程度一般，相关方案内容粗略，针对性及可操作性较差，不能完全合理避免施工周边环境污染的得1分；</w:t>
            </w:r>
          </w:p>
          <w:p w14:paraId="2392CA69">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不提供，得0分。</w:t>
            </w:r>
            <w:bookmarkEnd w:id="700"/>
            <w:bookmarkEnd w:id="701"/>
          </w:p>
        </w:tc>
        <w:tc>
          <w:tcPr>
            <w:tcW w:w="1896" w:type="dxa"/>
            <w:vAlign w:val="center"/>
          </w:tcPr>
          <w:p w14:paraId="09894C69">
            <w:pPr>
              <w:pStyle w:val="260"/>
              <w:autoSpaceDE w:val="0"/>
              <w:autoSpaceDN w:val="0"/>
              <w:spacing w:before="33" w:line="234" w:lineRule="auto"/>
              <w:ind w:left="76" w:right="108" w:firstLine="2"/>
              <w:jc w:val="center"/>
              <w:rPr>
                <w:rFonts w:hint="eastAsia" w:ascii="宋体" w:hAnsi="宋体" w:eastAsia="宋体" w:cs="宋体"/>
                <w:spacing w:val="10"/>
                <w:sz w:val="24"/>
                <w:szCs w:val="24"/>
              </w:rPr>
            </w:pPr>
          </w:p>
        </w:tc>
      </w:tr>
      <w:tr w14:paraId="3E9B4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559" w:type="dxa"/>
            <w:vAlign w:val="center"/>
          </w:tcPr>
          <w:p w14:paraId="7186E8B3">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7</w:t>
            </w:r>
          </w:p>
        </w:tc>
        <w:tc>
          <w:tcPr>
            <w:tcW w:w="731" w:type="dxa"/>
            <w:vMerge w:val="continue"/>
            <w:vAlign w:val="center"/>
          </w:tcPr>
          <w:p w14:paraId="7DA31188">
            <w:pPr>
              <w:autoSpaceDE w:val="0"/>
              <w:autoSpaceDN w:val="0"/>
              <w:spacing w:before="78" w:line="219" w:lineRule="auto"/>
              <w:jc w:val="center"/>
              <w:rPr>
                <w:rFonts w:hint="eastAsia" w:ascii="宋体" w:hAnsi="宋体" w:eastAsia="宋体" w:cs="宋体"/>
                <w:spacing w:val="-2"/>
                <w:sz w:val="24"/>
                <w:lang w:eastAsia="en-US"/>
              </w:rPr>
            </w:pPr>
          </w:p>
        </w:tc>
        <w:tc>
          <w:tcPr>
            <w:tcW w:w="992" w:type="dxa"/>
            <w:vAlign w:val="center"/>
          </w:tcPr>
          <w:p w14:paraId="0FD71BEA">
            <w:pPr>
              <w:autoSpaceDE w:val="0"/>
              <w:autoSpaceDN w:val="0"/>
              <w:spacing w:before="78" w:line="219" w:lineRule="auto"/>
              <w:jc w:val="center"/>
              <w:rPr>
                <w:rFonts w:hint="eastAsia" w:ascii="宋体" w:hAnsi="宋体" w:eastAsia="宋体" w:cs="宋体"/>
                <w:spacing w:val="-2"/>
                <w:sz w:val="24"/>
                <w:lang w:eastAsia="zh-CN"/>
              </w:rPr>
            </w:pPr>
            <w:bookmarkStart w:id="702" w:name="OLE_LINK36"/>
            <w:r>
              <w:rPr>
                <w:rFonts w:hint="eastAsia" w:ascii="宋体" w:hAnsi="宋体" w:eastAsia="宋体" w:cs="宋体"/>
                <w:sz w:val="24"/>
                <w:lang w:eastAsia="zh-CN"/>
              </w:rPr>
              <w:t>劳动力计划主要设备材料用量计划</w:t>
            </w:r>
            <w:bookmarkEnd w:id="702"/>
          </w:p>
        </w:tc>
        <w:tc>
          <w:tcPr>
            <w:tcW w:w="567" w:type="dxa"/>
            <w:vAlign w:val="center"/>
          </w:tcPr>
          <w:p w14:paraId="6D8C0C02">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5387" w:type="dxa"/>
            <w:vAlign w:val="center"/>
          </w:tcPr>
          <w:p w14:paraId="31CAF466">
            <w:pPr>
              <w:pStyle w:val="260"/>
              <w:tabs>
                <w:tab w:val="left" w:pos="1416"/>
              </w:tabs>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z w:val="24"/>
                <w:lang w:eastAsia="zh-CN"/>
              </w:rPr>
              <w:t>综合考虑劳动力计划主要设备材料用量计划</w:t>
            </w:r>
            <w:r>
              <w:rPr>
                <w:rFonts w:hint="eastAsia" w:ascii="宋体" w:hAnsi="宋体" w:eastAsia="宋体" w:cs="宋体"/>
                <w:spacing w:val="-4"/>
                <w:sz w:val="24"/>
                <w:szCs w:val="24"/>
                <w:lang w:eastAsia="zh-CN"/>
              </w:rPr>
              <w:t>方案合理，得5分；</w:t>
            </w:r>
          </w:p>
          <w:p w14:paraId="5BA9CFE3">
            <w:pPr>
              <w:pStyle w:val="260"/>
              <w:tabs>
                <w:tab w:val="left" w:pos="1416"/>
              </w:tabs>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方案较合理，得3分；</w:t>
            </w:r>
          </w:p>
          <w:p w14:paraId="4E36EC09">
            <w:pPr>
              <w:pStyle w:val="260"/>
              <w:tabs>
                <w:tab w:val="left" w:pos="1416"/>
              </w:tabs>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方案较差，得1分；</w:t>
            </w:r>
          </w:p>
          <w:p w14:paraId="6B3D4201">
            <w:pPr>
              <w:pStyle w:val="260"/>
              <w:tabs>
                <w:tab w:val="left" w:pos="1416"/>
              </w:tabs>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不提供，得0分。</w:t>
            </w:r>
          </w:p>
        </w:tc>
        <w:tc>
          <w:tcPr>
            <w:tcW w:w="1896" w:type="dxa"/>
            <w:vAlign w:val="center"/>
          </w:tcPr>
          <w:p w14:paraId="7280CBF4">
            <w:pPr>
              <w:pStyle w:val="260"/>
              <w:autoSpaceDE w:val="0"/>
              <w:autoSpaceDN w:val="0"/>
              <w:spacing w:before="33" w:line="234" w:lineRule="auto"/>
              <w:ind w:left="76" w:right="108" w:firstLine="2"/>
              <w:jc w:val="center"/>
              <w:rPr>
                <w:rFonts w:hint="eastAsia" w:ascii="宋体" w:hAnsi="宋体" w:eastAsia="宋体" w:cs="宋体"/>
                <w:spacing w:val="10"/>
                <w:sz w:val="24"/>
                <w:szCs w:val="24"/>
              </w:rPr>
            </w:pPr>
          </w:p>
        </w:tc>
      </w:tr>
      <w:tr w14:paraId="2F6B9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559" w:type="dxa"/>
            <w:vAlign w:val="center"/>
          </w:tcPr>
          <w:p w14:paraId="4A2E0758">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8</w:t>
            </w:r>
          </w:p>
        </w:tc>
        <w:tc>
          <w:tcPr>
            <w:tcW w:w="731" w:type="dxa"/>
            <w:vMerge w:val="continue"/>
            <w:vAlign w:val="center"/>
          </w:tcPr>
          <w:p w14:paraId="1004AF0D">
            <w:pPr>
              <w:autoSpaceDE w:val="0"/>
              <w:autoSpaceDN w:val="0"/>
              <w:spacing w:before="78" w:line="219" w:lineRule="auto"/>
              <w:jc w:val="center"/>
              <w:rPr>
                <w:rFonts w:hint="eastAsia" w:ascii="宋体" w:hAnsi="宋体" w:eastAsia="宋体" w:cs="宋体"/>
                <w:spacing w:val="-2"/>
                <w:sz w:val="24"/>
                <w:lang w:eastAsia="en-US"/>
              </w:rPr>
            </w:pPr>
          </w:p>
        </w:tc>
        <w:tc>
          <w:tcPr>
            <w:tcW w:w="992" w:type="dxa"/>
            <w:vAlign w:val="center"/>
          </w:tcPr>
          <w:p w14:paraId="4DE1DB91">
            <w:pPr>
              <w:autoSpaceDE w:val="0"/>
              <w:autoSpaceDN w:val="0"/>
              <w:spacing w:before="78" w:line="219" w:lineRule="auto"/>
              <w:jc w:val="center"/>
              <w:rPr>
                <w:rFonts w:hint="eastAsia" w:ascii="宋体" w:hAnsi="宋体" w:eastAsia="宋体" w:cs="宋体"/>
                <w:spacing w:val="-2"/>
                <w:sz w:val="24"/>
                <w:lang w:eastAsia="zh-CN"/>
              </w:rPr>
            </w:pPr>
            <w:r>
              <w:rPr>
                <w:rFonts w:hint="eastAsia" w:ascii="宋体" w:hAnsi="宋体" w:eastAsia="宋体" w:cs="宋体"/>
                <w:sz w:val="24"/>
                <w:lang w:eastAsia="zh-CN"/>
              </w:rPr>
              <w:t>与业主、监理、设计及供货商的配合</w:t>
            </w:r>
          </w:p>
        </w:tc>
        <w:tc>
          <w:tcPr>
            <w:tcW w:w="567" w:type="dxa"/>
            <w:vAlign w:val="center"/>
          </w:tcPr>
          <w:p w14:paraId="48ADF97C">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5387" w:type="dxa"/>
            <w:vAlign w:val="center"/>
          </w:tcPr>
          <w:p w14:paraId="13A15331">
            <w:pPr>
              <w:autoSpaceDE/>
              <w:autoSpaceDN/>
              <w:spacing w:line="216" w:lineRule="auto"/>
              <w:ind w:firstLine="28"/>
              <w:rPr>
                <w:rFonts w:hint="eastAsia" w:ascii="宋体" w:hAnsi="宋体" w:eastAsia="宋体" w:cs="宋体"/>
                <w:sz w:val="24"/>
                <w:lang w:eastAsia="zh-CN"/>
              </w:rPr>
            </w:pPr>
            <w:r>
              <w:rPr>
                <w:rFonts w:hint="eastAsia" w:ascii="宋体" w:hAnsi="宋体" w:eastAsia="宋体" w:cs="宋体"/>
                <w:sz w:val="24"/>
                <w:lang w:eastAsia="zh-CN"/>
              </w:rPr>
              <w:t>与有关部门的协调及对接方案（包括但不限于与采购人、监理及相关单位配合措施等）：</w:t>
            </w:r>
          </w:p>
          <w:p w14:paraId="476EF673">
            <w:pPr>
              <w:autoSpaceDE/>
              <w:autoSpaceDN/>
              <w:spacing w:line="216" w:lineRule="auto"/>
              <w:ind w:firstLine="28"/>
              <w:rPr>
                <w:rFonts w:hint="eastAsia" w:ascii="宋体" w:hAnsi="宋体" w:eastAsia="宋体" w:cs="宋体"/>
                <w:sz w:val="24"/>
                <w:lang w:eastAsia="zh-CN"/>
              </w:rPr>
            </w:pPr>
            <w:r>
              <w:rPr>
                <w:rFonts w:hint="eastAsia" w:ascii="宋体" w:hAnsi="宋体" w:eastAsia="宋体" w:cs="宋体"/>
                <w:sz w:val="24"/>
                <w:lang w:eastAsia="zh-CN"/>
              </w:rPr>
              <w:t>方案全面完整、合理、可行，针对性强，能够确保及时高效地做好与有关部门的协调工作，并及时响应并满足采购人需要得5分；</w:t>
            </w:r>
          </w:p>
          <w:p w14:paraId="36FE9C8F">
            <w:pPr>
              <w:autoSpaceDE/>
              <w:autoSpaceDN/>
              <w:spacing w:line="216" w:lineRule="auto"/>
              <w:ind w:firstLine="28"/>
              <w:rPr>
                <w:rFonts w:hint="eastAsia" w:ascii="宋体" w:hAnsi="宋体" w:eastAsia="宋体" w:cs="宋体"/>
                <w:sz w:val="24"/>
                <w:lang w:eastAsia="zh-CN"/>
              </w:rPr>
            </w:pPr>
            <w:r>
              <w:rPr>
                <w:rFonts w:hint="eastAsia" w:ascii="宋体" w:hAnsi="宋体" w:eastAsia="宋体" w:cs="宋体"/>
                <w:sz w:val="24"/>
                <w:lang w:eastAsia="zh-CN"/>
              </w:rPr>
              <w:t>方案内容一般，针对性及可操作性较弱，基本保证与有关部门的协调工作，基本满足采购人需要得3分；</w:t>
            </w:r>
          </w:p>
          <w:p w14:paraId="2402337E">
            <w:pPr>
              <w:autoSpaceDE/>
              <w:autoSpaceDN/>
              <w:spacing w:line="216" w:lineRule="auto"/>
              <w:ind w:firstLine="28"/>
              <w:rPr>
                <w:rFonts w:hint="eastAsia" w:ascii="宋体" w:hAnsi="宋体" w:eastAsia="宋体" w:cs="宋体"/>
                <w:sz w:val="24"/>
                <w:lang w:eastAsia="zh-CN"/>
              </w:rPr>
            </w:pPr>
            <w:r>
              <w:rPr>
                <w:rFonts w:hint="eastAsia" w:ascii="宋体" w:hAnsi="宋体" w:eastAsia="宋体" w:cs="宋体"/>
                <w:sz w:val="24"/>
                <w:lang w:eastAsia="zh-CN"/>
              </w:rPr>
              <w:t>方案内容较差，针对性及可操作性较差，与有关部门的协调工作较差，不能合理满足采购人需要得1分；</w:t>
            </w:r>
          </w:p>
          <w:p w14:paraId="1FD2FD75">
            <w:pPr>
              <w:pStyle w:val="260"/>
              <w:tabs>
                <w:tab w:val="left" w:pos="1416"/>
              </w:tabs>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不提供，得0分。</w:t>
            </w:r>
          </w:p>
        </w:tc>
        <w:tc>
          <w:tcPr>
            <w:tcW w:w="1896" w:type="dxa"/>
            <w:vAlign w:val="center"/>
          </w:tcPr>
          <w:p w14:paraId="1C22816F">
            <w:pPr>
              <w:pStyle w:val="260"/>
              <w:autoSpaceDE w:val="0"/>
              <w:autoSpaceDN w:val="0"/>
              <w:spacing w:before="33" w:line="234" w:lineRule="auto"/>
              <w:ind w:left="76" w:right="108" w:firstLine="2"/>
              <w:jc w:val="center"/>
              <w:rPr>
                <w:rFonts w:hint="eastAsia" w:ascii="宋体" w:hAnsi="宋体" w:eastAsia="宋体" w:cs="宋体"/>
                <w:spacing w:val="10"/>
                <w:sz w:val="24"/>
                <w:szCs w:val="24"/>
              </w:rPr>
            </w:pPr>
          </w:p>
        </w:tc>
      </w:tr>
      <w:tr w14:paraId="7440D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559" w:type="dxa"/>
            <w:vAlign w:val="center"/>
          </w:tcPr>
          <w:p w14:paraId="5B1A4A4D">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9</w:t>
            </w:r>
          </w:p>
        </w:tc>
        <w:tc>
          <w:tcPr>
            <w:tcW w:w="731" w:type="dxa"/>
            <w:vMerge w:val="continue"/>
            <w:vAlign w:val="center"/>
          </w:tcPr>
          <w:p w14:paraId="6B454E7D">
            <w:pPr>
              <w:autoSpaceDE w:val="0"/>
              <w:autoSpaceDN w:val="0"/>
              <w:spacing w:before="78" w:line="219" w:lineRule="auto"/>
              <w:jc w:val="center"/>
              <w:rPr>
                <w:rFonts w:hint="eastAsia" w:ascii="宋体" w:hAnsi="宋体" w:eastAsia="宋体" w:cs="宋体"/>
                <w:spacing w:val="-2"/>
                <w:sz w:val="24"/>
                <w:lang w:eastAsia="en-US"/>
              </w:rPr>
            </w:pPr>
          </w:p>
        </w:tc>
        <w:tc>
          <w:tcPr>
            <w:tcW w:w="992" w:type="dxa"/>
            <w:vAlign w:val="center"/>
          </w:tcPr>
          <w:p w14:paraId="30A16583">
            <w:pPr>
              <w:autoSpaceDE w:val="0"/>
              <w:autoSpaceDN w:val="0"/>
              <w:spacing w:before="78" w:line="219" w:lineRule="auto"/>
              <w:jc w:val="center"/>
              <w:rPr>
                <w:rFonts w:hint="eastAsia" w:ascii="宋体" w:hAnsi="宋体" w:eastAsia="宋体" w:cs="宋体"/>
                <w:sz w:val="24"/>
                <w:lang w:eastAsia="zh-CN"/>
              </w:rPr>
            </w:pPr>
            <w:bookmarkStart w:id="703" w:name="OLE_LINK37"/>
            <w:r>
              <w:rPr>
                <w:rFonts w:hint="eastAsia" w:ascii="宋体" w:hAnsi="宋体" w:eastAsia="宋体" w:cs="宋体"/>
                <w:sz w:val="24"/>
                <w:lang w:eastAsia="zh-CN"/>
              </w:rPr>
              <w:t>竣工收尾阶段的配合和管理措施</w:t>
            </w:r>
            <w:bookmarkEnd w:id="703"/>
          </w:p>
        </w:tc>
        <w:tc>
          <w:tcPr>
            <w:tcW w:w="567" w:type="dxa"/>
            <w:vAlign w:val="center"/>
          </w:tcPr>
          <w:p w14:paraId="33DF68B5">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5387" w:type="dxa"/>
            <w:vAlign w:val="center"/>
          </w:tcPr>
          <w:p w14:paraId="1185BD93">
            <w:pPr>
              <w:pStyle w:val="260"/>
              <w:tabs>
                <w:tab w:val="left" w:pos="1416"/>
              </w:tabs>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z w:val="24"/>
                <w:lang w:eastAsia="zh-CN"/>
              </w:rPr>
              <w:t>综合考虑竣工收尾阶段的配合和管理措施</w:t>
            </w:r>
            <w:r>
              <w:rPr>
                <w:rFonts w:hint="eastAsia" w:ascii="宋体" w:hAnsi="宋体" w:eastAsia="宋体" w:cs="宋体"/>
                <w:spacing w:val="-4"/>
                <w:sz w:val="24"/>
                <w:szCs w:val="24"/>
                <w:lang w:eastAsia="zh-CN"/>
              </w:rPr>
              <w:t>方案合理，得5分；</w:t>
            </w:r>
          </w:p>
          <w:p w14:paraId="19871B76">
            <w:pPr>
              <w:pStyle w:val="260"/>
              <w:tabs>
                <w:tab w:val="left" w:pos="1416"/>
              </w:tabs>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方案较合理，得3分；</w:t>
            </w:r>
          </w:p>
          <w:p w14:paraId="659B46CD">
            <w:pPr>
              <w:pStyle w:val="260"/>
              <w:tabs>
                <w:tab w:val="left" w:pos="1416"/>
              </w:tabs>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方案较差，得1分；</w:t>
            </w:r>
          </w:p>
          <w:p w14:paraId="5B9ADF68">
            <w:pPr>
              <w:pStyle w:val="260"/>
              <w:tabs>
                <w:tab w:val="left" w:pos="1416"/>
              </w:tabs>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不提供，得0分。</w:t>
            </w:r>
          </w:p>
        </w:tc>
        <w:tc>
          <w:tcPr>
            <w:tcW w:w="1896" w:type="dxa"/>
            <w:vAlign w:val="center"/>
          </w:tcPr>
          <w:p w14:paraId="2BAECA59">
            <w:pPr>
              <w:pStyle w:val="260"/>
              <w:autoSpaceDE w:val="0"/>
              <w:autoSpaceDN w:val="0"/>
              <w:spacing w:before="33" w:line="234" w:lineRule="auto"/>
              <w:ind w:left="76" w:right="108" w:firstLine="2"/>
              <w:jc w:val="center"/>
              <w:rPr>
                <w:rFonts w:hint="eastAsia" w:ascii="宋体" w:hAnsi="宋体" w:eastAsia="宋体" w:cs="宋体"/>
                <w:spacing w:val="10"/>
                <w:sz w:val="24"/>
                <w:szCs w:val="24"/>
              </w:rPr>
            </w:pPr>
          </w:p>
        </w:tc>
      </w:tr>
      <w:tr w14:paraId="77135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559" w:type="dxa"/>
            <w:vAlign w:val="center"/>
          </w:tcPr>
          <w:p w14:paraId="2809279A">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723" w:type="dxa"/>
            <w:gridSpan w:val="2"/>
            <w:vAlign w:val="center"/>
          </w:tcPr>
          <w:p w14:paraId="730D7CD9">
            <w:pPr>
              <w:autoSpaceDE w:val="0"/>
              <w:autoSpaceDN w:val="0"/>
              <w:spacing w:before="78" w:line="219" w:lineRule="auto"/>
              <w:jc w:val="center"/>
              <w:rPr>
                <w:rFonts w:hint="eastAsia" w:ascii="宋体" w:hAnsi="宋体" w:eastAsia="宋体" w:cs="宋体"/>
                <w:spacing w:val="-2"/>
                <w:sz w:val="24"/>
                <w:lang w:eastAsia="en-US"/>
              </w:rPr>
            </w:pPr>
            <w:r>
              <w:rPr>
                <w:rFonts w:hint="eastAsia" w:ascii="宋体" w:hAnsi="宋体" w:eastAsia="宋体" w:cs="宋体"/>
                <w:spacing w:val="-2"/>
                <w:sz w:val="24"/>
                <w:lang w:eastAsia="en-US"/>
              </w:rPr>
              <w:t>报价</w:t>
            </w:r>
          </w:p>
        </w:tc>
        <w:tc>
          <w:tcPr>
            <w:tcW w:w="567" w:type="dxa"/>
            <w:vAlign w:val="center"/>
          </w:tcPr>
          <w:p w14:paraId="178CCDD0">
            <w:pPr>
              <w:pStyle w:val="260"/>
              <w:autoSpaceDE w:val="0"/>
              <w:autoSpaceDN w:val="0"/>
              <w:jc w:val="center"/>
              <w:rPr>
                <w:rFonts w:hint="eastAsia" w:ascii="宋体" w:hAnsi="宋体" w:eastAsia="宋体" w:cs="宋体"/>
                <w:sz w:val="24"/>
                <w:szCs w:val="24"/>
                <w:lang w:eastAsia="zh-CN"/>
              </w:rPr>
            </w:pPr>
            <w:r>
              <w:rPr>
                <w:rFonts w:hint="eastAsia" w:cs="宋体"/>
                <w:sz w:val="24"/>
                <w:szCs w:val="24"/>
                <w:lang w:val="en-US" w:eastAsia="zh-CN"/>
              </w:rPr>
              <w:t>3</w:t>
            </w:r>
            <w:r>
              <w:rPr>
                <w:rFonts w:hint="eastAsia" w:ascii="宋体" w:hAnsi="宋体" w:eastAsia="宋体" w:cs="宋体"/>
                <w:sz w:val="24"/>
                <w:szCs w:val="24"/>
                <w:lang w:eastAsia="zh-CN"/>
              </w:rPr>
              <w:t>0</w:t>
            </w:r>
          </w:p>
        </w:tc>
        <w:tc>
          <w:tcPr>
            <w:tcW w:w="5387" w:type="dxa"/>
            <w:vAlign w:val="center"/>
          </w:tcPr>
          <w:p w14:paraId="38E4E559">
            <w:pPr>
              <w:autoSpaceDE w:val="0"/>
              <w:autoSpaceDN w:val="0"/>
              <w:spacing w:before="34" w:line="235" w:lineRule="auto"/>
              <w:ind w:right="103"/>
              <w:rPr>
                <w:rFonts w:hint="eastAsia" w:ascii="宋体" w:hAnsi="宋体" w:eastAsia="宋体" w:cs="宋体"/>
                <w:sz w:val="24"/>
                <w:lang w:eastAsia="zh-CN"/>
              </w:rPr>
            </w:pPr>
            <w:r>
              <w:rPr>
                <w:rFonts w:hint="eastAsia" w:ascii="宋体" w:hAnsi="宋体" w:eastAsia="宋体" w:cs="宋体"/>
                <w:spacing w:val="-1"/>
                <w:sz w:val="24"/>
                <w:lang w:eastAsia="zh-CN"/>
              </w:rPr>
              <w:t>满足磋商文件要求的最后报价最低</w:t>
            </w:r>
            <w:r>
              <w:rPr>
                <w:rFonts w:hint="eastAsia" w:ascii="宋体" w:hAnsi="宋体" w:eastAsia="宋体" w:cs="宋体"/>
                <w:spacing w:val="-13"/>
                <w:sz w:val="24"/>
                <w:lang w:eastAsia="zh-CN"/>
              </w:rPr>
              <w:t>的供应商的价格为磋商基准价，其价</w:t>
            </w:r>
            <w:r>
              <w:rPr>
                <w:rFonts w:hint="eastAsia" w:ascii="宋体" w:hAnsi="宋体" w:eastAsia="宋体" w:cs="宋体"/>
                <w:spacing w:val="-6"/>
                <w:sz w:val="24"/>
                <w:lang w:eastAsia="zh-CN"/>
              </w:rPr>
              <w:t>格分为满分。其他供应商的价格分统一按照下列公式计算：</w:t>
            </w:r>
          </w:p>
          <w:p w14:paraId="37C4CF9B">
            <w:pPr>
              <w:pStyle w:val="260"/>
              <w:autoSpaceDE w:val="0"/>
              <w:autoSpaceDN w:val="0"/>
              <w:spacing w:before="24" w:line="222" w:lineRule="auto"/>
              <w:ind w:right="197"/>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磋商报价得分=（磋商基准价/最后</w:t>
            </w:r>
            <w:r>
              <w:rPr>
                <w:rFonts w:hint="eastAsia" w:ascii="宋体" w:hAnsi="宋体" w:eastAsia="宋体" w:cs="宋体"/>
                <w:spacing w:val="-10"/>
                <w:sz w:val="24"/>
                <w:szCs w:val="24"/>
                <w:lang w:eastAsia="zh-CN"/>
              </w:rPr>
              <w:t>报价）×分值</w:t>
            </w:r>
          </w:p>
        </w:tc>
        <w:tc>
          <w:tcPr>
            <w:tcW w:w="1896" w:type="dxa"/>
            <w:vAlign w:val="center"/>
          </w:tcPr>
          <w:p w14:paraId="4EB5A64C">
            <w:pPr>
              <w:pStyle w:val="260"/>
              <w:autoSpaceDE w:val="0"/>
              <w:autoSpaceDN w:val="0"/>
              <w:spacing w:before="33" w:line="234" w:lineRule="auto"/>
              <w:ind w:right="108"/>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此处最后报价指经过报价修正，及因落实政府采购政策进行价格调整后的报价，详见第三章《评审方法</w:t>
            </w:r>
            <w:r>
              <w:rPr>
                <w:rFonts w:hint="eastAsia" w:ascii="宋体" w:hAnsi="宋体" w:eastAsia="宋体" w:cs="宋体"/>
                <w:spacing w:val="-8"/>
                <w:sz w:val="24"/>
                <w:szCs w:val="24"/>
                <w:lang w:eastAsia="zh-CN"/>
              </w:rPr>
              <w:t>和评审标准》3.2、3.3</w:t>
            </w:r>
          </w:p>
        </w:tc>
      </w:tr>
      <w:tr w14:paraId="38E14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2282" w:type="dxa"/>
            <w:gridSpan w:val="3"/>
            <w:vAlign w:val="center"/>
          </w:tcPr>
          <w:p w14:paraId="32D48DDC">
            <w:pPr>
              <w:autoSpaceDE w:val="0"/>
              <w:autoSpaceDN w:val="0"/>
              <w:spacing w:before="42" w:line="206" w:lineRule="auto"/>
              <w:ind w:firstLine="936" w:firstLineChars="400"/>
              <w:rPr>
                <w:rFonts w:hint="eastAsia" w:ascii="宋体" w:hAnsi="宋体" w:eastAsia="宋体" w:cs="宋体"/>
                <w:sz w:val="24"/>
                <w:lang w:eastAsia="en-US"/>
              </w:rPr>
            </w:pPr>
            <w:r>
              <w:rPr>
                <w:rFonts w:hint="eastAsia" w:ascii="宋体" w:hAnsi="宋体" w:eastAsia="宋体" w:cs="宋体"/>
                <w:spacing w:val="-3"/>
                <w:sz w:val="24"/>
                <w:lang w:eastAsia="en-US"/>
              </w:rPr>
              <w:t>合计</w:t>
            </w:r>
          </w:p>
        </w:tc>
        <w:tc>
          <w:tcPr>
            <w:tcW w:w="567" w:type="dxa"/>
            <w:vAlign w:val="center"/>
          </w:tcPr>
          <w:p w14:paraId="1B62D923">
            <w:pPr>
              <w:pStyle w:val="260"/>
              <w:autoSpaceDE w:val="0"/>
              <w:autoSpaceDN w:val="0"/>
              <w:spacing w:before="62" w:line="202" w:lineRule="auto"/>
              <w:jc w:val="center"/>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100</w:t>
            </w:r>
          </w:p>
        </w:tc>
        <w:tc>
          <w:tcPr>
            <w:tcW w:w="7283" w:type="dxa"/>
            <w:gridSpan w:val="2"/>
          </w:tcPr>
          <w:p w14:paraId="13690514">
            <w:pPr>
              <w:pStyle w:val="260"/>
              <w:autoSpaceDE w:val="0"/>
              <w:autoSpaceDN w:val="0"/>
              <w:rPr>
                <w:rFonts w:hint="eastAsia" w:ascii="宋体" w:hAnsi="宋体" w:eastAsia="宋体" w:cs="宋体"/>
              </w:rPr>
            </w:pPr>
          </w:p>
        </w:tc>
      </w:tr>
    </w:tbl>
    <w:p w14:paraId="668110EC">
      <w:pPr>
        <w:pStyle w:val="4"/>
        <w:rPr>
          <w:rFonts w:hint="eastAsia" w:ascii="宋体" w:hAnsi="宋体" w:eastAsia="宋体" w:cs="宋体"/>
        </w:rPr>
      </w:pPr>
    </w:p>
    <w:p w14:paraId="74228C89">
      <w:pPr>
        <w:pStyle w:val="4"/>
        <w:rPr>
          <w:rFonts w:hint="eastAsia" w:ascii="宋体" w:hAnsi="宋体" w:eastAsia="宋体" w:cs="宋体"/>
        </w:rPr>
      </w:pPr>
    </w:p>
    <w:p w14:paraId="30326D71">
      <w:pPr>
        <w:pStyle w:val="4"/>
        <w:rPr>
          <w:rFonts w:hint="eastAsia" w:ascii="宋体" w:hAnsi="宋体" w:eastAsia="宋体" w:cs="宋体"/>
        </w:rPr>
      </w:pPr>
    </w:p>
    <w:p w14:paraId="56E2A0AB">
      <w:pPr>
        <w:spacing w:line="360" w:lineRule="auto"/>
        <w:jc w:val="center"/>
        <w:outlineLvl w:val="0"/>
        <w:rPr>
          <w:rFonts w:hint="eastAsia" w:ascii="宋体" w:hAnsi="宋体" w:eastAsia="宋体" w:cs="宋体"/>
          <w:b/>
          <w:sz w:val="36"/>
          <w:szCs w:val="36"/>
        </w:rPr>
      </w:pPr>
      <w:bookmarkStart w:id="704" w:name="_Toc97371945"/>
      <w:r>
        <w:rPr>
          <w:rFonts w:hint="eastAsia" w:ascii="宋体" w:hAnsi="宋体" w:eastAsia="宋体" w:cs="宋体"/>
          <w:b/>
          <w:sz w:val="36"/>
          <w:szCs w:val="36"/>
        </w:rPr>
        <w:t>第四章   采购需求</w:t>
      </w:r>
      <w:bookmarkEnd w:id="704"/>
    </w:p>
    <w:p w14:paraId="1336D464">
      <w:pPr>
        <w:spacing w:line="420" w:lineRule="exact"/>
        <w:jc w:val="center"/>
        <w:rPr>
          <w:rFonts w:hint="eastAsia" w:ascii="宋体" w:hAnsi="宋体" w:eastAsia="宋体" w:cs="宋体"/>
          <w:spacing w:val="-1"/>
          <w:szCs w:val="21"/>
        </w:rPr>
      </w:pPr>
      <w:r>
        <w:rPr>
          <w:rFonts w:hint="eastAsia" w:ascii="宋体" w:hAnsi="宋体" w:eastAsia="宋体" w:cs="宋体"/>
          <w:szCs w:val="21"/>
        </w:rPr>
        <w:t>（工程量清单后附）</w:t>
      </w:r>
    </w:p>
    <w:p w14:paraId="4C293E59">
      <w:pPr>
        <w:spacing w:line="420" w:lineRule="exact"/>
        <w:jc w:val="center"/>
        <w:rPr>
          <w:rFonts w:hint="eastAsia" w:ascii="宋体" w:hAnsi="宋体" w:eastAsia="宋体" w:cs="宋体"/>
          <w:b/>
          <w:bCs/>
          <w:szCs w:val="21"/>
        </w:rPr>
      </w:pPr>
      <w:r>
        <w:rPr>
          <w:rFonts w:hint="eastAsia" w:ascii="宋体" w:hAnsi="宋体" w:eastAsia="宋体" w:cs="宋体"/>
          <w:b/>
          <w:bCs/>
          <w:szCs w:val="21"/>
        </w:rPr>
        <w:t>招标工程量清单编制说明</w:t>
      </w:r>
    </w:p>
    <w:p w14:paraId="628113E0">
      <w:pPr>
        <w:spacing w:line="420" w:lineRule="exact"/>
        <w:rPr>
          <w:rFonts w:hint="eastAsia" w:ascii="宋体" w:hAnsi="宋体" w:eastAsia="宋体" w:cs="宋体"/>
          <w:szCs w:val="21"/>
        </w:rPr>
      </w:pPr>
      <w:r>
        <w:rPr>
          <w:rFonts w:hint="eastAsia" w:ascii="宋体" w:hAnsi="宋体" w:eastAsia="宋体" w:cs="宋体"/>
          <w:b/>
          <w:bCs/>
          <w:szCs w:val="21"/>
        </w:rPr>
        <w:t>一、编制依据</w:t>
      </w:r>
    </w:p>
    <w:p w14:paraId="12CF1446">
      <w:pPr>
        <w:spacing w:line="420" w:lineRule="exact"/>
        <w:rPr>
          <w:rFonts w:hint="eastAsia" w:ascii="宋体" w:hAnsi="宋体" w:eastAsia="宋体" w:cs="宋体"/>
          <w:szCs w:val="21"/>
        </w:rPr>
      </w:pPr>
      <w:r>
        <w:rPr>
          <w:rFonts w:hint="eastAsia" w:ascii="宋体" w:hAnsi="宋体" w:eastAsia="宋体" w:cs="宋体"/>
          <w:szCs w:val="21"/>
        </w:rPr>
        <w:t>1.《建设工程工程量清单计价规范》 (GB50500-2013)及其配套文件；</w:t>
      </w:r>
    </w:p>
    <w:p w14:paraId="5336C80A">
      <w:pPr>
        <w:spacing w:line="420" w:lineRule="exact"/>
        <w:rPr>
          <w:rFonts w:hint="eastAsia" w:ascii="宋体" w:hAnsi="宋体" w:eastAsia="宋体" w:cs="宋体"/>
          <w:szCs w:val="21"/>
        </w:rPr>
      </w:pPr>
      <w:r>
        <w:rPr>
          <w:rFonts w:hint="eastAsia" w:ascii="宋体" w:hAnsi="宋体" w:eastAsia="宋体" w:cs="宋体"/>
          <w:szCs w:val="21"/>
        </w:rPr>
        <w:t>2.《房屋修缮工程工程量计算规范》（DB11/T 638—2016）及其配套文件；</w:t>
      </w:r>
    </w:p>
    <w:p w14:paraId="2B82B57E">
      <w:pPr>
        <w:spacing w:line="420" w:lineRule="exact"/>
        <w:rPr>
          <w:rFonts w:hint="eastAsia" w:ascii="宋体" w:hAnsi="宋体" w:eastAsia="宋体" w:cs="宋体"/>
          <w:szCs w:val="21"/>
        </w:rPr>
      </w:pPr>
      <w:r>
        <w:rPr>
          <w:rFonts w:hint="eastAsia" w:ascii="宋体" w:hAnsi="宋体" w:eastAsia="宋体" w:cs="宋体"/>
          <w:szCs w:val="21"/>
        </w:rPr>
        <w:t>3.《房屋建筑与装饰工程工程量计算标准》（GB/T50854-2024）及其配套文件；</w:t>
      </w:r>
    </w:p>
    <w:p w14:paraId="23B2B27E">
      <w:pPr>
        <w:spacing w:line="420" w:lineRule="exact"/>
        <w:rPr>
          <w:rFonts w:hint="eastAsia" w:ascii="宋体" w:hAnsi="宋体" w:eastAsia="宋体" w:cs="宋体"/>
          <w:szCs w:val="21"/>
        </w:rPr>
      </w:pPr>
      <w:r>
        <w:rPr>
          <w:rFonts w:hint="eastAsia" w:ascii="宋体" w:hAnsi="宋体" w:eastAsia="宋体" w:cs="宋体"/>
          <w:szCs w:val="21"/>
        </w:rPr>
        <w:t>4.《房屋修缮工程工程量计算标准》（DB11/T638-2023）及其配套文件；</w:t>
      </w:r>
    </w:p>
    <w:p w14:paraId="35CD2351">
      <w:pPr>
        <w:spacing w:line="420" w:lineRule="exact"/>
        <w:rPr>
          <w:rFonts w:hint="eastAsia" w:ascii="宋体" w:hAnsi="宋体" w:eastAsia="宋体" w:cs="宋体"/>
          <w:szCs w:val="21"/>
        </w:rPr>
      </w:pPr>
      <w:r>
        <w:rPr>
          <w:rFonts w:hint="eastAsia" w:ascii="宋体" w:hAnsi="宋体" w:eastAsia="宋体" w:cs="宋体"/>
          <w:szCs w:val="21"/>
        </w:rPr>
        <w:t>5.《北京市建设工程计价依据-预算消耗量标准》 (2021年)及其配套文件；</w:t>
      </w:r>
    </w:p>
    <w:p w14:paraId="522EDE68">
      <w:pPr>
        <w:spacing w:line="420" w:lineRule="exact"/>
        <w:rPr>
          <w:rFonts w:hint="eastAsia" w:ascii="宋体" w:hAnsi="宋体" w:eastAsia="宋体" w:cs="宋体"/>
          <w:szCs w:val="21"/>
        </w:rPr>
      </w:pPr>
      <w:r>
        <w:rPr>
          <w:rFonts w:hint="eastAsia" w:ascii="宋体" w:hAnsi="宋体" w:eastAsia="宋体" w:cs="宋体"/>
          <w:szCs w:val="21"/>
        </w:rPr>
        <w:t>6.《北京市房屋修缮工程计价依据预算消耗量标准》 (2021年)及其配套文件；</w:t>
      </w:r>
    </w:p>
    <w:p w14:paraId="56DD80D5">
      <w:pPr>
        <w:spacing w:line="420" w:lineRule="exact"/>
        <w:rPr>
          <w:rFonts w:hint="eastAsia" w:ascii="宋体" w:hAnsi="宋体" w:eastAsia="宋体" w:cs="宋体"/>
          <w:szCs w:val="21"/>
        </w:rPr>
      </w:pPr>
      <w:r>
        <w:rPr>
          <w:rFonts w:hint="eastAsia" w:ascii="宋体" w:hAnsi="宋体" w:eastAsia="宋体" w:cs="宋体"/>
          <w:szCs w:val="21"/>
        </w:rPr>
        <w:t>7.《建设工程施工消耗量标准》（DB11/T 2382-2024）及其配套文件</w:t>
      </w:r>
    </w:p>
    <w:p w14:paraId="2C180A37">
      <w:pPr>
        <w:spacing w:line="420" w:lineRule="exact"/>
        <w:rPr>
          <w:rFonts w:hint="eastAsia" w:ascii="宋体" w:hAnsi="宋体" w:eastAsia="宋体" w:cs="宋体"/>
          <w:szCs w:val="21"/>
        </w:rPr>
      </w:pPr>
      <w:r>
        <w:rPr>
          <w:rFonts w:hint="eastAsia" w:ascii="宋体" w:hAnsi="宋体" w:eastAsia="宋体" w:cs="宋体"/>
          <w:szCs w:val="21"/>
        </w:rPr>
        <w:t>8.人工工日单价与主要材料单价依据《北京建设工程造价信息》 ，工程造价信息没有发布的参照市场价；</w:t>
      </w:r>
    </w:p>
    <w:p w14:paraId="5906F3C9">
      <w:pPr>
        <w:spacing w:line="420" w:lineRule="exact"/>
        <w:rPr>
          <w:rFonts w:hint="eastAsia" w:ascii="宋体" w:hAnsi="宋体" w:eastAsia="宋体" w:cs="宋体"/>
          <w:szCs w:val="21"/>
        </w:rPr>
      </w:pPr>
      <w:r>
        <w:rPr>
          <w:rFonts w:hint="eastAsia" w:ascii="宋体" w:hAnsi="宋体" w:eastAsia="宋体" w:cs="宋体"/>
          <w:b/>
          <w:bCs/>
          <w:szCs w:val="21"/>
        </w:rPr>
        <w:t>二、编制范围</w:t>
      </w:r>
    </w:p>
    <w:p w14:paraId="09BCDD99">
      <w:pPr>
        <w:pStyle w:val="43"/>
        <w:spacing w:before="0" w:beforeAutospacing="0" w:after="0" w:afterAutospacing="0" w:line="42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密云区太师屯镇民族村基础设施灾后修复及防灾减灾能力提升项目</w:t>
      </w:r>
    </w:p>
    <w:p w14:paraId="79A10B63">
      <w:pPr>
        <w:pStyle w:val="43"/>
        <w:spacing w:before="0" w:beforeAutospacing="0" w:after="0" w:afterAutospacing="0" w:line="42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包括：</w:t>
      </w:r>
      <w:bookmarkStart w:id="705" w:name="_Hlk226275621"/>
      <w:r>
        <w:rPr>
          <w:rFonts w:hint="eastAsia" w:cs="宋体"/>
          <w:color w:val="000000" w:themeColor="text1"/>
          <w:sz w:val="21"/>
          <w:szCs w:val="21"/>
          <w:lang w:eastAsia="zh-CN"/>
          <w14:textFill>
            <w14:solidFill>
              <w14:schemeClr w14:val="tx1"/>
            </w14:solidFill>
          </w14:textFill>
        </w:rPr>
        <w:t>密云区太师屯镇民族村基础设施灾后修复及防灾减灾能力提升项目</w:t>
      </w:r>
      <w:r>
        <w:rPr>
          <w:rFonts w:hint="eastAsia" w:ascii="宋体" w:hAnsi="宋体" w:eastAsia="宋体" w:cs="宋体"/>
          <w:color w:val="000000" w:themeColor="text1"/>
          <w:sz w:val="21"/>
          <w:szCs w:val="21"/>
          <w:lang w:eastAsia="zh-CN"/>
          <w14:textFill>
            <w14:solidFill>
              <w14:schemeClr w14:val="tx1"/>
            </w14:solidFill>
          </w14:textFill>
        </w:rPr>
        <w:t>清单及图纸范围内全部内容</w:t>
      </w:r>
      <w:r>
        <w:rPr>
          <w:rFonts w:hint="eastAsia" w:ascii="宋体" w:hAnsi="宋体" w:eastAsia="宋体" w:cs="宋体"/>
          <w:color w:val="000000" w:themeColor="text1"/>
          <w:sz w:val="21"/>
          <w:szCs w:val="21"/>
          <w14:textFill>
            <w14:solidFill>
              <w14:schemeClr w14:val="tx1"/>
            </w14:solidFill>
          </w14:textFill>
        </w:rPr>
        <w:t>。</w:t>
      </w:r>
      <w:bookmarkEnd w:id="705"/>
    </w:p>
    <w:p w14:paraId="257B4415">
      <w:pPr>
        <w:numPr>
          <w:ilvl w:val="0"/>
          <w:numId w:val="12"/>
        </w:numPr>
        <w:spacing w:line="420" w:lineRule="exact"/>
        <w:jc w:val="left"/>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其他说明</w:t>
      </w:r>
    </w:p>
    <w:p w14:paraId="12F3933F">
      <w:pPr>
        <w:numPr>
          <w:ilvl w:val="0"/>
          <w:numId w:val="13"/>
        </w:numPr>
        <w:spacing w:line="420" w:lineRule="exact"/>
        <w:jc w:val="left"/>
        <w:rPr>
          <w:rFonts w:hint="eastAsia" w:ascii="宋体" w:hAnsi="宋体" w:eastAsia="宋体" w:cs="宋体"/>
          <w:szCs w:val="21"/>
        </w:rPr>
      </w:pPr>
      <w:r>
        <w:rPr>
          <w:rFonts w:hint="eastAsia" w:ascii="宋体" w:hAnsi="宋体" w:eastAsia="宋体" w:cs="宋体"/>
          <w:szCs w:val="21"/>
        </w:rPr>
        <w:t xml:space="preserve">本项目依据评审结论通知书相关内容编制。 </w:t>
      </w:r>
    </w:p>
    <w:p w14:paraId="2426555C">
      <w:pPr>
        <w:numPr>
          <w:ilvl w:val="0"/>
          <w:numId w:val="13"/>
        </w:numPr>
        <w:spacing w:line="420" w:lineRule="exact"/>
        <w:jc w:val="left"/>
        <w:rPr>
          <w:rFonts w:hint="eastAsia" w:ascii="宋体" w:hAnsi="宋体" w:eastAsia="宋体" w:cs="宋体"/>
          <w:szCs w:val="21"/>
        </w:rPr>
      </w:pPr>
      <w:r>
        <w:rPr>
          <w:rFonts w:hint="eastAsia" w:ascii="宋体" w:hAnsi="宋体" w:eastAsia="宋体" w:cs="宋体"/>
          <w:szCs w:val="21"/>
        </w:rPr>
        <w:t>招标工程量与实际不符时，竣工结算据实调整。</w:t>
      </w:r>
    </w:p>
    <w:p w14:paraId="05B76A8A">
      <w:pPr>
        <w:pStyle w:val="43"/>
        <w:numPr>
          <w:ilvl w:val="0"/>
          <w:numId w:val="13"/>
        </w:numPr>
        <w:spacing w:before="0" w:beforeAutospacing="0" w:after="0" w:afterAutospacing="0" w:line="420" w:lineRule="exact"/>
        <w:rPr>
          <w:rFonts w:hint="eastAsia" w:ascii="宋体" w:hAnsi="宋体" w:eastAsia="宋体" w:cs="宋体"/>
          <w:sz w:val="21"/>
          <w:szCs w:val="21"/>
        </w:rPr>
      </w:pPr>
      <w:r>
        <w:rPr>
          <w:rFonts w:hint="eastAsia" w:ascii="宋体" w:hAnsi="宋体" w:eastAsia="宋体" w:cs="宋体"/>
          <w:sz w:val="21"/>
          <w:szCs w:val="21"/>
        </w:rPr>
        <w:t>其他详见竞争性磋商文件。</w:t>
      </w:r>
    </w:p>
    <w:p w14:paraId="3F9BDF14">
      <w:pPr>
        <w:pStyle w:val="106"/>
        <w:spacing w:line="420" w:lineRule="exact"/>
        <w:ind w:left="425" w:firstLine="0" w:firstLineChars="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施工组织设计编制说明</w:t>
      </w:r>
    </w:p>
    <w:p w14:paraId="3DDC65CB">
      <w:pPr>
        <w:pStyle w:val="23"/>
        <w:numPr>
          <w:ilvl w:val="0"/>
          <w:numId w:val="13"/>
        </w:numPr>
        <w:spacing w:line="420" w:lineRule="exac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一、施工组织设计编制说明</w:t>
      </w:r>
    </w:p>
    <w:p w14:paraId="5806FE31">
      <w:pPr>
        <w:pStyle w:val="23"/>
        <w:spacing w:line="420" w:lineRule="exact"/>
        <w:ind w:left="425"/>
        <w:rPr>
          <w:rFonts w:hint="eastAsia" w:ascii="宋体" w:hAnsi="宋体" w:eastAsia="宋体" w:cs="宋体"/>
          <w:color w:val="000000" w:themeColor="text1"/>
          <w:szCs w:val="21"/>
          <w14:textFill>
            <w14:solidFill>
              <w14:schemeClr w14:val="tx1"/>
            </w14:solidFill>
          </w14:textFill>
        </w:rPr>
      </w:pPr>
      <w:bookmarkStart w:id="706" w:name="OLE_LINK54"/>
      <w:r>
        <w:rPr>
          <w:rFonts w:hint="eastAsia" w:ascii="宋体" w:hAnsi="宋体" w:eastAsia="宋体" w:cs="宋体"/>
          <w:color w:val="000000" w:themeColor="text1"/>
          <w:szCs w:val="21"/>
          <w14:textFill>
            <w14:solidFill>
              <w14:schemeClr w14:val="tx1"/>
            </w14:solidFill>
          </w14:textFill>
        </w:rPr>
        <w:t>1.投标人应当针对项目特征自行编制施工组织设计，国家及地方现有工法规范已有的内容无需重复提交，施工组织设计的总篇幅不得超过150页（其中包含文件封面、目录、正文、封底等全部内容），超过150页，采用否决性惩戒。</w:t>
      </w:r>
    </w:p>
    <w:p w14:paraId="450FA458">
      <w:pPr>
        <w:pStyle w:val="23"/>
        <w:spacing w:line="420" w:lineRule="exact"/>
        <w:ind w:left="425"/>
        <w:rPr>
          <w:rFonts w:hint="eastAsia" w:ascii="宋体" w:hAnsi="宋体" w:eastAsia="宋体" w:cs="宋体"/>
          <w:color w:val="000000" w:themeColor="text1"/>
          <w:szCs w:val="21"/>
          <w14:textFill>
            <w14:solidFill>
              <w14:schemeClr w14:val="tx1"/>
            </w14:solidFill>
          </w14:textFill>
        </w:rPr>
      </w:pPr>
    </w:p>
    <w:bookmarkEnd w:id="706"/>
    <w:p w14:paraId="2CA12342">
      <w:pPr>
        <w:pStyle w:val="17"/>
        <w:spacing w:before="353" w:line="500" w:lineRule="exact"/>
        <w:jc w:val="center"/>
        <w:rPr>
          <w:rFonts w:hint="eastAsia" w:ascii="宋体" w:hAnsi="宋体" w:eastAsia="宋体" w:cs="宋体"/>
          <w:spacing w:val="-1"/>
          <w:sz w:val="36"/>
          <w:szCs w:val="36"/>
        </w:rPr>
      </w:pPr>
    </w:p>
    <w:p w14:paraId="48A322AE">
      <w:pPr>
        <w:pStyle w:val="17"/>
        <w:spacing w:before="353" w:line="500" w:lineRule="exact"/>
        <w:jc w:val="center"/>
        <w:rPr>
          <w:rFonts w:hint="eastAsia" w:ascii="宋体" w:hAnsi="宋体" w:eastAsia="宋体" w:cs="宋体"/>
          <w:spacing w:val="-1"/>
          <w:sz w:val="36"/>
          <w:szCs w:val="36"/>
        </w:rPr>
      </w:pPr>
    </w:p>
    <w:p w14:paraId="0768385C">
      <w:pPr>
        <w:rPr>
          <w:rFonts w:hint="eastAsia" w:ascii="宋体" w:hAnsi="宋体" w:eastAsia="宋体" w:cs="宋体"/>
          <w:spacing w:val="-1"/>
          <w:sz w:val="36"/>
          <w:szCs w:val="36"/>
        </w:rPr>
      </w:pPr>
      <w:r>
        <w:rPr>
          <w:rFonts w:hint="eastAsia" w:ascii="宋体" w:hAnsi="宋体" w:eastAsia="宋体" w:cs="宋体"/>
          <w:spacing w:val="-1"/>
          <w:sz w:val="36"/>
          <w:szCs w:val="36"/>
        </w:rPr>
        <w:br w:type="page"/>
      </w:r>
    </w:p>
    <w:p w14:paraId="031098AE">
      <w:pPr>
        <w:pStyle w:val="17"/>
        <w:spacing w:before="353" w:line="500" w:lineRule="exact"/>
        <w:jc w:val="center"/>
        <w:rPr>
          <w:rFonts w:hint="eastAsia" w:ascii="宋体" w:hAnsi="宋体" w:eastAsia="宋体" w:cs="宋体"/>
          <w:spacing w:val="-1"/>
          <w:sz w:val="36"/>
          <w:szCs w:val="36"/>
        </w:rPr>
      </w:pPr>
      <w:r>
        <w:rPr>
          <w:rFonts w:hint="eastAsia" w:ascii="宋体" w:hAnsi="宋体" w:eastAsia="宋体" w:cs="宋体"/>
          <w:spacing w:val="-1"/>
          <w:sz w:val="36"/>
          <w:szCs w:val="36"/>
        </w:rPr>
        <w:t>技术标准和要求</w:t>
      </w:r>
    </w:p>
    <w:p w14:paraId="65FC8AC9">
      <w:pPr>
        <w:spacing w:line="360" w:lineRule="auto"/>
        <w:ind w:right="-2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position w:val="-2"/>
          <w:szCs w:val="21"/>
          <w14:textFill>
            <w14:solidFill>
              <w14:schemeClr w14:val="tx1"/>
            </w14:solidFill>
          </w14:textFill>
        </w:rPr>
        <w:t>1.工程建设条件</w:t>
      </w:r>
    </w:p>
    <w:p w14:paraId="3E76837B">
      <w:pPr>
        <w:spacing w:line="440" w:lineRule="exact"/>
        <w:ind w:right="4452" w:firstLine="371" w:firstLineChars="177"/>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现场</w:t>
      </w:r>
      <w:r>
        <w:rPr>
          <w:rFonts w:hint="eastAsia" w:ascii="宋体" w:hAnsi="宋体" w:eastAsia="宋体" w:cs="宋体"/>
          <w:color w:val="000000" w:themeColor="text1"/>
          <w:spacing w:val="-2"/>
          <w:szCs w:val="21"/>
          <w14:textFill>
            <w14:solidFill>
              <w14:schemeClr w14:val="tx1"/>
            </w14:solidFill>
          </w14:textFill>
        </w:rPr>
        <w:t>施</w:t>
      </w:r>
      <w:r>
        <w:rPr>
          <w:rFonts w:hint="eastAsia" w:ascii="宋体" w:hAnsi="宋体" w:eastAsia="宋体" w:cs="宋体"/>
          <w:color w:val="000000" w:themeColor="text1"/>
          <w:szCs w:val="21"/>
          <w14:textFill>
            <w14:solidFill>
              <w14:schemeClr w14:val="tx1"/>
            </w14:solidFill>
          </w14:textFill>
        </w:rPr>
        <w:t>工</w:t>
      </w:r>
      <w:r>
        <w:rPr>
          <w:rFonts w:hint="eastAsia" w:ascii="宋体" w:hAnsi="宋体" w:eastAsia="宋体" w:cs="宋体"/>
          <w:color w:val="000000" w:themeColor="text1"/>
          <w:spacing w:val="-2"/>
          <w:szCs w:val="21"/>
          <w14:textFill>
            <w14:solidFill>
              <w14:schemeClr w14:val="tx1"/>
            </w14:solidFill>
          </w14:textFill>
        </w:rPr>
        <w:t>条</w:t>
      </w:r>
      <w:r>
        <w:rPr>
          <w:rFonts w:hint="eastAsia" w:ascii="宋体" w:hAnsi="宋体" w:eastAsia="宋体" w:cs="宋体"/>
          <w:color w:val="000000" w:themeColor="text1"/>
          <w:szCs w:val="21"/>
          <w14:textFill>
            <w14:solidFill>
              <w14:schemeClr w14:val="tx1"/>
            </w14:solidFill>
          </w14:textFill>
        </w:rPr>
        <w:t>件</w:t>
      </w:r>
      <w:r>
        <w:rPr>
          <w:rFonts w:hint="eastAsia" w:ascii="宋体" w:hAnsi="宋体" w:eastAsia="宋体" w:cs="宋体"/>
          <w:color w:val="000000" w:themeColor="text1"/>
          <w:spacing w:val="-2"/>
          <w:szCs w:val="21"/>
          <w14:textFill>
            <w14:solidFill>
              <w14:schemeClr w14:val="tx1"/>
            </w14:solidFill>
          </w14:textFill>
        </w:rPr>
        <w:t>：</w:t>
      </w:r>
      <w:r>
        <w:rPr>
          <w:rFonts w:hint="eastAsia" w:ascii="宋体" w:hAnsi="宋体" w:eastAsia="宋体" w:cs="宋体"/>
          <w:color w:val="000000" w:themeColor="text1"/>
          <w:szCs w:val="21"/>
          <w:u w:val="single"/>
          <w14:textFill>
            <w14:solidFill>
              <w14:schemeClr w14:val="tx1"/>
            </w14:solidFill>
          </w14:textFill>
        </w:rPr>
        <w:t>现</w:t>
      </w:r>
      <w:r>
        <w:rPr>
          <w:rFonts w:hint="eastAsia" w:ascii="宋体" w:hAnsi="宋体" w:eastAsia="宋体" w:cs="宋体"/>
          <w:color w:val="000000" w:themeColor="text1"/>
          <w:spacing w:val="-2"/>
          <w:szCs w:val="21"/>
          <w:u w:val="single"/>
          <w14:textFill>
            <w14:solidFill>
              <w14:schemeClr w14:val="tx1"/>
            </w14:solidFill>
          </w14:textFill>
        </w:rPr>
        <w:t>场</w:t>
      </w:r>
      <w:r>
        <w:rPr>
          <w:rFonts w:hint="eastAsia" w:ascii="宋体" w:hAnsi="宋体" w:eastAsia="宋体" w:cs="宋体"/>
          <w:color w:val="000000" w:themeColor="text1"/>
          <w:szCs w:val="21"/>
          <w:u w:val="single"/>
          <w14:textFill>
            <w14:solidFill>
              <w14:schemeClr w14:val="tx1"/>
            </w14:solidFill>
          </w14:textFill>
        </w:rPr>
        <w:t>已</w:t>
      </w:r>
      <w:r>
        <w:rPr>
          <w:rFonts w:hint="eastAsia" w:ascii="宋体" w:hAnsi="宋体" w:eastAsia="宋体" w:cs="宋体"/>
          <w:color w:val="000000" w:themeColor="text1"/>
          <w:spacing w:val="-2"/>
          <w:szCs w:val="21"/>
          <w:u w:val="single"/>
          <w14:textFill>
            <w14:solidFill>
              <w14:schemeClr w14:val="tx1"/>
            </w14:solidFill>
          </w14:textFill>
        </w:rPr>
        <w:t>具</w:t>
      </w:r>
      <w:r>
        <w:rPr>
          <w:rFonts w:hint="eastAsia" w:ascii="宋体" w:hAnsi="宋体" w:eastAsia="宋体" w:cs="宋体"/>
          <w:color w:val="000000" w:themeColor="text1"/>
          <w:szCs w:val="21"/>
          <w:u w:val="single"/>
          <w14:textFill>
            <w14:solidFill>
              <w14:schemeClr w14:val="tx1"/>
            </w14:solidFill>
          </w14:textFill>
        </w:rPr>
        <w:t>备施</w:t>
      </w:r>
      <w:r>
        <w:rPr>
          <w:rFonts w:hint="eastAsia" w:ascii="宋体" w:hAnsi="宋体" w:eastAsia="宋体" w:cs="宋体"/>
          <w:color w:val="000000" w:themeColor="text1"/>
          <w:spacing w:val="-2"/>
          <w:szCs w:val="21"/>
          <w:u w:val="single"/>
          <w14:textFill>
            <w14:solidFill>
              <w14:schemeClr w14:val="tx1"/>
            </w14:solidFill>
          </w14:textFill>
        </w:rPr>
        <w:t>工</w:t>
      </w:r>
      <w:r>
        <w:rPr>
          <w:rFonts w:hint="eastAsia" w:ascii="宋体" w:hAnsi="宋体" w:eastAsia="宋体" w:cs="宋体"/>
          <w:color w:val="000000" w:themeColor="text1"/>
          <w:szCs w:val="21"/>
          <w:u w:val="single"/>
          <w14:textFill>
            <w14:solidFill>
              <w14:schemeClr w14:val="tx1"/>
            </w14:solidFill>
          </w14:textFill>
        </w:rPr>
        <w:t>条</w:t>
      </w:r>
      <w:r>
        <w:rPr>
          <w:rFonts w:hint="eastAsia" w:ascii="宋体" w:hAnsi="宋体" w:eastAsia="宋体" w:cs="宋体"/>
          <w:color w:val="000000" w:themeColor="text1"/>
          <w:spacing w:val="-2"/>
          <w:szCs w:val="21"/>
          <w:u w:val="single"/>
          <w14:textFill>
            <w14:solidFill>
              <w14:schemeClr w14:val="tx1"/>
            </w14:solidFill>
          </w14:textFill>
        </w:rPr>
        <w:t>件</w:t>
      </w:r>
      <w:r>
        <w:rPr>
          <w:rFonts w:hint="eastAsia" w:ascii="宋体" w:hAnsi="宋体" w:eastAsia="宋体" w:cs="宋体"/>
          <w:color w:val="000000" w:themeColor="text1"/>
          <w:szCs w:val="21"/>
          <w14:textFill>
            <w14:solidFill>
              <w14:schemeClr w14:val="tx1"/>
            </w14:solidFill>
          </w14:textFill>
        </w:rPr>
        <w:t xml:space="preserve">。 </w:t>
      </w:r>
    </w:p>
    <w:p w14:paraId="452C7133">
      <w:pPr>
        <w:spacing w:line="440" w:lineRule="exact"/>
        <w:ind w:firstLine="371" w:firstLineChars="177"/>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r>
        <w:rPr>
          <w:rFonts w:hint="eastAsia" w:ascii="宋体" w:hAnsi="宋体" w:cs="宋体"/>
          <w:color w:val="000000" w:themeColor="text1"/>
          <w:szCs w:val="21"/>
          <w:u w:val="single"/>
          <w:lang w:eastAsia="zh-CN"/>
          <w14:textFill>
            <w14:solidFill>
              <w14:schemeClr w14:val="tx1"/>
            </w14:solidFill>
          </w14:textFill>
        </w:rPr>
        <w:t>密云区太师屯镇民族村基础设施灾后修复及防灾减灾能力提升项目</w:t>
      </w:r>
    </w:p>
    <w:p w14:paraId="7520F95D">
      <w:pPr>
        <w:spacing w:line="440" w:lineRule="exact"/>
        <w:ind w:firstLine="371" w:firstLineChars="177"/>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建设地点：</w:t>
      </w:r>
      <w:r>
        <w:rPr>
          <w:rFonts w:hint="eastAsia" w:ascii="宋体" w:hAnsi="宋体" w:cs="宋体"/>
          <w:color w:val="000000" w:themeColor="text1"/>
          <w:szCs w:val="21"/>
          <w:u w:val="single"/>
          <w:lang w:eastAsia="zh-CN"/>
          <w14:textFill>
            <w14:solidFill>
              <w14:schemeClr w14:val="tx1"/>
            </w14:solidFill>
          </w14:textFill>
        </w:rPr>
        <w:t>北京市密云区太师屯镇域内</w:t>
      </w:r>
    </w:p>
    <w:p w14:paraId="70904AFF">
      <w:pPr>
        <w:spacing w:line="440" w:lineRule="exact"/>
        <w:ind w:left="1425" w:leftChars="202" w:hanging="1001" w:hangingChars="477"/>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position w:val="-2"/>
          <w:szCs w:val="21"/>
          <w14:textFill>
            <w14:solidFill>
              <w14:schemeClr w14:val="tx1"/>
            </w14:solidFill>
          </w14:textFill>
        </w:rPr>
        <w:t>招标</w:t>
      </w:r>
      <w:r>
        <w:rPr>
          <w:rFonts w:hint="eastAsia" w:ascii="宋体" w:hAnsi="宋体" w:eastAsia="宋体" w:cs="宋体"/>
          <w:color w:val="000000" w:themeColor="text1"/>
          <w:spacing w:val="-2"/>
          <w:position w:val="-2"/>
          <w:szCs w:val="21"/>
          <w14:textFill>
            <w14:solidFill>
              <w14:schemeClr w14:val="tx1"/>
            </w14:solidFill>
          </w14:textFill>
        </w:rPr>
        <w:t>范围</w:t>
      </w:r>
      <w:r>
        <w:rPr>
          <w:rFonts w:hint="eastAsia" w:ascii="宋体" w:hAnsi="宋体" w:eastAsia="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lang w:eastAsia="zh-CN"/>
          <w14:textFill>
            <w14:solidFill>
              <w14:schemeClr w14:val="tx1"/>
            </w14:solidFill>
          </w14:textFill>
        </w:rPr>
        <w:t>密云区太师屯镇民族村基础设施灾后修复及防灾减灾能力提升项目</w:t>
      </w:r>
      <w:r>
        <w:rPr>
          <w:rFonts w:hint="eastAsia" w:ascii="宋体" w:hAnsi="宋体" w:eastAsia="宋体" w:cs="宋体"/>
          <w:color w:val="000000" w:themeColor="text1"/>
          <w:szCs w:val="21"/>
          <w:u w:val="single"/>
          <w:lang w:eastAsia="zh-CN"/>
          <w14:textFill>
            <w14:solidFill>
              <w14:schemeClr w14:val="tx1"/>
            </w14:solidFill>
          </w14:textFill>
        </w:rPr>
        <w:t>清单及图纸范围内全部内容</w:t>
      </w:r>
      <w:r>
        <w:rPr>
          <w:rFonts w:hint="eastAsia" w:ascii="宋体" w:hAnsi="宋体" w:eastAsia="宋体" w:cs="宋体"/>
          <w:color w:val="000000" w:themeColor="text1"/>
          <w:szCs w:val="21"/>
          <w:u w:val="single"/>
          <w14:textFill>
            <w14:solidFill>
              <w14:schemeClr w14:val="tx1"/>
            </w14:solidFill>
          </w14:textFill>
        </w:rPr>
        <w:t>。</w:t>
      </w:r>
    </w:p>
    <w:p w14:paraId="453BC1CE">
      <w:pPr>
        <w:spacing w:line="440" w:lineRule="exact"/>
        <w:ind w:right="-20" w:firstLine="371" w:firstLineChars="177"/>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资金来源：</w:t>
      </w:r>
      <w:r>
        <w:rPr>
          <w:rFonts w:hint="eastAsia" w:ascii="宋体" w:hAnsi="宋体" w:eastAsia="宋体" w:cs="宋体"/>
          <w:color w:val="000000" w:themeColor="text1"/>
          <w:szCs w:val="21"/>
          <w:u w:val="single"/>
          <w14:textFill>
            <w14:solidFill>
              <w14:schemeClr w14:val="tx1"/>
            </w14:solidFill>
          </w14:textFill>
        </w:rPr>
        <w:t>财政资金</w:t>
      </w:r>
    </w:p>
    <w:p w14:paraId="087ABCA9">
      <w:pPr>
        <w:spacing w:line="440" w:lineRule="exact"/>
        <w:ind w:right="-20" w:firstLine="371" w:firstLineChars="177"/>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出资比例：</w:t>
      </w:r>
      <w:r>
        <w:rPr>
          <w:rFonts w:hint="eastAsia" w:ascii="宋体" w:hAnsi="宋体" w:eastAsia="宋体" w:cs="宋体"/>
          <w:color w:val="000000" w:themeColor="text1"/>
          <w:szCs w:val="21"/>
          <w:u w:val="single"/>
          <w14:textFill>
            <w14:solidFill>
              <w14:schemeClr w14:val="tx1"/>
            </w14:solidFill>
          </w14:textFill>
        </w:rPr>
        <w:t>100%</w:t>
      </w:r>
    </w:p>
    <w:p w14:paraId="67B662F9">
      <w:pPr>
        <w:spacing w:line="440" w:lineRule="exact"/>
        <w:ind w:right="-20" w:firstLine="371" w:firstLineChars="177"/>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资金落实情况：</w:t>
      </w:r>
      <w:r>
        <w:rPr>
          <w:rFonts w:hint="eastAsia" w:ascii="宋体" w:hAnsi="宋体" w:eastAsia="宋体" w:cs="宋体"/>
          <w:color w:val="000000" w:themeColor="text1"/>
          <w:szCs w:val="21"/>
          <w:u w:val="single"/>
          <w14:textFill>
            <w14:solidFill>
              <w14:schemeClr w14:val="tx1"/>
            </w14:solidFill>
          </w14:textFill>
        </w:rPr>
        <w:t>已落实</w:t>
      </w:r>
    </w:p>
    <w:p w14:paraId="68DCF58D">
      <w:pPr>
        <w:spacing w:line="440" w:lineRule="exact"/>
        <w:ind w:right="-2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2.工程建设要求</w:t>
      </w:r>
    </w:p>
    <w:p w14:paraId="0530358B">
      <w:pPr>
        <w:spacing w:line="440" w:lineRule="exact"/>
        <w:ind w:right="-20" w:firstLine="371" w:firstLineChars="177"/>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2.1 </w:t>
      </w:r>
      <w:r>
        <w:rPr>
          <w:rFonts w:hint="eastAsia" w:ascii="宋体" w:hAnsi="宋体" w:eastAsia="宋体" w:cs="宋体"/>
          <w:color w:val="000000" w:themeColor="text1"/>
          <w:spacing w:val="-2"/>
          <w:szCs w:val="21"/>
          <w14:textFill>
            <w14:solidFill>
              <w14:schemeClr w14:val="tx1"/>
            </w14:solidFill>
          </w14:textFill>
        </w:rPr>
        <w:t>本</w:t>
      </w:r>
      <w:r>
        <w:rPr>
          <w:rFonts w:hint="eastAsia" w:ascii="宋体" w:hAnsi="宋体" w:eastAsia="宋体" w:cs="宋体"/>
          <w:color w:val="000000" w:themeColor="text1"/>
          <w:szCs w:val="21"/>
          <w14:textFill>
            <w14:solidFill>
              <w14:schemeClr w14:val="tx1"/>
            </w14:solidFill>
          </w14:textFill>
        </w:rPr>
        <w:t>工</w:t>
      </w:r>
      <w:r>
        <w:rPr>
          <w:rFonts w:hint="eastAsia" w:ascii="宋体" w:hAnsi="宋体" w:eastAsia="宋体" w:cs="宋体"/>
          <w:color w:val="000000" w:themeColor="text1"/>
          <w:spacing w:val="-2"/>
          <w:szCs w:val="21"/>
          <w14:textFill>
            <w14:solidFill>
              <w14:schemeClr w14:val="tx1"/>
            </w14:solidFill>
          </w14:textFill>
        </w:rPr>
        <w:t>程</w:t>
      </w:r>
      <w:r>
        <w:rPr>
          <w:rFonts w:hint="eastAsia" w:ascii="宋体" w:hAnsi="宋体" w:eastAsia="宋体" w:cs="宋体"/>
          <w:color w:val="000000" w:themeColor="text1"/>
          <w:szCs w:val="21"/>
          <w14:textFill>
            <w14:solidFill>
              <w14:schemeClr w14:val="tx1"/>
            </w14:solidFill>
          </w14:textFill>
        </w:rPr>
        <w:t>项</w:t>
      </w:r>
      <w:r>
        <w:rPr>
          <w:rFonts w:hint="eastAsia" w:ascii="宋体" w:hAnsi="宋体" w:eastAsia="宋体" w:cs="宋体"/>
          <w:color w:val="000000" w:themeColor="text1"/>
          <w:spacing w:val="-2"/>
          <w:szCs w:val="21"/>
          <w14:textFill>
            <w14:solidFill>
              <w14:schemeClr w14:val="tx1"/>
            </w14:solidFill>
          </w14:textFill>
        </w:rPr>
        <w:t>目</w:t>
      </w:r>
      <w:r>
        <w:rPr>
          <w:rFonts w:hint="eastAsia" w:ascii="宋体" w:hAnsi="宋体" w:eastAsia="宋体" w:cs="宋体"/>
          <w:color w:val="000000" w:themeColor="text1"/>
          <w:szCs w:val="21"/>
          <w14:textFill>
            <w14:solidFill>
              <w14:schemeClr w14:val="tx1"/>
            </w14:solidFill>
          </w14:textFill>
        </w:rPr>
        <w:t>管</w:t>
      </w:r>
      <w:r>
        <w:rPr>
          <w:rFonts w:hint="eastAsia" w:ascii="宋体" w:hAnsi="宋体" w:eastAsia="宋体" w:cs="宋体"/>
          <w:color w:val="000000" w:themeColor="text1"/>
          <w:spacing w:val="-2"/>
          <w:szCs w:val="21"/>
          <w14:textFill>
            <w14:solidFill>
              <w14:schemeClr w14:val="tx1"/>
            </w14:solidFill>
          </w14:textFill>
        </w:rPr>
        <w:t>理</w:t>
      </w:r>
      <w:r>
        <w:rPr>
          <w:rFonts w:hint="eastAsia" w:ascii="宋体" w:hAnsi="宋体" w:eastAsia="宋体" w:cs="宋体"/>
          <w:color w:val="000000" w:themeColor="text1"/>
          <w:szCs w:val="21"/>
          <w14:textFill>
            <w14:solidFill>
              <w14:schemeClr w14:val="tx1"/>
            </w14:solidFill>
          </w14:textFill>
        </w:rPr>
        <w:t>目</w:t>
      </w:r>
      <w:r>
        <w:rPr>
          <w:rFonts w:hint="eastAsia" w:ascii="宋体" w:hAnsi="宋体" w:eastAsia="宋体" w:cs="宋体"/>
          <w:color w:val="000000" w:themeColor="text1"/>
          <w:spacing w:val="-2"/>
          <w:szCs w:val="21"/>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w:t>
      </w:r>
    </w:p>
    <w:p w14:paraId="6CE0957C">
      <w:pPr>
        <w:spacing w:line="440" w:lineRule="exact"/>
        <w:ind w:right="-20" w:firstLine="371" w:firstLineChars="177"/>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2.1.1</w:t>
      </w:r>
      <w:r>
        <w:rPr>
          <w:rFonts w:hint="eastAsia" w:ascii="宋体" w:hAnsi="宋体" w:eastAsia="宋体" w:cs="宋体"/>
          <w:color w:val="000000" w:themeColor="text1"/>
          <w:spacing w:val="-2"/>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质</w:t>
      </w:r>
      <w:r>
        <w:rPr>
          <w:rFonts w:hint="eastAsia" w:ascii="宋体" w:hAnsi="宋体" w:eastAsia="宋体" w:cs="宋体"/>
          <w:color w:val="000000" w:themeColor="text1"/>
          <w:spacing w:val="-2"/>
          <w:szCs w:val="21"/>
          <w14:textFill>
            <w14:solidFill>
              <w14:schemeClr w14:val="tx1"/>
            </w14:solidFill>
          </w14:textFill>
        </w:rPr>
        <w:t>量</w:t>
      </w:r>
      <w:r>
        <w:rPr>
          <w:rFonts w:hint="eastAsia" w:ascii="宋体" w:hAnsi="宋体" w:eastAsia="宋体" w:cs="宋体"/>
          <w:color w:val="000000" w:themeColor="text1"/>
          <w:szCs w:val="21"/>
          <w14:textFill>
            <w14:solidFill>
              <w14:schemeClr w14:val="tx1"/>
            </w14:solidFill>
          </w14:textFill>
        </w:rPr>
        <w:t>标</w:t>
      </w:r>
      <w:r>
        <w:rPr>
          <w:rFonts w:hint="eastAsia" w:ascii="宋体" w:hAnsi="宋体" w:eastAsia="宋体" w:cs="宋体"/>
          <w:color w:val="000000" w:themeColor="text1"/>
          <w:spacing w:val="-2"/>
          <w:szCs w:val="21"/>
          <w14:textFill>
            <w14:solidFill>
              <w14:schemeClr w14:val="tx1"/>
            </w14:solidFill>
          </w14:textFill>
        </w:rPr>
        <w:t>准</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pacing w:val="-2"/>
          <w:szCs w:val="21"/>
          <w:u w:val="single"/>
          <w14:textFill>
            <w14:solidFill>
              <w14:schemeClr w14:val="tx1"/>
            </w14:solidFill>
          </w14:textFill>
        </w:rPr>
        <w:t>合</w:t>
      </w:r>
      <w:r>
        <w:rPr>
          <w:rFonts w:hint="eastAsia" w:ascii="宋体" w:hAnsi="宋体" w:eastAsia="宋体" w:cs="宋体"/>
          <w:color w:val="000000" w:themeColor="text1"/>
          <w:szCs w:val="21"/>
          <w:u w:val="single"/>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w:t>
      </w:r>
    </w:p>
    <w:p w14:paraId="6355FDC0">
      <w:pPr>
        <w:spacing w:line="440" w:lineRule="exact"/>
        <w:ind w:firstLine="371" w:firstLineChars="177"/>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2.1.2  施工现场安全生产标准化管理目标等级：</w:t>
      </w:r>
      <w:r>
        <w:rPr>
          <w:rFonts w:hint="eastAsia" w:ascii="宋体" w:hAnsi="宋体" w:eastAsia="宋体" w:cs="宋体"/>
          <w:color w:val="000000" w:themeColor="text1"/>
          <w:szCs w:val="21"/>
          <w:u w:val="single"/>
          <w14:textFill>
            <w14:solidFill>
              <w14:schemeClr w14:val="tx1"/>
            </w14:solidFill>
          </w14:textFill>
        </w:rPr>
        <w:t xml:space="preserve"> 达标 </w:t>
      </w:r>
    </w:p>
    <w:p w14:paraId="0A999FB0">
      <w:pPr>
        <w:spacing w:line="440" w:lineRule="exact"/>
        <w:ind w:right="-20" w:firstLine="371" w:firstLineChars="177"/>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2.1.3  工期：计划开工日期：2026年0</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25</w:t>
      </w:r>
      <w:r>
        <w:rPr>
          <w:rFonts w:hint="eastAsia" w:ascii="宋体" w:hAnsi="宋体" w:eastAsia="宋体" w:cs="宋体"/>
          <w:color w:val="000000" w:themeColor="text1"/>
          <w:szCs w:val="21"/>
          <w14:textFill>
            <w14:solidFill>
              <w14:schemeClr w14:val="tx1"/>
            </w14:solidFill>
          </w14:textFill>
        </w:rPr>
        <w:t>日，计划竣工日期：2026年0</w:t>
      </w: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31</w:t>
      </w:r>
      <w:r>
        <w:rPr>
          <w:rFonts w:hint="eastAsia" w:ascii="宋体" w:hAnsi="宋体" w:eastAsia="宋体" w:cs="宋体"/>
          <w:color w:val="000000" w:themeColor="text1"/>
          <w:szCs w:val="21"/>
          <w14:textFill>
            <w14:solidFill>
              <w14:schemeClr w14:val="tx1"/>
            </w14:solidFill>
          </w14:textFill>
        </w:rPr>
        <w:t>日</w:t>
      </w:r>
    </w:p>
    <w:p w14:paraId="299B4AC2">
      <w:pPr>
        <w:pStyle w:val="106"/>
        <w:numPr>
          <w:ilvl w:val="2"/>
          <w:numId w:val="14"/>
        </w:numPr>
        <w:spacing w:line="440" w:lineRule="exact"/>
        <w:ind w:right="-20" w:firstLineChars="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position w:val="-2"/>
          <w:szCs w:val="21"/>
          <w14:textFill>
            <w14:solidFill>
              <w14:schemeClr w14:val="tx1"/>
            </w14:solidFill>
          </w14:textFill>
        </w:rPr>
        <w:t xml:space="preserve"> 施</w:t>
      </w:r>
      <w:r>
        <w:rPr>
          <w:rFonts w:hint="eastAsia" w:ascii="宋体" w:hAnsi="宋体" w:eastAsia="宋体" w:cs="宋体"/>
          <w:color w:val="000000" w:themeColor="text1"/>
          <w:spacing w:val="-2"/>
          <w:position w:val="-2"/>
          <w:szCs w:val="21"/>
          <w14:textFill>
            <w14:solidFill>
              <w14:schemeClr w14:val="tx1"/>
            </w14:solidFill>
          </w14:textFill>
        </w:rPr>
        <w:t>工</w:t>
      </w:r>
      <w:r>
        <w:rPr>
          <w:rFonts w:hint="eastAsia" w:ascii="宋体" w:hAnsi="宋体" w:eastAsia="宋体" w:cs="宋体"/>
          <w:color w:val="000000" w:themeColor="text1"/>
          <w:position w:val="-2"/>
          <w:szCs w:val="21"/>
          <w14:textFill>
            <w14:solidFill>
              <w14:schemeClr w14:val="tx1"/>
            </w14:solidFill>
          </w14:textFill>
        </w:rPr>
        <w:t>现</w:t>
      </w:r>
      <w:r>
        <w:rPr>
          <w:rFonts w:hint="eastAsia" w:ascii="宋体" w:hAnsi="宋体" w:eastAsia="宋体" w:cs="宋体"/>
          <w:color w:val="000000" w:themeColor="text1"/>
          <w:spacing w:val="-2"/>
          <w:position w:val="-2"/>
          <w:szCs w:val="21"/>
          <w14:textFill>
            <w14:solidFill>
              <w14:schemeClr w14:val="tx1"/>
            </w14:solidFill>
          </w14:textFill>
        </w:rPr>
        <w:t>场</w:t>
      </w:r>
      <w:r>
        <w:rPr>
          <w:rFonts w:hint="eastAsia" w:ascii="宋体" w:hAnsi="宋体" w:eastAsia="宋体" w:cs="宋体"/>
          <w:color w:val="000000" w:themeColor="text1"/>
          <w:position w:val="-2"/>
          <w:szCs w:val="21"/>
          <w14:textFill>
            <w14:solidFill>
              <w14:schemeClr w14:val="tx1"/>
            </w14:solidFill>
          </w14:textFill>
        </w:rPr>
        <w:t>应</w:t>
      </w:r>
      <w:r>
        <w:rPr>
          <w:rFonts w:hint="eastAsia" w:ascii="宋体" w:hAnsi="宋体" w:eastAsia="宋体" w:cs="宋体"/>
          <w:color w:val="000000" w:themeColor="text1"/>
          <w:spacing w:val="-2"/>
          <w:position w:val="-2"/>
          <w:szCs w:val="21"/>
          <w14:textFill>
            <w14:solidFill>
              <w14:schemeClr w14:val="tx1"/>
            </w14:solidFill>
          </w14:textFill>
        </w:rPr>
        <w:t>做</w:t>
      </w:r>
      <w:r>
        <w:rPr>
          <w:rFonts w:hint="eastAsia" w:ascii="宋体" w:hAnsi="宋体" w:eastAsia="宋体" w:cs="宋体"/>
          <w:color w:val="000000" w:themeColor="text1"/>
          <w:position w:val="-2"/>
          <w:szCs w:val="21"/>
          <w14:textFill>
            <w14:solidFill>
              <w14:schemeClr w14:val="tx1"/>
            </w14:solidFill>
          </w14:textFill>
        </w:rPr>
        <w:t>好</w:t>
      </w:r>
      <w:r>
        <w:rPr>
          <w:rFonts w:hint="eastAsia" w:ascii="宋体" w:hAnsi="宋体" w:eastAsia="宋体" w:cs="宋体"/>
          <w:color w:val="000000" w:themeColor="text1"/>
          <w:spacing w:val="-2"/>
          <w:position w:val="-2"/>
          <w:szCs w:val="21"/>
          <w14:textFill>
            <w14:solidFill>
              <w14:schemeClr w14:val="tx1"/>
            </w14:solidFill>
          </w14:textFill>
        </w:rPr>
        <w:t>安</w:t>
      </w:r>
      <w:r>
        <w:rPr>
          <w:rFonts w:hint="eastAsia" w:ascii="宋体" w:hAnsi="宋体" w:eastAsia="宋体" w:cs="宋体"/>
          <w:color w:val="000000" w:themeColor="text1"/>
          <w:position w:val="-2"/>
          <w:szCs w:val="21"/>
          <w14:textFill>
            <w14:solidFill>
              <w14:schemeClr w14:val="tx1"/>
            </w14:solidFill>
          </w14:textFill>
        </w:rPr>
        <w:t>全生</w:t>
      </w:r>
      <w:r>
        <w:rPr>
          <w:rFonts w:hint="eastAsia" w:ascii="宋体" w:hAnsi="宋体" w:eastAsia="宋体" w:cs="宋体"/>
          <w:color w:val="000000" w:themeColor="text1"/>
          <w:spacing w:val="-2"/>
          <w:position w:val="-2"/>
          <w:szCs w:val="21"/>
          <w14:textFill>
            <w14:solidFill>
              <w14:schemeClr w14:val="tx1"/>
            </w14:solidFill>
          </w14:textFill>
        </w:rPr>
        <w:t>产</w:t>
      </w:r>
      <w:r>
        <w:rPr>
          <w:rFonts w:hint="eastAsia" w:ascii="宋体" w:hAnsi="宋体" w:eastAsia="宋体" w:cs="宋体"/>
          <w:color w:val="000000" w:themeColor="text1"/>
          <w:position w:val="-2"/>
          <w:szCs w:val="21"/>
          <w14:textFill>
            <w14:solidFill>
              <w14:schemeClr w14:val="tx1"/>
            </w14:solidFill>
          </w14:textFill>
        </w:rPr>
        <w:t>及</w:t>
      </w:r>
      <w:r>
        <w:rPr>
          <w:rFonts w:hint="eastAsia" w:ascii="宋体" w:hAnsi="宋体" w:eastAsia="宋体" w:cs="宋体"/>
          <w:color w:val="000000" w:themeColor="text1"/>
          <w:spacing w:val="-2"/>
          <w:position w:val="-2"/>
          <w:szCs w:val="21"/>
          <w14:textFill>
            <w14:solidFill>
              <w14:schemeClr w14:val="tx1"/>
            </w14:solidFill>
          </w14:textFill>
        </w:rPr>
        <w:t>文</w:t>
      </w:r>
      <w:r>
        <w:rPr>
          <w:rFonts w:hint="eastAsia" w:ascii="宋体" w:hAnsi="宋体" w:eastAsia="宋体" w:cs="宋体"/>
          <w:color w:val="000000" w:themeColor="text1"/>
          <w:position w:val="-2"/>
          <w:szCs w:val="21"/>
          <w14:textFill>
            <w14:solidFill>
              <w14:schemeClr w14:val="tx1"/>
            </w14:solidFill>
          </w14:textFill>
        </w:rPr>
        <w:t>明</w:t>
      </w:r>
      <w:r>
        <w:rPr>
          <w:rFonts w:hint="eastAsia" w:ascii="宋体" w:hAnsi="宋体" w:eastAsia="宋体" w:cs="宋体"/>
          <w:color w:val="000000" w:themeColor="text1"/>
          <w:spacing w:val="-2"/>
          <w:position w:val="-2"/>
          <w:szCs w:val="21"/>
          <w14:textFill>
            <w14:solidFill>
              <w14:schemeClr w14:val="tx1"/>
            </w14:solidFill>
          </w14:textFill>
        </w:rPr>
        <w:t>施</w:t>
      </w:r>
      <w:r>
        <w:rPr>
          <w:rFonts w:hint="eastAsia" w:ascii="宋体" w:hAnsi="宋体" w:eastAsia="宋体" w:cs="宋体"/>
          <w:color w:val="000000" w:themeColor="text1"/>
          <w:position w:val="-2"/>
          <w:szCs w:val="21"/>
          <w14:textFill>
            <w14:solidFill>
              <w14:schemeClr w14:val="tx1"/>
            </w14:solidFill>
          </w14:textFill>
        </w:rPr>
        <w:t>工。</w:t>
      </w:r>
    </w:p>
    <w:p w14:paraId="273D368A">
      <w:pPr>
        <w:widowControl/>
        <w:spacing w:line="360" w:lineRule="atLeast"/>
        <w:ind w:firstLine="495" w:firstLineChars="23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2.2 承包人必须按照本项目的施工图及国家现行有关施工验收规范、质量验收标准组织施工。建立和健全质量保证体系，以承包人主体行为规范和施工人员的工作质量确保各单位工程的施工质量。</w:t>
      </w:r>
    </w:p>
    <w:p w14:paraId="0EDA8DEB">
      <w:pPr>
        <w:widowControl/>
        <w:spacing w:line="360" w:lineRule="atLeast"/>
        <w:ind w:firstLine="495" w:firstLineChars="23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2.3 本工程所需施工材料均由施工单位负责供应，符合国家标准，并征得发包人同意。加工订货成品、半成品及构件的供应方式，由中标单位按进度、设计要求标准，在征得发包人同意后， 负责加工订货，发包人有权对质量负责监督。施工所用的材料、设备质量必须符合国家标准和设 计要求，所购的材料、设备必须有生产许可证、质量保证书、出厂合格证，否则，由此造成的经济 损失，由负责招标的单位负责。</w:t>
      </w:r>
    </w:p>
    <w:p w14:paraId="73DDE062">
      <w:pPr>
        <w:widowControl/>
        <w:spacing w:line="360" w:lineRule="atLeast"/>
        <w:ind w:firstLine="495" w:firstLineChars="23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2.4 突出抓好施工过程中的“三控制”，加强全过程质量管理。在施工过程中要认真做好原材 料控制、工艺流程控制、施工操作控制；加强每道工序的质量管理，对各工序间的交接检验及专业 工种之间交接环节的工程质量应采取有效措施，加强检查验收，抓好全过程质量管理。同时，还应 健全为满足施工图设计和建筑物功能要求的抽验检查制度。</w:t>
      </w:r>
    </w:p>
    <w:p w14:paraId="7660C90A">
      <w:pPr>
        <w:widowControl/>
        <w:spacing w:line="360" w:lineRule="atLeast"/>
        <w:ind w:firstLine="495" w:firstLineChars="23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2.5 建筑工程采用的主要材料、半成品、成品、建筑构配件、器具和设备应进行现场验收。凡涉及安全、功能的有关产品，应按各专业工程质量验收规范规定进行复验，并应经监理工程师（建 设单位技术负责人）检查认可。</w:t>
      </w:r>
    </w:p>
    <w:p w14:paraId="62E2A7CC">
      <w:pPr>
        <w:widowControl/>
        <w:spacing w:line="360" w:lineRule="atLeast"/>
        <w:ind w:firstLine="495" w:firstLineChars="23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2.6 各工序应按施工技术标准进行质量控制，每道工序完成后，应进行检查。相关各专业工种之间，应进行交接检验，并形成记录。未经发包人、监理工程师检查认可，不得进行下一道工序施工。</w:t>
      </w:r>
    </w:p>
    <w:p w14:paraId="292E11A3">
      <w:pPr>
        <w:widowControl/>
        <w:spacing w:line="360" w:lineRule="atLeast"/>
        <w:ind w:firstLine="495" w:firstLineChars="23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2.7 承包人必须编制好切实可行的施工进度计划，以保证施工连续均衡、有节奏地进行，合理 地使用人力、物力和财力，确保工程按期完成。</w:t>
      </w:r>
    </w:p>
    <w:p w14:paraId="651FC3E9">
      <w:pPr>
        <w:widowControl/>
        <w:spacing w:line="360" w:lineRule="atLeast"/>
        <w:ind w:firstLine="495" w:firstLineChars="23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2.8 承包人应建立和健全安全生产保障体系和安全生产责任制，认真执行《建筑施工安全检查标准（JGJ59－2011）》，提高安全生产工作和文明施工的管理水平。施工现场不但应该做到安全 生产不发生事故，同时还应做到文明施工、整齐有序，尽量减少施工噪音和对周围环境的污染，争 创“施工现场文明工地”。</w:t>
      </w:r>
    </w:p>
    <w:p w14:paraId="5796EBB2">
      <w:pPr>
        <w:widowControl/>
        <w:spacing w:line="360" w:lineRule="atLeast"/>
        <w:ind w:firstLine="495" w:firstLineChars="23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2.9 施工期间应努力做好与发包人、设计单位、监理单位及质量监督部门的工作协调、配合工作，虚心听取他们的意见和建议，不断改进工作、提高管理水平。</w:t>
      </w:r>
    </w:p>
    <w:p w14:paraId="08DA76EA">
      <w:pPr>
        <w:widowControl/>
        <w:spacing w:line="360" w:lineRule="atLeast"/>
        <w:ind w:firstLine="495" w:firstLineChars="23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2.10 单位工程完工后，承包人应自行组织有关人员进行检查评定，并向发包人提交工程验收报告及相关资料。承包人在质量保修期内，应按照有关法律、法规的管理规定和双方在合同中的约定，承担本工程质量保修责任。</w:t>
      </w:r>
    </w:p>
    <w:p w14:paraId="3DD0D7B0">
      <w:pPr>
        <w:spacing w:before="60" w:line="360" w:lineRule="auto"/>
        <w:ind w:left="102" w:right="41"/>
        <w:rPr>
          <w:rFonts w:hint="eastAsia" w:ascii="宋体" w:hAnsi="宋体" w:eastAsia="宋体" w:cs="宋体"/>
          <w:b/>
          <w:bCs/>
          <w:color w:val="000000" w:themeColor="text1"/>
          <w:spacing w:val="-2"/>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3.工程建设应执行的技</w:t>
      </w:r>
      <w:r>
        <w:rPr>
          <w:rFonts w:hint="eastAsia" w:ascii="宋体" w:hAnsi="宋体" w:eastAsia="宋体" w:cs="宋体"/>
          <w:b/>
          <w:bCs/>
          <w:color w:val="000000" w:themeColor="text1"/>
          <w:spacing w:val="-2"/>
          <w:szCs w:val="21"/>
          <w14:textFill>
            <w14:solidFill>
              <w14:schemeClr w14:val="tx1"/>
            </w14:solidFill>
          </w14:textFill>
        </w:rPr>
        <w:t>术</w:t>
      </w:r>
      <w:r>
        <w:rPr>
          <w:rFonts w:hint="eastAsia" w:ascii="宋体" w:hAnsi="宋体" w:eastAsia="宋体" w:cs="宋体"/>
          <w:b/>
          <w:bCs/>
          <w:color w:val="000000" w:themeColor="text1"/>
          <w:szCs w:val="21"/>
          <w14:textFill>
            <w14:solidFill>
              <w14:schemeClr w14:val="tx1"/>
            </w14:solidFill>
          </w14:textFill>
        </w:rPr>
        <w:t>规范本工</w:t>
      </w:r>
      <w:r>
        <w:rPr>
          <w:rFonts w:hint="eastAsia" w:ascii="宋体" w:hAnsi="宋体" w:eastAsia="宋体" w:cs="宋体"/>
          <w:b/>
          <w:bCs/>
          <w:color w:val="000000" w:themeColor="text1"/>
          <w:spacing w:val="-2"/>
          <w:szCs w:val="21"/>
          <w14:textFill>
            <w14:solidFill>
              <w14:schemeClr w14:val="tx1"/>
            </w14:solidFill>
          </w14:textFill>
        </w:rPr>
        <w:t>程</w:t>
      </w:r>
      <w:r>
        <w:rPr>
          <w:rFonts w:hint="eastAsia" w:ascii="宋体" w:hAnsi="宋体" w:eastAsia="宋体" w:cs="宋体"/>
          <w:b/>
          <w:bCs/>
          <w:color w:val="000000" w:themeColor="text1"/>
          <w:szCs w:val="21"/>
          <w14:textFill>
            <w14:solidFill>
              <w14:schemeClr w14:val="tx1"/>
            </w14:solidFill>
          </w14:textFill>
        </w:rPr>
        <w:t>在</w:t>
      </w:r>
      <w:r>
        <w:rPr>
          <w:rFonts w:hint="eastAsia" w:ascii="宋体" w:hAnsi="宋体" w:eastAsia="宋体" w:cs="宋体"/>
          <w:b/>
          <w:bCs/>
          <w:color w:val="000000" w:themeColor="text1"/>
          <w:spacing w:val="-2"/>
          <w:szCs w:val="21"/>
          <w14:textFill>
            <w14:solidFill>
              <w14:schemeClr w14:val="tx1"/>
            </w14:solidFill>
          </w14:textFill>
        </w:rPr>
        <w:t>施</w:t>
      </w:r>
      <w:r>
        <w:rPr>
          <w:rFonts w:hint="eastAsia" w:ascii="宋体" w:hAnsi="宋体" w:eastAsia="宋体" w:cs="宋体"/>
          <w:b/>
          <w:bCs/>
          <w:color w:val="000000" w:themeColor="text1"/>
          <w:szCs w:val="21"/>
          <w14:textFill>
            <w14:solidFill>
              <w14:schemeClr w14:val="tx1"/>
            </w14:solidFill>
          </w14:textFill>
        </w:rPr>
        <w:t>工</w:t>
      </w:r>
      <w:r>
        <w:rPr>
          <w:rFonts w:hint="eastAsia" w:ascii="宋体" w:hAnsi="宋体" w:eastAsia="宋体" w:cs="宋体"/>
          <w:b/>
          <w:bCs/>
          <w:color w:val="000000" w:themeColor="text1"/>
          <w:spacing w:val="-2"/>
          <w:szCs w:val="21"/>
          <w14:textFill>
            <w14:solidFill>
              <w14:schemeClr w14:val="tx1"/>
            </w14:solidFill>
          </w14:textFill>
        </w:rPr>
        <w:t>过</w:t>
      </w:r>
      <w:r>
        <w:rPr>
          <w:rFonts w:hint="eastAsia" w:ascii="宋体" w:hAnsi="宋体" w:eastAsia="宋体" w:cs="宋体"/>
          <w:b/>
          <w:bCs/>
          <w:color w:val="000000" w:themeColor="text1"/>
          <w:szCs w:val="21"/>
          <w14:textFill>
            <w14:solidFill>
              <w14:schemeClr w14:val="tx1"/>
            </w14:solidFill>
          </w14:textFill>
        </w:rPr>
        <w:t>程</w:t>
      </w:r>
      <w:r>
        <w:rPr>
          <w:rFonts w:hint="eastAsia" w:ascii="宋体" w:hAnsi="宋体" w:eastAsia="宋体" w:cs="宋体"/>
          <w:b/>
          <w:bCs/>
          <w:color w:val="000000" w:themeColor="text1"/>
          <w:spacing w:val="-2"/>
          <w:szCs w:val="21"/>
          <w14:textFill>
            <w14:solidFill>
              <w14:schemeClr w14:val="tx1"/>
            </w14:solidFill>
          </w14:textFill>
        </w:rPr>
        <w:t>中</w:t>
      </w:r>
      <w:r>
        <w:rPr>
          <w:rFonts w:hint="eastAsia" w:ascii="宋体" w:hAnsi="宋体" w:eastAsia="宋体" w:cs="宋体"/>
          <w:b/>
          <w:bCs/>
          <w:color w:val="000000" w:themeColor="text1"/>
          <w:szCs w:val="21"/>
          <w14:textFill>
            <w14:solidFill>
              <w14:schemeClr w14:val="tx1"/>
            </w14:solidFill>
          </w14:textFill>
        </w:rPr>
        <w:t>必</w:t>
      </w:r>
      <w:r>
        <w:rPr>
          <w:rFonts w:hint="eastAsia" w:ascii="宋体" w:hAnsi="宋体" w:eastAsia="宋体" w:cs="宋体"/>
          <w:b/>
          <w:bCs/>
          <w:color w:val="000000" w:themeColor="text1"/>
          <w:spacing w:val="-2"/>
          <w:szCs w:val="21"/>
          <w14:textFill>
            <w14:solidFill>
              <w14:schemeClr w14:val="tx1"/>
            </w14:solidFill>
          </w14:textFill>
        </w:rPr>
        <w:t>须</w:t>
      </w:r>
      <w:r>
        <w:rPr>
          <w:rFonts w:hint="eastAsia" w:ascii="宋体" w:hAnsi="宋体" w:eastAsia="宋体" w:cs="宋体"/>
          <w:b/>
          <w:bCs/>
          <w:color w:val="000000" w:themeColor="text1"/>
          <w:szCs w:val="21"/>
          <w14:textFill>
            <w14:solidFill>
              <w14:schemeClr w14:val="tx1"/>
            </w14:solidFill>
          </w14:textFill>
        </w:rPr>
        <w:t>严格</w:t>
      </w:r>
      <w:r>
        <w:rPr>
          <w:rFonts w:hint="eastAsia" w:ascii="宋体" w:hAnsi="宋体" w:eastAsia="宋体" w:cs="宋体"/>
          <w:b/>
          <w:bCs/>
          <w:color w:val="000000" w:themeColor="text1"/>
          <w:spacing w:val="-2"/>
          <w:szCs w:val="21"/>
          <w14:textFill>
            <w14:solidFill>
              <w14:schemeClr w14:val="tx1"/>
            </w14:solidFill>
          </w14:textFill>
        </w:rPr>
        <w:t>执</w:t>
      </w:r>
      <w:r>
        <w:rPr>
          <w:rFonts w:hint="eastAsia" w:ascii="宋体" w:hAnsi="宋体" w:eastAsia="宋体" w:cs="宋体"/>
          <w:b/>
          <w:bCs/>
          <w:color w:val="000000" w:themeColor="text1"/>
          <w:szCs w:val="21"/>
          <w14:textFill>
            <w14:solidFill>
              <w14:schemeClr w14:val="tx1"/>
            </w14:solidFill>
          </w14:textFill>
        </w:rPr>
        <w:t>行</w:t>
      </w:r>
      <w:r>
        <w:rPr>
          <w:rFonts w:hint="eastAsia" w:ascii="宋体" w:hAnsi="宋体" w:eastAsia="宋体" w:cs="宋体"/>
          <w:b/>
          <w:bCs/>
          <w:color w:val="000000" w:themeColor="text1"/>
          <w:spacing w:val="-2"/>
          <w:szCs w:val="21"/>
          <w14:textFill>
            <w14:solidFill>
              <w14:schemeClr w14:val="tx1"/>
            </w14:solidFill>
          </w14:textFill>
        </w:rPr>
        <w:t>国家</w:t>
      </w:r>
      <w:r>
        <w:rPr>
          <w:rFonts w:hint="eastAsia" w:ascii="宋体" w:hAnsi="宋体" w:eastAsia="宋体" w:cs="宋体"/>
          <w:b/>
          <w:bCs/>
          <w:color w:val="000000" w:themeColor="text1"/>
          <w:spacing w:val="-98"/>
          <w:szCs w:val="21"/>
          <w14:textFill>
            <w14:solidFill>
              <w14:schemeClr w14:val="tx1"/>
            </w14:solidFill>
          </w14:textFill>
        </w:rPr>
        <w:t>、</w:t>
      </w:r>
      <w:r>
        <w:rPr>
          <w:rFonts w:hint="eastAsia" w:ascii="宋体" w:hAnsi="宋体" w:eastAsia="宋体" w:cs="宋体"/>
          <w:b/>
          <w:bCs/>
          <w:color w:val="000000" w:themeColor="text1"/>
          <w:spacing w:val="-2"/>
          <w:szCs w:val="21"/>
          <w14:textFill>
            <w14:solidFill>
              <w14:schemeClr w14:val="tx1"/>
            </w14:solidFill>
          </w14:textFill>
        </w:rPr>
        <w:t>行</w:t>
      </w:r>
      <w:r>
        <w:rPr>
          <w:rFonts w:hint="eastAsia" w:ascii="宋体" w:hAnsi="宋体" w:eastAsia="宋体" w:cs="宋体"/>
          <w:b/>
          <w:bCs/>
          <w:color w:val="000000" w:themeColor="text1"/>
          <w:szCs w:val="21"/>
          <w14:textFill>
            <w14:solidFill>
              <w14:schemeClr w14:val="tx1"/>
            </w14:solidFill>
          </w14:textFill>
        </w:rPr>
        <w:t>业</w:t>
      </w:r>
      <w:r>
        <w:rPr>
          <w:rFonts w:hint="eastAsia" w:ascii="宋体" w:hAnsi="宋体" w:eastAsia="宋体" w:cs="宋体"/>
          <w:b/>
          <w:bCs/>
          <w:color w:val="000000" w:themeColor="text1"/>
          <w:spacing w:val="-2"/>
          <w:szCs w:val="21"/>
          <w14:textFill>
            <w14:solidFill>
              <w14:schemeClr w14:val="tx1"/>
            </w14:solidFill>
          </w14:textFill>
        </w:rPr>
        <w:t>的</w:t>
      </w:r>
      <w:r>
        <w:rPr>
          <w:rFonts w:hint="eastAsia" w:ascii="宋体" w:hAnsi="宋体" w:eastAsia="宋体" w:cs="宋体"/>
          <w:b/>
          <w:bCs/>
          <w:color w:val="000000" w:themeColor="text1"/>
          <w:szCs w:val="21"/>
          <w14:textFill>
            <w14:solidFill>
              <w14:schemeClr w14:val="tx1"/>
            </w14:solidFill>
          </w14:textFill>
        </w:rPr>
        <w:t>现</w:t>
      </w:r>
      <w:r>
        <w:rPr>
          <w:rFonts w:hint="eastAsia" w:ascii="宋体" w:hAnsi="宋体" w:eastAsia="宋体" w:cs="宋体"/>
          <w:b/>
          <w:bCs/>
          <w:color w:val="000000" w:themeColor="text1"/>
          <w:spacing w:val="-2"/>
          <w:szCs w:val="21"/>
          <w14:textFill>
            <w14:solidFill>
              <w14:schemeClr w14:val="tx1"/>
            </w14:solidFill>
          </w14:textFill>
        </w:rPr>
        <w:t>行</w:t>
      </w:r>
      <w:r>
        <w:rPr>
          <w:rFonts w:hint="eastAsia" w:ascii="宋体" w:hAnsi="宋体" w:eastAsia="宋体" w:cs="宋体"/>
          <w:b/>
          <w:bCs/>
          <w:color w:val="000000" w:themeColor="text1"/>
          <w:szCs w:val="21"/>
          <w14:textFill>
            <w14:solidFill>
              <w14:schemeClr w14:val="tx1"/>
            </w14:solidFill>
          </w14:textFill>
        </w:rPr>
        <w:t>有关</w:t>
      </w:r>
      <w:r>
        <w:rPr>
          <w:rFonts w:hint="eastAsia" w:ascii="宋体" w:hAnsi="宋体" w:eastAsia="宋体" w:cs="宋体"/>
          <w:b/>
          <w:bCs/>
          <w:color w:val="000000" w:themeColor="text1"/>
          <w:spacing w:val="-2"/>
          <w:szCs w:val="21"/>
          <w14:textFill>
            <w14:solidFill>
              <w14:schemeClr w14:val="tx1"/>
            </w14:solidFill>
          </w14:textFill>
        </w:rPr>
        <w:t>各</w:t>
      </w:r>
      <w:r>
        <w:rPr>
          <w:rFonts w:hint="eastAsia" w:ascii="宋体" w:hAnsi="宋体" w:eastAsia="宋体" w:cs="宋体"/>
          <w:b/>
          <w:bCs/>
          <w:color w:val="000000" w:themeColor="text1"/>
          <w:szCs w:val="21"/>
          <w14:textFill>
            <w14:solidFill>
              <w14:schemeClr w14:val="tx1"/>
            </w14:solidFill>
          </w14:textFill>
        </w:rPr>
        <w:t>专</w:t>
      </w:r>
      <w:r>
        <w:rPr>
          <w:rFonts w:hint="eastAsia" w:ascii="宋体" w:hAnsi="宋体" w:eastAsia="宋体" w:cs="宋体"/>
          <w:b/>
          <w:bCs/>
          <w:color w:val="000000" w:themeColor="text1"/>
          <w:spacing w:val="-2"/>
          <w:szCs w:val="21"/>
          <w14:textFill>
            <w14:solidFill>
              <w14:schemeClr w14:val="tx1"/>
            </w14:solidFill>
          </w14:textFill>
        </w:rPr>
        <w:t>业</w:t>
      </w:r>
      <w:r>
        <w:rPr>
          <w:rFonts w:hint="eastAsia" w:ascii="宋体" w:hAnsi="宋体" w:eastAsia="宋体" w:cs="宋体"/>
          <w:b/>
          <w:bCs/>
          <w:color w:val="000000" w:themeColor="text1"/>
          <w:szCs w:val="21"/>
          <w14:textFill>
            <w14:solidFill>
              <w14:schemeClr w14:val="tx1"/>
            </w14:solidFill>
          </w14:textFill>
        </w:rPr>
        <w:t>工</w:t>
      </w:r>
      <w:r>
        <w:rPr>
          <w:rFonts w:hint="eastAsia" w:ascii="宋体" w:hAnsi="宋体" w:eastAsia="宋体" w:cs="宋体"/>
          <w:b/>
          <w:bCs/>
          <w:color w:val="000000" w:themeColor="text1"/>
          <w:spacing w:val="-2"/>
          <w:szCs w:val="21"/>
          <w14:textFill>
            <w14:solidFill>
              <w14:schemeClr w14:val="tx1"/>
            </w14:solidFill>
          </w14:textFill>
        </w:rPr>
        <w:t>程</w:t>
      </w:r>
      <w:r>
        <w:rPr>
          <w:rFonts w:hint="eastAsia" w:ascii="宋体" w:hAnsi="宋体" w:eastAsia="宋体" w:cs="宋体"/>
          <w:b/>
          <w:bCs/>
          <w:color w:val="000000" w:themeColor="text1"/>
          <w:szCs w:val="21"/>
          <w14:textFill>
            <w14:solidFill>
              <w14:schemeClr w14:val="tx1"/>
            </w14:solidFill>
          </w14:textFill>
        </w:rPr>
        <w:t>施</w:t>
      </w:r>
      <w:r>
        <w:rPr>
          <w:rFonts w:hint="eastAsia" w:ascii="宋体" w:hAnsi="宋体" w:eastAsia="宋体" w:cs="宋体"/>
          <w:b/>
          <w:bCs/>
          <w:color w:val="000000" w:themeColor="text1"/>
          <w:spacing w:val="-2"/>
          <w:szCs w:val="21"/>
          <w14:textFill>
            <w14:solidFill>
              <w14:schemeClr w14:val="tx1"/>
            </w14:solidFill>
          </w14:textFill>
        </w:rPr>
        <w:t>工</w:t>
      </w:r>
      <w:r>
        <w:rPr>
          <w:rFonts w:hint="eastAsia" w:ascii="宋体" w:hAnsi="宋体" w:eastAsia="宋体" w:cs="宋体"/>
          <w:b/>
          <w:bCs/>
          <w:color w:val="000000" w:themeColor="text1"/>
          <w:szCs w:val="21"/>
          <w14:textFill>
            <w14:solidFill>
              <w14:schemeClr w14:val="tx1"/>
            </w14:solidFill>
          </w14:textFill>
        </w:rPr>
        <w:t>质</w:t>
      </w:r>
      <w:r>
        <w:rPr>
          <w:rFonts w:hint="eastAsia" w:ascii="宋体" w:hAnsi="宋体" w:eastAsia="宋体" w:cs="宋体"/>
          <w:b/>
          <w:bCs/>
          <w:color w:val="000000" w:themeColor="text1"/>
          <w:spacing w:val="-2"/>
          <w:szCs w:val="21"/>
          <w14:textFill>
            <w14:solidFill>
              <w14:schemeClr w14:val="tx1"/>
            </w14:solidFill>
          </w14:textFill>
        </w:rPr>
        <w:t>量</w:t>
      </w:r>
      <w:r>
        <w:rPr>
          <w:rFonts w:hint="eastAsia" w:ascii="宋体" w:hAnsi="宋体" w:eastAsia="宋体" w:cs="宋体"/>
          <w:b/>
          <w:bCs/>
          <w:color w:val="000000" w:themeColor="text1"/>
          <w:szCs w:val="21"/>
          <w14:textFill>
            <w14:solidFill>
              <w14:schemeClr w14:val="tx1"/>
            </w14:solidFill>
          </w14:textFill>
        </w:rPr>
        <w:t>验收</w:t>
      </w:r>
      <w:r>
        <w:rPr>
          <w:rFonts w:hint="eastAsia" w:ascii="宋体" w:hAnsi="宋体" w:eastAsia="宋体" w:cs="宋体"/>
          <w:b/>
          <w:bCs/>
          <w:color w:val="000000" w:themeColor="text1"/>
          <w:spacing w:val="-2"/>
          <w:szCs w:val="21"/>
          <w14:textFill>
            <w14:solidFill>
              <w14:schemeClr w14:val="tx1"/>
            </w14:solidFill>
          </w14:textFill>
        </w:rPr>
        <w:t>规</w:t>
      </w:r>
      <w:r>
        <w:rPr>
          <w:rFonts w:hint="eastAsia" w:ascii="宋体" w:hAnsi="宋体" w:eastAsia="宋体" w:cs="宋体"/>
          <w:b/>
          <w:bCs/>
          <w:color w:val="000000" w:themeColor="text1"/>
          <w:szCs w:val="21"/>
          <w14:textFill>
            <w14:solidFill>
              <w14:schemeClr w14:val="tx1"/>
            </w14:solidFill>
          </w14:textFill>
        </w:rPr>
        <w:t>范</w:t>
      </w:r>
      <w:r>
        <w:rPr>
          <w:rFonts w:hint="eastAsia" w:ascii="宋体" w:hAnsi="宋体" w:eastAsia="宋体" w:cs="宋体"/>
          <w:b/>
          <w:bCs/>
          <w:color w:val="000000" w:themeColor="text1"/>
          <w:spacing w:val="-2"/>
          <w:szCs w:val="21"/>
          <w14:textFill>
            <w14:solidFill>
              <w14:schemeClr w14:val="tx1"/>
            </w14:solidFill>
          </w14:textFill>
        </w:rPr>
        <w:t>及验</w:t>
      </w:r>
      <w:r>
        <w:rPr>
          <w:rFonts w:hint="eastAsia" w:ascii="宋体" w:hAnsi="宋体" w:eastAsia="宋体" w:cs="宋体"/>
          <w:b/>
          <w:bCs/>
          <w:color w:val="000000" w:themeColor="text1"/>
          <w:szCs w:val="21"/>
          <w14:textFill>
            <w14:solidFill>
              <w14:schemeClr w14:val="tx1"/>
            </w14:solidFill>
          </w14:textFill>
        </w:rPr>
        <w:t>收统一</w:t>
      </w:r>
      <w:r>
        <w:rPr>
          <w:rFonts w:hint="eastAsia" w:ascii="宋体" w:hAnsi="宋体" w:eastAsia="宋体" w:cs="宋体"/>
          <w:b/>
          <w:bCs/>
          <w:color w:val="000000" w:themeColor="text1"/>
          <w:spacing w:val="-2"/>
          <w:szCs w:val="21"/>
          <w14:textFill>
            <w14:solidFill>
              <w14:schemeClr w14:val="tx1"/>
            </w14:solidFill>
          </w14:textFill>
        </w:rPr>
        <w:t>标准。</w:t>
      </w:r>
    </w:p>
    <w:p w14:paraId="1DBDD3BB">
      <w:pPr>
        <w:spacing w:before="60" w:line="360" w:lineRule="auto"/>
        <w:ind w:left="102" w:right="41"/>
        <w:rPr>
          <w:rFonts w:hint="eastAsia" w:ascii="宋体" w:hAnsi="宋体" w:eastAsia="宋体" w:cs="宋体"/>
          <w:b/>
          <w:bCs/>
          <w:color w:val="000000" w:themeColor="text1"/>
          <w:spacing w:val="-2"/>
          <w:szCs w:val="21"/>
          <w14:textFill>
            <w14:solidFill>
              <w14:schemeClr w14:val="tx1"/>
            </w14:solidFill>
          </w14:textFill>
        </w:rPr>
      </w:pPr>
      <w:r>
        <w:rPr>
          <w:rFonts w:hint="eastAsia" w:ascii="宋体" w:hAnsi="宋体" w:eastAsia="宋体" w:cs="宋体"/>
          <w:b/>
          <w:bCs/>
          <w:color w:val="000000" w:themeColor="text1"/>
          <w:spacing w:val="-2"/>
          <w:szCs w:val="21"/>
          <w14:textFill>
            <w14:solidFill>
              <w14:schemeClr w14:val="tx1"/>
            </w14:solidFill>
          </w14:textFill>
        </w:rPr>
        <w:t>4.</w:t>
      </w:r>
      <w:r>
        <w:rPr>
          <w:rFonts w:hint="eastAsia" w:ascii="宋体" w:hAnsi="宋体" w:eastAsia="宋体" w:cs="宋体"/>
          <w:b/>
          <w:bCs/>
          <w:color w:val="000000" w:themeColor="text1"/>
          <w:szCs w:val="21"/>
          <w14:textFill>
            <w14:solidFill>
              <w14:schemeClr w14:val="tx1"/>
            </w14:solidFill>
          </w14:textFill>
        </w:rPr>
        <w:t xml:space="preserve"> </w:t>
      </w:r>
      <w:r>
        <w:rPr>
          <w:rFonts w:hint="eastAsia" w:ascii="宋体" w:hAnsi="宋体" w:eastAsia="宋体" w:cs="宋体"/>
          <w:b/>
          <w:bCs/>
          <w:color w:val="000000" w:themeColor="text1"/>
          <w:spacing w:val="-2"/>
          <w:szCs w:val="21"/>
          <w14:textFill>
            <w14:solidFill>
              <w14:schemeClr w14:val="tx1"/>
            </w14:solidFill>
          </w14:textFill>
        </w:rPr>
        <w:t>适用规范和标准</w:t>
      </w:r>
    </w:p>
    <w:p w14:paraId="77C90F78">
      <w:pPr>
        <w:spacing w:line="440" w:lineRule="exact"/>
        <w:ind w:left="-15" w:leftChars="-48" w:right="41" w:hanging="86" w:hangingChars="42"/>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4.1 适用本工程的国家、行业和地方规范、标准和规程:</w:t>
      </w:r>
    </w:p>
    <w:p w14:paraId="20C29AAA">
      <w:pPr>
        <w:spacing w:line="440" w:lineRule="exact"/>
        <w:ind w:left="102" w:right="41"/>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适用于本招标工程的主要设计和施工验收规范名录如下(包括但不限于)：</w:t>
      </w:r>
    </w:p>
    <w:p w14:paraId="386AE644">
      <w:pPr>
        <w:spacing w:line="440" w:lineRule="exact"/>
        <w:ind w:left="102" w:right="41"/>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说明：本节内容只需列出规范、标准、规程等的名称、编号等内容。本节由采购人根据国家、行业和地方现行标准、规范和规程等，以及项目具体情况摘录。</w:t>
      </w:r>
    </w:p>
    <w:p w14:paraId="0D3EC352">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《电力建设施工及验收技术规范》SDJ 69-87</w:t>
      </w:r>
    </w:p>
    <w:p w14:paraId="33D9B3B3">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《电力建设施工质量验收及评定规程》DL/T 5210.1-2005</w:t>
      </w:r>
    </w:p>
    <w:p w14:paraId="60066D73">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《电气装置安装工程质量检验及评定规程》DL/T5161.1-17-2002</w:t>
      </w:r>
    </w:p>
    <w:p w14:paraId="6C0D2F46">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《电气装置安装工程高压电器施工及验收规范》GBJ 147-90</w:t>
      </w:r>
    </w:p>
    <w:p w14:paraId="39DB49B6">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《电气装置安装工程母线装置施工及验收规范》GBJ 149-90</w:t>
      </w:r>
    </w:p>
    <w:p w14:paraId="39B44496">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《电气装置安装工程电气设备交接试验标准》</w:t>
      </w:r>
      <w:r>
        <w:rPr>
          <w:rFonts w:hint="eastAsia" w:ascii="宋体" w:hAnsi="宋体" w:eastAsia="宋体" w:cs="宋体"/>
          <w:bCs/>
          <w:color w:val="000000" w:themeColor="text1"/>
          <w:szCs w:val="21"/>
          <w14:textFill>
            <w14:solidFill>
              <w14:schemeClr w14:val="tx1"/>
            </w14:solidFill>
          </w14:textFill>
        </w:rPr>
        <w:t>GB50150-91</w:t>
      </w:r>
    </w:p>
    <w:p w14:paraId="1D48CEE9">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《施工现场机械设备检查技术规程》JGJ 160-2008</w:t>
      </w:r>
    </w:p>
    <w:p w14:paraId="036D6E86">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 xml:space="preserve">《电气装置安装工程旋转电机施工及验收规范》GB50171-92 </w:t>
      </w:r>
    </w:p>
    <w:p w14:paraId="662D2F91">
      <w:pPr>
        <w:spacing w:line="440" w:lineRule="exact"/>
        <w:ind w:left="-7" w:leftChars="-46" w:right="41" w:hanging="90"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《电气装置安装工程电缆线路施工及验收规范》GB50168-92</w:t>
      </w:r>
    </w:p>
    <w:p w14:paraId="5347424E">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《建筑施工安全检查标准》JGJ 59-2011</w:t>
      </w:r>
    </w:p>
    <w:p w14:paraId="5107765D">
      <w:pPr>
        <w:spacing w:line="440" w:lineRule="exact"/>
        <w:ind w:left="-9" w:leftChars="-46" w:right="41" w:hanging="88" w:hangingChars="43"/>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建设工程项目管理规范</w:t>
      </w:r>
      <w:r>
        <w:rPr>
          <w:rFonts w:hint="eastAsia" w:ascii="宋体" w:hAnsi="宋体" w:eastAsia="宋体" w:cs="宋体"/>
          <w:color w:val="000000" w:themeColor="text1"/>
          <w:spacing w:val="-2"/>
          <w:szCs w:val="21"/>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GBT 50326-2017</w:t>
      </w:r>
    </w:p>
    <w:p w14:paraId="48E37098">
      <w:pPr>
        <w:pStyle w:val="28"/>
        <w:spacing w:line="440" w:lineRule="exact"/>
        <w:ind w:left="-7" w:leftChars="-46" w:hanging="90" w:hangingChars="43"/>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《工程测量通用规范》</w:t>
      </w:r>
      <w:r>
        <w:rPr>
          <w:rFonts w:hint="eastAsia" w:ascii="宋体" w:hAnsi="宋体" w:eastAsia="宋体" w:cs="宋体"/>
          <w:color w:val="000000" w:themeColor="text1"/>
          <w:sz w:val="21"/>
          <w:szCs w:val="21"/>
          <w14:textFill>
            <w14:solidFill>
              <w14:schemeClr w14:val="tx1"/>
            </w14:solidFill>
          </w14:textFill>
        </w:rPr>
        <w:t>GB 55018-2021</w:t>
      </w:r>
    </w:p>
    <w:p w14:paraId="5748DBFF">
      <w:pPr>
        <w:pStyle w:val="28"/>
        <w:spacing w:line="440" w:lineRule="exact"/>
        <w:ind w:left="-7" w:leftChars="-46" w:hanging="90" w:hangingChars="43"/>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《施工现场临时用电安全技术规范》JGJ46-2018</w:t>
      </w:r>
    </w:p>
    <w:p w14:paraId="4CF509AA">
      <w:pPr>
        <w:pStyle w:val="28"/>
        <w:spacing w:line="440" w:lineRule="exact"/>
        <w:ind w:left="-7" w:leftChars="-46" w:hanging="90" w:hangingChars="43"/>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《施工企业安全生产评价标准》JGJ/T77-2010</w:t>
      </w:r>
    </w:p>
    <w:p w14:paraId="288F98EC">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《混凝土强度检验评定标准》GB/T50107-2010</w:t>
      </w:r>
    </w:p>
    <w:p w14:paraId="25CC79F7">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《混凝土质量控制标准》GB50164-2011</w:t>
      </w:r>
    </w:p>
    <w:p w14:paraId="572F8010">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《砌体工程施工质量验收规范》GB50203—2011</w:t>
      </w:r>
    </w:p>
    <w:p w14:paraId="43A3C8AF">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 xml:space="preserve">《建筑装饰装修工程施工质量验收规范》GB50210-2013 </w:t>
      </w:r>
    </w:p>
    <w:p w14:paraId="7954C017">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《建设工程施工现场供用电安全规范》(GB50194-93)</w:t>
      </w:r>
    </w:p>
    <w:p w14:paraId="0E9FC535">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《建筑内部装修设计防火规范(2001年修订版)》  (GB50222- -95)</w:t>
      </w:r>
    </w:p>
    <w:p w14:paraId="7EB1517F">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《民用市政公用工程室内环境污染控制规范》 (GB50325- -2010)</w:t>
      </w:r>
    </w:p>
    <w:p w14:paraId="2D23BAD7">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《市政公用工程饰面砖粘结强度检验标》 (JGJ110-2008)</w:t>
      </w:r>
    </w:p>
    <w:p w14:paraId="45A7E238">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《建筑施工安全检查标准》 (JGJ59-2011)</w:t>
      </w:r>
    </w:p>
    <w:p w14:paraId="5D90EEC9">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 xml:space="preserve">《市政公用工程质量检验评定统-标准》 (GBJ300- -2001) </w:t>
      </w:r>
    </w:p>
    <w:p w14:paraId="1758DDBA">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《建筑施工安全检查评分办法》 (JGJ59--88)</w:t>
      </w:r>
    </w:p>
    <w:p w14:paraId="47284D6F">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《施工现场临时用电安全技术规程》 (JGJ46- -2005)</w:t>
      </w:r>
    </w:p>
    <w:p w14:paraId="4628BD8A">
      <w:pPr>
        <w:bidi w:val="0"/>
        <w:rPr>
          <w:rFonts w:hint="eastAsia"/>
        </w:rPr>
      </w:pPr>
      <w:r>
        <w:rPr>
          <w:rFonts w:hint="eastAsia"/>
        </w:rPr>
        <w:t>说明:除非另有说明，本工程适用所有现行有效的相关国家，行业以及地方规范、规程和标准，上述规范、规程和标准均指它们各自的最新版本，如果上述规范、规程和标准之间出现矛盾或与合同其他内容存在不一致，按其中最高的要求或最严格的标准执行，适用本工程的上述规范、标准和规程的具体编号和名称则在本文件中有意空缺，由承包人依据上述原则自行收集。承包人应自行收集或购买现行的相关规范、规程、标准及相关规定等，并承担相应的费用，构成合同文件的任何内容与国家现行规范、规程和标准之间出现矛盾，承包人应书面要求发包人予以澄清，除非发包人有特别指令，承包人应按照其中要求最严格的标准执行。材料、施工工艺和本工程都应依照本技术标准和要求以及国家现行规范、规程和标准的最新版本执行。</w:t>
      </w:r>
    </w:p>
    <w:p w14:paraId="50E80B4C">
      <w:pPr>
        <w:spacing w:line="440" w:lineRule="exact"/>
        <w:ind w:left="-284" w:right="41"/>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中华人民共和国有关的法律、法规、条例和规范，以及北京市有关市政公用工程施工管理的其他法规和规范性文件。</w:t>
      </w:r>
    </w:p>
    <w:p w14:paraId="1E21071B">
      <w:pPr>
        <w:spacing w:line="440" w:lineRule="exact"/>
        <w:ind w:left="-284" w:right="41"/>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以及其他相应市政公用工程和设备安装工程施工规范及验收规范。</w:t>
      </w:r>
    </w:p>
    <w:p w14:paraId="6D9D08F3">
      <w:pPr>
        <w:spacing w:line="440" w:lineRule="exact"/>
        <w:ind w:left="-284" w:right="41"/>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上述规范、规程和标准如有不明确或矛盾之处，由监理工程师负责解释。</w:t>
      </w:r>
    </w:p>
    <w:p w14:paraId="35F39AA5">
      <w:pPr>
        <w:pStyle w:val="17"/>
        <w:spacing w:before="353" w:line="219" w:lineRule="auto"/>
        <w:jc w:val="center"/>
        <w:rPr>
          <w:rFonts w:hint="eastAsia" w:ascii="宋体" w:hAnsi="宋体" w:eastAsia="宋体" w:cs="宋体"/>
          <w:spacing w:val="-1"/>
          <w:sz w:val="36"/>
          <w:szCs w:val="36"/>
        </w:rPr>
      </w:pPr>
    </w:p>
    <w:p w14:paraId="09B491EF">
      <w:pPr>
        <w:pStyle w:val="17"/>
        <w:spacing w:before="353" w:line="219" w:lineRule="auto"/>
        <w:jc w:val="center"/>
        <w:rPr>
          <w:rFonts w:hint="eastAsia" w:ascii="宋体" w:hAnsi="宋体" w:eastAsia="宋体" w:cs="宋体"/>
          <w:spacing w:val="-1"/>
          <w:sz w:val="36"/>
          <w:szCs w:val="36"/>
        </w:rPr>
      </w:pPr>
    </w:p>
    <w:p w14:paraId="3F98C9B2">
      <w:pPr>
        <w:rPr>
          <w:rFonts w:hint="eastAsia" w:ascii="宋体" w:hAnsi="宋体" w:eastAsia="宋体" w:cs="宋体"/>
          <w:sz w:val="24"/>
        </w:rPr>
        <w:sectPr>
          <w:headerReference r:id="rId10" w:type="default"/>
          <w:footerReference r:id="rId11" w:type="default"/>
          <w:pgSz w:w="11906" w:h="16839"/>
          <w:pgMar w:top="1167" w:right="1770" w:bottom="1430" w:left="1771" w:header="830" w:footer="1196" w:gutter="0"/>
          <w:pgNumType w:fmt="decimal" w:chapStyle="1"/>
          <w:cols w:space="720" w:num="1"/>
        </w:sectPr>
      </w:pPr>
    </w:p>
    <w:p w14:paraId="04020683">
      <w:pPr>
        <w:spacing w:line="219" w:lineRule="auto"/>
        <w:rPr>
          <w:rFonts w:hint="eastAsia" w:ascii="宋体" w:hAnsi="宋体" w:eastAsia="宋体" w:cs="宋体"/>
          <w:sz w:val="22"/>
          <w:szCs w:val="22"/>
        </w:rPr>
      </w:pPr>
    </w:p>
    <w:p w14:paraId="395E275C">
      <w:pPr>
        <w:numPr>
          <w:ilvl w:val="0"/>
          <w:numId w:val="13"/>
        </w:numPr>
        <w:spacing w:line="440" w:lineRule="exact"/>
        <w:ind w:left="425" w:leftChars="0" w:hanging="425" w:firstLineChars="0"/>
        <w:rPr>
          <w:rFonts w:hint="eastAsia" w:eastAsiaTheme="minorEastAsia"/>
          <w:b/>
          <w:sz w:val="24"/>
        </w:rPr>
      </w:pPr>
      <w:r>
        <w:rPr>
          <w:rFonts w:hint="eastAsia" w:eastAsiaTheme="minorEastAsia"/>
          <w:b/>
          <w:sz w:val="24"/>
        </w:rPr>
        <w:t>工程量清单与计价表（参考格式）</w:t>
      </w:r>
    </w:p>
    <w:p w14:paraId="02BEE4F7">
      <w:pPr>
        <w:pStyle w:val="28"/>
        <w:rPr>
          <w:rFonts w:ascii="微软雅黑" w:hAnsi="微软雅黑" w:eastAsia="微软雅黑" w:cs="微软雅黑"/>
          <w:spacing w:val="2"/>
          <w:position w:val="-1"/>
          <w:sz w:val="36"/>
          <w:szCs w:val="36"/>
          <w:u w:val="single"/>
          <w:lang w:eastAsia="zh-CN"/>
        </w:rPr>
      </w:pPr>
    </w:p>
    <w:p w14:paraId="70628AE7">
      <w:pPr>
        <w:tabs>
          <w:tab w:val="left" w:pos="1940"/>
        </w:tabs>
        <w:spacing w:before="80" w:line="184" w:lineRule="auto"/>
        <w:jc w:val="center"/>
        <w:rPr>
          <w:rFonts w:ascii="微软雅黑" w:hAnsi="微软雅黑" w:eastAsia="微软雅黑" w:cs="微软雅黑"/>
          <w:spacing w:val="2"/>
          <w:position w:val="-1"/>
          <w:sz w:val="36"/>
          <w:szCs w:val="36"/>
          <w:u w:val="single"/>
          <w:lang w:eastAsia="zh-CN"/>
        </w:rPr>
      </w:pPr>
    </w:p>
    <w:p w14:paraId="0F77C273">
      <w:pPr>
        <w:tabs>
          <w:tab w:val="left" w:pos="1940"/>
        </w:tabs>
        <w:spacing w:before="80" w:line="184" w:lineRule="auto"/>
        <w:jc w:val="center"/>
        <w:rPr>
          <w:rFonts w:ascii="微软雅黑" w:hAnsi="微软雅黑" w:eastAsia="微软雅黑" w:cs="微软雅黑"/>
          <w:sz w:val="28"/>
          <w:szCs w:val="28"/>
          <w:lang w:eastAsia="zh-CN"/>
        </w:rPr>
      </w:pPr>
      <w:r>
        <w:drawing>
          <wp:anchor distT="0" distB="0" distL="0" distR="0" simplePos="0" relativeHeight="251661312" behindDoc="0" locked="0" layoutInCell="0" allowOverlap="1">
            <wp:simplePos x="0" y="0"/>
            <wp:positionH relativeFrom="page">
              <wp:posOffset>514350</wp:posOffset>
            </wp:positionH>
            <wp:positionV relativeFrom="page">
              <wp:posOffset>511175</wp:posOffset>
            </wp:positionV>
            <wp:extent cx="6457950" cy="6350"/>
            <wp:effectExtent l="0" t="0" r="0" b="0"/>
            <wp:wrapNone/>
            <wp:docPr id="22" name="IM 2"/>
            <wp:cNvGraphicFramePr/>
            <a:graphic xmlns:a="http://schemas.openxmlformats.org/drawingml/2006/main">
              <a:graphicData uri="http://schemas.openxmlformats.org/drawingml/2006/picture">
                <pic:pic xmlns:pic="http://schemas.openxmlformats.org/drawingml/2006/picture">
                  <pic:nvPicPr>
                    <pic:cNvPr id="22" name="IM 2"/>
                    <pic:cNvPicPr/>
                  </pic:nvPicPr>
                  <pic:blipFill>
                    <a:blip r:embed="rId43"/>
                    <a:stretch>
                      <a:fillRect/>
                    </a:stretch>
                  </pic:blipFill>
                  <pic:spPr>
                    <a:xfrm>
                      <a:off x="0" y="0"/>
                      <a:ext cx="6457950" cy="6350"/>
                    </a:xfrm>
                    <a:prstGeom prst="rect">
                      <a:avLst/>
                    </a:prstGeom>
                  </pic:spPr>
                </pic:pic>
              </a:graphicData>
            </a:graphic>
          </wp:anchor>
        </w:drawing>
      </w:r>
      <w:r>
        <w:rPr>
          <w:rFonts w:hint="eastAsia"/>
          <w:lang w:eastAsia="zh-CN"/>
        </w:rPr>
        <w:t xml:space="preserve"> </w:t>
      </w:r>
      <w:r>
        <w:rPr>
          <w:rFonts w:hint="eastAsia"/>
          <w:u w:val="single"/>
          <w:lang w:eastAsia="zh-CN"/>
        </w:rPr>
        <w:t xml:space="preserve">                                                 </w:t>
      </w:r>
      <w:r>
        <w:rPr>
          <w:rFonts w:ascii="微软雅黑" w:hAnsi="微软雅黑" w:eastAsia="微软雅黑" w:cs="微软雅黑"/>
          <w:spacing w:val="2"/>
          <w:position w:val="-1"/>
          <w:sz w:val="36"/>
          <w:szCs w:val="36"/>
          <w:lang w:eastAsia="zh-CN"/>
        </w:rPr>
        <w:t xml:space="preserve"> </w:t>
      </w:r>
      <w:r>
        <w:rPr>
          <w:rFonts w:ascii="微软雅黑" w:hAnsi="微软雅黑" w:eastAsia="微软雅黑" w:cs="微软雅黑"/>
          <w:spacing w:val="2"/>
          <w:position w:val="1"/>
          <w:sz w:val="28"/>
          <w:szCs w:val="28"/>
          <w:lang w:eastAsia="zh-CN"/>
        </w:rPr>
        <w:t>(工程名称)施工招标</w:t>
      </w:r>
    </w:p>
    <w:p w14:paraId="006B6A02">
      <w:pPr>
        <w:pStyle w:val="17"/>
        <w:spacing w:line="247" w:lineRule="auto"/>
      </w:pPr>
      <w:r>
        <w:drawing>
          <wp:anchor distT="0" distB="0" distL="0" distR="0" simplePos="0" relativeHeight="251660288" behindDoc="0" locked="0" layoutInCell="1" allowOverlap="1">
            <wp:simplePos x="0" y="0"/>
            <wp:positionH relativeFrom="column">
              <wp:posOffset>-3175</wp:posOffset>
            </wp:positionH>
            <wp:positionV relativeFrom="paragraph">
              <wp:posOffset>635</wp:posOffset>
            </wp:positionV>
            <wp:extent cx="6350" cy="7772400"/>
            <wp:effectExtent l="0" t="0" r="6350" b="0"/>
            <wp:wrapNone/>
            <wp:docPr id="3" name="IM 4"/>
            <wp:cNvGraphicFramePr/>
            <a:graphic xmlns:a="http://schemas.openxmlformats.org/drawingml/2006/main">
              <a:graphicData uri="http://schemas.openxmlformats.org/drawingml/2006/picture">
                <pic:pic xmlns:pic="http://schemas.openxmlformats.org/drawingml/2006/picture">
                  <pic:nvPicPr>
                    <pic:cNvPr id="3" name="IM 4"/>
                    <pic:cNvPicPr/>
                  </pic:nvPicPr>
                  <pic:blipFill>
                    <a:blip r:embed="rId44"/>
                    <a:stretch>
                      <a:fillRect/>
                    </a:stretch>
                  </pic:blipFill>
                  <pic:spPr>
                    <a:xfrm>
                      <a:off x="0" y="0"/>
                      <a:ext cx="6350" cy="7772400"/>
                    </a:xfrm>
                    <a:prstGeom prst="rect">
                      <a:avLst/>
                    </a:prstGeom>
                  </pic:spPr>
                </pic:pic>
              </a:graphicData>
            </a:graphic>
          </wp:anchor>
        </w:drawing>
      </w:r>
    </w:p>
    <w:p w14:paraId="33CE72FE">
      <w:pPr>
        <w:pStyle w:val="17"/>
        <w:spacing w:line="248" w:lineRule="auto"/>
      </w:pPr>
    </w:p>
    <w:p w14:paraId="121E50D2">
      <w:pPr>
        <w:pStyle w:val="17"/>
        <w:spacing w:line="248" w:lineRule="auto"/>
      </w:pPr>
    </w:p>
    <w:p w14:paraId="300F3F66">
      <w:pPr>
        <w:pStyle w:val="17"/>
        <w:spacing w:line="248" w:lineRule="auto"/>
      </w:pPr>
    </w:p>
    <w:p w14:paraId="5400099A">
      <w:pPr>
        <w:pStyle w:val="17"/>
        <w:spacing w:line="248" w:lineRule="auto"/>
      </w:pPr>
    </w:p>
    <w:p w14:paraId="207D3D77">
      <w:pPr>
        <w:bidi w:val="0"/>
        <w:jc w:val="center"/>
        <w:rPr>
          <w:rFonts w:ascii="微软雅黑" w:hAnsi="微软雅黑" w:eastAsia="微软雅黑" w:cs="微软雅黑"/>
          <w:sz w:val="43"/>
          <w:szCs w:val="43"/>
          <w:lang w:eastAsia="zh-CN"/>
        </w:rPr>
      </w:pPr>
      <w:r>
        <w:rPr>
          <w:rFonts w:ascii="微软雅黑" w:hAnsi="微软雅黑" w:eastAsia="微软雅黑" w:cs="微软雅黑"/>
          <w:spacing w:val="-8"/>
          <w:w w:val="98"/>
          <w:sz w:val="43"/>
          <w:szCs w:val="43"/>
          <w:lang w:eastAsia="zh-CN"/>
        </w:rPr>
        <w:t>投</w:t>
      </w:r>
      <w:r>
        <w:rPr>
          <w:rFonts w:ascii="微软雅黑" w:hAnsi="微软雅黑" w:eastAsia="微软雅黑" w:cs="微软雅黑"/>
          <w:spacing w:val="4"/>
          <w:sz w:val="43"/>
          <w:szCs w:val="43"/>
          <w:lang w:eastAsia="zh-CN"/>
        </w:rPr>
        <w:t xml:space="preserve">    </w:t>
      </w:r>
      <w:r>
        <w:rPr>
          <w:rFonts w:ascii="微软雅黑" w:hAnsi="微软雅黑" w:eastAsia="微软雅黑" w:cs="微软雅黑"/>
          <w:spacing w:val="-8"/>
          <w:w w:val="98"/>
          <w:sz w:val="43"/>
          <w:szCs w:val="43"/>
          <w:lang w:eastAsia="zh-CN"/>
        </w:rPr>
        <w:t>标</w:t>
      </w:r>
      <w:r>
        <w:rPr>
          <w:rFonts w:ascii="微软雅黑" w:hAnsi="微软雅黑" w:eastAsia="微软雅黑" w:cs="微软雅黑"/>
          <w:spacing w:val="2"/>
          <w:sz w:val="43"/>
          <w:szCs w:val="43"/>
          <w:lang w:eastAsia="zh-CN"/>
        </w:rPr>
        <w:t xml:space="preserve">    </w:t>
      </w:r>
      <w:r>
        <w:rPr>
          <w:rFonts w:ascii="微软雅黑" w:hAnsi="微软雅黑" w:eastAsia="微软雅黑" w:cs="微软雅黑"/>
          <w:spacing w:val="-8"/>
          <w:w w:val="98"/>
          <w:sz w:val="43"/>
          <w:szCs w:val="43"/>
          <w:lang w:eastAsia="zh-CN"/>
        </w:rPr>
        <w:t>文</w:t>
      </w:r>
      <w:r>
        <w:rPr>
          <w:rFonts w:ascii="微软雅黑" w:hAnsi="微软雅黑" w:eastAsia="微软雅黑" w:cs="微软雅黑"/>
          <w:spacing w:val="1"/>
          <w:sz w:val="43"/>
          <w:szCs w:val="43"/>
          <w:lang w:eastAsia="zh-CN"/>
        </w:rPr>
        <w:t xml:space="preserve">    </w:t>
      </w:r>
      <w:r>
        <w:rPr>
          <w:rFonts w:ascii="微软雅黑" w:hAnsi="微软雅黑" w:eastAsia="微软雅黑" w:cs="微软雅黑"/>
          <w:spacing w:val="-8"/>
          <w:w w:val="98"/>
          <w:sz w:val="43"/>
          <w:szCs w:val="43"/>
          <w:lang w:eastAsia="zh-CN"/>
        </w:rPr>
        <w:t>件</w:t>
      </w:r>
    </w:p>
    <w:p w14:paraId="7FABB839">
      <w:pPr>
        <w:pStyle w:val="17"/>
        <w:spacing w:line="244" w:lineRule="auto"/>
      </w:pPr>
    </w:p>
    <w:p w14:paraId="79C7532C">
      <w:pPr>
        <w:pStyle w:val="17"/>
        <w:spacing w:line="245" w:lineRule="auto"/>
      </w:pPr>
    </w:p>
    <w:p w14:paraId="6ECEB18C">
      <w:pPr>
        <w:pStyle w:val="17"/>
        <w:spacing w:line="245" w:lineRule="auto"/>
      </w:pPr>
    </w:p>
    <w:p w14:paraId="0A7E3DBA">
      <w:pPr>
        <w:pStyle w:val="17"/>
        <w:spacing w:line="245" w:lineRule="auto"/>
      </w:pPr>
    </w:p>
    <w:p w14:paraId="2812B168">
      <w:pPr>
        <w:pStyle w:val="17"/>
        <w:spacing w:line="245" w:lineRule="auto"/>
      </w:pPr>
    </w:p>
    <w:p w14:paraId="702CBC65">
      <w:pPr>
        <w:spacing w:before="103" w:line="180" w:lineRule="auto"/>
        <w:ind w:firstLine="468" w:firstLineChars="200"/>
        <w:rPr>
          <w:rFonts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投</w:t>
      </w:r>
      <w:r>
        <w:rPr>
          <w:rFonts w:ascii="微软雅黑" w:hAnsi="微软雅黑" w:eastAsia="微软雅黑" w:cs="微软雅黑"/>
          <w:spacing w:val="13"/>
          <w:sz w:val="24"/>
          <w:szCs w:val="24"/>
          <w:lang w:eastAsia="zh-CN"/>
        </w:rPr>
        <w:t xml:space="preserve"> </w:t>
      </w:r>
      <w:r>
        <w:rPr>
          <w:rFonts w:ascii="微软雅黑" w:hAnsi="微软雅黑" w:eastAsia="微软雅黑" w:cs="微软雅黑"/>
          <w:spacing w:val="-3"/>
          <w:sz w:val="24"/>
          <w:szCs w:val="24"/>
          <w:lang w:eastAsia="zh-CN"/>
        </w:rPr>
        <w:t>标</w:t>
      </w:r>
      <w:r>
        <w:rPr>
          <w:rFonts w:ascii="微软雅黑" w:hAnsi="微软雅黑" w:eastAsia="微软雅黑" w:cs="微软雅黑"/>
          <w:spacing w:val="13"/>
          <w:sz w:val="24"/>
          <w:szCs w:val="24"/>
          <w:lang w:eastAsia="zh-CN"/>
        </w:rPr>
        <w:t xml:space="preserve"> </w:t>
      </w:r>
      <w:r>
        <w:rPr>
          <w:rFonts w:ascii="微软雅黑" w:hAnsi="微软雅黑" w:eastAsia="微软雅黑" w:cs="微软雅黑"/>
          <w:spacing w:val="-3"/>
          <w:sz w:val="24"/>
          <w:szCs w:val="24"/>
          <w:lang w:eastAsia="zh-CN"/>
        </w:rPr>
        <w:t xml:space="preserve">人： </w:t>
      </w:r>
      <w:r>
        <w:rPr>
          <w:rFonts w:ascii="微软雅黑" w:hAnsi="微软雅黑" w:eastAsia="微软雅黑" w:cs="微软雅黑"/>
          <w:spacing w:val="-3"/>
          <w:sz w:val="24"/>
          <w:szCs w:val="24"/>
          <w:u w:val="single"/>
          <w:lang w:eastAsia="zh-CN"/>
        </w:rPr>
        <w:t xml:space="preserve">                                 </w:t>
      </w:r>
      <w:r>
        <w:rPr>
          <w:rFonts w:ascii="微软雅黑" w:hAnsi="微软雅黑" w:eastAsia="微软雅黑" w:cs="微软雅黑"/>
          <w:spacing w:val="-4"/>
          <w:sz w:val="24"/>
          <w:szCs w:val="24"/>
          <w:u w:val="single"/>
          <w:lang w:eastAsia="zh-CN"/>
        </w:rPr>
        <w:t xml:space="preserve">              </w:t>
      </w:r>
      <w:r>
        <w:rPr>
          <w:rFonts w:ascii="微软雅黑" w:hAnsi="微软雅黑" w:eastAsia="微软雅黑" w:cs="微软雅黑"/>
          <w:spacing w:val="19"/>
          <w:w w:val="101"/>
          <w:sz w:val="24"/>
          <w:szCs w:val="24"/>
          <w:lang w:eastAsia="zh-CN"/>
        </w:rPr>
        <w:t xml:space="preserve"> </w:t>
      </w:r>
      <w:r>
        <w:rPr>
          <w:rFonts w:ascii="微软雅黑" w:hAnsi="微软雅黑" w:eastAsia="微软雅黑" w:cs="微软雅黑"/>
          <w:spacing w:val="-4"/>
          <w:sz w:val="24"/>
          <w:szCs w:val="24"/>
          <w:lang w:eastAsia="zh-CN"/>
        </w:rPr>
        <w:t>(盖企业CA电子印章)</w:t>
      </w:r>
    </w:p>
    <w:p w14:paraId="7F4451D1">
      <w:pPr>
        <w:spacing w:before="201" w:line="180" w:lineRule="auto"/>
        <w:ind w:firstLine="464" w:firstLineChars="200"/>
        <w:rPr>
          <w:rFonts w:ascii="微软雅黑" w:hAnsi="微软雅黑" w:eastAsia="微软雅黑" w:cs="微软雅黑"/>
          <w:sz w:val="24"/>
          <w:szCs w:val="24"/>
          <w:lang w:eastAsia="zh-CN"/>
        </w:rPr>
      </w:pPr>
      <w:r>
        <w:rPr>
          <w:rFonts w:ascii="微软雅黑" w:hAnsi="微软雅黑" w:eastAsia="微软雅黑" w:cs="微软雅黑"/>
          <w:spacing w:val="-4"/>
          <w:sz w:val="24"/>
          <w:szCs w:val="24"/>
          <w:lang w:eastAsia="zh-CN"/>
        </w:rPr>
        <w:t>法定代表人或其委托代理人：</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1"/>
          <w:sz w:val="24"/>
          <w:szCs w:val="24"/>
          <w:u w:val="single"/>
          <w:lang w:eastAsia="zh-CN"/>
        </w:rPr>
        <w:t xml:space="preserve">                             </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4"/>
          <w:sz w:val="24"/>
          <w:szCs w:val="24"/>
          <w:lang w:eastAsia="zh-CN"/>
        </w:rPr>
        <w:t>(盖个人CA电子印章)</w:t>
      </w:r>
    </w:p>
    <w:p w14:paraId="7B03CB1D">
      <w:pPr>
        <w:pStyle w:val="17"/>
        <w:spacing w:line="247" w:lineRule="auto"/>
      </w:pPr>
    </w:p>
    <w:p w14:paraId="5B94120B">
      <w:pPr>
        <w:pStyle w:val="17"/>
        <w:spacing w:line="247" w:lineRule="auto"/>
      </w:pPr>
    </w:p>
    <w:p w14:paraId="5A85093C">
      <w:pPr>
        <w:pStyle w:val="17"/>
        <w:spacing w:line="247" w:lineRule="auto"/>
      </w:pPr>
    </w:p>
    <w:p w14:paraId="3CC02973">
      <w:pPr>
        <w:pStyle w:val="17"/>
        <w:spacing w:line="247" w:lineRule="auto"/>
      </w:pPr>
    </w:p>
    <w:p w14:paraId="3302F4C6">
      <w:pPr>
        <w:pStyle w:val="17"/>
        <w:spacing w:line="247" w:lineRule="auto"/>
      </w:pPr>
    </w:p>
    <w:p w14:paraId="13751B29">
      <w:pPr>
        <w:pStyle w:val="17"/>
        <w:spacing w:line="247" w:lineRule="auto"/>
      </w:pPr>
    </w:p>
    <w:p w14:paraId="0E9FB576">
      <w:pPr>
        <w:pStyle w:val="17"/>
        <w:spacing w:line="247" w:lineRule="auto"/>
      </w:pPr>
    </w:p>
    <w:p w14:paraId="200120DF">
      <w:pPr>
        <w:pStyle w:val="17"/>
        <w:spacing w:line="247" w:lineRule="auto"/>
      </w:pPr>
    </w:p>
    <w:p w14:paraId="6656DCE8">
      <w:pPr>
        <w:spacing w:before="103" w:line="184" w:lineRule="auto"/>
        <w:ind w:left="4180"/>
        <w:rPr>
          <w:rFonts w:ascii="微软雅黑" w:hAnsi="微软雅黑" w:eastAsia="微软雅黑" w:cs="微软雅黑"/>
          <w:sz w:val="24"/>
          <w:szCs w:val="24"/>
          <w:lang w:eastAsia="zh-CN"/>
        </w:rPr>
      </w:pPr>
      <w:r>
        <w:rPr>
          <w:rFonts w:ascii="微软雅黑" w:hAnsi="微软雅黑" w:eastAsia="微软雅黑" w:cs="微软雅黑"/>
          <w:spacing w:val="-5"/>
          <w:sz w:val="24"/>
          <w:szCs w:val="24"/>
          <w:lang w:eastAsia="zh-CN"/>
        </w:rPr>
        <w:t>年</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5"/>
          <w:sz w:val="24"/>
          <w:szCs w:val="24"/>
          <w:lang w:eastAsia="zh-CN"/>
        </w:rPr>
        <w:t>月      日</w:t>
      </w:r>
    </w:p>
    <w:p w14:paraId="2D659E94">
      <w:pPr>
        <w:spacing w:line="184" w:lineRule="auto"/>
        <w:rPr>
          <w:rFonts w:ascii="微软雅黑" w:hAnsi="微软雅黑" w:eastAsia="微软雅黑" w:cs="微软雅黑"/>
          <w:sz w:val="24"/>
          <w:szCs w:val="24"/>
          <w:lang w:eastAsia="zh-CN"/>
        </w:rPr>
        <w:sectPr>
          <w:pgSz w:w="11900" w:h="16840"/>
          <w:pgMar w:top="810" w:right="920" w:bottom="850" w:left="810" w:header="0" w:footer="0" w:gutter="0"/>
          <w:pgNumType w:fmt="decimal"/>
          <w:cols w:space="720" w:num="1"/>
        </w:sectPr>
      </w:pPr>
    </w:p>
    <w:p w14:paraId="32BECE5E">
      <w:pPr>
        <w:spacing w:before="63" w:line="187" w:lineRule="auto"/>
        <w:rPr>
          <w:rFonts w:ascii="微软雅黑" w:hAnsi="微软雅黑" w:eastAsia="微软雅黑" w:cs="微软雅黑"/>
          <w:spacing w:val="3"/>
          <w:position w:val="-1"/>
          <w:sz w:val="31"/>
          <w:szCs w:val="31"/>
          <w:lang w:eastAsia="zh-CN"/>
        </w:rPr>
      </w:pPr>
    </w:p>
    <w:p w14:paraId="5CFFAD8F">
      <w:pPr>
        <w:spacing w:before="63" w:line="187" w:lineRule="auto"/>
        <w:ind w:left="2011"/>
        <w:rPr>
          <w:rFonts w:ascii="微软雅黑" w:hAnsi="微软雅黑" w:eastAsia="微软雅黑" w:cs="微软雅黑"/>
          <w:sz w:val="28"/>
          <w:szCs w:val="28"/>
          <w:lang w:eastAsia="zh-CN"/>
        </w:rPr>
      </w:pPr>
      <w:r>
        <w:rPr>
          <w:rFonts w:ascii="微软雅黑" w:hAnsi="微软雅黑" w:eastAsia="微软雅黑" w:cs="微软雅黑"/>
          <w:spacing w:val="3"/>
          <w:position w:val="-1"/>
          <w:sz w:val="31"/>
          <w:szCs w:val="31"/>
          <w:lang w:eastAsia="zh-CN"/>
        </w:rPr>
        <w:t>工程名称</w:t>
      </w:r>
      <w:r>
        <w:rPr>
          <w:rFonts w:ascii="微软雅黑" w:hAnsi="微软雅黑" w:eastAsia="微软雅黑" w:cs="微软雅黑"/>
          <w:spacing w:val="-16"/>
          <w:position w:val="-1"/>
          <w:sz w:val="31"/>
          <w:szCs w:val="31"/>
          <w:lang w:eastAsia="zh-CN"/>
        </w:rPr>
        <w:t xml:space="preserve"> </w:t>
      </w:r>
      <w:r>
        <w:rPr>
          <w:rFonts w:ascii="微软雅黑" w:hAnsi="微软雅黑" w:eastAsia="微软雅黑" w:cs="微软雅黑"/>
          <w:spacing w:val="3"/>
          <w:position w:val="-1"/>
          <w:sz w:val="31"/>
          <w:szCs w:val="31"/>
          <w:lang w:eastAsia="zh-CN"/>
        </w:rPr>
        <w:t>:</w:t>
      </w:r>
      <w:r>
        <w:rPr>
          <w:rFonts w:ascii="微软雅黑" w:hAnsi="微软雅黑" w:eastAsia="微软雅黑" w:cs="微软雅黑"/>
          <w:spacing w:val="3"/>
          <w:sz w:val="28"/>
          <w:szCs w:val="28"/>
          <w:u w:val="single"/>
          <w:lang w:eastAsia="zh-CN"/>
        </w:rPr>
        <w:t xml:space="preserve">  </w:t>
      </w:r>
      <w:r>
        <w:rPr>
          <w:rFonts w:hint="eastAsia" w:ascii="微软雅黑" w:hAnsi="微软雅黑" w:eastAsia="微软雅黑" w:cs="微软雅黑"/>
          <w:spacing w:val="3"/>
          <w:sz w:val="28"/>
          <w:szCs w:val="28"/>
          <w:u w:val="single"/>
          <w:lang w:eastAsia="zh-CN"/>
        </w:rPr>
        <w:t xml:space="preserve">                                </w:t>
      </w:r>
    </w:p>
    <w:p w14:paraId="57B236BE">
      <w:pPr>
        <w:pStyle w:val="17"/>
        <w:spacing w:line="243" w:lineRule="auto"/>
      </w:pPr>
    </w:p>
    <w:p w14:paraId="6AEAF129">
      <w:pPr>
        <w:pStyle w:val="17"/>
        <w:spacing w:line="244" w:lineRule="auto"/>
      </w:pPr>
    </w:p>
    <w:p w14:paraId="52329F70">
      <w:pPr>
        <w:bidi w:val="0"/>
        <w:jc w:val="center"/>
        <w:rPr>
          <w:lang w:eastAsia="zh-CN"/>
        </w:rPr>
      </w:pPr>
      <w:r>
        <w:drawing>
          <wp:anchor distT="0" distB="0" distL="0" distR="0" simplePos="0" relativeHeight="251662336" behindDoc="0" locked="0" layoutInCell="1" allowOverlap="1">
            <wp:simplePos x="0" y="0"/>
            <wp:positionH relativeFrom="column">
              <wp:posOffset>-3175</wp:posOffset>
            </wp:positionH>
            <wp:positionV relativeFrom="paragraph">
              <wp:posOffset>337820</wp:posOffset>
            </wp:positionV>
            <wp:extent cx="6350" cy="7258050"/>
            <wp:effectExtent l="0" t="0" r="6350" b="6350"/>
            <wp:wrapNone/>
            <wp:docPr id="1" name="IM 6"/>
            <wp:cNvGraphicFramePr/>
            <a:graphic xmlns:a="http://schemas.openxmlformats.org/drawingml/2006/main">
              <a:graphicData uri="http://schemas.openxmlformats.org/drawingml/2006/picture">
                <pic:pic xmlns:pic="http://schemas.openxmlformats.org/drawingml/2006/picture">
                  <pic:nvPicPr>
                    <pic:cNvPr id="1" name="IM 6"/>
                    <pic:cNvPicPr/>
                  </pic:nvPicPr>
                  <pic:blipFill>
                    <a:blip r:embed="rId45"/>
                    <a:stretch>
                      <a:fillRect/>
                    </a:stretch>
                  </pic:blipFill>
                  <pic:spPr>
                    <a:xfrm>
                      <a:off x="0" y="0"/>
                      <a:ext cx="6350" cy="7258050"/>
                    </a:xfrm>
                    <a:prstGeom prst="rect">
                      <a:avLst/>
                    </a:prstGeom>
                  </pic:spPr>
                </pic:pic>
              </a:graphicData>
            </a:graphic>
          </wp:anchor>
        </w:drawing>
      </w:r>
      <w:r>
        <w:rPr>
          <w:rFonts w:ascii="新宋体" w:hAnsi="新宋体" w:eastAsia="新宋体" w:cs="新宋体"/>
          <w:spacing w:val="-13"/>
          <w:sz w:val="36"/>
          <w:szCs w:val="36"/>
          <w:lang w:eastAsia="zh-CN"/>
        </w:rPr>
        <w:t>投</w:t>
      </w:r>
      <w:r>
        <w:rPr>
          <w:rFonts w:ascii="新宋体" w:hAnsi="新宋体" w:eastAsia="新宋体" w:cs="新宋体"/>
          <w:spacing w:val="12"/>
          <w:sz w:val="36"/>
          <w:szCs w:val="36"/>
          <w:lang w:eastAsia="zh-CN"/>
        </w:rPr>
        <w:t xml:space="preserve"> </w:t>
      </w:r>
      <w:r>
        <w:rPr>
          <w:rFonts w:ascii="新宋体" w:hAnsi="新宋体" w:eastAsia="新宋体" w:cs="新宋体"/>
          <w:spacing w:val="-13"/>
          <w:sz w:val="36"/>
          <w:szCs w:val="36"/>
          <w:lang w:eastAsia="zh-CN"/>
        </w:rPr>
        <w:t>标</w:t>
      </w:r>
      <w:r>
        <w:rPr>
          <w:rFonts w:ascii="新宋体" w:hAnsi="新宋体" w:eastAsia="新宋体" w:cs="新宋体"/>
          <w:spacing w:val="24"/>
          <w:sz w:val="36"/>
          <w:szCs w:val="36"/>
          <w:lang w:eastAsia="zh-CN"/>
        </w:rPr>
        <w:t xml:space="preserve"> </w:t>
      </w:r>
      <w:r>
        <w:rPr>
          <w:rFonts w:ascii="新宋体" w:hAnsi="新宋体" w:eastAsia="新宋体" w:cs="新宋体"/>
          <w:spacing w:val="-13"/>
          <w:sz w:val="36"/>
          <w:szCs w:val="36"/>
          <w:lang w:eastAsia="zh-CN"/>
        </w:rPr>
        <w:t>总</w:t>
      </w:r>
      <w:r>
        <w:rPr>
          <w:rFonts w:ascii="新宋体" w:hAnsi="新宋体" w:eastAsia="新宋体" w:cs="新宋体"/>
          <w:spacing w:val="16"/>
          <w:sz w:val="36"/>
          <w:szCs w:val="36"/>
          <w:lang w:eastAsia="zh-CN"/>
        </w:rPr>
        <w:t xml:space="preserve"> </w:t>
      </w:r>
      <w:r>
        <w:rPr>
          <w:rFonts w:ascii="新宋体" w:hAnsi="新宋体" w:eastAsia="新宋体" w:cs="新宋体"/>
          <w:spacing w:val="-13"/>
          <w:sz w:val="36"/>
          <w:szCs w:val="36"/>
          <w:lang w:eastAsia="zh-CN"/>
        </w:rPr>
        <w:t>价</w:t>
      </w:r>
    </w:p>
    <w:p w14:paraId="7B1B7B1A">
      <w:pPr>
        <w:pStyle w:val="17"/>
        <w:spacing w:line="346" w:lineRule="auto"/>
      </w:pPr>
    </w:p>
    <w:p w14:paraId="684E9878">
      <w:pPr>
        <w:spacing w:before="103" w:line="349" w:lineRule="auto"/>
        <w:ind w:left="1545" w:hanging="963"/>
        <w:rPr>
          <w:rFonts w:ascii="微软雅黑" w:hAnsi="微软雅黑" w:eastAsia="微软雅黑" w:cs="微软雅黑"/>
          <w:sz w:val="24"/>
          <w:szCs w:val="24"/>
          <w:lang w:eastAsia="zh-CN"/>
        </w:rPr>
      </w:pPr>
      <w:r>
        <w:rPr>
          <w:rFonts w:ascii="微软雅黑" w:hAnsi="微软雅黑" w:eastAsia="微软雅黑" w:cs="微软雅黑"/>
          <w:spacing w:val="-9"/>
          <w:sz w:val="24"/>
          <w:szCs w:val="24"/>
          <w:lang w:eastAsia="zh-CN"/>
        </w:rPr>
        <w:t>投标总价（小写</w:t>
      </w:r>
      <w:r>
        <w:rPr>
          <w:rFonts w:ascii="微软雅黑" w:hAnsi="微软雅黑" w:eastAsia="微软雅黑" w:cs="微软雅黑"/>
          <w:spacing w:val="2"/>
          <w:sz w:val="24"/>
          <w:szCs w:val="24"/>
          <w:lang w:eastAsia="zh-CN"/>
        </w:rPr>
        <w:t>）：</w:t>
      </w:r>
      <w:r>
        <w:rPr>
          <w:rFonts w:ascii="微软雅黑" w:hAnsi="微软雅黑" w:eastAsia="微软雅黑" w:cs="微软雅黑"/>
          <w:spacing w:val="20"/>
          <w:sz w:val="24"/>
          <w:szCs w:val="24"/>
          <w:lang w:eastAsia="zh-CN"/>
        </w:rPr>
        <w:t xml:space="preserve">   </w:t>
      </w:r>
      <w:r>
        <w:rPr>
          <w:rFonts w:ascii="微软雅黑" w:hAnsi="微软雅黑" w:eastAsia="微软雅黑" w:cs="微软雅黑"/>
          <w:spacing w:val="1"/>
          <w:sz w:val="24"/>
          <w:szCs w:val="24"/>
          <w:u w:val="single"/>
          <w:lang w:eastAsia="zh-CN"/>
        </w:rPr>
        <w:t xml:space="preserve">                              </w:t>
      </w:r>
      <w:r>
        <w:rPr>
          <w:rFonts w:ascii="微软雅黑" w:hAnsi="微软雅黑" w:eastAsia="微软雅黑" w:cs="微软雅黑"/>
          <w:sz w:val="24"/>
          <w:szCs w:val="24"/>
          <w:u w:val="single"/>
          <w:lang w:eastAsia="zh-CN"/>
        </w:rPr>
        <w:t xml:space="preserve">         </w:t>
      </w:r>
      <w:r>
        <w:rPr>
          <w:rFonts w:hint="eastAsia" w:ascii="微软雅黑" w:hAnsi="微软雅黑" w:eastAsia="微软雅黑" w:cs="微软雅黑"/>
          <w:sz w:val="24"/>
          <w:szCs w:val="24"/>
          <w:u w:val="single"/>
          <w:lang w:eastAsia="zh-CN"/>
        </w:rPr>
        <w:t xml:space="preserve">             </w:t>
      </w:r>
      <w:r>
        <w:rPr>
          <w:rFonts w:ascii="微软雅黑" w:hAnsi="微软雅黑" w:eastAsia="微软雅黑" w:cs="微软雅黑"/>
          <w:sz w:val="24"/>
          <w:szCs w:val="24"/>
          <w:u w:val="single"/>
          <w:lang w:eastAsia="zh-CN"/>
        </w:rPr>
        <w:t xml:space="preserve">                                      </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pacing w:val="-1"/>
          <w:sz w:val="24"/>
          <w:szCs w:val="24"/>
          <w:lang w:eastAsia="zh-CN"/>
        </w:rPr>
        <w:t>（大写</w:t>
      </w:r>
      <w:r>
        <w:rPr>
          <w:rFonts w:ascii="微软雅黑" w:hAnsi="微软雅黑" w:eastAsia="微软雅黑" w:cs="微软雅黑"/>
          <w:spacing w:val="-5"/>
          <w:sz w:val="24"/>
          <w:szCs w:val="24"/>
          <w:lang w:eastAsia="zh-CN"/>
        </w:rPr>
        <w:t>）：</w:t>
      </w:r>
      <w:r>
        <w:rPr>
          <w:rFonts w:ascii="微软雅黑" w:hAnsi="微软雅黑" w:eastAsia="微软雅黑" w:cs="微软雅黑"/>
          <w:spacing w:val="20"/>
          <w:sz w:val="24"/>
          <w:szCs w:val="24"/>
          <w:lang w:eastAsia="zh-CN"/>
        </w:rPr>
        <w:t xml:space="preserve">   </w:t>
      </w:r>
      <w:r>
        <w:rPr>
          <w:rFonts w:ascii="微软雅黑" w:hAnsi="微软雅黑" w:eastAsia="微软雅黑" w:cs="微软雅黑"/>
          <w:spacing w:val="3"/>
          <w:sz w:val="24"/>
          <w:szCs w:val="24"/>
          <w:u w:val="single"/>
          <w:lang w:eastAsia="zh-CN"/>
        </w:rPr>
        <w:t xml:space="preserve">                   </w:t>
      </w:r>
      <w:r>
        <w:rPr>
          <w:rFonts w:hint="eastAsia" w:ascii="微软雅黑" w:hAnsi="微软雅黑" w:eastAsia="微软雅黑" w:cs="微软雅黑"/>
          <w:spacing w:val="3"/>
          <w:sz w:val="24"/>
          <w:szCs w:val="24"/>
          <w:u w:val="single"/>
          <w:lang w:eastAsia="zh-CN"/>
        </w:rPr>
        <w:t xml:space="preserve">                                               </w:t>
      </w:r>
      <w:r>
        <w:rPr>
          <w:rFonts w:ascii="微软雅黑" w:hAnsi="微软雅黑" w:eastAsia="微软雅黑" w:cs="微软雅黑"/>
          <w:spacing w:val="-1"/>
          <w:sz w:val="24"/>
          <w:szCs w:val="24"/>
          <w:u w:val="single"/>
          <w:lang w:eastAsia="zh-CN"/>
        </w:rPr>
        <w:t xml:space="preserve">      </w:t>
      </w:r>
      <w:r>
        <w:rPr>
          <w:rFonts w:ascii="微软雅黑" w:hAnsi="微软雅黑" w:eastAsia="微软雅黑" w:cs="微软雅黑"/>
          <w:spacing w:val="-2"/>
          <w:sz w:val="24"/>
          <w:szCs w:val="24"/>
          <w:u w:val="single"/>
          <w:lang w:eastAsia="zh-CN"/>
        </w:rPr>
        <w:t xml:space="preserve">              </w:t>
      </w:r>
    </w:p>
    <w:p w14:paraId="2A3C0F88">
      <w:pPr>
        <w:pStyle w:val="17"/>
        <w:spacing w:line="257" w:lineRule="auto"/>
      </w:pPr>
    </w:p>
    <w:p w14:paraId="5D2CA960">
      <w:pPr>
        <w:pStyle w:val="17"/>
        <w:spacing w:line="257" w:lineRule="auto"/>
      </w:pPr>
    </w:p>
    <w:p w14:paraId="156AA0F8">
      <w:pPr>
        <w:pStyle w:val="17"/>
        <w:spacing w:line="257" w:lineRule="auto"/>
      </w:pPr>
    </w:p>
    <w:p w14:paraId="36ADFC72">
      <w:pPr>
        <w:pStyle w:val="17"/>
        <w:spacing w:line="257" w:lineRule="auto"/>
      </w:pPr>
    </w:p>
    <w:p w14:paraId="4BBA7DA7">
      <w:pPr>
        <w:spacing w:before="103" w:line="185" w:lineRule="auto"/>
        <w:ind w:left="582"/>
        <w:rPr>
          <w:lang w:eastAsia="zh-CN"/>
        </w:rPr>
      </w:pPr>
      <w:r>
        <w:rPr>
          <w:rFonts w:ascii="微软雅黑" w:hAnsi="微软雅黑" w:eastAsia="微软雅黑" w:cs="微软雅黑"/>
          <w:spacing w:val="-3"/>
          <w:sz w:val="24"/>
          <w:szCs w:val="24"/>
          <w:lang w:eastAsia="zh-CN"/>
        </w:rPr>
        <w:t>投</w:t>
      </w:r>
      <w:r>
        <w:rPr>
          <w:rFonts w:ascii="微软雅黑" w:hAnsi="微软雅黑" w:eastAsia="微软雅黑" w:cs="微软雅黑"/>
          <w:spacing w:val="62"/>
          <w:sz w:val="24"/>
          <w:szCs w:val="24"/>
          <w:lang w:eastAsia="zh-CN"/>
        </w:rPr>
        <w:t xml:space="preserve"> </w:t>
      </w:r>
      <w:r>
        <w:rPr>
          <w:rFonts w:ascii="微软雅黑" w:hAnsi="微软雅黑" w:eastAsia="微软雅黑" w:cs="微软雅黑"/>
          <w:spacing w:val="-3"/>
          <w:sz w:val="24"/>
          <w:szCs w:val="24"/>
          <w:lang w:eastAsia="zh-CN"/>
        </w:rPr>
        <w:t>标</w:t>
      </w:r>
      <w:r>
        <w:rPr>
          <w:rFonts w:ascii="微软雅黑" w:hAnsi="微软雅黑" w:eastAsia="微软雅黑" w:cs="微软雅黑"/>
          <w:spacing w:val="62"/>
          <w:sz w:val="24"/>
          <w:szCs w:val="24"/>
          <w:lang w:eastAsia="zh-CN"/>
        </w:rPr>
        <w:t xml:space="preserve"> </w:t>
      </w:r>
      <w:r>
        <w:rPr>
          <w:rFonts w:ascii="微软雅黑" w:hAnsi="微软雅黑" w:eastAsia="微软雅黑" w:cs="微软雅黑"/>
          <w:spacing w:val="-3"/>
          <w:sz w:val="24"/>
          <w:szCs w:val="24"/>
          <w:lang w:eastAsia="zh-CN"/>
        </w:rPr>
        <w:t>人</w:t>
      </w:r>
      <w:r>
        <w:rPr>
          <w:rFonts w:ascii="微软雅黑" w:hAnsi="微软雅黑" w:eastAsia="微软雅黑" w:cs="微软雅黑"/>
          <w:spacing w:val="-5"/>
          <w:sz w:val="24"/>
          <w:szCs w:val="24"/>
          <w:lang w:eastAsia="zh-CN"/>
        </w:rPr>
        <w:t>：</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z w:val="24"/>
          <w:szCs w:val="24"/>
          <w:lang w:eastAsia="zh-CN"/>
        </w:rPr>
        <w:t xml:space="preserve">      </w:t>
      </w:r>
      <w:r>
        <w:rPr>
          <w:rFonts w:ascii="微软雅黑" w:hAnsi="微软雅黑" w:eastAsia="微软雅黑" w:cs="微软雅黑"/>
          <w:spacing w:val="-5"/>
          <w:sz w:val="19"/>
          <w:szCs w:val="19"/>
          <w:lang w:eastAsia="zh-CN"/>
        </w:rPr>
        <w:t>（</w:t>
      </w:r>
      <w:r>
        <w:rPr>
          <w:rFonts w:ascii="微软雅黑" w:hAnsi="微软雅黑" w:eastAsia="微软雅黑" w:cs="微软雅黑"/>
          <w:spacing w:val="-3"/>
          <w:sz w:val="19"/>
          <w:szCs w:val="19"/>
          <w:lang w:eastAsia="zh-CN"/>
        </w:rPr>
        <w:t>盖企业CA电子印章）</w:t>
      </w:r>
    </w:p>
    <w:p w14:paraId="4C733A25">
      <w:pPr>
        <w:pStyle w:val="17"/>
        <w:spacing w:line="272" w:lineRule="auto"/>
      </w:pPr>
    </w:p>
    <w:p w14:paraId="7B8A8C68">
      <w:pPr>
        <w:spacing w:before="104" w:line="175" w:lineRule="auto"/>
        <w:ind w:left="580"/>
        <w:rPr>
          <w:rFonts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法定代表人</w:t>
      </w:r>
    </w:p>
    <w:p w14:paraId="0D39725D">
      <w:pPr>
        <w:spacing w:before="2" w:line="184" w:lineRule="auto"/>
        <w:ind w:left="582"/>
        <w:rPr>
          <w:lang w:eastAsia="zh-CN"/>
        </w:rPr>
      </w:pPr>
      <w:r>
        <w:rPr>
          <w:rFonts w:ascii="微软雅黑" w:hAnsi="微软雅黑" w:eastAsia="微软雅黑" w:cs="微软雅黑"/>
          <w:spacing w:val="-1"/>
          <w:sz w:val="24"/>
          <w:szCs w:val="24"/>
          <w:lang w:eastAsia="zh-CN"/>
        </w:rPr>
        <w:t>或其委托代理人</w:t>
      </w:r>
      <w:r>
        <w:rPr>
          <w:rFonts w:ascii="微软雅黑" w:hAnsi="微软雅黑" w:eastAsia="微软雅黑" w:cs="微软雅黑"/>
          <w:spacing w:val="-3"/>
          <w:sz w:val="24"/>
          <w:szCs w:val="24"/>
          <w:lang w:eastAsia="zh-CN"/>
        </w:rPr>
        <w:t>：</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19"/>
          <w:szCs w:val="19"/>
          <w:lang w:eastAsia="zh-CN"/>
        </w:rPr>
        <w:t>（</w:t>
      </w:r>
      <w:r>
        <w:rPr>
          <w:rFonts w:ascii="微软雅黑" w:hAnsi="微软雅黑" w:eastAsia="微软雅黑" w:cs="微软雅黑"/>
          <w:spacing w:val="-1"/>
          <w:sz w:val="19"/>
          <w:szCs w:val="19"/>
          <w:lang w:eastAsia="zh-CN"/>
        </w:rPr>
        <w:t>盖个人CA电子印章）</w:t>
      </w:r>
    </w:p>
    <w:p w14:paraId="6FE50192">
      <w:pPr>
        <w:pStyle w:val="17"/>
        <w:spacing w:line="250" w:lineRule="auto"/>
      </w:pPr>
    </w:p>
    <w:p w14:paraId="3F7A2930">
      <w:pPr>
        <w:spacing w:before="103" w:line="185" w:lineRule="auto"/>
        <w:ind w:left="581"/>
        <w:rPr>
          <w:lang w:eastAsia="zh-CN"/>
        </w:rPr>
      </w:pPr>
      <w:r>
        <w:rPr>
          <w:rFonts w:ascii="微软雅黑" w:hAnsi="微软雅黑" w:eastAsia="微软雅黑" w:cs="微软雅黑"/>
          <w:sz w:val="24"/>
          <w:szCs w:val="24"/>
          <w:lang w:eastAsia="zh-CN"/>
        </w:rPr>
        <w:t>编</w:t>
      </w:r>
      <w:r>
        <w:rPr>
          <w:rFonts w:ascii="微软雅黑" w:hAnsi="微软雅黑" w:eastAsia="微软雅黑" w:cs="微软雅黑"/>
          <w:spacing w:val="63"/>
          <w:sz w:val="24"/>
          <w:szCs w:val="24"/>
          <w:lang w:eastAsia="zh-CN"/>
        </w:rPr>
        <w:t xml:space="preserve"> </w:t>
      </w:r>
      <w:r>
        <w:rPr>
          <w:rFonts w:ascii="微软雅黑" w:hAnsi="微软雅黑" w:eastAsia="微软雅黑" w:cs="微软雅黑"/>
          <w:sz w:val="24"/>
          <w:szCs w:val="24"/>
          <w:lang w:eastAsia="zh-CN"/>
        </w:rPr>
        <w:t>制</w:t>
      </w:r>
      <w:r>
        <w:rPr>
          <w:rFonts w:ascii="微软雅黑" w:hAnsi="微软雅黑" w:eastAsia="微软雅黑" w:cs="微软雅黑"/>
          <w:spacing w:val="62"/>
          <w:sz w:val="24"/>
          <w:szCs w:val="24"/>
          <w:lang w:eastAsia="zh-CN"/>
        </w:rPr>
        <w:t xml:space="preserve"> </w:t>
      </w:r>
      <w:r>
        <w:rPr>
          <w:rFonts w:ascii="微软雅黑" w:hAnsi="微软雅黑" w:eastAsia="微软雅黑" w:cs="微软雅黑"/>
          <w:sz w:val="24"/>
          <w:szCs w:val="24"/>
          <w:lang w:eastAsia="zh-CN"/>
        </w:rPr>
        <w:t>人</w:t>
      </w:r>
      <w:r>
        <w:rPr>
          <w:rFonts w:ascii="微软雅黑" w:hAnsi="微软雅黑" w:eastAsia="微软雅黑" w:cs="微软雅黑"/>
          <w:spacing w:val="-7"/>
          <w:sz w:val="24"/>
          <w:szCs w:val="24"/>
          <w:lang w:eastAsia="zh-CN"/>
        </w:rPr>
        <w:t>：</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z w:val="24"/>
          <w:szCs w:val="24"/>
          <w:lang w:eastAsia="zh-CN"/>
        </w:rPr>
        <w:t xml:space="preserve">     </w:t>
      </w:r>
      <w:r>
        <w:rPr>
          <w:rFonts w:ascii="微软雅黑" w:hAnsi="微软雅黑" w:eastAsia="微软雅黑" w:cs="微软雅黑"/>
          <w:spacing w:val="-7"/>
          <w:sz w:val="19"/>
          <w:szCs w:val="19"/>
          <w:lang w:eastAsia="zh-CN"/>
        </w:rPr>
        <w:t>（</w:t>
      </w:r>
      <w:r>
        <w:rPr>
          <w:rFonts w:ascii="微软雅黑" w:hAnsi="微软雅黑" w:eastAsia="微软雅黑" w:cs="微软雅黑"/>
          <w:sz w:val="19"/>
          <w:szCs w:val="19"/>
          <w:lang w:eastAsia="zh-CN"/>
        </w:rPr>
        <w:t>造价专业人员盖CA电子执业专用章）</w:t>
      </w:r>
    </w:p>
    <w:p w14:paraId="4C8AE6AF">
      <w:pPr>
        <w:pStyle w:val="17"/>
        <w:spacing w:line="250" w:lineRule="auto"/>
      </w:pPr>
    </w:p>
    <w:p w14:paraId="07C0B606">
      <w:pPr>
        <w:spacing w:before="104" w:line="185" w:lineRule="auto"/>
        <w:ind w:left="591"/>
        <w:rPr>
          <w:rFonts w:ascii="微软雅黑" w:hAnsi="微软雅黑" w:eastAsia="微软雅黑" w:cs="微软雅黑"/>
          <w:sz w:val="19"/>
          <w:szCs w:val="19"/>
          <w:lang w:eastAsia="zh-CN"/>
        </w:rPr>
      </w:pPr>
      <w:r>
        <w:rPr>
          <w:rFonts w:ascii="微软雅黑" w:hAnsi="微软雅黑" w:eastAsia="微软雅黑" w:cs="微软雅黑"/>
          <w:spacing w:val="2"/>
          <w:sz w:val="24"/>
          <w:szCs w:val="24"/>
          <w:lang w:eastAsia="zh-CN"/>
        </w:rPr>
        <w:t>审核人/审定人</w:t>
      </w:r>
      <w:r>
        <w:rPr>
          <w:rFonts w:ascii="微软雅黑" w:hAnsi="微软雅黑" w:eastAsia="微软雅黑" w:cs="微软雅黑"/>
          <w:spacing w:val="-9"/>
          <w:sz w:val="24"/>
          <w:szCs w:val="24"/>
          <w:lang w:eastAsia="zh-CN"/>
        </w:rPr>
        <w:t>：</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9"/>
          <w:sz w:val="19"/>
          <w:szCs w:val="19"/>
          <w:lang w:eastAsia="zh-CN"/>
        </w:rPr>
        <w:t>（</w:t>
      </w:r>
      <w:r>
        <w:rPr>
          <w:rFonts w:ascii="微软雅黑" w:hAnsi="微软雅黑" w:eastAsia="微软雅黑" w:cs="微软雅黑"/>
          <w:spacing w:val="2"/>
          <w:sz w:val="19"/>
          <w:szCs w:val="19"/>
          <w:lang w:eastAsia="zh-CN"/>
        </w:rPr>
        <w:t>一级造价工程师盖</w:t>
      </w:r>
      <w:r>
        <w:rPr>
          <w:rFonts w:ascii="微软雅黑" w:hAnsi="微软雅黑" w:eastAsia="微软雅黑" w:cs="微软雅黑"/>
          <w:sz w:val="19"/>
          <w:szCs w:val="19"/>
          <w:lang w:eastAsia="zh-CN"/>
        </w:rPr>
        <w:t>CA</w:t>
      </w:r>
      <w:r>
        <w:rPr>
          <w:rFonts w:ascii="微软雅黑" w:hAnsi="微软雅黑" w:eastAsia="微软雅黑" w:cs="微软雅黑"/>
          <w:spacing w:val="2"/>
          <w:sz w:val="19"/>
          <w:szCs w:val="19"/>
          <w:lang w:eastAsia="zh-CN"/>
        </w:rPr>
        <w:t>电子执业专</w:t>
      </w:r>
      <w:r>
        <w:rPr>
          <w:rFonts w:ascii="微软雅黑" w:hAnsi="微软雅黑" w:eastAsia="微软雅黑" w:cs="微软雅黑"/>
          <w:spacing w:val="1"/>
          <w:sz w:val="19"/>
          <w:szCs w:val="19"/>
          <w:lang w:eastAsia="zh-CN"/>
        </w:rPr>
        <w:t>用章）</w:t>
      </w:r>
    </w:p>
    <w:p w14:paraId="0713AD9E">
      <w:pPr>
        <w:pStyle w:val="17"/>
        <w:spacing w:line="261" w:lineRule="auto"/>
      </w:pPr>
    </w:p>
    <w:p w14:paraId="18F84B09">
      <w:pPr>
        <w:pStyle w:val="17"/>
        <w:spacing w:line="261" w:lineRule="auto"/>
      </w:pPr>
    </w:p>
    <w:p w14:paraId="08635A6F">
      <w:pPr>
        <w:pStyle w:val="17"/>
        <w:spacing w:line="261" w:lineRule="auto"/>
      </w:pPr>
    </w:p>
    <w:p w14:paraId="669116B5">
      <w:pPr>
        <w:spacing w:before="103" w:line="184" w:lineRule="auto"/>
        <w:ind w:left="581"/>
        <w:rPr>
          <w:rFonts w:ascii="微软雅黑" w:hAnsi="微软雅黑" w:eastAsia="微软雅黑" w:cs="微软雅黑"/>
          <w:sz w:val="24"/>
          <w:szCs w:val="24"/>
          <w:lang w:eastAsia="zh-CN"/>
        </w:rPr>
      </w:pPr>
      <w:r>
        <w:rPr>
          <w:rFonts w:ascii="微软雅黑" w:hAnsi="微软雅黑" w:eastAsia="微软雅黑" w:cs="微软雅黑"/>
          <w:spacing w:val="-4"/>
          <w:sz w:val="24"/>
          <w:szCs w:val="24"/>
          <w:lang w:eastAsia="zh-CN"/>
        </w:rPr>
        <w:t>编制时间：</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年       月</w:t>
      </w:r>
      <w:r>
        <w:rPr>
          <w:rFonts w:ascii="微软雅黑" w:hAnsi="微软雅黑" w:eastAsia="微软雅黑" w:cs="微软雅黑"/>
          <w:spacing w:val="6"/>
          <w:sz w:val="24"/>
          <w:szCs w:val="24"/>
          <w:lang w:eastAsia="zh-CN"/>
        </w:rPr>
        <w:t xml:space="preserve">       </w:t>
      </w:r>
      <w:r>
        <w:rPr>
          <w:rFonts w:ascii="微软雅黑" w:hAnsi="微软雅黑" w:eastAsia="微软雅黑" w:cs="微软雅黑"/>
          <w:spacing w:val="-4"/>
          <w:sz w:val="24"/>
          <w:szCs w:val="24"/>
          <w:lang w:eastAsia="zh-CN"/>
        </w:rPr>
        <w:t>日</w:t>
      </w:r>
    </w:p>
    <w:p w14:paraId="67211B68">
      <w:pPr>
        <w:spacing w:line="184" w:lineRule="auto"/>
        <w:rPr>
          <w:rFonts w:ascii="微软雅黑" w:hAnsi="微软雅黑" w:eastAsia="微软雅黑" w:cs="微软雅黑"/>
          <w:sz w:val="24"/>
          <w:szCs w:val="24"/>
          <w:lang w:eastAsia="zh-CN"/>
        </w:rPr>
        <w:sectPr>
          <w:pgSz w:w="11900" w:h="16840"/>
          <w:pgMar w:top="896" w:right="1452" w:bottom="0" w:left="810" w:header="0" w:footer="0" w:gutter="0"/>
          <w:pgNumType w:fmt="decimal"/>
          <w:cols w:space="720" w:num="1"/>
        </w:sectPr>
      </w:pPr>
    </w:p>
    <w:p w14:paraId="7C255612">
      <w:pPr>
        <w:bidi w:val="0"/>
        <w:jc w:val="center"/>
        <w:rPr>
          <w:b/>
          <w:bCs/>
          <w:sz w:val="30"/>
          <w:szCs w:val="30"/>
          <w:lang w:eastAsia="zh-CN"/>
        </w:rPr>
      </w:pPr>
      <w:r>
        <w:rPr>
          <w:b/>
          <w:bCs/>
          <w:sz w:val="30"/>
          <w:szCs w:val="30"/>
          <w:lang w:eastAsia="zh-CN"/>
        </w:rPr>
        <w:t>投标报价填报说明</w:t>
      </w:r>
    </w:p>
    <w:p w14:paraId="3F63E2F4">
      <w:pPr>
        <w:spacing w:before="77" w:line="184" w:lineRule="auto"/>
        <w:ind w:left="7462" w:leftChars="417" w:hanging="6586" w:hangingChars="3700"/>
      </w:pPr>
      <w:r>
        <w:rPr>
          <w:rFonts w:ascii="微软雅黑" w:hAnsi="微软雅黑" w:eastAsia="微软雅黑" w:cs="微软雅黑"/>
          <w:spacing w:val="-1"/>
          <w:sz w:val="18"/>
          <w:szCs w:val="18"/>
        </w:rPr>
        <w:t>工程名称：</w:t>
      </w:r>
      <w:r>
        <w:rPr>
          <w:rFonts w:hint="eastAsia" w:ascii="微软雅黑" w:hAnsi="微软雅黑" w:eastAsia="微软雅黑" w:cs="微软雅黑"/>
          <w:spacing w:val="-1"/>
          <w:sz w:val="18"/>
          <w:szCs w:val="18"/>
          <w:lang w:eastAsia="zh-CN"/>
        </w:rPr>
        <w:t xml:space="preserve">                                      </w:t>
      </w:r>
      <w:r>
        <w:rPr>
          <w:rFonts w:ascii="微软雅黑" w:hAnsi="微软雅黑" w:eastAsia="微软雅黑" w:cs="微软雅黑"/>
          <w:spacing w:val="-1"/>
          <w:sz w:val="18"/>
          <w:szCs w:val="18"/>
        </w:rPr>
        <w:t xml:space="preserve">                     </w:t>
      </w:r>
      <w:r>
        <w:rPr>
          <w:rFonts w:ascii="微软雅黑" w:hAnsi="微软雅黑" w:eastAsia="微软雅黑" w:cs="微软雅黑"/>
          <w:spacing w:val="-2"/>
          <w:sz w:val="18"/>
          <w:szCs w:val="18"/>
        </w:rPr>
        <w:t xml:space="preserve">        </w:t>
      </w:r>
      <w:r>
        <w:rPr>
          <w:rFonts w:hint="eastAsia" w:ascii="微软雅黑" w:hAnsi="微软雅黑" w:eastAsia="微软雅黑" w:cs="微软雅黑"/>
          <w:spacing w:val="-2"/>
          <w:sz w:val="18"/>
          <w:szCs w:val="18"/>
          <w:lang w:eastAsia="zh-CN"/>
        </w:rPr>
        <w:t xml:space="preserve">  第   页    共    页</w:t>
      </w:r>
      <w:r>
        <w:rPr>
          <w:rFonts w:ascii="微软雅黑" w:hAnsi="微软雅黑" w:eastAsia="微软雅黑" w:cs="微软雅黑"/>
          <w:spacing w:val="-2"/>
          <w:sz w:val="18"/>
          <w:szCs w:val="18"/>
        </w:rPr>
        <w:t xml:space="preserve">                                                                 </w:t>
      </w:r>
    </w:p>
    <w:tbl>
      <w:tblPr>
        <w:tblStyle w:val="258"/>
        <w:tblW w:w="8646" w:type="dxa"/>
        <w:tblInd w:w="100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646"/>
      </w:tblGrid>
      <w:tr w14:paraId="75319C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12287" w:hRule="atLeast"/>
        </w:trPr>
        <w:tc>
          <w:tcPr>
            <w:tcW w:w="8646" w:type="dxa"/>
          </w:tcPr>
          <w:p w14:paraId="76069290">
            <w:pPr>
              <w:pStyle w:val="260"/>
              <w:autoSpaceDE w:val="0"/>
              <w:autoSpaceDN w:val="0"/>
              <w:spacing w:before="2" w:line="186" w:lineRule="auto"/>
              <w:ind w:left="57"/>
              <w:rPr>
                <w:color w:val="auto"/>
              </w:rPr>
            </w:pPr>
          </w:p>
        </w:tc>
      </w:tr>
    </w:tbl>
    <w:p w14:paraId="2CF082CF">
      <w:pPr>
        <w:spacing w:before="78" w:line="184" w:lineRule="auto"/>
        <w:ind w:left="37" w:firstLine="900" w:firstLineChars="500"/>
        <w:rPr>
          <w:rFonts w:ascii="微软雅黑" w:hAnsi="微软雅黑" w:eastAsia="微软雅黑" w:cs="微软雅黑"/>
          <w:spacing w:val="-1"/>
          <w:sz w:val="18"/>
          <w:szCs w:val="18"/>
          <w:lang w:eastAsia="zh-CN"/>
        </w:rPr>
      </w:pPr>
      <w:r>
        <w:rPr>
          <w:rFonts w:ascii="微软雅黑" w:hAnsi="微软雅黑" w:eastAsia="微软雅黑" w:cs="微软雅黑"/>
          <w:sz w:val="18"/>
          <w:szCs w:val="18"/>
          <w:lang w:eastAsia="zh-CN"/>
        </w:rPr>
        <w:t>注</w:t>
      </w:r>
      <w:r>
        <w:rPr>
          <w:rFonts w:ascii="微软雅黑" w:hAnsi="微软雅黑" w:eastAsia="微软雅黑" w:cs="微软雅黑"/>
          <w:spacing w:val="-29"/>
          <w:sz w:val="18"/>
          <w:szCs w:val="18"/>
          <w:lang w:eastAsia="zh-CN"/>
        </w:rPr>
        <w:t xml:space="preserve"> </w:t>
      </w:r>
      <w:r>
        <w:rPr>
          <w:rFonts w:ascii="微软雅黑" w:hAnsi="微软雅黑" w:eastAsia="微软雅黑" w:cs="微软雅黑"/>
          <w:sz w:val="18"/>
          <w:szCs w:val="18"/>
          <w:lang w:eastAsia="zh-CN"/>
        </w:rPr>
        <w:t>：投标报价填报说明应包括工程范围、工程特</w:t>
      </w:r>
      <w:r>
        <w:rPr>
          <w:rFonts w:ascii="微软雅黑" w:hAnsi="微软雅黑" w:eastAsia="微软雅黑" w:cs="微软雅黑"/>
          <w:spacing w:val="-1"/>
          <w:sz w:val="18"/>
          <w:szCs w:val="18"/>
          <w:lang w:eastAsia="zh-CN"/>
        </w:rPr>
        <w:t>征、计划工期、施工现场情况、施工组织特点及其他需要说明的</w:t>
      </w:r>
    </w:p>
    <w:p w14:paraId="0B3C240C">
      <w:pPr>
        <w:spacing w:before="78" w:line="184" w:lineRule="auto"/>
        <w:ind w:left="37" w:firstLine="1246" w:firstLineChars="700"/>
        <w:rPr>
          <w:rFonts w:ascii="微软雅黑" w:hAnsi="微软雅黑" w:eastAsia="微软雅黑" w:cs="微软雅黑"/>
          <w:sz w:val="18"/>
          <w:szCs w:val="18"/>
          <w:lang w:eastAsia="zh-CN"/>
        </w:rPr>
        <w:sectPr>
          <w:pgSz w:w="11900" w:h="16840"/>
          <w:pgMar w:top="1193" w:right="882" w:bottom="0" w:left="810" w:header="0" w:footer="0" w:gutter="0"/>
          <w:pgNumType w:fmt="decimal"/>
          <w:cols w:space="720" w:num="1"/>
        </w:sectPr>
      </w:pPr>
      <w:r>
        <w:rPr>
          <w:rFonts w:ascii="微软雅黑" w:hAnsi="微软雅黑" w:eastAsia="微软雅黑" w:cs="微软雅黑"/>
          <w:spacing w:val="-1"/>
          <w:sz w:val="18"/>
          <w:szCs w:val="18"/>
          <w:lang w:eastAsia="zh-CN"/>
        </w:rPr>
        <w:t>问题等内容</w:t>
      </w:r>
    </w:p>
    <w:p w14:paraId="1D3F8FF1">
      <w:pPr>
        <w:pStyle w:val="18"/>
        <w:ind w:left="440"/>
      </w:pPr>
    </w:p>
    <w:p w14:paraId="2A81D124">
      <w:pPr>
        <w:bidi w:val="0"/>
        <w:jc w:val="center"/>
        <w:rPr>
          <w:b/>
          <w:bCs/>
          <w:sz w:val="30"/>
          <w:szCs w:val="30"/>
          <w:lang w:eastAsia="zh-CN"/>
        </w:rPr>
      </w:pPr>
      <w:r>
        <w:rPr>
          <w:b/>
          <w:bCs/>
          <w:sz w:val="30"/>
          <w:szCs w:val="30"/>
          <w:lang w:eastAsia="zh-CN"/>
        </w:rPr>
        <w:t>工程项目清单汇总表</w:t>
      </w:r>
    </w:p>
    <w:p w14:paraId="51411B95">
      <w:pPr>
        <w:spacing w:before="291" w:line="189" w:lineRule="auto"/>
        <w:ind w:left="39"/>
        <w:rPr>
          <w:lang w:eastAsia="zh-CN"/>
        </w:rPr>
      </w:pPr>
      <w:r>
        <w:drawing>
          <wp:anchor distT="0" distB="0" distL="0" distR="0" simplePos="0" relativeHeight="251663360" behindDoc="0" locked="0" layoutInCell="1" allowOverlap="1">
            <wp:simplePos x="0" y="0"/>
            <wp:positionH relativeFrom="column">
              <wp:posOffset>0</wp:posOffset>
            </wp:positionH>
            <wp:positionV relativeFrom="paragraph">
              <wp:posOffset>8776335</wp:posOffset>
            </wp:positionV>
            <wp:extent cx="6467475"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6"/>
                    <a:stretch>
                      <a:fillRect/>
                    </a:stretch>
                  </pic:blipFill>
                  <pic:spPr>
                    <a:xfrm>
                      <a:off x="0" y="0"/>
                      <a:ext cx="6467475" cy="6350"/>
                    </a:xfrm>
                    <a:prstGeom prst="rect">
                      <a:avLst/>
                    </a:prstGeom>
                  </pic:spPr>
                </pic:pic>
              </a:graphicData>
            </a:graphic>
          </wp:anchor>
        </w:drawing>
      </w:r>
      <w:r>
        <w:rPr>
          <w:rFonts w:ascii="微软雅黑" w:hAnsi="微软雅黑" w:eastAsia="微软雅黑" w:cs="微软雅黑"/>
          <w:sz w:val="19"/>
          <w:szCs w:val="19"/>
          <w:lang w:eastAsia="zh-CN"/>
        </w:rPr>
        <w:t xml:space="preserve">工程名称： </w:t>
      </w:r>
      <w:r>
        <w:rPr>
          <w:rFonts w:ascii="微软雅黑" w:hAnsi="微软雅黑" w:eastAsia="微软雅黑" w:cs="微软雅黑"/>
          <w:spacing w:val="-1"/>
          <w:sz w:val="19"/>
          <w:szCs w:val="19"/>
          <w:lang w:eastAsia="zh-CN"/>
        </w:rPr>
        <w:t xml:space="preserve">                            </w:t>
      </w:r>
      <w:r>
        <w:rPr>
          <w:rFonts w:hint="eastAsia" w:ascii="微软雅黑" w:hAnsi="微软雅黑" w:eastAsia="微软雅黑" w:cs="微软雅黑"/>
          <w:spacing w:val="-1"/>
          <w:sz w:val="19"/>
          <w:szCs w:val="19"/>
          <w:lang w:eastAsia="zh-CN"/>
        </w:rPr>
        <w:t xml:space="preserve">                                        </w:t>
      </w:r>
      <w:r>
        <w:rPr>
          <w:rFonts w:ascii="微软雅黑" w:hAnsi="微软雅黑" w:eastAsia="微软雅黑" w:cs="微软雅黑"/>
          <w:spacing w:val="-1"/>
          <w:sz w:val="19"/>
          <w:szCs w:val="19"/>
          <w:lang w:eastAsia="zh-CN"/>
        </w:rPr>
        <w:t xml:space="preserve"> </w:t>
      </w:r>
      <w:r>
        <w:rPr>
          <w:rFonts w:ascii="微软雅黑" w:hAnsi="微软雅黑" w:eastAsia="微软雅黑" w:cs="微软雅黑"/>
          <w:spacing w:val="-1"/>
          <w:position w:val="1"/>
          <w:sz w:val="18"/>
          <w:szCs w:val="18"/>
          <w:lang w:eastAsia="zh-CN"/>
        </w:rPr>
        <w:t>第</w:t>
      </w:r>
      <w:r>
        <w:rPr>
          <w:rFonts w:ascii="微软雅黑" w:hAnsi="微软雅黑" w:eastAsia="微软雅黑" w:cs="微软雅黑"/>
          <w:spacing w:val="2"/>
          <w:position w:val="1"/>
          <w:sz w:val="18"/>
          <w:szCs w:val="18"/>
          <w:lang w:eastAsia="zh-CN"/>
        </w:rPr>
        <w:t xml:space="preserve"> </w:t>
      </w:r>
      <w:r>
        <w:rPr>
          <w:rFonts w:ascii="微软雅黑" w:hAnsi="微软雅黑" w:eastAsia="微软雅黑" w:cs="微软雅黑"/>
          <w:spacing w:val="-1"/>
          <w:position w:val="1"/>
          <w:sz w:val="18"/>
          <w:szCs w:val="18"/>
          <w:lang w:eastAsia="zh-CN"/>
        </w:rPr>
        <w:t xml:space="preserve">  页    共    页</w:t>
      </w:r>
      <w:r>
        <w:rPr>
          <w:rFonts w:ascii="微软雅黑" w:hAnsi="微软雅黑" w:eastAsia="微软雅黑" w:cs="微软雅黑"/>
          <w:spacing w:val="-1"/>
          <w:sz w:val="19"/>
          <w:szCs w:val="19"/>
          <w:lang w:eastAsia="zh-CN"/>
        </w:rPr>
        <w:t xml:space="preserve">                                              </w:t>
      </w:r>
      <w:r>
        <w:rPr>
          <w:rFonts w:hint="eastAsia" w:ascii="微软雅黑" w:hAnsi="微软雅黑" w:eastAsia="微软雅黑" w:cs="微软雅黑"/>
          <w:spacing w:val="-1"/>
          <w:sz w:val="19"/>
          <w:szCs w:val="19"/>
          <w:lang w:eastAsia="zh-CN"/>
        </w:rPr>
        <w:t xml:space="preserve">                                          </w:t>
      </w:r>
      <w:r>
        <w:rPr>
          <w:rFonts w:ascii="微软雅黑" w:hAnsi="微软雅黑" w:eastAsia="微软雅黑" w:cs="微软雅黑"/>
          <w:spacing w:val="-1"/>
          <w:sz w:val="19"/>
          <w:szCs w:val="19"/>
          <w:lang w:eastAsia="zh-CN"/>
        </w:rPr>
        <w:t xml:space="preserve">                </w:t>
      </w:r>
    </w:p>
    <w:tbl>
      <w:tblPr>
        <w:tblStyle w:val="258"/>
        <w:tblW w:w="9639" w:type="dxa"/>
        <w:tblInd w:w="29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3039"/>
        <w:gridCol w:w="1077"/>
        <w:gridCol w:w="1286"/>
        <w:gridCol w:w="1929"/>
        <w:gridCol w:w="1174"/>
      </w:tblGrid>
      <w:tr w14:paraId="2A312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34" w:type="dxa"/>
            <w:vMerge w:val="restart"/>
            <w:tcBorders>
              <w:top w:val="single" w:color="000000" w:sz="12" w:space="0"/>
              <w:left w:val="single" w:color="000000" w:sz="12" w:space="0"/>
              <w:bottom w:val="nil"/>
            </w:tcBorders>
          </w:tcPr>
          <w:p w14:paraId="49CC043C">
            <w:pPr>
              <w:autoSpaceDE w:val="0"/>
              <w:autoSpaceDN w:val="0"/>
              <w:spacing w:line="240" w:lineRule="auto"/>
              <w:rPr>
                <w:rFonts w:ascii="Arial"/>
                <w:sz w:val="21"/>
                <w:lang w:eastAsia="zh-CN"/>
              </w:rPr>
            </w:pPr>
          </w:p>
          <w:p w14:paraId="32CB5B39">
            <w:pPr>
              <w:pStyle w:val="260"/>
              <w:autoSpaceDE w:val="0"/>
              <w:autoSpaceDN w:val="0"/>
              <w:spacing w:before="81"/>
              <w:ind w:left="314"/>
              <w:rPr>
                <w:color w:val="auto"/>
                <w:sz w:val="19"/>
                <w:szCs w:val="19"/>
              </w:rPr>
            </w:pPr>
            <w:r>
              <w:rPr>
                <w:color w:val="auto"/>
                <w:sz w:val="19"/>
                <w:szCs w:val="19"/>
              </w:rPr>
              <w:t>序号</w:t>
            </w:r>
          </w:p>
        </w:tc>
        <w:tc>
          <w:tcPr>
            <w:tcW w:w="3039" w:type="dxa"/>
            <w:vMerge w:val="restart"/>
            <w:tcBorders>
              <w:top w:val="single" w:color="000000" w:sz="12" w:space="0"/>
              <w:bottom w:val="nil"/>
            </w:tcBorders>
          </w:tcPr>
          <w:p w14:paraId="3E7762FD">
            <w:pPr>
              <w:autoSpaceDE w:val="0"/>
              <w:autoSpaceDN w:val="0"/>
              <w:spacing w:line="240" w:lineRule="auto"/>
              <w:rPr>
                <w:rFonts w:ascii="Arial"/>
                <w:sz w:val="21"/>
              </w:rPr>
            </w:pPr>
          </w:p>
          <w:p w14:paraId="051D501E">
            <w:pPr>
              <w:pStyle w:val="260"/>
              <w:autoSpaceDE w:val="0"/>
              <w:autoSpaceDN w:val="0"/>
              <w:spacing w:before="82"/>
              <w:ind w:left="1333"/>
              <w:rPr>
                <w:color w:val="auto"/>
                <w:sz w:val="19"/>
                <w:szCs w:val="19"/>
              </w:rPr>
            </w:pPr>
            <w:r>
              <w:rPr>
                <w:color w:val="auto"/>
                <w:spacing w:val="1"/>
                <w:sz w:val="19"/>
                <w:szCs w:val="19"/>
              </w:rPr>
              <w:t>项目内容</w:t>
            </w:r>
          </w:p>
        </w:tc>
        <w:tc>
          <w:tcPr>
            <w:tcW w:w="1077" w:type="dxa"/>
            <w:vMerge w:val="restart"/>
            <w:tcBorders>
              <w:top w:val="single" w:color="000000" w:sz="12" w:space="0"/>
              <w:bottom w:val="nil"/>
            </w:tcBorders>
          </w:tcPr>
          <w:p w14:paraId="509737F5">
            <w:pPr>
              <w:autoSpaceDE w:val="0"/>
              <w:autoSpaceDN w:val="0"/>
              <w:spacing w:line="240" w:lineRule="auto"/>
              <w:rPr>
                <w:rFonts w:ascii="Arial"/>
                <w:sz w:val="21"/>
              </w:rPr>
            </w:pPr>
          </w:p>
          <w:p w14:paraId="544AA086">
            <w:pPr>
              <w:pStyle w:val="260"/>
              <w:autoSpaceDE w:val="0"/>
              <w:autoSpaceDN w:val="0"/>
              <w:spacing w:before="82"/>
              <w:ind w:left="352"/>
              <w:rPr>
                <w:color w:val="auto"/>
                <w:sz w:val="19"/>
                <w:szCs w:val="19"/>
              </w:rPr>
            </w:pPr>
            <w:r>
              <w:rPr>
                <w:color w:val="auto"/>
                <w:spacing w:val="-1"/>
                <w:sz w:val="19"/>
                <w:szCs w:val="19"/>
              </w:rPr>
              <w:t>金额</w:t>
            </w:r>
          </w:p>
          <w:p w14:paraId="4DFD0B72">
            <w:pPr>
              <w:pStyle w:val="260"/>
              <w:autoSpaceDE w:val="0"/>
              <w:autoSpaceDN w:val="0"/>
              <w:ind w:left="260"/>
              <w:rPr>
                <w:color w:val="auto"/>
                <w:sz w:val="19"/>
                <w:szCs w:val="19"/>
              </w:rPr>
            </w:pPr>
            <w:r>
              <w:rPr>
                <w:color w:val="auto"/>
                <w:spacing w:val="-3"/>
                <w:sz w:val="19"/>
                <w:szCs w:val="19"/>
              </w:rPr>
              <w:t>（元）</w:t>
            </w:r>
          </w:p>
        </w:tc>
        <w:tc>
          <w:tcPr>
            <w:tcW w:w="4389" w:type="dxa"/>
            <w:gridSpan w:val="3"/>
            <w:tcBorders>
              <w:top w:val="single" w:color="000000" w:sz="12" w:space="0"/>
              <w:right w:val="single" w:color="000000" w:sz="12" w:space="0"/>
            </w:tcBorders>
          </w:tcPr>
          <w:p w14:paraId="7FACFB49">
            <w:pPr>
              <w:pStyle w:val="260"/>
              <w:autoSpaceDE w:val="0"/>
              <w:autoSpaceDN w:val="0"/>
              <w:spacing w:before="57"/>
              <w:ind w:left="2056"/>
              <w:rPr>
                <w:color w:val="auto"/>
                <w:sz w:val="19"/>
                <w:szCs w:val="19"/>
              </w:rPr>
            </w:pPr>
            <w:r>
              <w:rPr>
                <w:color w:val="auto"/>
                <w:sz w:val="19"/>
                <w:szCs w:val="19"/>
              </w:rPr>
              <w:t>其中：</w:t>
            </w:r>
          </w:p>
        </w:tc>
      </w:tr>
      <w:tr w14:paraId="5A8F8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6" w:hRule="atLeast"/>
        </w:trPr>
        <w:tc>
          <w:tcPr>
            <w:tcW w:w="1134" w:type="dxa"/>
            <w:vMerge w:val="continue"/>
            <w:tcBorders>
              <w:top w:val="nil"/>
              <w:left w:val="single" w:color="000000" w:sz="12" w:space="0"/>
            </w:tcBorders>
          </w:tcPr>
          <w:p w14:paraId="3BDC93E3">
            <w:pPr>
              <w:autoSpaceDE w:val="0"/>
              <w:autoSpaceDN w:val="0"/>
              <w:spacing w:line="240" w:lineRule="auto"/>
              <w:rPr>
                <w:rFonts w:ascii="Arial"/>
                <w:sz w:val="21"/>
              </w:rPr>
            </w:pPr>
          </w:p>
        </w:tc>
        <w:tc>
          <w:tcPr>
            <w:tcW w:w="3039" w:type="dxa"/>
            <w:vMerge w:val="continue"/>
            <w:tcBorders>
              <w:top w:val="nil"/>
            </w:tcBorders>
          </w:tcPr>
          <w:p w14:paraId="18222E27">
            <w:pPr>
              <w:autoSpaceDE w:val="0"/>
              <w:autoSpaceDN w:val="0"/>
              <w:spacing w:line="240" w:lineRule="auto"/>
              <w:rPr>
                <w:rFonts w:ascii="Arial"/>
                <w:sz w:val="21"/>
              </w:rPr>
            </w:pPr>
          </w:p>
        </w:tc>
        <w:tc>
          <w:tcPr>
            <w:tcW w:w="1077" w:type="dxa"/>
            <w:vMerge w:val="continue"/>
            <w:tcBorders>
              <w:top w:val="nil"/>
            </w:tcBorders>
          </w:tcPr>
          <w:p w14:paraId="72515AF7">
            <w:pPr>
              <w:autoSpaceDE w:val="0"/>
              <w:autoSpaceDN w:val="0"/>
              <w:spacing w:line="240" w:lineRule="auto"/>
              <w:rPr>
                <w:rFonts w:ascii="Arial"/>
                <w:sz w:val="21"/>
              </w:rPr>
            </w:pPr>
          </w:p>
        </w:tc>
        <w:tc>
          <w:tcPr>
            <w:tcW w:w="1286" w:type="dxa"/>
          </w:tcPr>
          <w:p w14:paraId="361BBCE7">
            <w:pPr>
              <w:pStyle w:val="260"/>
              <w:autoSpaceDE w:val="0"/>
              <w:autoSpaceDN w:val="0"/>
              <w:spacing w:before="42"/>
              <w:ind w:left="367" w:right="334" w:firstLine="91"/>
              <w:rPr>
                <w:color w:val="auto"/>
                <w:sz w:val="19"/>
                <w:szCs w:val="19"/>
              </w:rPr>
            </w:pPr>
            <w:r>
              <w:rPr>
                <w:color w:val="auto"/>
                <w:sz w:val="19"/>
                <w:szCs w:val="19"/>
              </w:rPr>
              <w:t xml:space="preserve">材料   </w:t>
            </w:r>
            <w:r>
              <w:rPr>
                <w:color w:val="auto"/>
                <w:spacing w:val="-1"/>
                <w:sz w:val="19"/>
                <w:szCs w:val="19"/>
              </w:rPr>
              <w:t>暂估价</w:t>
            </w:r>
          </w:p>
          <w:p w14:paraId="612AB778">
            <w:pPr>
              <w:pStyle w:val="260"/>
              <w:autoSpaceDE w:val="0"/>
              <w:autoSpaceDN w:val="0"/>
              <w:ind w:left="368"/>
              <w:rPr>
                <w:color w:val="auto"/>
                <w:sz w:val="19"/>
                <w:szCs w:val="19"/>
              </w:rPr>
            </w:pPr>
            <w:r>
              <w:rPr>
                <w:color w:val="auto"/>
                <w:spacing w:val="-3"/>
                <w:sz w:val="19"/>
                <w:szCs w:val="19"/>
              </w:rPr>
              <w:t>（元）</w:t>
            </w:r>
          </w:p>
        </w:tc>
        <w:tc>
          <w:tcPr>
            <w:tcW w:w="1929" w:type="dxa"/>
          </w:tcPr>
          <w:p w14:paraId="3ECD505C">
            <w:pPr>
              <w:pStyle w:val="260"/>
              <w:autoSpaceDE w:val="0"/>
              <w:autoSpaceDN w:val="0"/>
              <w:spacing w:before="42"/>
              <w:ind w:left="492" w:right="455" w:firstLine="99"/>
              <w:rPr>
                <w:color w:val="auto"/>
                <w:sz w:val="19"/>
                <w:szCs w:val="19"/>
                <w:lang w:eastAsia="zh-CN"/>
              </w:rPr>
            </w:pPr>
            <w:r>
              <w:rPr>
                <w:color w:val="auto"/>
                <w:spacing w:val="2"/>
                <w:sz w:val="19"/>
                <w:szCs w:val="19"/>
                <w:lang w:eastAsia="zh-CN"/>
              </w:rPr>
              <w:t>建筑垃圾</w:t>
            </w:r>
            <w:r>
              <w:rPr>
                <w:color w:val="auto"/>
                <w:sz w:val="19"/>
                <w:szCs w:val="19"/>
                <w:lang w:eastAsia="zh-CN"/>
              </w:rPr>
              <w:t xml:space="preserve">   </w:t>
            </w:r>
            <w:r>
              <w:rPr>
                <w:color w:val="auto"/>
                <w:spacing w:val="3"/>
                <w:sz w:val="19"/>
                <w:szCs w:val="19"/>
                <w:lang w:eastAsia="zh-CN"/>
              </w:rPr>
              <w:t>运输处置费</w:t>
            </w:r>
          </w:p>
          <w:p w14:paraId="6590A420">
            <w:pPr>
              <w:pStyle w:val="260"/>
              <w:autoSpaceDE w:val="0"/>
              <w:autoSpaceDN w:val="0"/>
              <w:ind w:left="695"/>
              <w:rPr>
                <w:color w:val="auto"/>
                <w:sz w:val="19"/>
                <w:szCs w:val="19"/>
                <w:lang w:eastAsia="zh-CN"/>
              </w:rPr>
            </w:pPr>
            <w:r>
              <w:rPr>
                <w:color w:val="auto"/>
                <w:spacing w:val="-3"/>
                <w:sz w:val="19"/>
                <w:szCs w:val="19"/>
                <w:lang w:eastAsia="zh-CN"/>
              </w:rPr>
              <w:t>（元）</w:t>
            </w:r>
          </w:p>
        </w:tc>
        <w:tc>
          <w:tcPr>
            <w:tcW w:w="1174" w:type="dxa"/>
            <w:tcBorders>
              <w:right w:val="single" w:color="000000" w:sz="12" w:space="0"/>
            </w:tcBorders>
          </w:tcPr>
          <w:p w14:paraId="73373590">
            <w:pPr>
              <w:pStyle w:val="260"/>
              <w:autoSpaceDE w:val="0"/>
              <w:autoSpaceDN w:val="0"/>
              <w:spacing w:before="43"/>
              <w:jc w:val="center"/>
              <w:rPr>
                <w:color w:val="auto"/>
                <w:sz w:val="19"/>
                <w:szCs w:val="19"/>
                <w:lang w:eastAsia="zh-CN"/>
              </w:rPr>
            </w:pPr>
            <w:r>
              <w:rPr>
                <w:color w:val="auto"/>
                <w:spacing w:val="1"/>
                <w:sz w:val="19"/>
                <w:szCs w:val="19"/>
                <w:lang w:eastAsia="zh-CN"/>
              </w:rPr>
              <w:t>农民工</w:t>
            </w:r>
            <w:r>
              <w:rPr>
                <w:color w:val="auto"/>
                <w:spacing w:val="2"/>
                <w:sz w:val="19"/>
                <w:szCs w:val="19"/>
                <w:lang w:eastAsia="zh-CN"/>
              </w:rPr>
              <w:t>工伤保险费</w:t>
            </w:r>
          </w:p>
          <w:p w14:paraId="280ECB07">
            <w:pPr>
              <w:pStyle w:val="260"/>
              <w:autoSpaceDE w:val="0"/>
              <w:autoSpaceDN w:val="0"/>
              <w:jc w:val="center"/>
              <w:rPr>
                <w:color w:val="auto"/>
                <w:sz w:val="19"/>
                <w:szCs w:val="19"/>
                <w:lang w:eastAsia="zh-CN"/>
              </w:rPr>
            </w:pPr>
            <w:r>
              <w:rPr>
                <w:color w:val="auto"/>
                <w:spacing w:val="-3"/>
                <w:sz w:val="19"/>
                <w:szCs w:val="19"/>
                <w:lang w:eastAsia="zh-CN"/>
              </w:rPr>
              <w:t>（元）</w:t>
            </w:r>
          </w:p>
        </w:tc>
      </w:tr>
      <w:tr w14:paraId="6E73E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tcPr>
          <w:p w14:paraId="50199CB1">
            <w:pPr>
              <w:pStyle w:val="260"/>
              <w:autoSpaceDE w:val="0"/>
              <w:autoSpaceDN w:val="0"/>
              <w:spacing w:before="42" w:line="203" w:lineRule="auto"/>
              <w:ind w:left="477"/>
              <w:rPr>
                <w:color w:val="auto"/>
                <w:sz w:val="18"/>
                <w:szCs w:val="18"/>
              </w:rPr>
            </w:pPr>
            <w:r>
              <w:rPr>
                <w:color w:val="auto"/>
                <w:sz w:val="18"/>
                <w:szCs w:val="18"/>
              </w:rPr>
              <w:t>1</w:t>
            </w:r>
          </w:p>
        </w:tc>
        <w:tc>
          <w:tcPr>
            <w:tcW w:w="3039" w:type="dxa"/>
          </w:tcPr>
          <w:p w14:paraId="019D14B0">
            <w:pPr>
              <w:pStyle w:val="260"/>
              <w:autoSpaceDE w:val="0"/>
              <w:autoSpaceDN w:val="0"/>
              <w:spacing w:before="43" w:line="184" w:lineRule="auto"/>
              <w:ind w:left="34"/>
              <w:rPr>
                <w:color w:val="auto"/>
                <w:sz w:val="18"/>
                <w:szCs w:val="18"/>
              </w:rPr>
            </w:pPr>
            <w:r>
              <w:rPr>
                <w:color w:val="auto"/>
                <w:spacing w:val="-2"/>
                <w:sz w:val="18"/>
                <w:szCs w:val="18"/>
              </w:rPr>
              <w:t>分部分项工程项目</w:t>
            </w:r>
          </w:p>
        </w:tc>
        <w:tc>
          <w:tcPr>
            <w:tcW w:w="1077" w:type="dxa"/>
          </w:tcPr>
          <w:p w14:paraId="022F4403">
            <w:pPr>
              <w:pStyle w:val="260"/>
              <w:autoSpaceDE w:val="0"/>
              <w:autoSpaceDN w:val="0"/>
              <w:spacing w:before="43" w:line="202" w:lineRule="auto"/>
              <w:ind w:right="6"/>
              <w:jc w:val="right"/>
              <w:rPr>
                <w:color w:val="auto"/>
                <w:sz w:val="18"/>
                <w:szCs w:val="18"/>
              </w:rPr>
            </w:pPr>
          </w:p>
        </w:tc>
        <w:tc>
          <w:tcPr>
            <w:tcW w:w="1286" w:type="dxa"/>
          </w:tcPr>
          <w:p w14:paraId="6A50D0AD">
            <w:pPr>
              <w:autoSpaceDE w:val="0"/>
              <w:autoSpaceDN w:val="0"/>
              <w:rPr>
                <w:rFonts w:ascii="Arial"/>
                <w:sz w:val="21"/>
              </w:rPr>
            </w:pPr>
          </w:p>
        </w:tc>
        <w:tc>
          <w:tcPr>
            <w:tcW w:w="1929" w:type="dxa"/>
          </w:tcPr>
          <w:p w14:paraId="39625AEB">
            <w:pPr>
              <w:pStyle w:val="260"/>
              <w:autoSpaceDE w:val="0"/>
              <w:autoSpaceDN w:val="0"/>
              <w:spacing w:before="43" w:line="202" w:lineRule="auto"/>
              <w:jc w:val="right"/>
              <w:rPr>
                <w:color w:val="auto"/>
                <w:sz w:val="18"/>
                <w:szCs w:val="18"/>
              </w:rPr>
            </w:pPr>
          </w:p>
        </w:tc>
        <w:tc>
          <w:tcPr>
            <w:tcW w:w="1174" w:type="dxa"/>
            <w:tcBorders>
              <w:right w:val="single" w:color="000000" w:sz="12" w:space="0"/>
            </w:tcBorders>
          </w:tcPr>
          <w:p w14:paraId="0D46C157">
            <w:pPr>
              <w:pStyle w:val="260"/>
              <w:autoSpaceDE w:val="0"/>
              <w:autoSpaceDN w:val="0"/>
              <w:spacing w:before="44" w:line="186" w:lineRule="auto"/>
              <w:ind w:left="699"/>
              <w:rPr>
                <w:color w:val="auto"/>
                <w:sz w:val="18"/>
                <w:szCs w:val="18"/>
              </w:rPr>
            </w:pPr>
            <w:r>
              <w:rPr>
                <w:color w:val="auto"/>
                <w:spacing w:val="6"/>
                <w:sz w:val="18"/>
                <w:szCs w:val="18"/>
              </w:rPr>
              <w:t>/</w:t>
            </w:r>
          </w:p>
        </w:tc>
      </w:tr>
      <w:tr w14:paraId="0CE78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shd w:val="clear" w:color="auto" w:fill="auto"/>
          </w:tcPr>
          <w:p w14:paraId="6EEC5901">
            <w:pPr>
              <w:pStyle w:val="260"/>
              <w:autoSpaceDE w:val="0"/>
              <w:autoSpaceDN w:val="0"/>
              <w:spacing w:before="53" w:line="195" w:lineRule="auto"/>
              <w:ind w:left="466"/>
              <w:rPr>
                <w:color w:val="auto"/>
                <w:sz w:val="18"/>
                <w:szCs w:val="18"/>
              </w:rPr>
            </w:pPr>
            <w:r>
              <w:rPr>
                <w:color w:val="auto"/>
                <w:sz w:val="18"/>
                <w:szCs w:val="18"/>
              </w:rPr>
              <w:t>2</w:t>
            </w:r>
          </w:p>
        </w:tc>
        <w:tc>
          <w:tcPr>
            <w:tcW w:w="3039" w:type="dxa"/>
            <w:shd w:val="clear" w:color="auto" w:fill="auto"/>
          </w:tcPr>
          <w:p w14:paraId="7C1F6695">
            <w:pPr>
              <w:pStyle w:val="260"/>
              <w:autoSpaceDE w:val="0"/>
              <w:autoSpaceDN w:val="0"/>
              <w:spacing w:before="53" w:line="184" w:lineRule="auto"/>
              <w:ind w:left="32"/>
              <w:rPr>
                <w:color w:val="auto"/>
                <w:sz w:val="18"/>
                <w:szCs w:val="18"/>
              </w:rPr>
            </w:pPr>
            <w:r>
              <w:rPr>
                <w:color w:val="auto"/>
                <w:spacing w:val="-3"/>
                <w:sz w:val="18"/>
                <w:szCs w:val="18"/>
              </w:rPr>
              <w:t>措施项目</w:t>
            </w:r>
          </w:p>
        </w:tc>
        <w:tc>
          <w:tcPr>
            <w:tcW w:w="1077" w:type="dxa"/>
          </w:tcPr>
          <w:p w14:paraId="5BAF5FA2">
            <w:pPr>
              <w:pStyle w:val="260"/>
              <w:autoSpaceDE w:val="0"/>
              <w:autoSpaceDN w:val="0"/>
              <w:spacing w:before="44" w:line="202" w:lineRule="auto"/>
              <w:ind w:right="6"/>
              <w:jc w:val="right"/>
              <w:rPr>
                <w:color w:val="auto"/>
                <w:sz w:val="18"/>
                <w:szCs w:val="18"/>
              </w:rPr>
            </w:pPr>
          </w:p>
        </w:tc>
        <w:tc>
          <w:tcPr>
            <w:tcW w:w="1286" w:type="dxa"/>
          </w:tcPr>
          <w:p w14:paraId="71F4AD47">
            <w:pPr>
              <w:autoSpaceDE w:val="0"/>
              <w:autoSpaceDN w:val="0"/>
              <w:rPr>
                <w:rFonts w:ascii="Arial"/>
                <w:sz w:val="21"/>
              </w:rPr>
            </w:pPr>
          </w:p>
        </w:tc>
        <w:tc>
          <w:tcPr>
            <w:tcW w:w="1929" w:type="dxa"/>
          </w:tcPr>
          <w:p w14:paraId="52A87E6B">
            <w:pPr>
              <w:pStyle w:val="260"/>
              <w:autoSpaceDE w:val="0"/>
              <w:autoSpaceDN w:val="0"/>
              <w:spacing w:before="44" w:line="202" w:lineRule="auto"/>
              <w:jc w:val="right"/>
              <w:rPr>
                <w:color w:val="auto"/>
                <w:sz w:val="18"/>
                <w:szCs w:val="18"/>
              </w:rPr>
            </w:pPr>
          </w:p>
        </w:tc>
        <w:tc>
          <w:tcPr>
            <w:tcW w:w="1174" w:type="dxa"/>
            <w:tcBorders>
              <w:right w:val="single" w:color="000000" w:sz="12" w:space="0"/>
            </w:tcBorders>
          </w:tcPr>
          <w:p w14:paraId="2506B201">
            <w:pPr>
              <w:pStyle w:val="260"/>
              <w:autoSpaceDE w:val="0"/>
              <w:autoSpaceDN w:val="0"/>
              <w:spacing w:before="45" w:line="186" w:lineRule="auto"/>
              <w:ind w:left="699"/>
              <w:rPr>
                <w:color w:val="auto"/>
                <w:sz w:val="18"/>
                <w:szCs w:val="18"/>
              </w:rPr>
            </w:pPr>
            <w:r>
              <w:rPr>
                <w:color w:val="auto"/>
                <w:spacing w:val="6"/>
                <w:sz w:val="18"/>
                <w:szCs w:val="18"/>
              </w:rPr>
              <w:t>/</w:t>
            </w:r>
          </w:p>
        </w:tc>
      </w:tr>
      <w:tr w14:paraId="572BC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shd w:val="clear" w:color="auto" w:fill="auto"/>
          </w:tcPr>
          <w:p w14:paraId="2A82AC37">
            <w:pPr>
              <w:pStyle w:val="260"/>
              <w:autoSpaceDE w:val="0"/>
              <w:autoSpaceDN w:val="0"/>
              <w:spacing w:before="54" w:line="194" w:lineRule="auto"/>
              <w:ind w:left="376"/>
              <w:rPr>
                <w:color w:val="auto"/>
                <w:sz w:val="18"/>
                <w:szCs w:val="18"/>
              </w:rPr>
            </w:pPr>
            <w:r>
              <w:rPr>
                <w:color w:val="auto"/>
                <w:spacing w:val="7"/>
                <w:sz w:val="18"/>
                <w:szCs w:val="18"/>
              </w:rPr>
              <w:t>2.1</w:t>
            </w:r>
          </w:p>
        </w:tc>
        <w:tc>
          <w:tcPr>
            <w:tcW w:w="3039" w:type="dxa"/>
            <w:shd w:val="clear" w:color="auto" w:fill="auto"/>
          </w:tcPr>
          <w:p w14:paraId="7215904C">
            <w:pPr>
              <w:pStyle w:val="260"/>
              <w:autoSpaceDE w:val="0"/>
              <w:autoSpaceDN w:val="0"/>
              <w:spacing w:before="54" w:line="185" w:lineRule="auto"/>
              <w:ind w:left="33"/>
              <w:rPr>
                <w:color w:val="auto"/>
                <w:sz w:val="18"/>
                <w:szCs w:val="18"/>
                <w:lang w:eastAsia="zh-CN"/>
              </w:rPr>
            </w:pPr>
            <w:r>
              <w:rPr>
                <w:color w:val="auto"/>
                <w:spacing w:val="-1"/>
                <w:sz w:val="18"/>
                <w:szCs w:val="18"/>
                <w:lang w:eastAsia="zh-CN"/>
              </w:rPr>
              <w:t>其中：安全生产标准化措施费</w:t>
            </w:r>
          </w:p>
        </w:tc>
        <w:tc>
          <w:tcPr>
            <w:tcW w:w="1077" w:type="dxa"/>
          </w:tcPr>
          <w:p w14:paraId="404D970A">
            <w:pPr>
              <w:pStyle w:val="260"/>
              <w:autoSpaceDE w:val="0"/>
              <w:autoSpaceDN w:val="0"/>
              <w:spacing w:before="45" w:line="201" w:lineRule="auto"/>
              <w:ind w:right="6"/>
              <w:jc w:val="right"/>
              <w:rPr>
                <w:color w:val="auto"/>
                <w:sz w:val="18"/>
                <w:szCs w:val="18"/>
                <w:lang w:eastAsia="zh-CN"/>
              </w:rPr>
            </w:pPr>
          </w:p>
        </w:tc>
        <w:tc>
          <w:tcPr>
            <w:tcW w:w="1286" w:type="dxa"/>
          </w:tcPr>
          <w:p w14:paraId="7BA835F8">
            <w:pPr>
              <w:autoSpaceDE w:val="0"/>
              <w:autoSpaceDN w:val="0"/>
              <w:rPr>
                <w:rFonts w:ascii="Arial"/>
                <w:sz w:val="21"/>
                <w:lang w:eastAsia="zh-CN"/>
              </w:rPr>
            </w:pPr>
          </w:p>
        </w:tc>
        <w:tc>
          <w:tcPr>
            <w:tcW w:w="1929" w:type="dxa"/>
          </w:tcPr>
          <w:p w14:paraId="7F2B550A">
            <w:pPr>
              <w:pStyle w:val="260"/>
              <w:autoSpaceDE w:val="0"/>
              <w:autoSpaceDN w:val="0"/>
              <w:spacing w:before="45" w:line="201" w:lineRule="auto"/>
              <w:jc w:val="right"/>
              <w:rPr>
                <w:color w:val="auto"/>
                <w:sz w:val="18"/>
                <w:szCs w:val="18"/>
                <w:lang w:eastAsia="zh-CN"/>
              </w:rPr>
            </w:pPr>
          </w:p>
        </w:tc>
        <w:tc>
          <w:tcPr>
            <w:tcW w:w="1174" w:type="dxa"/>
            <w:tcBorders>
              <w:right w:val="single" w:color="000000" w:sz="12" w:space="0"/>
            </w:tcBorders>
          </w:tcPr>
          <w:p w14:paraId="3C6A5AD7">
            <w:pPr>
              <w:pStyle w:val="260"/>
              <w:autoSpaceDE w:val="0"/>
              <w:autoSpaceDN w:val="0"/>
              <w:spacing w:before="46" w:line="186" w:lineRule="auto"/>
              <w:ind w:left="699"/>
              <w:rPr>
                <w:color w:val="auto"/>
                <w:sz w:val="18"/>
                <w:szCs w:val="18"/>
              </w:rPr>
            </w:pPr>
            <w:r>
              <w:rPr>
                <w:color w:val="auto"/>
                <w:spacing w:val="6"/>
                <w:sz w:val="18"/>
                <w:szCs w:val="18"/>
              </w:rPr>
              <w:t>/</w:t>
            </w:r>
          </w:p>
        </w:tc>
      </w:tr>
      <w:tr w14:paraId="7119D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shd w:val="clear" w:color="auto" w:fill="auto"/>
          </w:tcPr>
          <w:p w14:paraId="46845B84">
            <w:pPr>
              <w:pStyle w:val="260"/>
              <w:autoSpaceDE w:val="0"/>
              <w:autoSpaceDN w:val="0"/>
              <w:spacing w:before="55" w:line="193" w:lineRule="auto"/>
              <w:ind w:left="376"/>
              <w:rPr>
                <w:color w:val="auto"/>
                <w:sz w:val="18"/>
                <w:szCs w:val="18"/>
              </w:rPr>
            </w:pPr>
            <w:r>
              <w:rPr>
                <w:color w:val="auto"/>
                <w:spacing w:val="7"/>
                <w:sz w:val="18"/>
                <w:szCs w:val="18"/>
              </w:rPr>
              <w:t>2.2</w:t>
            </w:r>
          </w:p>
        </w:tc>
        <w:tc>
          <w:tcPr>
            <w:tcW w:w="3039" w:type="dxa"/>
            <w:shd w:val="clear" w:color="auto" w:fill="auto"/>
          </w:tcPr>
          <w:p w14:paraId="5EB7A973">
            <w:pPr>
              <w:pStyle w:val="260"/>
              <w:autoSpaceDE w:val="0"/>
              <w:autoSpaceDN w:val="0"/>
              <w:spacing w:before="55" w:line="185" w:lineRule="auto"/>
              <w:ind w:left="33"/>
              <w:rPr>
                <w:color w:val="auto"/>
                <w:sz w:val="18"/>
                <w:szCs w:val="18"/>
                <w:lang w:eastAsia="zh-CN"/>
              </w:rPr>
            </w:pPr>
            <w:r>
              <w:rPr>
                <w:color w:val="auto"/>
                <w:spacing w:val="-1"/>
                <w:sz w:val="18"/>
                <w:szCs w:val="18"/>
                <w:lang w:eastAsia="zh-CN"/>
              </w:rPr>
              <w:t>其中：施工垃圾场外运输和消纳费</w:t>
            </w:r>
          </w:p>
        </w:tc>
        <w:tc>
          <w:tcPr>
            <w:tcW w:w="1077" w:type="dxa"/>
          </w:tcPr>
          <w:p w14:paraId="46EC7A17">
            <w:pPr>
              <w:pStyle w:val="260"/>
              <w:autoSpaceDE w:val="0"/>
              <w:autoSpaceDN w:val="0"/>
              <w:spacing w:before="46" w:line="200" w:lineRule="auto"/>
              <w:ind w:right="6"/>
              <w:jc w:val="right"/>
              <w:rPr>
                <w:color w:val="auto"/>
                <w:sz w:val="18"/>
                <w:szCs w:val="18"/>
                <w:lang w:eastAsia="zh-CN"/>
              </w:rPr>
            </w:pPr>
          </w:p>
        </w:tc>
        <w:tc>
          <w:tcPr>
            <w:tcW w:w="1286" w:type="dxa"/>
          </w:tcPr>
          <w:p w14:paraId="7914B1F9">
            <w:pPr>
              <w:autoSpaceDE w:val="0"/>
              <w:autoSpaceDN w:val="0"/>
              <w:rPr>
                <w:rFonts w:ascii="Arial"/>
                <w:sz w:val="21"/>
                <w:lang w:eastAsia="zh-CN"/>
              </w:rPr>
            </w:pPr>
          </w:p>
        </w:tc>
        <w:tc>
          <w:tcPr>
            <w:tcW w:w="1929" w:type="dxa"/>
          </w:tcPr>
          <w:p w14:paraId="29FC93B2">
            <w:pPr>
              <w:autoSpaceDE w:val="0"/>
              <w:autoSpaceDN w:val="0"/>
              <w:rPr>
                <w:rFonts w:ascii="Arial"/>
                <w:sz w:val="21"/>
                <w:lang w:eastAsia="zh-CN"/>
              </w:rPr>
            </w:pPr>
          </w:p>
        </w:tc>
        <w:tc>
          <w:tcPr>
            <w:tcW w:w="1174" w:type="dxa"/>
            <w:tcBorders>
              <w:right w:val="single" w:color="000000" w:sz="12" w:space="0"/>
            </w:tcBorders>
          </w:tcPr>
          <w:p w14:paraId="59BADF6A">
            <w:pPr>
              <w:pStyle w:val="260"/>
              <w:autoSpaceDE w:val="0"/>
              <w:autoSpaceDN w:val="0"/>
              <w:spacing w:before="47" w:line="186" w:lineRule="auto"/>
              <w:ind w:left="699"/>
              <w:rPr>
                <w:color w:val="auto"/>
                <w:sz w:val="18"/>
                <w:szCs w:val="18"/>
              </w:rPr>
            </w:pPr>
            <w:r>
              <w:rPr>
                <w:color w:val="auto"/>
                <w:spacing w:val="6"/>
                <w:sz w:val="18"/>
                <w:szCs w:val="18"/>
              </w:rPr>
              <w:t>/</w:t>
            </w:r>
          </w:p>
        </w:tc>
      </w:tr>
      <w:tr w14:paraId="121AC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shd w:val="clear" w:color="auto" w:fill="auto"/>
          </w:tcPr>
          <w:p w14:paraId="077A80B8">
            <w:pPr>
              <w:pStyle w:val="260"/>
              <w:autoSpaceDE w:val="0"/>
              <w:autoSpaceDN w:val="0"/>
              <w:spacing w:before="56" w:line="192" w:lineRule="auto"/>
              <w:ind w:left="468"/>
              <w:rPr>
                <w:color w:val="auto"/>
                <w:sz w:val="18"/>
                <w:szCs w:val="18"/>
              </w:rPr>
            </w:pPr>
            <w:r>
              <w:rPr>
                <w:color w:val="auto"/>
                <w:sz w:val="18"/>
                <w:szCs w:val="18"/>
              </w:rPr>
              <w:t>3</w:t>
            </w:r>
          </w:p>
        </w:tc>
        <w:tc>
          <w:tcPr>
            <w:tcW w:w="3039" w:type="dxa"/>
            <w:shd w:val="clear" w:color="auto" w:fill="auto"/>
          </w:tcPr>
          <w:p w14:paraId="01A8C114">
            <w:pPr>
              <w:pStyle w:val="260"/>
              <w:autoSpaceDE w:val="0"/>
              <w:autoSpaceDN w:val="0"/>
              <w:spacing w:before="56" w:line="184" w:lineRule="auto"/>
              <w:ind w:left="33"/>
              <w:rPr>
                <w:color w:val="auto"/>
                <w:sz w:val="18"/>
                <w:szCs w:val="18"/>
              </w:rPr>
            </w:pPr>
            <w:r>
              <w:rPr>
                <w:color w:val="auto"/>
                <w:spacing w:val="-3"/>
                <w:sz w:val="18"/>
                <w:szCs w:val="18"/>
              </w:rPr>
              <w:t>其他项目</w:t>
            </w:r>
          </w:p>
        </w:tc>
        <w:tc>
          <w:tcPr>
            <w:tcW w:w="1077" w:type="dxa"/>
          </w:tcPr>
          <w:p w14:paraId="4203D284">
            <w:pPr>
              <w:pStyle w:val="260"/>
              <w:autoSpaceDE w:val="0"/>
              <w:autoSpaceDN w:val="0"/>
              <w:spacing w:before="47" w:line="199" w:lineRule="auto"/>
              <w:ind w:right="6"/>
              <w:jc w:val="right"/>
              <w:rPr>
                <w:color w:val="auto"/>
                <w:sz w:val="18"/>
                <w:szCs w:val="18"/>
              </w:rPr>
            </w:pPr>
          </w:p>
        </w:tc>
        <w:tc>
          <w:tcPr>
            <w:tcW w:w="1286" w:type="dxa"/>
          </w:tcPr>
          <w:p w14:paraId="27AFD8EA">
            <w:pPr>
              <w:autoSpaceDE w:val="0"/>
              <w:autoSpaceDN w:val="0"/>
              <w:rPr>
                <w:rFonts w:ascii="Arial"/>
                <w:sz w:val="21"/>
              </w:rPr>
            </w:pPr>
          </w:p>
        </w:tc>
        <w:tc>
          <w:tcPr>
            <w:tcW w:w="1929" w:type="dxa"/>
          </w:tcPr>
          <w:p w14:paraId="20214879">
            <w:pPr>
              <w:autoSpaceDE w:val="0"/>
              <w:autoSpaceDN w:val="0"/>
              <w:rPr>
                <w:rFonts w:ascii="Arial"/>
                <w:sz w:val="21"/>
              </w:rPr>
            </w:pPr>
          </w:p>
        </w:tc>
        <w:tc>
          <w:tcPr>
            <w:tcW w:w="1174" w:type="dxa"/>
            <w:tcBorders>
              <w:right w:val="single" w:color="000000" w:sz="12" w:space="0"/>
            </w:tcBorders>
          </w:tcPr>
          <w:p w14:paraId="37E61E07">
            <w:pPr>
              <w:pStyle w:val="260"/>
              <w:autoSpaceDE w:val="0"/>
              <w:autoSpaceDN w:val="0"/>
              <w:spacing w:before="48" w:line="186" w:lineRule="auto"/>
              <w:ind w:left="699"/>
              <w:rPr>
                <w:color w:val="auto"/>
                <w:sz w:val="18"/>
                <w:szCs w:val="18"/>
              </w:rPr>
            </w:pPr>
            <w:r>
              <w:rPr>
                <w:color w:val="auto"/>
                <w:spacing w:val="6"/>
                <w:sz w:val="18"/>
                <w:szCs w:val="18"/>
              </w:rPr>
              <w:t>/</w:t>
            </w:r>
          </w:p>
        </w:tc>
      </w:tr>
      <w:tr w14:paraId="15F64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shd w:val="clear" w:color="auto" w:fill="auto"/>
          </w:tcPr>
          <w:p w14:paraId="27FA6A77">
            <w:pPr>
              <w:pStyle w:val="260"/>
              <w:autoSpaceDE w:val="0"/>
              <w:autoSpaceDN w:val="0"/>
              <w:spacing w:before="57" w:line="192" w:lineRule="auto"/>
              <w:ind w:left="378"/>
              <w:rPr>
                <w:color w:val="auto"/>
                <w:sz w:val="18"/>
                <w:szCs w:val="18"/>
              </w:rPr>
            </w:pPr>
            <w:r>
              <w:rPr>
                <w:color w:val="auto"/>
                <w:spacing w:val="6"/>
                <w:sz w:val="18"/>
                <w:szCs w:val="18"/>
              </w:rPr>
              <w:t>3.1</w:t>
            </w:r>
          </w:p>
        </w:tc>
        <w:tc>
          <w:tcPr>
            <w:tcW w:w="3039" w:type="dxa"/>
            <w:shd w:val="clear" w:color="auto" w:fill="auto"/>
          </w:tcPr>
          <w:p w14:paraId="4CD32EF9">
            <w:pPr>
              <w:pStyle w:val="260"/>
              <w:autoSpaceDE w:val="0"/>
              <w:autoSpaceDN w:val="0"/>
              <w:spacing w:before="57" w:line="180" w:lineRule="auto"/>
              <w:ind w:left="33"/>
              <w:rPr>
                <w:color w:val="auto"/>
                <w:sz w:val="18"/>
                <w:szCs w:val="18"/>
                <w:lang w:eastAsia="zh-CN"/>
              </w:rPr>
            </w:pPr>
            <w:r>
              <w:rPr>
                <w:color w:val="auto"/>
                <w:spacing w:val="-2"/>
                <w:sz w:val="18"/>
                <w:szCs w:val="18"/>
                <w:lang w:eastAsia="zh-CN"/>
              </w:rPr>
              <w:t>其中：</w:t>
            </w:r>
            <w:r>
              <w:rPr>
                <w:color w:val="auto"/>
                <w:spacing w:val="-33"/>
                <w:sz w:val="18"/>
                <w:szCs w:val="18"/>
                <w:lang w:eastAsia="zh-CN"/>
              </w:rPr>
              <w:t xml:space="preserve"> </w:t>
            </w:r>
            <w:r>
              <w:rPr>
                <w:color w:val="auto"/>
                <w:spacing w:val="-2"/>
                <w:sz w:val="18"/>
                <w:szCs w:val="18"/>
                <w:lang w:eastAsia="zh-CN"/>
              </w:rPr>
              <w:t>暂列金额（不包括计日工）</w:t>
            </w:r>
          </w:p>
        </w:tc>
        <w:tc>
          <w:tcPr>
            <w:tcW w:w="1077" w:type="dxa"/>
          </w:tcPr>
          <w:p w14:paraId="5CBDD4D5">
            <w:pPr>
              <w:pStyle w:val="260"/>
              <w:autoSpaceDE w:val="0"/>
              <w:autoSpaceDN w:val="0"/>
              <w:spacing w:before="47" w:line="199" w:lineRule="auto"/>
              <w:ind w:right="6"/>
              <w:jc w:val="right"/>
              <w:rPr>
                <w:color w:val="auto"/>
                <w:sz w:val="18"/>
                <w:szCs w:val="18"/>
                <w:lang w:eastAsia="zh-CN"/>
              </w:rPr>
            </w:pPr>
          </w:p>
        </w:tc>
        <w:tc>
          <w:tcPr>
            <w:tcW w:w="1286" w:type="dxa"/>
          </w:tcPr>
          <w:p w14:paraId="799AC911">
            <w:pPr>
              <w:autoSpaceDE w:val="0"/>
              <w:autoSpaceDN w:val="0"/>
              <w:rPr>
                <w:rFonts w:ascii="Arial"/>
                <w:sz w:val="21"/>
                <w:lang w:eastAsia="zh-CN"/>
              </w:rPr>
            </w:pPr>
          </w:p>
        </w:tc>
        <w:tc>
          <w:tcPr>
            <w:tcW w:w="1929" w:type="dxa"/>
          </w:tcPr>
          <w:p w14:paraId="42207B46">
            <w:pPr>
              <w:autoSpaceDE w:val="0"/>
              <w:autoSpaceDN w:val="0"/>
              <w:rPr>
                <w:rFonts w:ascii="Arial"/>
                <w:sz w:val="21"/>
                <w:lang w:eastAsia="zh-CN"/>
              </w:rPr>
            </w:pPr>
          </w:p>
        </w:tc>
        <w:tc>
          <w:tcPr>
            <w:tcW w:w="1174" w:type="dxa"/>
            <w:tcBorders>
              <w:right w:val="single" w:color="000000" w:sz="12" w:space="0"/>
            </w:tcBorders>
          </w:tcPr>
          <w:p w14:paraId="73260E0F">
            <w:pPr>
              <w:pStyle w:val="260"/>
              <w:autoSpaceDE w:val="0"/>
              <w:autoSpaceDN w:val="0"/>
              <w:spacing w:before="49" w:line="186" w:lineRule="auto"/>
              <w:ind w:left="699"/>
              <w:rPr>
                <w:color w:val="auto"/>
                <w:sz w:val="18"/>
                <w:szCs w:val="18"/>
              </w:rPr>
            </w:pPr>
            <w:r>
              <w:rPr>
                <w:color w:val="auto"/>
                <w:spacing w:val="6"/>
                <w:sz w:val="18"/>
                <w:szCs w:val="18"/>
              </w:rPr>
              <w:t>/</w:t>
            </w:r>
          </w:p>
        </w:tc>
      </w:tr>
      <w:tr w14:paraId="5322C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shd w:val="clear" w:color="auto" w:fill="auto"/>
          </w:tcPr>
          <w:p w14:paraId="24666ED5">
            <w:pPr>
              <w:pStyle w:val="260"/>
              <w:autoSpaceDE w:val="0"/>
              <w:autoSpaceDN w:val="0"/>
              <w:spacing w:before="57" w:line="192" w:lineRule="auto"/>
              <w:ind w:left="378"/>
              <w:rPr>
                <w:color w:val="auto"/>
                <w:sz w:val="18"/>
                <w:szCs w:val="18"/>
              </w:rPr>
            </w:pPr>
            <w:r>
              <w:rPr>
                <w:color w:val="auto"/>
                <w:spacing w:val="6"/>
                <w:sz w:val="18"/>
                <w:szCs w:val="18"/>
              </w:rPr>
              <w:t>3.2</w:t>
            </w:r>
          </w:p>
        </w:tc>
        <w:tc>
          <w:tcPr>
            <w:tcW w:w="3039" w:type="dxa"/>
            <w:shd w:val="clear" w:color="auto" w:fill="auto"/>
          </w:tcPr>
          <w:p w14:paraId="08B697C8">
            <w:pPr>
              <w:pStyle w:val="260"/>
              <w:autoSpaceDE w:val="0"/>
              <w:autoSpaceDN w:val="0"/>
              <w:spacing w:before="56" w:line="185" w:lineRule="auto"/>
              <w:ind w:left="33"/>
              <w:rPr>
                <w:color w:val="auto"/>
                <w:sz w:val="18"/>
                <w:szCs w:val="18"/>
                <w:lang w:eastAsia="zh-CN"/>
              </w:rPr>
            </w:pPr>
            <w:r>
              <w:rPr>
                <w:color w:val="auto"/>
                <w:spacing w:val="-1"/>
                <w:sz w:val="18"/>
                <w:szCs w:val="18"/>
                <w:lang w:eastAsia="zh-CN"/>
              </w:rPr>
              <w:t>其中：专业工程暂估价</w:t>
            </w:r>
          </w:p>
        </w:tc>
        <w:tc>
          <w:tcPr>
            <w:tcW w:w="1077" w:type="dxa"/>
          </w:tcPr>
          <w:p w14:paraId="5FE9822F">
            <w:pPr>
              <w:pStyle w:val="260"/>
              <w:autoSpaceDE w:val="0"/>
              <w:autoSpaceDN w:val="0"/>
              <w:spacing w:before="49" w:line="198" w:lineRule="auto"/>
              <w:ind w:right="6"/>
              <w:jc w:val="right"/>
              <w:rPr>
                <w:color w:val="auto"/>
                <w:sz w:val="18"/>
                <w:szCs w:val="18"/>
                <w:lang w:eastAsia="zh-CN"/>
              </w:rPr>
            </w:pPr>
          </w:p>
        </w:tc>
        <w:tc>
          <w:tcPr>
            <w:tcW w:w="1286" w:type="dxa"/>
          </w:tcPr>
          <w:p w14:paraId="1C343D90">
            <w:pPr>
              <w:autoSpaceDE w:val="0"/>
              <w:autoSpaceDN w:val="0"/>
              <w:rPr>
                <w:rFonts w:ascii="Arial"/>
                <w:sz w:val="21"/>
                <w:lang w:eastAsia="zh-CN"/>
              </w:rPr>
            </w:pPr>
          </w:p>
        </w:tc>
        <w:tc>
          <w:tcPr>
            <w:tcW w:w="1929" w:type="dxa"/>
          </w:tcPr>
          <w:p w14:paraId="1B2A73CA">
            <w:pPr>
              <w:autoSpaceDE w:val="0"/>
              <w:autoSpaceDN w:val="0"/>
              <w:rPr>
                <w:rFonts w:ascii="Arial"/>
                <w:sz w:val="21"/>
                <w:lang w:eastAsia="zh-CN"/>
              </w:rPr>
            </w:pPr>
          </w:p>
        </w:tc>
        <w:tc>
          <w:tcPr>
            <w:tcW w:w="1174" w:type="dxa"/>
            <w:tcBorders>
              <w:right w:val="single" w:color="000000" w:sz="12" w:space="0"/>
            </w:tcBorders>
          </w:tcPr>
          <w:p w14:paraId="46A8C1E2">
            <w:pPr>
              <w:pStyle w:val="260"/>
              <w:autoSpaceDE w:val="0"/>
              <w:autoSpaceDN w:val="0"/>
              <w:spacing w:before="50" w:line="186" w:lineRule="auto"/>
              <w:ind w:left="699"/>
              <w:rPr>
                <w:color w:val="auto"/>
                <w:sz w:val="18"/>
                <w:szCs w:val="18"/>
              </w:rPr>
            </w:pPr>
            <w:r>
              <w:rPr>
                <w:color w:val="auto"/>
                <w:spacing w:val="6"/>
                <w:sz w:val="18"/>
                <w:szCs w:val="18"/>
              </w:rPr>
              <w:t>/</w:t>
            </w:r>
          </w:p>
        </w:tc>
      </w:tr>
      <w:tr w14:paraId="0C82F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shd w:val="clear" w:color="auto" w:fill="auto"/>
          </w:tcPr>
          <w:p w14:paraId="7889C7A7">
            <w:pPr>
              <w:pStyle w:val="260"/>
              <w:autoSpaceDE w:val="0"/>
              <w:autoSpaceDN w:val="0"/>
              <w:spacing w:before="57" w:line="192" w:lineRule="auto"/>
              <w:ind w:left="378"/>
              <w:rPr>
                <w:color w:val="auto"/>
                <w:sz w:val="18"/>
                <w:szCs w:val="18"/>
              </w:rPr>
            </w:pPr>
            <w:r>
              <w:rPr>
                <w:color w:val="auto"/>
                <w:spacing w:val="6"/>
                <w:sz w:val="18"/>
                <w:szCs w:val="18"/>
              </w:rPr>
              <w:t>3.3</w:t>
            </w:r>
          </w:p>
        </w:tc>
        <w:tc>
          <w:tcPr>
            <w:tcW w:w="3039" w:type="dxa"/>
            <w:shd w:val="clear" w:color="auto" w:fill="auto"/>
          </w:tcPr>
          <w:p w14:paraId="58BD505F">
            <w:pPr>
              <w:pStyle w:val="260"/>
              <w:autoSpaceDE w:val="0"/>
              <w:autoSpaceDN w:val="0"/>
              <w:spacing w:before="57" w:line="185" w:lineRule="auto"/>
              <w:ind w:left="33"/>
              <w:rPr>
                <w:color w:val="auto"/>
                <w:sz w:val="18"/>
                <w:szCs w:val="18"/>
              </w:rPr>
            </w:pPr>
            <w:r>
              <w:rPr>
                <w:color w:val="auto"/>
                <w:spacing w:val="-2"/>
                <w:sz w:val="18"/>
                <w:szCs w:val="18"/>
              </w:rPr>
              <w:t>其中：计日工</w:t>
            </w:r>
          </w:p>
        </w:tc>
        <w:tc>
          <w:tcPr>
            <w:tcW w:w="1077" w:type="dxa"/>
          </w:tcPr>
          <w:p w14:paraId="71C12C58">
            <w:pPr>
              <w:pStyle w:val="260"/>
              <w:autoSpaceDE w:val="0"/>
              <w:autoSpaceDN w:val="0"/>
              <w:spacing w:before="50" w:line="197" w:lineRule="auto"/>
              <w:ind w:right="6"/>
              <w:jc w:val="right"/>
              <w:rPr>
                <w:color w:val="auto"/>
                <w:sz w:val="18"/>
                <w:szCs w:val="18"/>
              </w:rPr>
            </w:pPr>
          </w:p>
        </w:tc>
        <w:tc>
          <w:tcPr>
            <w:tcW w:w="1286" w:type="dxa"/>
          </w:tcPr>
          <w:p w14:paraId="1ACF1206">
            <w:pPr>
              <w:autoSpaceDE w:val="0"/>
              <w:autoSpaceDN w:val="0"/>
              <w:rPr>
                <w:rFonts w:ascii="Arial"/>
                <w:sz w:val="21"/>
              </w:rPr>
            </w:pPr>
          </w:p>
        </w:tc>
        <w:tc>
          <w:tcPr>
            <w:tcW w:w="1929" w:type="dxa"/>
          </w:tcPr>
          <w:p w14:paraId="14F332F2">
            <w:pPr>
              <w:pStyle w:val="260"/>
              <w:autoSpaceDE w:val="0"/>
              <w:autoSpaceDN w:val="0"/>
              <w:spacing w:before="50" w:line="197" w:lineRule="auto"/>
              <w:jc w:val="right"/>
              <w:rPr>
                <w:color w:val="auto"/>
                <w:sz w:val="18"/>
                <w:szCs w:val="18"/>
              </w:rPr>
            </w:pPr>
          </w:p>
        </w:tc>
        <w:tc>
          <w:tcPr>
            <w:tcW w:w="1174" w:type="dxa"/>
            <w:tcBorders>
              <w:right w:val="single" w:color="000000" w:sz="12" w:space="0"/>
            </w:tcBorders>
          </w:tcPr>
          <w:p w14:paraId="50F61B52">
            <w:pPr>
              <w:pStyle w:val="260"/>
              <w:autoSpaceDE w:val="0"/>
              <w:autoSpaceDN w:val="0"/>
              <w:spacing w:before="51" w:line="186" w:lineRule="auto"/>
              <w:ind w:left="699"/>
              <w:rPr>
                <w:color w:val="auto"/>
                <w:sz w:val="18"/>
                <w:szCs w:val="18"/>
              </w:rPr>
            </w:pPr>
            <w:r>
              <w:rPr>
                <w:color w:val="auto"/>
                <w:spacing w:val="6"/>
                <w:sz w:val="18"/>
                <w:szCs w:val="18"/>
              </w:rPr>
              <w:t>/</w:t>
            </w:r>
          </w:p>
        </w:tc>
      </w:tr>
      <w:tr w14:paraId="07616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shd w:val="clear" w:color="auto" w:fill="auto"/>
          </w:tcPr>
          <w:p w14:paraId="17101740">
            <w:pPr>
              <w:pStyle w:val="260"/>
              <w:autoSpaceDE w:val="0"/>
              <w:autoSpaceDN w:val="0"/>
              <w:spacing w:before="57" w:line="192" w:lineRule="auto"/>
              <w:ind w:left="378"/>
              <w:rPr>
                <w:color w:val="auto"/>
                <w:sz w:val="18"/>
                <w:szCs w:val="18"/>
              </w:rPr>
            </w:pPr>
            <w:r>
              <w:rPr>
                <w:color w:val="auto"/>
                <w:spacing w:val="6"/>
                <w:sz w:val="18"/>
                <w:szCs w:val="18"/>
              </w:rPr>
              <w:t>3.4</w:t>
            </w:r>
          </w:p>
        </w:tc>
        <w:tc>
          <w:tcPr>
            <w:tcW w:w="3039" w:type="dxa"/>
            <w:shd w:val="clear" w:color="auto" w:fill="auto"/>
          </w:tcPr>
          <w:p w14:paraId="5F58A221">
            <w:pPr>
              <w:pStyle w:val="260"/>
              <w:autoSpaceDE w:val="0"/>
              <w:autoSpaceDN w:val="0"/>
              <w:spacing w:before="57" w:line="184" w:lineRule="auto"/>
              <w:ind w:left="33"/>
              <w:rPr>
                <w:color w:val="auto"/>
                <w:sz w:val="18"/>
                <w:szCs w:val="18"/>
              </w:rPr>
            </w:pPr>
            <w:r>
              <w:rPr>
                <w:color w:val="auto"/>
                <w:spacing w:val="-2"/>
                <w:sz w:val="18"/>
                <w:szCs w:val="18"/>
              </w:rPr>
              <w:t>其中：总承包服务费</w:t>
            </w:r>
          </w:p>
        </w:tc>
        <w:tc>
          <w:tcPr>
            <w:tcW w:w="1077" w:type="dxa"/>
          </w:tcPr>
          <w:p w14:paraId="6650A873">
            <w:pPr>
              <w:pStyle w:val="260"/>
              <w:autoSpaceDE w:val="0"/>
              <w:autoSpaceDN w:val="0"/>
              <w:spacing w:before="51" w:line="196" w:lineRule="auto"/>
              <w:ind w:right="6"/>
              <w:jc w:val="right"/>
              <w:rPr>
                <w:color w:val="auto"/>
                <w:sz w:val="18"/>
                <w:szCs w:val="18"/>
              </w:rPr>
            </w:pPr>
          </w:p>
        </w:tc>
        <w:tc>
          <w:tcPr>
            <w:tcW w:w="1286" w:type="dxa"/>
          </w:tcPr>
          <w:p w14:paraId="3F5B2329">
            <w:pPr>
              <w:autoSpaceDE w:val="0"/>
              <w:autoSpaceDN w:val="0"/>
              <w:rPr>
                <w:rFonts w:ascii="Arial"/>
                <w:sz w:val="21"/>
              </w:rPr>
            </w:pPr>
          </w:p>
        </w:tc>
        <w:tc>
          <w:tcPr>
            <w:tcW w:w="1929" w:type="dxa"/>
          </w:tcPr>
          <w:p w14:paraId="2660BE81">
            <w:pPr>
              <w:autoSpaceDE w:val="0"/>
              <w:autoSpaceDN w:val="0"/>
              <w:rPr>
                <w:rFonts w:ascii="Arial"/>
                <w:sz w:val="21"/>
              </w:rPr>
            </w:pPr>
          </w:p>
        </w:tc>
        <w:tc>
          <w:tcPr>
            <w:tcW w:w="1174" w:type="dxa"/>
            <w:tcBorders>
              <w:right w:val="single" w:color="000000" w:sz="12" w:space="0"/>
            </w:tcBorders>
          </w:tcPr>
          <w:p w14:paraId="68790FD6">
            <w:pPr>
              <w:pStyle w:val="260"/>
              <w:autoSpaceDE w:val="0"/>
              <w:autoSpaceDN w:val="0"/>
              <w:spacing w:before="52" w:line="186" w:lineRule="auto"/>
              <w:ind w:left="699"/>
              <w:rPr>
                <w:color w:val="auto"/>
                <w:sz w:val="18"/>
                <w:szCs w:val="18"/>
              </w:rPr>
            </w:pPr>
            <w:r>
              <w:rPr>
                <w:color w:val="auto"/>
                <w:spacing w:val="6"/>
                <w:sz w:val="18"/>
                <w:szCs w:val="18"/>
              </w:rPr>
              <w:t>/</w:t>
            </w:r>
          </w:p>
        </w:tc>
      </w:tr>
      <w:tr w14:paraId="32CA0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shd w:val="clear" w:color="auto" w:fill="auto"/>
          </w:tcPr>
          <w:p w14:paraId="3FE04FFF">
            <w:pPr>
              <w:pStyle w:val="260"/>
              <w:autoSpaceDE w:val="0"/>
              <w:autoSpaceDN w:val="0"/>
              <w:spacing w:before="57" w:line="192" w:lineRule="auto"/>
              <w:ind w:left="378"/>
              <w:rPr>
                <w:color w:val="auto"/>
                <w:sz w:val="18"/>
                <w:szCs w:val="18"/>
              </w:rPr>
            </w:pPr>
            <w:r>
              <w:rPr>
                <w:color w:val="auto"/>
                <w:spacing w:val="6"/>
                <w:sz w:val="18"/>
                <w:szCs w:val="18"/>
              </w:rPr>
              <w:t>3.5</w:t>
            </w:r>
          </w:p>
        </w:tc>
        <w:tc>
          <w:tcPr>
            <w:tcW w:w="3039" w:type="dxa"/>
            <w:shd w:val="clear" w:color="auto" w:fill="auto"/>
          </w:tcPr>
          <w:p w14:paraId="1B69BF5B">
            <w:pPr>
              <w:pStyle w:val="260"/>
              <w:autoSpaceDE w:val="0"/>
              <w:autoSpaceDN w:val="0"/>
              <w:spacing w:before="57" w:line="184" w:lineRule="auto"/>
              <w:ind w:left="33"/>
              <w:rPr>
                <w:color w:val="auto"/>
                <w:sz w:val="18"/>
                <w:szCs w:val="18"/>
                <w:lang w:eastAsia="zh-CN"/>
              </w:rPr>
            </w:pPr>
            <w:r>
              <w:rPr>
                <w:color w:val="auto"/>
                <w:spacing w:val="-1"/>
                <w:sz w:val="18"/>
                <w:szCs w:val="18"/>
                <w:lang w:eastAsia="zh-CN"/>
              </w:rPr>
              <w:t>其中：合同中约定的其他项目</w:t>
            </w:r>
          </w:p>
        </w:tc>
        <w:tc>
          <w:tcPr>
            <w:tcW w:w="1077" w:type="dxa"/>
          </w:tcPr>
          <w:p w14:paraId="42DED81B">
            <w:pPr>
              <w:pStyle w:val="260"/>
              <w:autoSpaceDE w:val="0"/>
              <w:autoSpaceDN w:val="0"/>
              <w:spacing w:before="51" w:line="196" w:lineRule="auto"/>
              <w:ind w:right="6"/>
              <w:jc w:val="right"/>
              <w:rPr>
                <w:color w:val="auto"/>
                <w:sz w:val="18"/>
                <w:szCs w:val="18"/>
                <w:lang w:eastAsia="zh-CN"/>
              </w:rPr>
            </w:pPr>
          </w:p>
        </w:tc>
        <w:tc>
          <w:tcPr>
            <w:tcW w:w="1286" w:type="dxa"/>
          </w:tcPr>
          <w:p w14:paraId="7A1559AC">
            <w:pPr>
              <w:autoSpaceDE w:val="0"/>
              <w:autoSpaceDN w:val="0"/>
              <w:rPr>
                <w:rFonts w:ascii="Arial"/>
                <w:sz w:val="21"/>
                <w:lang w:eastAsia="zh-CN"/>
              </w:rPr>
            </w:pPr>
          </w:p>
        </w:tc>
        <w:tc>
          <w:tcPr>
            <w:tcW w:w="1929" w:type="dxa"/>
          </w:tcPr>
          <w:p w14:paraId="201E21D5">
            <w:pPr>
              <w:autoSpaceDE w:val="0"/>
              <w:autoSpaceDN w:val="0"/>
              <w:rPr>
                <w:rFonts w:ascii="Arial"/>
                <w:sz w:val="21"/>
                <w:lang w:eastAsia="zh-CN"/>
              </w:rPr>
            </w:pPr>
          </w:p>
        </w:tc>
        <w:tc>
          <w:tcPr>
            <w:tcW w:w="1174" w:type="dxa"/>
            <w:tcBorders>
              <w:right w:val="single" w:color="000000" w:sz="12" w:space="0"/>
            </w:tcBorders>
          </w:tcPr>
          <w:p w14:paraId="3F04B614">
            <w:pPr>
              <w:pStyle w:val="260"/>
              <w:autoSpaceDE w:val="0"/>
              <w:autoSpaceDN w:val="0"/>
              <w:spacing w:before="53" w:line="186" w:lineRule="auto"/>
              <w:ind w:left="699"/>
              <w:rPr>
                <w:color w:val="auto"/>
                <w:sz w:val="18"/>
                <w:szCs w:val="18"/>
              </w:rPr>
            </w:pPr>
            <w:r>
              <w:rPr>
                <w:color w:val="auto"/>
                <w:spacing w:val="6"/>
                <w:sz w:val="18"/>
                <w:szCs w:val="18"/>
              </w:rPr>
              <w:t>/</w:t>
            </w:r>
          </w:p>
        </w:tc>
      </w:tr>
      <w:tr w14:paraId="7696B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shd w:val="clear" w:color="auto" w:fill="auto"/>
          </w:tcPr>
          <w:p w14:paraId="0B2D608F">
            <w:pPr>
              <w:pStyle w:val="260"/>
              <w:autoSpaceDE w:val="0"/>
              <w:autoSpaceDN w:val="0"/>
              <w:spacing w:before="57" w:line="192" w:lineRule="auto"/>
              <w:ind w:left="463"/>
              <w:rPr>
                <w:color w:val="auto"/>
                <w:sz w:val="18"/>
                <w:szCs w:val="18"/>
              </w:rPr>
            </w:pPr>
            <w:r>
              <w:rPr>
                <w:color w:val="auto"/>
                <w:sz w:val="18"/>
                <w:szCs w:val="18"/>
              </w:rPr>
              <w:t>4</w:t>
            </w:r>
          </w:p>
        </w:tc>
        <w:tc>
          <w:tcPr>
            <w:tcW w:w="3039" w:type="dxa"/>
            <w:shd w:val="clear" w:color="auto" w:fill="auto"/>
          </w:tcPr>
          <w:p w14:paraId="66DE05D8">
            <w:pPr>
              <w:pStyle w:val="260"/>
              <w:autoSpaceDE w:val="0"/>
              <w:autoSpaceDN w:val="0"/>
              <w:spacing w:before="56" w:line="186" w:lineRule="auto"/>
              <w:ind w:left="33"/>
              <w:rPr>
                <w:color w:val="auto"/>
                <w:sz w:val="18"/>
                <w:szCs w:val="18"/>
              </w:rPr>
            </w:pPr>
            <w:r>
              <w:rPr>
                <w:color w:val="auto"/>
                <w:spacing w:val="-4"/>
                <w:sz w:val="18"/>
                <w:szCs w:val="18"/>
              </w:rPr>
              <w:t>增值税</w:t>
            </w:r>
          </w:p>
        </w:tc>
        <w:tc>
          <w:tcPr>
            <w:tcW w:w="1077" w:type="dxa"/>
          </w:tcPr>
          <w:p w14:paraId="6E931CA3">
            <w:pPr>
              <w:pStyle w:val="260"/>
              <w:autoSpaceDE w:val="0"/>
              <w:autoSpaceDN w:val="0"/>
              <w:spacing w:before="53" w:line="195" w:lineRule="auto"/>
              <w:ind w:right="6"/>
              <w:jc w:val="right"/>
              <w:rPr>
                <w:color w:val="auto"/>
                <w:sz w:val="18"/>
                <w:szCs w:val="18"/>
              </w:rPr>
            </w:pPr>
          </w:p>
        </w:tc>
        <w:tc>
          <w:tcPr>
            <w:tcW w:w="1286" w:type="dxa"/>
          </w:tcPr>
          <w:p w14:paraId="1CBE8C02">
            <w:pPr>
              <w:autoSpaceDE w:val="0"/>
              <w:autoSpaceDN w:val="0"/>
              <w:rPr>
                <w:rFonts w:ascii="Arial"/>
                <w:sz w:val="21"/>
              </w:rPr>
            </w:pPr>
          </w:p>
        </w:tc>
        <w:tc>
          <w:tcPr>
            <w:tcW w:w="1929" w:type="dxa"/>
          </w:tcPr>
          <w:p w14:paraId="550DE6B1">
            <w:pPr>
              <w:pStyle w:val="260"/>
              <w:autoSpaceDE w:val="0"/>
              <w:autoSpaceDN w:val="0"/>
              <w:spacing w:before="53" w:line="195" w:lineRule="auto"/>
              <w:jc w:val="right"/>
              <w:rPr>
                <w:color w:val="auto"/>
                <w:sz w:val="18"/>
                <w:szCs w:val="18"/>
              </w:rPr>
            </w:pPr>
          </w:p>
        </w:tc>
        <w:tc>
          <w:tcPr>
            <w:tcW w:w="1174" w:type="dxa"/>
            <w:tcBorders>
              <w:right w:val="single" w:color="000000" w:sz="12" w:space="0"/>
            </w:tcBorders>
          </w:tcPr>
          <w:p w14:paraId="1157F676">
            <w:pPr>
              <w:pStyle w:val="260"/>
              <w:autoSpaceDE w:val="0"/>
              <w:autoSpaceDN w:val="0"/>
              <w:spacing w:before="54" w:line="186" w:lineRule="auto"/>
              <w:ind w:left="699"/>
              <w:rPr>
                <w:color w:val="auto"/>
                <w:sz w:val="18"/>
                <w:szCs w:val="18"/>
              </w:rPr>
            </w:pPr>
            <w:r>
              <w:rPr>
                <w:color w:val="auto"/>
                <w:spacing w:val="6"/>
                <w:sz w:val="18"/>
                <w:szCs w:val="18"/>
              </w:rPr>
              <w:t>/</w:t>
            </w:r>
          </w:p>
        </w:tc>
      </w:tr>
      <w:tr w14:paraId="3E118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tcPr>
          <w:p w14:paraId="10130502">
            <w:pPr>
              <w:pStyle w:val="260"/>
              <w:autoSpaceDE w:val="0"/>
              <w:autoSpaceDN w:val="0"/>
              <w:spacing w:before="54" w:line="194" w:lineRule="auto"/>
              <w:ind w:left="376"/>
              <w:rPr>
                <w:color w:val="auto"/>
                <w:sz w:val="18"/>
                <w:szCs w:val="18"/>
              </w:rPr>
            </w:pPr>
          </w:p>
        </w:tc>
        <w:tc>
          <w:tcPr>
            <w:tcW w:w="3039" w:type="dxa"/>
          </w:tcPr>
          <w:p w14:paraId="44B3C8CF">
            <w:pPr>
              <w:pStyle w:val="260"/>
              <w:autoSpaceDE w:val="0"/>
              <w:autoSpaceDN w:val="0"/>
              <w:spacing w:before="54" w:line="185" w:lineRule="auto"/>
              <w:ind w:left="33"/>
              <w:rPr>
                <w:color w:val="auto"/>
                <w:sz w:val="18"/>
                <w:szCs w:val="18"/>
              </w:rPr>
            </w:pPr>
          </w:p>
        </w:tc>
        <w:tc>
          <w:tcPr>
            <w:tcW w:w="1077" w:type="dxa"/>
          </w:tcPr>
          <w:p w14:paraId="402B980C">
            <w:pPr>
              <w:pStyle w:val="260"/>
              <w:autoSpaceDE w:val="0"/>
              <w:autoSpaceDN w:val="0"/>
              <w:spacing w:before="54" w:line="194" w:lineRule="auto"/>
              <w:ind w:right="6"/>
              <w:jc w:val="right"/>
              <w:rPr>
                <w:color w:val="auto"/>
                <w:sz w:val="18"/>
                <w:szCs w:val="18"/>
              </w:rPr>
            </w:pPr>
          </w:p>
        </w:tc>
        <w:tc>
          <w:tcPr>
            <w:tcW w:w="1286" w:type="dxa"/>
          </w:tcPr>
          <w:p w14:paraId="6374DEF2">
            <w:pPr>
              <w:autoSpaceDE w:val="0"/>
              <w:autoSpaceDN w:val="0"/>
              <w:rPr>
                <w:rFonts w:ascii="Arial"/>
                <w:sz w:val="21"/>
              </w:rPr>
            </w:pPr>
          </w:p>
        </w:tc>
        <w:tc>
          <w:tcPr>
            <w:tcW w:w="1929" w:type="dxa"/>
          </w:tcPr>
          <w:p w14:paraId="1599DAE9">
            <w:pPr>
              <w:autoSpaceDE w:val="0"/>
              <w:autoSpaceDN w:val="0"/>
              <w:rPr>
                <w:rFonts w:ascii="Arial"/>
                <w:sz w:val="21"/>
              </w:rPr>
            </w:pPr>
          </w:p>
        </w:tc>
        <w:tc>
          <w:tcPr>
            <w:tcW w:w="1174" w:type="dxa"/>
            <w:tcBorders>
              <w:right w:val="single" w:color="000000" w:sz="12" w:space="0"/>
            </w:tcBorders>
          </w:tcPr>
          <w:p w14:paraId="4A6FCCD3">
            <w:pPr>
              <w:pStyle w:val="260"/>
              <w:autoSpaceDE w:val="0"/>
              <w:autoSpaceDN w:val="0"/>
              <w:spacing w:before="55" w:line="186" w:lineRule="auto"/>
              <w:ind w:left="699"/>
              <w:rPr>
                <w:color w:val="auto"/>
                <w:sz w:val="18"/>
                <w:szCs w:val="18"/>
              </w:rPr>
            </w:pPr>
            <w:r>
              <w:rPr>
                <w:color w:val="auto"/>
                <w:spacing w:val="6"/>
                <w:sz w:val="18"/>
                <w:szCs w:val="18"/>
              </w:rPr>
              <w:t>/</w:t>
            </w:r>
          </w:p>
        </w:tc>
      </w:tr>
      <w:tr w14:paraId="01C65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tcPr>
          <w:p w14:paraId="424CA506">
            <w:pPr>
              <w:pStyle w:val="260"/>
              <w:autoSpaceDE w:val="0"/>
              <w:autoSpaceDN w:val="0"/>
              <w:spacing w:before="55" w:line="193" w:lineRule="auto"/>
              <w:ind w:left="376"/>
              <w:rPr>
                <w:color w:val="auto"/>
                <w:sz w:val="18"/>
                <w:szCs w:val="18"/>
              </w:rPr>
            </w:pPr>
          </w:p>
        </w:tc>
        <w:tc>
          <w:tcPr>
            <w:tcW w:w="3039" w:type="dxa"/>
          </w:tcPr>
          <w:p w14:paraId="1163BB49">
            <w:pPr>
              <w:pStyle w:val="260"/>
              <w:autoSpaceDE w:val="0"/>
              <w:autoSpaceDN w:val="0"/>
              <w:spacing w:before="55" w:line="185" w:lineRule="auto"/>
              <w:ind w:left="33"/>
              <w:rPr>
                <w:color w:val="auto"/>
                <w:sz w:val="18"/>
                <w:szCs w:val="18"/>
              </w:rPr>
            </w:pPr>
          </w:p>
        </w:tc>
        <w:tc>
          <w:tcPr>
            <w:tcW w:w="1077" w:type="dxa"/>
          </w:tcPr>
          <w:p w14:paraId="3A14ACC5">
            <w:pPr>
              <w:pStyle w:val="260"/>
              <w:autoSpaceDE w:val="0"/>
              <w:autoSpaceDN w:val="0"/>
              <w:spacing w:before="55" w:line="193" w:lineRule="auto"/>
              <w:ind w:right="6"/>
              <w:jc w:val="right"/>
              <w:rPr>
                <w:color w:val="auto"/>
                <w:sz w:val="18"/>
                <w:szCs w:val="18"/>
              </w:rPr>
            </w:pPr>
          </w:p>
        </w:tc>
        <w:tc>
          <w:tcPr>
            <w:tcW w:w="1286" w:type="dxa"/>
          </w:tcPr>
          <w:p w14:paraId="4634E5D2">
            <w:pPr>
              <w:autoSpaceDE w:val="0"/>
              <w:autoSpaceDN w:val="0"/>
              <w:rPr>
                <w:rFonts w:ascii="Arial"/>
                <w:sz w:val="21"/>
              </w:rPr>
            </w:pPr>
          </w:p>
        </w:tc>
        <w:tc>
          <w:tcPr>
            <w:tcW w:w="1929" w:type="dxa"/>
          </w:tcPr>
          <w:p w14:paraId="76618479">
            <w:pPr>
              <w:pStyle w:val="260"/>
              <w:autoSpaceDE w:val="0"/>
              <w:autoSpaceDN w:val="0"/>
              <w:spacing w:before="55" w:line="193" w:lineRule="auto"/>
              <w:jc w:val="right"/>
              <w:rPr>
                <w:color w:val="auto"/>
                <w:sz w:val="18"/>
                <w:szCs w:val="18"/>
              </w:rPr>
            </w:pPr>
          </w:p>
        </w:tc>
        <w:tc>
          <w:tcPr>
            <w:tcW w:w="1174" w:type="dxa"/>
            <w:tcBorders>
              <w:right w:val="single" w:color="000000" w:sz="12" w:space="0"/>
            </w:tcBorders>
          </w:tcPr>
          <w:p w14:paraId="16241856">
            <w:pPr>
              <w:pStyle w:val="260"/>
              <w:autoSpaceDE w:val="0"/>
              <w:autoSpaceDN w:val="0"/>
              <w:spacing w:before="56" w:line="186" w:lineRule="auto"/>
              <w:ind w:left="699"/>
              <w:rPr>
                <w:color w:val="auto"/>
                <w:sz w:val="18"/>
                <w:szCs w:val="18"/>
              </w:rPr>
            </w:pPr>
            <w:r>
              <w:rPr>
                <w:color w:val="auto"/>
                <w:spacing w:val="6"/>
                <w:sz w:val="18"/>
                <w:szCs w:val="18"/>
              </w:rPr>
              <w:t>/</w:t>
            </w:r>
          </w:p>
        </w:tc>
      </w:tr>
      <w:tr w14:paraId="2E189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tcPr>
          <w:p w14:paraId="301736E5">
            <w:pPr>
              <w:pStyle w:val="260"/>
              <w:autoSpaceDE w:val="0"/>
              <w:autoSpaceDN w:val="0"/>
              <w:spacing w:before="56" w:line="192" w:lineRule="auto"/>
              <w:ind w:left="468"/>
              <w:rPr>
                <w:color w:val="auto"/>
                <w:sz w:val="18"/>
                <w:szCs w:val="18"/>
              </w:rPr>
            </w:pPr>
          </w:p>
        </w:tc>
        <w:tc>
          <w:tcPr>
            <w:tcW w:w="3039" w:type="dxa"/>
          </w:tcPr>
          <w:p w14:paraId="05A1C84A">
            <w:pPr>
              <w:pStyle w:val="260"/>
              <w:autoSpaceDE w:val="0"/>
              <w:autoSpaceDN w:val="0"/>
              <w:spacing w:before="56" w:line="184" w:lineRule="auto"/>
              <w:ind w:left="33"/>
              <w:rPr>
                <w:color w:val="auto"/>
                <w:sz w:val="18"/>
                <w:szCs w:val="18"/>
              </w:rPr>
            </w:pPr>
          </w:p>
        </w:tc>
        <w:tc>
          <w:tcPr>
            <w:tcW w:w="1077" w:type="dxa"/>
          </w:tcPr>
          <w:p w14:paraId="2A8D61E0">
            <w:pPr>
              <w:autoSpaceDE w:val="0"/>
              <w:autoSpaceDN w:val="0"/>
              <w:rPr>
                <w:rFonts w:ascii="Arial"/>
                <w:sz w:val="21"/>
              </w:rPr>
            </w:pPr>
          </w:p>
        </w:tc>
        <w:tc>
          <w:tcPr>
            <w:tcW w:w="1286" w:type="dxa"/>
          </w:tcPr>
          <w:p w14:paraId="0CF0A18D">
            <w:pPr>
              <w:autoSpaceDE w:val="0"/>
              <w:autoSpaceDN w:val="0"/>
              <w:rPr>
                <w:rFonts w:ascii="Arial"/>
                <w:sz w:val="21"/>
              </w:rPr>
            </w:pPr>
          </w:p>
        </w:tc>
        <w:tc>
          <w:tcPr>
            <w:tcW w:w="1929" w:type="dxa"/>
          </w:tcPr>
          <w:p w14:paraId="0672432B">
            <w:pPr>
              <w:autoSpaceDE w:val="0"/>
              <w:autoSpaceDN w:val="0"/>
              <w:rPr>
                <w:rFonts w:ascii="Arial"/>
                <w:sz w:val="21"/>
              </w:rPr>
            </w:pPr>
          </w:p>
        </w:tc>
        <w:tc>
          <w:tcPr>
            <w:tcW w:w="1174" w:type="dxa"/>
            <w:tcBorders>
              <w:right w:val="single" w:color="000000" w:sz="12" w:space="0"/>
            </w:tcBorders>
          </w:tcPr>
          <w:p w14:paraId="68876AC9">
            <w:pPr>
              <w:pStyle w:val="260"/>
              <w:autoSpaceDE w:val="0"/>
              <w:autoSpaceDN w:val="0"/>
              <w:spacing w:before="57" w:line="186" w:lineRule="auto"/>
              <w:ind w:left="699"/>
              <w:rPr>
                <w:color w:val="auto"/>
                <w:sz w:val="18"/>
                <w:szCs w:val="18"/>
              </w:rPr>
            </w:pPr>
            <w:r>
              <w:rPr>
                <w:color w:val="auto"/>
                <w:spacing w:val="6"/>
                <w:sz w:val="18"/>
                <w:szCs w:val="18"/>
              </w:rPr>
              <w:t>/</w:t>
            </w:r>
          </w:p>
        </w:tc>
      </w:tr>
      <w:tr w14:paraId="1D3D9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134" w:type="dxa"/>
            <w:tcBorders>
              <w:left w:val="single" w:color="000000" w:sz="12" w:space="0"/>
            </w:tcBorders>
          </w:tcPr>
          <w:p w14:paraId="00F0E4C4">
            <w:pPr>
              <w:pStyle w:val="260"/>
              <w:autoSpaceDE w:val="0"/>
              <w:autoSpaceDN w:val="0"/>
              <w:spacing w:before="57" w:line="192" w:lineRule="auto"/>
              <w:ind w:left="378"/>
              <w:rPr>
                <w:color w:val="auto"/>
                <w:sz w:val="18"/>
                <w:szCs w:val="18"/>
              </w:rPr>
            </w:pPr>
          </w:p>
        </w:tc>
        <w:tc>
          <w:tcPr>
            <w:tcW w:w="3039" w:type="dxa"/>
          </w:tcPr>
          <w:p w14:paraId="3484D140">
            <w:pPr>
              <w:pStyle w:val="260"/>
              <w:autoSpaceDE w:val="0"/>
              <w:autoSpaceDN w:val="0"/>
              <w:spacing w:before="57" w:line="180" w:lineRule="auto"/>
              <w:ind w:left="33"/>
              <w:rPr>
                <w:color w:val="auto"/>
                <w:sz w:val="18"/>
                <w:szCs w:val="18"/>
              </w:rPr>
            </w:pPr>
          </w:p>
        </w:tc>
        <w:tc>
          <w:tcPr>
            <w:tcW w:w="1077" w:type="dxa"/>
          </w:tcPr>
          <w:p w14:paraId="665C57DE">
            <w:pPr>
              <w:autoSpaceDE w:val="0"/>
              <w:autoSpaceDN w:val="0"/>
              <w:rPr>
                <w:rFonts w:ascii="Arial"/>
                <w:sz w:val="21"/>
              </w:rPr>
            </w:pPr>
          </w:p>
        </w:tc>
        <w:tc>
          <w:tcPr>
            <w:tcW w:w="1286" w:type="dxa"/>
          </w:tcPr>
          <w:p w14:paraId="7FA3E042">
            <w:pPr>
              <w:autoSpaceDE w:val="0"/>
              <w:autoSpaceDN w:val="0"/>
              <w:rPr>
                <w:rFonts w:ascii="Arial"/>
                <w:sz w:val="21"/>
              </w:rPr>
            </w:pPr>
          </w:p>
        </w:tc>
        <w:tc>
          <w:tcPr>
            <w:tcW w:w="1929" w:type="dxa"/>
          </w:tcPr>
          <w:p w14:paraId="4CDF4F31">
            <w:pPr>
              <w:autoSpaceDE w:val="0"/>
              <w:autoSpaceDN w:val="0"/>
              <w:rPr>
                <w:rFonts w:ascii="Arial"/>
                <w:sz w:val="21"/>
              </w:rPr>
            </w:pPr>
          </w:p>
        </w:tc>
        <w:tc>
          <w:tcPr>
            <w:tcW w:w="1174" w:type="dxa"/>
            <w:tcBorders>
              <w:right w:val="single" w:color="000000" w:sz="12" w:space="0"/>
            </w:tcBorders>
          </w:tcPr>
          <w:p w14:paraId="2DEDF786">
            <w:pPr>
              <w:pStyle w:val="260"/>
              <w:autoSpaceDE w:val="0"/>
              <w:autoSpaceDN w:val="0"/>
              <w:spacing w:before="58" w:line="186" w:lineRule="auto"/>
              <w:ind w:left="699"/>
              <w:rPr>
                <w:color w:val="auto"/>
                <w:sz w:val="18"/>
                <w:szCs w:val="18"/>
              </w:rPr>
            </w:pPr>
            <w:r>
              <w:rPr>
                <w:color w:val="auto"/>
                <w:spacing w:val="6"/>
                <w:sz w:val="18"/>
                <w:szCs w:val="18"/>
              </w:rPr>
              <w:t>/</w:t>
            </w:r>
          </w:p>
        </w:tc>
      </w:tr>
      <w:tr w14:paraId="61547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134" w:type="dxa"/>
            <w:tcBorders>
              <w:left w:val="single" w:color="000000" w:sz="12" w:space="0"/>
            </w:tcBorders>
          </w:tcPr>
          <w:p w14:paraId="5F166216">
            <w:pPr>
              <w:pStyle w:val="260"/>
              <w:autoSpaceDE w:val="0"/>
              <w:autoSpaceDN w:val="0"/>
              <w:spacing w:before="57" w:line="192" w:lineRule="auto"/>
              <w:ind w:left="378"/>
              <w:rPr>
                <w:color w:val="auto"/>
                <w:sz w:val="18"/>
                <w:szCs w:val="18"/>
              </w:rPr>
            </w:pPr>
          </w:p>
        </w:tc>
        <w:tc>
          <w:tcPr>
            <w:tcW w:w="3039" w:type="dxa"/>
          </w:tcPr>
          <w:p w14:paraId="78BDC5E6">
            <w:pPr>
              <w:pStyle w:val="260"/>
              <w:autoSpaceDE w:val="0"/>
              <w:autoSpaceDN w:val="0"/>
              <w:spacing w:before="56" w:line="185" w:lineRule="auto"/>
              <w:ind w:left="33"/>
              <w:rPr>
                <w:color w:val="auto"/>
                <w:sz w:val="18"/>
                <w:szCs w:val="18"/>
              </w:rPr>
            </w:pPr>
          </w:p>
        </w:tc>
        <w:tc>
          <w:tcPr>
            <w:tcW w:w="1077" w:type="dxa"/>
          </w:tcPr>
          <w:p w14:paraId="235DF594">
            <w:pPr>
              <w:autoSpaceDE w:val="0"/>
              <w:autoSpaceDN w:val="0"/>
              <w:rPr>
                <w:rFonts w:ascii="Arial"/>
                <w:sz w:val="21"/>
              </w:rPr>
            </w:pPr>
          </w:p>
        </w:tc>
        <w:tc>
          <w:tcPr>
            <w:tcW w:w="1286" w:type="dxa"/>
          </w:tcPr>
          <w:p w14:paraId="66A2ED54">
            <w:pPr>
              <w:autoSpaceDE w:val="0"/>
              <w:autoSpaceDN w:val="0"/>
              <w:rPr>
                <w:rFonts w:ascii="Arial"/>
                <w:sz w:val="21"/>
              </w:rPr>
            </w:pPr>
          </w:p>
        </w:tc>
        <w:tc>
          <w:tcPr>
            <w:tcW w:w="1929" w:type="dxa"/>
          </w:tcPr>
          <w:p w14:paraId="1377A30F">
            <w:pPr>
              <w:autoSpaceDE w:val="0"/>
              <w:autoSpaceDN w:val="0"/>
              <w:rPr>
                <w:rFonts w:ascii="Arial"/>
                <w:sz w:val="21"/>
              </w:rPr>
            </w:pPr>
          </w:p>
        </w:tc>
        <w:tc>
          <w:tcPr>
            <w:tcW w:w="1174" w:type="dxa"/>
            <w:tcBorders>
              <w:right w:val="single" w:color="000000" w:sz="12" w:space="0"/>
            </w:tcBorders>
          </w:tcPr>
          <w:p w14:paraId="6FB72D5E">
            <w:pPr>
              <w:pStyle w:val="260"/>
              <w:autoSpaceDE w:val="0"/>
              <w:autoSpaceDN w:val="0"/>
              <w:spacing w:before="58" w:line="186" w:lineRule="auto"/>
              <w:ind w:left="699"/>
              <w:rPr>
                <w:color w:val="auto"/>
                <w:sz w:val="18"/>
                <w:szCs w:val="18"/>
              </w:rPr>
            </w:pPr>
            <w:r>
              <w:rPr>
                <w:color w:val="auto"/>
                <w:spacing w:val="6"/>
                <w:sz w:val="18"/>
                <w:szCs w:val="18"/>
              </w:rPr>
              <w:t>/</w:t>
            </w:r>
          </w:p>
        </w:tc>
      </w:tr>
      <w:tr w14:paraId="3AF64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34" w:type="dxa"/>
            <w:tcBorders>
              <w:left w:val="single" w:color="000000" w:sz="12" w:space="0"/>
            </w:tcBorders>
          </w:tcPr>
          <w:p w14:paraId="001277EE">
            <w:pPr>
              <w:autoSpaceDE w:val="0"/>
              <w:autoSpaceDN w:val="0"/>
              <w:rPr>
                <w:rFonts w:ascii="Arial"/>
                <w:sz w:val="21"/>
              </w:rPr>
            </w:pPr>
          </w:p>
        </w:tc>
        <w:tc>
          <w:tcPr>
            <w:tcW w:w="3039" w:type="dxa"/>
          </w:tcPr>
          <w:p w14:paraId="5F8F9E8E">
            <w:pPr>
              <w:autoSpaceDE w:val="0"/>
              <w:autoSpaceDN w:val="0"/>
              <w:rPr>
                <w:rFonts w:ascii="Arial"/>
                <w:sz w:val="21"/>
              </w:rPr>
            </w:pPr>
          </w:p>
        </w:tc>
        <w:tc>
          <w:tcPr>
            <w:tcW w:w="1077" w:type="dxa"/>
          </w:tcPr>
          <w:p w14:paraId="23C2972A">
            <w:pPr>
              <w:autoSpaceDE w:val="0"/>
              <w:autoSpaceDN w:val="0"/>
              <w:rPr>
                <w:rFonts w:ascii="Arial"/>
                <w:sz w:val="21"/>
              </w:rPr>
            </w:pPr>
          </w:p>
        </w:tc>
        <w:tc>
          <w:tcPr>
            <w:tcW w:w="1286" w:type="dxa"/>
          </w:tcPr>
          <w:p w14:paraId="7B2DE4BF">
            <w:pPr>
              <w:autoSpaceDE w:val="0"/>
              <w:autoSpaceDN w:val="0"/>
              <w:rPr>
                <w:rFonts w:ascii="Arial"/>
                <w:sz w:val="21"/>
              </w:rPr>
            </w:pPr>
          </w:p>
        </w:tc>
        <w:tc>
          <w:tcPr>
            <w:tcW w:w="1929" w:type="dxa"/>
          </w:tcPr>
          <w:p w14:paraId="2AAD5FF6">
            <w:pPr>
              <w:autoSpaceDE w:val="0"/>
              <w:autoSpaceDN w:val="0"/>
              <w:rPr>
                <w:rFonts w:ascii="Arial"/>
                <w:sz w:val="21"/>
              </w:rPr>
            </w:pPr>
          </w:p>
        </w:tc>
        <w:tc>
          <w:tcPr>
            <w:tcW w:w="1174" w:type="dxa"/>
            <w:tcBorders>
              <w:right w:val="single" w:color="000000" w:sz="12" w:space="0"/>
            </w:tcBorders>
          </w:tcPr>
          <w:p w14:paraId="58471B7C">
            <w:pPr>
              <w:autoSpaceDE w:val="0"/>
              <w:autoSpaceDN w:val="0"/>
              <w:rPr>
                <w:rFonts w:ascii="Arial"/>
                <w:sz w:val="21"/>
              </w:rPr>
            </w:pPr>
          </w:p>
        </w:tc>
      </w:tr>
      <w:tr w14:paraId="73235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173" w:type="dxa"/>
            <w:gridSpan w:val="2"/>
            <w:tcBorders>
              <w:left w:val="single" w:color="000000" w:sz="12" w:space="0"/>
              <w:bottom w:val="single" w:color="000000" w:sz="12" w:space="0"/>
            </w:tcBorders>
          </w:tcPr>
          <w:p w14:paraId="157FCA51">
            <w:pPr>
              <w:pStyle w:val="260"/>
              <w:autoSpaceDE w:val="0"/>
              <w:autoSpaceDN w:val="0"/>
              <w:spacing w:before="100" w:line="185" w:lineRule="auto"/>
              <w:ind w:left="1965"/>
              <w:rPr>
                <w:color w:val="auto"/>
                <w:sz w:val="18"/>
                <w:szCs w:val="18"/>
              </w:rPr>
            </w:pPr>
            <w:r>
              <w:rPr>
                <w:color w:val="auto"/>
                <w:spacing w:val="-5"/>
                <w:sz w:val="18"/>
                <w:szCs w:val="18"/>
              </w:rPr>
              <w:t>合</w:t>
            </w:r>
            <w:r>
              <w:rPr>
                <w:color w:val="auto"/>
                <w:spacing w:val="9"/>
                <w:sz w:val="18"/>
                <w:szCs w:val="18"/>
              </w:rPr>
              <w:t xml:space="preserve">   </w:t>
            </w:r>
            <w:r>
              <w:rPr>
                <w:color w:val="auto"/>
                <w:spacing w:val="-5"/>
                <w:sz w:val="18"/>
                <w:szCs w:val="18"/>
              </w:rPr>
              <w:t>计</w:t>
            </w:r>
          </w:p>
        </w:tc>
        <w:tc>
          <w:tcPr>
            <w:tcW w:w="1077" w:type="dxa"/>
            <w:tcBorders>
              <w:bottom w:val="single" w:color="000000" w:sz="12" w:space="0"/>
            </w:tcBorders>
          </w:tcPr>
          <w:p w14:paraId="62815380">
            <w:pPr>
              <w:pStyle w:val="260"/>
              <w:autoSpaceDE w:val="0"/>
              <w:autoSpaceDN w:val="0"/>
              <w:spacing w:before="100" w:line="202" w:lineRule="auto"/>
              <w:ind w:right="6"/>
              <w:jc w:val="right"/>
              <w:rPr>
                <w:color w:val="auto"/>
                <w:sz w:val="18"/>
                <w:szCs w:val="18"/>
              </w:rPr>
            </w:pPr>
          </w:p>
        </w:tc>
        <w:tc>
          <w:tcPr>
            <w:tcW w:w="1286" w:type="dxa"/>
            <w:tcBorders>
              <w:bottom w:val="single" w:color="000000" w:sz="12" w:space="0"/>
            </w:tcBorders>
          </w:tcPr>
          <w:p w14:paraId="166D39AF">
            <w:pPr>
              <w:autoSpaceDE w:val="0"/>
              <w:autoSpaceDN w:val="0"/>
              <w:rPr>
                <w:rFonts w:ascii="Arial"/>
                <w:sz w:val="21"/>
              </w:rPr>
            </w:pPr>
          </w:p>
        </w:tc>
        <w:tc>
          <w:tcPr>
            <w:tcW w:w="1929" w:type="dxa"/>
            <w:tcBorders>
              <w:bottom w:val="single" w:color="000000" w:sz="12" w:space="0"/>
            </w:tcBorders>
          </w:tcPr>
          <w:p w14:paraId="774A9C6D">
            <w:pPr>
              <w:pStyle w:val="260"/>
              <w:autoSpaceDE w:val="0"/>
              <w:autoSpaceDN w:val="0"/>
              <w:spacing w:before="100" w:line="202" w:lineRule="auto"/>
              <w:jc w:val="right"/>
              <w:rPr>
                <w:color w:val="auto"/>
                <w:sz w:val="18"/>
                <w:szCs w:val="18"/>
              </w:rPr>
            </w:pPr>
          </w:p>
        </w:tc>
        <w:tc>
          <w:tcPr>
            <w:tcW w:w="1174" w:type="dxa"/>
            <w:tcBorders>
              <w:bottom w:val="single" w:color="000000" w:sz="12" w:space="0"/>
              <w:right w:val="single" w:color="000000" w:sz="12" w:space="0"/>
            </w:tcBorders>
          </w:tcPr>
          <w:p w14:paraId="04600819">
            <w:pPr>
              <w:pStyle w:val="260"/>
              <w:autoSpaceDE w:val="0"/>
              <w:autoSpaceDN w:val="0"/>
              <w:spacing w:before="100" w:line="202" w:lineRule="auto"/>
              <w:jc w:val="right"/>
              <w:rPr>
                <w:color w:val="auto"/>
                <w:sz w:val="18"/>
                <w:szCs w:val="18"/>
              </w:rPr>
            </w:pPr>
          </w:p>
        </w:tc>
      </w:tr>
    </w:tbl>
    <w:p w14:paraId="2E9AEE85">
      <w:pPr>
        <w:spacing w:before="220" w:line="180" w:lineRule="exact"/>
        <w:ind w:left="37"/>
        <w:rPr>
          <w:rFonts w:ascii="微软雅黑" w:hAnsi="微软雅黑" w:eastAsia="微软雅黑" w:cs="微软雅黑"/>
          <w:sz w:val="18"/>
          <w:szCs w:val="18"/>
          <w:lang w:eastAsia="zh-CN"/>
        </w:rPr>
      </w:pPr>
      <w:r>
        <w:rPr>
          <w:rFonts w:ascii="微软雅黑" w:hAnsi="微软雅黑" w:eastAsia="微软雅黑" w:cs="微软雅黑"/>
          <w:spacing w:val="-1"/>
          <w:position w:val="-1"/>
          <w:sz w:val="18"/>
          <w:szCs w:val="18"/>
          <w:lang w:eastAsia="zh-CN"/>
        </w:rPr>
        <w:t>注</w:t>
      </w:r>
      <w:r>
        <w:rPr>
          <w:rFonts w:ascii="微软雅黑" w:hAnsi="微软雅黑" w:eastAsia="微软雅黑" w:cs="微软雅黑"/>
          <w:spacing w:val="-18"/>
          <w:position w:val="-1"/>
          <w:sz w:val="18"/>
          <w:szCs w:val="18"/>
          <w:lang w:eastAsia="zh-CN"/>
        </w:rPr>
        <w:t xml:space="preserve"> </w:t>
      </w:r>
      <w:r>
        <w:rPr>
          <w:rFonts w:ascii="微软雅黑" w:hAnsi="微软雅黑" w:eastAsia="微软雅黑" w:cs="微软雅黑"/>
          <w:spacing w:val="-1"/>
          <w:position w:val="-1"/>
          <w:sz w:val="18"/>
          <w:szCs w:val="18"/>
          <w:lang w:eastAsia="zh-CN"/>
        </w:rPr>
        <w:t>:1</w:t>
      </w:r>
      <w:r>
        <w:rPr>
          <w:rFonts w:ascii="微软雅黑" w:hAnsi="微软雅黑" w:eastAsia="微软雅黑" w:cs="微软雅黑"/>
          <w:spacing w:val="45"/>
          <w:w w:val="101"/>
          <w:position w:val="-1"/>
          <w:sz w:val="18"/>
          <w:szCs w:val="18"/>
          <w:lang w:eastAsia="zh-CN"/>
        </w:rPr>
        <w:t xml:space="preserve"> </w:t>
      </w:r>
      <w:r>
        <w:rPr>
          <w:rFonts w:ascii="微软雅黑" w:hAnsi="微软雅黑" w:eastAsia="微软雅黑" w:cs="微软雅黑"/>
          <w:spacing w:val="-1"/>
          <w:position w:val="-1"/>
          <w:sz w:val="18"/>
          <w:szCs w:val="18"/>
          <w:lang w:eastAsia="zh-CN"/>
        </w:rPr>
        <w:t>专业工程暂估价为已含税价格</w:t>
      </w:r>
      <w:r>
        <w:rPr>
          <w:rFonts w:ascii="微软雅黑" w:hAnsi="微软雅黑" w:eastAsia="微软雅黑" w:cs="微软雅黑"/>
          <w:spacing w:val="-30"/>
          <w:position w:val="-1"/>
          <w:sz w:val="18"/>
          <w:szCs w:val="18"/>
          <w:lang w:eastAsia="zh-CN"/>
        </w:rPr>
        <w:t xml:space="preserve"> </w:t>
      </w:r>
      <w:r>
        <w:rPr>
          <w:rFonts w:ascii="微软雅黑" w:hAnsi="微软雅黑" w:eastAsia="微软雅黑" w:cs="微软雅黑"/>
          <w:spacing w:val="-1"/>
          <w:position w:val="-1"/>
          <w:sz w:val="18"/>
          <w:szCs w:val="18"/>
          <w:lang w:eastAsia="zh-CN"/>
        </w:rPr>
        <w:t>，在计算增值税计算基础时不应包含专业工程暂估</w:t>
      </w:r>
      <w:r>
        <w:rPr>
          <w:rFonts w:ascii="微软雅黑" w:hAnsi="微软雅黑" w:eastAsia="微软雅黑" w:cs="微软雅黑"/>
          <w:spacing w:val="-2"/>
          <w:position w:val="-1"/>
          <w:sz w:val="18"/>
          <w:szCs w:val="18"/>
          <w:lang w:eastAsia="zh-CN"/>
        </w:rPr>
        <w:t>价金额；</w:t>
      </w:r>
    </w:p>
    <w:p w14:paraId="08BD27AE">
      <w:pPr>
        <w:spacing w:before="1" w:line="183" w:lineRule="auto"/>
        <w:ind w:left="309"/>
        <w:rPr>
          <w:rFonts w:ascii="微软雅黑" w:hAnsi="微软雅黑" w:eastAsia="微软雅黑" w:cs="微软雅黑"/>
          <w:sz w:val="18"/>
          <w:szCs w:val="18"/>
          <w:lang w:eastAsia="zh-CN"/>
        </w:rPr>
      </w:pPr>
      <w:r>
        <w:rPr>
          <w:rFonts w:ascii="微软雅黑" w:hAnsi="微软雅黑" w:eastAsia="微软雅黑" w:cs="微软雅黑"/>
          <w:spacing w:val="-1"/>
          <w:sz w:val="18"/>
          <w:szCs w:val="18"/>
          <w:lang w:eastAsia="zh-CN"/>
        </w:rPr>
        <w:t>2</w:t>
      </w:r>
      <w:r>
        <w:rPr>
          <w:rFonts w:ascii="微软雅黑" w:hAnsi="微软雅黑" w:eastAsia="微软雅黑" w:cs="微软雅黑"/>
          <w:spacing w:val="45"/>
          <w:sz w:val="18"/>
          <w:szCs w:val="18"/>
          <w:lang w:eastAsia="zh-CN"/>
        </w:rPr>
        <w:t xml:space="preserve"> </w:t>
      </w:r>
      <w:r>
        <w:rPr>
          <w:rFonts w:ascii="微软雅黑" w:hAnsi="微软雅黑" w:eastAsia="微软雅黑" w:cs="微软雅黑"/>
          <w:spacing w:val="-1"/>
          <w:sz w:val="18"/>
          <w:szCs w:val="18"/>
          <w:lang w:eastAsia="zh-CN"/>
        </w:rPr>
        <w:t>农民工伤保险费应按本章第2.7.4项要求计算</w:t>
      </w:r>
      <w:r>
        <w:rPr>
          <w:rFonts w:ascii="微软雅黑" w:hAnsi="微软雅黑" w:eastAsia="微软雅黑" w:cs="微软雅黑"/>
          <w:spacing w:val="-30"/>
          <w:sz w:val="18"/>
          <w:szCs w:val="18"/>
          <w:lang w:eastAsia="zh-CN"/>
        </w:rPr>
        <w:t xml:space="preserve"> </w:t>
      </w:r>
      <w:r>
        <w:rPr>
          <w:rFonts w:ascii="微软雅黑" w:hAnsi="微软雅黑" w:eastAsia="微软雅黑" w:cs="微软雅黑"/>
          <w:spacing w:val="-1"/>
          <w:sz w:val="18"/>
          <w:szCs w:val="18"/>
          <w:lang w:eastAsia="zh-CN"/>
        </w:rPr>
        <w:t>，并将其“不含税</w:t>
      </w:r>
      <w:r>
        <w:rPr>
          <w:rFonts w:ascii="微软雅黑" w:hAnsi="微软雅黑" w:eastAsia="微软雅黑" w:cs="微软雅黑"/>
          <w:spacing w:val="-2"/>
          <w:sz w:val="18"/>
          <w:szCs w:val="18"/>
          <w:lang w:eastAsia="zh-CN"/>
        </w:rPr>
        <w:t>金额</w:t>
      </w:r>
      <w:r>
        <w:rPr>
          <w:rFonts w:ascii="微软雅黑" w:hAnsi="微软雅黑" w:eastAsia="微软雅黑" w:cs="微软雅黑"/>
          <w:spacing w:val="-28"/>
          <w:sz w:val="18"/>
          <w:szCs w:val="18"/>
          <w:lang w:eastAsia="zh-CN"/>
        </w:rPr>
        <w:t xml:space="preserve"> </w:t>
      </w:r>
      <w:r>
        <w:rPr>
          <w:rFonts w:ascii="微软雅黑" w:hAnsi="微软雅黑" w:eastAsia="微软雅黑" w:cs="微软雅黑"/>
          <w:spacing w:val="-2"/>
          <w:sz w:val="18"/>
          <w:szCs w:val="18"/>
          <w:lang w:eastAsia="zh-CN"/>
        </w:rPr>
        <w:t>”填报在对应的“合计</w:t>
      </w:r>
      <w:r>
        <w:rPr>
          <w:rFonts w:ascii="微软雅黑" w:hAnsi="微软雅黑" w:eastAsia="微软雅黑" w:cs="微软雅黑"/>
          <w:spacing w:val="-28"/>
          <w:sz w:val="18"/>
          <w:szCs w:val="18"/>
          <w:lang w:eastAsia="zh-CN"/>
        </w:rPr>
        <w:t xml:space="preserve"> </w:t>
      </w:r>
      <w:r>
        <w:rPr>
          <w:rFonts w:ascii="微软雅黑" w:hAnsi="微软雅黑" w:eastAsia="微软雅黑" w:cs="微软雅黑"/>
          <w:spacing w:val="-2"/>
          <w:sz w:val="18"/>
          <w:szCs w:val="18"/>
          <w:lang w:eastAsia="zh-CN"/>
        </w:rPr>
        <w:t>”栏中。</w:t>
      </w:r>
    </w:p>
    <w:p w14:paraId="5BA7FD00">
      <w:pPr>
        <w:spacing w:line="183" w:lineRule="auto"/>
        <w:rPr>
          <w:rFonts w:ascii="微软雅黑" w:hAnsi="微软雅黑" w:eastAsia="微软雅黑" w:cs="微软雅黑"/>
          <w:sz w:val="18"/>
          <w:szCs w:val="18"/>
          <w:lang w:eastAsia="zh-CN"/>
        </w:rPr>
        <w:sectPr>
          <w:footerReference r:id="rId12" w:type="default"/>
          <w:pgSz w:w="11900" w:h="16840"/>
          <w:pgMar w:top="925" w:right="845" w:bottom="400" w:left="810" w:header="0" w:footer="0" w:gutter="0"/>
          <w:pgNumType w:fmt="decimal"/>
          <w:cols w:space="720" w:num="1"/>
        </w:sectPr>
      </w:pPr>
    </w:p>
    <w:p w14:paraId="5C3E2F0F">
      <w:pPr>
        <w:bidi w:val="0"/>
        <w:jc w:val="center"/>
        <w:rPr>
          <w:b/>
          <w:bCs/>
          <w:sz w:val="30"/>
          <w:szCs w:val="30"/>
          <w:lang w:eastAsia="zh-CN"/>
        </w:rPr>
      </w:pPr>
      <w:r>
        <w:rPr>
          <w:b/>
          <w:bCs/>
          <w:sz w:val="30"/>
          <w:szCs w:val="30"/>
          <w:lang w:eastAsia="zh-CN"/>
        </w:rPr>
        <w:t>措施项目清单计价表</w:t>
      </w:r>
    </w:p>
    <w:p w14:paraId="58A04C82">
      <w:pPr>
        <w:spacing w:before="82" w:line="188" w:lineRule="auto"/>
        <w:ind w:left="7386" w:leftChars="17" w:hanging="7350" w:hangingChars="3500"/>
        <w:rPr>
          <w:lang w:eastAsia="zh-CN"/>
        </w:rPr>
      </w:pPr>
      <w:r>
        <w:drawing>
          <wp:anchor distT="0" distB="0" distL="0" distR="0" simplePos="0" relativeHeight="251664384" behindDoc="0" locked="0" layoutInCell="1" allowOverlap="1">
            <wp:simplePos x="0" y="0"/>
            <wp:positionH relativeFrom="column">
              <wp:posOffset>0</wp:posOffset>
            </wp:positionH>
            <wp:positionV relativeFrom="paragraph">
              <wp:posOffset>7755890</wp:posOffset>
            </wp:positionV>
            <wp:extent cx="6267450" cy="63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7"/>
                    <a:stretch>
                      <a:fillRect/>
                    </a:stretch>
                  </pic:blipFill>
                  <pic:spPr>
                    <a:xfrm>
                      <a:off x="0" y="0"/>
                      <a:ext cx="6267450" cy="6350"/>
                    </a:xfrm>
                    <a:prstGeom prst="rect">
                      <a:avLst/>
                    </a:prstGeom>
                  </pic:spPr>
                </pic:pic>
              </a:graphicData>
            </a:graphic>
          </wp:anchor>
        </w:drawing>
      </w:r>
      <w:r>
        <w:rPr>
          <w:rFonts w:ascii="微软雅黑" w:hAnsi="微软雅黑" w:eastAsia="微软雅黑" w:cs="微软雅黑"/>
          <w:sz w:val="19"/>
          <w:szCs w:val="19"/>
          <w:lang w:eastAsia="zh-CN"/>
        </w:rPr>
        <w:t>工程名称：</w:t>
      </w:r>
      <w:r>
        <w:rPr>
          <w:rFonts w:ascii="微软雅黑" w:hAnsi="微软雅黑" w:eastAsia="微软雅黑" w:cs="微软雅黑"/>
          <w:spacing w:val="-35"/>
          <w:sz w:val="19"/>
          <w:szCs w:val="19"/>
          <w:lang w:eastAsia="zh-CN"/>
        </w:rPr>
        <w:t xml:space="preserve"> </w:t>
      </w:r>
      <w:r>
        <w:rPr>
          <w:rFonts w:ascii="微软雅黑" w:hAnsi="微软雅黑" w:eastAsia="微软雅黑" w:cs="微软雅黑"/>
          <w:sz w:val="19"/>
          <w:szCs w:val="19"/>
          <w:lang w:eastAsia="zh-CN"/>
        </w:rPr>
        <w:t xml:space="preserve">                                               </w:t>
      </w:r>
      <w:r>
        <w:rPr>
          <w:rFonts w:ascii="微软雅黑" w:hAnsi="微软雅黑" w:eastAsia="微软雅黑" w:cs="微软雅黑"/>
          <w:spacing w:val="-1"/>
          <w:sz w:val="19"/>
          <w:szCs w:val="19"/>
          <w:lang w:eastAsia="zh-CN"/>
        </w:rPr>
        <w:t xml:space="preserve">                        </w:t>
      </w:r>
      <w:r>
        <w:rPr>
          <w:rFonts w:hint="eastAsia" w:ascii="微软雅黑" w:hAnsi="微软雅黑" w:eastAsia="微软雅黑" w:cs="微软雅黑"/>
          <w:spacing w:val="-1"/>
          <w:sz w:val="19"/>
          <w:szCs w:val="19"/>
          <w:lang w:eastAsia="zh-CN"/>
        </w:rPr>
        <w:t xml:space="preserve">                                          </w:t>
      </w:r>
      <w:r>
        <w:rPr>
          <w:rFonts w:ascii="微软雅黑" w:hAnsi="微软雅黑" w:eastAsia="微软雅黑" w:cs="微软雅黑"/>
          <w:spacing w:val="-1"/>
          <w:sz w:val="19"/>
          <w:szCs w:val="19"/>
          <w:lang w:eastAsia="zh-CN"/>
        </w:rPr>
        <w:t xml:space="preserve">                  第   页    共</w:t>
      </w:r>
      <w:r>
        <w:rPr>
          <w:rFonts w:ascii="微软雅黑" w:hAnsi="微软雅黑" w:eastAsia="微软雅黑" w:cs="微软雅黑"/>
          <w:spacing w:val="8"/>
          <w:sz w:val="19"/>
          <w:szCs w:val="19"/>
          <w:lang w:eastAsia="zh-CN"/>
        </w:rPr>
        <w:t xml:space="preserve">  </w:t>
      </w:r>
      <w:r>
        <w:rPr>
          <w:rFonts w:ascii="微软雅黑" w:hAnsi="微软雅黑" w:eastAsia="微软雅黑" w:cs="微软雅黑"/>
          <w:spacing w:val="6"/>
          <w:sz w:val="19"/>
          <w:szCs w:val="19"/>
          <w:lang w:eastAsia="zh-CN"/>
        </w:rPr>
        <w:t xml:space="preserve">  </w:t>
      </w:r>
      <w:r>
        <w:rPr>
          <w:rFonts w:ascii="微软雅黑" w:hAnsi="微软雅黑" w:eastAsia="微软雅黑" w:cs="微软雅黑"/>
          <w:spacing w:val="-1"/>
          <w:sz w:val="19"/>
          <w:szCs w:val="19"/>
          <w:lang w:eastAsia="zh-CN"/>
        </w:rPr>
        <w:t>页</w:t>
      </w:r>
    </w:p>
    <w:tbl>
      <w:tblPr>
        <w:tblStyle w:val="258"/>
        <w:tblW w:w="9639" w:type="dxa"/>
        <w:tblInd w:w="1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5"/>
        <w:gridCol w:w="1047"/>
        <w:gridCol w:w="1824"/>
        <w:gridCol w:w="1376"/>
        <w:gridCol w:w="1301"/>
        <w:gridCol w:w="1331"/>
        <w:gridCol w:w="1915"/>
      </w:tblGrid>
      <w:tr w14:paraId="627F5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845" w:type="dxa"/>
            <w:tcBorders>
              <w:top w:val="single" w:color="000000" w:sz="12" w:space="0"/>
              <w:left w:val="single" w:color="000000" w:sz="12" w:space="0"/>
            </w:tcBorders>
          </w:tcPr>
          <w:p w14:paraId="18A3ECF2">
            <w:pPr>
              <w:pStyle w:val="260"/>
              <w:autoSpaceDE w:val="0"/>
              <w:autoSpaceDN w:val="0"/>
              <w:spacing w:before="192" w:line="189" w:lineRule="auto"/>
              <w:ind w:left="299"/>
              <w:rPr>
                <w:color w:val="auto"/>
                <w:sz w:val="19"/>
                <w:szCs w:val="19"/>
              </w:rPr>
            </w:pPr>
            <w:r>
              <w:rPr>
                <w:color w:val="auto"/>
                <w:sz w:val="19"/>
                <w:szCs w:val="19"/>
              </w:rPr>
              <w:t>序号</w:t>
            </w:r>
          </w:p>
        </w:tc>
        <w:tc>
          <w:tcPr>
            <w:tcW w:w="1047" w:type="dxa"/>
            <w:tcBorders>
              <w:top w:val="single" w:color="000000" w:sz="12" w:space="0"/>
            </w:tcBorders>
          </w:tcPr>
          <w:p w14:paraId="63C5D1F5">
            <w:pPr>
              <w:pStyle w:val="260"/>
              <w:autoSpaceDE w:val="0"/>
              <w:autoSpaceDN w:val="0"/>
              <w:spacing w:before="191"/>
              <w:ind w:left="133"/>
              <w:rPr>
                <w:color w:val="auto"/>
                <w:sz w:val="19"/>
                <w:szCs w:val="19"/>
              </w:rPr>
            </w:pPr>
            <w:r>
              <w:rPr>
                <w:color w:val="auto"/>
                <w:spacing w:val="1"/>
                <w:sz w:val="19"/>
                <w:szCs w:val="19"/>
              </w:rPr>
              <w:t>项目编码</w:t>
            </w:r>
          </w:p>
        </w:tc>
        <w:tc>
          <w:tcPr>
            <w:tcW w:w="1824" w:type="dxa"/>
            <w:tcBorders>
              <w:top w:val="single" w:color="000000" w:sz="12" w:space="0"/>
            </w:tcBorders>
          </w:tcPr>
          <w:p w14:paraId="3714A03C">
            <w:pPr>
              <w:pStyle w:val="260"/>
              <w:autoSpaceDE w:val="0"/>
              <w:autoSpaceDN w:val="0"/>
              <w:spacing w:before="191"/>
              <w:ind w:left="526"/>
              <w:rPr>
                <w:color w:val="auto"/>
                <w:sz w:val="19"/>
                <w:szCs w:val="19"/>
              </w:rPr>
            </w:pPr>
            <w:r>
              <w:rPr>
                <w:color w:val="auto"/>
                <w:spacing w:val="1"/>
                <w:sz w:val="19"/>
                <w:szCs w:val="19"/>
              </w:rPr>
              <w:t>项目名称</w:t>
            </w:r>
          </w:p>
        </w:tc>
        <w:tc>
          <w:tcPr>
            <w:tcW w:w="1376" w:type="dxa"/>
            <w:tcBorders>
              <w:top w:val="single" w:color="000000" w:sz="12" w:space="0"/>
            </w:tcBorders>
          </w:tcPr>
          <w:p w14:paraId="2D53FDC8">
            <w:pPr>
              <w:pStyle w:val="260"/>
              <w:autoSpaceDE w:val="0"/>
              <w:autoSpaceDN w:val="0"/>
              <w:spacing w:before="192"/>
              <w:ind w:left="304"/>
              <w:rPr>
                <w:color w:val="auto"/>
                <w:sz w:val="19"/>
                <w:szCs w:val="19"/>
              </w:rPr>
            </w:pPr>
            <w:r>
              <w:rPr>
                <w:color w:val="auto"/>
                <w:spacing w:val="2"/>
                <w:sz w:val="19"/>
                <w:szCs w:val="19"/>
              </w:rPr>
              <w:t>计量单位</w:t>
            </w:r>
          </w:p>
        </w:tc>
        <w:tc>
          <w:tcPr>
            <w:tcW w:w="1301" w:type="dxa"/>
            <w:tcBorders>
              <w:top w:val="single" w:color="000000" w:sz="12" w:space="0"/>
            </w:tcBorders>
          </w:tcPr>
          <w:p w14:paraId="0A3BAF49">
            <w:pPr>
              <w:pStyle w:val="260"/>
              <w:autoSpaceDE w:val="0"/>
              <w:autoSpaceDN w:val="0"/>
              <w:spacing w:before="192"/>
              <w:ind w:left="273"/>
              <w:rPr>
                <w:color w:val="auto"/>
                <w:sz w:val="19"/>
                <w:szCs w:val="19"/>
              </w:rPr>
            </w:pPr>
            <w:r>
              <w:rPr>
                <w:color w:val="auto"/>
                <w:spacing w:val="2"/>
                <w:sz w:val="19"/>
                <w:szCs w:val="19"/>
              </w:rPr>
              <w:t>工作内容</w:t>
            </w:r>
          </w:p>
        </w:tc>
        <w:tc>
          <w:tcPr>
            <w:tcW w:w="1331" w:type="dxa"/>
            <w:tcBorders>
              <w:top w:val="single" w:color="000000" w:sz="12" w:space="0"/>
            </w:tcBorders>
          </w:tcPr>
          <w:p w14:paraId="2EC03DE4">
            <w:pPr>
              <w:pStyle w:val="260"/>
              <w:autoSpaceDE w:val="0"/>
              <w:autoSpaceDN w:val="0"/>
              <w:spacing w:before="57"/>
              <w:ind w:left="485"/>
              <w:rPr>
                <w:color w:val="auto"/>
                <w:sz w:val="19"/>
                <w:szCs w:val="19"/>
              </w:rPr>
            </w:pPr>
            <w:r>
              <w:rPr>
                <w:color w:val="auto"/>
                <w:sz w:val="19"/>
                <w:szCs w:val="19"/>
              </w:rPr>
              <w:t>价格</w:t>
            </w:r>
          </w:p>
          <w:p w14:paraId="20131A6A">
            <w:pPr>
              <w:pStyle w:val="260"/>
              <w:autoSpaceDE w:val="0"/>
              <w:autoSpaceDN w:val="0"/>
              <w:ind w:left="395"/>
              <w:rPr>
                <w:color w:val="auto"/>
                <w:sz w:val="19"/>
                <w:szCs w:val="19"/>
              </w:rPr>
            </w:pPr>
            <w:r>
              <w:rPr>
                <w:color w:val="auto"/>
                <w:spacing w:val="-3"/>
                <w:sz w:val="19"/>
                <w:szCs w:val="19"/>
              </w:rPr>
              <w:t>（元）</w:t>
            </w:r>
          </w:p>
        </w:tc>
        <w:tc>
          <w:tcPr>
            <w:tcW w:w="1915" w:type="dxa"/>
            <w:tcBorders>
              <w:top w:val="single" w:color="000000" w:sz="12" w:space="0"/>
              <w:right w:val="single" w:color="000000" w:sz="12" w:space="0"/>
            </w:tcBorders>
          </w:tcPr>
          <w:p w14:paraId="17E90C08">
            <w:pPr>
              <w:pStyle w:val="260"/>
              <w:autoSpaceDE w:val="0"/>
              <w:autoSpaceDN w:val="0"/>
              <w:spacing w:before="192" w:line="190" w:lineRule="auto"/>
              <w:ind w:left="836"/>
              <w:rPr>
                <w:color w:val="auto"/>
                <w:sz w:val="19"/>
                <w:szCs w:val="19"/>
              </w:rPr>
            </w:pPr>
            <w:r>
              <w:rPr>
                <w:color w:val="auto"/>
                <w:spacing w:val="-1"/>
                <w:sz w:val="19"/>
                <w:szCs w:val="19"/>
              </w:rPr>
              <w:t>备注</w:t>
            </w:r>
          </w:p>
        </w:tc>
      </w:tr>
      <w:tr w14:paraId="42C32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45" w:type="dxa"/>
            <w:tcBorders>
              <w:left w:val="single" w:color="000000" w:sz="12" w:space="0"/>
            </w:tcBorders>
          </w:tcPr>
          <w:p w14:paraId="4A8F33D4">
            <w:pPr>
              <w:pStyle w:val="260"/>
              <w:autoSpaceDE w:val="0"/>
              <w:autoSpaceDN w:val="0"/>
              <w:spacing w:before="163" w:line="208" w:lineRule="auto"/>
              <w:ind w:left="457"/>
              <w:rPr>
                <w:color w:val="auto"/>
                <w:sz w:val="19"/>
                <w:szCs w:val="19"/>
              </w:rPr>
            </w:pPr>
            <w:r>
              <w:rPr>
                <w:color w:val="auto"/>
                <w:sz w:val="19"/>
                <w:szCs w:val="19"/>
              </w:rPr>
              <w:t>1</w:t>
            </w:r>
          </w:p>
        </w:tc>
        <w:tc>
          <w:tcPr>
            <w:tcW w:w="1047" w:type="dxa"/>
          </w:tcPr>
          <w:p w14:paraId="72C42E78">
            <w:pPr>
              <w:autoSpaceDE w:val="0"/>
              <w:autoSpaceDN w:val="0"/>
              <w:rPr>
                <w:rFonts w:ascii="Arial"/>
                <w:sz w:val="21"/>
              </w:rPr>
            </w:pPr>
          </w:p>
        </w:tc>
        <w:tc>
          <w:tcPr>
            <w:tcW w:w="1824" w:type="dxa"/>
          </w:tcPr>
          <w:p w14:paraId="6B37A55B">
            <w:pPr>
              <w:pStyle w:val="260"/>
              <w:autoSpaceDE w:val="0"/>
              <w:autoSpaceDN w:val="0"/>
              <w:spacing w:before="29" w:line="195" w:lineRule="auto"/>
              <w:ind w:left="46" w:right="27" w:hanging="6"/>
              <w:rPr>
                <w:color w:val="auto"/>
                <w:sz w:val="19"/>
                <w:szCs w:val="19"/>
                <w:lang w:eastAsia="zh-CN"/>
              </w:rPr>
            </w:pPr>
            <w:r>
              <w:rPr>
                <w:color w:val="auto"/>
                <w:spacing w:val="3"/>
                <w:sz w:val="19"/>
                <w:szCs w:val="19"/>
                <w:lang w:eastAsia="zh-CN"/>
              </w:rPr>
              <w:t xml:space="preserve">安全生产标准化措施 </w:t>
            </w:r>
            <w:r>
              <w:rPr>
                <w:color w:val="auto"/>
                <w:sz w:val="19"/>
                <w:szCs w:val="19"/>
                <w:lang w:eastAsia="zh-CN"/>
              </w:rPr>
              <w:t>费</w:t>
            </w:r>
          </w:p>
        </w:tc>
        <w:tc>
          <w:tcPr>
            <w:tcW w:w="1376" w:type="dxa"/>
          </w:tcPr>
          <w:p w14:paraId="50CF8653">
            <w:pPr>
              <w:pStyle w:val="260"/>
              <w:autoSpaceDE w:val="0"/>
              <w:autoSpaceDN w:val="0"/>
              <w:spacing w:before="162" w:line="188" w:lineRule="auto"/>
              <w:ind w:left="600"/>
              <w:rPr>
                <w:color w:val="auto"/>
                <w:sz w:val="19"/>
                <w:szCs w:val="19"/>
              </w:rPr>
            </w:pPr>
            <w:r>
              <w:rPr>
                <w:color w:val="auto"/>
                <w:sz w:val="19"/>
                <w:szCs w:val="19"/>
              </w:rPr>
              <w:t>项</w:t>
            </w:r>
          </w:p>
        </w:tc>
        <w:tc>
          <w:tcPr>
            <w:tcW w:w="1301" w:type="dxa"/>
          </w:tcPr>
          <w:p w14:paraId="4460F824">
            <w:pPr>
              <w:autoSpaceDE w:val="0"/>
              <w:autoSpaceDN w:val="0"/>
              <w:rPr>
                <w:rFonts w:ascii="Arial"/>
                <w:sz w:val="21"/>
              </w:rPr>
            </w:pPr>
          </w:p>
        </w:tc>
        <w:tc>
          <w:tcPr>
            <w:tcW w:w="1331" w:type="dxa"/>
          </w:tcPr>
          <w:p w14:paraId="571C5CAF">
            <w:pPr>
              <w:pStyle w:val="260"/>
              <w:autoSpaceDE w:val="0"/>
              <w:autoSpaceDN w:val="0"/>
              <w:spacing w:before="163" w:line="206" w:lineRule="auto"/>
              <w:ind w:left="264"/>
              <w:rPr>
                <w:color w:val="auto"/>
                <w:sz w:val="19"/>
                <w:szCs w:val="19"/>
              </w:rPr>
            </w:pPr>
          </w:p>
        </w:tc>
        <w:tc>
          <w:tcPr>
            <w:tcW w:w="1915" w:type="dxa"/>
            <w:tcBorders>
              <w:right w:val="single" w:color="000000" w:sz="12" w:space="0"/>
            </w:tcBorders>
          </w:tcPr>
          <w:p w14:paraId="761C9D15">
            <w:pPr>
              <w:pStyle w:val="260"/>
              <w:autoSpaceDE w:val="0"/>
              <w:autoSpaceDN w:val="0"/>
              <w:spacing w:before="163" w:line="189" w:lineRule="auto"/>
              <w:ind w:left="72"/>
              <w:rPr>
                <w:color w:val="auto"/>
                <w:sz w:val="19"/>
                <w:szCs w:val="19"/>
              </w:rPr>
            </w:pPr>
            <w:r>
              <w:rPr>
                <w:color w:val="auto"/>
                <w:spacing w:val="6"/>
                <w:sz w:val="19"/>
                <w:szCs w:val="19"/>
              </w:rPr>
              <w:t>明细详见表4.9-1</w:t>
            </w:r>
          </w:p>
        </w:tc>
      </w:tr>
      <w:tr w14:paraId="7D80D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5347A5F4">
            <w:pPr>
              <w:pStyle w:val="260"/>
              <w:autoSpaceDE w:val="0"/>
              <w:autoSpaceDN w:val="0"/>
              <w:spacing w:before="29" w:line="202" w:lineRule="auto"/>
              <w:ind w:left="444"/>
              <w:rPr>
                <w:color w:val="auto"/>
                <w:sz w:val="19"/>
                <w:szCs w:val="19"/>
              </w:rPr>
            </w:pPr>
            <w:r>
              <w:rPr>
                <w:color w:val="auto"/>
                <w:sz w:val="19"/>
                <w:szCs w:val="19"/>
              </w:rPr>
              <w:t>2</w:t>
            </w:r>
          </w:p>
        </w:tc>
        <w:tc>
          <w:tcPr>
            <w:tcW w:w="1047" w:type="dxa"/>
          </w:tcPr>
          <w:p w14:paraId="7EB658B4">
            <w:pPr>
              <w:autoSpaceDE w:val="0"/>
              <w:autoSpaceDN w:val="0"/>
              <w:rPr>
                <w:rFonts w:ascii="Arial"/>
                <w:sz w:val="21"/>
              </w:rPr>
            </w:pPr>
          </w:p>
        </w:tc>
        <w:tc>
          <w:tcPr>
            <w:tcW w:w="1824" w:type="dxa"/>
          </w:tcPr>
          <w:p w14:paraId="3475F424">
            <w:pPr>
              <w:pStyle w:val="260"/>
              <w:autoSpaceDE w:val="0"/>
              <w:autoSpaceDN w:val="0"/>
              <w:spacing w:before="28" w:line="189" w:lineRule="auto"/>
              <w:ind w:left="37"/>
              <w:rPr>
                <w:color w:val="auto"/>
                <w:sz w:val="19"/>
                <w:szCs w:val="19"/>
              </w:rPr>
            </w:pPr>
            <w:r>
              <w:rPr>
                <w:color w:val="auto"/>
                <w:spacing w:val="2"/>
                <w:sz w:val="19"/>
                <w:szCs w:val="19"/>
              </w:rPr>
              <w:t>现场管理费</w:t>
            </w:r>
          </w:p>
        </w:tc>
        <w:tc>
          <w:tcPr>
            <w:tcW w:w="1376" w:type="dxa"/>
          </w:tcPr>
          <w:p w14:paraId="2C23E192">
            <w:pPr>
              <w:pStyle w:val="260"/>
              <w:autoSpaceDE w:val="0"/>
              <w:autoSpaceDN w:val="0"/>
              <w:spacing w:before="28" w:line="188" w:lineRule="auto"/>
              <w:ind w:left="600"/>
              <w:rPr>
                <w:color w:val="auto"/>
                <w:sz w:val="19"/>
                <w:szCs w:val="19"/>
              </w:rPr>
            </w:pPr>
            <w:r>
              <w:rPr>
                <w:color w:val="auto"/>
                <w:sz w:val="19"/>
                <w:szCs w:val="19"/>
              </w:rPr>
              <w:t>项</w:t>
            </w:r>
          </w:p>
        </w:tc>
        <w:tc>
          <w:tcPr>
            <w:tcW w:w="1301" w:type="dxa"/>
          </w:tcPr>
          <w:p w14:paraId="7791655E">
            <w:pPr>
              <w:autoSpaceDE w:val="0"/>
              <w:autoSpaceDN w:val="0"/>
              <w:rPr>
                <w:rFonts w:ascii="Arial"/>
                <w:sz w:val="21"/>
              </w:rPr>
            </w:pPr>
          </w:p>
        </w:tc>
        <w:tc>
          <w:tcPr>
            <w:tcW w:w="1331" w:type="dxa"/>
          </w:tcPr>
          <w:p w14:paraId="1FEAC45B">
            <w:pPr>
              <w:pStyle w:val="260"/>
              <w:autoSpaceDE w:val="0"/>
              <w:autoSpaceDN w:val="0"/>
              <w:spacing w:before="29" w:line="202" w:lineRule="auto"/>
              <w:ind w:left="259"/>
              <w:rPr>
                <w:color w:val="auto"/>
                <w:sz w:val="19"/>
                <w:szCs w:val="19"/>
              </w:rPr>
            </w:pPr>
          </w:p>
        </w:tc>
        <w:tc>
          <w:tcPr>
            <w:tcW w:w="1915" w:type="dxa"/>
            <w:tcBorders>
              <w:right w:val="single" w:color="000000" w:sz="12" w:space="0"/>
            </w:tcBorders>
          </w:tcPr>
          <w:p w14:paraId="0C7B9E9E">
            <w:pPr>
              <w:pStyle w:val="260"/>
              <w:autoSpaceDE w:val="0"/>
              <w:autoSpaceDN w:val="0"/>
              <w:spacing w:before="29" w:line="189" w:lineRule="auto"/>
              <w:ind w:left="72"/>
              <w:rPr>
                <w:color w:val="auto"/>
                <w:sz w:val="19"/>
                <w:szCs w:val="19"/>
              </w:rPr>
            </w:pPr>
            <w:r>
              <w:rPr>
                <w:color w:val="auto"/>
                <w:spacing w:val="6"/>
                <w:sz w:val="19"/>
                <w:szCs w:val="19"/>
              </w:rPr>
              <w:t>明细详见表4.9-3</w:t>
            </w:r>
          </w:p>
        </w:tc>
      </w:tr>
      <w:tr w14:paraId="01842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45" w:type="dxa"/>
            <w:tcBorders>
              <w:left w:val="single" w:color="000000" w:sz="12" w:space="0"/>
            </w:tcBorders>
          </w:tcPr>
          <w:p w14:paraId="53095223">
            <w:pPr>
              <w:pStyle w:val="260"/>
              <w:autoSpaceDE w:val="0"/>
              <w:autoSpaceDN w:val="0"/>
              <w:spacing w:before="165" w:line="206" w:lineRule="auto"/>
              <w:ind w:left="446"/>
              <w:rPr>
                <w:color w:val="auto"/>
                <w:sz w:val="19"/>
                <w:szCs w:val="19"/>
              </w:rPr>
            </w:pPr>
            <w:r>
              <w:rPr>
                <w:color w:val="auto"/>
                <w:sz w:val="19"/>
                <w:szCs w:val="19"/>
              </w:rPr>
              <w:t>3</w:t>
            </w:r>
          </w:p>
        </w:tc>
        <w:tc>
          <w:tcPr>
            <w:tcW w:w="1047" w:type="dxa"/>
          </w:tcPr>
          <w:p w14:paraId="27A0EEB2">
            <w:pPr>
              <w:autoSpaceDE w:val="0"/>
              <w:autoSpaceDN w:val="0"/>
              <w:rPr>
                <w:rFonts w:ascii="Arial"/>
                <w:sz w:val="21"/>
              </w:rPr>
            </w:pPr>
          </w:p>
        </w:tc>
        <w:tc>
          <w:tcPr>
            <w:tcW w:w="1824" w:type="dxa"/>
          </w:tcPr>
          <w:p w14:paraId="63F1DE4E">
            <w:pPr>
              <w:pStyle w:val="260"/>
              <w:autoSpaceDE w:val="0"/>
              <w:autoSpaceDN w:val="0"/>
              <w:spacing w:before="29" w:line="195" w:lineRule="auto"/>
              <w:ind w:left="39" w:right="27" w:hanging="4"/>
              <w:rPr>
                <w:color w:val="auto"/>
                <w:sz w:val="19"/>
                <w:szCs w:val="19"/>
                <w:lang w:eastAsia="zh-CN"/>
              </w:rPr>
            </w:pPr>
            <w:r>
              <w:rPr>
                <w:color w:val="auto"/>
                <w:spacing w:val="4"/>
                <w:sz w:val="19"/>
                <w:szCs w:val="19"/>
                <w:lang w:eastAsia="zh-CN"/>
              </w:rPr>
              <w:t>施工垃圾场外运输和</w:t>
            </w:r>
            <w:r>
              <w:rPr>
                <w:color w:val="auto"/>
                <w:sz w:val="19"/>
                <w:szCs w:val="19"/>
                <w:lang w:eastAsia="zh-CN"/>
              </w:rPr>
              <w:t xml:space="preserve"> 消纳费</w:t>
            </w:r>
          </w:p>
        </w:tc>
        <w:tc>
          <w:tcPr>
            <w:tcW w:w="1376" w:type="dxa"/>
          </w:tcPr>
          <w:p w14:paraId="50EA46A7">
            <w:pPr>
              <w:pStyle w:val="260"/>
              <w:autoSpaceDE w:val="0"/>
              <w:autoSpaceDN w:val="0"/>
              <w:spacing w:before="164" w:line="188" w:lineRule="auto"/>
              <w:ind w:left="600"/>
              <w:rPr>
                <w:color w:val="auto"/>
                <w:sz w:val="19"/>
                <w:szCs w:val="19"/>
              </w:rPr>
            </w:pPr>
            <w:r>
              <w:rPr>
                <w:color w:val="auto"/>
                <w:sz w:val="19"/>
                <w:szCs w:val="19"/>
              </w:rPr>
              <w:t>项</w:t>
            </w:r>
          </w:p>
        </w:tc>
        <w:tc>
          <w:tcPr>
            <w:tcW w:w="1301" w:type="dxa"/>
          </w:tcPr>
          <w:p w14:paraId="46A55939">
            <w:pPr>
              <w:autoSpaceDE w:val="0"/>
              <w:autoSpaceDN w:val="0"/>
              <w:rPr>
                <w:rFonts w:ascii="Arial"/>
                <w:sz w:val="21"/>
              </w:rPr>
            </w:pPr>
          </w:p>
        </w:tc>
        <w:tc>
          <w:tcPr>
            <w:tcW w:w="1331" w:type="dxa"/>
          </w:tcPr>
          <w:p w14:paraId="505CB067">
            <w:pPr>
              <w:pStyle w:val="260"/>
              <w:autoSpaceDE w:val="0"/>
              <w:autoSpaceDN w:val="0"/>
              <w:spacing w:before="165" w:line="206" w:lineRule="auto"/>
              <w:ind w:left="314"/>
              <w:rPr>
                <w:color w:val="auto"/>
                <w:sz w:val="19"/>
                <w:szCs w:val="19"/>
              </w:rPr>
            </w:pPr>
          </w:p>
        </w:tc>
        <w:tc>
          <w:tcPr>
            <w:tcW w:w="1915" w:type="dxa"/>
            <w:tcBorders>
              <w:right w:val="single" w:color="000000" w:sz="12" w:space="0"/>
            </w:tcBorders>
          </w:tcPr>
          <w:p w14:paraId="0EE85150">
            <w:pPr>
              <w:pStyle w:val="260"/>
              <w:autoSpaceDE w:val="0"/>
              <w:autoSpaceDN w:val="0"/>
              <w:spacing w:before="165" w:line="189" w:lineRule="auto"/>
              <w:ind w:left="72"/>
              <w:rPr>
                <w:color w:val="auto"/>
                <w:sz w:val="19"/>
                <w:szCs w:val="19"/>
              </w:rPr>
            </w:pPr>
            <w:r>
              <w:rPr>
                <w:color w:val="auto"/>
                <w:spacing w:val="6"/>
                <w:sz w:val="19"/>
                <w:szCs w:val="19"/>
              </w:rPr>
              <w:t>明细详见表4.9-2</w:t>
            </w:r>
          </w:p>
        </w:tc>
      </w:tr>
      <w:tr w14:paraId="3331B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44F80299">
            <w:pPr>
              <w:pStyle w:val="260"/>
              <w:autoSpaceDE w:val="0"/>
              <w:autoSpaceDN w:val="0"/>
              <w:spacing w:before="30" w:line="201" w:lineRule="auto"/>
              <w:ind w:left="441"/>
              <w:rPr>
                <w:color w:val="auto"/>
                <w:sz w:val="19"/>
                <w:szCs w:val="19"/>
              </w:rPr>
            </w:pPr>
            <w:r>
              <w:rPr>
                <w:color w:val="auto"/>
                <w:sz w:val="19"/>
                <w:szCs w:val="19"/>
              </w:rPr>
              <w:t>4</w:t>
            </w:r>
          </w:p>
        </w:tc>
        <w:tc>
          <w:tcPr>
            <w:tcW w:w="1047" w:type="dxa"/>
          </w:tcPr>
          <w:p w14:paraId="79887AFA">
            <w:pPr>
              <w:autoSpaceDE w:val="0"/>
              <w:autoSpaceDN w:val="0"/>
              <w:rPr>
                <w:rFonts w:ascii="Arial"/>
                <w:sz w:val="21"/>
              </w:rPr>
            </w:pPr>
          </w:p>
        </w:tc>
        <w:tc>
          <w:tcPr>
            <w:tcW w:w="1824" w:type="dxa"/>
          </w:tcPr>
          <w:p w14:paraId="03E2B47F">
            <w:pPr>
              <w:pStyle w:val="260"/>
              <w:autoSpaceDE w:val="0"/>
              <w:autoSpaceDN w:val="0"/>
              <w:spacing w:before="30" w:line="189" w:lineRule="auto"/>
              <w:ind w:left="35"/>
              <w:rPr>
                <w:color w:val="auto"/>
                <w:sz w:val="19"/>
                <w:szCs w:val="19"/>
              </w:rPr>
            </w:pPr>
            <w:r>
              <w:rPr>
                <w:color w:val="auto"/>
                <w:spacing w:val="3"/>
                <w:sz w:val="19"/>
                <w:szCs w:val="19"/>
              </w:rPr>
              <w:t>脚手架工程费</w:t>
            </w:r>
          </w:p>
        </w:tc>
        <w:tc>
          <w:tcPr>
            <w:tcW w:w="1376" w:type="dxa"/>
          </w:tcPr>
          <w:p w14:paraId="2B33205D">
            <w:pPr>
              <w:pStyle w:val="260"/>
              <w:autoSpaceDE w:val="0"/>
              <w:autoSpaceDN w:val="0"/>
              <w:spacing w:before="30" w:line="188" w:lineRule="auto"/>
              <w:ind w:left="600"/>
              <w:rPr>
                <w:color w:val="auto"/>
                <w:sz w:val="19"/>
                <w:szCs w:val="19"/>
              </w:rPr>
            </w:pPr>
            <w:r>
              <w:rPr>
                <w:color w:val="auto"/>
                <w:sz w:val="19"/>
                <w:szCs w:val="19"/>
              </w:rPr>
              <w:t>项</w:t>
            </w:r>
          </w:p>
        </w:tc>
        <w:tc>
          <w:tcPr>
            <w:tcW w:w="1301" w:type="dxa"/>
          </w:tcPr>
          <w:p w14:paraId="636D5A69">
            <w:pPr>
              <w:autoSpaceDE w:val="0"/>
              <w:autoSpaceDN w:val="0"/>
              <w:rPr>
                <w:rFonts w:ascii="Arial"/>
                <w:sz w:val="21"/>
              </w:rPr>
            </w:pPr>
          </w:p>
        </w:tc>
        <w:tc>
          <w:tcPr>
            <w:tcW w:w="1331" w:type="dxa"/>
          </w:tcPr>
          <w:p w14:paraId="75326B0C">
            <w:pPr>
              <w:autoSpaceDE w:val="0"/>
              <w:autoSpaceDN w:val="0"/>
              <w:rPr>
                <w:rFonts w:ascii="Arial"/>
                <w:sz w:val="21"/>
              </w:rPr>
            </w:pPr>
          </w:p>
        </w:tc>
        <w:tc>
          <w:tcPr>
            <w:tcW w:w="1915" w:type="dxa"/>
            <w:tcBorders>
              <w:right w:val="single" w:color="000000" w:sz="12" w:space="0"/>
            </w:tcBorders>
          </w:tcPr>
          <w:p w14:paraId="2A41A3B2">
            <w:pPr>
              <w:pStyle w:val="260"/>
              <w:autoSpaceDE w:val="0"/>
              <w:autoSpaceDN w:val="0"/>
              <w:spacing w:before="31" w:line="189" w:lineRule="auto"/>
              <w:ind w:left="72"/>
              <w:rPr>
                <w:color w:val="auto"/>
                <w:sz w:val="19"/>
                <w:szCs w:val="19"/>
              </w:rPr>
            </w:pPr>
            <w:r>
              <w:rPr>
                <w:color w:val="auto"/>
                <w:spacing w:val="6"/>
                <w:sz w:val="19"/>
                <w:szCs w:val="19"/>
              </w:rPr>
              <w:t>明细详见表4.9-3</w:t>
            </w:r>
          </w:p>
        </w:tc>
      </w:tr>
      <w:tr w14:paraId="64CF8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14A1E229">
            <w:pPr>
              <w:pStyle w:val="260"/>
              <w:autoSpaceDE w:val="0"/>
              <w:autoSpaceDN w:val="0"/>
              <w:spacing w:before="32" w:line="200" w:lineRule="auto"/>
              <w:ind w:left="446"/>
              <w:rPr>
                <w:color w:val="auto"/>
                <w:sz w:val="19"/>
                <w:szCs w:val="19"/>
              </w:rPr>
            </w:pPr>
          </w:p>
        </w:tc>
        <w:tc>
          <w:tcPr>
            <w:tcW w:w="1047" w:type="dxa"/>
          </w:tcPr>
          <w:p w14:paraId="216E03E8">
            <w:pPr>
              <w:autoSpaceDE w:val="0"/>
              <w:autoSpaceDN w:val="0"/>
              <w:rPr>
                <w:rFonts w:ascii="Arial"/>
                <w:sz w:val="21"/>
              </w:rPr>
            </w:pPr>
          </w:p>
        </w:tc>
        <w:tc>
          <w:tcPr>
            <w:tcW w:w="1824" w:type="dxa"/>
          </w:tcPr>
          <w:p w14:paraId="149899ED">
            <w:pPr>
              <w:pStyle w:val="260"/>
              <w:autoSpaceDE w:val="0"/>
              <w:autoSpaceDN w:val="0"/>
              <w:spacing w:before="31" w:line="189" w:lineRule="auto"/>
              <w:ind w:left="38"/>
              <w:rPr>
                <w:color w:val="auto"/>
                <w:sz w:val="19"/>
                <w:szCs w:val="19"/>
              </w:rPr>
            </w:pPr>
          </w:p>
        </w:tc>
        <w:tc>
          <w:tcPr>
            <w:tcW w:w="1376" w:type="dxa"/>
          </w:tcPr>
          <w:p w14:paraId="3D55C6E1">
            <w:pPr>
              <w:pStyle w:val="260"/>
              <w:autoSpaceDE w:val="0"/>
              <w:autoSpaceDN w:val="0"/>
              <w:spacing w:before="31" w:line="188" w:lineRule="auto"/>
              <w:ind w:left="600"/>
              <w:rPr>
                <w:color w:val="auto"/>
                <w:sz w:val="19"/>
                <w:szCs w:val="19"/>
              </w:rPr>
            </w:pPr>
          </w:p>
        </w:tc>
        <w:tc>
          <w:tcPr>
            <w:tcW w:w="1301" w:type="dxa"/>
          </w:tcPr>
          <w:p w14:paraId="1EBB7EE8">
            <w:pPr>
              <w:autoSpaceDE w:val="0"/>
              <w:autoSpaceDN w:val="0"/>
              <w:rPr>
                <w:rFonts w:ascii="Arial"/>
                <w:sz w:val="21"/>
              </w:rPr>
            </w:pPr>
          </w:p>
        </w:tc>
        <w:tc>
          <w:tcPr>
            <w:tcW w:w="1331" w:type="dxa"/>
          </w:tcPr>
          <w:p w14:paraId="1A00439B">
            <w:pPr>
              <w:autoSpaceDE w:val="0"/>
              <w:autoSpaceDN w:val="0"/>
              <w:rPr>
                <w:rFonts w:ascii="Arial"/>
                <w:sz w:val="21"/>
              </w:rPr>
            </w:pPr>
          </w:p>
        </w:tc>
        <w:tc>
          <w:tcPr>
            <w:tcW w:w="1915" w:type="dxa"/>
            <w:tcBorders>
              <w:right w:val="single" w:color="000000" w:sz="12" w:space="0"/>
            </w:tcBorders>
          </w:tcPr>
          <w:p w14:paraId="172E4310">
            <w:pPr>
              <w:pStyle w:val="260"/>
              <w:autoSpaceDE w:val="0"/>
              <w:autoSpaceDN w:val="0"/>
              <w:spacing w:before="32" w:line="189" w:lineRule="auto"/>
              <w:ind w:left="72"/>
              <w:rPr>
                <w:color w:val="auto"/>
                <w:sz w:val="19"/>
                <w:szCs w:val="19"/>
              </w:rPr>
            </w:pPr>
          </w:p>
        </w:tc>
      </w:tr>
      <w:tr w14:paraId="0C30E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08947035">
            <w:pPr>
              <w:pStyle w:val="260"/>
              <w:autoSpaceDE w:val="0"/>
              <w:autoSpaceDN w:val="0"/>
              <w:spacing w:before="33" w:line="199" w:lineRule="auto"/>
              <w:ind w:left="444"/>
              <w:rPr>
                <w:color w:val="auto"/>
                <w:sz w:val="19"/>
                <w:szCs w:val="19"/>
              </w:rPr>
            </w:pPr>
          </w:p>
        </w:tc>
        <w:tc>
          <w:tcPr>
            <w:tcW w:w="1047" w:type="dxa"/>
          </w:tcPr>
          <w:p w14:paraId="41A166DD">
            <w:pPr>
              <w:autoSpaceDE w:val="0"/>
              <w:autoSpaceDN w:val="0"/>
              <w:rPr>
                <w:rFonts w:ascii="Arial"/>
                <w:sz w:val="21"/>
              </w:rPr>
            </w:pPr>
          </w:p>
        </w:tc>
        <w:tc>
          <w:tcPr>
            <w:tcW w:w="1824" w:type="dxa"/>
          </w:tcPr>
          <w:p w14:paraId="67F3FC4E">
            <w:pPr>
              <w:pStyle w:val="260"/>
              <w:autoSpaceDE w:val="0"/>
              <w:autoSpaceDN w:val="0"/>
              <w:spacing w:before="32" w:line="189" w:lineRule="auto"/>
              <w:ind w:left="38"/>
              <w:rPr>
                <w:color w:val="auto"/>
                <w:sz w:val="19"/>
                <w:szCs w:val="19"/>
              </w:rPr>
            </w:pPr>
          </w:p>
        </w:tc>
        <w:tc>
          <w:tcPr>
            <w:tcW w:w="1376" w:type="dxa"/>
          </w:tcPr>
          <w:p w14:paraId="16233C3E">
            <w:pPr>
              <w:pStyle w:val="260"/>
              <w:autoSpaceDE w:val="0"/>
              <w:autoSpaceDN w:val="0"/>
              <w:spacing w:before="32" w:line="188" w:lineRule="auto"/>
              <w:ind w:left="600"/>
              <w:rPr>
                <w:color w:val="auto"/>
                <w:sz w:val="19"/>
                <w:szCs w:val="19"/>
              </w:rPr>
            </w:pPr>
          </w:p>
        </w:tc>
        <w:tc>
          <w:tcPr>
            <w:tcW w:w="1301" w:type="dxa"/>
          </w:tcPr>
          <w:p w14:paraId="60CACC52">
            <w:pPr>
              <w:autoSpaceDE w:val="0"/>
              <w:autoSpaceDN w:val="0"/>
              <w:rPr>
                <w:rFonts w:ascii="Arial"/>
                <w:sz w:val="21"/>
              </w:rPr>
            </w:pPr>
          </w:p>
        </w:tc>
        <w:tc>
          <w:tcPr>
            <w:tcW w:w="1331" w:type="dxa"/>
          </w:tcPr>
          <w:p w14:paraId="5F0D4FA9">
            <w:pPr>
              <w:pStyle w:val="260"/>
              <w:autoSpaceDE w:val="0"/>
              <w:autoSpaceDN w:val="0"/>
              <w:spacing w:before="33" w:line="199" w:lineRule="auto"/>
              <w:ind w:left="274"/>
              <w:rPr>
                <w:color w:val="auto"/>
                <w:sz w:val="19"/>
                <w:szCs w:val="19"/>
              </w:rPr>
            </w:pPr>
          </w:p>
        </w:tc>
        <w:tc>
          <w:tcPr>
            <w:tcW w:w="1915" w:type="dxa"/>
            <w:tcBorders>
              <w:right w:val="single" w:color="000000" w:sz="12" w:space="0"/>
            </w:tcBorders>
          </w:tcPr>
          <w:p w14:paraId="1CB5F97D">
            <w:pPr>
              <w:pStyle w:val="260"/>
              <w:autoSpaceDE w:val="0"/>
              <w:autoSpaceDN w:val="0"/>
              <w:spacing w:before="33" w:line="189" w:lineRule="auto"/>
              <w:ind w:left="72"/>
              <w:rPr>
                <w:color w:val="auto"/>
                <w:sz w:val="19"/>
                <w:szCs w:val="19"/>
              </w:rPr>
            </w:pPr>
          </w:p>
        </w:tc>
      </w:tr>
      <w:tr w14:paraId="6C897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4AA34D23">
            <w:pPr>
              <w:pStyle w:val="260"/>
              <w:autoSpaceDE w:val="0"/>
              <w:autoSpaceDN w:val="0"/>
              <w:spacing w:before="35" w:line="198" w:lineRule="auto"/>
              <w:ind w:left="447"/>
              <w:rPr>
                <w:color w:val="auto"/>
                <w:sz w:val="19"/>
                <w:szCs w:val="19"/>
              </w:rPr>
            </w:pPr>
          </w:p>
        </w:tc>
        <w:tc>
          <w:tcPr>
            <w:tcW w:w="1047" w:type="dxa"/>
          </w:tcPr>
          <w:p w14:paraId="75D3111A">
            <w:pPr>
              <w:autoSpaceDE w:val="0"/>
              <w:autoSpaceDN w:val="0"/>
              <w:rPr>
                <w:rFonts w:ascii="Arial"/>
                <w:sz w:val="21"/>
              </w:rPr>
            </w:pPr>
          </w:p>
        </w:tc>
        <w:tc>
          <w:tcPr>
            <w:tcW w:w="1824" w:type="dxa"/>
          </w:tcPr>
          <w:p w14:paraId="3D440709">
            <w:pPr>
              <w:pStyle w:val="260"/>
              <w:autoSpaceDE w:val="0"/>
              <w:autoSpaceDN w:val="0"/>
              <w:spacing w:before="33" w:line="189" w:lineRule="auto"/>
              <w:ind w:left="36"/>
              <w:rPr>
                <w:color w:val="auto"/>
                <w:sz w:val="19"/>
                <w:szCs w:val="19"/>
              </w:rPr>
            </w:pPr>
          </w:p>
        </w:tc>
        <w:tc>
          <w:tcPr>
            <w:tcW w:w="1376" w:type="dxa"/>
          </w:tcPr>
          <w:p w14:paraId="75CEB005">
            <w:pPr>
              <w:pStyle w:val="260"/>
              <w:autoSpaceDE w:val="0"/>
              <w:autoSpaceDN w:val="0"/>
              <w:spacing w:before="33" w:line="188" w:lineRule="auto"/>
              <w:ind w:left="600"/>
              <w:rPr>
                <w:color w:val="auto"/>
                <w:sz w:val="19"/>
                <w:szCs w:val="19"/>
              </w:rPr>
            </w:pPr>
          </w:p>
        </w:tc>
        <w:tc>
          <w:tcPr>
            <w:tcW w:w="1301" w:type="dxa"/>
          </w:tcPr>
          <w:p w14:paraId="1543A229">
            <w:pPr>
              <w:autoSpaceDE w:val="0"/>
              <w:autoSpaceDN w:val="0"/>
              <w:rPr>
                <w:rFonts w:ascii="Arial"/>
                <w:sz w:val="21"/>
              </w:rPr>
            </w:pPr>
          </w:p>
        </w:tc>
        <w:tc>
          <w:tcPr>
            <w:tcW w:w="1331" w:type="dxa"/>
          </w:tcPr>
          <w:p w14:paraId="5EB0B990">
            <w:pPr>
              <w:pStyle w:val="260"/>
              <w:autoSpaceDE w:val="0"/>
              <w:autoSpaceDN w:val="0"/>
              <w:spacing w:before="35" w:line="198" w:lineRule="auto"/>
              <w:ind w:left="274"/>
              <w:rPr>
                <w:color w:val="auto"/>
                <w:sz w:val="19"/>
                <w:szCs w:val="19"/>
              </w:rPr>
            </w:pPr>
          </w:p>
        </w:tc>
        <w:tc>
          <w:tcPr>
            <w:tcW w:w="1915" w:type="dxa"/>
            <w:tcBorders>
              <w:right w:val="single" w:color="000000" w:sz="12" w:space="0"/>
            </w:tcBorders>
          </w:tcPr>
          <w:p w14:paraId="3CCBABC5">
            <w:pPr>
              <w:pStyle w:val="260"/>
              <w:autoSpaceDE w:val="0"/>
              <w:autoSpaceDN w:val="0"/>
              <w:spacing w:before="34" w:line="189" w:lineRule="auto"/>
              <w:ind w:left="72"/>
              <w:rPr>
                <w:color w:val="auto"/>
                <w:sz w:val="19"/>
                <w:szCs w:val="19"/>
              </w:rPr>
            </w:pPr>
          </w:p>
        </w:tc>
      </w:tr>
      <w:tr w14:paraId="3CEEB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6FE602EB">
            <w:pPr>
              <w:autoSpaceDE w:val="0"/>
              <w:autoSpaceDN w:val="0"/>
              <w:rPr>
                <w:rFonts w:ascii="Arial"/>
                <w:sz w:val="21"/>
              </w:rPr>
            </w:pPr>
          </w:p>
        </w:tc>
        <w:tc>
          <w:tcPr>
            <w:tcW w:w="1047" w:type="dxa"/>
          </w:tcPr>
          <w:p w14:paraId="660AEAAE">
            <w:pPr>
              <w:autoSpaceDE w:val="0"/>
              <w:autoSpaceDN w:val="0"/>
              <w:rPr>
                <w:rFonts w:ascii="Arial"/>
                <w:sz w:val="21"/>
              </w:rPr>
            </w:pPr>
          </w:p>
        </w:tc>
        <w:tc>
          <w:tcPr>
            <w:tcW w:w="1824" w:type="dxa"/>
          </w:tcPr>
          <w:p w14:paraId="4BD9F20C">
            <w:pPr>
              <w:autoSpaceDE w:val="0"/>
              <w:autoSpaceDN w:val="0"/>
              <w:rPr>
                <w:rFonts w:ascii="Arial"/>
                <w:sz w:val="21"/>
              </w:rPr>
            </w:pPr>
          </w:p>
        </w:tc>
        <w:tc>
          <w:tcPr>
            <w:tcW w:w="1376" w:type="dxa"/>
          </w:tcPr>
          <w:p w14:paraId="0327923A">
            <w:pPr>
              <w:autoSpaceDE w:val="0"/>
              <w:autoSpaceDN w:val="0"/>
              <w:rPr>
                <w:rFonts w:ascii="Arial"/>
                <w:sz w:val="21"/>
              </w:rPr>
            </w:pPr>
          </w:p>
        </w:tc>
        <w:tc>
          <w:tcPr>
            <w:tcW w:w="1301" w:type="dxa"/>
          </w:tcPr>
          <w:p w14:paraId="202162B6">
            <w:pPr>
              <w:autoSpaceDE w:val="0"/>
              <w:autoSpaceDN w:val="0"/>
              <w:rPr>
                <w:rFonts w:ascii="Arial"/>
                <w:sz w:val="21"/>
              </w:rPr>
            </w:pPr>
          </w:p>
        </w:tc>
        <w:tc>
          <w:tcPr>
            <w:tcW w:w="1331" w:type="dxa"/>
          </w:tcPr>
          <w:p w14:paraId="3BD496F8">
            <w:pPr>
              <w:autoSpaceDE w:val="0"/>
              <w:autoSpaceDN w:val="0"/>
              <w:rPr>
                <w:rFonts w:ascii="Arial"/>
                <w:sz w:val="21"/>
              </w:rPr>
            </w:pPr>
          </w:p>
        </w:tc>
        <w:tc>
          <w:tcPr>
            <w:tcW w:w="1915" w:type="dxa"/>
            <w:tcBorders>
              <w:right w:val="single" w:color="000000" w:sz="12" w:space="0"/>
            </w:tcBorders>
          </w:tcPr>
          <w:p w14:paraId="65B07112">
            <w:pPr>
              <w:autoSpaceDE w:val="0"/>
              <w:autoSpaceDN w:val="0"/>
              <w:rPr>
                <w:rFonts w:ascii="Arial"/>
                <w:sz w:val="21"/>
              </w:rPr>
            </w:pPr>
          </w:p>
        </w:tc>
      </w:tr>
      <w:tr w14:paraId="4F5CB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2DC5F321">
            <w:pPr>
              <w:autoSpaceDE w:val="0"/>
              <w:autoSpaceDN w:val="0"/>
              <w:rPr>
                <w:rFonts w:ascii="Arial"/>
                <w:sz w:val="21"/>
              </w:rPr>
            </w:pPr>
          </w:p>
        </w:tc>
        <w:tc>
          <w:tcPr>
            <w:tcW w:w="1047" w:type="dxa"/>
          </w:tcPr>
          <w:p w14:paraId="1E0CFFA6">
            <w:pPr>
              <w:autoSpaceDE w:val="0"/>
              <w:autoSpaceDN w:val="0"/>
              <w:rPr>
                <w:rFonts w:ascii="Arial"/>
                <w:sz w:val="21"/>
              </w:rPr>
            </w:pPr>
          </w:p>
        </w:tc>
        <w:tc>
          <w:tcPr>
            <w:tcW w:w="1824" w:type="dxa"/>
          </w:tcPr>
          <w:p w14:paraId="73B841CB">
            <w:pPr>
              <w:autoSpaceDE w:val="0"/>
              <w:autoSpaceDN w:val="0"/>
              <w:rPr>
                <w:rFonts w:ascii="Arial"/>
                <w:sz w:val="21"/>
              </w:rPr>
            </w:pPr>
          </w:p>
        </w:tc>
        <w:tc>
          <w:tcPr>
            <w:tcW w:w="1376" w:type="dxa"/>
          </w:tcPr>
          <w:p w14:paraId="7EC0F550">
            <w:pPr>
              <w:autoSpaceDE w:val="0"/>
              <w:autoSpaceDN w:val="0"/>
              <w:rPr>
                <w:rFonts w:ascii="Arial"/>
                <w:sz w:val="21"/>
              </w:rPr>
            </w:pPr>
          </w:p>
        </w:tc>
        <w:tc>
          <w:tcPr>
            <w:tcW w:w="1301" w:type="dxa"/>
          </w:tcPr>
          <w:p w14:paraId="4B9005E8">
            <w:pPr>
              <w:autoSpaceDE w:val="0"/>
              <w:autoSpaceDN w:val="0"/>
              <w:rPr>
                <w:rFonts w:ascii="Arial"/>
                <w:sz w:val="21"/>
              </w:rPr>
            </w:pPr>
          </w:p>
        </w:tc>
        <w:tc>
          <w:tcPr>
            <w:tcW w:w="1331" w:type="dxa"/>
          </w:tcPr>
          <w:p w14:paraId="6F3F7B42">
            <w:pPr>
              <w:autoSpaceDE w:val="0"/>
              <w:autoSpaceDN w:val="0"/>
              <w:rPr>
                <w:rFonts w:ascii="Arial"/>
                <w:sz w:val="21"/>
              </w:rPr>
            </w:pPr>
          </w:p>
        </w:tc>
        <w:tc>
          <w:tcPr>
            <w:tcW w:w="1915" w:type="dxa"/>
            <w:tcBorders>
              <w:right w:val="single" w:color="000000" w:sz="12" w:space="0"/>
            </w:tcBorders>
          </w:tcPr>
          <w:p w14:paraId="716874FB">
            <w:pPr>
              <w:autoSpaceDE w:val="0"/>
              <w:autoSpaceDN w:val="0"/>
              <w:rPr>
                <w:rFonts w:ascii="Arial"/>
                <w:sz w:val="21"/>
              </w:rPr>
            </w:pPr>
          </w:p>
        </w:tc>
      </w:tr>
      <w:tr w14:paraId="71184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32126021">
            <w:pPr>
              <w:autoSpaceDE w:val="0"/>
              <w:autoSpaceDN w:val="0"/>
              <w:rPr>
                <w:rFonts w:ascii="Arial"/>
                <w:sz w:val="21"/>
              </w:rPr>
            </w:pPr>
          </w:p>
        </w:tc>
        <w:tc>
          <w:tcPr>
            <w:tcW w:w="1047" w:type="dxa"/>
          </w:tcPr>
          <w:p w14:paraId="05FEA9A9">
            <w:pPr>
              <w:autoSpaceDE w:val="0"/>
              <w:autoSpaceDN w:val="0"/>
              <w:rPr>
                <w:rFonts w:ascii="Arial"/>
                <w:sz w:val="21"/>
              </w:rPr>
            </w:pPr>
          </w:p>
        </w:tc>
        <w:tc>
          <w:tcPr>
            <w:tcW w:w="1824" w:type="dxa"/>
          </w:tcPr>
          <w:p w14:paraId="15BF5971">
            <w:pPr>
              <w:autoSpaceDE w:val="0"/>
              <w:autoSpaceDN w:val="0"/>
              <w:rPr>
                <w:rFonts w:ascii="Arial"/>
                <w:sz w:val="21"/>
              </w:rPr>
            </w:pPr>
          </w:p>
        </w:tc>
        <w:tc>
          <w:tcPr>
            <w:tcW w:w="1376" w:type="dxa"/>
          </w:tcPr>
          <w:p w14:paraId="68D6FB7F">
            <w:pPr>
              <w:autoSpaceDE w:val="0"/>
              <w:autoSpaceDN w:val="0"/>
              <w:rPr>
                <w:rFonts w:ascii="Arial"/>
                <w:sz w:val="21"/>
              </w:rPr>
            </w:pPr>
          </w:p>
        </w:tc>
        <w:tc>
          <w:tcPr>
            <w:tcW w:w="1301" w:type="dxa"/>
          </w:tcPr>
          <w:p w14:paraId="1A7B20DD">
            <w:pPr>
              <w:autoSpaceDE w:val="0"/>
              <w:autoSpaceDN w:val="0"/>
              <w:rPr>
                <w:rFonts w:ascii="Arial"/>
                <w:sz w:val="21"/>
              </w:rPr>
            </w:pPr>
          </w:p>
        </w:tc>
        <w:tc>
          <w:tcPr>
            <w:tcW w:w="1331" w:type="dxa"/>
          </w:tcPr>
          <w:p w14:paraId="00A87D14">
            <w:pPr>
              <w:autoSpaceDE w:val="0"/>
              <w:autoSpaceDN w:val="0"/>
              <w:rPr>
                <w:rFonts w:ascii="Arial"/>
                <w:sz w:val="21"/>
              </w:rPr>
            </w:pPr>
          </w:p>
        </w:tc>
        <w:tc>
          <w:tcPr>
            <w:tcW w:w="1915" w:type="dxa"/>
            <w:tcBorders>
              <w:right w:val="single" w:color="000000" w:sz="12" w:space="0"/>
            </w:tcBorders>
          </w:tcPr>
          <w:p w14:paraId="5AD323FB">
            <w:pPr>
              <w:autoSpaceDE w:val="0"/>
              <w:autoSpaceDN w:val="0"/>
              <w:rPr>
                <w:rFonts w:ascii="Arial"/>
                <w:sz w:val="21"/>
              </w:rPr>
            </w:pPr>
          </w:p>
        </w:tc>
      </w:tr>
      <w:tr w14:paraId="7225E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4C14267D">
            <w:pPr>
              <w:autoSpaceDE w:val="0"/>
              <w:autoSpaceDN w:val="0"/>
              <w:rPr>
                <w:rFonts w:ascii="Arial"/>
                <w:sz w:val="21"/>
              </w:rPr>
            </w:pPr>
          </w:p>
        </w:tc>
        <w:tc>
          <w:tcPr>
            <w:tcW w:w="1047" w:type="dxa"/>
          </w:tcPr>
          <w:p w14:paraId="3C1578D4">
            <w:pPr>
              <w:autoSpaceDE w:val="0"/>
              <w:autoSpaceDN w:val="0"/>
              <w:rPr>
                <w:rFonts w:ascii="Arial"/>
                <w:sz w:val="21"/>
              </w:rPr>
            </w:pPr>
          </w:p>
        </w:tc>
        <w:tc>
          <w:tcPr>
            <w:tcW w:w="1824" w:type="dxa"/>
          </w:tcPr>
          <w:p w14:paraId="1EC93AAE">
            <w:pPr>
              <w:autoSpaceDE w:val="0"/>
              <w:autoSpaceDN w:val="0"/>
              <w:rPr>
                <w:rFonts w:ascii="Arial"/>
                <w:sz w:val="21"/>
              </w:rPr>
            </w:pPr>
          </w:p>
        </w:tc>
        <w:tc>
          <w:tcPr>
            <w:tcW w:w="1376" w:type="dxa"/>
          </w:tcPr>
          <w:p w14:paraId="28DCDAA3">
            <w:pPr>
              <w:autoSpaceDE w:val="0"/>
              <w:autoSpaceDN w:val="0"/>
              <w:rPr>
                <w:rFonts w:ascii="Arial"/>
                <w:sz w:val="21"/>
              </w:rPr>
            </w:pPr>
          </w:p>
        </w:tc>
        <w:tc>
          <w:tcPr>
            <w:tcW w:w="1301" w:type="dxa"/>
          </w:tcPr>
          <w:p w14:paraId="3BBC663F">
            <w:pPr>
              <w:autoSpaceDE w:val="0"/>
              <w:autoSpaceDN w:val="0"/>
              <w:rPr>
                <w:rFonts w:ascii="Arial"/>
                <w:sz w:val="21"/>
              </w:rPr>
            </w:pPr>
          </w:p>
        </w:tc>
        <w:tc>
          <w:tcPr>
            <w:tcW w:w="1331" w:type="dxa"/>
          </w:tcPr>
          <w:p w14:paraId="45AB6038">
            <w:pPr>
              <w:autoSpaceDE w:val="0"/>
              <w:autoSpaceDN w:val="0"/>
              <w:rPr>
                <w:rFonts w:ascii="Arial"/>
                <w:sz w:val="21"/>
              </w:rPr>
            </w:pPr>
          </w:p>
        </w:tc>
        <w:tc>
          <w:tcPr>
            <w:tcW w:w="1915" w:type="dxa"/>
            <w:tcBorders>
              <w:right w:val="single" w:color="000000" w:sz="12" w:space="0"/>
            </w:tcBorders>
          </w:tcPr>
          <w:p w14:paraId="5A971C4F">
            <w:pPr>
              <w:autoSpaceDE w:val="0"/>
              <w:autoSpaceDN w:val="0"/>
              <w:rPr>
                <w:rFonts w:ascii="Arial"/>
                <w:sz w:val="21"/>
              </w:rPr>
            </w:pPr>
          </w:p>
        </w:tc>
      </w:tr>
      <w:tr w14:paraId="5554A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32F49B83">
            <w:pPr>
              <w:autoSpaceDE w:val="0"/>
              <w:autoSpaceDN w:val="0"/>
              <w:rPr>
                <w:rFonts w:ascii="Arial"/>
                <w:sz w:val="21"/>
              </w:rPr>
            </w:pPr>
          </w:p>
        </w:tc>
        <w:tc>
          <w:tcPr>
            <w:tcW w:w="1047" w:type="dxa"/>
          </w:tcPr>
          <w:p w14:paraId="6CFEB572">
            <w:pPr>
              <w:autoSpaceDE w:val="0"/>
              <w:autoSpaceDN w:val="0"/>
              <w:rPr>
                <w:rFonts w:ascii="Arial"/>
                <w:sz w:val="21"/>
              </w:rPr>
            </w:pPr>
          </w:p>
        </w:tc>
        <w:tc>
          <w:tcPr>
            <w:tcW w:w="1824" w:type="dxa"/>
          </w:tcPr>
          <w:p w14:paraId="0283D3D9">
            <w:pPr>
              <w:autoSpaceDE w:val="0"/>
              <w:autoSpaceDN w:val="0"/>
              <w:rPr>
                <w:rFonts w:ascii="Arial"/>
                <w:sz w:val="21"/>
              </w:rPr>
            </w:pPr>
          </w:p>
        </w:tc>
        <w:tc>
          <w:tcPr>
            <w:tcW w:w="1376" w:type="dxa"/>
          </w:tcPr>
          <w:p w14:paraId="1662E202">
            <w:pPr>
              <w:autoSpaceDE w:val="0"/>
              <w:autoSpaceDN w:val="0"/>
              <w:rPr>
                <w:rFonts w:ascii="Arial"/>
                <w:sz w:val="21"/>
              </w:rPr>
            </w:pPr>
          </w:p>
        </w:tc>
        <w:tc>
          <w:tcPr>
            <w:tcW w:w="1301" w:type="dxa"/>
          </w:tcPr>
          <w:p w14:paraId="6A8526B7">
            <w:pPr>
              <w:autoSpaceDE w:val="0"/>
              <w:autoSpaceDN w:val="0"/>
              <w:rPr>
                <w:rFonts w:ascii="Arial"/>
                <w:sz w:val="21"/>
              </w:rPr>
            </w:pPr>
          </w:p>
        </w:tc>
        <w:tc>
          <w:tcPr>
            <w:tcW w:w="1331" w:type="dxa"/>
          </w:tcPr>
          <w:p w14:paraId="112B2FF9">
            <w:pPr>
              <w:autoSpaceDE w:val="0"/>
              <w:autoSpaceDN w:val="0"/>
              <w:rPr>
                <w:rFonts w:ascii="Arial"/>
                <w:sz w:val="21"/>
              </w:rPr>
            </w:pPr>
          </w:p>
        </w:tc>
        <w:tc>
          <w:tcPr>
            <w:tcW w:w="1915" w:type="dxa"/>
            <w:tcBorders>
              <w:right w:val="single" w:color="000000" w:sz="12" w:space="0"/>
            </w:tcBorders>
          </w:tcPr>
          <w:p w14:paraId="40DC0FBD">
            <w:pPr>
              <w:autoSpaceDE w:val="0"/>
              <w:autoSpaceDN w:val="0"/>
              <w:rPr>
                <w:rFonts w:ascii="Arial"/>
                <w:sz w:val="21"/>
              </w:rPr>
            </w:pPr>
          </w:p>
        </w:tc>
      </w:tr>
      <w:tr w14:paraId="7B4BC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2C7A4C06">
            <w:pPr>
              <w:autoSpaceDE w:val="0"/>
              <w:autoSpaceDN w:val="0"/>
              <w:rPr>
                <w:rFonts w:ascii="Arial"/>
                <w:sz w:val="21"/>
              </w:rPr>
            </w:pPr>
          </w:p>
        </w:tc>
        <w:tc>
          <w:tcPr>
            <w:tcW w:w="1047" w:type="dxa"/>
          </w:tcPr>
          <w:p w14:paraId="6AC352CD">
            <w:pPr>
              <w:autoSpaceDE w:val="0"/>
              <w:autoSpaceDN w:val="0"/>
              <w:rPr>
                <w:rFonts w:ascii="Arial"/>
                <w:sz w:val="21"/>
              </w:rPr>
            </w:pPr>
          </w:p>
        </w:tc>
        <w:tc>
          <w:tcPr>
            <w:tcW w:w="1824" w:type="dxa"/>
          </w:tcPr>
          <w:p w14:paraId="624C6D65">
            <w:pPr>
              <w:autoSpaceDE w:val="0"/>
              <w:autoSpaceDN w:val="0"/>
              <w:rPr>
                <w:rFonts w:ascii="Arial"/>
                <w:sz w:val="21"/>
              </w:rPr>
            </w:pPr>
          </w:p>
        </w:tc>
        <w:tc>
          <w:tcPr>
            <w:tcW w:w="1376" w:type="dxa"/>
          </w:tcPr>
          <w:p w14:paraId="290D9D40">
            <w:pPr>
              <w:autoSpaceDE w:val="0"/>
              <w:autoSpaceDN w:val="0"/>
              <w:rPr>
                <w:rFonts w:ascii="Arial"/>
                <w:sz w:val="21"/>
              </w:rPr>
            </w:pPr>
          </w:p>
        </w:tc>
        <w:tc>
          <w:tcPr>
            <w:tcW w:w="1301" w:type="dxa"/>
          </w:tcPr>
          <w:p w14:paraId="0A5666C3">
            <w:pPr>
              <w:autoSpaceDE w:val="0"/>
              <w:autoSpaceDN w:val="0"/>
              <w:rPr>
                <w:rFonts w:ascii="Arial"/>
                <w:sz w:val="21"/>
              </w:rPr>
            </w:pPr>
          </w:p>
        </w:tc>
        <w:tc>
          <w:tcPr>
            <w:tcW w:w="1331" w:type="dxa"/>
          </w:tcPr>
          <w:p w14:paraId="2FB0F765">
            <w:pPr>
              <w:autoSpaceDE w:val="0"/>
              <w:autoSpaceDN w:val="0"/>
              <w:rPr>
                <w:rFonts w:ascii="Arial"/>
                <w:sz w:val="21"/>
              </w:rPr>
            </w:pPr>
          </w:p>
        </w:tc>
        <w:tc>
          <w:tcPr>
            <w:tcW w:w="1915" w:type="dxa"/>
            <w:tcBorders>
              <w:right w:val="single" w:color="000000" w:sz="12" w:space="0"/>
            </w:tcBorders>
          </w:tcPr>
          <w:p w14:paraId="330FAC24">
            <w:pPr>
              <w:autoSpaceDE w:val="0"/>
              <w:autoSpaceDN w:val="0"/>
              <w:rPr>
                <w:rFonts w:ascii="Arial"/>
                <w:sz w:val="21"/>
              </w:rPr>
            </w:pPr>
          </w:p>
        </w:tc>
      </w:tr>
      <w:tr w14:paraId="732F0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24542F47">
            <w:pPr>
              <w:autoSpaceDE w:val="0"/>
              <w:autoSpaceDN w:val="0"/>
              <w:rPr>
                <w:rFonts w:ascii="Arial"/>
                <w:sz w:val="21"/>
              </w:rPr>
            </w:pPr>
          </w:p>
        </w:tc>
        <w:tc>
          <w:tcPr>
            <w:tcW w:w="1047" w:type="dxa"/>
          </w:tcPr>
          <w:p w14:paraId="4CA67283">
            <w:pPr>
              <w:autoSpaceDE w:val="0"/>
              <w:autoSpaceDN w:val="0"/>
              <w:rPr>
                <w:rFonts w:ascii="Arial"/>
                <w:sz w:val="21"/>
              </w:rPr>
            </w:pPr>
          </w:p>
        </w:tc>
        <w:tc>
          <w:tcPr>
            <w:tcW w:w="1824" w:type="dxa"/>
          </w:tcPr>
          <w:p w14:paraId="2883DC84">
            <w:pPr>
              <w:autoSpaceDE w:val="0"/>
              <w:autoSpaceDN w:val="0"/>
              <w:rPr>
                <w:rFonts w:ascii="Arial"/>
                <w:sz w:val="21"/>
              </w:rPr>
            </w:pPr>
          </w:p>
        </w:tc>
        <w:tc>
          <w:tcPr>
            <w:tcW w:w="1376" w:type="dxa"/>
          </w:tcPr>
          <w:p w14:paraId="65AF6E05">
            <w:pPr>
              <w:autoSpaceDE w:val="0"/>
              <w:autoSpaceDN w:val="0"/>
              <w:rPr>
                <w:rFonts w:ascii="Arial"/>
                <w:sz w:val="21"/>
              </w:rPr>
            </w:pPr>
          </w:p>
        </w:tc>
        <w:tc>
          <w:tcPr>
            <w:tcW w:w="1301" w:type="dxa"/>
          </w:tcPr>
          <w:p w14:paraId="161CAD41">
            <w:pPr>
              <w:autoSpaceDE w:val="0"/>
              <w:autoSpaceDN w:val="0"/>
              <w:rPr>
                <w:rFonts w:ascii="Arial"/>
                <w:sz w:val="21"/>
              </w:rPr>
            </w:pPr>
          </w:p>
        </w:tc>
        <w:tc>
          <w:tcPr>
            <w:tcW w:w="1331" w:type="dxa"/>
          </w:tcPr>
          <w:p w14:paraId="652F5E9E">
            <w:pPr>
              <w:autoSpaceDE w:val="0"/>
              <w:autoSpaceDN w:val="0"/>
              <w:rPr>
                <w:rFonts w:ascii="Arial"/>
                <w:sz w:val="21"/>
              </w:rPr>
            </w:pPr>
          </w:p>
        </w:tc>
        <w:tc>
          <w:tcPr>
            <w:tcW w:w="1915" w:type="dxa"/>
            <w:tcBorders>
              <w:right w:val="single" w:color="000000" w:sz="12" w:space="0"/>
            </w:tcBorders>
          </w:tcPr>
          <w:p w14:paraId="654DC297">
            <w:pPr>
              <w:autoSpaceDE w:val="0"/>
              <w:autoSpaceDN w:val="0"/>
              <w:rPr>
                <w:rFonts w:ascii="Arial"/>
                <w:sz w:val="21"/>
              </w:rPr>
            </w:pPr>
          </w:p>
        </w:tc>
      </w:tr>
      <w:tr w14:paraId="69222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6E9E7D9B">
            <w:pPr>
              <w:autoSpaceDE w:val="0"/>
              <w:autoSpaceDN w:val="0"/>
              <w:rPr>
                <w:rFonts w:ascii="Arial"/>
                <w:sz w:val="21"/>
              </w:rPr>
            </w:pPr>
          </w:p>
        </w:tc>
        <w:tc>
          <w:tcPr>
            <w:tcW w:w="1047" w:type="dxa"/>
          </w:tcPr>
          <w:p w14:paraId="51458FBB">
            <w:pPr>
              <w:autoSpaceDE w:val="0"/>
              <w:autoSpaceDN w:val="0"/>
              <w:rPr>
                <w:rFonts w:ascii="Arial"/>
                <w:sz w:val="21"/>
              </w:rPr>
            </w:pPr>
          </w:p>
        </w:tc>
        <w:tc>
          <w:tcPr>
            <w:tcW w:w="1824" w:type="dxa"/>
          </w:tcPr>
          <w:p w14:paraId="74A7CC7A">
            <w:pPr>
              <w:autoSpaceDE w:val="0"/>
              <w:autoSpaceDN w:val="0"/>
              <w:rPr>
                <w:rFonts w:ascii="Arial"/>
                <w:sz w:val="21"/>
              </w:rPr>
            </w:pPr>
          </w:p>
        </w:tc>
        <w:tc>
          <w:tcPr>
            <w:tcW w:w="1376" w:type="dxa"/>
          </w:tcPr>
          <w:p w14:paraId="645C5277">
            <w:pPr>
              <w:autoSpaceDE w:val="0"/>
              <w:autoSpaceDN w:val="0"/>
              <w:rPr>
                <w:rFonts w:ascii="Arial"/>
                <w:sz w:val="21"/>
              </w:rPr>
            </w:pPr>
          </w:p>
        </w:tc>
        <w:tc>
          <w:tcPr>
            <w:tcW w:w="1301" w:type="dxa"/>
          </w:tcPr>
          <w:p w14:paraId="44D479AB">
            <w:pPr>
              <w:autoSpaceDE w:val="0"/>
              <w:autoSpaceDN w:val="0"/>
              <w:rPr>
                <w:rFonts w:ascii="Arial"/>
                <w:sz w:val="21"/>
              </w:rPr>
            </w:pPr>
          </w:p>
        </w:tc>
        <w:tc>
          <w:tcPr>
            <w:tcW w:w="1331" w:type="dxa"/>
          </w:tcPr>
          <w:p w14:paraId="264C782E">
            <w:pPr>
              <w:autoSpaceDE w:val="0"/>
              <w:autoSpaceDN w:val="0"/>
              <w:rPr>
                <w:rFonts w:ascii="Arial"/>
                <w:sz w:val="21"/>
              </w:rPr>
            </w:pPr>
          </w:p>
        </w:tc>
        <w:tc>
          <w:tcPr>
            <w:tcW w:w="1915" w:type="dxa"/>
            <w:tcBorders>
              <w:right w:val="single" w:color="000000" w:sz="12" w:space="0"/>
            </w:tcBorders>
          </w:tcPr>
          <w:p w14:paraId="5EAB3521">
            <w:pPr>
              <w:autoSpaceDE w:val="0"/>
              <w:autoSpaceDN w:val="0"/>
              <w:rPr>
                <w:rFonts w:ascii="Arial"/>
                <w:sz w:val="21"/>
              </w:rPr>
            </w:pPr>
          </w:p>
        </w:tc>
      </w:tr>
      <w:tr w14:paraId="310C1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45" w:type="dxa"/>
            <w:tcBorders>
              <w:left w:val="single" w:color="000000" w:sz="12" w:space="0"/>
            </w:tcBorders>
          </w:tcPr>
          <w:p w14:paraId="5EC81F58">
            <w:pPr>
              <w:autoSpaceDE w:val="0"/>
              <w:autoSpaceDN w:val="0"/>
              <w:rPr>
                <w:rFonts w:ascii="Arial"/>
                <w:sz w:val="21"/>
              </w:rPr>
            </w:pPr>
          </w:p>
        </w:tc>
        <w:tc>
          <w:tcPr>
            <w:tcW w:w="1047" w:type="dxa"/>
          </w:tcPr>
          <w:p w14:paraId="3E6759EC">
            <w:pPr>
              <w:autoSpaceDE w:val="0"/>
              <w:autoSpaceDN w:val="0"/>
              <w:rPr>
                <w:rFonts w:ascii="Arial"/>
                <w:sz w:val="21"/>
              </w:rPr>
            </w:pPr>
          </w:p>
        </w:tc>
        <w:tc>
          <w:tcPr>
            <w:tcW w:w="1824" w:type="dxa"/>
          </w:tcPr>
          <w:p w14:paraId="1DF17C3E">
            <w:pPr>
              <w:autoSpaceDE w:val="0"/>
              <w:autoSpaceDN w:val="0"/>
              <w:rPr>
                <w:rFonts w:ascii="Arial"/>
                <w:sz w:val="21"/>
              </w:rPr>
            </w:pPr>
          </w:p>
        </w:tc>
        <w:tc>
          <w:tcPr>
            <w:tcW w:w="1376" w:type="dxa"/>
          </w:tcPr>
          <w:p w14:paraId="54381144">
            <w:pPr>
              <w:autoSpaceDE w:val="0"/>
              <w:autoSpaceDN w:val="0"/>
              <w:rPr>
                <w:rFonts w:ascii="Arial"/>
                <w:sz w:val="21"/>
              </w:rPr>
            </w:pPr>
          </w:p>
        </w:tc>
        <w:tc>
          <w:tcPr>
            <w:tcW w:w="1301" w:type="dxa"/>
          </w:tcPr>
          <w:p w14:paraId="05FB4722">
            <w:pPr>
              <w:autoSpaceDE w:val="0"/>
              <w:autoSpaceDN w:val="0"/>
              <w:rPr>
                <w:rFonts w:ascii="Arial"/>
                <w:sz w:val="21"/>
              </w:rPr>
            </w:pPr>
          </w:p>
        </w:tc>
        <w:tc>
          <w:tcPr>
            <w:tcW w:w="1331" w:type="dxa"/>
          </w:tcPr>
          <w:p w14:paraId="13E48645">
            <w:pPr>
              <w:autoSpaceDE w:val="0"/>
              <w:autoSpaceDN w:val="0"/>
              <w:rPr>
                <w:rFonts w:ascii="Arial"/>
                <w:sz w:val="21"/>
              </w:rPr>
            </w:pPr>
          </w:p>
        </w:tc>
        <w:tc>
          <w:tcPr>
            <w:tcW w:w="1915" w:type="dxa"/>
            <w:tcBorders>
              <w:right w:val="single" w:color="000000" w:sz="12" w:space="0"/>
            </w:tcBorders>
          </w:tcPr>
          <w:p w14:paraId="40FFD145">
            <w:pPr>
              <w:autoSpaceDE w:val="0"/>
              <w:autoSpaceDN w:val="0"/>
              <w:rPr>
                <w:rFonts w:ascii="Arial"/>
                <w:sz w:val="21"/>
              </w:rPr>
            </w:pPr>
          </w:p>
        </w:tc>
      </w:tr>
      <w:tr w14:paraId="62EC2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393" w:type="dxa"/>
            <w:gridSpan w:val="5"/>
            <w:tcBorders>
              <w:left w:val="single" w:color="000000" w:sz="12" w:space="0"/>
            </w:tcBorders>
          </w:tcPr>
          <w:p w14:paraId="375490EE">
            <w:pPr>
              <w:pStyle w:val="260"/>
              <w:autoSpaceDE w:val="0"/>
              <w:autoSpaceDN w:val="0"/>
              <w:spacing w:before="86" w:line="188" w:lineRule="auto"/>
              <w:ind w:left="2888"/>
              <w:rPr>
                <w:color w:val="auto"/>
                <w:sz w:val="19"/>
                <w:szCs w:val="19"/>
              </w:rPr>
            </w:pPr>
            <w:r>
              <w:rPr>
                <w:color w:val="auto"/>
                <w:spacing w:val="2"/>
                <w:sz w:val="19"/>
                <w:szCs w:val="19"/>
              </w:rPr>
              <w:t>本页小计</w:t>
            </w:r>
          </w:p>
        </w:tc>
        <w:tc>
          <w:tcPr>
            <w:tcW w:w="1331" w:type="dxa"/>
          </w:tcPr>
          <w:p w14:paraId="4248D13A">
            <w:pPr>
              <w:pStyle w:val="260"/>
              <w:autoSpaceDE w:val="0"/>
              <w:autoSpaceDN w:val="0"/>
              <w:spacing w:before="86" w:line="193" w:lineRule="auto"/>
              <w:ind w:left="222"/>
              <w:rPr>
                <w:color w:val="auto"/>
                <w:sz w:val="19"/>
                <w:szCs w:val="19"/>
              </w:rPr>
            </w:pPr>
          </w:p>
        </w:tc>
        <w:tc>
          <w:tcPr>
            <w:tcW w:w="1915" w:type="dxa"/>
            <w:tcBorders>
              <w:right w:val="single" w:color="000000" w:sz="12" w:space="0"/>
            </w:tcBorders>
          </w:tcPr>
          <w:p w14:paraId="7E8F84F2">
            <w:pPr>
              <w:pStyle w:val="260"/>
              <w:autoSpaceDE w:val="0"/>
              <w:autoSpaceDN w:val="0"/>
              <w:spacing w:before="178" w:line="145" w:lineRule="exact"/>
              <w:ind w:left="975"/>
              <w:rPr>
                <w:color w:val="auto"/>
                <w:sz w:val="19"/>
                <w:szCs w:val="19"/>
              </w:rPr>
            </w:pPr>
          </w:p>
        </w:tc>
      </w:tr>
      <w:tr w14:paraId="431C8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6393" w:type="dxa"/>
            <w:gridSpan w:val="5"/>
            <w:tcBorders>
              <w:left w:val="single" w:color="000000" w:sz="12" w:space="0"/>
              <w:bottom w:val="single" w:color="000000" w:sz="12" w:space="0"/>
            </w:tcBorders>
          </w:tcPr>
          <w:p w14:paraId="17B3B0CB">
            <w:pPr>
              <w:pStyle w:val="260"/>
              <w:autoSpaceDE w:val="0"/>
              <w:autoSpaceDN w:val="0"/>
              <w:spacing w:before="86" w:line="189" w:lineRule="auto"/>
              <w:ind w:left="2925"/>
              <w:rPr>
                <w:color w:val="auto"/>
                <w:sz w:val="19"/>
                <w:szCs w:val="19"/>
              </w:rPr>
            </w:pPr>
            <w:r>
              <w:rPr>
                <w:color w:val="auto"/>
                <w:spacing w:val="-3"/>
                <w:sz w:val="19"/>
                <w:szCs w:val="19"/>
              </w:rPr>
              <w:t>合</w:t>
            </w:r>
            <w:r>
              <w:rPr>
                <w:color w:val="auto"/>
                <w:spacing w:val="8"/>
                <w:sz w:val="19"/>
                <w:szCs w:val="19"/>
              </w:rPr>
              <w:t xml:space="preserve">     </w:t>
            </w:r>
            <w:r>
              <w:rPr>
                <w:color w:val="auto"/>
                <w:spacing w:val="-3"/>
                <w:sz w:val="19"/>
                <w:szCs w:val="19"/>
              </w:rPr>
              <w:t>计</w:t>
            </w:r>
          </w:p>
        </w:tc>
        <w:tc>
          <w:tcPr>
            <w:tcW w:w="1331" w:type="dxa"/>
            <w:tcBorders>
              <w:bottom w:val="single" w:color="000000" w:sz="12" w:space="0"/>
            </w:tcBorders>
          </w:tcPr>
          <w:p w14:paraId="63921E6E">
            <w:pPr>
              <w:pStyle w:val="260"/>
              <w:autoSpaceDE w:val="0"/>
              <w:autoSpaceDN w:val="0"/>
              <w:spacing w:before="86" w:line="204" w:lineRule="auto"/>
              <w:ind w:left="222"/>
              <w:rPr>
                <w:color w:val="auto"/>
                <w:sz w:val="19"/>
                <w:szCs w:val="19"/>
              </w:rPr>
            </w:pPr>
          </w:p>
        </w:tc>
        <w:tc>
          <w:tcPr>
            <w:tcW w:w="1915" w:type="dxa"/>
            <w:tcBorders>
              <w:bottom w:val="single" w:color="000000" w:sz="12" w:space="0"/>
              <w:right w:val="single" w:color="000000" w:sz="12" w:space="0"/>
            </w:tcBorders>
          </w:tcPr>
          <w:p w14:paraId="77A6551F">
            <w:pPr>
              <w:pStyle w:val="260"/>
              <w:autoSpaceDE w:val="0"/>
              <w:autoSpaceDN w:val="0"/>
              <w:spacing w:before="179" w:line="145" w:lineRule="exact"/>
              <w:ind w:left="975"/>
              <w:rPr>
                <w:color w:val="auto"/>
                <w:sz w:val="19"/>
                <w:szCs w:val="19"/>
              </w:rPr>
            </w:pPr>
          </w:p>
        </w:tc>
      </w:tr>
    </w:tbl>
    <w:p w14:paraId="396AA8E0">
      <w:pPr>
        <w:spacing w:before="265" w:line="180" w:lineRule="exact"/>
        <w:ind w:left="516" w:right="241" w:hanging="434"/>
        <w:rPr>
          <w:rFonts w:ascii="微软雅黑" w:hAnsi="微软雅黑" w:eastAsia="微软雅黑" w:cs="微软雅黑"/>
          <w:sz w:val="18"/>
          <w:szCs w:val="18"/>
          <w:lang w:eastAsia="zh-CN"/>
        </w:rPr>
      </w:pPr>
      <w:r>
        <w:rPr>
          <w:rFonts w:ascii="微软雅黑" w:hAnsi="微软雅黑" w:eastAsia="微软雅黑" w:cs="微软雅黑"/>
          <w:spacing w:val="-2"/>
          <w:position w:val="-1"/>
          <w:sz w:val="18"/>
          <w:szCs w:val="18"/>
          <w:lang w:eastAsia="zh-CN"/>
        </w:rPr>
        <w:t>注：</w:t>
      </w:r>
      <w:r>
        <w:rPr>
          <w:rFonts w:ascii="微软雅黑" w:hAnsi="微软雅黑" w:eastAsia="微软雅黑" w:cs="微软雅黑"/>
          <w:spacing w:val="50"/>
          <w:position w:val="-1"/>
          <w:sz w:val="18"/>
          <w:szCs w:val="18"/>
          <w:lang w:eastAsia="zh-CN"/>
        </w:rPr>
        <w:t xml:space="preserve"> </w:t>
      </w:r>
      <w:r>
        <w:rPr>
          <w:rFonts w:ascii="微软雅黑" w:hAnsi="微软雅黑" w:eastAsia="微软雅黑" w:cs="微软雅黑"/>
          <w:spacing w:val="-2"/>
          <w:position w:val="-1"/>
          <w:sz w:val="18"/>
          <w:szCs w:val="18"/>
          <w:lang w:eastAsia="zh-CN"/>
        </w:rPr>
        <w:t>1  除“安全生产标准化措施费</w:t>
      </w:r>
      <w:r>
        <w:rPr>
          <w:rFonts w:ascii="微软雅黑" w:hAnsi="微软雅黑" w:eastAsia="微软雅黑" w:cs="微软雅黑"/>
          <w:spacing w:val="-28"/>
          <w:position w:val="-1"/>
          <w:sz w:val="18"/>
          <w:szCs w:val="18"/>
          <w:lang w:eastAsia="zh-CN"/>
        </w:rPr>
        <w:t xml:space="preserve"> </w:t>
      </w:r>
      <w:r>
        <w:rPr>
          <w:rFonts w:ascii="微软雅黑" w:hAnsi="微软雅黑" w:eastAsia="微软雅黑" w:cs="微软雅黑"/>
          <w:spacing w:val="-2"/>
          <w:position w:val="-1"/>
          <w:sz w:val="18"/>
          <w:szCs w:val="18"/>
          <w:lang w:eastAsia="zh-CN"/>
        </w:rPr>
        <w:t>”及“施工垃圾场外运输和消纳费</w:t>
      </w:r>
      <w:r>
        <w:rPr>
          <w:rFonts w:ascii="微软雅黑" w:hAnsi="微软雅黑" w:eastAsia="微软雅黑" w:cs="微软雅黑"/>
          <w:spacing w:val="-28"/>
          <w:position w:val="-1"/>
          <w:sz w:val="18"/>
          <w:szCs w:val="18"/>
          <w:lang w:eastAsia="zh-CN"/>
        </w:rPr>
        <w:t xml:space="preserve"> </w:t>
      </w:r>
      <w:r>
        <w:rPr>
          <w:rFonts w:ascii="微软雅黑" w:hAnsi="微软雅黑" w:eastAsia="微软雅黑" w:cs="微软雅黑"/>
          <w:spacing w:val="-2"/>
          <w:position w:val="-1"/>
          <w:sz w:val="18"/>
          <w:szCs w:val="18"/>
          <w:lang w:eastAsia="zh-CN"/>
        </w:rPr>
        <w:t>”由表4.9-1及表4.9-2带入数据外</w:t>
      </w:r>
      <w:r>
        <w:rPr>
          <w:rFonts w:ascii="微软雅黑" w:hAnsi="微软雅黑" w:eastAsia="微软雅黑" w:cs="微软雅黑"/>
          <w:spacing w:val="-30"/>
          <w:position w:val="-1"/>
          <w:sz w:val="18"/>
          <w:szCs w:val="18"/>
          <w:lang w:eastAsia="zh-CN"/>
        </w:rPr>
        <w:t xml:space="preserve"> </w:t>
      </w:r>
      <w:r>
        <w:rPr>
          <w:rFonts w:ascii="微软雅黑" w:hAnsi="微软雅黑" w:eastAsia="微软雅黑" w:cs="微软雅黑"/>
          <w:spacing w:val="-2"/>
          <w:position w:val="-1"/>
          <w:sz w:val="18"/>
          <w:szCs w:val="18"/>
          <w:lang w:eastAsia="zh-CN"/>
        </w:rPr>
        <w:t>，其他均应逐项在</w:t>
      </w:r>
      <w:r>
        <w:rPr>
          <w:rFonts w:ascii="微软雅黑" w:hAnsi="微软雅黑" w:eastAsia="微软雅黑" w:cs="微软雅黑"/>
          <w:position w:val="-1"/>
          <w:sz w:val="18"/>
          <w:szCs w:val="18"/>
          <w:lang w:eastAsia="zh-CN"/>
        </w:rPr>
        <w:t xml:space="preserve"> </w:t>
      </w:r>
      <w:r>
        <w:rPr>
          <w:rFonts w:ascii="微软雅黑" w:hAnsi="微软雅黑" w:eastAsia="微软雅黑" w:cs="微软雅黑"/>
          <w:spacing w:val="-1"/>
          <w:position w:val="-1"/>
          <w:sz w:val="18"/>
          <w:szCs w:val="18"/>
          <w:lang w:eastAsia="zh-CN"/>
        </w:rPr>
        <w:t>表“4.9-3措施项目清单价格组成分析表</w:t>
      </w:r>
      <w:r>
        <w:rPr>
          <w:rFonts w:ascii="微软雅黑" w:hAnsi="微软雅黑" w:eastAsia="微软雅黑" w:cs="微软雅黑"/>
          <w:spacing w:val="-14"/>
          <w:position w:val="-1"/>
          <w:sz w:val="18"/>
          <w:szCs w:val="18"/>
          <w:lang w:eastAsia="zh-CN"/>
        </w:rPr>
        <w:t xml:space="preserve"> </w:t>
      </w:r>
      <w:r>
        <w:rPr>
          <w:rFonts w:ascii="微软雅黑" w:hAnsi="微软雅黑" w:eastAsia="微软雅黑" w:cs="微软雅黑"/>
          <w:spacing w:val="-1"/>
          <w:position w:val="-1"/>
          <w:sz w:val="18"/>
          <w:szCs w:val="18"/>
          <w:lang w:eastAsia="zh-CN"/>
        </w:rPr>
        <w:t>”中列明施工方案出处及计算方法。</w:t>
      </w:r>
    </w:p>
    <w:p w14:paraId="4BDD7324">
      <w:pPr>
        <w:spacing w:line="180" w:lineRule="exact"/>
        <w:ind w:left="519" w:right="241"/>
        <w:rPr>
          <w:rFonts w:ascii="微软雅黑" w:hAnsi="微软雅黑" w:eastAsia="微软雅黑" w:cs="微软雅黑"/>
          <w:sz w:val="18"/>
          <w:szCs w:val="18"/>
          <w:lang w:eastAsia="zh-CN"/>
        </w:rPr>
      </w:pPr>
      <w:r>
        <w:rPr>
          <w:rFonts w:ascii="微软雅黑" w:hAnsi="微软雅黑" w:eastAsia="微软雅黑" w:cs="微软雅黑"/>
          <w:spacing w:val="-1"/>
          <w:position w:val="-1"/>
          <w:sz w:val="18"/>
          <w:szCs w:val="18"/>
          <w:lang w:eastAsia="zh-CN"/>
        </w:rPr>
        <w:t>2</w:t>
      </w:r>
      <w:r>
        <w:rPr>
          <w:rFonts w:ascii="微软雅黑" w:hAnsi="微软雅黑" w:eastAsia="微软雅黑" w:cs="微软雅黑"/>
          <w:spacing w:val="47"/>
          <w:position w:val="-1"/>
          <w:sz w:val="18"/>
          <w:szCs w:val="18"/>
          <w:lang w:eastAsia="zh-CN"/>
        </w:rPr>
        <w:t xml:space="preserve"> </w:t>
      </w:r>
      <w:r>
        <w:rPr>
          <w:rFonts w:ascii="微软雅黑" w:hAnsi="微软雅黑" w:eastAsia="微软雅黑" w:cs="微软雅黑"/>
          <w:spacing w:val="-1"/>
          <w:position w:val="-1"/>
          <w:sz w:val="18"/>
          <w:szCs w:val="18"/>
          <w:lang w:eastAsia="zh-CN"/>
        </w:rPr>
        <w:t>投标人的安全生产标准化措施费不得低于北京市现行规定的低限费用标准（费率）计算的金额（即低限费用</w:t>
      </w:r>
      <w:r>
        <w:rPr>
          <w:rFonts w:ascii="微软雅黑" w:hAnsi="微软雅黑" w:eastAsia="微软雅黑" w:cs="微软雅黑"/>
          <w:spacing w:val="-6"/>
          <w:position w:val="-1"/>
          <w:sz w:val="18"/>
          <w:szCs w:val="18"/>
          <w:lang w:eastAsia="zh-CN"/>
        </w:rPr>
        <w:t>）</w:t>
      </w:r>
      <w:r>
        <w:rPr>
          <w:rFonts w:ascii="微软雅黑" w:hAnsi="微软雅黑" w:eastAsia="微软雅黑" w:cs="微软雅黑"/>
          <w:spacing w:val="-30"/>
          <w:position w:val="-1"/>
          <w:sz w:val="18"/>
          <w:szCs w:val="18"/>
          <w:lang w:eastAsia="zh-CN"/>
        </w:rPr>
        <w:t xml:space="preserve"> </w:t>
      </w:r>
      <w:r>
        <w:rPr>
          <w:rFonts w:ascii="微软雅黑" w:hAnsi="微软雅黑" w:eastAsia="微软雅黑" w:cs="微软雅黑"/>
          <w:spacing w:val="-6"/>
          <w:position w:val="-1"/>
          <w:sz w:val="18"/>
          <w:szCs w:val="18"/>
          <w:lang w:eastAsia="zh-CN"/>
        </w:rPr>
        <w:t>，</w:t>
      </w:r>
      <w:r>
        <w:rPr>
          <w:rFonts w:ascii="微软雅黑" w:hAnsi="微软雅黑" w:eastAsia="微软雅黑" w:cs="微软雅黑"/>
          <w:spacing w:val="-1"/>
          <w:position w:val="-1"/>
          <w:sz w:val="18"/>
          <w:szCs w:val="18"/>
          <w:lang w:eastAsia="zh-CN"/>
        </w:rPr>
        <w:t>且</w:t>
      </w:r>
      <w:r>
        <w:rPr>
          <w:rFonts w:ascii="微软雅黑" w:hAnsi="微软雅黑" w:eastAsia="微软雅黑" w:cs="微软雅黑"/>
          <w:position w:val="-1"/>
          <w:sz w:val="18"/>
          <w:szCs w:val="18"/>
          <w:lang w:eastAsia="zh-CN"/>
        </w:rPr>
        <w:t xml:space="preserve"> </w:t>
      </w:r>
      <w:r>
        <w:rPr>
          <w:rFonts w:ascii="微软雅黑" w:hAnsi="微软雅黑" w:eastAsia="微软雅黑" w:cs="微软雅黑"/>
          <w:spacing w:val="-2"/>
          <w:position w:val="-1"/>
          <w:sz w:val="18"/>
          <w:szCs w:val="18"/>
          <w:lang w:eastAsia="zh-CN"/>
        </w:rPr>
        <w:t>不得作为让利因素</w:t>
      </w:r>
      <w:r>
        <w:rPr>
          <w:rFonts w:ascii="微软雅黑" w:hAnsi="微软雅黑" w:eastAsia="微软雅黑" w:cs="微软雅黑"/>
          <w:spacing w:val="-12"/>
          <w:position w:val="-1"/>
          <w:sz w:val="18"/>
          <w:szCs w:val="18"/>
          <w:lang w:eastAsia="zh-CN"/>
        </w:rPr>
        <w:t xml:space="preserve"> </w:t>
      </w:r>
      <w:r>
        <w:rPr>
          <w:rFonts w:ascii="微软雅黑" w:hAnsi="微软雅黑" w:eastAsia="微软雅黑" w:cs="微软雅黑"/>
          <w:spacing w:val="-2"/>
          <w:position w:val="-1"/>
          <w:sz w:val="18"/>
          <w:szCs w:val="18"/>
          <w:lang w:eastAsia="zh-CN"/>
        </w:rPr>
        <w:t>。赶工增加费（如有）不得作为让利因素。</w:t>
      </w:r>
    </w:p>
    <w:p w14:paraId="0996F6C9">
      <w:pPr>
        <w:spacing w:line="162" w:lineRule="auto"/>
        <w:ind w:left="531" w:right="241" w:hanging="11"/>
        <w:rPr>
          <w:rFonts w:ascii="微软雅黑" w:hAnsi="微软雅黑" w:eastAsia="微软雅黑" w:cs="微软雅黑"/>
          <w:sz w:val="18"/>
          <w:szCs w:val="18"/>
          <w:lang w:eastAsia="zh-CN"/>
        </w:rPr>
      </w:pPr>
      <w:r>
        <w:rPr>
          <w:rFonts w:ascii="微软雅黑" w:hAnsi="微软雅黑" w:eastAsia="微软雅黑" w:cs="微软雅黑"/>
          <w:spacing w:val="-1"/>
          <w:sz w:val="18"/>
          <w:szCs w:val="18"/>
          <w:lang w:eastAsia="zh-CN"/>
        </w:rPr>
        <w:t>3</w:t>
      </w:r>
      <w:r>
        <w:rPr>
          <w:rFonts w:ascii="微软雅黑" w:hAnsi="微软雅黑" w:eastAsia="微软雅黑" w:cs="微软雅黑"/>
          <w:spacing w:val="59"/>
          <w:sz w:val="18"/>
          <w:szCs w:val="18"/>
          <w:lang w:eastAsia="zh-CN"/>
        </w:rPr>
        <w:t xml:space="preserve"> </w:t>
      </w:r>
      <w:r>
        <w:rPr>
          <w:rFonts w:ascii="微软雅黑" w:hAnsi="微软雅黑" w:eastAsia="微软雅黑" w:cs="微软雅黑"/>
          <w:spacing w:val="-1"/>
          <w:sz w:val="18"/>
          <w:szCs w:val="18"/>
          <w:lang w:eastAsia="zh-CN"/>
        </w:rPr>
        <w:t>其他大型机械进出场及安拆费指除垂直运输机械以外的大型机械安装、检测、试运转和拆卸、运进、运出施工现场</w:t>
      </w:r>
      <w:r>
        <w:rPr>
          <w:rFonts w:ascii="微软雅黑" w:hAnsi="微软雅黑" w:eastAsia="微软雅黑" w:cs="微软雅黑"/>
          <w:sz w:val="18"/>
          <w:szCs w:val="18"/>
          <w:lang w:eastAsia="zh-CN"/>
        </w:rPr>
        <w:t xml:space="preserve"> </w:t>
      </w:r>
      <w:r>
        <w:rPr>
          <w:rFonts w:ascii="微软雅黑" w:hAnsi="微软雅黑" w:eastAsia="微软雅黑" w:cs="微软雅黑"/>
          <w:spacing w:val="-2"/>
          <w:sz w:val="18"/>
          <w:szCs w:val="18"/>
          <w:lang w:eastAsia="zh-CN"/>
        </w:rPr>
        <w:t>的装卸和运输</w:t>
      </w:r>
      <w:r>
        <w:rPr>
          <w:rFonts w:ascii="微软雅黑" w:hAnsi="微软雅黑" w:eastAsia="微软雅黑" w:cs="微软雅黑"/>
          <w:spacing w:val="-30"/>
          <w:sz w:val="18"/>
          <w:szCs w:val="18"/>
          <w:lang w:eastAsia="zh-CN"/>
        </w:rPr>
        <w:t xml:space="preserve"> </w:t>
      </w:r>
      <w:r>
        <w:rPr>
          <w:rFonts w:ascii="微软雅黑" w:hAnsi="微软雅黑" w:eastAsia="微软雅黑" w:cs="微软雅黑"/>
          <w:spacing w:val="-2"/>
          <w:sz w:val="18"/>
          <w:szCs w:val="18"/>
          <w:lang w:eastAsia="zh-CN"/>
        </w:rPr>
        <w:t>，轨道、固定装置的安装和拆除等费用。</w:t>
      </w:r>
    </w:p>
    <w:p w14:paraId="7F86342A">
      <w:pPr>
        <w:spacing w:line="162" w:lineRule="auto"/>
        <w:rPr>
          <w:rFonts w:ascii="微软雅黑" w:hAnsi="微软雅黑" w:eastAsia="微软雅黑" w:cs="微软雅黑"/>
          <w:sz w:val="18"/>
          <w:szCs w:val="18"/>
          <w:lang w:eastAsia="zh-CN"/>
        </w:rPr>
        <w:sectPr>
          <w:pgSz w:w="11900" w:h="16840"/>
          <w:pgMar w:top="1150" w:right="1010" w:bottom="400" w:left="960" w:header="0" w:footer="0" w:gutter="0"/>
          <w:pgNumType w:fmt="decimal"/>
          <w:cols w:space="720" w:num="1"/>
        </w:sectPr>
      </w:pPr>
    </w:p>
    <w:p w14:paraId="5A8C2378">
      <w:pPr>
        <w:bidi w:val="0"/>
        <w:jc w:val="center"/>
        <w:rPr>
          <w:b/>
          <w:bCs/>
          <w:sz w:val="30"/>
          <w:szCs w:val="30"/>
          <w:lang w:eastAsia="zh-CN"/>
        </w:rPr>
      </w:pPr>
      <w:r>
        <w:rPr>
          <w:b/>
          <w:bCs/>
          <w:sz w:val="30"/>
          <w:szCs w:val="30"/>
          <w:lang w:eastAsia="zh-CN"/>
        </w:rPr>
        <w:t>安全生产标准化措施费明细表</w:t>
      </w:r>
    </w:p>
    <w:p w14:paraId="4D39A84E">
      <w:pPr>
        <w:spacing w:before="204" w:line="188" w:lineRule="auto"/>
        <w:ind w:left="12216" w:leftChars="217" w:hanging="11760" w:hangingChars="5600"/>
      </w:pPr>
      <w:r>
        <w:drawing>
          <wp:anchor distT="0" distB="0" distL="0" distR="0" simplePos="0" relativeHeight="251665408" behindDoc="0" locked="0" layoutInCell="1" allowOverlap="1">
            <wp:simplePos x="0" y="0"/>
            <wp:positionH relativeFrom="column">
              <wp:posOffset>0</wp:posOffset>
            </wp:positionH>
            <wp:positionV relativeFrom="paragraph">
              <wp:posOffset>4928235</wp:posOffset>
            </wp:positionV>
            <wp:extent cx="9391650" cy="63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8"/>
                    <a:stretch>
                      <a:fillRect/>
                    </a:stretch>
                  </pic:blipFill>
                  <pic:spPr>
                    <a:xfrm>
                      <a:off x="0" y="0"/>
                      <a:ext cx="9391650" cy="6350"/>
                    </a:xfrm>
                    <a:prstGeom prst="rect">
                      <a:avLst/>
                    </a:prstGeom>
                  </pic:spPr>
                </pic:pic>
              </a:graphicData>
            </a:graphic>
          </wp:anchor>
        </w:drawing>
      </w:r>
      <w:r>
        <w:rPr>
          <w:rFonts w:ascii="微软雅黑" w:hAnsi="微软雅黑" w:eastAsia="微软雅黑" w:cs="微软雅黑"/>
          <w:sz w:val="19"/>
          <w:szCs w:val="19"/>
        </w:rPr>
        <w:t xml:space="preserve">工程名称：                                                                                      </w:t>
      </w:r>
      <w:r>
        <w:rPr>
          <w:rFonts w:ascii="微软雅黑" w:hAnsi="微软雅黑" w:eastAsia="微软雅黑" w:cs="微软雅黑"/>
          <w:spacing w:val="-1"/>
          <w:sz w:val="19"/>
          <w:szCs w:val="19"/>
        </w:rPr>
        <w:t xml:space="preserve">                                                           </w:t>
      </w:r>
      <w:r>
        <w:rPr>
          <w:rFonts w:hint="eastAsia" w:ascii="微软雅黑" w:hAnsi="微软雅黑" w:eastAsia="微软雅黑" w:cs="微软雅黑"/>
          <w:spacing w:val="-1"/>
          <w:sz w:val="19"/>
          <w:szCs w:val="19"/>
          <w:lang w:eastAsia="zh-CN"/>
        </w:rPr>
        <w:t xml:space="preserve">                                     </w:t>
      </w:r>
      <w:r>
        <w:rPr>
          <w:rFonts w:ascii="微软雅黑" w:hAnsi="微软雅黑" w:eastAsia="微软雅黑" w:cs="微软雅黑"/>
          <w:spacing w:val="-1"/>
          <w:sz w:val="19"/>
          <w:szCs w:val="19"/>
        </w:rPr>
        <w:t xml:space="preserve">                         第</w:t>
      </w:r>
      <w:r>
        <w:rPr>
          <w:rFonts w:ascii="微软雅黑" w:hAnsi="微软雅黑" w:eastAsia="微软雅黑" w:cs="微软雅黑"/>
          <w:spacing w:val="8"/>
          <w:sz w:val="19"/>
          <w:szCs w:val="19"/>
        </w:rPr>
        <w:t xml:space="preserve">  </w:t>
      </w:r>
      <w:r>
        <w:rPr>
          <w:rFonts w:ascii="微软雅黑" w:hAnsi="微软雅黑" w:eastAsia="微软雅黑" w:cs="微软雅黑"/>
          <w:spacing w:val="7"/>
          <w:sz w:val="19"/>
          <w:szCs w:val="19"/>
        </w:rPr>
        <w:t xml:space="preserve"> </w:t>
      </w:r>
      <w:r>
        <w:rPr>
          <w:rFonts w:ascii="微软雅黑" w:hAnsi="微软雅黑" w:eastAsia="微软雅黑" w:cs="微软雅黑"/>
          <w:spacing w:val="-1"/>
          <w:sz w:val="19"/>
          <w:szCs w:val="19"/>
        </w:rPr>
        <w:t xml:space="preserve">页   共  </w:t>
      </w:r>
      <w:r>
        <w:rPr>
          <w:rFonts w:hint="eastAsia" w:ascii="微软雅黑" w:hAnsi="微软雅黑" w:eastAsia="微软雅黑" w:cs="微软雅黑"/>
          <w:spacing w:val="-1"/>
          <w:sz w:val="19"/>
          <w:szCs w:val="19"/>
          <w:lang w:eastAsia="zh-CN"/>
        </w:rPr>
        <w:t xml:space="preserve"> </w:t>
      </w:r>
      <w:r>
        <w:rPr>
          <w:rFonts w:ascii="微软雅黑" w:hAnsi="微软雅黑" w:eastAsia="微软雅黑" w:cs="微软雅黑"/>
          <w:spacing w:val="-1"/>
          <w:sz w:val="19"/>
          <w:szCs w:val="19"/>
        </w:rPr>
        <w:t>页</w:t>
      </w:r>
    </w:p>
    <w:tbl>
      <w:tblPr>
        <w:tblStyle w:val="258"/>
        <w:tblW w:w="14033" w:type="dxa"/>
        <w:tblInd w:w="44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2"/>
        <w:gridCol w:w="992"/>
        <w:gridCol w:w="1197"/>
        <w:gridCol w:w="2395"/>
        <w:gridCol w:w="1662"/>
        <w:gridCol w:w="1662"/>
        <w:gridCol w:w="1602"/>
        <w:gridCol w:w="1602"/>
        <w:gridCol w:w="937"/>
        <w:gridCol w:w="992"/>
      </w:tblGrid>
      <w:tr w14:paraId="100CE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1984" w:type="dxa"/>
            <w:gridSpan w:val="2"/>
            <w:vMerge w:val="restart"/>
            <w:tcBorders>
              <w:top w:val="single" w:color="000000" w:sz="12" w:space="0"/>
              <w:left w:val="single" w:color="000000" w:sz="12" w:space="0"/>
              <w:bottom w:val="nil"/>
            </w:tcBorders>
          </w:tcPr>
          <w:p w14:paraId="37FA9FE3">
            <w:pPr>
              <w:autoSpaceDE w:val="0"/>
              <w:autoSpaceDN w:val="0"/>
              <w:spacing w:line="240" w:lineRule="auto"/>
              <w:rPr>
                <w:rFonts w:ascii="Arial"/>
                <w:sz w:val="21"/>
              </w:rPr>
            </w:pPr>
          </w:p>
          <w:p w14:paraId="24D4A25B">
            <w:pPr>
              <w:pStyle w:val="260"/>
              <w:autoSpaceDE w:val="0"/>
              <w:autoSpaceDN w:val="0"/>
              <w:spacing w:before="81"/>
              <w:ind w:left="921"/>
              <w:rPr>
                <w:color w:val="auto"/>
                <w:sz w:val="19"/>
                <w:szCs w:val="19"/>
              </w:rPr>
            </w:pPr>
            <w:r>
              <w:rPr>
                <w:color w:val="auto"/>
                <w:sz w:val="19"/>
                <w:szCs w:val="19"/>
              </w:rPr>
              <w:t>序号</w:t>
            </w:r>
          </w:p>
        </w:tc>
        <w:tc>
          <w:tcPr>
            <w:tcW w:w="1197" w:type="dxa"/>
            <w:vMerge w:val="restart"/>
            <w:tcBorders>
              <w:top w:val="single" w:color="000000" w:sz="12" w:space="0"/>
              <w:bottom w:val="nil"/>
            </w:tcBorders>
          </w:tcPr>
          <w:p w14:paraId="0C653D33">
            <w:pPr>
              <w:autoSpaceDE w:val="0"/>
              <w:autoSpaceDN w:val="0"/>
              <w:spacing w:line="240" w:lineRule="auto"/>
              <w:rPr>
                <w:rFonts w:ascii="Arial"/>
                <w:sz w:val="21"/>
              </w:rPr>
            </w:pPr>
          </w:p>
          <w:p w14:paraId="22E99396">
            <w:pPr>
              <w:pStyle w:val="260"/>
              <w:autoSpaceDE w:val="0"/>
              <w:autoSpaceDN w:val="0"/>
              <w:spacing w:before="81"/>
              <w:jc w:val="center"/>
              <w:rPr>
                <w:color w:val="auto"/>
                <w:sz w:val="19"/>
                <w:szCs w:val="19"/>
              </w:rPr>
            </w:pPr>
            <w:r>
              <w:rPr>
                <w:color w:val="auto"/>
                <w:spacing w:val="1"/>
                <w:sz w:val="19"/>
                <w:szCs w:val="19"/>
              </w:rPr>
              <w:t>项目编码</w:t>
            </w:r>
          </w:p>
        </w:tc>
        <w:tc>
          <w:tcPr>
            <w:tcW w:w="2395" w:type="dxa"/>
            <w:vMerge w:val="restart"/>
            <w:tcBorders>
              <w:top w:val="single" w:color="000000" w:sz="12" w:space="0"/>
              <w:bottom w:val="nil"/>
            </w:tcBorders>
          </w:tcPr>
          <w:p w14:paraId="75CFB4F6">
            <w:pPr>
              <w:autoSpaceDE w:val="0"/>
              <w:autoSpaceDN w:val="0"/>
              <w:spacing w:line="240" w:lineRule="auto"/>
              <w:rPr>
                <w:rFonts w:ascii="Arial"/>
                <w:sz w:val="21"/>
              </w:rPr>
            </w:pPr>
          </w:p>
          <w:p w14:paraId="3C5E288B">
            <w:pPr>
              <w:pStyle w:val="260"/>
              <w:autoSpaceDE w:val="0"/>
              <w:autoSpaceDN w:val="0"/>
              <w:spacing w:before="81"/>
              <w:ind w:left="813"/>
              <w:rPr>
                <w:color w:val="auto"/>
                <w:sz w:val="19"/>
                <w:szCs w:val="19"/>
              </w:rPr>
            </w:pPr>
            <w:r>
              <w:rPr>
                <w:color w:val="auto"/>
                <w:spacing w:val="1"/>
                <w:sz w:val="19"/>
                <w:szCs w:val="19"/>
              </w:rPr>
              <w:t>项目名称</w:t>
            </w:r>
          </w:p>
        </w:tc>
        <w:tc>
          <w:tcPr>
            <w:tcW w:w="6528" w:type="dxa"/>
            <w:gridSpan w:val="4"/>
            <w:tcBorders>
              <w:top w:val="single" w:color="000000" w:sz="12" w:space="0"/>
            </w:tcBorders>
          </w:tcPr>
          <w:p w14:paraId="03463AFC">
            <w:pPr>
              <w:pStyle w:val="260"/>
              <w:autoSpaceDE w:val="0"/>
              <w:autoSpaceDN w:val="0"/>
              <w:spacing w:before="177"/>
              <w:ind w:left="2498"/>
              <w:rPr>
                <w:color w:val="auto"/>
                <w:sz w:val="19"/>
                <w:szCs w:val="19"/>
              </w:rPr>
            </w:pPr>
            <w:r>
              <w:rPr>
                <w:color w:val="auto"/>
                <w:spacing w:val="2"/>
                <w:sz w:val="19"/>
                <w:szCs w:val="19"/>
              </w:rPr>
              <w:t>不含税金额（元）</w:t>
            </w:r>
          </w:p>
        </w:tc>
        <w:tc>
          <w:tcPr>
            <w:tcW w:w="937" w:type="dxa"/>
            <w:vMerge w:val="restart"/>
            <w:tcBorders>
              <w:top w:val="single" w:color="000000" w:sz="12" w:space="0"/>
              <w:bottom w:val="nil"/>
            </w:tcBorders>
          </w:tcPr>
          <w:p w14:paraId="38518AE6">
            <w:pPr>
              <w:autoSpaceDE w:val="0"/>
              <w:autoSpaceDN w:val="0"/>
              <w:spacing w:line="240" w:lineRule="auto"/>
              <w:rPr>
                <w:rFonts w:ascii="Arial"/>
                <w:sz w:val="21"/>
              </w:rPr>
            </w:pPr>
          </w:p>
          <w:p w14:paraId="2B4A599F">
            <w:pPr>
              <w:pStyle w:val="260"/>
              <w:autoSpaceDE w:val="0"/>
              <w:autoSpaceDN w:val="0"/>
              <w:spacing w:before="81"/>
              <w:rPr>
                <w:color w:val="auto"/>
                <w:sz w:val="19"/>
                <w:szCs w:val="19"/>
              </w:rPr>
            </w:pPr>
            <w:r>
              <w:rPr>
                <w:color w:val="auto"/>
                <w:spacing w:val="2"/>
                <w:sz w:val="19"/>
                <w:szCs w:val="19"/>
              </w:rPr>
              <w:t>含税金额</w:t>
            </w:r>
          </w:p>
          <w:p w14:paraId="5E5CFEDA">
            <w:pPr>
              <w:pStyle w:val="260"/>
              <w:autoSpaceDE w:val="0"/>
              <w:autoSpaceDN w:val="0"/>
              <w:rPr>
                <w:color w:val="auto"/>
                <w:sz w:val="19"/>
                <w:szCs w:val="19"/>
              </w:rPr>
            </w:pPr>
            <w:r>
              <w:rPr>
                <w:color w:val="auto"/>
                <w:spacing w:val="-3"/>
                <w:sz w:val="19"/>
                <w:szCs w:val="19"/>
              </w:rPr>
              <w:t>（元）</w:t>
            </w:r>
          </w:p>
        </w:tc>
        <w:tc>
          <w:tcPr>
            <w:tcW w:w="992" w:type="dxa"/>
            <w:vMerge w:val="restart"/>
            <w:tcBorders>
              <w:top w:val="single" w:color="000000" w:sz="12" w:space="0"/>
              <w:bottom w:val="nil"/>
              <w:right w:val="single" w:color="000000" w:sz="12" w:space="0"/>
            </w:tcBorders>
          </w:tcPr>
          <w:p w14:paraId="30A9E616">
            <w:pPr>
              <w:autoSpaceDE w:val="0"/>
              <w:autoSpaceDN w:val="0"/>
              <w:spacing w:line="240" w:lineRule="auto"/>
              <w:rPr>
                <w:rFonts w:ascii="Arial"/>
                <w:sz w:val="21"/>
              </w:rPr>
            </w:pPr>
          </w:p>
          <w:p w14:paraId="00EC9B42">
            <w:pPr>
              <w:pStyle w:val="260"/>
              <w:autoSpaceDE w:val="0"/>
              <w:autoSpaceDN w:val="0"/>
              <w:spacing w:before="82"/>
              <w:ind w:left="292"/>
              <w:rPr>
                <w:color w:val="auto"/>
                <w:sz w:val="19"/>
                <w:szCs w:val="19"/>
              </w:rPr>
            </w:pPr>
            <w:r>
              <w:rPr>
                <w:color w:val="auto"/>
                <w:spacing w:val="-1"/>
                <w:sz w:val="19"/>
                <w:szCs w:val="19"/>
              </w:rPr>
              <w:t>备注</w:t>
            </w:r>
          </w:p>
        </w:tc>
      </w:tr>
      <w:tr w14:paraId="7F569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984" w:type="dxa"/>
            <w:gridSpan w:val="2"/>
            <w:vMerge w:val="continue"/>
            <w:tcBorders>
              <w:top w:val="nil"/>
              <w:left w:val="single" w:color="000000" w:sz="12" w:space="0"/>
            </w:tcBorders>
          </w:tcPr>
          <w:p w14:paraId="5B2553F9">
            <w:pPr>
              <w:autoSpaceDE w:val="0"/>
              <w:autoSpaceDN w:val="0"/>
              <w:spacing w:line="240" w:lineRule="auto"/>
              <w:rPr>
                <w:rFonts w:ascii="Arial"/>
                <w:sz w:val="21"/>
              </w:rPr>
            </w:pPr>
          </w:p>
        </w:tc>
        <w:tc>
          <w:tcPr>
            <w:tcW w:w="1197" w:type="dxa"/>
            <w:vMerge w:val="continue"/>
            <w:tcBorders>
              <w:top w:val="nil"/>
            </w:tcBorders>
          </w:tcPr>
          <w:p w14:paraId="42136FC1">
            <w:pPr>
              <w:autoSpaceDE w:val="0"/>
              <w:autoSpaceDN w:val="0"/>
              <w:spacing w:line="240" w:lineRule="auto"/>
              <w:rPr>
                <w:rFonts w:ascii="Arial"/>
                <w:sz w:val="21"/>
              </w:rPr>
            </w:pPr>
          </w:p>
        </w:tc>
        <w:tc>
          <w:tcPr>
            <w:tcW w:w="2395" w:type="dxa"/>
            <w:vMerge w:val="continue"/>
            <w:tcBorders>
              <w:top w:val="nil"/>
            </w:tcBorders>
          </w:tcPr>
          <w:p w14:paraId="7EB31DAB">
            <w:pPr>
              <w:autoSpaceDE w:val="0"/>
              <w:autoSpaceDN w:val="0"/>
              <w:spacing w:line="240" w:lineRule="auto"/>
              <w:rPr>
                <w:rFonts w:ascii="Arial"/>
                <w:sz w:val="21"/>
              </w:rPr>
            </w:pPr>
          </w:p>
        </w:tc>
        <w:tc>
          <w:tcPr>
            <w:tcW w:w="1662" w:type="dxa"/>
          </w:tcPr>
          <w:p w14:paraId="3886322A">
            <w:pPr>
              <w:pStyle w:val="260"/>
              <w:autoSpaceDE w:val="0"/>
              <w:autoSpaceDN w:val="0"/>
              <w:spacing w:before="30"/>
              <w:ind w:left="452"/>
              <w:rPr>
                <w:color w:val="auto"/>
                <w:sz w:val="19"/>
                <w:szCs w:val="19"/>
              </w:rPr>
            </w:pPr>
            <w:r>
              <w:rPr>
                <w:color w:val="auto"/>
                <w:spacing w:val="1"/>
                <w:sz w:val="19"/>
                <w:szCs w:val="19"/>
              </w:rPr>
              <w:t>实际成本</w:t>
            </w:r>
          </w:p>
          <w:p w14:paraId="0F3F57A4">
            <w:pPr>
              <w:pStyle w:val="260"/>
              <w:autoSpaceDE w:val="0"/>
              <w:autoSpaceDN w:val="0"/>
              <w:ind w:left="553"/>
              <w:rPr>
                <w:color w:val="auto"/>
                <w:sz w:val="19"/>
                <w:szCs w:val="19"/>
              </w:rPr>
            </w:pPr>
            <w:r>
              <w:rPr>
                <w:color w:val="auto"/>
                <w:spacing w:val="-3"/>
                <w:sz w:val="19"/>
                <w:szCs w:val="19"/>
              </w:rPr>
              <w:t>（元）</w:t>
            </w:r>
          </w:p>
        </w:tc>
        <w:tc>
          <w:tcPr>
            <w:tcW w:w="1662" w:type="dxa"/>
          </w:tcPr>
          <w:p w14:paraId="0C11F504">
            <w:pPr>
              <w:pStyle w:val="260"/>
              <w:autoSpaceDE w:val="0"/>
              <w:autoSpaceDN w:val="0"/>
              <w:spacing w:before="30"/>
              <w:ind w:left="356"/>
              <w:rPr>
                <w:color w:val="auto"/>
                <w:sz w:val="19"/>
                <w:szCs w:val="19"/>
              </w:rPr>
            </w:pPr>
            <w:r>
              <w:rPr>
                <w:color w:val="auto"/>
                <w:spacing w:val="2"/>
                <w:sz w:val="19"/>
                <w:szCs w:val="19"/>
              </w:rPr>
              <w:t>企业管理费</w:t>
            </w:r>
          </w:p>
          <w:p w14:paraId="27F1440A">
            <w:pPr>
              <w:pStyle w:val="260"/>
              <w:autoSpaceDE w:val="0"/>
              <w:autoSpaceDN w:val="0"/>
              <w:ind w:left="556"/>
              <w:rPr>
                <w:color w:val="auto"/>
                <w:sz w:val="19"/>
                <w:szCs w:val="19"/>
              </w:rPr>
            </w:pPr>
            <w:r>
              <w:rPr>
                <w:color w:val="auto"/>
                <w:spacing w:val="-3"/>
                <w:sz w:val="19"/>
                <w:szCs w:val="19"/>
              </w:rPr>
              <w:t>（元）</w:t>
            </w:r>
          </w:p>
        </w:tc>
        <w:tc>
          <w:tcPr>
            <w:tcW w:w="1602" w:type="dxa"/>
          </w:tcPr>
          <w:p w14:paraId="6DCC0634">
            <w:pPr>
              <w:pStyle w:val="260"/>
              <w:autoSpaceDE w:val="0"/>
              <w:autoSpaceDN w:val="0"/>
              <w:spacing w:before="30"/>
              <w:ind w:left="619"/>
              <w:rPr>
                <w:color w:val="auto"/>
                <w:sz w:val="19"/>
                <w:szCs w:val="19"/>
              </w:rPr>
            </w:pPr>
            <w:r>
              <w:rPr>
                <w:color w:val="auto"/>
                <w:sz w:val="19"/>
                <w:szCs w:val="19"/>
              </w:rPr>
              <w:t>利润</w:t>
            </w:r>
          </w:p>
          <w:p w14:paraId="4716D92C">
            <w:pPr>
              <w:pStyle w:val="260"/>
              <w:autoSpaceDE w:val="0"/>
              <w:autoSpaceDN w:val="0"/>
              <w:ind w:left="529"/>
              <w:rPr>
                <w:color w:val="auto"/>
                <w:sz w:val="19"/>
                <w:szCs w:val="19"/>
              </w:rPr>
            </w:pPr>
            <w:r>
              <w:rPr>
                <w:color w:val="auto"/>
                <w:spacing w:val="-3"/>
                <w:sz w:val="19"/>
                <w:szCs w:val="19"/>
              </w:rPr>
              <w:t>（元）</w:t>
            </w:r>
          </w:p>
        </w:tc>
        <w:tc>
          <w:tcPr>
            <w:tcW w:w="1602" w:type="dxa"/>
          </w:tcPr>
          <w:p w14:paraId="5296568F">
            <w:pPr>
              <w:pStyle w:val="260"/>
              <w:autoSpaceDE w:val="0"/>
              <w:autoSpaceDN w:val="0"/>
              <w:spacing w:before="30"/>
              <w:ind w:left="627"/>
              <w:rPr>
                <w:color w:val="auto"/>
                <w:sz w:val="19"/>
                <w:szCs w:val="19"/>
              </w:rPr>
            </w:pPr>
            <w:r>
              <w:rPr>
                <w:color w:val="auto"/>
                <w:spacing w:val="-3"/>
                <w:sz w:val="19"/>
                <w:szCs w:val="19"/>
              </w:rPr>
              <w:t>小计</w:t>
            </w:r>
          </w:p>
          <w:p w14:paraId="6C83832A">
            <w:pPr>
              <w:pStyle w:val="260"/>
              <w:autoSpaceDE w:val="0"/>
              <w:autoSpaceDN w:val="0"/>
              <w:ind w:left="532"/>
              <w:rPr>
                <w:color w:val="auto"/>
                <w:sz w:val="19"/>
                <w:szCs w:val="19"/>
              </w:rPr>
            </w:pPr>
            <w:r>
              <w:rPr>
                <w:color w:val="auto"/>
                <w:spacing w:val="-3"/>
                <w:sz w:val="19"/>
                <w:szCs w:val="19"/>
              </w:rPr>
              <w:t>（元）</w:t>
            </w:r>
          </w:p>
        </w:tc>
        <w:tc>
          <w:tcPr>
            <w:tcW w:w="937" w:type="dxa"/>
            <w:vMerge w:val="continue"/>
            <w:tcBorders>
              <w:top w:val="nil"/>
            </w:tcBorders>
          </w:tcPr>
          <w:p w14:paraId="0C4BCC96">
            <w:pPr>
              <w:autoSpaceDE w:val="0"/>
              <w:autoSpaceDN w:val="0"/>
              <w:spacing w:line="240" w:lineRule="auto"/>
              <w:rPr>
                <w:rFonts w:ascii="Arial"/>
                <w:sz w:val="21"/>
              </w:rPr>
            </w:pPr>
          </w:p>
        </w:tc>
        <w:tc>
          <w:tcPr>
            <w:tcW w:w="992" w:type="dxa"/>
            <w:vMerge w:val="continue"/>
            <w:tcBorders>
              <w:top w:val="nil"/>
              <w:right w:val="single" w:color="000000" w:sz="12" w:space="0"/>
            </w:tcBorders>
          </w:tcPr>
          <w:p w14:paraId="52F44060">
            <w:pPr>
              <w:autoSpaceDE w:val="0"/>
              <w:autoSpaceDN w:val="0"/>
              <w:spacing w:line="240" w:lineRule="auto"/>
              <w:rPr>
                <w:rFonts w:ascii="Arial"/>
                <w:sz w:val="21"/>
              </w:rPr>
            </w:pPr>
          </w:p>
        </w:tc>
      </w:tr>
      <w:tr w14:paraId="41ABA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1984" w:type="dxa"/>
            <w:gridSpan w:val="2"/>
            <w:tcBorders>
              <w:left w:val="single" w:color="000000" w:sz="12" w:space="0"/>
            </w:tcBorders>
          </w:tcPr>
          <w:p w14:paraId="3711C697">
            <w:pPr>
              <w:pStyle w:val="260"/>
              <w:autoSpaceDE w:val="0"/>
              <w:autoSpaceDN w:val="0"/>
              <w:spacing w:before="287"/>
              <w:ind w:left="1079"/>
              <w:rPr>
                <w:color w:val="auto"/>
                <w:sz w:val="19"/>
                <w:szCs w:val="19"/>
              </w:rPr>
            </w:pPr>
            <w:r>
              <w:rPr>
                <w:color w:val="auto"/>
                <w:sz w:val="19"/>
                <w:szCs w:val="19"/>
              </w:rPr>
              <w:t>1</w:t>
            </w:r>
          </w:p>
        </w:tc>
        <w:tc>
          <w:tcPr>
            <w:tcW w:w="1197" w:type="dxa"/>
          </w:tcPr>
          <w:p w14:paraId="3FFC5391">
            <w:pPr>
              <w:autoSpaceDE w:val="0"/>
              <w:autoSpaceDN w:val="0"/>
              <w:spacing w:line="240" w:lineRule="auto"/>
              <w:rPr>
                <w:rFonts w:ascii="Arial"/>
                <w:sz w:val="21"/>
              </w:rPr>
            </w:pPr>
          </w:p>
        </w:tc>
        <w:tc>
          <w:tcPr>
            <w:tcW w:w="2395" w:type="dxa"/>
          </w:tcPr>
          <w:p w14:paraId="4E1EAACE">
            <w:pPr>
              <w:pStyle w:val="260"/>
              <w:autoSpaceDE w:val="0"/>
              <w:autoSpaceDN w:val="0"/>
              <w:spacing w:before="33"/>
              <w:ind w:left="38" w:right="206" w:firstLine="4"/>
              <w:jc w:val="both"/>
              <w:rPr>
                <w:color w:val="auto"/>
                <w:sz w:val="19"/>
                <w:szCs w:val="19"/>
                <w:lang w:eastAsia="zh-CN"/>
              </w:rPr>
            </w:pPr>
            <w:r>
              <w:rPr>
                <w:color w:val="auto"/>
                <w:spacing w:val="3"/>
                <w:sz w:val="19"/>
                <w:szCs w:val="19"/>
                <w:lang w:eastAsia="zh-CN"/>
              </w:rPr>
              <w:t>管理目标等级（达标）对</w:t>
            </w:r>
            <w:r>
              <w:rPr>
                <w:color w:val="auto"/>
                <w:spacing w:val="7"/>
                <w:sz w:val="19"/>
                <w:szCs w:val="19"/>
                <w:lang w:eastAsia="zh-CN"/>
              </w:rPr>
              <w:t xml:space="preserve"> </w:t>
            </w:r>
            <w:r>
              <w:rPr>
                <w:color w:val="auto"/>
                <w:spacing w:val="2"/>
                <w:sz w:val="19"/>
                <w:szCs w:val="19"/>
                <w:lang w:eastAsia="zh-CN"/>
              </w:rPr>
              <w:t>应的《图集》</w:t>
            </w:r>
            <w:r>
              <w:rPr>
                <w:color w:val="auto"/>
                <w:spacing w:val="-34"/>
                <w:sz w:val="19"/>
                <w:szCs w:val="19"/>
                <w:lang w:eastAsia="zh-CN"/>
              </w:rPr>
              <w:t xml:space="preserve"> </w:t>
            </w:r>
            <w:r>
              <w:rPr>
                <w:color w:val="auto"/>
                <w:spacing w:val="2"/>
                <w:sz w:val="19"/>
                <w:szCs w:val="19"/>
                <w:lang w:eastAsia="zh-CN"/>
              </w:rPr>
              <w:t>标准内项目</w:t>
            </w:r>
            <w:r>
              <w:rPr>
                <w:color w:val="auto"/>
                <w:sz w:val="19"/>
                <w:szCs w:val="19"/>
                <w:lang w:eastAsia="zh-CN"/>
              </w:rPr>
              <w:t xml:space="preserve"> </w:t>
            </w:r>
            <w:r>
              <w:rPr>
                <w:color w:val="auto"/>
                <w:spacing w:val="1"/>
                <w:sz w:val="19"/>
                <w:szCs w:val="19"/>
                <w:lang w:eastAsia="zh-CN"/>
              </w:rPr>
              <w:t>措施费</w:t>
            </w:r>
          </w:p>
        </w:tc>
        <w:tc>
          <w:tcPr>
            <w:tcW w:w="1662" w:type="dxa"/>
          </w:tcPr>
          <w:p w14:paraId="098B8578">
            <w:pPr>
              <w:pStyle w:val="260"/>
              <w:autoSpaceDE w:val="0"/>
              <w:autoSpaceDN w:val="0"/>
              <w:spacing w:before="287"/>
              <w:ind w:right="23"/>
              <w:jc w:val="right"/>
              <w:rPr>
                <w:color w:val="auto"/>
                <w:sz w:val="19"/>
                <w:szCs w:val="19"/>
                <w:lang w:eastAsia="zh-CN"/>
              </w:rPr>
            </w:pPr>
          </w:p>
        </w:tc>
        <w:tc>
          <w:tcPr>
            <w:tcW w:w="1662" w:type="dxa"/>
          </w:tcPr>
          <w:p w14:paraId="488BFDE5">
            <w:pPr>
              <w:pStyle w:val="260"/>
              <w:autoSpaceDE w:val="0"/>
              <w:autoSpaceDN w:val="0"/>
              <w:spacing w:before="287"/>
              <w:ind w:right="20"/>
              <w:jc w:val="right"/>
              <w:rPr>
                <w:color w:val="auto"/>
                <w:sz w:val="19"/>
                <w:szCs w:val="19"/>
                <w:lang w:eastAsia="zh-CN"/>
              </w:rPr>
            </w:pPr>
          </w:p>
        </w:tc>
        <w:tc>
          <w:tcPr>
            <w:tcW w:w="1602" w:type="dxa"/>
          </w:tcPr>
          <w:p w14:paraId="3D9827F6">
            <w:pPr>
              <w:pStyle w:val="260"/>
              <w:autoSpaceDE w:val="0"/>
              <w:autoSpaceDN w:val="0"/>
              <w:spacing w:before="287"/>
              <w:ind w:right="17"/>
              <w:jc w:val="right"/>
              <w:rPr>
                <w:color w:val="auto"/>
                <w:sz w:val="19"/>
                <w:szCs w:val="19"/>
                <w:lang w:eastAsia="zh-CN"/>
              </w:rPr>
            </w:pPr>
          </w:p>
        </w:tc>
        <w:tc>
          <w:tcPr>
            <w:tcW w:w="1602" w:type="dxa"/>
          </w:tcPr>
          <w:p w14:paraId="1141E62E">
            <w:pPr>
              <w:pStyle w:val="260"/>
              <w:autoSpaceDE w:val="0"/>
              <w:autoSpaceDN w:val="0"/>
              <w:spacing w:before="287"/>
              <w:ind w:right="14"/>
              <w:jc w:val="right"/>
              <w:rPr>
                <w:color w:val="auto"/>
                <w:sz w:val="19"/>
                <w:szCs w:val="19"/>
                <w:lang w:eastAsia="zh-CN"/>
              </w:rPr>
            </w:pPr>
          </w:p>
        </w:tc>
        <w:tc>
          <w:tcPr>
            <w:tcW w:w="937" w:type="dxa"/>
          </w:tcPr>
          <w:p w14:paraId="28283613">
            <w:pPr>
              <w:pStyle w:val="260"/>
              <w:autoSpaceDE w:val="0"/>
              <w:autoSpaceDN w:val="0"/>
              <w:spacing w:before="287"/>
              <w:ind w:right="11"/>
              <w:jc w:val="right"/>
              <w:rPr>
                <w:color w:val="auto"/>
                <w:sz w:val="19"/>
                <w:szCs w:val="19"/>
                <w:lang w:eastAsia="zh-CN"/>
              </w:rPr>
            </w:pPr>
          </w:p>
        </w:tc>
        <w:tc>
          <w:tcPr>
            <w:tcW w:w="992" w:type="dxa"/>
            <w:tcBorders>
              <w:right w:val="single" w:color="000000" w:sz="12" w:space="0"/>
            </w:tcBorders>
          </w:tcPr>
          <w:p w14:paraId="29AF35B2">
            <w:pPr>
              <w:autoSpaceDE w:val="0"/>
              <w:autoSpaceDN w:val="0"/>
              <w:spacing w:line="240" w:lineRule="auto"/>
              <w:rPr>
                <w:rFonts w:ascii="Arial"/>
                <w:sz w:val="21"/>
                <w:lang w:eastAsia="zh-CN"/>
              </w:rPr>
            </w:pPr>
          </w:p>
        </w:tc>
      </w:tr>
      <w:tr w14:paraId="7495C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992" w:type="dxa"/>
            <w:vMerge w:val="restart"/>
            <w:tcBorders>
              <w:left w:val="single" w:color="000000" w:sz="12" w:space="0"/>
              <w:bottom w:val="nil"/>
            </w:tcBorders>
            <w:textDirection w:val="tbRlV"/>
          </w:tcPr>
          <w:p w14:paraId="718DE585">
            <w:pPr>
              <w:autoSpaceDE w:val="0"/>
              <w:autoSpaceDN w:val="0"/>
              <w:spacing w:line="240" w:lineRule="auto"/>
              <w:rPr>
                <w:rFonts w:ascii="Arial"/>
                <w:sz w:val="21"/>
                <w:lang w:eastAsia="zh-CN"/>
              </w:rPr>
            </w:pPr>
          </w:p>
          <w:p w14:paraId="6BAB261C">
            <w:pPr>
              <w:pStyle w:val="260"/>
              <w:autoSpaceDE w:val="0"/>
              <w:autoSpaceDN w:val="0"/>
              <w:spacing w:before="84"/>
              <w:ind w:left="365"/>
              <w:rPr>
                <w:color w:val="auto"/>
                <w:sz w:val="19"/>
                <w:szCs w:val="19"/>
              </w:rPr>
            </w:pPr>
            <w:r>
              <w:rPr>
                <w:color w:val="auto"/>
                <w:spacing w:val="4"/>
                <w:sz w:val="19"/>
                <w:szCs w:val="19"/>
              </w:rPr>
              <w:t>其</w:t>
            </w:r>
            <w:r>
              <w:rPr>
                <w:color w:val="auto"/>
                <w:spacing w:val="6"/>
                <w:sz w:val="19"/>
                <w:szCs w:val="19"/>
              </w:rPr>
              <w:t xml:space="preserve">     </w:t>
            </w:r>
            <w:r>
              <w:rPr>
                <w:color w:val="auto"/>
                <w:spacing w:val="4"/>
                <w:sz w:val="19"/>
                <w:szCs w:val="19"/>
              </w:rPr>
              <w:t>中</w:t>
            </w:r>
          </w:p>
        </w:tc>
        <w:tc>
          <w:tcPr>
            <w:tcW w:w="992" w:type="dxa"/>
          </w:tcPr>
          <w:p w14:paraId="1FE1F7AF">
            <w:pPr>
              <w:pStyle w:val="260"/>
              <w:autoSpaceDE w:val="0"/>
              <w:autoSpaceDN w:val="0"/>
              <w:spacing w:before="65"/>
              <w:jc w:val="center"/>
              <w:rPr>
                <w:color w:val="auto"/>
                <w:sz w:val="19"/>
                <w:szCs w:val="19"/>
              </w:rPr>
            </w:pPr>
            <w:r>
              <w:rPr>
                <w:color w:val="auto"/>
                <w:spacing w:val="7"/>
                <w:sz w:val="19"/>
                <w:szCs w:val="19"/>
              </w:rPr>
              <w:t>1.1</w:t>
            </w:r>
          </w:p>
        </w:tc>
        <w:tc>
          <w:tcPr>
            <w:tcW w:w="1197" w:type="dxa"/>
          </w:tcPr>
          <w:p w14:paraId="3AE7C3A0">
            <w:pPr>
              <w:autoSpaceDE w:val="0"/>
              <w:autoSpaceDN w:val="0"/>
              <w:spacing w:line="240" w:lineRule="auto"/>
              <w:rPr>
                <w:rFonts w:ascii="Arial"/>
                <w:sz w:val="21"/>
              </w:rPr>
            </w:pPr>
          </w:p>
        </w:tc>
        <w:tc>
          <w:tcPr>
            <w:tcW w:w="2395" w:type="dxa"/>
          </w:tcPr>
          <w:p w14:paraId="68489CCD">
            <w:pPr>
              <w:pStyle w:val="260"/>
              <w:autoSpaceDE w:val="0"/>
              <w:autoSpaceDN w:val="0"/>
              <w:spacing w:before="65"/>
              <w:ind w:left="42"/>
              <w:rPr>
                <w:color w:val="auto"/>
                <w:sz w:val="19"/>
                <w:szCs w:val="19"/>
              </w:rPr>
            </w:pPr>
            <w:r>
              <w:rPr>
                <w:color w:val="auto"/>
                <w:spacing w:val="1"/>
                <w:sz w:val="19"/>
                <w:szCs w:val="19"/>
              </w:rPr>
              <w:t>安全生产</w:t>
            </w:r>
          </w:p>
        </w:tc>
        <w:tc>
          <w:tcPr>
            <w:tcW w:w="1662" w:type="dxa"/>
          </w:tcPr>
          <w:p w14:paraId="44B44FD8">
            <w:pPr>
              <w:pStyle w:val="260"/>
              <w:autoSpaceDE w:val="0"/>
              <w:autoSpaceDN w:val="0"/>
              <w:spacing w:before="65"/>
              <w:ind w:right="23"/>
              <w:jc w:val="right"/>
              <w:rPr>
                <w:color w:val="auto"/>
                <w:sz w:val="19"/>
                <w:szCs w:val="19"/>
              </w:rPr>
            </w:pPr>
          </w:p>
        </w:tc>
        <w:tc>
          <w:tcPr>
            <w:tcW w:w="1662" w:type="dxa"/>
          </w:tcPr>
          <w:p w14:paraId="5467F679">
            <w:pPr>
              <w:pStyle w:val="260"/>
              <w:autoSpaceDE w:val="0"/>
              <w:autoSpaceDN w:val="0"/>
              <w:spacing w:before="65"/>
              <w:ind w:right="20"/>
              <w:jc w:val="right"/>
              <w:rPr>
                <w:color w:val="auto"/>
                <w:sz w:val="19"/>
                <w:szCs w:val="19"/>
              </w:rPr>
            </w:pPr>
          </w:p>
        </w:tc>
        <w:tc>
          <w:tcPr>
            <w:tcW w:w="1602" w:type="dxa"/>
          </w:tcPr>
          <w:p w14:paraId="3367541A">
            <w:pPr>
              <w:pStyle w:val="260"/>
              <w:autoSpaceDE w:val="0"/>
              <w:autoSpaceDN w:val="0"/>
              <w:spacing w:before="65"/>
              <w:ind w:right="17"/>
              <w:jc w:val="right"/>
              <w:rPr>
                <w:color w:val="auto"/>
                <w:sz w:val="19"/>
                <w:szCs w:val="19"/>
              </w:rPr>
            </w:pPr>
          </w:p>
        </w:tc>
        <w:tc>
          <w:tcPr>
            <w:tcW w:w="1602" w:type="dxa"/>
          </w:tcPr>
          <w:p w14:paraId="1E12429D">
            <w:pPr>
              <w:pStyle w:val="260"/>
              <w:autoSpaceDE w:val="0"/>
              <w:autoSpaceDN w:val="0"/>
              <w:spacing w:before="65"/>
              <w:ind w:right="14"/>
              <w:jc w:val="right"/>
              <w:rPr>
                <w:color w:val="auto"/>
                <w:sz w:val="19"/>
                <w:szCs w:val="19"/>
              </w:rPr>
            </w:pPr>
          </w:p>
        </w:tc>
        <w:tc>
          <w:tcPr>
            <w:tcW w:w="937" w:type="dxa"/>
          </w:tcPr>
          <w:p w14:paraId="3D923A5B">
            <w:pPr>
              <w:pStyle w:val="260"/>
              <w:autoSpaceDE w:val="0"/>
              <w:autoSpaceDN w:val="0"/>
              <w:spacing w:before="65"/>
              <w:ind w:right="11"/>
              <w:jc w:val="right"/>
              <w:rPr>
                <w:color w:val="auto"/>
                <w:sz w:val="19"/>
                <w:szCs w:val="19"/>
              </w:rPr>
            </w:pPr>
          </w:p>
        </w:tc>
        <w:tc>
          <w:tcPr>
            <w:tcW w:w="992" w:type="dxa"/>
            <w:tcBorders>
              <w:right w:val="single" w:color="000000" w:sz="12" w:space="0"/>
            </w:tcBorders>
          </w:tcPr>
          <w:p w14:paraId="2DD58D2D">
            <w:pPr>
              <w:autoSpaceDE w:val="0"/>
              <w:autoSpaceDN w:val="0"/>
              <w:spacing w:line="240" w:lineRule="auto"/>
              <w:rPr>
                <w:rFonts w:ascii="Arial"/>
                <w:sz w:val="21"/>
              </w:rPr>
            </w:pPr>
          </w:p>
        </w:tc>
      </w:tr>
      <w:tr w14:paraId="5B75F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992" w:type="dxa"/>
            <w:vMerge w:val="continue"/>
            <w:tcBorders>
              <w:top w:val="nil"/>
              <w:left w:val="single" w:color="000000" w:sz="12" w:space="0"/>
              <w:bottom w:val="nil"/>
            </w:tcBorders>
            <w:textDirection w:val="tbRlV"/>
          </w:tcPr>
          <w:p w14:paraId="304809FA">
            <w:pPr>
              <w:autoSpaceDE w:val="0"/>
              <w:autoSpaceDN w:val="0"/>
              <w:spacing w:line="240" w:lineRule="auto"/>
              <w:rPr>
                <w:rFonts w:ascii="Arial"/>
                <w:sz w:val="21"/>
              </w:rPr>
            </w:pPr>
          </w:p>
        </w:tc>
        <w:tc>
          <w:tcPr>
            <w:tcW w:w="992" w:type="dxa"/>
          </w:tcPr>
          <w:p w14:paraId="56B38194">
            <w:pPr>
              <w:pStyle w:val="260"/>
              <w:autoSpaceDE w:val="0"/>
              <w:autoSpaceDN w:val="0"/>
              <w:spacing w:before="67"/>
              <w:jc w:val="center"/>
              <w:rPr>
                <w:color w:val="auto"/>
                <w:sz w:val="19"/>
                <w:szCs w:val="19"/>
              </w:rPr>
            </w:pPr>
            <w:r>
              <w:rPr>
                <w:color w:val="auto"/>
                <w:spacing w:val="7"/>
                <w:sz w:val="19"/>
                <w:szCs w:val="19"/>
              </w:rPr>
              <w:t>1.2</w:t>
            </w:r>
          </w:p>
        </w:tc>
        <w:tc>
          <w:tcPr>
            <w:tcW w:w="1197" w:type="dxa"/>
          </w:tcPr>
          <w:p w14:paraId="3F7EE8BA">
            <w:pPr>
              <w:autoSpaceDE w:val="0"/>
              <w:autoSpaceDN w:val="0"/>
              <w:spacing w:line="240" w:lineRule="auto"/>
              <w:rPr>
                <w:rFonts w:ascii="Arial"/>
                <w:sz w:val="21"/>
              </w:rPr>
            </w:pPr>
          </w:p>
        </w:tc>
        <w:tc>
          <w:tcPr>
            <w:tcW w:w="2395" w:type="dxa"/>
          </w:tcPr>
          <w:p w14:paraId="02B2F8DF">
            <w:pPr>
              <w:pStyle w:val="260"/>
              <w:autoSpaceDE w:val="0"/>
              <w:autoSpaceDN w:val="0"/>
              <w:spacing w:before="67"/>
              <w:ind w:left="39"/>
              <w:rPr>
                <w:color w:val="auto"/>
                <w:sz w:val="19"/>
                <w:szCs w:val="19"/>
              </w:rPr>
            </w:pPr>
            <w:r>
              <w:rPr>
                <w:color w:val="auto"/>
                <w:spacing w:val="2"/>
                <w:sz w:val="19"/>
                <w:szCs w:val="19"/>
              </w:rPr>
              <w:t>文明施工</w:t>
            </w:r>
          </w:p>
        </w:tc>
        <w:tc>
          <w:tcPr>
            <w:tcW w:w="1662" w:type="dxa"/>
          </w:tcPr>
          <w:p w14:paraId="27023990">
            <w:pPr>
              <w:pStyle w:val="260"/>
              <w:autoSpaceDE w:val="0"/>
              <w:autoSpaceDN w:val="0"/>
              <w:spacing w:before="67"/>
              <w:ind w:right="23"/>
              <w:jc w:val="right"/>
              <w:rPr>
                <w:color w:val="auto"/>
                <w:sz w:val="19"/>
                <w:szCs w:val="19"/>
              </w:rPr>
            </w:pPr>
          </w:p>
        </w:tc>
        <w:tc>
          <w:tcPr>
            <w:tcW w:w="1662" w:type="dxa"/>
          </w:tcPr>
          <w:p w14:paraId="1B6705C9">
            <w:pPr>
              <w:pStyle w:val="260"/>
              <w:autoSpaceDE w:val="0"/>
              <w:autoSpaceDN w:val="0"/>
              <w:spacing w:before="67"/>
              <w:ind w:right="20"/>
              <w:jc w:val="right"/>
              <w:rPr>
                <w:color w:val="auto"/>
                <w:sz w:val="19"/>
                <w:szCs w:val="19"/>
              </w:rPr>
            </w:pPr>
          </w:p>
        </w:tc>
        <w:tc>
          <w:tcPr>
            <w:tcW w:w="1602" w:type="dxa"/>
          </w:tcPr>
          <w:p w14:paraId="5A55AA8A">
            <w:pPr>
              <w:pStyle w:val="260"/>
              <w:autoSpaceDE w:val="0"/>
              <w:autoSpaceDN w:val="0"/>
              <w:spacing w:before="67"/>
              <w:ind w:right="17"/>
              <w:jc w:val="right"/>
              <w:rPr>
                <w:color w:val="auto"/>
                <w:sz w:val="19"/>
                <w:szCs w:val="19"/>
              </w:rPr>
            </w:pPr>
          </w:p>
        </w:tc>
        <w:tc>
          <w:tcPr>
            <w:tcW w:w="1602" w:type="dxa"/>
          </w:tcPr>
          <w:p w14:paraId="237C44A7">
            <w:pPr>
              <w:pStyle w:val="260"/>
              <w:autoSpaceDE w:val="0"/>
              <w:autoSpaceDN w:val="0"/>
              <w:spacing w:before="67"/>
              <w:ind w:right="14"/>
              <w:jc w:val="right"/>
              <w:rPr>
                <w:color w:val="auto"/>
                <w:sz w:val="19"/>
                <w:szCs w:val="19"/>
              </w:rPr>
            </w:pPr>
          </w:p>
        </w:tc>
        <w:tc>
          <w:tcPr>
            <w:tcW w:w="937" w:type="dxa"/>
          </w:tcPr>
          <w:p w14:paraId="7162904F">
            <w:pPr>
              <w:pStyle w:val="260"/>
              <w:autoSpaceDE w:val="0"/>
              <w:autoSpaceDN w:val="0"/>
              <w:spacing w:before="67"/>
              <w:ind w:right="11"/>
              <w:jc w:val="right"/>
              <w:rPr>
                <w:color w:val="auto"/>
                <w:sz w:val="19"/>
                <w:szCs w:val="19"/>
              </w:rPr>
            </w:pPr>
          </w:p>
        </w:tc>
        <w:tc>
          <w:tcPr>
            <w:tcW w:w="992" w:type="dxa"/>
            <w:tcBorders>
              <w:right w:val="single" w:color="000000" w:sz="12" w:space="0"/>
            </w:tcBorders>
          </w:tcPr>
          <w:p w14:paraId="6D471823">
            <w:pPr>
              <w:autoSpaceDE w:val="0"/>
              <w:autoSpaceDN w:val="0"/>
              <w:spacing w:line="240" w:lineRule="auto"/>
              <w:rPr>
                <w:rFonts w:ascii="Arial"/>
                <w:sz w:val="21"/>
              </w:rPr>
            </w:pPr>
          </w:p>
        </w:tc>
      </w:tr>
      <w:tr w14:paraId="07396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992" w:type="dxa"/>
            <w:vMerge w:val="continue"/>
            <w:tcBorders>
              <w:top w:val="nil"/>
              <w:left w:val="single" w:color="000000" w:sz="12" w:space="0"/>
              <w:bottom w:val="nil"/>
            </w:tcBorders>
            <w:textDirection w:val="tbRlV"/>
          </w:tcPr>
          <w:p w14:paraId="5799E699">
            <w:pPr>
              <w:autoSpaceDE w:val="0"/>
              <w:autoSpaceDN w:val="0"/>
              <w:spacing w:line="240" w:lineRule="auto"/>
              <w:rPr>
                <w:rFonts w:ascii="Arial"/>
                <w:sz w:val="21"/>
              </w:rPr>
            </w:pPr>
          </w:p>
        </w:tc>
        <w:tc>
          <w:tcPr>
            <w:tcW w:w="992" w:type="dxa"/>
          </w:tcPr>
          <w:p w14:paraId="463071D2">
            <w:pPr>
              <w:pStyle w:val="260"/>
              <w:autoSpaceDE w:val="0"/>
              <w:autoSpaceDN w:val="0"/>
              <w:spacing w:before="69"/>
              <w:jc w:val="center"/>
              <w:rPr>
                <w:color w:val="auto"/>
                <w:sz w:val="19"/>
                <w:szCs w:val="19"/>
              </w:rPr>
            </w:pPr>
            <w:r>
              <w:rPr>
                <w:color w:val="auto"/>
                <w:spacing w:val="7"/>
                <w:sz w:val="19"/>
                <w:szCs w:val="19"/>
              </w:rPr>
              <w:t>1.3</w:t>
            </w:r>
          </w:p>
        </w:tc>
        <w:tc>
          <w:tcPr>
            <w:tcW w:w="1197" w:type="dxa"/>
          </w:tcPr>
          <w:p w14:paraId="4B8B50E4">
            <w:pPr>
              <w:autoSpaceDE w:val="0"/>
              <w:autoSpaceDN w:val="0"/>
              <w:spacing w:line="240" w:lineRule="auto"/>
              <w:rPr>
                <w:rFonts w:ascii="Arial"/>
                <w:sz w:val="21"/>
              </w:rPr>
            </w:pPr>
          </w:p>
        </w:tc>
        <w:tc>
          <w:tcPr>
            <w:tcW w:w="2395" w:type="dxa"/>
          </w:tcPr>
          <w:p w14:paraId="3AAB1F3C">
            <w:pPr>
              <w:pStyle w:val="260"/>
              <w:autoSpaceDE w:val="0"/>
              <w:autoSpaceDN w:val="0"/>
              <w:spacing w:before="69"/>
              <w:ind w:left="38"/>
              <w:rPr>
                <w:color w:val="auto"/>
                <w:sz w:val="19"/>
                <w:szCs w:val="19"/>
              </w:rPr>
            </w:pPr>
            <w:r>
              <w:rPr>
                <w:color w:val="auto"/>
                <w:spacing w:val="2"/>
                <w:sz w:val="19"/>
                <w:szCs w:val="19"/>
              </w:rPr>
              <w:t>环境保护</w:t>
            </w:r>
          </w:p>
        </w:tc>
        <w:tc>
          <w:tcPr>
            <w:tcW w:w="1662" w:type="dxa"/>
          </w:tcPr>
          <w:p w14:paraId="51DA038F">
            <w:pPr>
              <w:pStyle w:val="260"/>
              <w:autoSpaceDE w:val="0"/>
              <w:autoSpaceDN w:val="0"/>
              <w:spacing w:before="69"/>
              <w:ind w:right="23"/>
              <w:jc w:val="right"/>
              <w:rPr>
                <w:color w:val="auto"/>
                <w:sz w:val="19"/>
                <w:szCs w:val="19"/>
              </w:rPr>
            </w:pPr>
          </w:p>
        </w:tc>
        <w:tc>
          <w:tcPr>
            <w:tcW w:w="1662" w:type="dxa"/>
          </w:tcPr>
          <w:p w14:paraId="33C758B8">
            <w:pPr>
              <w:pStyle w:val="260"/>
              <w:autoSpaceDE w:val="0"/>
              <w:autoSpaceDN w:val="0"/>
              <w:spacing w:before="69"/>
              <w:ind w:right="20"/>
              <w:jc w:val="right"/>
              <w:rPr>
                <w:color w:val="auto"/>
                <w:sz w:val="19"/>
                <w:szCs w:val="19"/>
              </w:rPr>
            </w:pPr>
          </w:p>
        </w:tc>
        <w:tc>
          <w:tcPr>
            <w:tcW w:w="1602" w:type="dxa"/>
          </w:tcPr>
          <w:p w14:paraId="01A36789">
            <w:pPr>
              <w:pStyle w:val="260"/>
              <w:autoSpaceDE w:val="0"/>
              <w:autoSpaceDN w:val="0"/>
              <w:spacing w:before="69"/>
              <w:ind w:right="17"/>
              <w:jc w:val="right"/>
              <w:rPr>
                <w:color w:val="auto"/>
                <w:sz w:val="19"/>
                <w:szCs w:val="19"/>
              </w:rPr>
            </w:pPr>
          </w:p>
        </w:tc>
        <w:tc>
          <w:tcPr>
            <w:tcW w:w="1602" w:type="dxa"/>
          </w:tcPr>
          <w:p w14:paraId="74C79A54">
            <w:pPr>
              <w:pStyle w:val="260"/>
              <w:autoSpaceDE w:val="0"/>
              <w:autoSpaceDN w:val="0"/>
              <w:spacing w:before="69"/>
              <w:ind w:right="14"/>
              <w:jc w:val="right"/>
              <w:rPr>
                <w:color w:val="auto"/>
                <w:sz w:val="19"/>
                <w:szCs w:val="19"/>
              </w:rPr>
            </w:pPr>
          </w:p>
        </w:tc>
        <w:tc>
          <w:tcPr>
            <w:tcW w:w="937" w:type="dxa"/>
          </w:tcPr>
          <w:p w14:paraId="28788520">
            <w:pPr>
              <w:pStyle w:val="260"/>
              <w:autoSpaceDE w:val="0"/>
              <w:autoSpaceDN w:val="0"/>
              <w:spacing w:before="69"/>
              <w:ind w:right="11"/>
              <w:jc w:val="right"/>
              <w:rPr>
                <w:color w:val="auto"/>
                <w:sz w:val="19"/>
                <w:szCs w:val="19"/>
              </w:rPr>
            </w:pPr>
          </w:p>
        </w:tc>
        <w:tc>
          <w:tcPr>
            <w:tcW w:w="992" w:type="dxa"/>
            <w:tcBorders>
              <w:right w:val="single" w:color="000000" w:sz="12" w:space="0"/>
            </w:tcBorders>
          </w:tcPr>
          <w:p w14:paraId="3297DE57">
            <w:pPr>
              <w:autoSpaceDE w:val="0"/>
              <w:autoSpaceDN w:val="0"/>
              <w:spacing w:line="240" w:lineRule="auto"/>
              <w:rPr>
                <w:rFonts w:ascii="Arial"/>
                <w:sz w:val="21"/>
              </w:rPr>
            </w:pPr>
          </w:p>
        </w:tc>
      </w:tr>
      <w:tr w14:paraId="30A1E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992" w:type="dxa"/>
            <w:vMerge w:val="continue"/>
            <w:tcBorders>
              <w:top w:val="nil"/>
              <w:left w:val="single" w:color="000000" w:sz="12" w:space="0"/>
            </w:tcBorders>
            <w:textDirection w:val="tbRlV"/>
          </w:tcPr>
          <w:p w14:paraId="4152BA84">
            <w:pPr>
              <w:autoSpaceDE w:val="0"/>
              <w:autoSpaceDN w:val="0"/>
              <w:spacing w:line="240" w:lineRule="auto"/>
              <w:rPr>
                <w:rFonts w:ascii="Arial"/>
                <w:sz w:val="21"/>
              </w:rPr>
            </w:pPr>
          </w:p>
        </w:tc>
        <w:tc>
          <w:tcPr>
            <w:tcW w:w="992" w:type="dxa"/>
          </w:tcPr>
          <w:p w14:paraId="1DCA22A3">
            <w:pPr>
              <w:pStyle w:val="260"/>
              <w:autoSpaceDE w:val="0"/>
              <w:autoSpaceDN w:val="0"/>
              <w:spacing w:before="70"/>
              <w:jc w:val="center"/>
              <w:rPr>
                <w:color w:val="auto"/>
                <w:sz w:val="19"/>
                <w:szCs w:val="19"/>
              </w:rPr>
            </w:pPr>
            <w:r>
              <w:rPr>
                <w:color w:val="auto"/>
                <w:spacing w:val="7"/>
                <w:sz w:val="19"/>
                <w:szCs w:val="19"/>
              </w:rPr>
              <w:t>1.4</w:t>
            </w:r>
          </w:p>
        </w:tc>
        <w:tc>
          <w:tcPr>
            <w:tcW w:w="1197" w:type="dxa"/>
          </w:tcPr>
          <w:p w14:paraId="6E9F8208">
            <w:pPr>
              <w:autoSpaceDE w:val="0"/>
              <w:autoSpaceDN w:val="0"/>
              <w:spacing w:line="240" w:lineRule="auto"/>
              <w:rPr>
                <w:rFonts w:ascii="Arial"/>
                <w:sz w:val="21"/>
              </w:rPr>
            </w:pPr>
          </w:p>
        </w:tc>
        <w:tc>
          <w:tcPr>
            <w:tcW w:w="2395" w:type="dxa"/>
          </w:tcPr>
          <w:p w14:paraId="784C5D4C">
            <w:pPr>
              <w:pStyle w:val="260"/>
              <w:autoSpaceDE w:val="0"/>
              <w:autoSpaceDN w:val="0"/>
              <w:spacing w:before="71"/>
              <w:ind w:left="48"/>
              <w:rPr>
                <w:color w:val="auto"/>
                <w:sz w:val="19"/>
                <w:szCs w:val="19"/>
              </w:rPr>
            </w:pPr>
            <w:r>
              <w:rPr>
                <w:color w:val="auto"/>
                <w:sz w:val="19"/>
                <w:szCs w:val="19"/>
              </w:rPr>
              <w:t>临时设施</w:t>
            </w:r>
          </w:p>
        </w:tc>
        <w:tc>
          <w:tcPr>
            <w:tcW w:w="1662" w:type="dxa"/>
          </w:tcPr>
          <w:p w14:paraId="24A41822">
            <w:pPr>
              <w:pStyle w:val="260"/>
              <w:autoSpaceDE w:val="0"/>
              <w:autoSpaceDN w:val="0"/>
              <w:spacing w:before="70"/>
              <w:ind w:right="23"/>
              <w:jc w:val="right"/>
              <w:rPr>
                <w:color w:val="auto"/>
                <w:sz w:val="19"/>
                <w:szCs w:val="19"/>
              </w:rPr>
            </w:pPr>
          </w:p>
        </w:tc>
        <w:tc>
          <w:tcPr>
            <w:tcW w:w="1662" w:type="dxa"/>
          </w:tcPr>
          <w:p w14:paraId="463E9D01">
            <w:pPr>
              <w:pStyle w:val="260"/>
              <w:autoSpaceDE w:val="0"/>
              <w:autoSpaceDN w:val="0"/>
              <w:spacing w:before="70"/>
              <w:ind w:right="20"/>
              <w:jc w:val="right"/>
              <w:rPr>
                <w:color w:val="auto"/>
                <w:sz w:val="19"/>
                <w:szCs w:val="19"/>
              </w:rPr>
            </w:pPr>
          </w:p>
        </w:tc>
        <w:tc>
          <w:tcPr>
            <w:tcW w:w="1602" w:type="dxa"/>
          </w:tcPr>
          <w:p w14:paraId="6B1A023B">
            <w:pPr>
              <w:pStyle w:val="260"/>
              <w:autoSpaceDE w:val="0"/>
              <w:autoSpaceDN w:val="0"/>
              <w:spacing w:before="70"/>
              <w:ind w:right="17"/>
              <w:jc w:val="right"/>
              <w:rPr>
                <w:color w:val="auto"/>
                <w:sz w:val="19"/>
                <w:szCs w:val="19"/>
              </w:rPr>
            </w:pPr>
          </w:p>
        </w:tc>
        <w:tc>
          <w:tcPr>
            <w:tcW w:w="1602" w:type="dxa"/>
          </w:tcPr>
          <w:p w14:paraId="5FD48D97">
            <w:pPr>
              <w:pStyle w:val="260"/>
              <w:autoSpaceDE w:val="0"/>
              <w:autoSpaceDN w:val="0"/>
              <w:spacing w:before="70"/>
              <w:ind w:right="14"/>
              <w:jc w:val="right"/>
              <w:rPr>
                <w:color w:val="auto"/>
                <w:sz w:val="19"/>
                <w:szCs w:val="19"/>
              </w:rPr>
            </w:pPr>
          </w:p>
        </w:tc>
        <w:tc>
          <w:tcPr>
            <w:tcW w:w="937" w:type="dxa"/>
          </w:tcPr>
          <w:p w14:paraId="7848B2F1">
            <w:pPr>
              <w:pStyle w:val="260"/>
              <w:autoSpaceDE w:val="0"/>
              <w:autoSpaceDN w:val="0"/>
              <w:spacing w:before="70"/>
              <w:ind w:right="11"/>
              <w:jc w:val="right"/>
              <w:rPr>
                <w:color w:val="auto"/>
                <w:sz w:val="19"/>
                <w:szCs w:val="19"/>
              </w:rPr>
            </w:pPr>
          </w:p>
        </w:tc>
        <w:tc>
          <w:tcPr>
            <w:tcW w:w="992" w:type="dxa"/>
            <w:tcBorders>
              <w:right w:val="single" w:color="000000" w:sz="12" w:space="0"/>
            </w:tcBorders>
          </w:tcPr>
          <w:p w14:paraId="1805C6A2">
            <w:pPr>
              <w:autoSpaceDE w:val="0"/>
              <w:autoSpaceDN w:val="0"/>
              <w:spacing w:line="240" w:lineRule="auto"/>
              <w:rPr>
                <w:rFonts w:ascii="Arial"/>
                <w:sz w:val="21"/>
              </w:rPr>
            </w:pPr>
          </w:p>
        </w:tc>
      </w:tr>
      <w:tr w14:paraId="62DE7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984" w:type="dxa"/>
            <w:gridSpan w:val="2"/>
            <w:tcBorders>
              <w:left w:val="single" w:color="000000" w:sz="12" w:space="0"/>
            </w:tcBorders>
          </w:tcPr>
          <w:p w14:paraId="4EB6AC0C">
            <w:pPr>
              <w:pStyle w:val="260"/>
              <w:autoSpaceDE w:val="0"/>
              <w:autoSpaceDN w:val="0"/>
              <w:spacing w:before="43"/>
              <w:ind w:left="1067"/>
              <w:rPr>
                <w:color w:val="auto"/>
                <w:sz w:val="19"/>
                <w:szCs w:val="19"/>
              </w:rPr>
            </w:pPr>
            <w:r>
              <w:rPr>
                <w:color w:val="auto"/>
                <w:sz w:val="19"/>
                <w:szCs w:val="19"/>
              </w:rPr>
              <w:t>2</w:t>
            </w:r>
          </w:p>
        </w:tc>
        <w:tc>
          <w:tcPr>
            <w:tcW w:w="1197" w:type="dxa"/>
          </w:tcPr>
          <w:p w14:paraId="50F33754">
            <w:pPr>
              <w:autoSpaceDE w:val="0"/>
              <w:autoSpaceDN w:val="0"/>
              <w:spacing w:line="240" w:lineRule="auto"/>
              <w:rPr>
                <w:rFonts w:ascii="Arial"/>
                <w:sz w:val="21"/>
              </w:rPr>
            </w:pPr>
          </w:p>
        </w:tc>
        <w:tc>
          <w:tcPr>
            <w:tcW w:w="2395" w:type="dxa"/>
          </w:tcPr>
          <w:p w14:paraId="1D9E6BBB">
            <w:pPr>
              <w:pStyle w:val="260"/>
              <w:autoSpaceDE w:val="0"/>
              <w:autoSpaceDN w:val="0"/>
              <w:spacing w:before="42"/>
              <w:ind w:left="38"/>
              <w:rPr>
                <w:color w:val="auto"/>
                <w:sz w:val="19"/>
                <w:szCs w:val="19"/>
                <w:lang w:eastAsia="zh-CN"/>
              </w:rPr>
            </w:pPr>
            <w:r>
              <w:rPr>
                <w:color w:val="auto"/>
                <w:spacing w:val="4"/>
                <w:sz w:val="19"/>
                <w:szCs w:val="19"/>
                <w:lang w:eastAsia="zh-CN"/>
              </w:rPr>
              <w:t>特殊安全文明施工措施费</w:t>
            </w:r>
          </w:p>
        </w:tc>
        <w:tc>
          <w:tcPr>
            <w:tcW w:w="1662" w:type="dxa"/>
          </w:tcPr>
          <w:p w14:paraId="6197B315">
            <w:pPr>
              <w:autoSpaceDE w:val="0"/>
              <w:autoSpaceDN w:val="0"/>
              <w:spacing w:line="240" w:lineRule="auto"/>
              <w:rPr>
                <w:rFonts w:ascii="Arial"/>
                <w:sz w:val="21"/>
                <w:lang w:eastAsia="zh-CN"/>
              </w:rPr>
            </w:pPr>
          </w:p>
        </w:tc>
        <w:tc>
          <w:tcPr>
            <w:tcW w:w="1662" w:type="dxa"/>
          </w:tcPr>
          <w:p w14:paraId="13BE17C8">
            <w:pPr>
              <w:autoSpaceDE w:val="0"/>
              <w:autoSpaceDN w:val="0"/>
              <w:spacing w:line="240" w:lineRule="auto"/>
              <w:rPr>
                <w:rFonts w:ascii="Arial"/>
                <w:sz w:val="21"/>
                <w:lang w:eastAsia="zh-CN"/>
              </w:rPr>
            </w:pPr>
          </w:p>
        </w:tc>
        <w:tc>
          <w:tcPr>
            <w:tcW w:w="1602" w:type="dxa"/>
          </w:tcPr>
          <w:p w14:paraId="7EA2FD63">
            <w:pPr>
              <w:autoSpaceDE w:val="0"/>
              <w:autoSpaceDN w:val="0"/>
              <w:spacing w:line="240" w:lineRule="auto"/>
              <w:rPr>
                <w:rFonts w:ascii="Arial"/>
                <w:sz w:val="21"/>
                <w:lang w:eastAsia="zh-CN"/>
              </w:rPr>
            </w:pPr>
          </w:p>
        </w:tc>
        <w:tc>
          <w:tcPr>
            <w:tcW w:w="1602" w:type="dxa"/>
          </w:tcPr>
          <w:p w14:paraId="4DDFC5D6">
            <w:pPr>
              <w:autoSpaceDE w:val="0"/>
              <w:autoSpaceDN w:val="0"/>
              <w:spacing w:line="240" w:lineRule="auto"/>
              <w:rPr>
                <w:rFonts w:ascii="Arial"/>
                <w:sz w:val="21"/>
                <w:lang w:eastAsia="zh-CN"/>
              </w:rPr>
            </w:pPr>
          </w:p>
        </w:tc>
        <w:tc>
          <w:tcPr>
            <w:tcW w:w="937" w:type="dxa"/>
          </w:tcPr>
          <w:p w14:paraId="1CB57AC9">
            <w:pPr>
              <w:autoSpaceDE w:val="0"/>
              <w:autoSpaceDN w:val="0"/>
              <w:spacing w:line="240" w:lineRule="auto"/>
              <w:rPr>
                <w:rFonts w:ascii="Arial"/>
                <w:sz w:val="21"/>
                <w:lang w:eastAsia="zh-CN"/>
              </w:rPr>
            </w:pPr>
          </w:p>
        </w:tc>
        <w:tc>
          <w:tcPr>
            <w:tcW w:w="992" w:type="dxa"/>
            <w:tcBorders>
              <w:right w:val="single" w:color="000000" w:sz="12" w:space="0"/>
            </w:tcBorders>
          </w:tcPr>
          <w:p w14:paraId="793434E7">
            <w:pPr>
              <w:autoSpaceDE w:val="0"/>
              <w:autoSpaceDN w:val="0"/>
              <w:spacing w:line="240" w:lineRule="auto"/>
              <w:rPr>
                <w:rFonts w:ascii="Arial"/>
                <w:sz w:val="21"/>
                <w:lang w:eastAsia="zh-CN"/>
              </w:rPr>
            </w:pPr>
          </w:p>
        </w:tc>
      </w:tr>
      <w:tr w14:paraId="1EEAC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992" w:type="dxa"/>
            <w:vMerge w:val="restart"/>
            <w:tcBorders>
              <w:left w:val="single" w:color="000000" w:sz="12" w:space="0"/>
              <w:bottom w:val="nil"/>
            </w:tcBorders>
            <w:textDirection w:val="tbRlV"/>
          </w:tcPr>
          <w:p w14:paraId="0AB48DB9">
            <w:pPr>
              <w:autoSpaceDE w:val="0"/>
              <w:autoSpaceDN w:val="0"/>
              <w:spacing w:line="240" w:lineRule="auto"/>
              <w:rPr>
                <w:rFonts w:ascii="Arial"/>
                <w:sz w:val="21"/>
                <w:lang w:eastAsia="zh-CN"/>
              </w:rPr>
            </w:pPr>
          </w:p>
          <w:p w14:paraId="4BADA65B">
            <w:pPr>
              <w:pStyle w:val="260"/>
              <w:autoSpaceDE w:val="0"/>
              <w:autoSpaceDN w:val="0"/>
              <w:spacing w:before="84"/>
              <w:ind w:left="629"/>
              <w:rPr>
                <w:color w:val="auto"/>
                <w:sz w:val="19"/>
                <w:szCs w:val="19"/>
              </w:rPr>
            </w:pPr>
            <w:r>
              <w:rPr>
                <w:color w:val="auto"/>
                <w:spacing w:val="4"/>
                <w:sz w:val="19"/>
                <w:szCs w:val="19"/>
              </w:rPr>
              <w:t>其</w:t>
            </w:r>
            <w:r>
              <w:rPr>
                <w:color w:val="auto"/>
                <w:spacing w:val="6"/>
                <w:sz w:val="19"/>
                <w:szCs w:val="19"/>
              </w:rPr>
              <w:t xml:space="preserve">     </w:t>
            </w:r>
            <w:r>
              <w:rPr>
                <w:color w:val="auto"/>
                <w:spacing w:val="4"/>
                <w:sz w:val="19"/>
                <w:szCs w:val="19"/>
              </w:rPr>
              <w:t>中</w:t>
            </w:r>
          </w:p>
        </w:tc>
        <w:tc>
          <w:tcPr>
            <w:tcW w:w="992" w:type="dxa"/>
          </w:tcPr>
          <w:p w14:paraId="5FD3DB15">
            <w:pPr>
              <w:pStyle w:val="260"/>
              <w:autoSpaceDE w:val="0"/>
              <w:autoSpaceDN w:val="0"/>
              <w:spacing w:before="179"/>
              <w:jc w:val="center"/>
              <w:rPr>
                <w:color w:val="auto"/>
                <w:sz w:val="19"/>
                <w:szCs w:val="19"/>
              </w:rPr>
            </w:pPr>
            <w:r>
              <w:rPr>
                <w:color w:val="auto"/>
                <w:spacing w:val="11"/>
                <w:sz w:val="19"/>
                <w:szCs w:val="19"/>
              </w:rPr>
              <w:t>2.1</w:t>
            </w:r>
          </w:p>
        </w:tc>
        <w:tc>
          <w:tcPr>
            <w:tcW w:w="1197" w:type="dxa"/>
          </w:tcPr>
          <w:p w14:paraId="5D888F4A">
            <w:pPr>
              <w:autoSpaceDE w:val="0"/>
              <w:autoSpaceDN w:val="0"/>
              <w:spacing w:line="240" w:lineRule="auto"/>
              <w:rPr>
                <w:rFonts w:ascii="Arial"/>
                <w:sz w:val="21"/>
              </w:rPr>
            </w:pPr>
          </w:p>
        </w:tc>
        <w:tc>
          <w:tcPr>
            <w:tcW w:w="2395" w:type="dxa"/>
          </w:tcPr>
          <w:p w14:paraId="5AEE01D7">
            <w:pPr>
              <w:pStyle w:val="260"/>
              <w:autoSpaceDE w:val="0"/>
              <w:autoSpaceDN w:val="0"/>
              <w:spacing w:before="44"/>
              <w:ind w:left="38" w:right="206" w:firstLine="4"/>
              <w:rPr>
                <w:color w:val="auto"/>
                <w:sz w:val="19"/>
                <w:szCs w:val="19"/>
                <w:lang w:eastAsia="zh-CN"/>
              </w:rPr>
            </w:pPr>
            <w:r>
              <w:rPr>
                <w:color w:val="auto"/>
                <w:spacing w:val="3"/>
                <w:sz w:val="19"/>
                <w:szCs w:val="19"/>
                <w:lang w:eastAsia="zh-CN"/>
              </w:rPr>
              <w:t>管理目标等级对应的《图</w:t>
            </w:r>
            <w:r>
              <w:rPr>
                <w:color w:val="auto"/>
                <w:spacing w:val="7"/>
                <w:sz w:val="19"/>
                <w:szCs w:val="19"/>
                <w:lang w:eastAsia="zh-CN"/>
              </w:rPr>
              <w:t xml:space="preserve"> </w:t>
            </w:r>
            <w:r>
              <w:rPr>
                <w:color w:val="auto"/>
                <w:spacing w:val="1"/>
                <w:sz w:val="19"/>
                <w:szCs w:val="19"/>
                <w:lang w:eastAsia="zh-CN"/>
              </w:rPr>
              <w:t>集》</w:t>
            </w:r>
            <w:r>
              <w:rPr>
                <w:color w:val="auto"/>
                <w:spacing w:val="-27"/>
                <w:sz w:val="19"/>
                <w:szCs w:val="19"/>
                <w:lang w:eastAsia="zh-CN"/>
              </w:rPr>
              <w:t xml:space="preserve"> </w:t>
            </w:r>
            <w:r>
              <w:rPr>
                <w:color w:val="auto"/>
                <w:spacing w:val="1"/>
                <w:sz w:val="19"/>
                <w:szCs w:val="19"/>
                <w:lang w:eastAsia="zh-CN"/>
              </w:rPr>
              <w:t>标准外项目措施费</w:t>
            </w:r>
          </w:p>
        </w:tc>
        <w:tc>
          <w:tcPr>
            <w:tcW w:w="1662" w:type="dxa"/>
          </w:tcPr>
          <w:p w14:paraId="77C98DE3">
            <w:pPr>
              <w:autoSpaceDE w:val="0"/>
              <w:autoSpaceDN w:val="0"/>
              <w:spacing w:line="240" w:lineRule="auto"/>
              <w:rPr>
                <w:rFonts w:ascii="Arial"/>
                <w:sz w:val="21"/>
                <w:lang w:eastAsia="zh-CN"/>
              </w:rPr>
            </w:pPr>
          </w:p>
        </w:tc>
        <w:tc>
          <w:tcPr>
            <w:tcW w:w="1662" w:type="dxa"/>
          </w:tcPr>
          <w:p w14:paraId="0A55362E">
            <w:pPr>
              <w:autoSpaceDE w:val="0"/>
              <w:autoSpaceDN w:val="0"/>
              <w:spacing w:line="240" w:lineRule="auto"/>
              <w:rPr>
                <w:rFonts w:ascii="Arial"/>
                <w:sz w:val="21"/>
                <w:lang w:eastAsia="zh-CN"/>
              </w:rPr>
            </w:pPr>
          </w:p>
        </w:tc>
        <w:tc>
          <w:tcPr>
            <w:tcW w:w="1602" w:type="dxa"/>
          </w:tcPr>
          <w:p w14:paraId="020C27CE">
            <w:pPr>
              <w:autoSpaceDE w:val="0"/>
              <w:autoSpaceDN w:val="0"/>
              <w:spacing w:line="240" w:lineRule="auto"/>
              <w:rPr>
                <w:rFonts w:ascii="Arial"/>
                <w:sz w:val="21"/>
                <w:lang w:eastAsia="zh-CN"/>
              </w:rPr>
            </w:pPr>
          </w:p>
        </w:tc>
        <w:tc>
          <w:tcPr>
            <w:tcW w:w="1602" w:type="dxa"/>
          </w:tcPr>
          <w:p w14:paraId="275FB9F1">
            <w:pPr>
              <w:autoSpaceDE w:val="0"/>
              <w:autoSpaceDN w:val="0"/>
              <w:spacing w:line="240" w:lineRule="auto"/>
              <w:rPr>
                <w:rFonts w:ascii="Arial"/>
                <w:sz w:val="21"/>
                <w:lang w:eastAsia="zh-CN"/>
              </w:rPr>
            </w:pPr>
          </w:p>
        </w:tc>
        <w:tc>
          <w:tcPr>
            <w:tcW w:w="937" w:type="dxa"/>
          </w:tcPr>
          <w:p w14:paraId="1E6D1D8F">
            <w:pPr>
              <w:autoSpaceDE w:val="0"/>
              <w:autoSpaceDN w:val="0"/>
              <w:spacing w:line="240" w:lineRule="auto"/>
              <w:rPr>
                <w:rFonts w:ascii="Arial"/>
                <w:sz w:val="21"/>
                <w:lang w:eastAsia="zh-CN"/>
              </w:rPr>
            </w:pPr>
          </w:p>
        </w:tc>
        <w:tc>
          <w:tcPr>
            <w:tcW w:w="992" w:type="dxa"/>
            <w:tcBorders>
              <w:right w:val="single" w:color="000000" w:sz="12" w:space="0"/>
            </w:tcBorders>
          </w:tcPr>
          <w:p w14:paraId="5B13BA9C">
            <w:pPr>
              <w:autoSpaceDE w:val="0"/>
              <w:autoSpaceDN w:val="0"/>
              <w:spacing w:line="240" w:lineRule="auto"/>
              <w:rPr>
                <w:rFonts w:ascii="Arial"/>
                <w:sz w:val="21"/>
                <w:lang w:eastAsia="zh-CN"/>
              </w:rPr>
            </w:pPr>
          </w:p>
        </w:tc>
      </w:tr>
      <w:tr w14:paraId="1A6E0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992" w:type="dxa"/>
            <w:vMerge w:val="continue"/>
            <w:tcBorders>
              <w:top w:val="nil"/>
              <w:left w:val="single" w:color="000000" w:sz="12" w:space="0"/>
              <w:bottom w:val="nil"/>
            </w:tcBorders>
            <w:textDirection w:val="tbRlV"/>
          </w:tcPr>
          <w:p w14:paraId="30D42DD7">
            <w:pPr>
              <w:autoSpaceDE w:val="0"/>
              <w:autoSpaceDN w:val="0"/>
              <w:spacing w:line="240" w:lineRule="auto"/>
              <w:rPr>
                <w:rFonts w:ascii="Arial"/>
                <w:sz w:val="21"/>
                <w:lang w:eastAsia="zh-CN"/>
              </w:rPr>
            </w:pPr>
          </w:p>
        </w:tc>
        <w:tc>
          <w:tcPr>
            <w:tcW w:w="992" w:type="dxa"/>
          </w:tcPr>
          <w:p w14:paraId="56EF6387">
            <w:pPr>
              <w:pStyle w:val="260"/>
              <w:autoSpaceDE w:val="0"/>
              <w:autoSpaceDN w:val="0"/>
              <w:spacing w:before="301"/>
              <w:jc w:val="center"/>
              <w:rPr>
                <w:color w:val="auto"/>
                <w:sz w:val="19"/>
                <w:szCs w:val="19"/>
              </w:rPr>
            </w:pPr>
            <w:r>
              <w:rPr>
                <w:color w:val="auto"/>
                <w:spacing w:val="11"/>
                <w:sz w:val="19"/>
                <w:szCs w:val="19"/>
              </w:rPr>
              <w:t>2.2</w:t>
            </w:r>
          </w:p>
        </w:tc>
        <w:tc>
          <w:tcPr>
            <w:tcW w:w="1197" w:type="dxa"/>
          </w:tcPr>
          <w:p w14:paraId="38CA0464">
            <w:pPr>
              <w:autoSpaceDE w:val="0"/>
              <w:autoSpaceDN w:val="0"/>
              <w:spacing w:line="240" w:lineRule="auto"/>
              <w:rPr>
                <w:rFonts w:ascii="Arial"/>
                <w:sz w:val="21"/>
              </w:rPr>
            </w:pPr>
          </w:p>
        </w:tc>
        <w:tc>
          <w:tcPr>
            <w:tcW w:w="2395" w:type="dxa"/>
          </w:tcPr>
          <w:p w14:paraId="39173BB5">
            <w:pPr>
              <w:pStyle w:val="260"/>
              <w:autoSpaceDE w:val="0"/>
              <w:autoSpaceDN w:val="0"/>
              <w:spacing w:before="45"/>
              <w:ind w:left="37" w:right="206"/>
              <w:jc w:val="both"/>
              <w:rPr>
                <w:color w:val="auto"/>
                <w:sz w:val="19"/>
                <w:szCs w:val="19"/>
                <w:lang w:eastAsia="zh-CN"/>
              </w:rPr>
            </w:pPr>
            <w:r>
              <w:rPr>
                <w:color w:val="auto"/>
                <w:spacing w:val="4"/>
                <w:sz w:val="19"/>
                <w:szCs w:val="19"/>
                <w:lang w:eastAsia="zh-CN"/>
              </w:rPr>
              <w:t>超过一定规模的危大工程</w:t>
            </w:r>
            <w:r>
              <w:rPr>
                <w:color w:val="auto"/>
                <w:spacing w:val="1"/>
                <w:sz w:val="19"/>
                <w:szCs w:val="19"/>
                <w:lang w:eastAsia="zh-CN"/>
              </w:rPr>
              <w:t xml:space="preserve"> </w:t>
            </w:r>
            <w:r>
              <w:rPr>
                <w:color w:val="auto"/>
                <w:spacing w:val="4"/>
                <w:sz w:val="19"/>
                <w:szCs w:val="19"/>
                <w:lang w:eastAsia="zh-CN"/>
              </w:rPr>
              <w:t>对应的安全文明施工增加</w:t>
            </w:r>
            <w:r>
              <w:rPr>
                <w:color w:val="auto"/>
                <w:spacing w:val="1"/>
                <w:sz w:val="19"/>
                <w:szCs w:val="19"/>
                <w:lang w:eastAsia="zh-CN"/>
              </w:rPr>
              <w:t xml:space="preserve"> </w:t>
            </w:r>
            <w:r>
              <w:rPr>
                <w:color w:val="auto"/>
                <w:spacing w:val="2"/>
                <w:sz w:val="19"/>
                <w:szCs w:val="19"/>
                <w:lang w:eastAsia="zh-CN"/>
              </w:rPr>
              <w:t>措施费</w:t>
            </w:r>
          </w:p>
        </w:tc>
        <w:tc>
          <w:tcPr>
            <w:tcW w:w="1662" w:type="dxa"/>
          </w:tcPr>
          <w:p w14:paraId="4B5A5E41">
            <w:pPr>
              <w:autoSpaceDE w:val="0"/>
              <w:autoSpaceDN w:val="0"/>
              <w:spacing w:line="240" w:lineRule="auto"/>
              <w:rPr>
                <w:rFonts w:ascii="Arial"/>
                <w:sz w:val="21"/>
                <w:lang w:eastAsia="zh-CN"/>
              </w:rPr>
            </w:pPr>
          </w:p>
        </w:tc>
        <w:tc>
          <w:tcPr>
            <w:tcW w:w="1662" w:type="dxa"/>
          </w:tcPr>
          <w:p w14:paraId="64DEB2BC">
            <w:pPr>
              <w:autoSpaceDE w:val="0"/>
              <w:autoSpaceDN w:val="0"/>
              <w:spacing w:line="240" w:lineRule="auto"/>
              <w:rPr>
                <w:rFonts w:ascii="Arial"/>
                <w:sz w:val="21"/>
                <w:lang w:eastAsia="zh-CN"/>
              </w:rPr>
            </w:pPr>
          </w:p>
        </w:tc>
        <w:tc>
          <w:tcPr>
            <w:tcW w:w="1602" w:type="dxa"/>
          </w:tcPr>
          <w:p w14:paraId="4E7BCF4E">
            <w:pPr>
              <w:autoSpaceDE w:val="0"/>
              <w:autoSpaceDN w:val="0"/>
              <w:spacing w:line="240" w:lineRule="auto"/>
              <w:rPr>
                <w:rFonts w:ascii="Arial"/>
                <w:sz w:val="21"/>
                <w:lang w:eastAsia="zh-CN"/>
              </w:rPr>
            </w:pPr>
          </w:p>
        </w:tc>
        <w:tc>
          <w:tcPr>
            <w:tcW w:w="1602" w:type="dxa"/>
          </w:tcPr>
          <w:p w14:paraId="7ECCCA95">
            <w:pPr>
              <w:autoSpaceDE w:val="0"/>
              <w:autoSpaceDN w:val="0"/>
              <w:spacing w:line="240" w:lineRule="auto"/>
              <w:rPr>
                <w:rFonts w:ascii="Arial"/>
                <w:sz w:val="21"/>
                <w:lang w:eastAsia="zh-CN"/>
              </w:rPr>
            </w:pPr>
          </w:p>
        </w:tc>
        <w:tc>
          <w:tcPr>
            <w:tcW w:w="937" w:type="dxa"/>
          </w:tcPr>
          <w:p w14:paraId="1184C1E0">
            <w:pPr>
              <w:autoSpaceDE w:val="0"/>
              <w:autoSpaceDN w:val="0"/>
              <w:spacing w:line="240" w:lineRule="auto"/>
              <w:rPr>
                <w:rFonts w:ascii="Arial"/>
                <w:sz w:val="21"/>
                <w:lang w:eastAsia="zh-CN"/>
              </w:rPr>
            </w:pPr>
          </w:p>
        </w:tc>
        <w:tc>
          <w:tcPr>
            <w:tcW w:w="992" w:type="dxa"/>
            <w:tcBorders>
              <w:right w:val="single" w:color="000000" w:sz="12" w:space="0"/>
            </w:tcBorders>
          </w:tcPr>
          <w:p w14:paraId="2D0E58B6">
            <w:pPr>
              <w:autoSpaceDE w:val="0"/>
              <w:autoSpaceDN w:val="0"/>
              <w:spacing w:line="240" w:lineRule="auto"/>
              <w:rPr>
                <w:rFonts w:ascii="Arial"/>
                <w:sz w:val="21"/>
                <w:lang w:eastAsia="zh-CN"/>
              </w:rPr>
            </w:pPr>
          </w:p>
        </w:tc>
      </w:tr>
      <w:tr w14:paraId="611D0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992" w:type="dxa"/>
            <w:vMerge w:val="continue"/>
            <w:tcBorders>
              <w:top w:val="nil"/>
              <w:left w:val="single" w:color="000000" w:sz="12" w:space="0"/>
            </w:tcBorders>
            <w:textDirection w:val="tbRlV"/>
          </w:tcPr>
          <w:p w14:paraId="0A74DC61">
            <w:pPr>
              <w:autoSpaceDE w:val="0"/>
              <w:autoSpaceDN w:val="0"/>
              <w:spacing w:line="240" w:lineRule="auto"/>
              <w:rPr>
                <w:rFonts w:ascii="Arial"/>
                <w:sz w:val="21"/>
                <w:lang w:eastAsia="zh-CN"/>
              </w:rPr>
            </w:pPr>
          </w:p>
        </w:tc>
        <w:tc>
          <w:tcPr>
            <w:tcW w:w="992" w:type="dxa"/>
          </w:tcPr>
          <w:p w14:paraId="40373C1F">
            <w:pPr>
              <w:pStyle w:val="260"/>
              <w:autoSpaceDE w:val="0"/>
              <w:autoSpaceDN w:val="0"/>
              <w:spacing w:before="184"/>
              <w:jc w:val="center"/>
              <w:rPr>
                <w:color w:val="auto"/>
                <w:sz w:val="19"/>
                <w:szCs w:val="19"/>
              </w:rPr>
            </w:pPr>
            <w:r>
              <w:rPr>
                <w:color w:val="auto"/>
                <w:spacing w:val="11"/>
                <w:sz w:val="19"/>
                <w:szCs w:val="19"/>
              </w:rPr>
              <w:t>2.3</w:t>
            </w:r>
          </w:p>
        </w:tc>
        <w:tc>
          <w:tcPr>
            <w:tcW w:w="1197" w:type="dxa"/>
          </w:tcPr>
          <w:p w14:paraId="220A44A9">
            <w:pPr>
              <w:autoSpaceDE w:val="0"/>
              <w:autoSpaceDN w:val="0"/>
              <w:spacing w:line="240" w:lineRule="auto"/>
              <w:rPr>
                <w:rFonts w:ascii="Arial"/>
                <w:sz w:val="21"/>
              </w:rPr>
            </w:pPr>
          </w:p>
        </w:tc>
        <w:tc>
          <w:tcPr>
            <w:tcW w:w="2395" w:type="dxa"/>
          </w:tcPr>
          <w:p w14:paraId="7EF8C13C">
            <w:pPr>
              <w:pStyle w:val="260"/>
              <w:autoSpaceDE w:val="0"/>
              <w:autoSpaceDN w:val="0"/>
              <w:spacing w:before="49"/>
              <w:ind w:left="37" w:right="206" w:firstLine="1"/>
              <w:rPr>
                <w:color w:val="auto"/>
                <w:sz w:val="19"/>
                <w:szCs w:val="19"/>
                <w:lang w:eastAsia="zh-CN"/>
              </w:rPr>
            </w:pPr>
            <w:r>
              <w:rPr>
                <w:color w:val="auto"/>
                <w:spacing w:val="4"/>
                <w:sz w:val="19"/>
                <w:szCs w:val="19"/>
                <w:lang w:eastAsia="zh-CN"/>
              </w:rPr>
              <w:t>其他特殊安全文明施工措</w:t>
            </w:r>
            <w:r>
              <w:rPr>
                <w:color w:val="auto"/>
                <w:sz w:val="19"/>
                <w:szCs w:val="19"/>
                <w:lang w:eastAsia="zh-CN"/>
              </w:rPr>
              <w:t xml:space="preserve"> 施费</w:t>
            </w:r>
          </w:p>
        </w:tc>
        <w:tc>
          <w:tcPr>
            <w:tcW w:w="1662" w:type="dxa"/>
          </w:tcPr>
          <w:p w14:paraId="281A23B1">
            <w:pPr>
              <w:autoSpaceDE w:val="0"/>
              <w:autoSpaceDN w:val="0"/>
              <w:spacing w:line="240" w:lineRule="auto"/>
              <w:rPr>
                <w:rFonts w:ascii="Arial"/>
                <w:sz w:val="21"/>
                <w:lang w:eastAsia="zh-CN"/>
              </w:rPr>
            </w:pPr>
          </w:p>
        </w:tc>
        <w:tc>
          <w:tcPr>
            <w:tcW w:w="1662" w:type="dxa"/>
          </w:tcPr>
          <w:p w14:paraId="0DD811C0">
            <w:pPr>
              <w:autoSpaceDE w:val="0"/>
              <w:autoSpaceDN w:val="0"/>
              <w:spacing w:line="240" w:lineRule="auto"/>
              <w:rPr>
                <w:rFonts w:ascii="Arial"/>
                <w:sz w:val="21"/>
                <w:lang w:eastAsia="zh-CN"/>
              </w:rPr>
            </w:pPr>
          </w:p>
        </w:tc>
        <w:tc>
          <w:tcPr>
            <w:tcW w:w="1602" w:type="dxa"/>
          </w:tcPr>
          <w:p w14:paraId="352D9B10">
            <w:pPr>
              <w:autoSpaceDE w:val="0"/>
              <w:autoSpaceDN w:val="0"/>
              <w:spacing w:line="240" w:lineRule="auto"/>
              <w:rPr>
                <w:rFonts w:ascii="Arial"/>
                <w:sz w:val="21"/>
                <w:lang w:eastAsia="zh-CN"/>
              </w:rPr>
            </w:pPr>
          </w:p>
        </w:tc>
        <w:tc>
          <w:tcPr>
            <w:tcW w:w="1602" w:type="dxa"/>
          </w:tcPr>
          <w:p w14:paraId="31A28403">
            <w:pPr>
              <w:autoSpaceDE w:val="0"/>
              <w:autoSpaceDN w:val="0"/>
              <w:spacing w:line="240" w:lineRule="auto"/>
              <w:rPr>
                <w:rFonts w:ascii="Arial"/>
                <w:sz w:val="21"/>
                <w:lang w:eastAsia="zh-CN"/>
              </w:rPr>
            </w:pPr>
          </w:p>
        </w:tc>
        <w:tc>
          <w:tcPr>
            <w:tcW w:w="937" w:type="dxa"/>
          </w:tcPr>
          <w:p w14:paraId="42AF40B4">
            <w:pPr>
              <w:autoSpaceDE w:val="0"/>
              <w:autoSpaceDN w:val="0"/>
              <w:spacing w:line="240" w:lineRule="auto"/>
              <w:rPr>
                <w:rFonts w:ascii="Arial"/>
                <w:sz w:val="21"/>
                <w:lang w:eastAsia="zh-CN"/>
              </w:rPr>
            </w:pPr>
          </w:p>
        </w:tc>
        <w:tc>
          <w:tcPr>
            <w:tcW w:w="992" w:type="dxa"/>
            <w:tcBorders>
              <w:right w:val="single" w:color="000000" w:sz="12" w:space="0"/>
            </w:tcBorders>
          </w:tcPr>
          <w:p w14:paraId="58521C85">
            <w:pPr>
              <w:autoSpaceDE w:val="0"/>
              <w:autoSpaceDN w:val="0"/>
              <w:spacing w:line="240" w:lineRule="auto"/>
              <w:rPr>
                <w:rFonts w:ascii="Arial"/>
                <w:sz w:val="21"/>
                <w:lang w:eastAsia="zh-CN"/>
              </w:rPr>
            </w:pPr>
          </w:p>
        </w:tc>
      </w:tr>
      <w:tr w14:paraId="4ADCC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5576" w:type="dxa"/>
            <w:gridSpan w:val="4"/>
            <w:tcBorders>
              <w:left w:val="single" w:color="000000" w:sz="12" w:space="0"/>
              <w:bottom w:val="single" w:color="000000" w:sz="12" w:space="0"/>
            </w:tcBorders>
          </w:tcPr>
          <w:p w14:paraId="30987FA4">
            <w:pPr>
              <w:pStyle w:val="260"/>
              <w:autoSpaceDE w:val="0"/>
              <w:autoSpaceDN w:val="0"/>
              <w:spacing w:before="84" w:line="189" w:lineRule="auto"/>
              <w:ind w:left="2708"/>
              <w:rPr>
                <w:color w:val="auto"/>
                <w:sz w:val="19"/>
                <w:szCs w:val="19"/>
              </w:rPr>
            </w:pPr>
            <w:r>
              <w:rPr>
                <w:color w:val="auto"/>
                <w:spacing w:val="-3"/>
                <w:sz w:val="19"/>
                <w:szCs w:val="19"/>
              </w:rPr>
              <w:t>合</w:t>
            </w:r>
            <w:r>
              <w:rPr>
                <w:color w:val="auto"/>
                <w:spacing w:val="16"/>
                <w:w w:val="101"/>
                <w:sz w:val="19"/>
                <w:szCs w:val="19"/>
              </w:rPr>
              <w:t xml:space="preserve">   </w:t>
            </w:r>
            <w:r>
              <w:rPr>
                <w:color w:val="auto"/>
                <w:spacing w:val="-3"/>
                <w:sz w:val="19"/>
                <w:szCs w:val="19"/>
              </w:rPr>
              <w:t>计</w:t>
            </w:r>
          </w:p>
        </w:tc>
        <w:tc>
          <w:tcPr>
            <w:tcW w:w="1662" w:type="dxa"/>
            <w:tcBorders>
              <w:bottom w:val="single" w:color="000000" w:sz="12" w:space="0"/>
            </w:tcBorders>
          </w:tcPr>
          <w:p w14:paraId="65658CE5">
            <w:pPr>
              <w:pStyle w:val="260"/>
              <w:autoSpaceDE w:val="0"/>
              <w:autoSpaceDN w:val="0"/>
              <w:spacing w:before="85" w:line="204" w:lineRule="auto"/>
              <w:ind w:right="23"/>
              <w:jc w:val="right"/>
              <w:rPr>
                <w:color w:val="auto"/>
                <w:sz w:val="19"/>
                <w:szCs w:val="19"/>
              </w:rPr>
            </w:pPr>
          </w:p>
        </w:tc>
        <w:tc>
          <w:tcPr>
            <w:tcW w:w="1662" w:type="dxa"/>
            <w:tcBorders>
              <w:bottom w:val="single" w:color="000000" w:sz="12" w:space="0"/>
            </w:tcBorders>
          </w:tcPr>
          <w:p w14:paraId="03DB10A0">
            <w:pPr>
              <w:pStyle w:val="260"/>
              <w:autoSpaceDE w:val="0"/>
              <w:autoSpaceDN w:val="0"/>
              <w:spacing w:before="85" w:line="204" w:lineRule="auto"/>
              <w:ind w:right="20"/>
              <w:jc w:val="right"/>
              <w:rPr>
                <w:color w:val="auto"/>
                <w:sz w:val="19"/>
                <w:szCs w:val="19"/>
              </w:rPr>
            </w:pPr>
          </w:p>
        </w:tc>
        <w:tc>
          <w:tcPr>
            <w:tcW w:w="1602" w:type="dxa"/>
            <w:tcBorders>
              <w:bottom w:val="single" w:color="000000" w:sz="12" w:space="0"/>
            </w:tcBorders>
          </w:tcPr>
          <w:p w14:paraId="06197F07">
            <w:pPr>
              <w:pStyle w:val="260"/>
              <w:autoSpaceDE w:val="0"/>
              <w:autoSpaceDN w:val="0"/>
              <w:spacing w:before="85" w:line="204" w:lineRule="auto"/>
              <w:ind w:right="17"/>
              <w:jc w:val="right"/>
              <w:rPr>
                <w:color w:val="auto"/>
                <w:sz w:val="19"/>
                <w:szCs w:val="19"/>
              </w:rPr>
            </w:pPr>
          </w:p>
        </w:tc>
        <w:tc>
          <w:tcPr>
            <w:tcW w:w="1602" w:type="dxa"/>
            <w:tcBorders>
              <w:bottom w:val="single" w:color="000000" w:sz="12" w:space="0"/>
            </w:tcBorders>
          </w:tcPr>
          <w:p w14:paraId="1B2AEC2A">
            <w:pPr>
              <w:pStyle w:val="260"/>
              <w:autoSpaceDE w:val="0"/>
              <w:autoSpaceDN w:val="0"/>
              <w:spacing w:before="85" w:line="204" w:lineRule="auto"/>
              <w:ind w:right="14"/>
              <w:jc w:val="right"/>
              <w:rPr>
                <w:color w:val="auto"/>
                <w:sz w:val="19"/>
                <w:szCs w:val="19"/>
              </w:rPr>
            </w:pPr>
          </w:p>
        </w:tc>
        <w:tc>
          <w:tcPr>
            <w:tcW w:w="937" w:type="dxa"/>
            <w:tcBorders>
              <w:bottom w:val="single" w:color="000000" w:sz="12" w:space="0"/>
            </w:tcBorders>
          </w:tcPr>
          <w:p w14:paraId="58B2B8B6">
            <w:pPr>
              <w:pStyle w:val="260"/>
              <w:autoSpaceDE w:val="0"/>
              <w:autoSpaceDN w:val="0"/>
              <w:spacing w:before="85" w:line="204" w:lineRule="auto"/>
              <w:ind w:right="11"/>
              <w:jc w:val="right"/>
              <w:rPr>
                <w:color w:val="auto"/>
                <w:sz w:val="19"/>
                <w:szCs w:val="19"/>
              </w:rPr>
            </w:pPr>
          </w:p>
        </w:tc>
        <w:tc>
          <w:tcPr>
            <w:tcW w:w="992" w:type="dxa"/>
            <w:tcBorders>
              <w:bottom w:val="single" w:color="000000" w:sz="12" w:space="0"/>
              <w:right w:val="single" w:color="000000" w:sz="12" w:space="0"/>
            </w:tcBorders>
          </w:tcPr>
          <w:p w14:paraId="5B64F376">
            <w:pPr>
              <w:autoSpaceDE w:val="0"/>
              <w:autoSpaceDN w:val="0"/>
              <w:rPr>
                <w:rFonts w:ascii="Arial"/>
                <w:sz w:val="21"/>
              </w:rPr>
            </w:pPr>
          </w:p>
        </w:tc>
      </w:tr>
    </w:tbl>
    <w:p w14:paraId="13754BCD">
      <w:pPr>
        <w:spacing w:line="183" w:lineRule="auto"/>
        <w:rPr>
          <w:rFonts w:ascii="微软雅黑" w:hAnsi="微软雅黑" w:eastAsia="微软雅黑" w:cs="微软雅黑"/>
          <w:sz w:val="18"/>
          <w:szCs w:val="18"/>
        </w:rPr>
        <w:sectPr>
          <w:pgSz w:w="16840" w:h="11900"/>
          <w:pgMar w:top="1011" w:right="1030" w:bottom="400" w:left="960" w:header="0" w:footer="0" w:gutter="0"/>
          <w:pgNumType w:fmt="decimal"/>
          <w:cols w:space="720" w:num="1"/>
        </w:sectPr>
      </w:pPr>
    </w:p>
    <w:p w14:paraId="15E9AF39">
      <w:pPr>
        <w:bidi w:val="0"/>
        <w:jc w:val="center"/>
        <w:rPr>
          <w:b/>
          <w:bCs/>
          <w:sz w:val="30"/>
          <w:szCs w:val="30"/>
          <w:lang w:eastAsia="zh-CN"/>
        </w:rPr>
      </w:pPr>
      <w:r>
        <w:rPr>
          <w:b/>
          <w:bCs/>
          <w:sz w:val="30"/>
          <w:szCs w:val="30"/>
          <w:lang w:eastAsia="zh-CN"/>
        </w:rPr>
        <w:t>施工垃圾场外运输和消纳费明细表</w:t>
      </w:r>
    </w:p>
    <w:p w14:paraId="40F3D694">
      <w:pPr>
        <w:spacing w:before="292" w:line="189" w:lineRule="auto"/>
        <w:ind w:left="39" w:firstLine="840" w:firstLineChars="400"/>
      </w:pPr>
      <w:r>
        <w:drawing>
          <wp:anchor distT="0" distB="0" distL="0" distR="0" simplePos="0" relativeHeight="251666432" behindDoc="0" locked="0" layoutInCell="1" allowOverlap="1">
            <wp:simplePos x="0" y="0"/>
            <wp:positionH relativeFrom="column">
              <wp:posOffset>0</wp:posOffset>
            </wp:positionH>
            <wp:positionV relativeFrom="paragraph">
              <wp:posOffset>5709920</wp:posOffset>
            </wp:positionV>
            <wp:extent cx="9601200"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9"/>
                    <a:stretch>
                      <a:fillRect/>
                    </a:stretch>
                  </pic:blipFill>
                  <pic:spPr>
                    <a:xfrm>
                      <a:off x="0" y="0"/>
                      <a:ext cx="9601200" cy="6350"/>
                    </a:xfrm>
                    <a:prstGeom prst="rect">
                      <a:avLst/>
                    </a:prstGeom>
                  </pic:spPr>
                </pic:pic>
              </a:graphicData>
            </a:graphic>
          </wp:anchor>
        </w:drawing>
      </w:r>
      <w:r>
        <w:rPr>
          <w:rFonts w:ascii="微软雅黑" w:hAnsi="微软雅黑" w:eastAsia="微软雅黑" w:cs="微软雅黑"/>
          <w:sz w:val="19"/>
          <w:szCs w:val="19"/>
        </w:rPr>
        <w:t xml:space="preserve">工程名称：   </w:t>
      </w:r>
      <w:r>
        <w:rPr>
          <w:rFonts w:hint="eastAsia" w:ascii="微软雅黑" w:hAnsi="微软雅黑" w:eastAsia="微软雅黑" w:cs="微软雅黑"/>
          <w:sz w:val="19"/>
          <w:szCs w:val="19"/>
          <w:lang w:eastAsia="zh-CN"/>
        </w:rPr>
        <w:t xml:space="preserve">                                                                                                            </w:t>
      </w:r>
      <w:r>
        <w:rPr>
          <w:rFonts w:ascii="微软雅黑" w:hAnsi="微软雅黑" w:eastAsia="微软雅黑" w:cs="微软雅黑"/>
          <w:spacing w:val="-1"/>
          <w:position w:val="1"/>
          <w:sz w:val="18"/>
          <w:szCs w:val="18"/>
        </w:rPr>
        <w:t>第</w:t>
      </w:r>
      <w:r>
        <w:rPr>
          <w:rFonts w:ascii="微软雅黑" w:hAnsi="微软雅黑" w:eastAsia="微软雅黑" w:cs="微软雅黑"/>
          <w:spacing w:val="2"/>
          <w:position w:val="1"/>
          <w:sz w:val="18"/>
          <w:szCs w:val="18"/>
        </w:rPr>
        <w:t xml:space="preserve">  </w:t>
      </w:r>
      <w:r>
        <w:rPr>
          <w:rFonts w:ascii="微软雅黑" w:hAnsi="微软雅黑" w:eastAsia="微软雅黑" w:cs="微软雅黑"/>
          <w:spacing w:val="-1"/>
          <w:position w:val="1"/>
          <w:sz w:val="18"/>
          <w:szCs w:val="18"/>
        </w:rPr>
        <w:t xml:space="preserve"> 页    共   页</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 xml:space="preserve">                                                                                                                                                                 </w:t>
      </w:r>
    </w:p>
    <w:tbl>
      <w:tblPr>
        <w:tblStyle w:val="258"/>
        <w:tblW w:w="13892" w:type="dxa"/>
        <w:tblInd w:w="72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1417"/>
        <w:gridCol w:w="2810"/>
        <w:gridCol w:w="1722"/>
        <w:gridCol w:w="1033"/>
        <w:gridCol w:w="1677"/>
        <w:gridCol w:w="1547"/>
        <w:gridCol w:w="1276"/>
        <w:gridCol w:w="1134"/>
      </w:tblGrid>
      <w:tr w14:paraId="79D6C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1276" w:type="dxa"/>
            <w:tcBorders>
              <w:top w:val="single" w:color="000000" w:sz="12" w:space="0"/>
              <w:left w:val="single" w:color="000000" w:sz="12" w:space="0"/>
            </w:tcBorders>
          </w:tcPr>
          <w:p w14:paraId="657BC06F">
            <w:pPr>
              <w:pStyle w:val="260"/>
              <w:autoSpaceDE w:val="0"/>
              <w:autoSpaceDN w:val="0"/>
              <w:spacing w:before="177"/>
              <w:jc w:val="center"/>
              <w:rPr>
                <w:color w:val="auto"/>
                <w:sz w:val="19"/>
                <w:szCs w:val="19"/>
              </w:rPr>
            </w:pPr>
            <w:r>
              <w:rPr>
                <w:color w:val="auto"/>
                <w:sz w:val="19"/>
                <w:szCs w:val="19"/>
              </w:rPr>
              <w:t>序号</w:t>
            </w:r>
          </w:p>
        </w:tc>
        <w:tc>
          <w:tcPr>
            <w:tcW w:w="1417" w:type="dxa"/>
            <w:tcBorders>
              <w:top w:val="single" w:color="000000" w:sz="12" w:space="0"/>
            </w:tcBorders>
          </w:tcPr>
          <w:p w14:paraId="579245E7">
            <w:pPr>
              <w:pStyle w:val="260"/>
              <w:autoSpaceDE w:val="0"/>
              <w:autoSpaceDN w:val="0"/>
              <w:spacing w:before="41"/>
              <w:jc w:val="center"/>
              <w:rPr>
                <w:color w:val="auto"/>
                <w:sz w:val="19"/>
                <w:szCs w:val="19"/>
              </w:rPr>
            </w:pPr>
            <w:r>
              <w:rPr>
                <w:color w:val="auto"/>
                <w:spacing w:val="-2"/>
                <w:sz w:val="19"/>
                <w:szCs w:val="19"/>
              </w:rPr>
              <w:t>项目</w:t>
            </w:r>
          </w:p>
          <w:p w14:paraId="2190981F">
            <w:pPr>
              <w:pStyle w:val="260"/>
              <w:autoSpaceDE w:val="0"/>
              <w:autoSpaceDN w:val="0"/>
              <w:jc w:val="center"/>
              <w:rPr>
                <w:color w:val="auto"/>
                <w:sz w:val="19"/>
                <w:szCs w:val="19"/>
              </w:rPr>
            </w:pPr>
            <w:r>
              <w:rPr>
                <w:color w:val="auto"/>
                <w:spacing w:val="-1"/>
                <w:sz w:val="19"/>
                <w:szCs w:val="19"/>
              </w:rPr>
              <w:t>编码</w:t>
            </w:r>
          </w:p>
        </w:tc>
        <w:tc>
          <w:tcPr>
            <w:tcW w:w="2810" w:type="dxa"/>
            <w:tcBorders>
              <w:top w:val="single" w:color="000000" w:sz="12" w:space="0"/>
            </w:tcBorders>
          </w:tcPr>
          <w:p w14:paraId="432891A3">
            <w:pPr>
              <w:pStyle w:val="260"/>
              <w:autoSpaceDE w:val="0"/>
              <w:autoSpaceDN w:val="0"/>
              <w:spacing w:before="176"/>
              <w:jc w:val="center"/>
              <w:rPr>
                <w:color w:val="auto"/>
                <w:sz w:val="19"/>
                <w:szCs w:val="19"/>
              </w:rPr>
            </w:pPr>
            <w:r>
              <w:rPr>
                <w:color w:val="auto"/>
                <w:spacing w:val="1"/>
                <w:sz w:val="19"/>
                <w:szCs w:val="19"/>
              </w:rPr>
              <w:t>项目名称</w:t>
            </w:r>
          </w:p>
        </w:tc>
        <w:tc>
          <w:tcPr>
            <w:tcW w:w="1722" w:type="dxa"/>
            <w:tcBorders>
              <w:top w:val="single" w:color="000000" w:sz="12" w:space="0"/>
            </w:tcBorders>
          </w:tcPr>
          <w:p w14:paraId="0667F2C9">
            <w:pPr>
              <w:pStyle w:val="260"/>
              <w:autoSpaceDE w:val="0"/>
              <w:autoSpaceDN w:val="0"/>
              <w:spacing w:before="178"/>
              <w:jc w:val="center"/>
              <w:rPr>
                <w:color w:val="auto"/>
                <w:sz w:val="19"/>
                <w:szCs w:val="19"/>
              </w:rPr>
            </w:pPr>
            <w:r>
              <w:rPr>
                <w:color w:val="auto"/>
                <w:spacing w:val="2"/>
                <w:sz w:val="19"/>
                <w:szCs w:val="19"/>
              </w:rPr>
              <w:t>计算基础</w:t>
            </w:r>
          </w:p>
        </w:tc>
        <w:tc>
          <w:tcPr>
            <w:tcW w:w="1033" w:type="dxa"/>
            <w:tcBorders>
              <w:top w:val="single" w:color="000000" w:sz="12" w:space="0"/>
            </w:tcBorders>
          </w:tcPr>
          <w:p w14:paraId="5CD9B0F4">
            <w:pPr>
              <w:pStyle w:val="260"/>
              <w:autoSpaceDE w:val="0"/>
              <w:autoSpaceDN w:val="0"/>
              <w:spacing w:before="42"/>
              <w:jc w:val="center"/>
              <w:rPr>
                <w:color w:val="auto"/>
                <w:sz w:val="19"/>
                <w:szCs w:val="19"/>
              </w:rPr>
            </w:pPr>
            <w:r>
              <w:rPr>
                <w:color w:val="auto"/>
                <w:spacing w:val="-5"/>
                <w:sz w:val="19"/>
                <w:szCs w:val="19"/>
              </w:rPr>
              <w:t>费率</w:t>
            </w:r>
          </w:p>
          <w:p w14:paraId="266679BA">
            <w:pPr>
              <w:pStyle w:val="260"/>
              <w:autoSpaceDE w:val="0"/>
              <w:autoSpaceDN w:val="0"/>
              <w:jc w:val="center"/>
              <w:rPr>
                <w:color w:val="auto"/>
                <w:sz w:val="19"/>
                <w:szCs w:val="19"/>
              </w:rPr>
            </w:pPr>
            <w:r>
              <w:rPr>
                <w:color w:val="auto"/>
                <w:spacing w:val="-7"/>
                <w:w w:val="96"/>
                <w:sz w:val="19"/>
                <w:szCs w:val="19"/>
              </w:rPr>
              <w:t>(%)</w:t>
            </w:r>
          </w:p>
        </w:tc>
        <w:tc>
          <w:tcPr>
            <w:tcW w:w="1677" w:type="dxa"/>
            <w:tcBorders>
              <w:top w:val="single" w:color="000000" w:sz="12" w:space="0"/>
            </w:tcBorders>
          </w:tcPr>
          <w:p w14:paraId="44589C6D">
            <w:pPr>
              <w:pStyle w:val="260"/>
              <w:autoSpaceDE w:val="0"/>
              <w:autoSpaceDN w:val="0"/>
              <w:spacing w:before="42"/>
              <w:jc w:val="center"/>
              <w:rPr>
                <w:color w:val="auto"/>
                <w:sz w:val="19"/>
                <w:szCs w:val="19"/>
              </w:rPr>
            </w:pPr>
            <w:r>
              <w:rPr>
                <w:color w:val="auto"/>
                <w:spacing w:val="2"/>
                <w:sz w:val="19"/>
                <w:szCs w:val="19"/>
              </w:rPr>
              <w:t>企业管理费</w:t>
            </w:r>
          </w:p>
          <w:p w14:paraId="1675E2DC">
            <w:pPr>
              <w:pStyle w:val="260"/>
              <w:autoSpaceDE w:val="0"/>
              <w:autoSpaceDN w:val="0"/>
              <w:jc w:val="center"/>
              <w:rPr>
                <w:color w:val="auto"/>
                <w:sz w:val="19"/>
                <w:szCs w:val="19"/>
              </w:rPr>
            </w:pPr>
            <w:r>
              <w:rPr>
                <w:color w:val="auto"/>
                <w:spacing w:val="12"/>
                <w:sz w:val="19"/>
                <w:szCs w:val="19"/>
              </w:rPr>
              <w:t>(元)</w:t>
            </w:r>
          </w:p>
        </w:tc>
        <w:tc>
          <w:tcPr>
            <w:tcW w:w="1547" w:type="dxa"/>
            <w:tcBorders>
              <w:top w:val="single" w:color="000000" w:sz="12" w:space="0"/>
            </w:tcBorders>
          </w:tcPr>
          <w:p w14:paraId="438CBC8E">
            <w:pPr>
              <w:pStyle w:val="260"/>
              <w:autoSpaceDE w:val="0"/>
              <w:autoSpaceDN w:val="0"/>
              <w:spacing w:before="42"/>
              <w:jc w:val="center"/>
              <w:rPr>
                <w:color w:val="auto"/>
                <w:sz w:val="19"/>
                <w:szCs w:val="19"/>
              </w:rPr>
            </w:pPr>
            <w:r>
              <w:rPr>
                <w:color w:val="auto"/>
                <w:sz w:val="19"/>
                <w:szCs w:val="19"/>
              </w:rPr>
              <w:t>利润</w:t>
            </w:r>
          </w:p>
          <w:p w14:paraId="092A7AFE">
            <w:pPr>
              <w:pStyle w:val="260"/>
              <w:autoSpaceDE w:val="0"/>
              <w:autoSpaceDN w:val="0"/>
              <w:jc w:val="center"/>
              <w:rPr>
                <w:color w:val="auto"/>
                <w:sz w:val="19"/>
                <w:szCs w:val="19"/>
              </w:rPr>
            </w:pPr>
            <w:r>
              <w:rPr>
                <w:color w:val="auto"/>
                <w:spacing w:val="12"/>
                <w:sz w:val="19"/>
                <w:szCs w:val="19"/>
              </w:rPr>
              <w:t>(元)</w:t>
            </w:r>
          </w:p>
        </w:tc>
        <w:tc>
          <w:tcPr>
            <w:tcW w:w="1276" w:type="dxa"/>
            <w:tcBorders>
              <w:top w:val="single" w:color="000000" w:sz="12" w:space="0"/>
            </w:tcBorders>
          </w:tcPr>
          <w:p w14:paraId="3DBD08DD">
            <w:pPr>
              <w:pStyle w:val="260"/>
              <w:autoSpaceDE w:val="0"/>
              <w:autoSpaceDN w:val="0"/>
              <w:spacing w:before="42"/>
              <w:jc w:val="center"/>
              <w:rPr>
                <w:color w:val="auto"/>
                <w:sz w:val="19"/>
                <w:szCs w:val="19"/>
              </w:rPr>
            </w:pPr>
            <w:r>
              <w:rPr>
                <w:color w:val="auto"/>
                <w:spacing w:val="2"/>
                <w:sz w:val="19"/>
                <w:szCs w:val="19"/>
              </w:rPr>
              <w:t>不含税金额</w:t>
            </w:r>
          </w:p>
          <w:p w14:paraId="1809CEAB">
            <w:pPr>
              <w:pStyle w:val="260"/>
              <w:autoSpaceDE w:val="0"/>
              <w:autoSpaceDN w:val="0"/>
              <w:jc w:val="center"/>
              <w:rPr>
                <w:color w:val="auto"/>
                <w:sz w:val="19"/>
                <w:szCs w:val="19"/>
              </w:rPr>
            </w:pPr>
            <w:r>
              <w:rPr>
                <w:color w:val="auto"/>
                <w:spacing w:val="-3"/>
                <w:sz w:val="19"/>
                <w:szCs w:val="19"/>
              </w:rPr>
              <w:t>（元）</w:t>
            </w:r>
          </w:p>
        </w:tc>
        <w:tc>
          <w:tcPr>
            <w:tcW w:w="1134" w:type="dxa"/>
            <w:tcBorders>
              <w:top w:val="single" w:color="000000" w:sz="12" w:space="0"/>
              <w:right w:val="single" w:color="000000" w:sz="12" w:space="0"/>
            </w:tcBorders>
          </w:tcPr>
          <w:p w14:paraId="4B4A3B6E">
            <w:pPr>
              <w:pStyle w:val="260"/>
              <w:autoSpaceDE w:val="0"/>
              <w:autoSpaceDN w:val="0"/>
              <w:spacing w:before="177"/>
              <w:jc w:val="center"/>
              <w:rPr>
                <w:color w:val="auto"/>
                <w:sz w:val="19"/>
                <w:szCs w:val="19"/>
              </w:rPr>
            </w:pPr>
            <w:r>
              <w:rPr>
                <w:color w:val="auto"/>
                <w:spacing w:val="-1"/>
                <w:sz w:val="19"/>
                <w:szCs w:val="19"/>
              </w:rPr>
              <w:t>备注</w:t>
            </w:r>
          </w:p>
        </w:tc>
      </w:tr>
      <w:tr w14:paraId="58D1E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276" w:type="dxa"/>
            <w:tcBorders>
              <w:left w:val="single" w:color="000000" w:sz="12" w:space="0"/>
            </w:tcBorders>
          </w:tcPr>
          <w:p w14:paraId="3F629CFB">
            <w:pPr>
              <w:pStyle w:val="260"/>
              <w:autoSpaceDE w:val="0"/>
              <w:autoSpaceDN w:val="0"/>
              <w:spacing w:before="165"/>
              <w:jc w:val="center"/>
              <w:rPr>
                <w:color w:val="auto"/>
                <w:sz w:val="19"/>
                <w:szCs w:val="19"/>
              </w:rPr>
            </w:pPr>
            <w:r>
              <w:rPr>
                <w:color w:val="auto"/>
                <w:sz w:val="19"/>
                <w:szCs w:val="19"/>
              </w:rPr>
              <w:t>1</w:t>
            </w:r>
          </w:p>
        </w:tc>
        <w:tc>
          <w:tcPr>
            <w:tcW w:w="1417" w:type="dxa"/>
          </w:tcPr>
          <w:p w14:paraId="452D23EC">
            <w:pPr>
              <w:autoSpaceDE w:val="0"/>
              <w:autoSpaceDN w:val="0"/>
              <w:spacing w:line="240" w:lineRule="auto"/>
              <w:jc w:val="center"/>
              <w:rPr>
                <w:rFonts w:ascii="Arial"/>
                <w:sz w:val="21"/>
              </w:rPr>
            </w:pPr>
          </w:p>
        </w:tc>
        <w:tc>
          <w:tcPr>
            <w:tcW w:w="2810" w:type="dxa"/>
          </w:tcPr>
          <w:p w14:paraId="6FC7ED4C">
            <w:pPr>
              <w:pStyle w:val="260"/>
              <w:autoSpaceDE w:val="0"/>
              <w:autoSpaceDN w:val="0"/>
              <w:spacing w:before="30"/>
              <w:ind w:right="26"/>
              <w:jc w:val="center"/>
              <w:rPr>
                <w:color w:val="auto"/>
                <w:sz w:val="19"/>
                <w:szCs w:val="19"/>
                <w:lang w:eastAsia="zh-CN"/>
              </w:rPr>
            </w:pPr>
            <w:r>
              <w:rPr>
                <w:color w:val="auto"/>
                <w:spacing w:val="4"/>
                <w:sz w:val="19"/>
                <w:szCs w:val="19"/>
                <w:lang w:eastAsia="zh-CN"/>
              </w:rPr>
              <w:t>施工垃圾</w:t>
            </w:r>
            <w:r>
              <w:rPr>
                <w:color w:val="auto"/>
                <w:sz w:val="19"/>
                <w:szCs w:val="19"/>
                <w:lang w:eastAsia="zh-CN"/>
              </w:rPr>
              <w:t xml:space="preserve"> </w:t>
            </w:r>
            <w:r>
              <w:rPr>
                <w:color w:val="auto"/>
                <w:spacing w:val="3"/>
                <w:sz w:val="19"/>
                <w:szCs w:val="19"/>
                <w:lang w:eastAsia="zh-CN"/>
              </w:rPr>
              <w:t>场外运输和消纳费</w:t>
            </w:r>
          </w:p>
        </w:tc>
        <w:tc>
          <w:tcPr>
            <w:tcW w:w="1722" w:type="dxa"/>
          </w:tcPr>
          <w:p w14:paraId="63E77145">
            <w:pPr>
              <w:autoSpaceDE w:val="0"/>
              <w:autoSpaceDN w:val="0"/>
              <w:spacing w:line="240" w:lineRule="auto"/>
              <w:jc w:val="center"/>
              <w:rPr>
                <w:rFonts w:ascii="Arial"/>
                <w:sz w:val="21"/>
                <w:lang w:eastAsia="zh-CN"/>
              </w:rPr>
            </w:pPr>
          </w:p>
        </w:tc>
        <w:tc>
          <w:tcPr>
            <w:tcW w:w="1033" w:type="dxa"/>
          </w:tcPr>
          <w:p w14:paraId="40F15D3A">
            <w:pPr>
              <w:autoSpaceDE w:val="0"/>
              <w:autoSpaceDN w:val="0"/>
              <w:spacing w:line="240" w:lineRule="auto"/>
              <w:jc w:val="center"/>
              <w:rPr>
                <w:rFonts w:ascii="Arial"/>
                <w:sz w:val="21"/>
                <w:lang w:eastAsia="zh-CN"/>
              </w:rPr>
            </w:pPr>
          </w:p>
        </w:tc>
        <w:tc>
          <w:tcPr>
            <w:tcW w:w="1677" w:type="dxa"/>
          </w:tcPr>
          <w:p w14:paraId="069248E6">
            <w:pPr>
              <w:pStyle w:val="260"/>
              <w:autoSpaceDE w:val="0"/>
              <w:autoSpaceDN w:val="0"/>
              <w:spacing w:before="165"/>
              <w:ind w:right="18"/>
              <w:jc w:val="center"/>
              <w:rPr>
                <w:color w:val="auto"/>
                <w:sz w:val="19"/>
                <w:szCs w:val="19"/>
                <w:lang w:eastAsia="zh-CN"/>
              </w:rPr>
            </w:pPr>
          </w:p>
        </w:tc>
        <w:tc>
          <w:tcPr>
            <w:tcW w:w="1547" w:type="dxa"/>
          </w:tcPr>
          <w:p w14:paraId="35035654">
            <w:pPr>
              <w:pStyle w:val="260"/>
              <w:autoSpaceDE w:val="0"/>
              <w:autoSpaceDN w:val="0"/>
              <w:spacing w:before="165"/>
              <w:ind w:right="14"/>
              <w:jc w:val="center"/>
              <w:rPr>
                <w:color w:val="auto"/>
                <w:sz w:val="19"/>
                <w:szCs w:val="19"/>
                <w:lang w:eastAsia="zh-CN"/>
              </w:rPr>
            </w:pPr>
          </w:p>
        </w:tc>
        <w:tc>
          <w:tcPr>
            <w:tcW w:w="1276" w:type="dxa"/>
          </w:tcPr>
          <w:p w14:paraId="5C13A5E3">
            <w:pPr>
              <w:pStyle w:val="260"/>
              <w:autoSpaceDE w:val="0"/>
              <w:autoSpaceDN w:val="0"/>
              <w:spacing w:before="165"/>
              <w:ind w:right="11"/>
              <w:jc w:val="center"/>
              <w:rPr>
                <w:color w:val="auto"/>
                <w:sz w:val="19"/>
                <w:szCs w:val="19"/>
                <w:lang w:eastAsia="zh-CN"/>
              </w:rPr>
            </w:pPr>
          </w:p>
        </w:tc>
        <w:tc>
          <w:tcPr>
            <w:tcW w:w="1134" w:type="dxa"/>
            <w:tcBorders>
              <w:right w:val="single" w:color="000000" w:sz="12" w:space="0"/>
            </w:tcBorders>
          </w:tcPr>
          <w:p w14:paraId="78CFD957">
            <w:pPr>
              <w:autoSpaceDE w:val="0"/>
              <w:autoSpaceDN w:val="0"/>
              <w:spacing w:line="240" w:lineRule="auto"/>
              <w:jc w:val="center"/>
              <w:rPr>
                <w:rFonts w:ascii="Arial"/>
                <w:sz w:val="21"/>
                <w:lang w:eastAsia="zh-CN"/>
              </w:rPr>
            </w:pPr>
          </w:p>
        </w:tc>
      </w:tr>
      <w:tr w14:paraId="3FC89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276" w:type="dxa"/>
            <w:tcBorders>
              <w:left w:val="single" w:color="000000" w:sz="12" w:space="0"/>
            </w:tcBorders>
          </w:tcPr>
          <w:p w14:paraId="07185478">
            <w:pPr>
              <w:pStyle w:val="260"/>
              <w:autoSpaceDE w:val="0"/>
              <w:autoSpaceDN w:val="0"/>
              <w:spacing w:before="167" w:line="206" w:lineRule="auto"/>
              <w:ind w:left="524"/>
              <w:rPr>
                <w:color w:val="auto"/>
                <w:sz w:val="19"/>
                <w:szCs w:val="19"/>
                <w:lang w:eastAsia="zh-CN"/>
              </w:rPr>
            </w:pPr>
          </w:p>
        </w:tc>
        <w:tc>
          <w:tcPr>
            <w:tcW w:w="1417" w:type="dxa"/>
          </w:tcPr>
          <w:p w14:paraId="4B6D334B">
            <w:pPr>
              <w:autoSpaceDE w:val="0"/>
              <w:autoSpaceDN w:val="0"/>
              <w:rPr>
                <w:rFonts w:ascii="Arial"/>
                <w:sz w:val="21"/>
                <w:lang w:eastAsia="zh-CN"/>
              </w:rPr>
            </w:pPr>
          </w:p>
        </w:tc>
        <w:tc>
          <w:tcPr>
            <w:tcW w:w="2810" w:type="dxa"/>
          </w:tcPr>
          <w:p w14:paraId="3755AAD3">
            <w:pPr>
              <w:pStyle w:val="260"/>
              <w:autoSpaceDE w:val="0"/>
              <w:autoSpaceDN w:val="0"/>
              <w:spacing w:before="33" w:line="193" w:lineRule="auto"/>
              <w:ind w:left="40" w:right="26" w:firstLine="3"/>
              <w:rPr>
                <w:color w:val="auto"/>
                <w:sz w:val="19"/>
                <w:szCs w:val="19"/>
                <w:lang w:eastAsia="zh-CN"/>
              </w:rPr>
            </w:pPr>
          </w:p>
        </w:tc>
        <w:tc>
          <w:tcPr>
            <w:tcW w:w="1722" w:type="dxa"/>
          </w:tcPr>
          <w:p w14:paraId="6C872DAD">
            <w:pPr>
              <w:pStyle w:val="260"/>
              <w:autoSpaceDE w:val="0"/>
              <w:autoSpaceDN w:val="0"/>
              <w:spacing w:before="167" w:line="206" w:lineRule="auto"/>
              <w:ind w:left="41"/>
              <w:rPr>
                <w:color w:val="auto"/>
                <w:sz w:val="19"/>
                <w:szCs w:val="19"/>
                <w:lang w:eastAsia="zh-CN"/>
              </w:rPr>
            </w:pPr>
          </w:p>
        </w:tc>
        <w:tc>
          <w:tcPr>
            <w:tcW w:w="1033" w:type="dxa"/>
          </w:tcPr>
          <w:p w14:paraId="18F03B90">
            <w:pPr>
              <w:pStyle w:val="260"/>
              <w:autoSpaceDE w:val="0"/>
              <w:autoSpaceDN w:val="0"/>
              <w:spacing w:before="167" w:line="206" w:lineRule="auto"/>
              <w:ind w:left="383"/>
              <w:rPr>
                <w:color w:val="auto"/>
                <w:sz w:val="19"/>
                <w:szCs w:val="19"/>
                <w:lang w:eastAsia="zh-CN"/>
              </w:rPr>
            </w:pPr>
          </w:p>
        </w:tc>
        <w:tc>
          <w:tcPr>
            <w:tcW w:w="1677" w:type="dxa"/>
          </w:tcPr>
          <w:p w14:paraId="5329C493">
            <w:pPr>
              <w:pStyle w:val="260"/>
              <w:autoSpaceDE w:val="0"/>
              <w:autoSpaceDN w:val="0"/>
              <w:spacing w:before="167" w:line="206" w:lineRule="auto"/>
              <w:ind w:right="18"/>
              <w:jc w:val="right"/>
              <w:rPr>
                <w:color w:val="auto"/>
                <w:sz w:val="19"/>
                <w:szCs w:val="19"/>
                <w:lang w:eastAsia="zh-CN"/>
              </w:rPr>
            </w:pPr>
          </w:p>
        </w:tc>
        <w:tc>
          <w:tcPr>
            <w:tcW w:w="1547" w:type="dxa"/>
          </w:tcPr>
          <w:p w14:paraId="04671D43">
            <w:pPr>
              <w:pStyle w:val="260"/>
              <w:autoSpaceDE w:val="0"/>
              <w:autoSpaceDN w:val="0"/>
              <w:spacing w:before="167" w:line="206" w:lineRule="auto"/>
              <w:ind w:right="14"/>
              <w:jc w:val="right"/>
              <w:rPr>
                <w:color w:val="auto"/>
                <w:sz w:val="19"/>
                <w:szCs w:val="19"/>
                <w:lang w:eastAsia="zh-CN"/>
              </w:rPr>
            </w:pPr>
          </w:p>
        </w:tc>
        <w:tc>
          <w:tcPr>
            <w:tcW w:w="1276" w:type="dxa"/>
          </w:tcPr>
          <w:p w14:paraId="02DA4F5D">
            <w:pPr>
              <w:pStyle w:val="260"/>
              <w:autoSpaceDE w:val="0"/>
              <w:autoSpaceDN w:val="0"/>
              <w:spacing w:before="167" w:line="206" w:lineRule="auto"/>
              <w:ind w:right="11"/>
              <w:jc w:val="right"/>
              <w:rPr>
                <w:color w:val="auto"/>
                <w:sz w:val="19"/>
                <w:szCs w:val="19"/>
                <w:lang w:eastAsia="zh-CN"/>
              </w:rPr>
            </w:pPr>
          </w:p>
        </w:tc>
        <w:tc>
          <w:tcPr>
            <w:tcW w:w="1134" w:type="dxa"/>
            <w:tcBorders>
              <w:right w:val="single" w:color="000000" w:sz="12" w:space="0"/>
            </w:tcBorders>
          </w:tcPr>
          <w:p w14:paraId="0C2342DC">
            <w:pPr>
              <w:autoSpaceDE w:val="0"/>
              <w:autoSpaceDN w:val="0"/>
              <w:rPr>
                <w:rFonts w:ascii="Arial"/>
                <w:sz w:val="21"/>
                <w:lang w:eastAsia="zh-CN"/>
              </w:rPr>
            </w:pPr>
          </w:p>
        </w:tc>
      </w:tr>
      <w:tr w14:paraId="1D6A5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276" w:type="dxa"/>
            <w:tcBorders>
              <w:left w:val="single" w:color="000000" w:sz="12" w:space="0"/>
            </w:tcBorders>
          </w:tcPr>
          <w:p w14:paraId="0E02B3CB">
            <w:pPr>
              <w:pStyle w:val="260"/>
              <w:autoSpaceDE w:val="0"/>
              <w:autoSpaceDN w:val="0"/>
              <w:spacing w:before="169" w:line="206" w:lineRule="auto"/>
              <w:ind w:left="524"/>
              <w:rPr>
                <w:color w:val="auto"/>
                <w:sz w:val="19"/>
                <w:szCs w:val="19"/>
                <w:lang w:eastAsia="zh-CN"/>
              </w:rPr>
            </w:pPr>
          </w:p>
        </w:tc>
        <w:tc>
          <w:tcPr>
            <w:tcW w:w="1417" w:type="dxa"/>
          </w:tcPr>
          <w:p w14:paraId="18B83AAE">
            <w:pPr>
              <w:autoSpaceDE w:val="0"/>
              <w:autoSpaceDN w:val="0"/>
              <w:rPr>
                <w:rFonts w:ascii="Arial"/>
                <w:sz w:val="21"/>
                <w:lang w:eastAsia="zh-CN"/>
              </w:rPr>
            </w:pPr>
          </w:p>
        </w:tc>
        <w:tc>
          <w:tcPr>
            <w:tcW w:w="2810" w:type="dxa"/>
          </w:tcPr>
          <w:p w14:paraId="6EAFE712">
            <w:pPr>
              <w:pStyle w:val="260"/>
              <w:autoSpaceDE w:val="0"/>
              <w:autoSpaceDN w:val="0"/>
              <w:spacing w:before="33" w:line="193" w:lineRule="auto"/>
              <w:ind w:left="45" w:right="26" w:hanging="2"/>
              <w:rPr>
                <w:color w:val="auto"/>
                <w:sz w:val="19"/>
                <w:szCs w:val="19"/>
                <w:lang w:eastAsia="zh-CN"/>
              </w:rPr>
            </w:pPr>
          </w:p>
        </w:tc>
        <w:tc>
          <w:tcPr>
            <w:tcW w:w="1722" w:type="dxa"/>
          </w:tcPr>
          <w:p w14:paraId="6D4090C7">
            <w:pPr>
              <w:pStyle w:val="260"/>
              <w:autoSpaceDE w:val="0"/>
              <w:autoSpaceDN w:val="0"/>
              <w:spacing w:before="169" w:line="206" w:lineRule="auto"/>
              <w:ind w:left="41"/>
              <w:rPr>
                <w:color w:val="auto"/>
                <w:sz w:val="19"/>
                <w:szCs w:val="19"/>
                <w:lang w:eastAsia="zh-CN"/>
              </w:rPr>
            </w:pPr>
          </w:p>
        </w:tc>
        <w:tc>
          <w:tcPr>
            <w:tcW w:w="1033" w:type="dxa"/>
          </w:tcPr>
          <w:p w14:paraId="60FF0A38">
            <w:pPr>
              <w:pStyle w:val="260"/>
              <w:autoSpaceDE w:val="0"/>
              <w:autoSpaceDN w:val="0"/>
              <w:spacing w:before="169" w:line="206" w:lineRule="auto"/>
              <w:ind w:left="370"/>
              <w:rPr>
                <w:color w:val="auto"/>
                <w:sz w:val="19"/>
                <w:szCs w:val="19"/>
                <w:lang w:eastAsia="zh-CN"/>
              </w:rPr>
            </w:pPr>
          </w:p>
        </w:tc>
        <w:tc>
          <w:tcPr>
            <w:tcW w:w="1677" w:type="dxa"/>
          </w:tcPr>
          <w:p w14:paraId="3337DDC9">
            <w:pPr>
              <w:pStyle w:val="260"/>
              <w:autoSpaceDE w:val="0"/>
              <w:autoSpaceDN w:val="0"/>
              <w:spacing w:before="169" w:line="206" w:lineRule="auto"/>
              <w:ind w:right="18"/>
              <w:jc w:val="right"/>
              <w:rPr>
                <w:color w:val="auto"/>
                <w:sz w:val="19"/>
                <w:szCs w:val="19"/>
                <w:lang w:eastAsia="zh-CN"/>
              </w:rPr>
            </w:pPr>
          </w:p>
        </w:tc>
        <w:tc>
          <w:tcPr>
            <w:tcW w:w="1547" w:type="dxa"/>
          </w:tcPr>
          <w:p w14:paraId="014440E3">
            <w:pPr>
              <w:pStyle w:val="260"/>
              <w:autoSpaceDE w:val="0"/>
              <w:autoSpaceDN w:val="0"/>
              <w:spacing w:before="169" w:line="206" w:lineRule="auto"/>
              <w:ind w:right="14"/>
              <w:jc w:val="right"/>
              <w:rPr>
                <w:color w:val="auto"/>
                <w:sz w:val="19"/>
                <w:szCs w:val="19"/>
                <w:lang w:eastAsia="zh-CN"/>
              </w:rPr>
            </w:pPr>
          </w:p>
        </w:tc>
        <w:tc>
          <w:tcPr>
            <w:tcW w:w="1276" w:type="dxa"/>
          </w:tcPr>
          <w:p w14:paraId="327A0847">
            <w:pPr>
              <w:pStyle w:val="260"/>
              <w:autoSpaceDE w:val="0"/>
              <w:autoSpaceDN w:val="0"/>
              <w:spacing w:before="169" w:line="206" w:lineRule="auto"/>
              <w:ind w:right="11"/>
              <w:jc w:val="right"/>
              <w:rPr>
                <w:color w:val="auto"/>
                <w:sz w:val="19"/>
                <w:szCs w:val="19"/>
                <w:lang w:eastAsia="zh-CN"/>
              </w:rPr>
            </w:pPr>
          </w:p>
        </w:tc>
        <w:tc>
          <w:tcPr>
            <w:tcW w:w="1134" w:type="dxa"/>
            <w:tcBorders>
              <w:right w:val="single" w:color="000000" w:sz="12" w:space="0"/>
            </w:tcBorders>
          </w:tcPr>
          <w:p w14:paraId="0E9C4E09">
            <w:pPr>
              <w:autoSpaceDE w:val="0"/>
              <w:autoSpaceDN w:val="0"/>
              <w:rPr>
                <w:rFonts w:ascii="Arial"/>
                <w:sz w:val="21"/>
                <w:lang w:eastAsia="zh-CN"/>
              </w:rPr>
            </w:pPr>
          </w:p>
        </w:tc>
      </w:tr>
      <w:tr w14:paraId="27081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276" w:type="dxa"/>
            <w:tcBorders>
              <w:left w:val="single" w:color="000000" w:sz="12" w:space="0"/>
            </w:tcBorders>
          </w:tcPr>
          <w:p w14:paraId="149BE3A9">
            <w:pPr>
              <w:pStyle w:val="260"/>
              <w:autoSpaceDE w:val="0"/>
              <w:autoSpaceDN w:val="0"/>
              <w:spacing w:before="171" w:line="206" w:lineRule="auto"/>
              <w:ind w:left="524"/>
              <w:rPr>
                <w:color w:val="auto"/>
                <w:sz w:val="19"/>
                <w:szCs w:val="19"/>
                <w:lang w:eastAsia="zh-CN"/>
              </w:rPr>
            </w:pPr>
          </w:p>
        </w:tc>
        <w:tc>
          <w:tcPr>
            <w:tcW w:w="1417" w:type="dxa"/>
          </w:tcPr>
          <w:p w14:paraId="3B79961C">
            <w:pPr>
              <w:autoSpaceDE w:val="0"/>
              <w:autoSpaceDN w:val="0"/>
              <w:rPr>
                <w:rFonts w:ascii="Arial"/>
                <w:sz w:val="21"/>
                <w:lang w:eastAsia="zh-CN"/>
              </w:rPr>
            </w:pPr>
          </w:p>
        </w:tc>
        <w:tc>
          <w:tcPr>
            <w:tcW w:w="2810" w:type="dxa"/>
          </w:tcPr>
          <w:p w14:paraId="42808BD9">
            <w:pPr>
              <w:pStyle w:val="260"/>
              <w:autoSpaceDE w:val="0"/>
              <w:autoSpaceDN w:val="0"/>
              <w:spacing w:before="36" w:line="192" w:lineRule="auto"/>
              <w:ind w:left="40" w:right="26" w:firstLine="3"/>
              <w:rPr>
                <w:color w:val="auto"/>
                <w:sz w:val="19"/>
                <w:szCs w:val="19"/>
                <w:lang w:eastAsia="zh-CN"/>
              </w:rPr>
            </w:pPr>
          </w:p>
        </w:tc>
        <w:tc>
          <w:tcPr>
            <w:tcW w:w="1722" w:type="dxa"/>
          </w:tcPr>
          <w:p w14:paraId="5881D38E">
            <w:pPr>
              <w:pStyle w:val="260"/>
              <w:autoSpaceDE w:val="0"/>
              <w:autoSpaceDN w:val="0"/>
              <w:spacing w:before="171" w:line="206" w:lineRule="auto"/>
              <w:ind w:left="41"/>
              <w:rPr>
                <w:color w:val="auto"/>
                <w:sz w:val="19"/>
                <w:szCs w:val="19"/>
                <w:lang w:eastAsia="zh-CN"/>
              </w:rPr>
            </w:pPr>
          </w:p>
        </w:tc>
        <w:tc>
          <w:tcPr>
            <w:tcW w:w="1033" w:type="dxa"/>
          </w:tcPr>
          <w:p w14:paraId="079DD29E">
            <w:pPr>
              <w:pStyle w:val="260"/>
              <w:autoSpaceDE w:val="0"/>
              <w:autoSpaceDN w:val="0"/>
              <w:spacing w:before="171" w:line="206" w:lineRule="auto"/>
              <w:ind w:left="370"/>
              <w:rPr>
                <w:color w:val="auto"/>
                <w:sz w:val="19"/>
                <w:szCs w:val="19"/>
                <w:lang w:eastAsia="zh-CN"/>
              </w:rPr>
            </w:pPr>
          </w:p>
        </w:tc>
        <w:tc>
          <w:tcPr>
            <w:tcW w:w="1677" w:type="dxa"/>
          </w:tcPr>
          <w:p w14:paraId="4CA5BDAE">
            <w:pPr>
              <w:pStyle w:val="260"/>
              <w:autoSpaceDE w:val="0"/>
              <w:autoSpaceDN w:val="0"/>
              <w:spacing w:before="171" w:line="206" w:lineRule="auto"/>
              <w:ind w:right="18"/>
              <w:jc w:val="right"/>
              <w:rPr>
                <w:color w:val="auto"/>
                <w:sz w:val="19"/>
                <w:szCs w:val="19"/>
                <w:lang w:eastAsia="zh-CN"/>
              </w:rPr>
            </w:pPr>
          </w:p>
        </w:tc>
        <w:tc>
          <w:tcPr>
            <w:tcW w:w="1547" w:type="dxa"/>
          </w:tcPr>
          <w:p w14:paraId="0D6AA497">
            <w:pPr>
              <w:pStyle w:val="260"/>
              <w:autoSpaceDE w:val="0"/>
              <w:autoSpaceDN w:val="0"/>
              <w:spacing w:before="171" w:line="206" w:lineRule="auto"/>
              <w:ind w:right="14"/>
              <w:jc w:val="right"/>
              <w:rPr>
                <w:color w:val="auto"/>
                <w:sz w:val="19"/>
                <w:szCs w:val="19"/>
                <w:lang w:eastAsia="zh-CN"/>
              </w:rPr>
            </w:pPr>
          </w:p>
        </w:tc>
        <w:tc>
          <w:tcPr>
            <w:tcW w:w="1276" w:type="dxa"/>
          </w:tcPr>
          <w:p w14:paraId="4F38E94E">
            <w:pPr>
              <w:pStyle w:val="260"/>
              <w:autoSpaceDE w:val="0"/>
              <w:autoSpaceDN w:val="0"/>
              <w:spacing w:before="171" w:line="206" w:lineRule="auto"/>
              <w:ind w:right="11"/>
              <w:jc w:val="right"/>
              <w:rPr>
                <w:color w:val="auto"/>
                <w:sz w:val="19"/>
                <w:szCs w:val="19"/>
                <w:lang w:eastAsia="zh-CN"/>
              </w:rPr>
            </w:pPr>
          </w:p>
        </w:tc>
        <w:tc>
          <w:tcPr>
            <w:tcW w:w="1134" w:type="dxa"/>
            <w:tcBorders>
              <w:right w:val="single" w:color="000000" w:sz="12" w:space="0"/>
            </w:tcBorders>
          </w:tcPr>
          <w:p w14:paraId="555B34DE">
            <w:pPr>
              <w:autoSpaceDE w:val="0"/>
              <w:autoSpaceDN w:val="0"/>
              <w:rPr>
                <w:rFonts w:ascii="Arial"/>
                <w:sz w:val="21"/>
                <w:lang w:eastAsia="zh-CN"/>
              </w:rPr>
            </w:pPr>
          </w:p>
        </w:tc>
      </w:tr>
      <w:tr w14:paraId="537FC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276" w:type="dxa"/>
            <w:tcBorders>
              <w:left w:val="single" w:color="000000" w:sz="12" w:space="0"/>
            </w:tcBorders>
          </w:tcPr>
          <w:p w14:paraId="7CBB3FE5">
            <w:pPr>
              <w:pStyle w:val="260"/>
              <w:autoSpaceDE w:val="0"/>
              <w:autoSpaceDN w:val="0"/>
              <w:spacing w:before="173" w:line="206" w:lineRule="auto"/>
              <w:ind w:left="524"/>
              <w:rPr>
                <w:color w:val="auto"/>
                <w:sz w:val="19"/>
                <w:szCs w:val="19"/>
                <w:lang w:eastAsia="zh-CN"/>
              </w:rPr>
            </w:pPr>
          </w:p>
        </w:tc>
        <w:tc>
          <w:tcPr>
            <w:tcW w:w="1417" w:type="dxa"/>
          </w:tcPr>
          <w:p w14:paraId="368F1EE4">
            <w:pPr>
              <w:autoSpaceDE w:val="0"/>
              <w:autoSpaceDN w:val="0"/>
              <w:rPr>
                <w:rFonts w:ascii="Arial"/>
                <w:sz w:val="21"/>
                <w:lang w:eastAsia="zh-CN"/>
              </w:rPr>
            </w:pPr>
          </w:p>
        </w:tc>
        <w:tc>
          <w:tcPr>
            <w:tcW w:w="2810" w:type="dxa"/>
          </w:tcPr>
          <w:p w14:paraId="2BA0DD7B">
            <w:pPr>
              <w:pStyle w:val="260"/>
              <w:autoSpaceDE w:val="0"/>
              <w:autoSpaceDN w:val="0"/>
              <w:spacing w:before="39" w:line="191" w:lineRule="auto"/>
              <w:ind w:left="45" w:right="26" w:hanging="2"/>
              <w:rPr>
                <w:color w:val="auto"/>
                <w:sz w:val="19"/>
                <w:szCs w:val="19"/>
                <w:lang w:eastAsia="zh-CN"/>
              </w:rPr>
            </w:pPr>
          </w:p>
        </w:tc>
        <w:tc>
          <w:tcPr>
            <w:tcW w:w="1722" w:type="dxa"/>
          </w:tcPr>
          <w:p w14:paraId="555D8A8E">
            <w:pPr>
              <w:pStyle w:val="260"/>
              <w:autoSpaceDE w:val="0"/>
              <w:autoSpaceDN w:val="0"/>
              <w:spacing w:before="173" w:line="206" w:lineRule="auto"/>
              <w:ind w:left="41"/>
              <w:rPr>
                <w:color w:val="auto"/>
                <w:sz w:val="19"/>
                <w:szCs w:val="19"/>
                <w:lang w:eastAsia="zh-CN"/>
              </w:rPr>
            </w:pPr>
          </w:p>
        </w:tc>
        <w:tc>
          <w:tcPr>
            <w:tcW w:w="1033" w:type="dxa"/>
          </w:tcPr>
          <w:p w14:paraId="00993F62">
            <w:pPr>
              <w:pStyle w:val="260"/>
              <w:autoSpaceDE w:val="0"/>
              <w:autoSpaceDN w:val="0"/>
              <w:spacing w:before="173" w:line="206" w:lineRule="auto"/>
              <w:ind w:left="370"/>
              <w:rPr>
                <w:color w:val="auto"/>
                <w:sz w:val="19"/>
                <w:szCs w:val="19"/>
                <w:lang w:eastAsia="zh-CN"/>
              </w:rPr>
            </w:pPr>
          </w:p>
        </w:tc>
        <w:tc>
          <w:tcPr>
            <w:tcW w:w="1677" w:type="dxa"/>
          </w:tcPr>
          <w:p w14:paraId="12214542">
            <w:pPr>
              <w:pStyle w:val="260"/>
              <w:autoSpaceDE w:val="0"/>
              <w:autoSpaceDN w:val="0"/>
              <w:spacing w:before="173" w:line="206" w:lineRule="auto"/>
              <w:ind w:right="18"/>
              <w:jc w:val="right"/>
              <w:rPr>
                <w:color w:val="auto"/>
                <w:sz w:val="19"/>
                <w:szCs w:val="19"/>
                <w:lang w:eastAsia="zh-CN"/>
              </w:rPr>
            </w:pPr>
          </w:p>
        </w:tc>
        <w:tc>
          <w:tcPr>
            <w:tcW w:w="1547" w:type="dxa"/>
          </w:tcPr>
          <w:p w14:paraId="216AA05D">
            <w:pPr>
              <w:pStyle w:val="260"/>
              <w:autoSpaceDE w:val="0"/>
              <w:autoSpaceDN w:val="0"/>
              <w:spacing w:before="173" w:line="206" w:lineRule="auto"/>
              <w:ind w:right="14"/>
              <w:jc w:val="right"/>
              <w:rPr>
                <w:color w:val="auto"/>
                <w:sz w:val="19"/>
                <w:szCs w:val="19"/>
                <w:lang w:eastAsia="zh-CN"/>
              </w:rPr>
            </w:pPr>
          </w:p>
        </w:tc>
        <w:tc>
          <w:tcPr>
            <w:tcW w:w="1276" w:type="dxa"/>
          </w:tcPr>
          <w:p w14:paraId="1296D549">
            <w:pPr>
              <w:pStyle w:val="260"/>
              <w:autoSpaceDE w:val="0"/>
              <w:autoSpaceDN w:val="0"/>
              <w:spacing w:before="173" w:line="206" w:lineRule="auto"/>
              <w:ind w:right="11"/>
              <w:jc w:val="right"/>
              <w:rPr>
                <w:color w:val="auto"/>
                <w:sz w:val="19"/>
                <w:szCs w:val="19"/>
                <w:lang w:eastAsia="zh-CN"/>
              </w:rPr>
            </w:pPr>
          </w:p>
        </w:tc>
        <w:tc>
          <w:tcPr>
            <w:tcW w:w="1134" w:type="dxa"/>
            <w:tcBorders>
              <w:right w:val="single" w:color="000000" w:sz="12" w:space="0"/>
            </w:tcBorders>
          </w:tcPr>
          <w:p w14:paraId="3F8103E9">
            <w:pPr>
              <w:autoSpaceDE w:val="0"/>
              <w:autoSpaceDN w:val="0"/>
              <w:rPr>
                <w:rFonts w:ascii="Arial"/>
                <w:sz w:val="21"/>
                <w:lang w:eastAsia="zh-CN"/>
              </w:rPr>
            </w:pPr>
          </w:p>
        </w:tc>
      </w:tr>
      <w:tr w14:paraId="41AAE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276" w:type="dxa"/>
            <w:tcBorders>
              <w:left w:val="single" w:color="000000" w:sz="12" w:space="0"/>
            </w:tcBorders>
          </w:tcPr>
          <w:p w14:paraId="6915BCA2">
            <w:pPr>
              <w:pStyle w:val="260"/>
              <w:autoSpaceDE w:val="0"/>
              <w:autoSpaceDN w:val="0"/>
              <w:spacing w:before="175" w:line="206" w:lineRule="auto"/>
              <w:ind w:left="524"/>
              <w:rPr>
                <w:color w:val="auto"/>
                <w:sz w:val="19"/>
                <w:szCs w:val="19"/>
                <w:lang w:eastAsia="zh-CN"/>
              </w:rPr>
            </w:pPr>
          </w:p>
        </w:tc>
        <w:tc>
          <w:tcPr>
            <w:tcW w:w="1417" w:type="dxa"/>
          </w:tcPr>
          <w:p w14:paraId="01F291B6">
            <w:pPr>
              <w:autoSpaceDE w:val="0"/>
              <w:autoSpaceDN w:val="0"/>
              <w:rPr>
                <w:rFonts w:ascii="Arial"/>
                <w:sz w:val="21"/>
                <w:lang w:eastAsia="zh-CN"/>
              </w:rPr>
            </w:pPr>
          </w:p>
        </w:tc>
        <w:tc>
          <w:tcPr>
            <w:tcW w:w="2810" w:type="dxa"/>
          </w:tcPr>
          <w:p w14:paraId="51CC9416">
            <w:pPr>
              <w:pStyle w:val="260"/>
              <w:autoSpaceDE w:val="0"/>
              <w:autoSpaceDN w:val="0"/>
              <w:spacing w:before="41" w:line="190" w:lineRule="auto"/>
              <w:ind w:left="40" w:right="26" w:firstLine="3"/>
              <w:rPr>
                <w:color w:val="auto"/>
                <w:sz w:val="19"/>
                <w:szCs w:val="19"/>
                <w:lang w:eastAsia="zh-CN"/>
              </w:rPr>
            </w:pPr>
          </w:p>
        </w:tc>
        <w:tc>
          <w:tcPr>
            <w:tcW w:w="1722" w:type="dxa"/>
          </w:tcPr>
          <w:p w14:paraId="3059E6D6">
            <w:pPr>
              <w:pStyle w:val="260"/>
              <w:autoSpaceDE w:val="0"/>
              <w:autoSpaceDN w:val="0"/>
              <w:spacing w:before="175" w:line="206" w:lineRule="auto"/>
              <w:ind w:left="41"/>
              <w:rPr>
                <w:color w:val="auto"/>
                <w:sz w:val="19"/>
                <w:szCs w:val="19"/>
                <w:lang w:eastAsia="zh-CN"/>
              </w:rPr>
            </w:pPr>
          </w:p>
        </w:tc>
        <w:tc>
          <w:tcPr>
            <w:tcW w:w="1033" w:type="dxa"/>
          </w:tcPr>
          <w:p w14:paraId="03F97E3B">
            <w:pPr>
              <w:pStyle w:val="260"/>
              <w:autoSpaceDE w:val="0"/>
              <w:autoSpaceDN w:val="0"/>
              <w:spacing w:before="175" w:line="206" w:lineRule="auto"/>
              <w:ind w:left="370"/>
              <w:rPr>
                <w:color w:val="auto"/>
                <w:sz w:val="19"/>
                <w:szCs w:val="19"/>
                <w:lang w:eastAsia="zh-CN"/>
              </w:rPr>
            </w:pPr>
          </w:p>
        </w:tc>
        <w:tc>
          <w:tcPr>
            <w:tcW w:w="1677" w:type="dxa"/>
          </w:tcPr>
          <w:p w14:paraId="156C52C9">
            <w:pPr>
              <w:pStyle w:val="260"/>
              <w:autoSpaceDE w:val="0"/>
              <w:autoSpaceDN w:val="0"/>
              <w:spacing w:before="175" w:line="206" w:lineRule="auto"/>
              <w:ind w:right="18"/>
              <w:jc w:val="right"/>
              <w:rPr>
                <w:color w:val="auto"/>
                <w:sz w:val="19"/>
                <w:szCs w:val="19"/>
                <w:lang w:eastAsia="zh-CN"/>
              </w:rPr>
            </w:pPr>
          </w:p>
        </w:tc>
        <w:tc>
          <w:tcPr>
            <w:tcW w:w="1547" w:type="dxa"/>
          </w:tcPr>
          <w:p w14:paraId="77B0A915">
            <w:pPr>
              <w:pStyle w:val="260"/>
              <w:autoSpaceDE w:val="0"/>
              <w:autoSpaceDN w:val="0"/>
              <w:spacing w:before="175" w:line="206" w:lineRule="auto"/>
              <w:ind w:right="14"/>
              <w:jc w:val="right"/>
              <w:rPr>
                <w:color w:val="auto"/>
                <w:sz w:val="19"/>
                <w:szCs w:val="19"/>
                <w:lang w:eastAsia="zh-CN"/>
              </w:rPr>
            </w:pPr>
          </w:p>
        </w:tc>
        <w:tc>
          <w:tcPr>
            <w:tcW w:w="1276" w:type="dxa"/>
          </w:tcPr>
          <w:p w14:paraId="4F537015">
            <w:pPr>
              <w:pStyle w:val="260"/>
              <w:autoSpaceDE w:val="0"/>
              <w:autoSpaceDN w:val="0"/>
              <w:spacing w:before="175" w:line="206" w:lineRule="auto"/>
              <w:ind w:right="11"/>
              <w:jc w:val="right"/>
              <w:rPr>
                <w:color w:val="auto"/>
                <w:sz w:val="19"/>
                <w:szCs w:val="19"/>
                <w:lang w:eastAsia="zh-CN"/>
              </w:rPr>
            </w:pPr>
          </w:p>
        </w:tc>
        <w:tc>
          <w:tcPr>
            <w:tcW w:w="1134" w:type="dxa"/>
            <w:tcBorders>
              <w:right w:val="single" w:color="000000" w:sz="12" w:space="0"/>
            </w:tcBorders>
          </w:tcPr>
          <w:p w14:paraId="4EFFAD5F">
            <w:pPr>
              <w:autoSpaceDE w:val="0"/>
              <w:autoSpaceDN w:val="0"/>
              <w:rPr>
                <w:rFonts w:ascii="Arial"/>
                <w:sz w:val="21"/>
                <w:lang w:eastAsia="zh-CN"/>
              </w:rPr>
            </w:pPr>
          </w:p>
        </w:tc>
      </w:tr>
      <w:tr w14:paraId="00F81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276" w:type="dxa"/>
            <w:tcBorders>
              <w:left w:val="single" w:color="000000" w:sz="12" w:space="0"/>
            </w:tcBorders>
          </w:tcPr>
          <w:p w14:paraId="53F55527">
            <w:pPr>
              <w:pStyle w:val="260"/>
              <w:autoSpaceDE w:val="0"/>
              <w:autoSpaceDN w:val="0"/>
              <w:spacing w:before="177" w:line="206" w:lineRule="auto"/>
              <w:ind w:left="524"/>
              <w:rPr>
                <w:color w:val="auto"/>
                <w:sz w:val="19"/>
                <w:szCs w:val="19"/>
                <w:lang w:eastAsia="zh-CN"/>
              </w:rPr>
            </w:pPr>
          </w:p>
        </w:tc>
        <w:tc>
          <w:tcPr>
            <w:tcW w:w="1417" w:type="dxa"/>
          </w:tcPr>
          <w:p w14:paraId="05D0A345">
            <w:pPr>
              <w:autoSpaceDE w:val="0"/>
              <w:autoSpaceDN w:val="0"/>
              <w:rPr>
                <w:rFonts w:ascii="Arial"/>
                <w:sz w:val="21"/>
                <w:lang w:eastAsia="zh-CN"/>
              </w:rPr>
            </w:pPr>
          </w:p>
        </w:tc>
        <w:tc>
          <w:tcPr>
            <w:tcW w:w="2810" w:type="dxa"/>
          </w:tcPr>
          <w:p w14:paraId="30144956">
            <w:pPr>
              <w:pStyle w:val="260"/>
              <w:autoSpaceDE w:val="0"/>
              <w:autoSpaceDN w:val="0"/>
              <w:spacing w:before="41" w:line="190" w:lineRule="auto"/>
              <w:ind w:left="37" w:right="26" w:firstLine="6"/>
              <w:rPr>
                <w:color w:val="auto"/>
                <w:sz w:val="19"/>
                <w:szCs w:val="19"/>
                <w:lang w:eastAsia="zh-CN"/>
              </w:rPr>
            </w:pPr>
          </w:p>
        </w:tc>
        <w:tc>
          <w:tcPr>
            <w:tcW w:w="1722" w:type="dxa"/>
          </w:tcPr>
          <w:p w14:paraId="154E35B9">
            <w:pPr>
              <w:pStyle w:val="260"/>
              <w:autoSpaceDE w:val="0"/>
              <w:autoSpaceDN w:val="0"/>
              <w:spacing w:before="177" w:line="206" w:lineRule="auto"/>
              <w:ind w:left="41"/>
              <w:rPr>
                <w:color w:val="auto"/>
                <w:sz w:val="19"/>
                <w:szCs w:val="19"/>
                <w:lang w:eastAsia="zh-CN"/>
              </w:rPr>
            </w:pPr>
          </w:p>
        </w:tc>
        <w:tc>
          <w:tcPr>
            <w:tcW w:w="1033" w:type="dxa"/>
          </w:tcPr>
          <w:p w14:paraId="746FA6A3">
            <w:pPr>
              <w:pStyle w:val="260"/>
              <w:autoSpaceDE w:val="0"/>
              <w:autoSpaceDN w:val="0"/>
              <w:spacing w:before="177" w:line="206" w:lineRule="auto"/>
              <w:ind w:left="370"/>
              <w:rPr>
                <w:color w:val="auto"/>
                <w:sz w:val="19"/>
                <w:szCs w:val="19"/>
                <w:lang w:eastAsia="zh-CN"/>
              </w:rPr>
            </w:pPr>
          </w:p>
        </w:tc>
        <w:tc>
          <w:tcPr>
            <w:tcW w:w="1677" w:type="dxa"/>
          </w:tcPr>
          <w:p w14:paraId="7A58B066">
            <w:pPr>
              <w:pStyle w:val="260"/>
              <w:autoSpaceDE w:val="0"/>
              <w:autoSpaceDN w:val="0"/>
              <w:spacing w:before="177" w:line="206" w:lineRule="auto"/>
              <w:ind w:right="18"/>
              <w:jc w:val="right"/>
              <w:rPr>
                <w:color w:val="auto"/>
                <w:sz w:val="19"/>
                <w:szCs w:val="19"/>
                <w:lang w:eastAsia="zh-CN"/>
              </w:rPr>
            </w:pPr>
          </w:p>
        </w:tc>
        <w:tc>
          <w:tcPr>
            <w:tcW w:w="1547" w:type="dxa"/>
          </w:tcPr>
          <w:p w14:paraId="37743C8E">
            <w:pPr>
              <w:pStyle w:val="260"/>
              <w:autoSpaceDE w:val="0"/>
              <w:autoSpaceDN w:val="0"/>
              <w:spacing w:before="177" w:line="206" w:lineRule="auto"/>
              <w:ind w:right="14"/>
              <w:jc w:val="right"/>
              <w:rPr>
                <w:color w:val="auto"/>
                <w:sz w:val="19"/>
                <w:szCs w:val="19"/>
                <w:lang w:eastAsia="zh-CN"/>
              </w:rPr>
            </w:pPr>
          </w:p>
        </w:tc>
        <w:tc>
          <w:tcPr>
            <w:tcW w:w="1276" w:type="dxa"/>
          </w:tcPr>
          <w:p w14:paraId="0143E50A">
            <w:pPr>
              <w:pStyle w:val="260"/>
              <w:autoSpaceDE w:val="0"/>
              <w:autoSpaceDN w:val="0"/>
              <w:spacing w:before="177" w:line="206" w:lineRule="auto"/>
              <w:ind w:right="11"/>
              <w:jc w:val="right"/>
              <w:rPr>
                <w:color w:val="auto"/>
                <w:sz w:val="19"/>
                <w:szCs w:val="19"/>
                <w:lang w:eastAsia="zh-CN"/>
              </w:rPr>
            </w:pPr>
          </w:p>
        </w:tc>
        <w:tc>
          <w:tcPr>
            <w:tcW w:w="1134" w:type="dxa"/>
            <w:tcBorders>
              <w:right w:val="single" w:color="000000" w:sz="12" w:space="0"/>
            </w:tcBorders>
          </w:tcPr>
          <w:p w14:paraId="24B64EC2">
            <w:pPr>
              <w:autoSpaceDE w:val="0"/>
              <w:autoSpaceDN w:val="0"/>
              <w:rPr>
                <w:rFonts w:ascii="Arial"/>
                <w:sz w:val="21"/>
                <w:lang w:eastAsia="zh-CN"/>
              </w:rPr>
            </w:pPr>
          </w:p>
        </w:tc>
      </w:tr>
      <w:tr w14:paraId="54022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276" w:type="dxa"/>
            <w:tcBorders>
              <w:left w:val="single" w:color="000000" w:sz="12" w:space="0"/>
            </w:tcBorders>
          </w:tcPr>
          <w:p w14:paraId="4971FB85">
            <w:pPr>
              <w:pStyle w:val="260"/>
              <w:autoSpaceDE w:val="0"/>
              <w:autoSpaceDN w:val="0"/>
              <w:spacing w:before="179" w:line="206" w:lineRule="auto"/>
              <w:ind w:left="524"/>
              <w:rPr>
                <w:color w:val="auto"/>
                <w:sz w:val="19"/>
                <w:szCs w:val="19"/>
                <w:lang w:eastAsia="zh-CN"/>
              </w:rPr>
            </w:pPr>
          </w:p>
        </w:tc>
        <w:tc>
          <w:tcPr>
            <w:tcW w:w="1417" w:type="dxa"/>
          </w:tcPr>
          <w:p w14:paraId="34CB0282">
            <w:pPr>
              <w:autoSpaceDE w:val="0"/>
              <w:autoSpaceDN w:val="0"/>
              <w:rPr>
                <w:rFonts w:ascii="Arial"/>
                <w:sz w:val="21"/>
                <w:lang w:eastAsia="zh-CN"/>
              </w:rPr>
            </w:pPr>
          </w:p>
        </w:tc>
        <w:tc>
          <w:tcPr>
            <w:tcW w:w="2810" w:type="dxa"/>
          </w:tcPr>
          <w:p w14:paraId="6B2C131C">
            <w:pPr>
              <w:pStyle w:val="260"/>
              <w:autoSpaceDE w:val="0"/>
              <w:autoSpaceDN w:val="0"/>
              <w:spacing w:before="44" w:line="189" w:lineRule="auto"/>
              <w:ind w:left="45" w:right="26" w:hanging="2"/>
              <w:rPr>
                <w:color w:val="auto"/>
                <w:sz w:val="19"/>
                <w:szCs w:val="19"/>
                <w:lang w:eastAsia="zh-CN"/>
              </w:rPr>
            </w:pPr>
          </w:p>
        </w:tc>
        <w:tc>
          <w:tcPr>
            <w:tcW w:w="1722" w:type="dxa"/>
          </w:tcPr>
          <w:p w14:paraId="14E609DE">
            <w:pPr>
              <w:pStyle w:val="260"/>
              <w:autoSpaceDE w:val="0"/>
              <w:autoSpaceDN w:val="0"/>
              <w:spacing w:before="179" w:line="206" w:lineRule="auto"/>
              <w:ind w:left="41"/>
              <w:rPr>
                <w:color w:val="auto"/>
                <w:sz w:val="19"/>
                <w:szCs w:val="19"/>
                <w:lang w:eastAsia="zh-CN"/>
              </w:rPr>
            </w:pPr>
          </w:p>
        </w:tc>
        <w:tc>
          <w:tcPr>
            <w:tcW w:w="1033" w:type="dxa"/>
          </w:tcPr>
          <w:p w14:paraId="58154451">
            <w:pPr>
              <w:pStyle w:val="260"/>
              <w:autoSpaceDE w:val="0"/>
              <w:autoSpaceDN w:val="0"/>
              <w:spacing w:before="179" w:line="206" w:lineRule="auto"/>
              <w:ind w:left="370"/>
              <w:rPr>
                <w:color w:val="auto"/>
                <w:sz w:val="19"/>
                <w:szCs w:val="19"/>
                <w:lang w:eastAsia="zh-CN"/>
              </w:rPr>
            </w:pPr>
          </w:p>
        </w:tc>
        <w:tc>
          <w:tcPr>
            <w:tcW w:w="1677" w:type="dxa"/>
          </w:tcPr>
          <w:p w14:paraId="42EAB9E2">
            <w:pPr>
              <w:pStyle w:val="260"/>
              <w:autoSpaceDE w:val="0"/>
              <w:autoSpaceDN w:val="0"/>
              <w:spacing w:before="179" w:line="206" w:lineRule="auto"/>
              <w:ind w:right="18"/>
              <w:jc w:val="right"/>
              <w:rPr>
                <w:color w:val="auto"/>
                <w:sz w:val="19"/>
                <w:szCs w:val="19"/>
                <w:lang w:eastAsia="zh-CN"/>
              </w:rPr>
            </w:pPr>
          </w:p>
        </w:tc>
        <w:tc>
          <w:tcPr>
            <w:tcW w:w="1547" w:type="dxa"/>
          </w:tcPr>
          <w:p w14:paraId="41E9E081">
            <w:pPr>
              <w:pStyle w:val="260"/>
              <w:autoSpaceDE w:val="0"/>
              <w:autoSpaceDN w:val="0"/>
              <w:spacing w:before="179" w:line="206" w:lineRule="auto"/>
              <w:ind w:right="14"/>
              <w:jc w:val="right"/>
              <w:rPr>
                <w:color w:val="auto"/>
                <w:sz w:val="19"/>
                <w:szCs w:val="19"/>
                <w:lang w:eastAsia="zh-CN"/>
              </w:rPr>
            </w:pPr>
          </w:p>
        </w:tc>
        <w:tc>
          <w:tcPr>
            <w:tcW w:w="1276" w:type="dxa"/>
          </w:tcPr>
          <w:p w14:paraId="445680B1">
            <w:pPr>
              <w:pStyle w:val="260"/>
              <w:autoSpaceDE w:val="0"/>
              <w:autoSpaceDN w:val="0"/>
              <w:spacing w:before="179" w:line="206" w:lineRule="auto"/>
              <w:ind w:right="11"/>
              <w:jc w:val="right"/>
              <w:rPr>
                <w:color w:val="auto"/>
                <w:sz w:val="19"/>
                <w:szCs w:val="19"/>
                <w:lang w:eastAsia="zh-CN"/>
              </w:rPr>
            </w:pPr>
          </w:p>
        </w:tc>
        <w:tc>
          <w:tcPr>
            <w:tcW w:w="1134" w:type="dxa"/>
            <w:tcBorders>
              <w:right w:val="single" w:color="000000" w:sz="12" w:space="0"/>
            </w:tcBorders>
          </w:tcPr>
          <w:p w14:paraId="4593D93F">
            <w:pPr>
              <w:autoSpaceDE w:val="0"/>
              <w:autoSpaceDN w:val="0"/>
              <w:rPr>
                <w:rFonts w:ascii="Arial"/>
                <w:sz w:val="21"/>
                <w:lang w:eastAsia="zh-CN"/>
              </w:rPr>
            </w:pPr>
          </w:p>
        </w:tc>
      </w:tr>
      <w:tr w14:paraId="17087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5503" w:type="dxa"/>
            <w:gridSpan w:val="3"/>
            <w:tcBorders>
              <w:left w:val="single" w:color="000000" w:sz="12" w:space="0"/>
              <w:bottom w:val="single" w:color="000000" w:sz="12" w:space="0"/>
            </w:tcBorders>
          </w:tcPr>
          <w:p w14:paraId="70F80F32">
            <w:pPr>
              <w:pStyle w:val="260"/>
              <w:autoSpaceDE w:val="0"/>
              <w:autoSpaceDN w:val="0"/>
              <w:spacing w:before="84" w:line="189" w:lineRule="auto"/>
              <w:ind w:left="2865"/>
              <w:rPr>
                <w:color w:val="auto"/>
                <w:sz w:val="19"/>
                <w:szCs w:val="19"/>
              </w:rPr>
            </w:pPr>
            <w:r>
              <w:rPr>
                <w:color w:val="auto"/>
                <w:spacing w:val="-1"/>
                <w:sz w:val="19"/>
                <w:szCs w:val="19"/>
              </w:rPr>
              <w:t>合  计</w:t>
            </w:r>
          </w:p>
        </w:tc>
        <w:tc>
          <w:tcPr>
            <w:tcW w:w="1722" w:type="dxa"/>
            <w:tcBorders>
              <w:bottom w:val="single" w:color="000000" w:sz="12" w:space="0"/>
            </w:tcBorders>
          </w:tcPr>
          <w:p w14:paraId="776BE9A5">
            <w:pPr>
              <w:autoSpaceDE w:val="0"/>
              <w:autoSpaceDN w:val="0"/>
              <w:rPr>
                <w:rFonts w:ascii="Arial"/>
                <w:sz w:val="21"/>
              </w:rPr>
            </w:pPr>
          </w:p>
        </w:tc>
        <w:tc>
          <w:tcPr>
            <w:tcW w:w="1033" w:type="dxa"/>
            <w:tcBorders>
              <w:bottom w:val="single" w:color="000000" w:sz="12" w:space="0"/>
            </w:tcBorders>
          </w:tcPr>
          <w:p w14:paraId="01EF6225">
            <w:pPr>
              <w:autoSpaceDE w:val="0"/>
              <w:autoSpaceDN w:val="0"/>
              <w:rPr>
                <w:rFonts w:ascii="Arial"/>
                <w:sz w:val="21"/>
              </w:rPr>
            </w:pPr>
          </w:p>
        </w:tc>
        <w:tc>
          <w:tcPr>
            <w:tcW w:w="1677" w:type="dxa"/>
            <w:tcBorders>
              <w:bottom w:val="single" w:color="000000" w:sz="12" w:space="0"/>
            </w:tcBorders>
          </w:tcPr>
          <w:p w14:paraId="5794DB04">
            <w:pPr>
              <w:pStyle w:val="260"/>
              <w:autoSpaceDE w:val="0"/>
              <w:autoSpaceDN w:val="0"/>
              <w:spacing w:before="85" w:line="204" w:lineRule="auto"/>
              <w:ind w:right="18"/>
              <w:jc w:val="right"/>
              <w:rPr>
                <w:color w:val="auto"/>
                <w:sz w:val="19"/>
                <w:szCs w:val="19"/>
              </w:rPr>
            </w:pPr>
          </w:p>
        </w:tc>
        <w:tc>
          <w:tcPr>
            <w:tcW w:w="1547" w:type="dxa"/>
            <w:tcBorders>
              <w:bottom w:val="single" w:color="000000" w:sz="12" w:space="0"/>
            </w:tcBorders>
          </w:tcPr>
          <w:p w14:paraId="04A2FD6E">
            <w:pPr>
              <w:pStyle w:val="260"/>
              <w:autoSpaceDE w:val="0"/>
              <w:autoSpaceDN w:val="0"/>
              <w:spacing w:before="85" w:line="204" w:lineRule="auto"/>
              <w:ind w:right="14"/>
              <w:jc w:val="right"/>
              <w:rPr>
                <w:color w:val="auto"/>
                <w:sz w:val="19"/>
                <w:szCs w:val="19"/>
              </w:rPr>
            </w:pPr>
          </w:p>
        </w:tc>
        <w:tc>
          <w:tcPr>
            <w:tcW w:w="1276" w:type="dxa"/>
            <w:tcBorders>
              <w:bottom w:val="single" w:color="000000" w:sz="12" w:space="0"/>
            </w:tcBorders>
          </w:tcPr>
          <w:p w14:paraId="7BE10853">
            <w:pPr>
              <w:pStyle w:val="260"/>
              <w:autoSpaceDE w:val="0"/>
              <w:autoSpaceDN w:val="0"/>
              <w:spacing w:before="85" w:line="204" w:lineRule="auto"/>
              <w:ind w:right="11"/>
              <w:jc w:val="right"/>
              <w:rPr>
                <w:color w:val="auto"/>
                <w:sz w:val="19"/>
                <w:szCs w:val="19"/>
              </w:rPr>
            </w:pPr>
          </w:p>
        </w:tc>
        <w:tc>
          <w:tcPr>
            <w:tcW w:w="1134" w:type="dxa"/>
            <w:tcBorders>
              <w:bottom w:val="single" w:color="000000" w:sz="12" w:space="0"/>
              <w:right w:val="single" w:color="000000" w:sz="12" w:space="0"/>
            </w:tcBorders>
          </w:tcPr>
          <w:p w14:paraId="03094E2B">
            <w:pPr>
              <w:autoSpaceDE w:val="0"/>
              <w:autoSpaceDN w:val="0"/>
              <w:rPr>
                <w:rFonts w:ascii="Arial"/>
                <w:sz w:val="21"/>
              </w:rPr>
            </w:pPr>
          </w:p>
        </w:tc>
      </w:tr>
    </w:tbl>
    <w:p w14:paraId="3BE5BA11">
      <w:pPr>
        <w:spacing w:before="205" w:line="162" w:lineRule="auto"/>
        <w:ind w:left="982" w:leftChars="300" w:right="121" w:hanging="352" w:hangingChars="200"/>
        <w:rPr>
          <w:rFonts w:ascii="微软雅黑" w:hAnsi="微软雅黑" w:eastAsia="微软雅黑" w:cs="微软雅黑"/>
          <w:sz w:val="18"/>
          <w:szCs w:val="18"/>
          <w:lang w:eastAsia="zh-CN"/>
        </w:rPr>
      </w:pPr>
      <w:r>
        <w:rPr>
          <w:rFonts w:ascii="微软雅黑" w:hAnsi="微软雅黑" w:eastAsia="微软雅黑" w:cs="微软雅黑"/>
          <w:spacing w:val="-2"/>
          <w:sz w:val="18"/>
          <w:szCs w:val="18"/>
          <w:lang w:eastAsia="zh-CN"/>
        </w:rPr>
        <w:t>注</w:t>
      </w:r>
      <w:r>
        <w:rPr>
          <w:rFonts w:ascii="微软雅黑" w:hAnsi="微软雅黑" w:eastAsia="微软雅黑" w:cs="微软雅黑"/>
          <w:spacing w:val="-30"/>
          <w:sz w:val="18"/>
          <w:szCs w:val="18"/>
          <w:lang w:eastAsia="zh-CN"/>
        </w:rPr>
        <w:t xml:space="preserve"> </w:t>
      </w:r>
      <w:r>
        <w:rPr>
          <w:rFonts w:ascii="微软雅黑" w:hAnsi="微软雅黑" w:eastAsia="微软雅黑" w:cs="微软雅黑"/>
          <w:spacing w:val="-2"/>
          <w:sz w:val="18"/>
          <w:szCs w:val="18"/>
          <w:lang w:eastAsia="zh-CN"/>
        </w:rPr>
        <w:t>：按施工方案计算的施工垃圾场外运输和消纳费</w:t>
      </w:r>
      <w:r>
        <w:rPr>
          <w:rFonts w:ascii="微软雅黑" w:hAnsi="微软雅黑" w:eastAsia="微软雅黑" w:cs="微软雅黑"/>
          <w:spacing w:val="-30"/>
          <w:sz w:val="18"/>
          <w:szCs w:val="18"/>
          <w:lang w:eastAsia="zh-CN"/>
        </w:rPr>
        <w:t xml:space="preserve"> </w:t>
      </w:r>
      <w:r>
        <w:rPr>
          <w:rFonts w:ascii="微软雅黑" w:hAnsi="微软雅黑" w:eastAsia="微软雅黑" w:cs="微软雅黑"/>
          <w:spacing w:val="-2"/>
          <w:sz w:val="18"/>
          <w:szCs w:val="18"/>
          <w:lang w:eastAsia="zh-CN"/>
        </w:rPr>
        <w:t>，若无“计算基础</w:t>
      </w:r>
      <w:r>
        <w:rPr>
          <w:rFonts w:ascii="微软雅黑" w:hAnsi="微软雅黑" w:eastAsia="微软雅黑" w:cs="微软雅黑"/>
          <w:spacing w:val="-28"/>
          <w:sz w:val="18"/>
          <w:szCs w:val="18"/>
          <w:lang w:eastAsia="zh-CN"/>
        </w:rPr>
        <w:t xml:space="preserve"> </w:t>
      </w:r>
      <w:r>
        <w:rPr>
          <w:rFonts w:ascii="微软雅黑" w:hAnsi="微软雅黑" w:eastAsia="微软雅黑" w:cs="微软雅黑"/>
          <w:spacing w:val="-2"/>
          <w:sz w:val="18"/>
          <w:szCs w:val="18"/>
          <w:lang w:eastAsia="zh-CN"/>
        </w:rPr>
        <w:t>”和“</w:t>
      </w:r>
      <w:r>
        <w:rPr>
          <w:rFonts w:ascii="微软雅黑" w:hAnsi="微软雅黑" w:eastAsia="微软雅黑" w:cs="微软雅黑"/>
          <w:spacing w:val="-34"/>
          <w:sz w:val="18"/>
          <w:szCs w:val="18"/>
          <w:lang w:eastAsia="zh-CN"/>
        </w:rPr>
        <w:t xml:space="preserve"> </w:t>
      </w:r>
      <w:r>
        <w:rPr>
          <w:rFonts w:ascii="微软雅黑" w:hAnsi="微软雅黑" w:eastAsia="微软雅黑" w:cs="微软雅黑"/>
          <w:spacing w:val="-2"/>
          <w:sz w:val="18"/>
          <w:szCs w:val="18"/>
          <w:lang w:eastAsia="zh-CN"/>
        </w:rPr>
        <w:t>费率</w:t>
      </w:r>
      <w:r>
        <w:rPr>
          <w:rFonts w:ascii="微软雅黑" w:hAnsi="微软雅黑" w:eastAsia="微软雅黑" w:cs="微软雅黑"/>
          <w:spacing w:val="-28"/>
          <w:sz w:val="18"/>
          <w:szCs w:val="18"/>
          <w:lang w:eastAsia="zh-CN"/>
        </w:rPr>
        <w:t xml:space="preserve"> </w:t>
      </w:r>
      <w:r>
        <w:rPr>
          <w:rFonts w:ascii="微软雅黑" w:hAnsi="微软雅黑" w:eastAsia="微软雅黑" w:cs="微软雅黑"/>
          <w:spacing w:val="-2"/>
          <w:sz w:val="18"/>
          <w:szCs w:val="18"/>
          <w:lang w:eastAsia="zh-CN"/>
        </w:rPr>
        <w:t>”的数值</w:t>
      </w:r>
      <w:r>
        <w:rPr>
          <w:rFonts w:ascii="微软雅黑" w:hAnsi="微软雅黑" w:eastAsia="微软雅黑" w:cs="微软雅黑"/>
          <w:spacing w:val="-30"/>
          <w:sz w:val="18"/>
          <w:szCs w:val="18"/>
          <w:lang w:eastAsia="zh-CN"/>
        </w:rPr>
        <w:t xml:space="preserve"> </w:t>
      </w:r>
      <w:r>
        <w:rPr>
          <w:rFonts w:ascii="微软雅黑" w:hAnsi="微软雅黑" w:eastAsia="微软雅黑" w:cs="微软雅黑"/>
          <w:spacing w:val="-2"/>
          <w:sz w:val="18"/>
          <w:szCs w:val="18"/>
          <w:lang w:eastAsia="zh-CN"/>
        </w:rPr>
        <w:t>，也可只填“不含</w:t>
      </w:r>
      <w:r>
        <w:rPr>
          <w:rFonts w:ascii="微软雅黑" w:hAnsi="微软雅黑" w:eastAsia="微软雅黑" w:cs="微软雅黑"/>
          <w:spacing w:val="-3"/>
          <w:sz w:val="18"/>
          <w:szCs w:val="18"/>
          <w:lang w:eastAsia="zh-CN"/>
        </w:rPr>
        <w:t>税金额</w:t>
      </w:r>
      <w:r>
        <w:rPr>
          <w:rFonts w:ascii="微软雅黑" w:hAnsi="微软雅黑" w:eastAsia="微软雅黑" w:cs="微软雅黑"/>
          <w:spacing w:val="-28"/>
          <w:sz w:val="18"/>
          <w:szCs w:val="18"/>
          <w:lang w:eastAsia="zh-CN"/>
        </w:rPr>
        <w:t xml:space="preserve"> </w:t>
      </w:r>
      <w:r>
        <w:rPr>
          <w:rFonts w:ascii="微软雅黑" w:hAnsi="微软雅黑" w:eastAsia="微软雅黑" w:cs="微软雅黑"/>
          <w:spacing w:val="-3"/>
          <w:sz w:val="18"/>
          <w:szCs w:val="18"/>
          <w:lang w:eastAsia="zh-CN"/>
        </w:rPr>
        <w:t>”数值</w:t>
      </w:r>
      <w:r>
        <w:rPr>
          <w:rFonts w:ascii="微软雅黑" w:hAnsi="微软雅黑" w:eastAsia="微软雅黑" w:cs="微软雅黑"/>
          <w:spacing w:val="-30"/>
          <w:sz w:val="18"/>
          <w:szCs w:val="18"/>
          <w:lang w:eastAsia="zh-CN"/>
        </w:rPr>
        <w:t xml:space="preserve"> </w:t>
      </w:r>
      <w:r>
        <w:rPr>
          <w:rFonts w:ascii="微软雅黑" w:hAnsi="微软雅黑" w:eastAsia="微软雅黑" w:cs="微软雅黑"/>
          <w:spacing w:val="-3"/>
          <w:sz w:val="18"/>
          <w:szCs w:val="18"/>
          <w:lang w:eastAsia="zh-CN"/>
        </w:rPr>
        <w:t>，但应在表“4.9-3措施项目清单价格组成分析表</w:t>
      </w:r>
      <w:r>
        <w:rPr>
          <w:rFonts w:ascii="微软雅黑" w:hAnsi="微软雅黑" w:eastAsia="微软雅黑" w:cs="微软雅黑"/>
          <w:spacing w:val="-28"/>
          <w:sz w:val="18"/>
          <w:szCs w:val="18"/>
          <w:lang w:eastAsia="zh-CN"/>
        </w:rPr>
        <w:t xml:space="preserve"> </w:t>
      </w:r>
      <w:r>
        <w:rPr>
          <w:rFonts w:ascii="微软雅黑" w:hAnsi="微软雅黑" w:eastAsia="微软雅黑" w:cs="微软雅黑"/>
          <w:spacing w:val="-3"/>
          <w:sz w:val="18"/>
          <w:szCs w:val="18"/>
          <w:lang w:eastAsia="zh-CN"/>
        </w:rPr>
        <w:t>”中列明施工方案出</w:t>
      </w:r>
      <w:r>
        <w:rPr>
          <w:rFonts w:ascii="微软雅黑" w:hAnsi="微软雅黑" w:eastAsia="微软雅黑" w:cs="微软雅黑"/>
          <w:spacing w:val="-2"/>
          <w:sz w:val="18"/>
          <w:szCs w:val="18"/>
          <w:lang w:eastAsia="zh-CN"/>
        </w:rPr>
        <w:t>处及计算方法。</w:t>
      </w:r>
    </w:p>
    <w:p w14:paraId="771FF2B1">
      <w:pPr>
        <w:spacing w:line="162" w:lineRule="auto"/>
        <w:rPr>
          <w:rFonts w:ascii="微软雅黑" w:hAnsi="微软雅黑" w:eastAsia="微软雅黑" w:cs="微软雅黑"/>
          <w:sz w:val="18"/>
          <w:szCs w:val="18"/>
          <w:lang w:eastAsia="zh-CN"/>
        </w:rPr>
        <w:sectPr>
          <w:pgSz w:w="16840" w:h="11900"/>
          <w:pgMar w:top="1011" w:right="850" w:bottom="400" w:left="810" w:header="0" w:footer="0" w:gutter="0"/>
          <w:pgNumType w:fmt="decimal"/>
          <w:cols w:space="720" w:num="1"/>
        </w:sectPr>
      </w:pPr>
    </w:p>
    <w:p w14:paraId="0F0F6A34">
      <w:pPr>
        <w:bidi w:val="0"/>
        <w:jc w:val="center"/>
        <w:rPr>
          <w:b/>
          <w:bCs/>
          <w:sz w:val="30"/>
          <w:szCs w:val="30"/>
          <w:lang w:eastAsia="zh-CN"/>
        </w:rPr>
      </w:pPr>
    </w:p>
    <w:p w14:paraId="5D69F3A1">
      <w:pPr>
        <w:bidi w:val="0"/>
        <w:jc w:val="center"/>
        <w:rPr>
          <w:b/>
          <w:bCs/>
          <w:sz w:val="30"/>
          <w:szCs w:val="30"/>
          <w:lang w:eastAsia="zh-CN"/>
        </w:rPr>
      </w:pPr>
      <w:r>
        <w:rPr>
          <w:b/>
          <w:bCs/>
          <w:sz w:val="30"/>
          <w:szCs w:val="30"/>
          <w:lang w:eastAsia="zh-CN"/>
        </w:rPr>
        <w:t>其他项目清单计价表</w:t>
      </w:r>
    </w:p>
    <w:p w14:paraId="44B43DCE">
      <w:pPr>
        <w:spacing w:before="82" w:line="188" w:lineRule="auto"/>
        <w:ind w:left="39" w:firstLine="840" w:firstLineChars="400"/>
        <w:rPr>
          <w:rFonts w:ascii="Arial"/>
          <w:sz w:val="2"/>
        </w:rPr>
      </w:pPr>
      <w:r>
        <mc:AlternateContent>
          <mc:Choice Requires="wps">
            <w:drawing>
              <wp:anchor distT="0" distB="0" distL="114300" distR="114300" simplePos="0" relativeHeight="251667456" behindDoc="0" locked="0" layoutInCell="1" allowOverlap="1">
                <wp:simplePos x="0" y="0"/>
                <wp:positionH relativeFrom="column">
                  <wp:posOffset>5297170</wp:posOffset>
                </wp:positionH>
                <wp:positionV relativeFrom="paragraph">
                  <wp:posOffset>39370</wp:posOffset>
                </wp:positionV>
                <wp:extent cx="1048385" cy="18796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048385" cy="187960"/>
                        </a:xfrm>
                        <a:prstGeom prst="rect">
                          <a:avLst/>
                        </a:prstGeom>
                        <a:noFill/>
                        <a:ln>
                          <a:noFill/>
                        </a:ln>
                      </wps:spPr>
                      <wps:txbx>
                        <w:txbxContent>
                          <w:p w14:paraId="6EDC7F7D">
                            <w:pPr>
                              <w:spacing w:before="20" w:line="188" w:lineRule="auto"/>
                              <w:ind w:left="20"/>
                              <w:rPr>
                                <w:rFonts w:ascii="微软雅黑" w:hAnsi="微软雅黑" w:eastAsia="微软雅黑" w:cs="微软雅黑"/>
                                <w:sz w:val="19"/>
                                <w:szCs w:val="19"/>
                              </w:rPr>
                            </w:pPr>
                            <w:r>
                              <w:rPr>
                                <w:rFonts w:ascii="微软雅黑" w:hAnsi="微软雅黑" w:eastAsia="微软雅黑" w:cs="微软雅黑"/>
                                <w:spacing w:val="-15"/>
                                <w:sz w:val="19"/>
                                <w:szCs w:val="19"/>
                              </w:rPr>
                              <w:t>第</w:t>
                            </w:r>
                            <w:r>
                              <w:rPr>
                                <w:rFonts w:ascii="微软雅黑" w:hAnsi="微软雅黑" w:eastAsia="微软雅黑" w:cs="微软雅黑"/>
                                <w:spacing w:val="8"/>
                                <w:sz w:val="19"/>
                                <w:szCs w:val="19"/>
                              </w:rPr>
                              <w:t xml:space="preserve"> </w:t>
                            </w:r>
                            <w:r>
                              <w:rPr>
                                <w:rFonts w:ascii="微软雅黑" w:hAnsi="微软雅黑" w:eastAsia="微软雅黑" w:cs="微软雅黑"/>
                                <w:spacing w:val="6"/>
                                <w:sz w:val="19"/>
                                <w:szCs w:val="19"/>
                              </w:rPr>
                              <w:t xml:space="preserve"> </w:t>
                            </w:r>
                            <w:r>
                              <w:rPr>
                                <w:rFonts w:ascii="微软雅黑" w:hAnsi="微软雅黑" w:eastAsia="微软雅黑" w:cs="微软雅黑"/>
                                <w:spacing w:val="-15"/>
                                <w:sz w:val="19"/>
                                <w:szCs w:val="19"/>
                              </w:rPr>
                              <w:t>页</w:t>
                            </w:r>
                            <w:r>
                              <w:rPr>
                                <w:rFonts w:ascii="微软雅黑" w:hAnsi="微软雅黑" w:eastAsia="微软雅黑" w:cs="微软雅黑"/>
                                <w:spacing w:val="16"/>
                                <w:w w:val="101"/>
                                <w:sz w:val="19"/>
                                <w:szCs w:val="19"/>
                              </w:rPr>
                              <w:t xml:space="preserve">  </w:t>
                            </w:r>
                            <w:r>
                              <w:rPr>
                                <w:rFonts w:ascii="微软雅黑" w:hAnsi="微软雅黑" w:eastAsia="微软雅黑" w:cs="微软雅黑"/>
                                <w:spacing w:val="-15"/>
                                <w:sz w:val="19"/>
                                <w:szCs w:val="19"/>
                              </w:rPr>
                              <w:t>共</w:t>
                            </w:r>
                            <w:r>
                              <w:rPr>
                                <w:rFonts w:ascii="微软雅黑" w:hAnsi="微软雅黑" w:eastAsia="微软雅黑" w:cs="微软雅黑"/>
                                <w:spacing w:val="8"/>
                                <w:sz w:val="19"/>
                                <w:szCs w:val="19"/>
                              </w:rPr>
                              <w:t xml:space="preserve"> </w:t>
                            </w:r>
                            <w:r>
                              <w:rPr>
                                <w:rFonts w:ascii="微软雅黑" w:hAnsi="微软雅黑" w:eastAsia="微软雅黑" w:cs="微软雅黑"/>
                                <w:spacing w:val="6"/>
                                <w:sz w:val="19"/>
                                <w:szCs w:val="19"/>
                              </w:rPr>
                              <w:t xml:space="preserve">  </w:t>
                            </w:r>
                            <w:r>
                              <w:rPr>
                                <w:rFonts w:ascii="微软雅黑" w:hAnsi="微软雅黑" w:eastAsia="微软雅黑" w:cs="微软雅黑"/>
                                <w:spacing w:val="-15"/>
                                <w:sz w:val="19"/>
                                <w:szCs w:val="19"/>
                              </w:rPr>
                              <w:t>页</w:t>
                            </w:r>
                          </w:p>
                        </w:txbxContent>
                      </wps:txbx>
                      <wps:bodyPr lIns="0" tIns="0" rIns="0" bIns="0" upright="1"/>
                    </wps:wsp>
                  </a:graphicData>
                </a:graphic>
              </wp:anchor>
            </w:drawing>
          </mc:Choice>
          <mc:Fallback>
            <w:pict>
              <v:shape id="_x0000_s1026" o:spid="_x0000_s1026" o:spt="202" type="#_x0000_t202" style="position:absolute;left:0pt;margin-left:417.1pt;margin-top:3.1pt;height:14.8pt;width:82.55pt;z-index:251667456;mso-width-relative:page;mso-height-relative:page;" filled="f" stroked="f" coordsize="21600,21600" o:gfxdata="UEsDBAoAAAAAAIdO4kAAAAAAAAAAAAAAAAAEAAAAZHJzL1BLAwQUAAAACACHTuJAmQW0adgAAAAI&#10;AQAADwAAAGRycy9kb3ducmV2LnhtbE2PzU7DMBCE70h9B2srcaN2G4iSEKdCCE5IiDQcODrxNrEa&#10;r0Ps/vD2mFM5jVYzmvm23F7syE44e+NIwnolgCF1ThvqJXw2r3cZMB8UaTU6Qgk/6GFbLW5KVWh3&#10;phpPu9CzWEK+UBKGEKaCc98NaJVfuQkpens3WxXiOfdcz+ocy+3IN0Kk3CpDcWFQEz4P2B12Ryvh&#10;6YvqF/P93n7U+9o0TS7oLT1Iebtci0dgAS/hGoY//IgOVWRq3ZG0Z6OELLnfxKiENEr08zxPgLUS&#10;kocMeFXy/w9Uv1BLAwQUAAAACACHTuJAdimZIrsBAAB0AwAADgAAAGRycy9lMm9Eb2MueG1srVPB&#10;jtMwEL0j8Q+W79TpAkuJmq6EqkVICJAWPsB1nMaS7bHGbpP+APwBJy7c+a5+B2O36cJy2QMXZzwe&#10;v3nvjbO8GZ1le43RgG/4fFZxpr2C1vhtw798vn224Cwm6VtpweuGH3TkN6unT5ZDqPUV9GBbjYxA&#10;fKyH0PA+pVALEVWvnYwzCNrTYQfoZKItbkWLciB0Z8VVVV2LAbANCErHSNn16ZCfEfExgNB1Ruk1&#10;qJ3TPp1QUVuZSFLsTYh8Vdh2nVbpY9dFnZhtOClNZaUmFG/yKlZLWW9Rht6oMwX5GAoPNDlpPDW9&#10;QK1lkmyH5h8oZxRChC7NFDhxElIcIRXz6oE3d70Mumghq2O4mB7/H6z6sP+EzLT0Euaceelo4sfv&#10;344/fh1/fmWUI4OGEGuquwtUmcY3MFLxlI+UzLrHDl3+kiJG52Tv4WKvHhNT+VL1YvF88ZIzRWfz&#10;xavX18V/cX87YExvNTiWg4Yjja+4KvfvYyImVDqV5GYebo21ZYTW/5WgwpwRmfqJYo7SuBnPejbQ&#10;HkiOfefJzPwwpgCnYDMFu4Bm2xOdIrpA0jAKmfPDydP+c18a3/8s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ZBbRp2AAAAAgBAAAPAAAAAAAAAAEAIAAAACIAAABkcnMvZG93bnJldi54bWxQSwEC&#10;FAAUAAAACACHTuJAdimZIrsBAAB0AwAADgAAAAAAAAABACAAAAAnAQAAZHJzL2Uyb0RvYy54bWxQ&#10;SwUGAAAAAAYABgBZAQAAVAUAAAAA&#10;">
                <v:fill on="f" focussize="0,0"/>
                <v:stroke on="f"/>
                <v:imagedata o:title=""/>
                <o:lock v:ext="edit" aspectratio="f"/>
                <v:textbox inset="0mm,0mm,0mm,0mm">
                  <w:txbxContent>
                    <w:p w14:paraId="6EDC7F7D">
                      <w:pPr>
                        <w:spacing w:before="20" w:line="188" w:lineRule="auto"/>
                        <w:ind w:left="20"/>
                        <w:rPr>
                          <w:rFonts w:ascii="微软雅黑" w:hAnsi="微软雅黑" w:eastAsia="微软雅黑" w:cs="微软雅黑"/>
                          <w:sz w:val="19"/>
                          <w:szCs w:val="19"/>
                        </w:rPr>
                      </w:pPr>
                      <w:r>
                        <w:rPr>
                          <w:rFonts w:ascii="微软雅黑" w:hAnsi="微软雅黑" w:eastAsia="微软雅黑" w:cs="微软雅黑"/>
                          <w:spacing w:val="-15"/>
                          <w:sz w:val="19"/>
                          <w:szCs w:val="19"/>
                        </w:rPr>
                        <w:t>第</w:t>
                      </w:r>
                      <w:r>
                        <w:rPr>
                          <w:rFonts w:ascii="微软雅黑" w:hAnsi="微软雅黑" w:eastAsia="微软雅黑" w:cs="微软雅黑"/>
                          <w:spacing w:val="8"/>
                          <w:sz w:val="19"/>
                          <w:szCs w:val="19"/>
                        </w:rPr>
                        <w:t xml:space="preserve"> </w:t>
                      </w:r>
                      <w:r>
                        <w:rPr>
                          <w:rFonts w:ascii="微软雅黑" w:hAnsi="微软雅黑" w:eastAsia="微软雅黑" w:cs="微软雅黑"/>
                          <w:spacing w:val="6"/>
                          <w:sz w:val="19"/>
                          <w:szCs w:val="19"/>
                        </w:rPr>
                        <w:t xml:space="preserve"> </w:t>
                      </w:r>
                      <w:r>
                        <w:rPr>
                          <w:rFonts w:ascii="微软雅黑" w:hAnsi="微软雅黑" w:eastAsia="微软雅黑" w:cs="微软雅黑"/>
                          <w:spacing w:val="-15"/>
                          <w:sz w:val="19"/>
                          <w:szCs w:val="19"/>
                        </w:rPr>
                        <w:t>页</w:t>
                      </w:r>
                      <w:r>
                        <w:rPr>
                          <w:rFonts w:ascii="微软雅黑" w:hAnsi="微软雅黑" w:eastAsia="微软雅黑" w:cs="微软雅黑"/>
                          <w:spacing w:val="16"/>
                          <w:w w:val="101"/>
                          <w:sz w:val="19"/>
                          <w:szCs w:val="19"/>
                        </w:rPr>
                        <w:t xml:space="preserve">  </w:t>
                      </w:r>
                      <w:r>
                        <w:rPr>
                          <w:rFonts w:ascii="微软雅黑" w:hAnsi="微软雅黑" w:eastAsia="微软雅黑" w:cs="微软雅黑"/>
                          <w:spacing w:val="-15"/>
                          <w:sz w:val="19"/>
                          <w:szCs w:val="19"/>
                        </w:rPr>
                        <w:t>共</w:t>
                      </w:r>
                      <w:r>
                        <w:rPr>
                          <w:rFonts w:ascii="微软雅黑" w:hAnsi="微软雅黑" w:eastAsia="微软雅黑" w:cs="微软雅黑"/>
                          <w:spacing w:val="8"/>
                          <w:sz w:val="19"/>
                          <w:szCs w:val="19"/>
                        </w:rPr>
                        <w:t xml:space="preserve"> </w:t>
                      </w:r>
                      <w:r>
                        <w:rPr>
                          <w:rFonts w:ascii="微软雅黑" w:hAnsi="微软雅黑" w:eastAsia="微软雅黑" w:cs="微软雅黑"/>
                          <w:spacing w:val="6"/>
                          <w:sz w:val="19"/>
                          <w:szCs w:val="19"/>
                        </w:rPr>
                        <w:t xml:space="preserve">  </w:t>
                      </w:r>
                      <w:r>
                        <w:rPr>
                          <w:rFonts w:ascii="微软雅黑" w:hAnsi="微软雅黑" w:eastAsia="微软雅黑" w:cs="微软雅黑"/>
                          <w:spacing w:val="-15"/>
                          <w:sz w:val="19"/>
                          <w:szCs w:val="19"/>
                        </w:rPr>
                        <w:t>页</w:t>
                      </w:r>
                    </w:p>
                  </w:txbxContent>
                </v:textbox>
              </v:shape>
            </w:pict>
          </mc:Fallback>
        </mc:AlternateContent>
      </w:r>
      <w:r>
        <w:rPr>
          <w:rFonts w:ascii="微软雅黑" w:hAnsi="微软雅黑" w:eastAsia="微软雅黑" w:cs="微软雅黑"/>
          <w:spacing w:val="2"/>
          <w:sz w:val="19"/>
          <w:szCs w:val="19"/>
        </w:rPr>
        <w:t>工程名称</w:t>
      </w:r>
      <w:r>
        <w:rPr>
          <w:rFonts w:hint="eastAsia" w:ascii="微软雅黑" w:hAnsi="微软雅黑" w:eastAsia="微软雅黑" w:cs="微软雅黑"/>
          <w:spacing w:val="2"/>
          <w:sz w:val="19"/>
          <w:szCs w:val="19"/>
          <w:lang w:eastAsia="zh-CN"/>
        </w:rPr>
        <w:t>：</w:t>
      </w:r>
    </w:p>
    <w:tbl>
      <w:tblPr>
        <w:tblStyle w:val="258"/>
        <w:tblW w:w="9498" w:type="dxa"/>
        <w:tblInd w:w="58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60"/>
        <w:gridCol w:w="3543"/>
        <w:gridCol w:w="1276"/>
        <w:gridCol w:w="1130"/>
        <w:gridCol w:w="1989"/>
      </w:tblGrid>
      <w:tr w14:paraId="0C9CC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60" w:type="dxa"/>
            <w:tcBorders>
              <w:top w:val="single" w:color="000000" w:sz="12" w:space="0"/>
              <w:left w:val="single" w:color="000000" w:sz="12" w:space="0"/>
            </w:tcBorders>
          </w:tcPr>
          <w:p w14:paraId="51B3EB44">
            <w:pPr>
              <w:pStyle w:val="260"/>
              <w:autoSpaceDE w:val="0"/>
              <w:autoSpaceDN w:val="0"/>
              <w:spacing w:before="72" w:line="189" w:lineRule="auto"/>
              <w:ind w:left="419"/>
              <w:rPr>
                <w:color w:val="auto"/>
                <w:sz w:val="19"/>
                <w:szCs w:val="19"/>
              </w:rPr>
            </w:pPr>
            <w:r>
              <w:rPr>
                <w:color w:val="auto"/>
                <w:sz w:val="19"/>
                <w:szCs w:val="19"/>
              </w:rPr>
              <w:t>序号</w:t>
            </w:r>
          </w:p>
        </w:tc>
        <w:tc>
          <w:tcPr>
            <w:tcW w:w="3543" w:type="dxa"/>
            <w:tcBorders>
              <w:top w:val="single" w:color="000000" w:sz="12" w:space="0"/>
            </w:tcBorders>
          </w:tcPr>
          <w:p w14:paraId="7E556AF6">
            <w:pPr>
              <w:pStyle w:val="260"/>
              <w:autoSpaceDE w:val="0"/>
              <w:autoSpaceDN w:val="0"/>
              <w:spacing w:before="71" w:line="188" w:lineRule="auto"/>
              <w:ind w:left="1514"/>
              <w:rPr>
                <w:color w:val="auto"/>
                <w:sz w:val="19"/>
                <w:szCs w:val="19"/>
              </w:rPr>
            </w:pPr>
            <w:r>
              <w:rPr>
                <w:color w:val="auto"/>
                <w:spacing w:val="1"/>
                <w:sz w:val="19"/>
                <w:szCs w:val="19"/>
              </w:rPr>
              <w:t>项目名称</w:t>
            </w:r>
          </w:p>
        </w:tc>
        <w:tc>
          <w:tcPr>
            <w:tcW w:w="1276" w:type="dxa"/>
            <w:tcBorders>
              <w:top w:val="single" w:color="000000" w:sz="12" w:space="0"/>
            </w:tcBorders>
          </w:tcPr>
          <w:p w14:paraId="2DF568B6">
            <w:pPr>
              <w:pStyle w:val="260"/>
              <w:autoSpaceDE w:val="0"/>
              <w:autoSpaceDN w:val="0"/>
              <w:spacing w:before="72" w:line="189" w:lineRule="auto"/>
              <w:rPr>
                <w:color w:val="auto"/>
                <w:sz w:val="19"/>
                <w:szCs w:val="19"/>
              </w:rPr>
            </w:pPr>
            <w:r>
              <w:rPr>
                <w:color w:val="auto"/>
                <w:spacing w:val="2"/>
                <w:sz w:val="19"/>
                <w:szCs w:val="19"/>
              </w:rPr>
              <w:t>计量单位</w:t>
            </w:r>
          </w:p>
        </w:tc>
        <w:tc>
          <w:tcPr>
            <w:tcW w:w="1130" w:type="dxa"/>
            <w:tcBorders>
              <w:top w:val="single" w:color="000000" w:sz="12" w:space="0"/>
            </w:tcBorders>
          </w:tcPr>
          <w:p w14:paraId="3ABEE602">
            <w:pPr>
              <w:pStyle w:val="260"/>
              <w:autoSpaceDE w:val="0"/>
              <w:autoSpaceDN w:val="0"/>
              <w:spacing w:before="72" w:line="184" w:lineRule="auto"/>
              <w:rPr>
                <w:color w:val="auto"/>
                <w:sz w:val="19"/>
                <w:szCs w:val="19"/>
              </w:rPr>
            </w:pPr>
            <w:r>
              <w:rPr>
                <w:color w:val="auto"/>
                <w:spacing w:val="1"/>
                <w:sz w:val="19"/>
                <w:szCs w:val="19"/>
              </w:rPr>
              <w:t>金额（元）</w:t>
            </w:r>
          </w:p>
        </w:tc>
        <w:tc>
          <w:tcPr>
            <w:tcW w:w="1989" w:type="dxa"/>
            <w:tcBorders>
              <w:top w:val="single" w:color="000000" w:sz="12" w:space="0"/>
              <w:right w:val="single" w:color="000000" w:sz="12" w:space="0"/>
            </w:tcBorders>
          </w:tcPr>
          <w:p w14:paraId="488AB70A">
            <w:pPr>
              <w:pStyle w:val="260"/>
              <w:autoSpaceDE w:val="0"/>
              <w:autoSpaceDN w:val="0"/>
              <w:spacing w:before="72" w:line="190" w:lineRule="auto"/>
              <w:ind w:left="993"/>
              <w:rPr>
                <w:color w:val="auto"/>
                <w:sz w:val="19"/>
                <w:szCs w:val="19"/>
              </w:rPr>
            </w:pPr>
            <w:r>
              <w:rPr>
                <w:color w:val="auto"/>
                <w:spacing w:val="-1"/>
                <w:sz w:val="19"/>
                <w:szCs w:val="19"/>
              </w:rPr>
              <w:t>备注</w:t>
            </w:r>
          </w:p>
        </w:tc>
      </w:tr>
      <w:tr w14:paraId="4CDB5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764E061C">
            <w:pPr>
              <w:pStyle w:val="260"/>
              <w:autoSpaceDE w:val="0"/>
              <w:autoSpaceDN w:val="0"/>
              <w:spacing w:before="58" w:line="208" w:lineRule="auto"/>
              <w:ind w:left="577"/>
              <w:rPr>
                <w:color w:val="auto"/>
                <w:sz w:val="19"/>
                <w:szCs w:val="19"/>
              </w:rPr>
            </w:pPr>
            <w:r>
              <w:rPr>
                <w:color w:val="auto"/>
                <w:sz w:val="19"/>
                <w:szCs w:val="19"/>
              </w:rPr>
              <w:t>1</w:t>
            </w:r>
          </w:p>
        </w:tc>
        <w:tc>
          <w:tcPr>
            <w:tcW w:w="3543" w:type="dxa"/>
          </w:tcPr>
          <w:p w14:paraId="2A4D6120">
            <w:pPr>
              <w:pStyle w:val="260"/>
              <w:autoSpaceDE w:val="0"/>
              <w:autoSpaceDN w:val="0"/>
              <w:spacing w:before="58" w:line="184" w:lineRule="auto"/>
              <w:ind w:left="40"/>
              <w:rPr>
                <w:color w:val="auto"/>
                <w:sz w:val="19"/>
                <w:szCs w:val="19"/>
                <w:lang w:eastAsia="zh-CN"/>
              </w:rPr>
            </w:pPr>
            <w:r>
              <w:rPr>
                <w:color w:val="auto"/>
                <w:spacing w:val="5"/>
                <w:sz w:val="19"/>
                <w:szCs w:val="19"/>
                <w:lang w:eastAsia="zh-CN"/>
              </w:rPr>
              <w:t>暂列金额（不包括计日工</w:t>
            </w:r>
            <w:r>
              <w:rPr>
                <w:color w:val="auto"/>
                <w:spacing w:val="-6"/>
                <w:sz w:val="19"/>
                <w:szCs w:val="19"/>
                <w:lang w:eastAsia="zh-CN"/>
              </w:rPr>
              <w:t>）（</w:t>
            </w:r>
            <w:r>
              <w:rPr>
                <w:color w:val="auto"/>
                <w:spacing w:val="5"/>
                <w:sz w:val="19"/>
                <w:szCs w:val="19"/>
                <w:lang w:eastAsia="zh-CN"/>
              </w:rPr>
              <w:t>不含税）</w:t>
            </w:r>
          </w:p>
        </w:tc>
        <w:tc>
          <w:tcPr>
            <w:tcW w:w="1276" w:type="dxa"/>
          </w:tcPr>
          <w:p w14:paraId="7593D353">
            <w:pPr>
              <w:autoSpaceDE w:val="0"/>
              <w:autoSpaceDN w:val="0"/>
              <w:rPr>
                <w:rFonts w:ascii="Arial"/>
                <w:sz w:val="21"/>
                <w:lang w:eastAsia="zh-CN"/>
              </w:rPr>
            </w:pPr>
          </w:p>
        </w:tc>
        <w:tc>
          <w:tcPr>
            <w:tcW w:w="1130" w:type="dxa"/>
          </w:tcPr>
          <w:p w14:paraId="431F1B07">
            <w:pPr>
              <w:autoSpaceDE w:val="0"/>
              <w:autoSpaceDN w:val="0"/>
              <w:rPr>
                <w:rFonts w:ascii="Arial"/>
                <w:sz w:val="21"/>
                <w:lang w:eastAsia="zh-CN"/>
              </w:rPr>
            </w:pPr>
          </w:p>
        </w:tc>
        <w:tc>
          <w:tcPr>
            <w:tcW w:w="1989" w:type="dxa"/>
            <w:tcBorders>
              <w:right w:val="single" w:color="000000" w:sz="12" w:space="0"/>
            </w:tcBorders>
          </w:tcPr>
          <w:p w14:paraId="1B5CA965">
            <w:pPr>
              <w:pStyle w:val="260"/>
              <w:autoSpaceDE w:val="0"/>
              <w:autoSpaceDN w:val="0"/>
              <w:spacing w:before="58" w:line="189" w:lineRule="auto"/>
              <w:ind w:left="72"/>
              <w:rPr>
                <w:color w:val="auto"/>
                <w:sz w:val="19"/>
                <w:szCs w:val="19"/>
              </w:rPr>
            </w:pPr>
            <w:r>
              <w:rPr>
                <w:color w:val="auto"/>
                <w:spacing w:val="4"/>
                <w:sz w:val="19"/>
                <w:szCs w:val="19"/>
              </w:rPr>
              <w:t>明细详见表4.10-1</w:t>
            </w:r>
          </w:p>
        </w:tc>
      </w:tr>
      <w:tr w14:paraId="2DB83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15A42251">
            <w:pPr>
              <w:pStyle w:val="260"/>
              <w:autoSpaceDE w:val="0"/>
              <w:autoSpaceDN w:val="0"/>
              <w:spacing w:before="59" w:line="208" w:lineRule="auto"/>
              <w:ind w:left="564"/>
              <w:rPr>
                <w:color w:val="auto"/>
                <w:sz w:val="19"/>
                <w:szCs w:val="19"/>
              </w:rPr>
            </w:pPr>
            <w:r>
              <w:rPr>
                <w:color w:val="auto"/>
                <w:sz w:val="19"/>
                <w:szCs w:val="19"/>
              </w:rPr>
              <w:t>2</w:t>
            </w:r>
          </w:p>
        </w:tc>
        <w:tc>
          <w:tcPr>
            <w:tcW w:w="3543" w:type="dxa"/>
          </w:tcPr>
          <w:p w14:paraId="54C53612">
            <w:pPr>
              <w:pStyle w:val="260"/>
              <w:autoSpaceDE w:val="0"/>
              <w:autoSpaceDN w:val="0"/>
              <w:spacing w:before="59" w:line="184" w:lineRule="auto"/>
              <w:ind w:left="34"/>
              <w:rPr>
                <w:color w:val="auto"/>
                <w:sz w:val="19"/>
                <w:szCs w:val="19"/>
                <w:lang w:eastAsia="zh-CN"/>
              </w:rPr>
            </w:pPr>
            <w:r>
              <w:rPr>
                <w:color w:val="auto"/>
                <w:spacing w:val="3"/>
                <w:sz w:val="19"/>
                <w:szCs w:val="19"/>
                <w:lang w:eastAsia="zh-CN"/>
              </w:rPr>
              <w:t>专业工程暂估价（含税）</w:t>
            </w:r>
          </w:p>
        </w:tc>
        <w:tc>
          <w:tcPr>
            <w:tcW w:w="1276" w:type="dxa"/>
          </w:tcPr>
          <w:p w14:paraId="2CB836AB">
            <w:pPr>
              <w:autoSpaceDE w:val="0"/>
              <w:autoSpaceDN w:val="0"/>
              <w:rPr>
                <w:rFonts w:ascii="Arial"/>
                <w:sz w:val="21"/>
                <w:lang w:eastAsia="zh-CN"/>
              </w:rPr>
            </w:pPr>
          </w:p>
        </w:tc>
        <w:tc>
          <w:tcPr>
            <w:tcW w:w="1130" w:type="dxa"/>
          </w:tcPr>
          <w:p w14:paraId="321607B4">
            <w:pPr>
              <w:autoSpaceDE w:val="0"/>
              <w:autoSpaceDN w:val="0"/>
              <w:rPr>
                <w:rFonts w:ascii="Arial"/>
                <w:sz w:val="21"/>
                <w:lang w:eastAsia="zh-CN"/>
              </w:rPr>
            </w:pPr>
          </w:p>
        </w:tc>
        <w:tc>
          <w:tcPr>
            <w:tcW w:w="1989" w:type="dxa"/>
            <w:tcBorders>
              <w:right w:val="single" w:color="000000" w:sz="12" w:space="0"/>
            </w:tcBorders>
          </w:tcPr>
          <w:p w14:paraId="1232461B">
            <w:pPr>
              <w:pStyle w:val="260"/>
              <w:autoSpaceDE w:val="0"/>
              <w:autoSpaceDN w:val="0"/>
              <w:spacing w:before="59" w:line="189" w:lineRule="auto"/>
              <w:ind w:left="72"/>
              <w:rPr>
                <w:color w:val="auto"/>
                <w:sz w:val="19"/>
                <w:szCs w:val="19"/>
              </w:rPr>
            </w:pPr>
            <w:r>
              <w:rPr>
                <w:color w:val="auto"/>
                <w:spacing w:val="4"/>
                <w:sz w:val="19"/>
                <w:szCs w:val="19"/>
              </w:rPr>
              <w:t>明细详见表4.10-2</w:t>
            </w:r>
          </w:p>
        </w:tc>
      </w:tr>
      <w:tr w14:paraId="09EE9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0F65E768">
            <w:pPr>
              <w:pStyle w:val="260"/>
              <w:autoSpaceDE w:val="0"/>
              <w:autoSpaceDN w:val="0"/>
              <w:spacing w:before="60" w:line="206" w:lineRule="auto"/>
              <w:ind w:left="566"/>
              <w:rPr>
                <w:color w:val="auto"/>
                <w:sz w:val="19"/>
                <w:szCs w:val="19"/>
              </w:rPr>
            </w:pPr>
            <w:r>
              <w:rPr>
                <w:color w:val="auto"/>
                <w:sz w:val="19"/>
                <w:szCs w:val="19"/>
              </w:rPr>
              <w:t>3</w:t>
            </w:r>
          </w:p>
        </w:tc>
        <w:tc>
          <w:tcPr>
            <w:tcW w:w="3543" w:type="dxa"/>
          </w:tcPr>
          <w:p w14:paraId="536B4976">
            <w:pPr>
              <w:pStyle w:val="260"/>
              <w:autoSpaceDE w:val="0"/>
              <w:autoSpaceDN w:val="0"/>
              <w:spacing w:before="60" w:line="184" w:lineRule="auto"/>
              <w:ind w:left="34"/>
              <w:rPr>
                <w:color w:val="auto"/>
                <w:sz w:val="19"/>
                <w:szCs w:val="19"/>
              </w:rPr>
            </w:pPr>
            <w:r>
              <w:rPr>
                <w:color w:val="auto"/>
                <w:spacing w:val="3"/>
                <w:sz w:val="19"/>
                <w:szCs w:val="19"/>
              </w:rPr>
              <w:t>计日工（不含税）</w:t>
            </w:r>
          </w:p>
        </w:tc>
        <w:tc>
          <w:tcPr>
            <w:tcW w:w="1276" w:type="dxa"/>
          </w:tcPr>
          <w:p w14:paraId="55EE150C">
            <w:pPr>
              <w:autoSpaceDE w:val="0"/>
              <w:autoSpaceDN w:val="0"/>
              <w:rPr>
                <w:rFonts w:ascii="Arial"/>
                <w:sz w:val="21"/>
              </w:rPr>
            </w:pPr>
          </w:p>
        </w:tc>
        <w:tc>
          <w:tcPr>
            <w:tcW w:w="1130" w:type="dxa"/>
          </w:tcPr>
          <w:p w14:paraId="29AA5DC1">
            <w:pPr>
              <w:autoSpaceDE w:val="0"/>
              <w:autoSpaceDN w:val="0"/>
              <w:rPr>
                <w:rFonts w:ascii="Arial"/>
                <w:sz w:val="21"/>
              </w:rPr>
            </w:pPr>
          </w:p>
        </w:tc>
        <w:tc>
          <w:tcPr>
            <w:tcW w:w="1989" w:type="dxa"/>
            <w:tcBorders>
              <w:right w:val="single" w:color="000000" w:sz="12" w:space="0"/>
            </w:tcBorders>
          </w:tcPr>
          <w:p w14:paraId="07DB7A47">
            <w:pPr>
              <w:pStyle w:val="260"/>
              <w:autoSpaceDE w:val="0"/>
              <w:autoSpaceDN w:val="0"/>
              <w:spacing w:before="60" w:line="189" w:lineRule="auto"/>
              <w:ind w:left="72"/>
              <w:rPr>
                <w:color w:val="auto"/>
                <w:sz w:val="19"/>
                <w:szCs w:val="19"/>
              </w:rPr>
            </w:pPr>
            <w:r>
              <w:rPr>
                <w:color w:val="auto"/>
                <w:spacing w:val="4"/>
                <w:sz w:val="19"/>
                <w:szCs w:val="19"/>
              </w:rPr>
              <w:t>明细详见表4.10-3</w:t>
            </w:r>
          </w:p>
        </w:tc>
      </w:tr>
      <w:tr w14:paraId="612F8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21E3C4A2">
            <w:pPr>
              <w:pStyle w:val="260"/>
              <w:autoSpaceDE w:val="0"/>
              <w:autoSpaceDN w:val="0"/>
              <w:spacing w:before="61" w:line="208" w:lineRule="auto"/>
              <w:ind w:left="561"/>
              <w:rPr>
                <w:color w:val="auto"/>
                <w:sz w:val="19"/>
                <w:szCs w:val="19"/>
              </w:rPr>
            </w:pPr>
            <w:r>
              <w:rPr>
                <w:color w:val="auto"/>
                <w:sz w:val="19"/>
                <w:szCs w:val="19"/>
              </w:rPr>
              <w:t>4</w:t>
            </w:r>
          </w:p>
        </w:tc>
        <w:tc>
          <w:tcPr>
            <w:tcW w:w="3543" w:type="dxa"/>
          </w:tcPr>
          <w:p w14:paraId="39FB2E67">
            <w:pPr>
              <w:pStyle w:val="260"/>
              <w:autoSpaceDE w:val="0"/>
              <w:autoSpaceDN w:val="0"/>
              <w:spacing w:before="61" w:line="184" w:lineRule="auto"/>
              <w:ind w:left="39"/>
              <w:rPr>
                <w:color w:val="auto"/>
                <w:sz w:val="19"/>
                <w:szCs w:val="19"/>
                <w:lang w:eastAsia="zh-CN"/>
              </w:rPr>
            </w:pPr>
            <w:r>
              <w:rPr>
                <w:color w:val="auto"/>
                <w:spacing w:val="3"/>
                <w:sz w:val="19"/>
                <w:szCs w:val="19"/>
                <w:lang w:eastAsia="zh-CN"/>
              </w:rPr>
              <w:t>总承包服务费（不含税）</w:t>
            </w:r>
          </w:p>
        </w:tc>
        <w:tc>
          <w:tcPr>
            <w:tcW w:w="1276" w:type="dxa"/>
          </w:tcPr>
          <w:p w14:paraId="742FFE0E">
            <w:pPr>
              <w:autoSpaceDE w:val="0"/>
              <w:autoSpaceDN w:val="0"/>
              <w:rPr>
                <w:rFonts w:ascii="Arial"/>
                <w:sz w:val="21"/>
                <w:lang w:eastAsia="zh-CN"/>
              </w:rPr>
            </w:pPr>
          </w:p>
        </w:tc>
        <w:tc>
          <w:tcPr>
            <w:tcW w:w="1130" w:type="dxa"/>
          </w:tcPr>
          <w:p w14:paraId="70325AB7">
            <w:pPr>
              <w:autoSpaceDE w:val="0"/>
              <w:autoSpaceDN w:val="0"/>
              <w:rPr>
                <w:rFonts w:ascii="Arial"/>
                <w:sz w:val="21"/>
                <w:lang w:eastAsia="zh-CN"/>
              </w:rPr>
            </w:pPr>
          </w:p>
        </w:tc>
        <w:tc>
          <w:tcPr>
            <w:tcW w:w="1989" w:type="dxa"/>
            <w:tcBorders>
              <w:right w:val="single" w:color="000000" w:sz="12" w:space="0"/>
            </w:tcBorders>
          </w:tcPr>
          <w:p w14:paraId="56CF1398">
            <w:pPr>
              <w:pStyle w:val="260"/>
              <w:autoSpaceDE w:val="0"/>
              <w:autoSpaceDN w:val="0"/>
              <w:spacing w:before="61" w:line="189" w:lineRule="auto"/>
              <w:ind w:left="72"/>
              <w:rPr>
                <w:color w:val="auto"/>
                <w:sz w:val="19"/>
                <w:szCs w:val="19"/>
              </w:rPr>
            </w:pPr>
            <w:r>
              <w:rPr>
                <w:color w:val="auto"/>
                <w:spacing w:val="4"/>
                <w:sz w:val="19"/>
                <w:szCs w:val="19"/>
              </w:rPr>
              <w:t>明细详见表4.10-4</w:t>
            </w:r>
          </w:p>
        </w:tc>
      </w:tr>
      <w:tr w14:paraId="5B36C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76F97F53">
            <w:pPr>
              <w:pStyle w:val="260"/>
              <w:autoSpaceDE w:val="0"/>
              <w:autoSpaceDN w:val="0"/>
              <w:spacing w:before="62" w:line="206" w:lineRule="auto"/>
              <w:ind w:left="566"/>
              <w:rPr>
                <w:color w:val="auto"/>
                <w:sz w:val="19"/>
                <w:szCs w:val="19"/>
              </w:rPr>
            </w:pPr>
            <w:r>
              <w:rPr>
                <w:color w:val="auto"/>
                <w:sz w:val="19"/>
                <w:szCs w:val="19"/>
              </w:rPr>
              <w:t>5</w:t>
            </w:r>
          </w:p>
        </w:tc>
        <w:tc>
          <w:tcPr>
            <w:tcW w:w="3543" w:type="dxa"/>
          </w:tcPr>
          <w:p w14:paraId="5C9698E6">
            <w:pPr>
              <w:pStyle w:val="260"/>
              <w:autoSpaceDE w:val="0"/>
              <w:autoSpaceDN w:val="0"/>
              <w:spacing w:before="62" w:line="184" w:lineRule="auto"/>
              <w:ind w:left="34"/>
              <w:rPr>
                <w:color w:val="auto"/>
                <w:sz w:val="19"/>
                <w:szCs w:val="19"/>
                <w:lang w:eastAsia="zh-CN"/>
              </w:rPr>
            </w:pPr>
            <w:r>
              <w:rPr>
                <w:color w:val="auto"/>
                <w:spacing w:val="4"/>
                <w:sz w:val="19"/>
                <w:szCs w:val="19"/>
                <w:lang w:eastAsia="zh-CN"/>
              </w:rPr>
              <w:t>合同中约定的其他项目（不含税）</w:t>
            </w:r>
          </w:p>
        </w:tc>
        <w:tc>
          <w:tcPr>
            <w:tcW w:w="1276" w:type="dxa"/>
          </w:tcPr>
          <w:p w14:paraId="1874923D">
            <w:pPr>
              <w:autoSpaceDE w:val="0"/>
              <w:autoSpaceDN w:val="0"/>
              <w:rPr>
                <w:rFonts w:ascii="Arial"/>
                <w:sz w:val="21"/>
                <w:lang w:eastAsia="zh-CN"/>
              </w:rPr>
            </w:pPr>
          </w:p>
        </w:tc>
        <w:tc>
          <w:tcPr>
            <w:tcW w:w="1130" w:type="dxa"/>
          </w:tcPr>
          <w:p w14:paraId="4B1AEA1A">
            <w:pPr>
              <w:autoSpaceDE w:val="0"/>
              <w:autoSpaceDN w:val="0"/>
              <w:rPr>
                <w:rFonts w:ascii="Arial"/>
                <w:sz w:val="21"/>
                <w:lang w:eastAsia="zh-CN"/>
              </w:rPr>
            </w:pPr>
          </w:p>
        </w:tc>
        <w:tc>
          <w:tcPr>
            <w:tcW w:w="1989" w:type="dxa"/>
            <w:tcBorders>
              <w:right w:val="single" w:color="000000" w:sz="12" w:space="0"/>
            </w:tcBorders>
          </w:tcPr>
          <w:p w14:paraId="6293CD45">
            <w:pPr>
              <w:autoSpaceDE w:val="0"/>
              <w:autoSpaceDN w:val="0"/>
              <w:rPr>
                <w:rFonts w:ascii="Arial"/>
                <w:sz w:val="21"/>
                <w:lang w:eastAsia="zh-CN"/>
              </w:rPr>
            </w:pPr>
          </w:p>
        </w:tc>
      </w:tr>
      <w:tr w14:paraId="36470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600362B2">
            <w:pPr>
              <w:autoSpaceDE w:val="0"/>
              <w:autoSpaceDN w:val="0"/>
              <w:rPr>
                <w:rFonts w:ascii="Arial"/>
                <w:sz w:val="21"/>
                <w:lang w:eastAsia="zh-CN"/>
              </w:rPr>
            </w:pPr>
          </w:p>
        </w:tc>
        <w:tc>
          <w:tcPr>
            <w:tcW w:w="3543" w:type="dxa"/>
          </w:tcPr>
          <w:p w14:paraId="7CEE2A77">
            <w:pPr>
              <w:autoSpaceDE w:val="0"/>
              <w:autoSpaceDN w:val="0"/>
              <w:rPr>
                <w:rFonts w:ascii="Arial"/>
                <w:sz w:val="21"/>
                <w:lang w:eastAsia="zh-CN"/>
              </w:rPr>
            </w:pPr>
          </w:p>
        </w:tc>
        <w:tc>
          <w:tcPr>
            <w:tcW w:w="1276" w:type="dxa"/>
          </w:tcPr>
          <w:p w14:paraId="57E01555">
            <w:pPr>
              <w:autoSpaceDE w:val="0"/>
              <w:autoSpaceDN w:val="0"/>
              <w:rPr>
                <w:rFonts w:ascii="Arial"/>
                <w:sz w:val="21"/>
                <w:lang w:eastAsia="zh-CN"/>
              </w:rPr>
            </w:pPr>
          </w:p>
        </w:tc>
        <w:tc>
          <w:tcPr>
            <w:tcW w:w="1130" w:type="dxa"/>
          </w:tcPr>
          <w:p w14:paraId="4A9F52B1">
            <w:pPr>
              <w:autoSpaceDE w:val="0"/>
              <w:autoSpaceDN w:val="0"/>
              <w:rPr>
                <w:rFonts w:ascii="Arial"/>
                <w:sz w:val="21"/>
                <w:lang w:eastAsia="zh-CN"/>
              </w:rPr>
            </w:pPr>
          </w:p>
        </w:tc>
        <w:tc>
          <w:tcPr>
            <w:tcW w:w="1989" w:type="dxa"/>
            <w:tcBorders>
              <w:right w:val="single" w:color="000000" w:sz="12" w:space="0"/>
            </w:tcBorders>
          </w:tcPr>
          <w:p w14:paraId="5D3430F5">
            <w:pPr>
              <w:autoSpaceDE w:val="0"/>
              <w:autoSpaceDN w:val="0"/>
              <w:rPr>
                <w:rFonts w:ascii="Arial"/>
                <w:sz w:val="21"/>
                <w:lang w:eastAsia="zh-CN"/>
              </w:rPr>
            </w:pPr>
          </w:p>
        </w:tc>
      </w:tr>
      <w:tr w14:paraId="1E830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5EC9DB30">
            <w:pPr>
              <w:autoSpaceDE w:val="0"/>
              <w:autoSpaceDN w:val="0"/>
              <w:rPr>
                <w:rFonts w:ascii="Arial"/>
                <w:sz w:val="21"/>
                <w:lang w:eastAsia="zh-CN"/>
              </w:rPr>
            </w:pPr>
          </w:p>
        </w:tc>
        <w:tc>
          <w:tcPr>
            <w:tcW w:w="3543" w:type="dxa"/>
          </w:tcPr>
          <w:p w14:paraId="00EAB0C2">
            <w:pPr>
              <w:autoSpaceDE w:val="0"/>
              <w:autoSpaceDN w:val="0"/>
              <w:rPr>
                <w:rFonts w:ascii="Arial"/>
                <w:sz w:val="21"/>
                <w:lang w:eastAsia="zh-CN"/>
              </w:rPr>
            </w:pPr>
          </w:p>
        </w:tc>
        <w:tc>
          <w:tcPr>
            <w:tcW w:w="1276" w:type="dxa"/>
          </w:tcPr>
          <w:p w14:paraId="468BC0AB">
            <w:pPr>
              <w:autoSpaceDE w:val="0"/>
              <w:autoSpaceDN w:val="0"/>
              <w:rPr>
                <w:rFonts w:ascii="Arial"/>
                <w:sz w:val="21"/>
                <w:lang w:eastAsia="zh-CN"/>
              </w:rPr>
            </w:pPr>
          </w:p>
        </w:tc>
        <w:tc>
          <w:tcPr>
            <w:tcW w:w="1130" w:type="dxa"/>
          </w:tcPr>
          <w:p w14:paraId="7A6B30D1">
            <w:pPr>
              <w:autoSpaceDE w:val="0"/>
              <w:autoSpaceDN w:val="0"/>
              <w:rPr>
                <w:rFonts w:ascii="Arial"/>
                <w:sz w:val="21"/>
                <w:lang w:eastAsia="zh-CN"/>
              </w:rPr>
            </w:pPr>
          </w:p>
        </w:tc>
        <w:tc>
          <w:tcPr>
            <w:tcW w:w="1989" w:type="dxa"/>
            <w:tcBorders>
              <w:right w:val="single" w:color="000000" w:sz="12" w:space="0"/>
            </w:tcBorders>
          </w:tcPr>
          <w:p w14:paraId="7D3CBF47">
            <w:pPr>
              <w:autoSpaceDE w:val="0"/>
              <w:autoSpaceDN w:val="0"/>
              <w:rPr>
                <w:rFonts w:ascii="Arial"/>
                <w:sz w:val="21"/>
                <w:lang w:eastAsia="zh-CN"/>
              </w:rPr>
            </w:pPr>
          </w:p>
        </w:tc>
      </w:tr>
      <w:tr w14:paraId="587BA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23097DE3">
            <w:pPr>
              <w:autoSpaceDE w:val="0"/>
              <w:autoSpaceDN w:val="0"/>
              <w:rPr>
                <w:rFonts w:ascii="Arial"/>
                <w:sz w:val="21"/>
                <w:lang w:eastAsia="zh-CN"/>
              </w:rPr>
            </w:pPr>
          </w:p>
        </w:tc>
        <w:tc>
          <w:tcPr>
            <w:tcW w:w="3543" w:type="dxa"/>
          </w:tcPr>
          <w:p w14:paraId="3E2F304D">
            <w:pPr>
              <w:autoSpaceDE w:val="0"/>
              <w:autoSpaceDN w:val="0"/>
              <w:rPr>
                <w:rFonts w:ascii="Arial"/>
                <w:sz w:val="21"/>
                <w:lang w:eastAsia="zh-CN"/>
              </w:rPr>
            </w:pPr>
          </w:p>
        </w:tc>
        <w:tc>
          <w:tcPr>
            <w:tcW w:w="1276" w:type="dxa"/>
          </w:tcPr>
          <w:p w14:paraId="335CD4B6">
            <w:pPr>
              <w:autoSpaceDE w:val="0"/>
              <w:autoSpaceDN w:val="0"/>
              <w:rPr>
                <w:rFonts w:ascii="Arial"/>
                <w:sz w:val="21"/>
                <w:lang w:eastAsia="zh-CN"/>
              </w:rPr>
            </w:pPr>
          </w:p>
        </w:tc>
        <w:tc>
          <w:tcPr>
            <w:tcW w:w="1130" w:type="dxa"/>
          </w:tcPr>
          <w:p w14:paraId="0B5922B0">
            <w:pPr>
              <w:autoSpaceDE w:val="0"/>
              <w:autoSpaceDN w:val="0"/>
              <w:rPr>
                <w:rFonts w:ascii="Arial"/>
                <w:sz w:val="21"/>
                <w:lang w:eastAsia="zh-CN"/>
              </w:rPr>
            </w:pPr>
          </w:p>
        </w:tc>
        <w:tc>
          <w:tcPr>
            <w:tcW w:w="1989" w:type="dxa"/>
            <w:tcBorders>
              <w:right w:val="single" w:color="000000" w:sz="12" w:space="0"/>
            </w:tcBorders>
          </w:tcPr>
          <w:p w14:paraId="759461DF">
            <w:pPr>
              <w:autoSpaceDE w:val="0"/>
              <w:autoSpaceDN w:val="0"/>
              <w:rPr>
                <w:rFonts w:ascii="Arial"/>
                <w:sz w:val="21"/>
                <w:lang w:eastAsia="zh-CN"/>
              </w:rPr>
            </w:pPr>
          </w:p>
        </w:tc>
      </w:tr>
      <w:tr w14:paraId="5472D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19E003F1">
            <w:pPr>
              <w:autoSpaceDE w:val="0"/>
              <w:autoSpaceDN w:val="0"/>
              <w:rPr>
                <w:rFonts w:ascii="Arial"/>
                <w:sz w:val="21"/>
                <w:lang w:eastAsia="zh-CN"/>
              </w:rPr>
            </w:pPr>
          </w:p>
        </w:tc>
        <w:tc>
          <w:tcPr>
            <w:tcW w:w="3543" w:type="dxa"/>
          </w:tcPr>
          <w:p w14:paraId="4203EF72">
            <w:pPr>
              <w:autoSpaceDE w:val="0"/>
              <w:autoSpaceDN w:val="0"/>
              <w:rPr>
                <w:rFonts w:ascii="Arial"/>
                <w:sz w:val="21"/>
                <w:lang w:eastAsia="zh-CN"/>
              </w:rPr>
            </w:pPr>
          </w:p>
        </w:tc>
        <w:tc>
          <w:tcPr>
            <w:tcW w:w="1276" w:type="dxa"/>
          </w:tcPr>
          <w:p w14:paraId="2C05B96A">
            <w:pPr>
              <w:autoSpaceDE w:val="0"/>
              <w:autoSpaceDN w:val="0"/>
              <w:rPr>
                <w:rFonts w:ascii="Arial"/>
                <w:sz w:val="21"/>
                <w:lang w:eastAsia="zh-CN"/>
              </w:rPr>
            </w:pPr>
          </w:p>
        </w:tc>
        <w:tc>
          <w:tcPr>
            <w:tcW w:w="1130" w:type="dxa"/>
          </w:tcPr>
          <w:p w14:paraId="72A6D88B">
            <w:pPr>
              <w:autoSpaceDE w:val="0"/>
              <w:autoSpaceDN w:val="0"/>
              <w:rPr>
                <w:rFonts w:ascii="Arial"/>
                <w:sz w:val="21"/>
                <w:lang w:eastAsia="zh-CN"/>
              </w:rPr>
            </w:pPr>
          </w:p>
        </w:tc>
        <w:tc>
          <w:tcPr>
            <w:tcW w:w="1989" w:type="dxa"/>
            <w:tcBorders>
              <w:right w:val="single" w:color="000000" w:sz="12" w:space="0"/>
            </w:tcBorders>
          </w:tcPr>
          <w:p w14:paraId="05CE3FD1">
            <w:pPr>
              <w:autoSpaceDE w:val="0"/>
              <w:autoSpaceDN w:val="0"/>
              <w:rPr>
                <w:rFonts w:ascii="Arial"/>
                <w:sz w:val="21"/>
                <w:lang w:eastAsia="zh-CN"/>
              </w:rPr>
            </w:pPr>
          </w:p>
        </w:tc>
      </w:tr>
      <w:tr w14:paraId="0E944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54AFA718">
            <w:pPr>
              <w:autoSpaceDE w:val="0"/>
              <w:autoSpaceDN w:val="0"/>
              <w:rPr>
                <w:rFonts w:ascii="Arial"/>
                <w:sz w:val="21"/>
                <w:lang w:eastAsia="zh-CN"/>
              </w:rPr>
            </w:pPr>
          </w:p>
        </w:tc>
        <w:tc>
          <w:tcPr>
            <w:tcW w:w="3543" w:type="dxa"/>
          </w:tcPr>
          <w:p w14:paraId="71AA1A1C">
            <w:pPr>
              <w:autoSpaceDE w:val="0"/>
              <w:autoSpaceDN w:val="0"/>
              <w:rPr>
                <w:rFonts w:ascii="Arial"/>
                <w:sz w:val="21"/>
                <w:lang w:eastAsia="zh-CN"/>
              </w:rPr>
            </w:pPr>
          </w:p>
        </w:tc>
        <w:tc>
          <w:tcPr>
            <w:tcW w:w="1276" w:type="dxa"/>
          </w:tcPr>
          <w:p w14:paraId="25B88E92">
            <w:pPr>
              <w:autoSpaceDE w:val="0"/>
              <w:autoSpaceDN w:val="0"/>
              <w:rPr>
                <w:rFonts w:ascii="Arial"/>
                <w:sz w:val="21"/>
                <w:lang w:eastAsia="zh-CN"/>
              </w:rPr>
            </w:pPr>
          </w:p>
        </w:tc>
        <w:tc>
          <w:tcPr>
            <w:tcW w:w="1130" w:type="dxa"/>
          </w:tcPr>
          <w:p w14:paraId="34424E2F">
            <w:pPr>
              <w:autoSpaceDE w:val="0"/>
              <w:autoSpaceDN w:val="0"/>
              <w:rPr>
                <w:rFonts w:ascii="Arial"/>
                <w:sz w:val="21"/>
                <w:lang w:eastAsia="zh-CN"/>
              </w:rPr>
            </w:pPr>
          </w:p>
        </w:tc>
        <w:tc>
          <w:tcPr>
            <w:tcW w:w="1989" w:type="dxa"/>
            <w:tcBorders>
              <w:right w:val="single" w:color="000000" w:sz="12" w:space="0"/>
            </w:tcBorders>
          </w:tcPr>
          <w:p w14:paraId="6EBE1E10">
            <w:pPr>
              <w:autoSpaceDE w:val="0"/>
              <w:autoSpaceDN w:val="0"/>
              <w:rPr>
                <w:rFonts w:ascii="Arial"/>
                <w:sz w:val="21"/>
                <w:lang w:eastAsia="zh-CN"/>
              </w:rPr>
            </w:pPr>
          </w:p>
        </w:tc>
      </w:tr>
      <w:tr w14:paraId="788C6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696050C5">
            <w:pPr>
              <w:autoSpaceDE w:val="0"/>
              <w:autoSpaceDN w:val="0"/>
              <w:rPr>
                <w:rFonts w:ascii="Arial"/>
                <w:sz w:val="21"/>
                <w:lang w:eastAsia="zh-CN"/>
              </w:rPr>
            </w:pPr>
          </w:p>
        </w:tc>
        <w:tc>
          <w:tcPr>
            <w:tcW w:w="3543" w:type="dxa"/>
          </w:tcPr>
          <w:p w14:paraId="2F0773FA">
            <w:pPr>
              <w:autoSpaceDE w:val="0"/>
              <w:autoSpaceDN w:val="0"/>
              <w:rPr>
                <w:rFonts w:ascii="Arial"/>
                <w:sz w:val="21"/>
                <w:lang w:eastAsia="zh-CN"/>
              </w:rPr>
            </w:pPr>
          </w:p>
        </w:tc>
        <w:tc>
          <w:tcPr>
            <w:tcW w:w="1276" w:type="dxa"/>
          </w:tcPr>
          <w:p w14:paraId="4BF91290">
            <w:pPr>
              <w:autoSpaceDE w:val="0"/>
              <w:autoSpaceDN w:val="0"/>
              <w:rPr>
                <w:rFonts w:ascii="Arial"/>
                <w:sz w:val="21"/>
                <w:lang w:eastAsia="zh-CN"/>
              </w:rPr>
            </w:pPr>
          </w:p>
        </w:tc>
        <w:tc>
          <w:tcPr>
            <w:tcW w:w="1130" w:type="dxa"/>
          </w:tcPr>
          <w:p w14:paraId="2D4A08DD">
            <w:pPr>
              <w:autoSpaceDE w:val="0"/>
              <w:autoSpaceDN w:val="0"/>
              <w:rPr>
                <w:rFonts w:ascii="Arial"/>
                <w:sz w:val="21"/>
                <w:lang w:eastAsia="zh-CN"/>
              </w:rPr>
            </w:pPr>
          </w:p>
        </w:tc>
        <w:tc>
          <w:tcPr>
            <w:tcW w:w="1989" w:type="dxa"/>
            <w:tcBorders>
              <w:right w:val="single" w:color="000000" w:sz="12" w:space="0"/>
            </w:tcBorders>
          </w:tcPr>
          <w:p w14:paraId="0C42C501">
            <w:pPr>
              <w:autoSpaceDE w:val="0"/>
              <w:autoSpaceDN w:val="0"/>
              <w:rPr>
                <w:rFonts w:ascii="Arial"/>
                <w:sz w:val="21"/>
                <w:lang w:eastAsia="zh-CN"/>
              </w:rPr>
            </w:pPr>
          </w:p>
        </w:tc>
      </w:tr>
      <w:tr w14:paraId="110CC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3E1C6994">
            <w:pPr>
              <w:autoSpaceDE w:val="0"/>
              <w:autoSpaceDN w:val="0"/>
              <w:rPr>
                <w:rFonts w:ascii="Arial"/>
                <w:sz w:val="21"/>
                <w:lang w:eastAsia="zh-CN"/>
              </w:rPr>
            </w:pPr>
          </w:p>
        </w:tc>
        <w:tc>
          <w:tcPr>
            <w:tcW w:w="3543" w:type="dxa"/>
          </w:tcPr>
          <w:p w14:paraId="630B32E6">
            <w:pPr>
              <w:autoSpaceDE w:val="0"/>
              <w:autoSpaceDN w:val="0"/>
              <w:rPr>
                <w:rFonts w:ascii="Arial"/>
                <w:sz w:val="21"/>
                <w:lang w:eastAsia="zh-CN"/>
              </w:rPr>
            </w:pPr>
          </w:p>
        </w:tc>
        <w:tc>
          <w:tcPr>
            <w:tcW w:w="1276" w:type="dxa"/>
          </w:tcPr>
          <w:p w14:paraId="3FAC7D1E">
            <w:pPr>
              <w:autoSpaceDE w:val="0"/>
              <w:autoSpaceDN w:val="0"/>
              <w:rPr>
                <w:rFonts w:ascii="Arial"/>
                <w:sz w:val="21"/>
                <w:lang w:eastAsia="zh-CN"/>
              </w:rPr>
            </w:pPr>
          </w:p>
        </w:tc>
        <w:tc>
          <w:tcPr>
            <w:tcW w:w="1130" w:type="dxa"/>
          </w:tcPr>
          <w:p w14:paraId="5748C063">
            <w:pPr>
              <w:autoSpaceDE w:val="0"/>
              <w:autoSpaceDN w:val="0"/>
              <w:rPr>
                <w:rFonts w:ascii="Arial"/>
                <w:sz w:val="21"/>
                <w:lang w:eastAsia="zh-CN"/>
              </w:rPr>
            </w:pPr>
          </w:p>
        </w:tc>
        <w:tc>
          <w:tcPr>
            <w:tcW w:w="1989" w:type="dxa"/>
            <w:tcBorders>
              <w:right w:val="single" w:color="000000" w:sz="12" w:space="0"/>
            </w:tcBorders>
          </w:tcPr>
          <w:p w14:paraId="1D0983AA">
            <w:pPr>
              <w:autoSpaceDE w:val="0"/>
              <w:autoSpaceDN w:val="0"/>
              <w:rPr>
                <w:rFonts w:ascii="Arial"/>
                <w:sz w:val="21"/>
                <w:lang w:eastAsia="zh-CN"/>
              </w:rPr>
            </w:pPr>
          </w:p>
        </w:tc>
      </w:tr>
      <w:tr w14:paraId="3D70E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315E08A5">
            <w:pPr>
              <w:autoSpaceDE w:val="0"/>
              <w:autoSpaceDN w:val="0"/>
              <w:rPr>
                <w:rFonts w:ascii="Arial"/>
                <w:sz w:val="21"/>
                <w:lang w:eastAsia="zh-CN"/>
              </w:rPr>
            </w:pPr>
          </w:p>
        </w:tc>
        <w:tc>
          <w:tcPr>
            <w:tcW w:w="3543" w:type="dxa"/>
          </w:tcPr>
          <w:p w14:paraId="7F7E605A">
            <w:pPr>
              <w:autoSpaceDE w:val="0"/>
              <w:autoSpaceDN w:val="0"/>
              <w:rPr>
                <w:rFonts w:ascii="Arial"/>
                <w:sz w:val="21"/>
                <w:lang w:eastAsia="zh-CN"/>
              </w:rPr>
            </w:pPr>
          </w:p>
        </w:tc>
        <w:tc>
          <w:tcPr>
            <w:tcW w:w="1276" w:type="dxa"/>
          </w:tcPr>
          <w:p w14:paraId="2E4368AA">
            <w:pPr>
              <w:autoSpaceDE w:val="0"/>
              <w:autoSpaceDN w:val="0"/>
              <w:rPr>
                <w:rFonts w:ascii="Arial"/>
                <w:sz w:val="21"/>
                <w:lang w:eastAsia="zh-CN"/>
              </w:rPr>
            </w:pPr>
          </w:p>
        </w:tc>
        <w:tc>
          <w:tcPr>
            <w:tcW w:w="1130" w:type="dxa"/>
          </w:tcPr>
          <w:p w14:paraId="6B1300EC">
            <w:pPr>
              <w:autoSpaceDE w:val="0"/>
              <w:autoSpaceDN w:val="0"/>
              <w:rPr>
                <w:rFonts w:ascii="Arial"/>
                <w:sz w:val="21"/>
                <w:lang w:eastAsia="zh-CN"/>
              </w:rPr>
            </w:pPr>
          </w:p>
        </w:tc>
        <w:tc>
          <w:tcPr>
            <w:tcW w:w="1989" w:type="dxa"/>
            <w:tcBorders>
              <w:right w:val="single" w:color="000000" w:sz="12" w:space="0"/>
            </w:tcBorders>
          </w:tcPr>
          <w:p w14:paraId="53173C4B">
            <w:pPr>
              <w:autoSpaceDE w:val="0"/>
              <w:autoSpaceDN w:val="0"/>
              <w:rPr>
                <w:rFonts w:ascii="Arial"/>
                <w:sz w:val="21"/>
                <w:lang w:eastAsia="zh-CN"/>
              </w:rPr>
            </w:pPr>
          </w:p>
        </w:tc>
      </w:tr>
      <w:tr w14:paraId="18860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301D8525">
            <w:pPr>
              <w:autoSpaceDE w:val="0"/>
              <w:autoSpaceDN w:val="0"/>
              <w:rPr>
                <w:rFonts w:ascii="Arial"/>
                <w:sz w:val="21"/>
                <w:lang w:eastAsia="zh-CN"/>
              </w:rPr>
            </w:pPr>
          </w:p>
        </w:tc>
        <w:tc>
          <w:tcPr>
            <w:tcW w:w="3543" w:type="dxa"/>
          </w:tcPr>
          <w:p w14:paraId="7789BA06">
            <w:pPr>
              <w:autoSpaceDE w:val="0"/>
              <w:autoSpaceDN w:val="0"/>
              <w:rPr>
                <w:rFonts w:ascii="Arial"/>
                <w:sz w:val="21"/>
                <w:lang w:eastAsia="zh-CN"/>
              </w:rPr>
            </w:pPr>
          </w:p>
        </w:tc>
        <w:tc>
          <w:tcPr>
            <w:tcW w:w="1276" w:type="dxa"/>
          </w:tcPr>
          <w:p w14:paraId="79B2735C">
            <w:pPr>
              <w:autoSpaceDE w:val="0"/>
              <w:autoSpaceDN w:val="0"/>
              <w:rPr>
                <w:rFonts w:ascii="Arial"/>
                <w:sz w:val="21"/>
                <w:lang w:eastAsia="zh-CN"/>
              </w:rPr>
            </w:pPr>
          </w:p>
        </w:tc>
        <w:tc>
          <w:tcPr>
            <w:tcW w:w="1130" w:type="dxa"/>
          </w:tcPr>
          <w:p w14:paraId="4E0081F0">
            <w:pPr>
              <w:autoSpaceDE w:val="0"/>
              <w:autoSpaceDN w:val="0"/>
              <w:rPr>
                <w:rFonts w:ascii="Arial"/>
                <w:sz w:val="21"/>
                <w:lang w:eastAsia="zh-CN"/>
              </w:rPr>
            </w:pPr>
          </w:p>
        </w:tc>
        <w:tc>
          <w:tcPr>
            <w:tcW w:w="1989" w:type="dxa"/>
            <w:tcBorders>
              <w:right w:val="single" w:color="000000" w:sz="12" w:space="0"/>
            </w:tcBorders>
          </w:tcPr>
          <w:p w14:paraId="0485B539">
            <w:pPr>
              <w:autoSpaceDE w:val="0"/>
              <w:autoSpaceDN w:val="0"/>
              <w:rPr>
                <w:rFonts w:ascii="Arial"/>
                <w:sz w:val="21"/>
                <w:lang w:eastAsia="zh-CN"/>
              </w:rPr>
            </w:pPr>
          </w:p>
        </w:tc>
      </w:tr>
      <w:tr w14:paraId="41FC8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68E610DF">
            <w:pPr>
              <w:autoSpaceDE w:val="0"/>
              <w:autoSpaceDN w:val="0"/>
              <w:rPr>
                <w:rFonts w:ascii="Arial"/>
                <w:sz w:val="21"/>
                <w:lang w:eastAsia="zh-CN"/>
              </w:rPr>
            </w:pPr>
          </w:p>
        </w:tc>
        <w:tc>
          <w:tcPr>
            <w:tcW w:w="3543" w:type="dxa"/>
          </w:tcPr>
          <w:p w14:paraId="5D222D33">
            <w:pPr>
              <w:autoSpaceDE w:val="0"/>
              <w:autoSpaceDN w:val="0"/>
              <w:rPr>
                <w:rFonts w:ascii="Arial"/>
                <w:sz w:val="21"/>
                <w:lang w:eastAsia="zh-CN"/>
              </w:rPr>
            </w:pPr>
          </w:p>
        </w:tc>
        <w:tc>
          <w:tcPr>
            <w:tcW w:w="1276" w:type="dxa"/>
          </w:tcPr>
          <w:p w14:paraId="032CF6D7">
            <w:pPr>
              <w:autoSpaceDE w:val="0"/>
              <w:autoSpaceDN w:val="0"/>
              <w:rPr>
                <w:rFonts w:ascii="Arial"/>
                <w:sz w:val="21"/>
                <w:lang w:eastAsia="zh-CN"/>
              </w:rPr>
            </w:pPr>
          </w:p>
        </w:tc>
        <w:tc>
          <w:tcPr>
            <w:tcW w:w="1130" w:type="dxa"/>
          </w:tcPr>
          <w:p w14:paraId="6F064C80">
            <w:pPr>
              <w:autoSpaceDE w:val="0"/>
              <w:autoSpaceDN w:val="0"/>
              <w:rPr>
                <w:rFonts w:ascii="Arial"/>
                <w:sz w:val="21"/>
                <w:lang w:eastAsia="zh-CN"/>
              </w:rPr>
            </w:pPr>
          </w:p>
        </w:tc>
        <w:tc>
          <w:tcPr>
            <w:tcW w:w="1989" w:type="dxa"/>
            <w:tcBorders>
              <w:right w:val="single" w:color="000000" w:sz="12" w:space="0"/>
            </w:tcBorders>
          </w:tcPr>
          <w:p w14:paraId="5FB1C5C2">
            <w:pPr>
              <w:autoSpaceDE w:val="0"/>
              <w:autoSpaceDN w:val="0"/>
              <w:rPr>
                <w:rFonts w:ascii="Arial"/>
                <w:sz w:val="21"/>
                <w:lang w:eastAsia="zh-CN"/>
              </w:rPr>
            </w:pPr>
          </w:p>
        </w:tc>
      </w:tr>
      <w:tr w14:paraId="025DA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10AAC3B8">
            <w:pPr>
              <w:autoSpaceDE w:val="0"/>
              <w:autoSpaceDN w:val="0"/>
              <w:rPr>
                <w:rFonts w:ascii="Arial"/>
                <w:sz w:val="21"/>
                <w:lang w:eastAsia="zh-CN"/>
              </w:rPr>
            </w:pPr>
          </w:p>
        </w:tc>
        <w:tc>
          <w:tcPr>
            <w:tcW w:w="3543" w:type="dxa"/>
          </w:tcPr>
          <w:p w14:paraId="0223202C">
            <w:pPr>
              <w:autoSpaceDE w:val="0"/>
              <w:autoSpaceDN w:val="0"/>
              <w:rPr>
                <w:rFonts w:ascii="Arial"/>
                <w:sz w:val="21"/>
                <w:lang w:eastAsia="zh-CN"/>
              </w:rPr>
            </w:pPr>
          </w:p>
        </w:tc>
        <w:tc>
          <w:tcPr>
            <w:tcW w:w="1276" w:type="dxa"/>
          </w:tcPr>
          <w:p w14:paraId="1895DF8D">
            <w:pPr>
              <w:autoSpaceDE w:val="0"/>
              <w:autoSpaceDN w:val="0"/>
              <w:rPr>
                <w:rFonts w:ascii="Arial"/>
                <w:sz w:val="21"/>
                <w:lang w:eastAsia="zh-CN"/>
              </w:rPr>
            </w:pPr>
          </w:p>
        </w:tc>
        <w:tc>
          <w:tcPr>
            <w:tcW w:w="1130" w:type="dxa"/>
          </w:tcPr>
          <w:p w14:paraId="48ADD41B">
            <w:pPr>
              <w:autoSpaceDE w:val="0"/>
              <w:autoSpaceDN w:val="0"/>
              <w:rPr>
                <w:rFonts w:ascii="Arial"/>
                <w:sz w:val="21"/>
                <w:lang w:eastAsia="zh-CN"/>
              </w:rPr>
            </w:pPr>
          </w:p>
        </w:tc>
        <w:tc>
          <w:tcPr>
            <w:tcW w:w="1989" w:type="dxa"/>
            <w:tcBorders>
              <w:right w:val="single" w:color="000000" w:sz="12" w:space="0"/>
            </w:tcBorders>
          </w:tcPr>
          <w:p w14:paraId="4FAEDCE9">
            <w:pPr>
              <w:autoSpaceDE w:val="0"/>
              <w:autoSpaceDN w:val="0"/>
              <w:rPr>
                <w:rFonts w:ascii="Arial"/>
                <w:sz w:val="21"/>
                <w:lang w:eastAsia="zh-CN"/>
              </w:rPr>
            </w:pPr>
          </w:p>
        </w:tc>
      </w:tr>
      <w:tr w14:paraId="627EE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5EC13CCC">
            <w:pPr>
              <w:autoSpaceDE w:val="0"/>
              <w:autoSpaceDN w:val="0"/>
              <w:rPr>
                <w:rFonts w:ascii="Arial"/>
                <w:sz w:val="21"/>
                <w:lang w:eastAsia="zh-CN"/>
              </w:rPr>
            </w:pPr>
          </w:p>
        </w:tc>
        <w:tc>
          <w:tcPr>
            <w:tcW w:w="3543" w:type="dxa"/>
          </w:tcPr>
          <w:p w14:paraId="36463960">
            <w:pPr>
              <w:autoSpaceDE w:val="0"/>
              <w:autoSpaceDN w:val="0"/>
              <w:rPr>
                <w:rFonts w:ascii="Arial"/>
                <w:sz w:val="21"/>
                <w:lang w:eastAsia="zh-CN"/>
              </w:rPr>
            </w:pPr>
          </w:p>
        </w:tc>
        <w:tc>
          <w:tcPr>
            <w:tcW w:w="1276" w:type="dxa"/>
          </w:tcPr>
          <w:p w14:paraId="3F13EB7F">
            <w:pPr>
              <w:autoSpaceDE w:val="0"/>
              <w:autoSpaceDN w:val="0"/>
              <w:rPr>
                <w:rFonts w:ascii="Arial"/>
                <w:sz w:val="21"/>
                <w:lang w:eastAsia="zh-CN"/>
              </w:rPr>
            </w:pPr>
          </w:p>
        </w:tc>
        <w:tc>
          <w:tcPr>
            <w:tcW w:w="1130" w:type="dxa"/>
          </w:tcPr>
          <w:p w14:paraId="7A3E35E2">
            <w:pPr>
              <w:autoSpaceDE w:val="0"/>
              <w:autoSpaceDN w:val="0"/>
              <w:rPr>
                <w:rFonts w:ascii="Arial"/>
                <w:sz w:val="21"/>
                <w:lang w:eastAsia="zh-CN"/>
              </w:rPr>
            </w:pPr>
          </w:p>
        </w:tc>
        <w:tc>
          <w:tcPr>
            <w:tcW w:w="1989" w:type="dxa"/>
            <w:tcBorders>
              <w:right w:val="single" w:color="000000" w:sz="12" w:space="0"/>
            </w:tcBorders>
          </w:tcPr>
          <w:p w14:paraId="3FA61BA2">
            <w:pPr>
              <w:autoSpaceDE w:val="0"/>
              <w:autoSpaceDN w:val="0"/>
              <w:rPr>
                <w:rFonts w:ascii="Arial"/>
                <w:sz w:val="21"/>
                <w:lang w:eastAsia="zh-CN"/>
              </w:rPr>
            </w:pPr>
          </w:p>
        </w:tc>
      </w:tr>
      <w:tr w14:paraId="13633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3A1D3237">
            <w:pPr>
              <w:autoSpaceDE w:val="0"/>
              <w:autoSpaceDN w:val="0"/>
              <w:rPr>
                <w:rFonts w:ascii="Arial"/>
                <w:sz w:val="21"/>
                <w:lang w:eastAsia="zh-CN"/>
              </w:rPr>
            </w:pPr>
          </w:p>
        </w:tc>
        <w:tc>
          <w:tcPr>
            <w:tcW w:w="3543" w:type="dxa"/>
          </w:tcPr>
          <w:p w14:paraId="0D1C41F9">
            <w:pPr>
              <w:autoSpaceDE w:val="0"/>
              <w:autoSpaceDN w:val="0"/>
              <w:rPr>
                <w:rFonts w:ascii="Arial"/>
                <w:sz w:val="21"/>
                <w:lang w:eastAsia="zh-CN"/>
              </w:rPr>
            </w:pPr>
          </w:p>
        </w:tc>
        <w:tc>
          <w:tcPr>
            <w:tcW w:w="1276" w:type="dxa"/>
          </w:tcPr>
          <w:p w14:paraId="101BA6B5">
            <w:pPr>
              <w:autoSpaceDE w:val="0"/>
              <w:autoSpaceDN w:val="0"/>
              <w:rPr>
                <w:rFonts w:ascii="Arial"/>
                <w:sz w:val="21"/>
                <w:lang w:eastAsia="zh-CN"/>
              </w:rPr>
            </w:pPr>
          </w:p>
        </w:tc>
        <w:tc>
          <w:tcPr>
            <w:tcW w:w="1130" w:type="dxa"/>
          </w:tcPr>
          <w:p w14:paraId="0FD7188B">
            <w:pPr>
              <w:autoSpaceDE w:val="0"/>
              <w:autoSpaceDN w:val="0"/>
              <w:rPr>
                <w:rFonts w:ascii="Arial"/>
                <w:sz w:val="21"/>
                <w:lang w:eastAsia="zh-CN"/>
              </w:rPr>
            </w:pPr>
          </w:p>
        </w:tc>
        <w:tc>
          <w:tcPr>
            <w:tcW w:w="1989" w:type="dxa"/>
            <w:tcBorders>
              <w:right w:val="single" w:color="000000" w:sz="12" w:space="0"/>
            </w:tcBorders>
          </w:tcPr>
          <w:p w14:paraId="49D5351B">
            <w:pPr>
              <w:autoSpaceDE w:val="0"/>
              <w:autoSpaceDN w:val="0"/>
              <w:rPr>
                <w:rFonts w:ascii="Arial"/>
                <w:sz w:val="21"/>
                <w:lang w:eastAsia="zh-CN"/>
              </w:rPr>
            </w:pPr>
          </w:p>
        </w:tc>
      </w:tr>
      <w:tr w14:paraId="10CB5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6063A23B">
            <w:pPr>
              <w:autoSpaceDE w:val="0"/>
              <w:autoSpaceDN w:val="0"/>
              <w:rPr>
                <w:rFonts w:ascii="Arial"/>
                <w:sz w:val="21"/>
                <w:lang w:eastAsia="zh-CN"/>
              </w:rPr>
            </w:pPr>
          </w:p>
        </w:tc>
        <w:tc>
          <w:tcPr>
            <w:tcW w:w="3543" w:type="dxa"/>
          </w:tcPr>
          <w:p w14:paraId="6953960F">
            <w:pPr>
              <w:autoSpaceDE w:val="0"/>
              <w:autoSpaceDN w:val="0"/>
              <w:rPr>
                <w:rFonts w:ascii="Arial"/>
                <w:sz w:val="21"/>
                <w:lang w:eastAsia="zh-CN"/>
              </w:rPr>
            </w:pPr>
          </w:p>
        </w:tc>
        <w:tc>
          <w:tcPr>
            <w:tcW w:w="1276" w:type="dxa"/>
          </w:tcPr>
          <w:p w14:paraId="46B0BB7B">
            <w:pPr>
              <w:autoSpaceDE w:val="0"/>
              <w:autoSpaceDN w:val="0"/>
              <w:rPr>
                <w:rFonts w:ascii="Arial"/>
                <w:sz w:val="21"/>
                <w:lang w:eastAsia="zh-CN"/>
              </w:rPr>
            </w:pPr>
          </w:p>
        </w:tc>
        <w:tc>
          <w:tcPr>
            <w:tcW w:w="1130" w:type="dxa"/>
          </w:tcPr>
          <w:p w14:paraId="05152518">
            <w:pPr>
              <w:autoSpaceDE w:val="0"/>
              <w:autoSpaceDN w:val="0"/>
              <w:rPr>
                <w:rFonts w:ascii="Arial"/>
                <w:sz w:val="21"/>
                <w:lang w:eastAsia="zh-CN"/>
              </w:rPr>
            </w:pPr>
          </w:p>
        </w:tc>
        <w:tc>
          <w:tcPr>
            <w:tcW w:w="1989" w:type="dxa"/>
            <w:tcBorders>
              <w:right w:val="single" w:color="000000" w:sz="12" w:space="0"/>
            </w:tcBorders>
          </w:tcPr>
          <w:p w14:paraId="173CC12B">
            <w:pPr>
              <w:autoSpaceDE w:val="0"/>
              <w:autoSpaceDN w:val="0"/>
              <w:rPr>
                <w:rFonts w:ascii="Arial"/>
                <w:sz w:val="21"/>
                <w:lang w:eastAsia="zh-CN"/>
              </w:rPr>
            </w:pPr>
          </w:p>
        </w:tc>
      </w:tr>
      <w:tr w14:paraId="42AFA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6379" w:type="dxa"/>
            <w:gridSpan w:val="3"/>
            <w:tcBorders>
              <w:left w:val="single" w:color="000000" w:sz="12" w:space="0"/>
              <w:bottom w:val="single" w:color="000000" w:sz="12" w:space="0"/>
            </w:tcBorders>
          </w:tcPr>
          <w:p w14:paraId="6314EF56">
            <w:pPr>
              <w:pStyle w:val="260"/>
              <w:autoSpaceDE w:val="0"/>
              <w:autoSpaceDN w:val="0"/>
              <w:spacing w:before="86" w:line="189" w:lineRule="auto"/>
              <w:ind w:left="3128"/>
              <w:rPr>
                <w:color w:val="auto"/>
                <w:sz w:val="19"/>
                <w:szCs w:val="19"/>
              </w:rPr>
            </w:pPr>
            <w:r>
              <w:rPr>
                <w:color w:val="auto"/>
                <w:sz w:val="19"/>
                <w:szCs w:val="19"/>
              </w:rPr>
              <w:t>合计</w:t>
            </w:r>
          </w:p>
        </w:tc>
        <w:tc>
          <w:tcPr>
            <w:tcW w:w="1130" w:type="dxa"/>
            <w:tcBorders>
              <w:bottom w:val="single" w:color="000000" w:sz="12" w:space="0"/>
            </w:tcBorders>
          </w:tcPr>
          <w:p w14:paraId="352E9853">
            <w:pPr>
              <w:autoSpaceDE w:val="0"/>
              <w:autoSpaceDN w:val="0"/>
              <w:rPr>
                <w:rFonts w:ascii="Arial"/>
                <w:sz w:val="21"/>
              </w:rPr>
            </w:pPr>
          </w:p>
        </w:tc>
        <w:tc>
          <w:tcPr>
            <w:tcW w:w="1989" w:type="dxa"/>
            <w:tcBorders>
              <w:bottom w:val="single" w:color="000000" w:sz="12" w:space="0"/>
              <w:right w:val="single" w:color="000000" w:sz="12" w:space="0"/>
            </w:tcBorders>
          </w:tcPr>
          <w:p w14:paraId="57967913">
            <w:pPr>
              <w:pStyle w:val="260"/>
              <w:autoSpaceDE w:val="0"/>
              <w:autoSpaceDN w:val="0"/>
              <w:spacing w:before="87" w:line="190" w:lineRule="auto"/>
              <w:ind w:left="1133"/>
              <w:rPr>
                <w:color w:val="auto"/>
                <w:sz w:val="19"/>
                <w:szCs w:val="19"/>
              </w:rPr>
            </w:pPr>
            <w:r>
              <w:rPr>
                <w:color w:val="auto"/>
                <w:spacing w:val="8"/>
                <w:sz w:val="19"/>
                <w:szCs w:val="19"/>
              </w:rPr>
              <w:t>/</w:t>
            </w:r>
          </w:p>
        </w:tc>
      </w:tr>
    </w:tbl>
    <w:p w14:paraId="68BFEA50">
      <w:pPr>
        <w:pStyle w:val="17"/>
      </w:pPr>
    </w:p>
    <w:p w14:paraId="258CED6F">
      <w:pPr>
        <w:sectPr>
          <w:footerReference r:id="rId13" w:type="default"/>
          <w:pgSz w:w="11900" w:h="16840"/>
          <w:pgMar w:top="861" w:right="755" w:bottom="400" w:left="690" w:header="0" w:footer="0" w:gutter="0"/>
          <w:pgNumType w:fmt="decimal"/>
          <w:cols w:space="720" w:num="1"/>
        </w:sectPr>
      </w:pPr>
    </w:p>
    <w:p w14:paraId="2A7D8428">
      <w:pPr>
        <w:pStyle w:val="18"/>
        <w:ind w:left="440"/>
      </w:pPr>
    </w:p>
    <w:p w14:paraId="1FEEFEAB">
      <w:pPr>
        <w:bidi w:val="0"/>
        <w:jc w:val="center"/>
        <w:rPr>
          <w:b/>
          <w:bCs/>
          <w:sz w:val="30"/>
          <w:szCs w:val="30"/>
          <w:lang w:eastAsia="zh-CN"/>
        </w:rPr>
      </w:pPr>
      <w:r>
        <w:rPr>
          <w:b/>
          <w:bCs/>
          <w:sz w:val="30"/>
          <w:szCs w:val="30"/>
          <w:lang w:eastAsia="zh-CN"/>
        </w:rPr>
        <w:t>增值税计价表</w:t>
      </w:r>
    </w:p>
    <w:p w14:paraId="2EACA476">
      <w:pPr>
        <w:spacing w:before="309" w:line="184" w:lineRule="auto"/>
        <w:ind w:left="7706" w:leftChars="317" w:hanging="7040" w:hangingChars="4000"/>
        <w:rPr>
          <w:lang w:eastAsia="zh-CN"/>
        </w:rPr>
      </w:pPr>
      <w:r>
        <w:rPr>
          <w:rFonts w:ascii="微软雅黑" w:hAnsi="微软雅黑" w:eastAsia="微软雅黑" w:cs="微软雅黑"/>
          <w:spacing w:val="-2"/>
          <w:sz w:val="18"/>
          <w:szCs w:val="18"/>
          <w:lang w:eastAsia="zh-CN"/>
        </w:rPr>
        <w:t xml:space="preserve">工程名称：                                                     </w:t>
      </w:r>
      <w:r>
        <w:rPr>
          <w:rFonts w:hint="eastAsia" w:ascii="微软雅黑" w:hAnsi="微软雅黑" w:eastAsia="微软雅黑" w:cs="微软雅黑"/>
          <w:spacing w:val="-2"/>
          <w:sz w:val="18"/>
          <w:szCs w:val="18"/>
          <w:lang w:eastAsia="zh-CN"/>
        </w:rPr>
        <w:t xml:space="preserve">                   </w:t>
      </w:r>
      <w:r>
        <w:rPr>
          <w:rFonts w:ascii="微软雅黑" w:hAnsi="微软雅黑" w:eastAsia="微软雅黑" w:cs="微软雅黑"/>
          <w:spacing w:val="-2"/>
          <w:sz w:val="18"/>
          <w:szCs w:val="18"/>
          <w:lang w:eastAsia="zh-CN"/>
        </w:rPr>
        <w:t xml:space="preserve">第     页  </w:t>
      </w:r>
      <w:r>
        <w:rPr>
          <w:rFonts w:ascii="微软雅黑" w:hAnsi="微软雅黑" w:eastAsia="微软雅黑" w:cs="微软雅黑"/>
          <w:spacing w:val="-3"/>
          <w:sz w:val="18"/>
          <w:szCs w:val="18"/>
          <w:lang w:eastAsia="zh-CN"/>
        </w:rPr>
        <w:t xml:space="preserve">  共     页</w:t>
      </w:r>
      <w:r>
        <w:rPr>
          <w:rFonts w:hint="eastAsia" w:ascii="微软雅黑" w:hAnsi="微软雅黑" w:eastAsia="微软雅黑" w:cs="微软雅黑"/>
          <w:spacing w:val="-2"/>
          <w:sz w:val="18"/>
          <w:szCs w:val="18"/>
          <w:lang w:eastAsia="zh-CN"/>
        </w:rPr>
        <w:t xml:space="preserve">                 </w:t>
      </w:r>
      <w:r>
        <w:rPr>
          <w:rFonts w:ascii="微软雅黑" w:hAnsi="微软雅黑" w:eastAsia="微软雅黑" w:cs="微软雅黑"/>
          <w:spacing w:val="-2"/>
          <w:sz w:val="18"/>
          <w:szCs w:val="18"/>
          <w:lang w:eastAsia="zh-CN"/>
        </w:rPr>
        <w:t xml:space="preserve">                                                   </w:t>
      </w:r>
    </w:p>
    <w:tbl>
      <w:tblPr>
        <w:tblStyle w:val="258"/>
        <w:tblW w:w="9498" w:type="dxa"/>
        <w:tblInd w:w="58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8"/>
        <w:gridCol w:w="2038"/>
        <w:gridCol w:w="1974"/>
        <w:gridCol w:w="1346"/>
        <w:gridCol w:w="1446"/>
        <w:gridCol w:w="1276"/>
      </w:tblGrid>
      <w:tr w14:paraId="2AA07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418" w:type="dxa"/>
            <w:tcBorders>
              <w:top w:val="single" w:color="000000" w:sz="12" w:space="0"/>
              <w:left w:val="single" w:color="000000" w:sz="12" w:space="0"/>
            </w:tcBorders>
          </w:tcPr>
          <w:p w14:paraId="302E2181">
            <w:pPr>
              <w:pStyle w:val="260"/>
              <w:autoSpaceDE w:val="0"/>
              <w:autoSpaceDN w:val="0"/>
              <w:spacing w:before="160" w:line="185" w:lineRule="auto"/>
              <w:ind w:left="433"/>
              <w:rPr>
                <w:color w:val="auto"/>
                <w:sz w:val="18"/>
                <w:szCs w:val="18"/>
              </w:rPr>
            </w:pPr>
            <w:r>
              <w:rPr>
                <w:color w:val="auto"/>
                <w:spacing w:val="-4"/>
                <w:sz w:val="18"/>
                <w:szCs w:val="18"/>
              </w:rPr>
              <w:t>序号</w:t>
            </w:r>
          </w:p>
        </w:tc>
        <w:tc>
          <w:tcPr>
            <w:tcW w:w="2038" w:type="dxa"/>
            <w:tcBorders>
              <w:top w:val="single" w:color="000000" w:sz="12" w:space="0"/>
            </w:tcBorders>
          </w:tcPr>
          <w:p w14:paraId="74C81525">
            <w:pPr>
              <w:pStyle w:val="260"/>
              <w:autoSpaceDE w:val="0"/>
              <w:autoSpaceDN w:val="0"/>
              <w:spacing w:before="160" w:line="184" w:lineRule="auto"/>
              <w:ind w:left="1041"/>
              <w:rPr>
                <w:color w:val="auto"/>
                <w:sz w:val="18"/>
                <w:szCs w:val="18"/>
              </w:rPr>
            </w:pPr>
            <w:r>
              <w:rPr>
                <w:color w:val="auto"/>
                <w:spacing w:val="-3"/>
                <w:sz w:val="18"/>
                <w:szCs w:val="18"/>
              </w:rPr>
              <w:t>项目名称</w:t>
            </w:r>
          </w:p>
        </w:tc>
        <w:tc>
          <w:tcPr>
            <w:tcW w:w="1974" w:type="dxa"/>
            <w:tcBorders>
              <w:top w:val="single" w:color="000000" w:sz="12" w:space="0"/>
            </w:tcBorders>
          </w:tcPr>
          <w:p w14:paraId="3AE030FD">
            <w:pPr>
              <w:pStyle w:val="260"/>
              <w:autoSpaceDE w:val="0"/>
              <w:autoSpaceDN w:val="0"/>
              <w:spacing w:before="160" w:line="185" w:lineRule="auto"/>
              <w:ind w:left="454"/>
              <w:rPr>
                <w:color w:val="auto"/>
                <w:sz w:val="18"/>
                <w:szCs w:val="18"/>
              </w:rPr>
            </w:pPr>
            <w:r>
              <w:rPr>
                <w:color w:val="auto"/>
                <w:spacing w:val="-2"/>
                <w:sz w:val="18"/>
                <w:szCs w:val="18"/>
              </w:rPr>
              <w:t>计算基础说明</w:t>
            </w:r>
          </w:p>
        </w:tc>
        <w:tc>
          <w:tcPr>
            <w:tcW w:w="1346" w:type="dxa"/>
            <w:tcBorders>
              <w:top w:val="single" w:color="000000" w:sz="12" w:space="0"/>
            </w:tcBorders>
          </w:tcPr>
          <w:p w14:paraId="45C44030">
            <w:pPr>
              <w:pStyle w:val="260"/>
              <w:autoSpaceDE w:val="0"/>
              <w:autoSpaceDN w:val="0"/>
              <w:spacing w:before="160" w:line="184" w:lineRule="auto"/>
              <w:ind w:left="325"/>
              <w:rPr>
                <w:color w:val="auto"/>
                <w:sz w:val="18"/>
                <w:szCs w:val="18"/>
              </w:rPr>
            </w:pPr>
            <w:r>
              <w:rPr>
                <w:color w:val="auto"/>
                <w:spacing w:val="-3"/>
                <w:sz w:val="18"/>
                <w:szCs w:val="18"/>
              </w:rPr>
              <w:t>计算基数</w:t>
            </w:r>
          </w:p>
        </w:tc>
        <w:tc>
          <w:tcPr>
            <w:tcW w:w="1446" w:type="dxa"/>
            <w:tcBorders>
              <w:top w:val="single" w:color="000000" w:sz="12" w:space="0"/>
            </w:tcBorders>
          </w:tcPr>
          <w:p w14:paraId="14DF48F5">
            <w:pPr>
              <w:pStyle w:val="260"/>
              <w:autoSpaceDE w:val="0"/>
              <w:autoSpaceDN w:val="0"/>
              <w:spacing w:before="40" w:line="175" w:lineRule="auto"/>
              <w:ind w:left="290"/>
              <w:rPr>
                <w:color w:val="auto"/>
                <w:sz w:val="18"/>
                <w:szCs w:val="18"/>
              </w:rPr>
            </w:pPr>
            <w:r>
              <w:rPr>
                <w:color w:val="auto"/>
                <w:sz w:val="18"/>
                <w:szCs w:val="18"/>
              </w:rPr>
              <w:t>税率/征收率</w:t>
            </w:r>
          </w:p>
          <w:p w14:paraId="54FE9879">
            <w:pPr>
              <w:pStyle w:val="260"/>
              <w:autoSpaceDE w:val="0"/>
              <w:autoSpaceDN w:val="0"/>
              <w:spacing w:before="1" w:line="179" w:lineRule="auto"/>
              <w:ind w:left="683"/>
              <w:rPr>
                <w:color w:val="auto"/>
                <w:sz w:val="18"/>
                <w:szCs w:val="18"/>
              </w:rPr>
            </w:pPr>
            <w:r>
              <w:rPr>
                <w:color w:val="auto"/>
                <w:spacing w:val="-6"/>
                <w:w w:val="88"/>
                <w:sz w:val="18"/>
                <w:szCs w:val="18"/>
              </w:rPr>
              <w:t>(%)</w:t>
            </w:r>
          </w:p>
        </w:tc>
        <w:tc>
          <w:tcPr>
            <w:tcW w:w="1276" w:type="dxa"/>
            <w:tcBorders>
              <w:top w:val="single" w:color="000000" w:sz="12" w:space="0"/>
              <w:right w:val="single" w:color="000000" w:sz="12" w:space="0"/>
            </w:tcBorders>
          </w:tcPr>
          <w:p w14:paraId="462C4002">
            <w:pPr>
              <w:pStyle w:val="260"/>
              <w:autoSpaceDE w:val="0"/>
              <w:autoSpaceDN w:val="0"/>
              <w:spacing w:before="160" w:line="180" w:lineRule="auto"/>
              <w:ind w:left="311"/>
              <w:rPr>
                <w:color w:val="auto"/>
                <w:sz w:val="18"/>
                <w:szCs w:val="18"/>
              </w:rPr>
            </w:pPr>
            <w:r>
              <w:rPr>
                <w:color w:val="auto"/>
                <w:spacing w:val="10"/>
                <w:sz w:val="18"/>
                <w:szCs w:val="18"/>
              </w:rPr>
              <w:t>金额(元)</w:t>
            </w:r>
          </w:p>
        </w:tc>
      </w:tr>
      <w:tr w14:paraId="07784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1418" w:type="dxa"/>
            <w:tcBorders>
              <w:left w:val="single" w:color="000000" w:sz="12" w:space="0"/>
            </w:tcBorders>
          </w:tcPr>
          <w:p w14:paraId="68D04039">
            <w:pPr>
              <w:pStyle w:val="260"/>
              <w:autoSpaceDE w:val="0"/>
              <w:autoSpaceDN w:val="0"/>
              <w:spacing w:before="251" w:line="204" w:lineRule="auto"/>
              <w:ind w:left="582"/>
              <w:rPr>
                <w:color w:val="auto"/>
                <w:sz w:val="18"/>
                <w:szCs w:val="18"/>
              </w:rPr>
            </w:pPr>
            <w:r>
              <w:rPr>
                <w:color w:val="auto"/>
                <w:sz w:val="18"/>
                <w:szCs w:val="18"/>
              </w:rPr>
              <w:t>1</w:t>
            </w:r>
          </w:p>
        </w:tc>
        <w:tc>
          <w:tcPr>
            <w:tcW w:w="2038" w:type="dxa"/>
          </w:tcPr>
          <w:p w14:paraId="183CAFA3">
            <w:pPr>
              <w:pStyle w:val="260"/>
              <w:autoSpaceDE w:val="0"/>
              <w:autoSpaceDN w:val="0"/>
              <w:spacing w:before="250" w:line="186" w:lineRule="auto"/>
              <w:ind w:left="34"/>
              <w:rPr>
                <w:color w:val="auto"/>
                <w:sz w:val="18"/>
                <w:szCs w:val="18"/>
              </w:rPr>
            </w:pPr>
            <w:r>
              <w:rPr>
                <w:color w:val="auto"/>
                <w:spacing w:val="-4"/>
                <w:sz w:val="18"/>
                <w:szCs w:val="18"/>
              </w:rPr>
              <w:t>增值税</w:t>
            </w:r>
          </w:p>
        </w:tc>
        <w:tc>
          <w:tcPr>
            <w:tcW w:w="1974" w:type="dxa"/>
          </w:tcPr>
          <w:p w14:paraId="6B2ACD64">
            <w:pPr>
              <w:pStyle w:val="260"/>
              <w:autoSpaceDE w:val="0"/>
              <w:autoSpaceDN w:val="0"/>
              <w:spacing w:before="25"/>
              <w:ind w:left="43" w:right="35"/>
              <w:rPr>
                <w:color w:val="auto"/>
                <w:sz w:val="18"/>
                <w:szCs w:val="18"/>
                <w:lang w:eastAsia="zh-CN"/>
              </w:rPr>
            </w:pPr>
            <w:r>
              <w:rPr>
                <w:color w:val="auto"/>
                <w:spacing w:val="-5"/>
                <w:sz w:val="18"/>
                <w:szCs w:val="18"/>
                <w:lang w:eastAsia="zh-CN"/>
              </w:rPr>
              <w:t>分部分项工程项目+措施</w:t>
            </w:r>
            <w:r>
              <w:rPr>
                <w:color w:val="auto"/>
                <w:sz w:val="18"/>
                <w:szCs w:val="18"/>
                <w:lang w:eastAsia="zh-CN"/>
              </w:rPr>
              <w:t xml:space="preserve"> </w:t>
            </w:r>
            <w:r>
              <w:rPr>
                <w:color w:val="auto"/>
                <w:spacing w:val="-4"/>
                <w:sz w:val="18"/>
                <w:szCs w:val="18"/>
                <w:lang w:eastAsia="zh-CN"/>
              </w:rPr>
              <w:t>项目+其他项目-其中：</w:t>
            </w:r>
          </w:p>
          <w:p w14:paraId="6416529D">
            <w:pPr>
              <w:pStyle w:val="260"/>
              <w:autoSpaceDE w:val="0"/>
              <w:autoSpaceDN w:val="0"/>
              <w:ind w:left="42"/>
              <w:rPr>
                <w:color w:val="auto"/>
                <w:sz w:val="18"/>
                <w:szCs w:val="18"/>
              </w:rPr>
            </w:pPr>
            <w:r>
              <w:rPr>
                <w:color w:val="auto"/>
                <w:spacing w:val="-2"/>
                <w:sz w:val="18"/>
                <w:szCs w:val="18"/>
              </w:rPr>
              <w:t>专业工程暂估价</w:t>
            </w:r>
          </w:p>
        </w:tc>
        <w:tc>
          <w:tcPr>
            <w:tcW w:w="1346" w:type="dxa"/>
          </w:tcPr>
          <w:p w14:paraId="476C306B">
            <w:pPr>
              <w:pStyle w:val="260"/>
              <w:autoSpaceDE w:val="0"/>
              <w:autoSpaceDN w:val="0"/>
              <w:spacing w:before="251" w:line="202" w:lineRule="auto"/>
              <w:ind w:left="325"/>
              <w:rPr>
                <w:color w:val="auto"/>
                <w:sz w:val="18"/>
                <w:szCs w:val="18"/>
              </w:rPr>
            </w:pPr>
          </w:p>
        </w:tc>
        <w:tc>
          <w:tcPr>
            <w:tcW w:w="1446" w:type="dxa"/>
          </w:tcPr>
          <w:p w14:paraId="1C8A5B7B">
            <w:pPr>
              <w:pStyle w:val="260"/>
              <w:autoSpaceDE w:val="0"/>
              <w:autoSpaceDN w:val="0"/>
              <w:spacing w:before="251" w:line="202" w:lineRule="auto"/>
              <w:jc w:val="right"/>
              <w:rPr>
                <w:color w:val="auto"/>
                <w:sz w:val="18"/>
                <w:szCs w:val="18"/>
              </w:rPr>
            </w:pPr>
          </w:p>
        </w:tc>
        <w:tc>
          <w:tcPr>
            <w:tcW w:w="1276" w:type="dxa"/>
            <w:tcBorders>
              <w:right w:val="single" w:color="000000" w:sz="12" w:space="0"/>
            </w:tcBorders>
          </w:tcPr>
          <w:p w14:paraId="02E432A9">
            <w:pPr>
              <w:pStyle w:val="260"/>
              <w:autoSpaceDE w:val="0"/>
              <w:autoSpaceDN w:val="0"/>
              <w:spacing w:before="251" w:line="202" w:lineRule="auto"/>
              <w:jc w:val="right"/>
              <w:rPr>
                <w:color w:val="auto"/>
                <w:sz w:val="18"/>
                <w:szCs w:val="18"/>
              </w:rPr>
            </w:pPr>
          </w:p>
        </w:tc>
      </w:tr>
      <w:tr w14:paraId="0A9AF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2B61B0E2">
            <w:pPr>
              <w:autoSpaceDE w:val="0"/>
              <w:autoSpaceDN w:val="0"/>
              <w:rPr>
                <w:rFonts w:ascii="Arial"/>
                <w:sz w:val="21"/>
              </w:rPr>
            </w:pPr>
          </w:p>
        </w:tc>
        <w:tc>
          <w:tcPr>
            <w:tcW w:w="2038" w:type="dxa"/>
          </w:tcPr>
          <w:p w14:paraId="5DCB9473">
            <w:pPr>
              <w:autoSpaceDE w:val="0"/>
              <w:autoSpaceDN w:val="0"/>
              <w:rPr>
                <w:rFonts w:ascii="Arial"/>
                <w:sz w:val="21"/>
              </w:rPr>
            </w:pPr>
          </w:p>
        </w:tc>
        <w:tc>
          <w:tcPr>
            <w:tcW w:w="1974" w:type="dxa"/>
          </w:tcPr>
          <w:p w14:paraId="660ADFDF">
            <w:pPr>
              <w:autoSpaceDE w:val="0"/>
              <w:autoSpaceDN w:val="0"/>
              <w:rPr>
                <w:rFonts w:ascii="Arial"/>
                <w:sz w:val="21"/>
              </w:rPr>
            </w:pPr>
          </w:p>
        </w:tc>
        <w:tc>
          <w:tcPr>
            <w:tcW w:w="1346" w:type="dxa"/>
          </w:tcPr>
          <w:p w14:paraId="4A3B594F">
            <w:pPr>
              <w:autoSpaceDE w:val="0"/>
              <w:autoSpaceDN w:val="0"/>
              <w:rPr>
                <w:rFonts w:ascii="Arial"/>
                <w:sz w:val="21"/>
              </w:rPr>
            </w:pPr>
          </w:p>
        </w:tc>
        <w:tc>
          <w:tcPr>
            <w:tcW w:w="1446" w:type="dxa"/>
          </w:tcPr>
          <w:p w14:paraId="61DE09BC">
            <w:pPr>
              <w:autoSpaceDE w:val="0"/>
              <w:autoSpaceDN w:val="0"/>
              <w:rPr>
                <w:rFonts w:ascii="Arial"/>
                <w:sz w:val="21"/>
              </w:rPr>
            </w:pPr>
          </w:p>
        </w:tc>
        <w:tc>
          <w:tcPr>
            <w:tcW w:w="1276" w:type="dxa"/>
            <w:tcBorders>
              <w:right w:val="single" w:color="000000" w:sz="12" w:space="0"/>
            </w:tcBorders>
          </w:tcPr>
          <w:p w14:paraId="1E284991">
            <w:pPr>
              <w:autoSpaceDE w:val="0"/>
              <w:autoSpaceDN w:val="0"/>
              <w:rPr>
                <w:rFonts w:ascii="Arial"/>
                <w:sz w:val="21"/>
              </w:rPr>
            </w:pPr>
          </w:p>
        </w:tc>
      </w:tr>
      <w:tr w14:paraId="47F48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7546B2A6">
            <w:pPr>
              <w:autoSpaceDE w:val="0"/>
              <w:autoSpaceDN w:val="0"/>
              <w:rPr>
                <w:rFonts w:ascii="Arial"/>
                <w:sz w:val="21"/>
              </w:rPr>
            </w:pPr>
          </w:p>
        </w:tc>
        <w:tc>
          <w:tcPr>
            <w:tcW w:w="2038" w:type="dxa"/>
          </w:tcPr>
          <w:p w14:paraId="34407707">
            <w:pPr>
              <w:autoSpaceDE w:val="0"/>
              <w:autoSpaceDN w:val="0"/>
              <w:rPr>
                <w:rFonts w:ascii="Arial"/>
                <w:sz w:val="21"/>
              </w:rPr>
            </w:pPr>
          </w:p>
        </w:tc>
        <w:tc>
          <w:tcPr>
            <w:tcW w:w="1974" w:type="dxa"/>
          </w:tcPr>
          <w:p w14:paraId="2823109A">
            <w:pPr>
              <w:autoSpaceDE w:val="0"/>
              <w:autoSpaceDN w:val="0"/>
              <w:rPr>
                <w:rFonts w:ascii="Arial"/>
                <w:sz w:val="21"/>
              </w:rPr>
            </w:pPr>
          </w:p>
        </w:tc>
        <w:tc>
          <w:tcPr>
            <w:tcW w:w="1346" w:type="dxa"/>
          </w:tcPr>
          <w:p w14:paraId="64409B3E">
            <w:pPr>
              <w:autoSpaceDE w:val="0"/>
              <w:autoSpaceDN w:val="0"/>
              <w:rPr>
                <w:rFonts w:ascii="Arial"/>
                <w:sz w:val="21"/>
              </w:rPr>
            </w:pPr>
          </w:p>
        </w:tc>
        <w:tc>
          <w:tcPr>
            <w:tcW w:w="1446" w:type="dxa"/>
          </w:tcPr>
          <w:p w14:paraId="1D907550">
            <w:pPr>
              <w:autoSpaceDE w:val="0"/>
              <w:autoSpaceDN w:val="0"/>
              <w:rPr>
                <w:rFonts w:ascii="Arial"/>
                <w:sz w:val="21"/>
              </w:rPr>
            </w:pPr>
          </w:p>
        </w:tc>
        <w:tc>
          <w:tcPr>
            <w:tcW w:w="1276" w:type="dxa"/>
            <w:tcBorders>
              <w:right w:val="single" w:color="000000" w:sz="12" w:space="0"/>
            </w:tcBorders>
          </w:tcPr>
          <w:p w14:paraId="49F14518">
            <w:pPr>
              <w:autoSpaceDE w:val="0"/>
              <w:autoSpaceDN w:val="0"/>
              <w:rPr>
                <w:rFonts w:ascii="Arial"/>
                <w:sz w:val="21"/>
              </w:rPr>
            </w:pPr>
          </w:p>
        </w:tc>
      </w:tr>
      <w:tr w14:paraId="363D6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0B8749B1">
            <w:pPr>
              <w:autoSpaceDE w:val="0"/>
              <w:autoSpaceDN w:val="0"/>
              <w:rPr>
                <w:rFonts w:ascii="Arial"/>
                <w:sz w:val="21"/>
              </w:rPr>
            </w:pPr>
          </w:p>
        </w:tc>
        <w:tc>
          <w:tcPr>
            <w:tcW w:w="2038" w:type="dxa"/>
          </w:tcPr>
          <w:p w14:paraId="6022C837">
            <w:pPr>
              <w:autoSpaceDE w:val="0"/>
              <w:autoSpaceDN w:val="0"/>
              <w:rPr>
                <w:rFonts w:ascii="Arial"/>
                <w:sz w:val="21"/>
              </w:rPr>
            </w:pPr>
          </w:p>
        </w:tc>
        <w:tc>
          <w:tcPr>
            <w:tcW w:w="1974" w:type="dxa"/>
          </w:tcPr>
          <w:p w14:paraId="3167D9AC">
            <w:pPr>
              <w:autoSpaceDE w:val="0"/>
              <w:autoSpaceDN w:val="0"/>
              <w:rPr>
                <w:rFonts w:ascii="Arial"/>
                <w:sz w:val="21"/>
              </w:rPr>
            </w:pPr>
          </w:p>
        </w:tc>
        <w:tc>
          <w:tcPr>
            <w:tcW w:w="1346" w:type="dxa"/>
          </w:tcPr>
          <w:p w14:paraId="78166057">
            <w:pPr>
              <w:autoSpaceDE w:val="0"/>
              <w:autoSpaceDN w:val="0"/>
              <w:rPr>
                <w:rFonts w:ascii="Arial"/>
                <w:sz w:val="21"/>
              </w:rPr>
            </w:pPr>
          </w:p>
        </w:tc>
        <w:tc>
          <w:tcPr>
            <w:tcW w:w="1446" w:type="dxa"/>
          </w:tcPr>
          <w:p w14:paraId="0D7AE70A">
            <w:pPr>
              <w:autoSpaceDE w:val="0"/>
              <w:autoSpaceDN w:val="0"/>
              <w:rPr>
                <w:rFonts w:ascii="Arial"/>
                <w:sz w:val="21"/>
              </w:rPr>
            </w:pPr>
          </w:p>
        </w:tc>
        <w:tc>
          <w:tcPr>
            <w:tcW w:w="1276" w:type="dxa"/>
            <w:tcBorders>
              <w:right w:val="single" w:color="000000" w:sz="12" w:space="0"/>
            </w:tcBorders>
          </w:tcPr>
          <w:p w14:paraId="3EFE20CE">
            <w:pPr>
              <w:autoSpaceDE w:val="0"/>
              <w:autoSpaceDN w:val="0"/>
              <w:rPr>
                <w:rFonts w:ascii="Arial"/>
                <w:sz w:val="21"/>
              </w:rPr>
            </w:pPr>
          </w:p>
        </w:tc>
      </w:tr>
      <w:tr w14:paraId="3E0FA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6C5FC0EB">
            <w:pPr>
              <w:autoSpaceDE w:val="0"/>
              <w:autoSpaceDN w:val="0"/>
              <w:rPr>
                <w:rFonts w:ascii="Arial"/>
                <w:sz w:val="21"/>
              </w:rPr>
            </w:pPr>
          </w:p>
        </w:tc>
        <w:tc>
          <w:tcPr>
            <w:tcW w:w="2038" w:type="dxa"/>
          </w:tcPr>
          <w:p w14:paraId="3078F973">
            <w:pPr>
              <w:autoSpaceDE w:val="0"/>
              <w:autoSpaceDN w:val="0"/>
              <w:rPr>
                <w:rFonts w:ascii="Arial"/>
                <w:sz w:val="21"/>
              </w:rPr>
            </w:pPr>
          </w:p>
        </w:tc>
        <w:tc>
          <w:tcPr>
            <w:tcW w:w="1974" w:type="dxa"/>
          </w:tcPr>
          <w:p w14:paraId="2C0670D8">
            <w:pPr>
              <w:autoSpaceDE w:val="0"/>
              <w:autoSpaceDN w:val="0"/>
              <w:rPr>
                <w:rFonts w:ascii="Arial"/>
                <w:sz w:val="21"/>
              </w:rPr>
            </w:pPr>
          </w:p>
        </w:tc>
        <w:tc>
          <w:tcPr>
            <w:tcW w:w="1346" w:type="dxa"/>
          </w:tcPr>
          <w:p w14:paraId="0E23CD90">
            <w:pPr>
              <w:autoSpaceDE w:val="0"/>
              <w:autoSpaceDN w:val="0"/>
              <w:rPr>
                <w:rFonts w:ascii="Arial"/>
                <w:sz w:val="21"/>
              </w:rPr>
            </w:pPr>
          </w:p>
        </w:tc>
        <w:tc>
          <w:tcPr>
            <w:tcW w:w="1446" w:type="dxa"/>
          </w:tcPr>
          <w:p w14:paraId="0E91BE8B">
            <w:pPr>
              <w:autoSpaceDE w:val="0"/>
              <w:autoSpaceDN w:val="0"/>
              <w:rPr>
                <w:rFonts w:ascii="Arial"/>
                <w:sz w:val="21"/>
              </w:rPr>
            </w:pPr>
          </w:p>
        </w:tc>
        <w:tc>
          <w:tcPr>
            <w:tcW w:w="1276" w:type="dxa"/>
            <w:tcBorders>
              <w:right w:val="single" w:color="000000" w:sz="12" w:space="0"/>
            </w:tcBorders>
          </w:tcPr>
          <w:p w14:paraId="08479AF0">
            <w:pPr>
              <w:autoSpaceDE w:val="0"/>
              <w:autoSpaceDN w:val="0"/>
              <w:rPr>
                <w:rFonts w:ascii="Arial"/>
                <w:sz w:val="21"/>
              </w:rPr>
            </w:pPr>
          </w:p>
        </w:tc>
      </w:tr>
      <w:tr w14:paraId="02CE4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79306976">
            <w:pPr>
              <w:autoSpaceDE w:val="0"/>
              <w:autoSpaceDN w:val="0"/>
              <w:rPr>
                <w:rFonts w:ascii="Arial"/>
                <w:sz w:val="21"/>
              </w:rPr>
            </w:pPr>
          </w:p>
        </w:tc>
        <w:tc>
          <w:tcPr>
            <w:tcW w:w="2038" w:type="dxa"/>
          </w:tcPr>
          <w:p w14:paraId="514ABC8B">
            <w:pPr>
              <w:autoSpaceDE w:val="0"/>
              <w:autoSpaceDN w:val="0"/>
              <w:rPr>
                <w:rFonts w:ascii="Arial"/>
                <w:sz w:val="21"/>
              </w:rPr>
            </w:pPr>
          </w:p>
        </w:tc>
        <w:tc>
          <w:tcPr>
            <w:tcW w:w="1974" w:type="dxa"/>
          </w:tcPr>
          <w:p w14:paraId="3B2FF0E5">
            <w:pPr>
              <w:autoSpaceDE w:val="0"/>
              <w:autoSpaceDN w:val="0"/>
              <w:rPr>
                <w:rFonts w:ascii="Arial"/>
                <w:sz w:val="21"/>
              </w:rPr>
            </w:pPr>
          </w:p>
        </w:tc>
        <w:tc>
          <w:tcPr>
            <w:tcW w:w="1346" w:type="dxa"/>
          </w:tcPr>
          <w:p w14:paraId="39395736">
            <w:pPr>
              <w:autoSpaceDE w:val="0"/>
              <w:autoSpaceDN w:val="0"/>
              <w:rPr>
                <w:rFonts w:ascii="Arial"/>
                <w:sz w:val="21"/>
              </w:rPr>
            </w:pPr>
          </w:p>
        </w:tc>
        <w:tc>
          <w:tcPr>
            <w:tcW w:w="1446" w:type="dxa"/>
          </w:tcPr>
          <w:p w14:paraId="67D37A2C">
            <w:pPr>
              <w:autoSpaceDE w:val="0"/>
              <w:autoSpaceDN w:val="0"/>
              <w:rPr>
                <w:rFonts w:ascii="Arial"/>
                <w:sz w:val="21"/>
              </w:rPr>
            </w:pPr>
          </w:p>
        </w:tc>
        <w:tc>
          <w:tcPr>
            <w:tcW w:w="1276" w:type="dxa"/>
            <w:tcBorders>
              <w:right w:val="single" w:color="000000" w:sz="12" w:space="0"/>
            </w:tcBorders>
          </w:tcPr>
          <w:p w14:paraId="3702D5BB">
            <w:pPr>
              <w:autoSpaceDE w:val="0"/>
              <w:autoSpaceDN w:val="0"/>
              <w:rPr>
                <w:rFonts w:ascii="Arial"/>
                <w:sz w:val="21"/>
              </w:rPr>
            </w:pPr>
          </w:p>
        </w:tc>
      </w:tr>
      <w:tr w14:paraId="35B88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3EBCF069">
            <w:pPr>
              <w:autoSpaceDE w:val="0"/>
              <w:autoSpaceDN w:val="0"/>
              <w:rPr>
                <w:rFonts w:ascii="Arial"/>
                <w:sz w:val="21"/>
              </w:rPr>
            </w:pPr>
          </w:p>
        </w:tc>
        <w:tc>
          <w:tcPr>
            <w:tcW w:w="2038" w:type="dxa"/>
          </w:tcPr>
          <w:p w14:paraId="715FC72F">
            <w:pPr>
              <w:autoSpaceDE w:val="0"/>
              <w:autoSpaceDN w:val="0"/>
              <w:rPr>
                <w:rFonts w:ascii="Arial"/>
                <w:sz w:val="21"/>
              </w:rPr>
            </w:pPr>
          </w:p>
        </w:tc>
        <w:tc>
          <w:tcPr>
            <w:tcW w:w="1974" w:type="dxa"/>
          </w:tcPr>
          <w:p w14:paraId="02693B28">
            <w:pPr>
              <w:autoSpaceDE w:val="0"/>
              <w:autoSpaceDN w:val="0"/>
              <w:rPr>
                <w:rFonts w:ascii="Arial"/>
                <w:sz w:val="21"/>
              </w:rPr>
            </w:pPr>
          </w:p>
        </w:tc>
        <w:tc>
          <w:tcPr>
            <w:tcW w:w="1346" w:type="dxa"/>
          </w:tcPr>
          <w:p w14:paraId="1A0F225C">
            <w:pPr>
              <w:autoSpaceDE w:val="0"/>
              <w:autoSpaceDN w:val="0"/>
              <w:rPr>
                <w:rFonts w:ascii="Arial"/>
                <w:sz w:val="21"/>
              </w:rPr>
            </w:pPr>
          </w:p>
        </w:tc>
        <w:tc>
          <w:tcPr>
            <w:tcW w:w="1446" w:type="dxa"/>
          </w:tcPr>
          <w:p w14:paraId="51A5D912">
            <w:pPr>
              <w:autoSpaceDE w:val="0"/>
              <w:autoSpaceDN w:val="0"/>
              <w:rPr>
                <w:rFonts w:ascii="Arial"/>
                <w:sz w:val="21"/>
              </w:rPr>
            </w:pPr>
          </w:p>
        </w:tc>
        <w:tc>
          <w:tcPr>
            <w:tcW w:w="1276" w:type="dxa"/>
            <w:tcBorders>
              <w:right w:val="single" w:color="000000" w:sz="12" w:space="0"/>
            </w:tcBorders>
          </w:tcPr>
          <w:p w14:paraId="62857A7A">
            <w:pPr>
              <w:autoSpaceDE w:val="0"/>
              <w:autoSpaceDN w:val="0"/>
              <w:rPr>
                <w:rFonts w:ascii="Arial"/>
                <w:sz w:val="21"/>
              </w:rPr>
            </w:pPr>
          </w:p>
        </w:tc>
      </w:tr>
      <w:tr w14:paraId="69609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03F63069">
            <w:pPr>
              <w:autoSpaceDE w:val="0"/>
              <w:autoSpaceDN w:val="0"/>
              <w:rPr>
                <w:rFonts w:ascii="Arial"/>
                <w:sz w:val="21"/>
              </w:rPr>
            </w:pPr>
          </w:p>
        </w:tc>
        <w:tc>
          <w:tcPr>
            <w:tcW w:w="2038" w:type="dxa"/>
          </w:tcPr>
          <w:p w14:paraId="16ABDE6D">
            <w:pPr>
              <w:autoSpaceDE w:val="0"/>
              <w:autoSpaceDN w:val="0"/>
              <w:rPr>
                <w:rFonts w:ascii="Arial"/>
                <w:sz w:val="21"/>
              </w:rPr>
            </w:pPr>
          </w:p>
        </w:tc>
        <w:tc>
          <w:tcPr>
            <w:tcW w:w="1974" w:type="dxa"/>
          </w:tcPr>
          <w:p w14:paraId="5A80AA80">
            <w:pPr>
              <w:autoSpaceDE w:val="0"/>
              <w:autoSpaceDN w:val="0"/>
              <w:rPr>
                <w:rFonts w:ascii="Arial"/>
                <w:sz w:val="21"/>
              </w:rPr>
            </w:pPr>
          </w:p>
        </w:tc>
        <w:tc>
          <w:tcPr>
            <w:tcW w:w="1346" w:type="dxa"/>
          </w:tcPr>
          <w:p w14:paraId="1519E577">
            <w:pPr>
              <w:autoSpaceDE w:val="0"/>
              <w:autoSpaceDN w:val="0"/>
              <w:rPr>
                <w:rFonts w:ascii="Arial"/>
                <w:sz w:val="21"/>
              </w:rPr>
            </w:pPr>
          </w:p>
        </w:tc>
        <w:tc>
          <w:tcPr>
            <w:tcW w:w="1446" w:type="dxa"/>
          </w:tcPr>
          <w:p w14:paraId="1D84CE77">
            <w:pPr>
              <w:autoSpaceDE w:val="0"/>
              <w:autoSpaceDN w:val="0"/>
              <w:rPr>
                <w:rFonts w:ascii="Arial"/>
                <w:sz w:val="21"/>
              </w:rPr>
            </w:pPr>
          </w:p>
        </w:tc>
        <w:tc>
          <w:tcPr>
            <w:tcW w:w="1276" w:type="dxa"/>
            <w:tcBorders>
              <w:right w:val="single" w:color="000000" w:sz="12" w:space="0"/>
            </w:tcBorders>
          </w:tcPr>
          <w:p w14:paraId="0AF1629B">
            <w:pPr>
              <w:autoSpaceDE w:val="0"/>
              <w:autoSpaceDN w:val="0"/>
              <w:rPr>
                <w:rFonts w:ascii="Arial"/>
                <w:sz w:val="21"/>
              </w:rPr>
            </w:pPr>
          </w:p>
        </w:tc>
      </w:tr>
      <w:tr w14:paraId="428BB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389C0C4D">
            <w:pPr>
              <w:autoSpaceDE w:val="0"/>
              <w:autoSpaceDN w:val="0"/>
              <w:rPr>
                <w:rFonts w:ascii="Arial"/>
                <w:sz w:val="21"/>
              </w:rPr>
            </w:pPr>
          </w:p>
        </w:tc>
        <w:tc>
          <w:tcPr>
            <w:tcW w:w="2038" w:type="dxa"/>
          </w:tcPr>
          <w:p w14:paraId="5590C7AE">
            <w:pPr>
              <w:autoSpaceDE w:val="0"/>
              <w:autoSpaceDN w:val="0"/>
              <w:rPr>
                <w:rFonts w:ascii="Arial"/>
                <w:sz w:val="21"/>
              </w:rPr>
            </w:pPr>
          </w:p>
        </w:tc>
        <w:tc>
          <w:tcPr>
            <w:tcW w:w="1974" w:type="dxa"/>
          </w:tcPr>
          <w:p w14:paraId="2E4932A8">
            <w:pPr>
              <w:autoSpaceDE w:val="0"/>
              <w:autoSpaceDN w:val="0"/>
              <w:rPr>
                <w:rFonts w:ascii="Arial"/>
                <w:sz w:val="21"/>
              </w:rPr>
            </w:pPr>
          </w:p>
        </w:tc>
        <w:tc>
          <w:tcPr>
            <w:tcW w:w="1346" w:type="dxa"/>
          </w:tcPr>
          <w:p w14:paraId="492925B5">
            <w:pPr>
              <w:autoSpaceDE w:val="0"/>
              <w:autoSpaceDN w:val="0"/>
              <w:rPr>
                <w:rFonts w:ascii="Arial"/>
                <w:sz w:val="21"/>
              </w:rPr>
            </w:pPr>
          </w:p>
        </w:tc>
        <w:tc>
          <w:tcPr>
            <w:tcW w:w="1446" w:type="dxa"/>
          </w:tcPr>
          <w:p w14:paraId="4A985FF4">
            <w:pPr>
              <w:autoSpaceDE w:val="0"/>
              <w:autoSpaceDN w:val="0"/>
              <w:rPr>
                <w:rFonts w:ascii="Arial"/>
                <w:sz w:val="21"/>
              </w:rPr>
            </w:pPr>
          </w:p>
        </w:tc>
        <w:tc>
          <w:tcPr>
            <w:tcW w:w="1276" w:type="dxa"/>
            <w:tcBorders>
              <w:right w:val="single" w:color="000000" w:sz="12" w:space="0"/>
            </w:tcBorders>
          </w:tcPr>
          <w:p w14:paraId="52A5ED41">
            <w:pPr>
              <w:autoSpaceDE w:val="0"/>
              <w:autoSpaceDN w:val="0"/>
              <w:rPr>
                <w:rFonts w:ascii="Arial"/>
                <w:sz w:val="21"/>
              </w:rPr>
            </w:pPr>
          </w:p>
        </w:tc>
      </w:tr>
      <w:tr w14:paraId="14713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056193C8">
            <w:pPr>
              <w:autoSpaceDE w:val="0"/>
              <w:autoSpaceDN w:val="0"/>
              <w:rPr>
                <w:rFonts w:ascii="Arial"/>
                <w:sz w:val="21"/>
              </w:rPr>
            </w:pPr>
          </w:p>
        </w:tc>
        <w:tc>
          <w:tcPr>
            <w:tcW w:w="2038" w:type="dxa"/>
          </w:tcPr>
          <w:p w14:paraId="0B6F0666">
            <w:pPr>
              <w:autoSpaceDE w:val="0"/>
              <w:autoSpaceDN w:val="0"/>
              <w:rPr>
                <w:rFonts w:ascii="Arial"/>
                <w:sz w:val="21"/>
              </w:rPr>
            </w:pPr>
          </w:p>
        </w:tc>
        <w:tc>
          <w:tcPr>
            <w:tcW w:w="1974" w:type="dxa"/>
          </w:tcPr>
          <w:p w14:paraId="3D552702">
            <w:pPr>
              <w:autoSpaceDE w:val="0"/>
              <w:autoSpaceDN w:val="0"/>
              <w:rPr>
                <w:rFonts w:ascii="Arial"/>
                <w:sz w:val="21"/>
              </w:rPr>
            </w:pPr>
          </w:p>
        </w:tc>
        <w:tc>
          <w:tcPr>
            <w:tcW w:w="1346" w:type="dxa"/>
          </w:tcPr>
          <w:p w14:paraId="06C65B29">
            <w:pPr>
              <w:autoSpaceDE w:val="0"/>
              <w:autoSpaceDN w:val="0"/>
              <w:rPr>
                <w:rFonts w:ascii="Arial"/>
                <w:sz w:val="21"/>
              </w:rPr>
            </w:pPr>
          </w:p>
        </w:tc>
        <w:tc>
          <w:tcPr>
            <w:tcW w:w="1446" w:type="dxa"/>
          </w:tcPr>
          <w:p w14:paraId="02A3E8CC">
            <w:pPr>
              <w:autoSpaceDE w:val="0"/>
              <w:autoSpaceDN w:val="0"/>
              <w:rPr>
                <w:rFonts w:ascii="Arial"/>
                <w:sz w:val="21"/>
              </w:rPr>
            </w:pPr>
          </w:p>
        </w:tc>
        <w:tc>
          <w:tcPr>
            <w:tcW w:w="1276" w:type="dxa"/>
            <w:tcBorders>
              <w:right w:val="single" w:color="000000" w:sz="12" w:space="0"/>
            </w:tcBorders>
          </w:tcPr>
          <w:p w14:paraId="652696B9">
            <w:pPr>
              <w:autoSpaceDE w:val="0"/>
              <w:autoSpaceDN w:val="0"/>
              <w:rPr>
                <w:rFonts w:ascii="Arial"/>
                <w:sz w:val="21"/>
              </w:rPr>
            </w:pPr>
          </w:p>
        </w:tc>
      </w:tr>
      <w:tr w14:paraId="2C0E5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561A034F">
            <w:pPr>
              <w:autoSpaceDE w:val="0"/>
              <w:autoSpaceDN w:val="0"/>
              <w:rPr>
                <w:rFonts w:ascii="Arial"/>
                <w:sz w:val="21"/>
              </w:rPr>
            </w:pPr>
          </w:p>
        </w:tc>
        <w:tc>
          <w:tcPr>
            <w:tcW w:w="2038" w:type="dxa"/>
          </w:tcPr>
          <w:p w14:paraId="3EFDE091">
            <w:pPr>
              <w:autoSpaceDE w:val="0"/>
              <w:autoSpaceDN w:val="0"/>
              <w:rPr>
                <w:rFonts w:ascii="Arial"/>
                <w:sz w:val="21"/>
              </w:rPr>
            </w:pPr>
          </w:p>
        </w:tc>
        <w:tc>
          <w:tcPr>
            <w:tcW w:w="1974" w:type="dxa"/>
          </w:tcPr>
          <w:p w14:paraId="2C9CDF9C">
            <w:pPr>
              <w:autoSpaceDE w:val="0"/>
              <w:autoSpaceDN w:val="0"/>
              <w:rPr>
                <w:rFonts w:ascii="Arial"/>
                <w:sz w:val="21"/>
              </w:rPr>
            </w:pPr>
          </w:p>
        </w:tc>
        <w:tc>
          <w:tcPr>
            <w:tcW w:w="1346" w:type="dxa"/>
          </w:tcPr>
          <w:p w14:paraId="193B41B6">
            <w:pPr>
              <w:autoSpaceDE w:val="0"/>
              <w:autoSpaceDN w:val="0"/>
              <w:rPr>
                <w:rFonts w:ascii="Arial"/>
                <w:sz w:val="21"/>
              </w:rPr>
            </w:pPr>
          </w:p>
        </w:tc>
        <w:tc>
          <w:tcPr>
            <w:tcW w:w="1446" w:type="dxa"/>
          </w:tcPr>
          <w:p w14:paraId="11549506">
            <w:pPr>
              <w:autoSpaceDE w:val="0"/>
              <w:autoSpaceDN w:val="0"/>
              <w:rPr>
                <w:rFonts w:ascii="Arial"/>
                <w:sz w:val="21"/>
              </w:rPr>
            </w:pPr>
          </w:p>
        </w:tc>
        <w:tc>
          <w:tcPr>
            <w:tcW w:w="1276" w:type="dxa"/>
            <w:tcBorders>
              <w:right w:val="single" w:color="000000" w:sz="12" w:space="0"/>
            </w:tcBorders>
          </w:tcPr>
          <w:p w14:paraId="74E5B99B">
            <w:pPr>
              <w:autoSpaceDE w:val="0"/>
              <w:autoSpaceDN w:val="0"/>
              <w:rPr>
                <w:rFonts w:ascii="Arial"/>
                <w:sz w:val="21"/>
              </w:rPr>
            </w:pPr>
          </w:p>
        </w:tc>
      </w:tr>
      <w:tr w14:paraId="2F565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3C805850">
            <w:pPr>
              <w:autoSpaceDE w:val="0"/>
              <w:autoSpaceDN w:val="0"/>
              <w:rPr>
                <w:rFonts w:ascii="Arial"/>
                <w:sz w:val="21"/>
              </w:rPr>
            </w:pPr>
          </w:p>
        </w:tc>
        <w:tc>
          <w:tcPr>
            <w:tcW w:w="2038" w:type="dxa"/>
          </w:tcPr>
          <w:p w14:paraId="22C8BE0B">
            <w:pPr>
              <w:autoSpaceDE w:val="0"/>
              <w:autoSpaceDN w:val="0"/>
              <w:rPr>
                <w:rFonts w:ascii="Arial"/>
                <w:sz w:val="21"/>
              </w:rPr>
            </w:pPr>
          </w:p>
        </w:tc>
        <w:tc>
          <w:tcPr>
            <w:tcW w:w="1974" w:type="dxa"/>
          </w:tcPr>
          <w:p w14:paraId="0A2F82B1">
            <w:pPr>
              <w:autoSpaceDE w:val="0"/>
              <w:autoSpaceDN w:val="0"/>
              <w:rPr>
                <w:rFonts w:ascii="Arial"/>
                <w:sz w:val="21"/>
              </w:rPr>
            </w:pPr>
          </w:p>
        </w:tc>
        <w:tc>
          <w:tcPr>
            <w:tcW w:w="1346" w:type="dxa"/>
          </w:tcPr>
          <w:p w14:paraId="5BB579D8">
            <w:pPr>
              <w:autoSpaceDE w:val="0"/>
              <w:autoSpaceDN w:val="0"/>
              <w:rPr>
                <w:rFonts w:ascii="Arial"/>
                <w:sz w:val="21"/>
              </w:rPr>
            </w:pPr>
          </w:p>
        </w:tc>
        <w:tc>
          <w:tcPr>
            <w:tcW w:w="1446" w:type="dxa"/>
          </w:tcPr>
          <w:p w14:paraId="5C10407D">
            <w:pPr>
              <w:autoSpaceDE w:val="0"/>
              <w:autoSpaceDN w:val="0"/>
              <w:rPr>
                <w:rFonts w:ascii="Arial"/>
                <w:sz w:val="21"/>
              </w:rPr>
            </w:pPr>
          </w:p>
        </w:tc>
        <w:tc>
          <w:tcPr>
            <w:tcW w:w="1276" w:type="dxa"/>
            <w:tcBorders>
              <w:right w:val="single" w:color="000000" w:sz="12" w:space="0"/>
            </w:tcBorders>
          </w:tcPr>
          <w:p w14:paraId="7686E043">
            <w:pPr>
              <w:autoSpaceDE w:val="0"/>
              <w:autoSpaceDN w:val="0"/>
              <w:rPr>
                <w:rFonts w:ascii="Arial"/>
                <w:sz w:val="21"/>
              </w:rPr>
            </w:pPr>
          </w:p>
        </w:tc>
      </w:tr>
      <w:tr w14:paraId="18719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1E510A21">
            <w:pPr>
              <w:autoSpaceDE w:val="0"/>
              <w:autoSpaceDN w:val="0"/>
              <w:rPr>
                <w:rFonts w:ascii="Arial"/>
                <w:sz w:val="21"/>
              </w:rPr>
            </w:pPr>
          </w:p>
        </w:tc>
        <w:tc>
          <w:tcPr>
            <w:tcW w:w="2038" w:type="dxa"/>
          </w:tcPr>
          <w:p w14:paraId="25FE5388">
            <w:pPr>
              <w:autoSpaceDE w:val="0"/>
              <w:autoSpaceDN w:val="0"/>
              <w:rPr>
                <w:rFonts w:ascii="Arial"/>
                <w:sz w:val="21"/>
              </w:rPr>
            </w:pPr>
          </w:p>
        </w:tc>
        <w:tc>
          <w:tcPr>
            <w:tcW w:w="1974" w:type="dxa"/>
          </w:tcPr>
          <w:p w14:paraId="28D73D15">
            <w:pPr>
              <w:autoSpaceDE w:val="0"/>
              <w:autoSpaceDN w:val="0"/>
              <w:rPr>
                <w:rFonts w:ascii="Arial"/>
                <w:sz w:val="21"/>
              </w:rPr>
            </w:pPr>
          </w:p>
        </w:tc>
        <w:tc>
          <w:tcPr>
            <w:tcW w:w="1346" w:type="dxa"/>
          </w:tcPr>
          <w:p w14:paraId="644F1CB4">
            <w:pPr>
              <w:autoSpaceDE w:val="0"/>
              <w:autoSpaceDN w:val="0"/>
              <w:rPr>
                <w:rFonts w:ascii="Arial"/>
                <w:sz w:val="21"/>
              </w:rPr>
            </w:pPr>
          </w:p>
        </w:tc>
        <w:tc>
          <w:tcPr>
            <w:tcW w:w="1446" w:type="dxa"/>
          </w:tcPr>
          <w:p w14:paraId="4A0D0992">
            <w:pPr>
              <w:autoSpaceDE w:val="0"/>
              <w:autoSpaceDN w:val="0"/>
              <w:rPr>
                <w:rFonts w:ascii="Arial"/>
                <w:sz w:val="21"/>
              </w:rPr>
            </w:pPr>
          </w:p>
        </w:tc>
        <w:tc>
          <w:tcPr>
            <w:tcW w:w="1276" w:type="dxa"/>
            <w:tcBorders>
              <w:right w:val="single" w:color="000000" w:sz="12" w:space="0"/>
            </w:tcBorders>
          </w:tcPr>
          <w:p w14:paraId="7134FA41">
            <w:pPr>
              <w:autoSpaceDE w:val="0"/>
              <w:autoSpaceDN w:val="0"/>
              <w:rPr>
                <w:rFonts w:ascii="Arial"/>
                <w:sz w:val="21"/>
              </w:rPr>
            </w:pPr>
          </w:p>
        </w:tc>
      </w:tr>
      <w:tr w14:paraId="67A84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58988BCF">
            <w:pPr>
              <w:autoSpaceDE w:val="0"/>
              <w:autoSpaceDN w:val="0"/>
              <w:rPr>
                <w:rFonts w:ascii="Arial"/>
                <w:sz w:val="21"/>
              </w:rPr>
            </w:pPr>
          </w:p>
        </w:tc>
        <w:tc>
          <w:tcPr>
            <w:tcW w:w="2038" w:type="dxa"/>
          </w:tcPr>
          <w:p w14:paraId="6F3863A8">
            <w:pPr>
              <w:autoSpaceDE w:val="0"/>
              <w:autoSpaceDN w:val="0"/>
              <w:rPr>
                <w:rFonts w:ascii="Arial"/>
                <w:sz w:val="21"/>
              </w:rPr>
            </w:pPr>
          </w:p>
        </w:tc>
        <w:tc>
          <w:tcPr>
            <w:tcW w:w="1974" w:type="dxa"/>
          </w:tcPr>
          <w:p w14:paraId="61540D9A">
            <w:pPr>
              <w:autoSpaceDE w:val="0"/>
              <w:autoSpaceDN w:val="0"/>
              <w:rPr>
                <w:rFonts w:ascii="Arial"/>
                <w:sz w:val="21"/>
              </w:rPr>
            </w:pPr>
          </w:p>
        </w:tc>
        <w:tc>
          <w:tcPr>
            <w:tcW w:w="1346" w:type="dxa"/>
          </w:tcPr>
          <w:p w14:paraId="709ACA99">
            <w:pPr>
              <w:autoSpaceDE w:val="0"/>
              <w:autoSpaceDN w:val="0"/>
              <w:rPr>
                <w:rFonts w:ascii="Arial"/>
                <w:sz w:val="21"/>
              </w:rPr>
            </w:pPr>
          </w:p>
        </w:tc>
        <w:tc>
          <w:tcPr>
            <w:tcW w:w="1446" w:type="dxa"/>
          </w:tcPr>
          <w:p w14:paraId="7D5B40DF">
            <w:pPr>
              <w:autoSpaceDE w:val="0"/>
              <w:autoSpaceDN w:val="0"/>
              <w:rPr>
                <w:rFonts w:ascii="Arial"/>
                <w:sz w:val="21"/>
              </w:rPr>
            </w:pPr>
          </w:p>
        </w:tc>
        <w:tc>
          <w:tcPr>
            <w:tcW w:w="1276" w:type="dxa"/>
            <w:tcBorders>
              <w:right w:val="single" w:color="000000" w:sz="12" w:space="0"/>
            </w:tcBorders>
          </w:tcPr>
          <w:p w14:paraId="30D49D6E">
            <w:pPr>
              <w:autoSpaceDE w:val="0"/>
              <w:autoSpaceDN w:val="0"/>
              <w:rPr>
                <w:rFonts w:ascii="Arial"/>
                <w:sz w:val="21"/>
              </w:rPr>
            </w:pPr>
          </w:p>
        </w:tc>
      </w:tr>
      <w:tr w14:paraId="79F0C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3DA65A0C">
            <w:pPr>
              <w:autoSpaceDE w:val="0"/>
              <w:autoSpaceDN w:val="0"/>
              <w:rPr>
                <w:rFonts w:ascii="Arial"/>
                <w:sz w:val="21"/>
              </w:rPr>
            </w:pPr>
          </w:p>
        </w:tc>
        <w:tc>
          <w:tcPr>
            <w:tcW w:w="2038" w:type="dxa"/>
          </w:tcPr>
          <w:p w14:paraId="31D95042">
            <w:pPr>
              <w:autoSpaceDE w:val="0"/>
              <w:autoSpaceDN w:val="0"/>
              <w:rPr>
                <w:rFonts w:ascii="Arial"/>
                <w:sz w:val="21"/>
              </w:rPr>
            </w:pPr>
          </w:p>
        </w:tc>
        <w:tc>
          <w:tcPr>
            <w:tcW w:w="1974" w:type="dxa"/>
          </w:tcPr>
          <w:p w14:paraId="78E8BBE8">
            <w:pPr>
              <w:autoSpaceDE w:val="0"/>
              <w:autoSpaceDN w:val="0"/>
              <w:rPr>
                <w:rFonts w:ascii="Arial"/>
                <w:sz w:val="21"/>
              </w:rPr>
            </w:pPr>
          </w:p>
        </w:tc>
        <w:tc>
          <w:tcPr>
            <w:tcW w:w="1346" w:type="dxa"/>
          </w:tcPr>
          <w:p w14:paraId="137D9B82">
            <w:pPr>
              <w:autoSpaceDE w:val="0"/>
              <w:autoSpaceDN w:val="0"/>
              <w:rPr>
                <w:rFonts w:ascii="Arial"/>
                <w:sz w:val="21"/>
              </w:rPr>
            </w:pPr>
          </w:p>
        </w:tc>
        <w:tc>
          <w:tcPr>
            <w:tcW w:w="1446" w:type="dxa"/>
          </w:tcPr>
          <w:p w14:paraId="54C3972D">
            <w:pPr>
              <w:autoSpaceDE w:val="0"/>
              <w:autoSpaceDN w:val="0"/>
              <w:rPr>
                <w:rFonts w:ascii="Arial"/>
                <w:sz w:val="21"/>
              </w:rPr>
            </w:pPr>
          </w:p>
        </w:tc>
        <w:tc>
          <w:tcPr>
            <w:tcW w:w="1276" w:type="dxa"/>
            <w:tcBorders>
              <w:right w:val="single" w:color="000000" w:sz="12" w:space="0"/>
            </w:tcBorders>
          </w:tcPr>
          <w:p w14:paraId="6E8B8817">
            <w:pPr>
              <w:autoSpaceDE w:val="0"/>
              <w:autoSpaceDN w:val="0"/>
              <w:rPr>
                <w:rFonts w:ascii="Arial"/>
                <w:sz w:val="21"/>
              </w:rPr>
            </w:pPr>
          </w:p>
        </w:tc>
      </w:tr>
      <w:tr w14:paraId="495DE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24E9D522">
            <w:pPr>
              <w:autoSpaceDE w:val="0"/>
              <w:autoSpaceDN w:val="0"/>
              <w:rPr>
                <w:rFonts w:ascii="Arial"/>
                <w:sz w:val="21"/>
              </w:rPr>
            </w:pPr>
          </w:p>
        </w:tc>
        <w:tc>
          <w:tcPr>
            <w:tcW w:w="2038" w:type="dxa"/>
          </w:tcPr>
          <w:p w14:paraId="39A2440E">
            <w:pPr>
              <w:autoSpaceDE w:val="0"/>
              <w:autoSpaceDN w:val="0"/>
              <w:rPr>
                <w:rFonts w:ascii="Arial"/>
                <w:sz w:val="21"/>
              </w:rPr>
            </w:pPr>
          </w:p>
        </w:tc>
        <w:tc>
          <w:tcPr>
            <w:tcW w:w="1974" w:type="dxa"/>
          </w:tcPr>
          <w:p w14:paraId="2119AA99">
            <w:pPr>
              <w:autoSpaceDE w:val="0"/>
              <w:autoSpaceDN w:val="0"/>
              <w:rPr>
                <w:rFonts w:ascii="Arial"/>
                <w:sz w:val="21"/>
              </w:rPr>
            </w:pPr>
          </w:p>
        </w:tc>
        <w:tc>
          <w:tcPr>
            <w:tcW w:w="1346" w:type="dxa"/>
          </w:tcPr>
          <w:p w14:paraId="70B27D6E">
            <w:pPr>
              <w:autoSpaceDE w:val="0"/>
              <w:autoSpaceDN w:val="0"/>
              <w:rPr>
                <w:rFonts w:ascii="Arial"/>
                <w:sz w:val="21"/>
              </w:rPr>
            </w:pPr>
          </w:p>
        </w:tc>
        <w:tc>
          <w:tcPr>
            <w:tcW w:w="1446" w:type="dxa"/>
          </w:tcPr>
          <w:p w14:paraId="0A82DA9A">
            <w:pPr>
              <w:autoSpaceDE w:val="0"/>
              <w:autoSpaceDN w:val="0"/>
              <w:rPr>
                <w:rFonts w:ascii="Arial"/>
                <w:sz w:val="21"/>
              </w:rPr>
            </w:pPr>
          </w:p>
        </w:tc>
        <w:tc>
          <w:tcPr>
            <w:tcW w:w="1276" w:type="dxa"/>
            <w:tcBorders>
              <w:right w:val="single" w:color="000000" w:sz="12" w:space="0"/>
            </w:tcBorders>
          </w:tcPr>
          <w:p w14:paraId="59090050">
            <w:pPr>
              <w:autoSpaceDE w:val="0"/>
              <w:autoSpaceDN w:val="0"/>
              <w:rPr>
                <w:rFonts w:ascii="Arial"/>
                <w:sz w:val="21"/>
              </w:rPr>
            </w:pPr>
          </w:p>
        </w:tc>
      </w:tr>
      <w:tr w14:paraId="0B115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32E72C9D">
            <w:pPr>
              <w:autoSpaceDE w:val="0"/>
              <w:autoSpaceDN w:val="0"/>
              <w:rPr>
                <w:rFonts w:ascii="Arial"/>
                <w:sz w:val="21"/>
              </w:rPr>
            </w:pPr>
          </w:p>
        </w:tc>
        <w:tc>
          <w:tcPr>
            <w:tcW w:w="2038" w:type="dxa"/>
          </w:tcPr>
          <w:p w14:paraId="69A74D5D">
            <w:pPr>
              <w:autoSpaceDE w:val="0"/>
              <w:autoSpaceDN w:val="0"/>
              <w:rPr>
                <w:rFonts w:ascii="Arial"/>
                <w:sz w:val="21"/>
              </w:rPr>
            </w:pPr>
          </w:p>
        </w:tc>
        <w:tc>
          <w:tcPr>
            <w:tcW w:w="1974" w:type="dxa"/>
          </w:tcPr>
          <w:p w14:paraId="524FC9D1">
            <w:pPr>
              <w:autoSpaceDE w:val="0"/>
              <w:autoSpaceDN w:val="0"/>
              <w:rPr>
                <w:rFonts w:ascii="Arial"/>
                <w:sz w:val="21"/>
              </w:rPr>
            </w:pPr>
          </w:p>
        </w:tc>
        <w:tc>
          <w:tcPr>
            <w:tcW w:w="1346" w:type="dxa"/>
          </w:tcPr>
          <w:p w14:paraId="59FE3961">
            <w:pPr>
              <w:autoSpaceDE w:val="0"/>
              <w:autoSpaceDN w:val="0"/>
              <w:rPr>
                <w:rFonts w:ascii="Arial"/>
                <w:sz w:val="21"/>
              </w:rPr>
            </w:pPr>
          </w:p>
        </w:tc>
        <w:tc>
          <w:tcPr>
            <w:tcW w:w="1446" w:type="dxa"/>
          </w:tcPr>
          <w:p w14:paraId="08EC3202">
            <w:pPr>
              <w:autoSpaceDE w:val="0"/>
              <w:autoSpaceDN w:val="0"/>
              <w:rPr>
                <w:rFonts w:ascii="Arial"/>
                <w:sz w:val="21"/>
              </w:rPr>
            </w:pPr>
          </w:p>
        </w:tc>
        <w:tc>
          <w:tcPr>
            <w:tcW w:w="1276" w:type="dxa"/>
            <w:tcBorders>
              <w:right w:val="single" w:color="000000" w:sz="12" w:space="0"/>
            </w:tcBorders>
          </w:tcPr>
          <w:p w14:paraId="68471C30">
            <w:pPr>
              <w:autoSpaceDE w:val="0"/>
              <w:autoSpaceDN w:val="0"/>
              <w:rPr>
                <w:rFonts w:ascii="Arial"/>
                <w:sz w:val="21"/>
              </w:rPr>
            </w:pPr>
          </w:p>
        </w:tc>
      </w:tr>
      <w:tr w14:paraId="3AA05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3339BA26">
            <w:pPr>
              <w:autoSpaceDE w:val="0"/>
              <w:autoSpaceDN w:val="0"/>
              <w:rPr>
                <w:rFonts w:ascii="Arial"/>
                <w:sz w:val="21"/>
              </w:rPr>
            </w:pPr>
          </w:p>
        </w:tc>
        <w:tc>
          <w:tcPr>
            <w:tcW w:w="2038" w:type="dxa"/>
          </w:tcPr>
          <w:p w14:paraId="48A718B3">
            <w:pPr>
              <w:autoSpaceDE w:val="0"/>
              <w:autoSpaceDN w:val="0"/>
              <w:rPr>
                <w:rFonts w:ascii="Arial"/>
                <w:sz w:val="21"/>
              </w:rPr>
            </w:pPr>
          </w:p>
        </w:tc>
        <w:tc>
          <w:tcPr>
            <w:tcW w:w="1974" w:type="dxa"/>
          </w:tcPr>
          <w:p w14:paraId="4D6B5D26">
            <w:pPr>
              <w:autoSpaceDE w:val="0"/>
              <w:autoSpaceDN w:val="0"/>
              <w:rPr>
                <w:rFonts w:ascii="Arial"/>
                <w:sz w:val="21"/>
              </w:rPr>
            </w:pPr>
          </w:p>
        </w:tc>
        <w:tc>
          <w:tcPr>
            <w:tcW w:w="1346" w:type="dxa"/>
          </w:tcPr>
          <w:p w14:paraId="2AE157A4">
            <w:pPr>
              <w:autoSpaceDE w:val="0"/>
              <w:autoSpaceDN w:val="0"/>
              <w:rPr>
                <w:rFonts w:ascii="Arial"/>
                <w:sz w:val="21"/>
              </w:rPr>
            </w:pPr>
          </w:p>
        </w:tc>
        <w:tc>
          <w:tcPr>
            <w:tcW w:w="1446" w:type="dxa"/>
          </w:tcPr>
          <w:p w14:paraId="21EC0A71">
            <w:pPr>
              <w:autoSpaceDE w:val="0"/>
              <w:autoSpaceDN w:val="0"/>
              <w:rPr>
                <w:rFonts w:ascii="Arial"/>
                <w:sz w:val="21"/>
              </w:rPr>
            </w:pPr>
          </w:p>
        </w:tc>
        <w:tc>
          <w:tcPr>
            <w:tcW w:w="1276" w:type="dxa"/>
            <w:tcBorders>
              <w:right w:val="single" w:color="000000" w:sz="12" w:space="0"/>
            </w:tcBorders>
          </w:tcPr>
          <w:p w14:paraId="77595F0C">
            <w:pPr>
              <w:autoSpaceDE w:val="0"/>
              <w:autoSpaceDN w:val="0"/>
              <w:rPr>
                <w:rFonts w:ascii="Arial"/>
                <w:sz w:val="21"/>
              </w:rPr>
            </w:pPr>
          </w:p>
        </w:tc>
      </w:tr>
      <w:tr w14:paraId="2B658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339A732A">
            <w:pPr>
              <w:autoSpaceDE w:val="0"/>
              <w:autoSpaceDN w:val="0"/>
              <w:rPr>
                <w:rFonts w:ascii="Arial"/>
                <w:sz w:val="21"/>
              </w:rPr>
            </w:pPr>
          </w:p>
        </w:tc>
        <w:tc>
          <w:tcPr>
            <w:tcW w:w="2038" w:type="dxa"/>
          </w:tcPr>
          <w:p w14:paraId="4740F204">
            <w:pPr>
              <w:autoSpaceDE w:val="0"/>
              <w:autoSpaceDN w:val="0"/>
              <w:rPr>
                <w:rFonts w:ascii="Arial"/>
                <w:sz w:val="21"/>
              </w:rPr>
            </w:pPr>
          </w:p>
        </w:tc>
        <w:tc>
          <w:tcPr>
            <w:tcW w:w="1974" w:type="dxa"/>
          </w:tcPr>
          <w:p w14:paraId="2191628A">
            <w:pPr>
              <w:autoSpaceDE w:val="0"/>
              <w:autoSpaceDN w:val="0"/>
              <w:rPr>
                <w:rFonts w:ascii="Arial"/>
                <w:sz w:val="21"/>
              </w:rPr>
            </w:pPr>
          </w:p>
        </w:tc>
        <w:tc>
          <w:tcPr>
            <w:tcW w:w="1346" w:type="dxa"/>
          </w:tcPr>
          <w:p w14:paraId="617E0EDD">
            <w:pPr>
              <w:autoSpaceDE w:val="0"/>
              <w:autoSpaceDN w:val="0"/>
              <w:rPr>
                <w:rFonts w:ascii="Arial"/>
                <w:sz w:val="21"/>
              </w:rPr>
            </w:pPr>
          </w:p>
        </w:tc>
        <w:tc>
          <w:tcPr>
            <w:tcW w:w="1446" w:type="dxa"/>
          </w:tcPr>
          <w:p w14:paraId="3C0D201C">
            <w:pPr>
              <w:autoSpaceDE w:val="0"/>
              <w:autoSpaceDN w:val="0"/>
              <w:rPr>
                <w:rFonts w:ascii="Arial"/>
                <w:sz w:val="21"/>
              </w:rPr>
            </w:pPr>
          </w:p>
        </w:tc>
        <w:tc>
          <w:tcPr>
            <w:tcW w:w="1276" w:type="dxa"/>
            <w:tcBorders>
              <w:right w:val="single" w:color="000000" w:sz="12" w:space="0"/>
            </w:tcBorders>
          </w:tcPr>
          <w:p w14:paraId="5E959442">
            <w:pPr>
              <w:autoSpaceDE w:val="0"/>
              <w:autoSpaceDN w:val="0"/>
              <w:rPr>
                <w:rFonts w:ascii="Arial"/>
                <w:sz w:val="21"/>
              </w:rPr>
            </w:pPr>
          </w:p>
        </w:tc>
      </w:tr>
      <w:tr w14:paraId="3C3E1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7162B2E3">
            <w:pPr>
              <w:autoSpaceDE w:val="0"/>
              <w:autoSpaceDN w:val="0"/>
              <w:rPr>
                <w:rFonts w:ascii="Arial"/>
                <w:sz w:val="21"/>
              </w:rPr>
            </w:pPr>
          </w:p>
        </w:tc>
        <w:tc>
          <w:tcPr>
            <w:tcW w:w="2038" w:type="dxa"/>
          </w:tcPr>
          <w:p w14:paraId="72759F61">
            <w:pPr>
              <w:autoSpaceDE w:val="0"/>
              <w:autoSpaceDN w:val="0"/>
              <w:rPr>
                <w:rFonts w:ascii="Arial"/>
                <w:sz w:val="21"/>
              </w:rPr>
            </w:pPr>
          </w:p>
        </w:tc>
        <w:tc>
          <w:tcPr>
            <w:tcW w:w="1974" w:type="dxa"/>
          </w:tcPr>
          <w:p w14:paraId="25704241">
            <w:pPr>
              <w:autoSpaceDE w:val="0"/>
              <w:autoSpaceDN w:val="0"/>
              <w:rPr>
                <w:rFonts w:ascii="Arial"/>
                <w:sz w:val="21"/>
              </w:rPr>
            </w:pPr>
          </w:p>
        </w:tc>
        <w:tc>
          <w:tcPr>
            <w:tcW w:w="1346" w:type="dxa"/>
          </w:tcPr>
          <w:p w14:paraId="5EAA6E62">
            <w:pPr>
              <w:autoSpaceDE w:val="0"/>
              <w:autoSpaceDN w:val="0"/>
              <w:rPr>
                <w:rFonts w:ascii="Arial"/>
                <w:sz w:val="21"/>
              </w:rPr>
            </w:pPr>
          </w:p>
        </w:tc>
        <w:tc>
          <w:tcPr>
            <w:tcW w:w="1446" w:type="dxa"/>
          </w:tcPr>
          <w:p w14:paraId="4B599D56">
            <w:pPr>
              <w:autoSpaceDE w:val="0"/>
              <w:autoSpaceDN w:val="0"/>
              <w:rPr>
                <w:rFonts w:ascii="Arial"/>
                <w:sz w:val="21"/>
              </w:rPr>
            </w:pPr>
          </w:p>
        </w:tc>
        <w:tc>
          <w:tcPr>
            <w:tcW w:w="1276" w:type="dxa"/>
            <w:tcBorders>
              <w:right w:val="single" w:color="000000" w:sz="12" w:space="0"/>
            </w:tcBorders>
          </w:tcPr>
          <w:p w14:paraId="47F5D01F">
            <w:pPr>
              <w:autoSpaceDE w:val="0"/>
              <w:autoSpaceDN w:val="0"/>
              <w:rPr>
                <w:rFonts w:ascii="Arial"/>
                <w:sz w:val="21"/>
              </w:rPr>
            </w:pPr>
          </w:p>
        </w:tc>
      </w:tr>
      <w:tr w14:paraId="37AB5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418" w:type="dxa"/>
            <w:tcBorders>
              <w:left w:val="single" w:color="000000" w:sz="12" w:space="0"/>
            </w:tcBorders>
          </w:tcPr>
          <w:p w14:paraId="349101B6">
            <w:pPr>
              <w:autoSpaceDE w:val="0"/>
              <w:autoSpaceDN w:val="0"/>
              <w:rPr>
                <w:rFonts w:ascii="Arial"/>
                <w:sz w:val="21"/>
              </w:rPr>
            </w:pPr>
          </w:p>
        </w:tc>
        <w:tc>
          <w:tcPr>
            <w:tcW w:w="2038" w:type="dxa"/>
          </w:tcPr>
          <w:p w14:paraId="39FB7D2F">
            <w:pPr>
              <w:autoSpaceDE w:val="0"/>
              <w:autoSpaceDN w:val="0"/>
              <w:rPr>
                <w:rFonts w:ascii="Arial"/>
                <w:sz w:val="21"/>
              </w:rPr>
            </w:pPr>
          </w:p>
        </w:tc>
        <w:tc>
          <w:tcPr>
            <w:tcW w:w="1974" w:type="dxa"/>
          </w:tcPr>
          <w:p w14:paraId="7FFE3449">
            <w:pPr>
              <w:autoSpaceDE w:val="0"/>
              <w:autoSpaceDN w:val="0"/>
              <w:rPr>
                <w:rFonts w:ascii="Arial"/>
                <w:sz w:val="21"/>
              </w:rPr>
            </w:pPr>
          </w:p>
        </w:tc>
        <w:tc>
          <w:tcPr>
            <w:tcW w:w="1346" w:type="dxa"/>
          </w:tcPr>
          <w:p w14:paraId="5628C7E8">
            <w:pPr>
              <w:autoSpaceDE w:val="0"/>
              <w:autoSpaceDN w:val="0"/>
              <w:rPr>
                <w:rFonts w:ascii="Arial"/>
                <w:sz w:val="21"/>
              </w:rPr>
            </w:pPr>
          </w:p>
        </w:tc>
        <w:tc>
          <w:tcPr>
            <w:tcW w:w="1446" w:type="dxa"/>
          </w:tcPr>
          <w:p w14:paraId="758A04FE">
            <w:pPr>
              <w:autoSpaceDE w:val="0"/>
              <w:autoSpaceDN w:val="0"/>
              <w:rPr>
                <w:rFonts w:ascii="Arial"/>
                <w:sz w:val="21"/>
              </w:rPr>
            </w:pPr>
          </w:p>
        </w:tc>
        <w:tc>
          <w:tcPr>
            <w:tcW w:w="1276" w:type="dxa"/>
            <w:tcBorders>
              <w:right w:val="single" w:color="000000" w:sz="12" w:space="0"/>
            </w:tcBorders>
          </w:tcPr>
          <w:p w14:paraId="4AEE6BD3">
            <w:pPr>
              <w:autoSpaceDE w:val="0"/>
              <w:autoSpaceDN w:val="0"/>
              <w:rPr>
                <w:rFonts w:ascii="Arial"/>
                <w:sz w:val="21"/>
              </w:rPr>
            </w:pPr>
          </w:p>
        </w:tc>
      </w:tr>
      <w:tr w14:paraId="6C37E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776" w:type="dxa"/>
            <w:gridSpan w:val="4"/>
            <w:tcBorders>
              <w:left w:val="single" w:color="000000" w:sz="12" w:space="0"/>
              <w:bottom w:val="single" w:color="000000" w:sz="12" w:space="0"/>
            </w:tcBorders>
          </w:tcPr>
          <w:p w14:paraId="43764C60">
            <w:pPr>
              <w:pStyle w:val="260"/>
              <w:autoSpaceDE w:val="0"/>
              <w:autoSpaceDN w:val="0"/>
              <w:spacing w:before="55" w:line="182" w:lineRule="auto"/>
              <w:ind w:left="3502"/>
              <w:rPr>
                <w:color w:val="auto"/>
                <w:sz w:val="18"/>
                <w:szCs w:val="18"/>
              </w:rPr>
            </w:pPr>
            <w:r>
              <w:rPr>
                <w:color w:val="auto"/>
                <w:spacing w:val="-5"/>
                <w:sz w:val="18"/>
                <w:szCs w:val="18"/>
              </w:rPr>
              <w:t>合计</w:t>
            </w:r>
          </w:p>
        </w:tc>
        <w:tc>
          <w:tcPr>
            <w:tcW w:w="1446" w:type="dxa"/>
            <w:tcBorders>
              <w:bottom w:val="single" w:color="000000" w:sz="12" w:space="0"/>
            </w:tcBorders>
          </w:tcPr>
          <w:p w14:paraId="2C5CE30E">
            <w:pPr>
              <w:autoSpaceDE w:val="0"/>
              <w:autoSpaceDN w:val="0"/>
              <w:rPr>
                <w:rFonts w:ascii="Arial"/>
                <w:sz w:val="21"/>
              </w:rPr>
            </w:pPr>
          </w:p>
        </w:tc>
        <w:tc>
          <w:tcPr>
            <w:tcW w:w="1276" w:type="dxa"/>
            <w:tcBorders>
              <w:bottom w:val="single" w:color="000000" w:sz="12" w:space="0"/>
              <w:right w:val="single" w:color="000000" w:sz="12" w:space="0"/>
            </w:tcBorders>
          </w:tcPr>
          <w:p w14:paraId="027F644F">
            <w:pPr>
              <w:pStyle w:val="260"/>
              <w:autoSpaceDE w:val="0"/>
              <w:autoSpaceDN w:val="0"/>
              <w:spacing w:before="55" w:line="182" w:lineRule="auto"/>
              <w:jc w:val="right"/>
              <w:rPr>
                <w:color w:val="auto"/>
                <w:sz w:val="18"/>
                <w:szCs w:val="18"/>
              </w:rPr>
            </w:pPr>
          </w:p>
        </w:tc>
      </w:tr>
    </w:tbl>
    <w:p w14:paraId="60670D19">
      <w:pPr>
        <w:sectPr>
          <w:pgSz w:w="11900" w:h="16840"/>
          <w:pgMar w:top="1135" w:right="860" w:bottom="400" w:left="810" w:header="0" w:footer="0" w:gutter="0"/>
          <w:pgNumType w:fmt="decimal"/>
          <w:cols w:space="720" w:num="1"/>
        </w:sectPr>
      </w:pPr>
    </w:p>
    <w:p w14:paraId="6C6E63AD">
      <w:pPr>
        <w:bidi w:val="0"/>
        <w:jc w:val="center"/>
        <w:rPr>
          <w:b/>
          <w:bCs/>
          <w:sz w:val="30"/>
          <w:szCs w:val="30"/>
          <w:lang w:eastAsia="zh-CN"/>
        </w:rPr>
      </w:pPr>
      <w:r>
        <w:rPr>
          <w:b/>
          <w:bCs/>
          <w:sz w:val="30"/>
          <w:szCs w:val="30"/>
          <w:lang w:eastAsia="zh-CN"/>
        </w:rPr>
        <w:t>分部分项工程项目清单计价表</w:t>
      </w:r>
    </w:p>
    <w:p w14:paraId="61F2DDC1">
      <w:pPr>
        <w:spacing w:before="77" w:line="180" w:lineRule="auto"/>
        <w:ind w:left="8224" w:leftChars="17" w:hanging="8188" w:hangingChars="4600"/>
        <w:rPr>
          <w:rFonts w:ascii="Arial"/>
          <w:sz w:val="2"/>
        </w:rPr>
      </w:pPr>
      <w:r>
        <w:rPr>
          <w:rFonts w:hint="eastAsia" w:ascii="微软雅黑" w:hAnsi="微软雅黑" w:eastAsia="微软雅黑" w:cs="微软雅黑"/>
          <w:spacing w:val="-1"/>
          <w:sz w:val="18"/>
          <w:szCs w:val="18"/>
        </w:rPr>
        <w:t xml:space="preserve">工程名称：                              </w:t>
      </w:r>
      <w:r>
        <w:rPr>
          <w:rFonts w:hint="eastAsia" w:ascii="微软雅黑" w:hAnsi="微软雅黑" w:eastAsia="微软雅黑" w:cs="微软雅黑"/>
          <w:spacing w:val="-1"/>
          <w:sz w:val="18"/>
          <w:szCs w:val="18"/>
          <w:lang w:eastAsia="zh-CN"/>
        </w:rPr>
        <w:t xml:space="preserve">                            第   页    共   页                                                                      </w:t>
      </w:r>
      <w:r>
        <w:rPr>
          <w:rFonts w:hint="eastAsia" w:ascii="微软雅黑" w:hAnsi="微软雅黑" w:eastAsia="微软雅黑" w:cs="微软雅黑"/>
          <w:spacing w:val="-1"/>
          <w:sz w:val="18"/>
          <w:szCs w:val="18"/>
        </w:rPr>
        <w:t xml:space="preserve">                   </w:t>
      </w:r>
      <w:r>
        <w:rPr>
          <w:rFonts w:hint="eastAsia" w:ascii="微软雅黑" w:hAnsi="微软雅黑" w:eastAsia="微软雅黑" w:cs="微软雅黑"/>
          <w:spacing w:val="-2"/>
          <w:sz w:val="18"/>
          <w:szCs w:val="18"/>
        </w:rPr>
        <w:t xml:space="preserve">    </w:t>
      </w:r>
    </w:p>
    <w:tbl>
      <w:tblPr>
        <w:tblStyle w:val="48"/>
        <w:tblW w:w="84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40" w:type="dxa"/>
          <w:left w:w="64" w:type="dxa"/>
          <w:bottom w:w="40" w:type="dxa"/>
          <w:right w:w="64" w:type="dxa"/>
        </w:tblCellMar>
      </w:tblPr>
      <w:tblGrid>
        <w:gridCol w:w="688"/>
        <w:gridCol w:w="994"/>
        <w:gridCol w:w="1045"/>
        <w:gridCol w:w="1273"/>
        <w:gridCol w:w="913"/>
        <w:gridCol w:w="733"/>
        <w:gridCol w:w="912"/>
        <w:gridCol w:w="787"/>
        <w:gridCol w:w="1121"/>
      </w:tblGrid>
      <w:tr w14:paraId="6273A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tblHeader/>
          <w:jc w:val="center"/>
        </w:trPr>
        <w:tc>
          <w:tcPr>
            <w:tcW w:w="688" w:type="dxa"/>
            <w:vMerge w:val="restart"/>
            <w:tcBorders>
              <w:top w:val="single" w:color="000000" w:sz="12" w:space="0"/>
              <w:left w:val="single" w:color="000000" w:sz="12" w:space="0"/>
              <w:bottom w:val="nil"/>
              <w:right w:val="single" w:color="000000" w:sz="6" w:space="0"/>
              <w:tl2br w:val="nil"/>
              <w:tr2bl w:val="nil"/>
            </w:tcBorders>
            <w:vAlign w:val="center"/>
          </w:tcPr>
          <w:p w14:paraId="47825523">
            <w:pPr>
              <w:pStyle w:val="260"/>
              <w:spacing w:before="81" w:line="189" w:lineRule="auto"/>
              <w:jc w:val="center"/>
              <w:rPr>
                <w:color w:val="auto"/>
                <w:sz w:val="19"/>
                <w:szCs w:val="19"/>
              </w:rPr>
            </w:pPr>
            <w:r>
              <w:rPr>
                <w:rFonts w:hint="eastAsia"/>
                <w:color w:val="auto"/>
                <w:sz w:val="19"/>
                <w:szCs w:val="19"/>
              </w:rPr>
              <w:t>序号</w:t>
            </w:r>
          </w:p>
        </w:tc>
        <w:tc>
          <w:tcPr>
            <w:tcW w:w="994" w:type="dxa"/>
            <w:vMerge w:val="restart"/>
            <w:tcBorders>
              <w:top w:val="single" w:color="000000" w:sz="12" w:space="0"/>
              <w:left w:val="single" w:color="000000" w:sz="6" w:space="0"/>
              <w:bottom w:val="nil"/>
              <w:right w:val="single" w:color="000000" w:sz="6" w:space="0"/>
              <w:tl2br w:val="nil"/>
              <w:tr2bl w:val="nil"/>
            </w:tcBorders>
            <w:vAlign w:val="center"/>
          </w:tcPr>
          <w:p w14:paraId="68075D84">
            <w:pPr>
              <w:pStyle w:val="260"/>
              <w:spacing w:before="81" w:line="188" w:lineRule="auto"/>
              <w:jc w:val="center"/>
              <w:rPr>
                <w:color w:val="auto"/>
                <w:sz w:val="19"/>
                <w:szCs w:val="19"/>
              </w:rPr>
            </w:pPr>
            <w:r>
              <w:rPr>
                <w:rFonts w:hint="eastAsia"/>
                <w:color w:val="auto"/>
                <w:spacing w:val="1"/>
                <w:sz w:val="19"/>
                <w:szCs w:val="19"/>
              </w:rPr>
              <w:t>项目编码</w:t>
            </w:r>
          </w:p>
        </w:tc>
        <w:tc>
          <w:tcPr>
            <w:tcW w:w="1045" w:type="dxa"/>
            <w:vMerge w:val="restart"/>
            <w:tcBorders>
              <w:top w:val="single" w:color="000000" w:sz="12" w:space="0"/>
              <w:left w:val="single" w:color="000000" w:sz="6" w:space="0"/>
              <w:bottom w:val="nil"/>
              <w:right w:val="single" w:color="000000" w:sz="6" w:space="0"/>
              <w:tl2br w:val="nil"/>
              <w:tr2bl w:val="nil"/>
            </w:tcBorders>
            <w:vAlign w:val="center"/>
          </w:tcPr>
          <w:p w14:paraId="522E1372">
            <w:pPr>
              <w:pStyle w:val="260"/>
              <w:spacing w:before="81" w:line="188" w:lineRule="auto"/>
              <w:jc w:val="center"/>
              <w:rPr>
                <w:color w:val="auto"/>
                <w:sz w:val="19"/>
                <w:szCs w:val="19"/>
              </w:rPr>
            </w:pPr>
            <w:r>
              <w:rPr>
                <w:rFonts w:hint="eastAsia"/>
                <w:color w:val="auto"/>
                <w:spacing w:val="1"/>
                <w:sz w:val="19"/>
                <w:szCs w:val="19"/>
              </w:rPr>
              <w:t>项目名称</w:t>
            </w:r>
          </w:p>
        </w:tc>
        <w:tc>
          <w:tcPr>
            <w:tcW w:w="1273" w:type="dxa"/>
            <w:vMerge w:val="restart"/>
            <w:tcBorders>
              <w:top w:val="single" w:color="000000" w:sz="12" w:space="0"/>
              <w:left w:val="single" w:color="000000" w:sz="6" w:space="0"/>
              <w:bottom w:val="nil"/>
              <w:right w:val="single" w:color="000000" w:sz="6" w:space="0"/>
              <w:tl2br w:val="nil"/>
              <w:tr2bl w:val="nil"/>
            </w:tcBorders>
            <w:vAlign w:val="center"/>
          </w:tcPr>
          <w:p w14:paraId="20562E40">
            <w:pPr>
              <w:pStyle w:val="260"/>
              <w:spacing w:before="81" w:line="188" w:lineRule="auto"/>
              <w:jc w:val="center"/>
              <w:rPr>
                <w:color w:val="auto"/>
                <w:sz w:val="19"/>
                <w:szCs w:val="19"/>
              </w:rPr>
            </w:pPr>
            <w:r>
              <w:rPr>
                <w:rFonts w:hint="eastAsia"/>
                <w:color w:val="auto"/>
                <w:spacing w:val="2"/>
                <w:sz w:val="19"/>
                <w:szCs w:val="19"/>
              </w:rPr>
              <w:t>项目特征描述</w:t>
            </w:r>
          </w:p>
        </w:tc>
        <w:tc>
          <w:tcPr>
            <w:tcW w:w="913" w:type="dxa"/>
            <w:vMerge w:val="restart"/>
            <w:tcBorders>
              <w:top w:val="single" w:color="000000" w:sz="12" w:space="0"/>
              <w:left w:val="single" w:color="000000" w:sz="6" w:space="0"/>
              <w:bottom w:val="nil"/>
              <w:right w:val="single" w:color="000000" w:sz="6" w:space="0"/>
              <w:tl2br w:val="nil"/>
              <w:tr2bl w:val="nil"/>
            </w:tcBorders>
            <w:vAlign w:val="center"/>
          </w:tcPr>
          <w:p w14:paraId="180E6389">
            <w:pPr>
              <w:pStyle w:val="260"/>
              <w:spacing w:before="82" w:line="189" w:lineRule="auto"/>
              <w:jc w:val="center"/>
              <w:rPr>
                <w:color w:val="auto"/>
                <w:sz w:val="19"/>
                <w:szCs w:val="19"/>
              </w:rPr>
            </w:pPr>
            <w:r>
              <w:rPr>
                <w:rFonts w:hint="eastAsia"/>
                <w:color w:val="auto"/>
                <w:spacing w:val="2"/>
                <w:sz w:val="19"/>
                <w:szCs w:val="19"/>
              </w:rPr>
              <w:t>计量单位</w:t>
            </w:r>
          </w:p>
        </w:tc>
        <w:tc>
          <w:tcPr>
            <w:tcW w:w="733" w:type="dxa"/>
            <w:vMerge w:val="restart"/>
            <w:tcBorders>
              <w:top w:val="single" w:color="000000" w:sz="12" w:space="0"/>
              <w:left w:val="single" w:color="000000" w:sz="6" w:space="0"/>
              <w:bottom w:val="nil"/>
              <w:right w:val="single" w:color="000000" w:sz="6" w:space="0"/>
              <w:tl2br w:val="nil"/>
              <w:tr2bl w:val="nil"/>
            </w:tcBorders>
            <w:vAlign w:val="center"/>
          </w:tcPr>
          <w:p w14:paraId="47C2C4BA">
            <w:pPr>
              <w:pStyle w:val="260"/>
              <w:spacing w:before="81" w:line="189" w:lineRule="auto"/>
              <w:jc w:val="center"/>
              <w:rPr>
                <w:color w:val="auto"/>
                <w:sz w:val="19"/>
                <w:szCs w:val="19"/>
              </w:rPr>
            </w:pPr>
            <w:r>
              <w:rPr>
                <w:rFonts w:hint="eastAsia"/>
                <w:color w:val="auto"/>
                <w:spacing w:val="1"/>
                <w:sz w:val="19"/>
                <w:szCs w:val="19"/>
              </w:rPr>
              <w:t>工程量</w:t>
            </w:r>
          </w:p>
        </w:tc>
        <w:tc>
          <w:tcPr>
            <w:tcW w:w="1121" w:type="dxa"/>
            <w:gridSpan w:val="3"/>
            <w:tcBorders>
              <w:top w:val="single" w:color="000000" w:sz="12" w:space="0"/>
              <w:left w:val="single" w:color="000000" w:sz="6" w:space="0"/>
              <w:bottom w:val="single" w:color="000000" w:sz="6" w:space="0"/>
              <w:right w:val="single" w:color="000000" w:sz="12" w:space="0"/>
              <w:tl2br w:val="nil"/>
              <w:tr2bl w:val="nil"/>
            </w:tcBorders>
            <w:vAlign w:val="center"/>
          </w:tcPr>
          <w:p w14:paraId="1601E9D1">
            <w:pPr>
              <w:pStyle w:val="260"/>
              <w:spacing w:before="72" w:line="184" w:lineRule="auto"/>
              <w:jc w:val="center"/>
              <w:rPr>
                <w:rFonts w:eastAsia="宋体"/>
                <w:color w:val="auto"/>
                <w:sz w:val="19"/>
                <w:szCs w:val="19"/>
                <w:lang w:eastAsia="zh-CN"/>
              </w:rPr>
            </w:pPr>
            <w:r>
              <w:rPr>
                <w:rFonts w:hint="eastAsia" w:eastAsia="宋体"/>
                <w:color w:val="auto"/>
                <w:spacing w:val="1"/>
                <w:sz w:val="19"/>
                <w:szCs w:val="19"/>
                <w:lang w:eastAsia="zh-CN"/>
              </w:rPr>
              <w:t>金额（元）</w:t>
            </w:r>
          </w:p>
        </w:tc>
      </w:tr>
      <w:tr w14:paraId="33011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tblHeader/>
          <w:jc w:val="center"/>
        </w:trPr>
        <w:tc>
          <w:tcPr>
            <w:tcW w:w="688" w:type="dxa"/>
            <w:vMerge w:val="continue"/>
            <w:tcBorders>
              <w:top w:val="nil"/>
              <w:left w:val="single" w:color="000000" w:sz="12" w:space="0"/>
              <w:bottom w:val="nil"/>
              <w:right w:val="single" w:color="000000" w:sz="6" w:space="0"/>
              <w:tl2br w:val="nil"/>
              <w:tr2bl w:val="nil"/>
            </w:tcBorders>
            <w:vAlign w:val="center"/>
          </w:tcPr>
          <w:p w14:paraId="0AC19E91">
            <w:pPr>
              <w:snapToGrid w:val="0"/>
              <w:jc w:val="center"/>
              <w:rPr>
                <w:rFonts w:ascii="Arial"/>
                <w:sz w:val="21"/>
              </w:rPr>
            </w:pPr>
          </w:p>
        </w:tc>
        <w:tc>
          <w:tcPr>
            <w:tcW w:w="994" w:type="dxa"/>
            <w:vMerge w:val="continue"/>
            <w:tcBorders>
              <w:top w:val="nil"/>
              <w:left w:val="single" w:color="000000" w:sz="6" w:space="0"/>
              <w:bottom w:val="nil"/>
              <w:right w:val="single" w:color="000000" w:sz="6" w:space="0"/>
              <w:tl2br w:val="nil"/>
              <w:tr2bl w:val="nil"/>
            </w:tcBorders>
            <w:vAlign w:val="center"/>
          </w:tcPr>
          <w:p w14:paraId="40ECDCEB">
            <w:pPr>
              <w:snapToGrid w:val="0"/>
              <w:jc w:val="center"/>
              <w:rPr>
                <w:rFonts w:ascii="Arial"/>
                <w:sz w:val="21"/>
              </w:rPr>
            </w:pPr>
          </w:p>
        </w:tc>
        <w:tc>
          <w:tcPr>
            <w:tcW w:w="1045" w:type="dxa"/>
            <w:vMerge w:val="continue"/>
            <w:tcBorders>
              <w:top w:val="nil"/>
              <w:left w:val="single" w:color="000000" w:sz="6" w:space="0"/>
              <w:bottom w:val="nil"/>
              <w:right w:val="single" w:color="000000" w:sz="6" w:space="0"/>
              <w:tl2br w:val="nil"/>
              <w:tr2bl w:val="nil"/>
            </w:tcBorders>
            <w:vAlign w:val="center"/>
          </w:tcPr>
          <w:p w14:paraId="59E3FEB5">
            <w:pPr>
              <w:snapToGrid w:val="0"/>
              <w:jc w:val="center"/>
              <w:rPr>
                <w:rFonts w:ascii="Arial"/>
                <w:sz w:val="21"/>
              </w:rPr>
            </w:pPr>
          </w:p>
        </w:tc>
        <w:tc>
          <w:tcPr>
            <w:tcW w:w="1273" w:type="dxa"/>
            <w:vMerge w:val="continue"/>
            <w:tcBorders>
              <w:top w:val="nil"/>
              <w:left w:val="single" w:color="000000" w:sz="6" w:space="0"/>
              <w:bottom w:val="nil"/>
              <w:right w:val="single" w:color="000000" w:sz="6" w:space="0"/>
              <w:tl2br w:val="nil"/>
              <w:tr2bl w:val="nil"/>
            </w:tcBorders>
            <w:vAlign w:val="center"/>
          </w:tcPr>
          <w:p w14:paraId="1AAF4FB5">
            <w:pPr>
              <w:snapToGrid w:val="0"/>
              <w:jc w:val="center"/>
              <w:rPr>
                <w:rFonts w:ascii="Arial"/>
                <w:sz w:val="21"/>
              </w:rPr>
            </w:pPr>
          </w:p>
        </w:tc>
        <w:tc>
          <w:tcPr>
            <w:tcW w:w="913" w:type="dxa"/>
            <w:vMerge w:val="continue"/>
            <w:tcBorders>
              <w:top w:val="nil"/>
              <w:left w:val="single" w:color="000000" w:sz="6" w:space="0"/>
              <w:bottom w:val="nil"/>
              <w:right w:val="single" w:color="000000" w:sz="6" w:space="0"/>
              <w:tl2br w:val="nil"/>
              <w:tr2bl w:val="nil"/>
            </w:tcBorders>
            <w:vAlign w:val="center"/>
          </w:tcPr>
          <w:p w14:paraId="52918016">
            <w:pPr>
              <w:snapToGrid w:val="0"/>
              <w:jc w:val="center"/>
              <w:rPr>
                <w:rFonts w:ascii="Arial"/>
                <w:sz w:val="21"/>
              </w:rPr>
            </w:pPr>
          </w:p>
        </w:tc>
        <w:tc>
          <w:tcPr>
            <w:tcW w:w="733" w:type="dxa"/>
            <w:vMerge w:val="continue"/>
            <w:tcBorders>
              <w:top w:val="nil"/>
              <w:left w:val="single" w:color="000000" w:sz="6" w:space="0"/>
              <w:bottom w:val="nil"/>
              <w:right w:val="single" w:color="000000" w:sz="6" w:space="0"/>
              <w:tl2br w:val="nil"/>
              <w:tr2bl w:val="nil"/>
            </w:tcBorders>
            <w:vAlign w:val="center"/>
          </w:tcPr>
          <w:p w14:paraId="32EBA1B6">
            <w:pPr>
              <w:snapToGrid w:val="0"/>
              <w:jc w:val="center"/>
              <w:rPr>
                <w:rFonts w:ascii="Arial"/>
                <w:sz w:val="21"/>
              </w:rPr>
            </w:pPr>
          </w:p>
        </w:tc>
        <w:tc>
          <w:tcPr>
            <w:tcW w:w="912" w:type="dxa"/>
            <w:vMerge w:val="restart"/>
            <w:tcBorders>
              <w:top w:val="single" w:color="000000" w:sz="6" w:space="0"/>
              <w:left w:val="single" w:color="000000" w:sz="6" w:space="0"/>
              <w:bottom w:val="nil"/>
              <w:right w:val="single" w:color="000000" w:sz="6" w:space="0"/>
              <w:tl2br w:val="nil"/>
              <w:tr2bl w:val="nil"/>
            </w:tcBorders>
            <w:vAlign w:val="center"/>
          </w:tcPr>
          <w:p w14:paraId="14A7952B">
            <w:pPr>
              <w:pStyle w:val="260"/>
              <w:spacing w:before="223" w:line="188" w:lineRule="auto"/>
              <w:jc w:val="center"/>
              <w:rPr>
                <w:color w:val="auto"/>
                <w:sz w:val="19"/>
                <w:szCs w:val="19"/>
              </w:rPr>
            </w:pPr>
            <w:r>
              <w:rPr>
                <w:rFonts w:hint="eastAsia"/>
                <w:color w:val="auto"/>
                <w:spacing w:val="2"/>
                <w:sz w:val="19"/>
                <w:szCs w:val="19"/>
              </w:rPr>
              <w:t>综合单价</w:t>
            </w:r>
          </w:p>
        </w:tc>
        <w:tc>
          <w:tcPr>
            <w:tcW w:w="787" w:type="dxa"/>
            <w:vMerge w:val="restart"/>
            <w:tcBorders>
              <w:top w:val="single" w:color="000000" w:sz="6" w:space="0"/>
              <w:left w:val="single" w:color="000000" w:sz="6" w:space="0"/>
              <w:bottom w:val="nil"/>
              <w:right w:val="single" w:color="000000" w:sz="6" w:space="0"/>
              <w:tl2br w:val="nil"/>
              <w:tr2bl w:val="nil"/>
            </w:tcBorders>
            <w:vAlign w:val="center"/>
          </w:tcPr>
          <w:p w14:paraId="7C12421F">
            <w:pPr>
              <w:pStyle w:val="260"/>
              <w:spacing w:before="223" w:line="188" w:lineRule="auto"/>
              <w:jc w:val="center"/>
              <w:rPr>
                <w:color w:val="auto"/>
                <w:sz w:val="19"/>
                <w:szCs w:val="19"/>
              </w:rPr>
            </w:pPr>
            <w:r>
              <w:rPr>
                <w:rFonts w:hint="eastAsia"/>
                <w:color w:val="auto"/>
                <w:sz w:val="19"/>
                <w:szCs w:val="19"/>
              </w:rPr>
              <w:t>合价</w:t>
            </w: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637FA59B">
            <w:pPr>
              <w:pStyle w:val="260"/>
              <w:spacing w:before="43" w:line="189" w:lineRule="auto"/>
              <w:jc w:val="center"/>
              <w:rPr>
                <w:color w:val="auto"/>
                <w:sz w:val="19"/>
                <w:szCs w:val="19"/>
              </w:rPr>
            </w:pPr>
            <w:r>
              <w:rPr>
                <w:rFonts w:hint="eastAsia"/>
                <w:color w:val="auto"/>
                <w:sz w:val="19"/>
                <w:szCs w:val="19"/>
              </w:rPr>
              <w:t>其中</w:t>
            </w:r>
          </w:p>
        </w:tc>
      </w:tr>
      <w:tr w14:paraId="0A2AF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tblHeader/>
          <w:jc w:val="center"/>
        </w:trPr>
        <w:tc>
          <w:tcPr>
            <w:tcW w:w="688" w:type="dxa"/>
            <w:vMerge w:val="continue"/>
            <w:tcBorders>
              <w:top w:val="nil"/>
              <w:left w:val="single" w:color="000000" w:sz="12" w:space="0"/>
              <w:bottom w:val="single" w:color="000000" w:sz="6" w:space="0"/>
              <w:right w:val="single" w:color="000000" w:sz="6" w:space="0"/>
              <w:tl2br w:val="nil"/>
              <w:tr2bl w:val="nil"/>
            </w:tcBorders>
            <w:vAlign w:val="center"/>
          </w:tcPr>
          <w:p w14:paraId="4D1D6736">
            <w:pPr>
              <w:snapToGrid w:val="0"/>
              <w:jc w:val="center"/>
              <w:rPr>
                <w:rFonts w:ascii="Arial"/>
                <w:sz w:val="21"/>
              </w:rPr>
            </w:pPr>
          </w:p>
        </w:tc>
        <w:tc>
          <w:tcPr>
            <w:tcW w:w="994" w:type="dxa"/>
            <w:vMerge w:val="continue"/>
            <w:tcBorders>
              <w:top w:val="nil"/>
              <w:left w:val="single" w:color="000000" w:sz="6" w:space="0"/>
              <w:bottom w:val="single" w:color="000000" w:sz="6" w:space="0"/>
              <w:right w:val="single" w:color="000000" w:sz="6" w:space="0"/>
              <w:tl2br w:val="nil"/>
              <w:tr2bl w:val="nil"/>
            </w:tcBorders>
            <w:vAlign w:val="center"/>
          </w:tcPr>
          <w:p w14:paraId="7C0D6B70">
            <w:pPr>
              <w:snapToGrid w:val="0"/>
              <w:jc w:val="center"/>
              <w:rPr>
                <w:rFonts w:ascii="Arial"/>
                <w:sz w:val="21"/>
              </w:rPr>
            </w:pPr>
          </w:p>
        </w:tc>
        <w:tc>
          <w:tcPr>
            <w:tcW w:w="1045" w:type="dxa"/>
            <w:vMerge w:val="continue"/>
            <w:tcBorders>
              <w:top w:val="nil"/>
              <w:left w:val="single" w:color="000000" w:sz="6" w:space="0"/>
              <w:bottom w:val="single" w:color="000000" w:sz="6" w:space="0"/>
              <w:right w:val="single" w:color="000000" w:sz="6" w:space="0"/>
              <w:tl2br w:val="nil"/>
              <w:tr2bl w:val="nil"/>
            </w:tcBorders>
            <w:vAlign w:val="center"/>
          </w:tcPr>
          <w:p w14:paraId="29DFAC50">
            <w:pPr>
              <w:snapToGrid w:val="0"/>
              <w:jc w:val="center"/>
              <w:rPr>
                <w:rFonts w:ascii="Arial"/>
                <w:sz w:val="21"/>
              </w:rPr>
            </w:pPr>
          </w:p>
        </w:tc>
        <w:tc>
          <w:tcPr>
            <w:tcW w:w="1273" w:type="dxa"/>
            <w:vMerge w:val="continue"/>
            <w:tcBorders>
              <w:top w:val="nil"/>
              <w:left w:val="single" w:color="000000" w:sz="6" w:space="0"/>
              <w:bottom w:val="single" w:color="000000" w:sz="6" w:space="0"/>
              <w:right w:val="single" w:color="000000" w:sz="6" w:space="0"/>
              <w:tl2br w:val="nil"/>
              <w:tr2bl w:val="nil"/>
            </w:tcBorders>
            <w:vAlign w:val="center"/>
          </w:tcPr>
          <w:p w14:paraId="04E24006">
            <w:pPr>
              <w:snapToGrid w:val="0"/>
              <w:jc w:val="center"/>
              <w:rPr>
                <w:rFonts w:ascii="Arial"/>
                <w:sz w:val="21"/>
              </w:rPr>
            </w:pPr>
          </w:p>
        </w:tc>
        <w:tc>
          <w:tcPr>
            <w:tcW w:w="913" w:type="dxa"/>
            <w:vMerge w:val="continue"/>
            <w:tcBorders>
              <w:top w:val="nil"/>
              <w:left w:val="single" w:color="000000" w:sz="6" w:space="0"/>
              <w:bottom w:val="single" w:color="000000" w:sz="6" w:space="0"/>
              <w:right w:val="single" w:color="000000" w:sz="6" w:space="0"/>
              <w:tl2br w:val="nil"/>
              <w:tr2bl w:val="nil"/>
            </w:tcBorders>
            <w:vAlign w:val="center"/>
          </w:tcPr>
          <w:p w14:paraId="76BEDA2D">
            <w:pPr>
              <w:snapToGrid w:val="0"/>
              <w:jc w:val="center"/>
              <w:rPr>
                <w:rFonts w:ascii="Arial"/>
                <w:sz w:val="21"/>
              </w:rPr>
            </w:pPr>
          </w:p>
        </w:tc>
        <w:tc>
          <w:tcPr>
            <w:tcW w:w="733" w:type="dxa"/>
            <w:vMerge w:val="continue"/>
            <w:tcBorders>
              <w:top w:val="nil"/>
              <w:left w:val="single" w:color="000000" w:sz="6" w:space="0"/>
              <w:bottom w:val="single" w:color="000000" w:sz="6" w:space="0"/>
              <w:right w:val="single" w:color="000000" w:sz="6" w:space="0"/>
              <w:tl2br w:val="nil"/>
              <w:tr2bl w:val="nil"/>
            </w:tcBorders>
            <w:vAlign w:val="center"/>
          </w:tcPr>
          <w:p w14:paraId="12C4F2CD">
            <w:pPr>
              <w:snapToGrid w:val="0"/>
              <w:jc w:val="center"/>
              <w:rPr>
                <w:rFonts w:ascii="Arial"/>
                <w:sz w:val="21"/>
              </w:rPr>
            </w:pPr>
          </w:p>
        </w:tc>
        <w:tc>
          <w:tcPr>
            <w:tcW w:w="912" w:type="dxa"/>
            <w:vMerge w:val="continue"/>
            <w:tcBorders>
              <w:top w:val="nil"/>
              <w:left w:val="single" w:color="000000" w:sz="6" w:space="0"/>
              <w:bottom w:val="single" w:color="000000" w:sz="6" w:space="0"/>
              <w:right w:val="single" w:color="000000" w:sz="6" w:space="0"/>
              <w:tl2br w:val="nil"/>
              <w:tr2bl w:val="nil"/>
            </w:tcBorders>
            <w:vAlign w:val="center"/>
          </w:tcPr>
          <w:p w14:paraId="28A35F17">
            <w:pPr>
              <w:snapToGrid w:val="0"/>
              <w:jc w:val="center"/>
              <w:rPr>
                <w:rFonts w:ascii="Arial"/>
                <w:sz w:val="21"/>
              </w:rPr>
            </w:pPr>
          </w:p>
        </w:tc>
        <w:tc>
          <w:tcPr>
            <w:tcW w:w="787" w:type="dxa"/>
            <w:vMerge w:val="continue"/>
            <w:tcBorders>
              <w:top w:val="nil"/>
              <w:left w:val="single" w:color="000000" w:sz="6" w:space="0"/>
              <w:bottom w:val="single" w:color="000000" w:sz="6" w:space="0"/>
              <w:right w:val="single" w:color="000000" w:sz="6" w:space="0"/>
              <w:tl2br w:val="nil"/>
              <w:tr2bl w:val="nil"/>
            </w:tcBorders>
            <w:vAlign w:val="center"/>
          </w:tcPr>
          <w:p w14:paraId="1E83CD2C">
            <w:pPr>
              <w:snapToGrid w:val="0"/>
              <w:jc w:val="center"/>
              <w:rPr>
                <w:rFonts w:ascii="Arial"/>
                <w:sz w:val="21"/>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4162E654">
            <w:pPr>
              <w:pStyle w:val="260"/>
              <w:spacing w:before="44" w:line="188" w:lineRule="auto"/>
              <w:jc w:val="center"/>
              <w:rPr>
                <w:color w:val="auto"/>
                <w:sz w:val="19"/>
                <w:szCs w:val="19"/>
              </w:rPr>
            </w:pPr>
            <w:r>
              <w:rPr>
                <w:rFonts w:hint="eastAsia"/>
                <w:color w:val="auto"/>
                <w:spacing w:val="3"/>
                <w:sz w:val="19"/>
                <w:szCs w:val="19"/>
              </w:rPr>
              <w:t>材料暂估价</w:t>
            </w:r>
          </w:p>
        </w:tc>
      </w:tr>
      <w:tr w14:paraId="3054E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2DC8E21A">
            <w:pPr>
              <w:snapToGrid w:val="0"/>
              <w:jc w:val="center"/>
              <w:rPr>
                <w:rFonts w:ascii="Arial"/>
                <w:sz w:val="21"/>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0E96DD8F">
            <w:pPr>
              <w:snapToGrid w:val="0"/>
              <w:jc w:val="center"/>
              <w:rPr>
                <w:rFonts w:ascii="Arial"/>
                <w:sz w:val="21"/>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4CBE6FD2">
            <w:pPr>
              <w:pStyle w:val="260"/>
              <w:spacing w:before="58" w:line="185" w:lineRule="auto"/>
              <w:ind w:left="38"/>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40D49FF5">
            <w:pPr>
              <w:snapToGrid w:val="0"/>
              <w:jc w:val="center"/>
              <w:rPr>
                <w:rFonts w:ascii="Arial"/>
                <w:sz w:val="21"/>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38095D96">
            <w:pPr>
              <w:snapToGrid w:val="0"/>
              <w:jc w:val="center"/>
              <w:rPr>
                <w:rFonts w:ascii="Arial"/>
                <w:sz w:val="21"/>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5A580654">
            <w:pPr>
              <w:snapToGrid w:val="0"/>
              <w:jc w:val="center"/>
              <w:rPr>
                <w:rFonts w:ascii="Arial"/>
                <w:sz w:val="21"/>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7DF79F40">
            <w:pPr>
              <w:snapToGrid w:val="0"/>
              <w:jc w:val="center"/>
              <w:rPr>
                <w:rFonts w:ascii="Arial"/>
                <w:sz w:val="21"/>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1FA5592E">
            <w:pPr>
              <w:pStyle w:val="260"/>
              <w:spacing w:before="58"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255B082A">
            <w:pPr>
              <w:snapToGrid w:val="0"/>
              <w:jc w:val="center"/>
              <w:rPr>
                <w:rFonts w:ascii="Arial"/>
                <w:sz w:val="21"/>
              </w:rPr>
            </w:pPr>
          </w:p>
        </w:tc>
      </w:tr>
      <w:tr w14:paraId="21B17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452A2033">
            <w:pPr>
              <w:pStyle w:val="260"/>
              <w:spacing w:before="59" w:line="204" w:lineRule="auto"/>
              <w:ind w:left="387"/>
              <w:jc w:val="center"/>
              <w:rPr>
                <w:color w:val="auto"/>
                <w:sz w:val="18"/>
                <w:szCs w:val="18"/>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7C222688">
            <w:pPr>
              <w:pStyle w:val="260"/>
              <w:spacing w:before="59" w:line="202" w:lineRule="auto"/>
              <w:ind w:left="62"/>
              <w:jc w:val="center"/>
              <w:rPr>
                <w:color w:val="auto"/>
                <w:sz w:val="18"/>
                <w:szCs w:val="18"/>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452D1FB9">
            <w:pPr>
              <w:pStyle w:val="260"/>
              <w:spacing w:before="59" w:line="185" w:lineRule="auto"/>
              <w:ind w:left="35"/>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6F26E0D5">
            <w:pPr>
              <w:pStyle w:val="260"/>
              <w:spacing w:before="59" w:line="185" w:lineRule="auto"/>
              <w:ind w:left="39"/>
              <w:jc w:val="center"/>
              <w:rPr>
                <w:color w:val="auto"/>
                <w:sz w:val="18"/>
                <w:szCs w:val="18"/>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418C4969">
            <w:pPr>
              <w:pStyle w:val="260"/>
              <w:spacing w:before="59" w:line="204" w:lineRule="auto"/>
              <w:ind w:left="452"/>
              <w:jc w:val="center"/>
              <w:rPr>
                <w:color w:val="auto"/>
                <w:sz w:val="18"/>
                <w:szCs w:val="18"/>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3DE908B4">
            <w:pPr>
              <w:pStyle w:val="260"/>
              <w:spacing w:before="59" w:line="202" w:lineRule="auto"/>
              <w:ind w:left="145"/>
              <w:jc w:val="center"/>
              <w:rPr>
                <w:color w:val="auto"/>
                <w:sz w:val="18"/>
                <w:szCs w:val="18"/>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2FFFA6C7">
            <w:pPr>
              <w:pStyle w:val="260"/>
              <w:spacing w:before="59" w:line="202" w:lineRule="auto"/>
              <w:jc w:val="center"/>
              <w:rPr>
                <w:color w:val="auto"/>
                <w:sz w:val="18"/>
                <w:szCs w:val="18"/>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7DADDB68">
            <w:pPr>
              <w:pStyle w:val="260"/>
              <w:spacing w:before="59"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11C7310D">
            <w:pPr>
              <w:snapToGrid w:val="0"/>
              <w:jc w:val="center"/>
              <w:rPr>
                <w:rFonts w:ascii="Arial"/>
                <w:sz w:val="21"/>
              </w:rPr>
            </w:pPr>
          </w:p>
        </w:tc>
      </w:tr>
      <w:tr w14:paraId="6D428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2FCB3B22">
            <w:pPr>
              <w:pStyle w:val="260"/>
              <w:spacing w:before="77" w:line="204" w:lineRule="auto"/>
              <w:ind w:left="376"/>
              <w:jc w:val="center"/>
              <w:rPr>
                <w:color w:val="auto"/>
                <w:sz w:val="18"/>
                <w:szCs w:val="18"/>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22A8452B">
            <w:pPr>
              <w:pStyle w:val="260"/>
              <w:spacing w:before="77" w:line="202" w:lineRule="auto"/>
              <w:ind w:left="62"/>
              <w:jc w:val="center"/>
              <w:rPr>
                <w:color w:val="auto"/>
                <w:sz w:val="18"/>
                <w:szCs w:val="18"/>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2C7256D8">
            <w:pPr>
              <w:pStyle w:val="260"/>
              <w:spacing w:before="77" w:line="185" w:lineRule="auto"/>
              <w:ind w:left="35"/>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397A563D">
            <w:pPr>
              <w:pStyle w:val="260"/>
              <w:spacing w:before="1" w:line="179" w:lineRule="auto"/>
              <w:ind w:left="39" w:right="38" w:firstLine="2"/>
              <w:jc w:val="center"/>
              <w:rPr>
                <w:color w:val="auto"/>
                <w:sz w:val="18"/>
                <w:szCs w:val="18"/>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254B3DB9">
            <w:pPr>
              <w:pStyle w:val="260"/>
              <w:spacing w:before="77" w:line="202" w:lineRule="auto"/>
              <w:ind w:left="452"/>
              <w:jc w:val="center"/>
              <w:rPr>
                <w:color w:val="auto"/>
                <w:sz w:val="18"/>
                <w:szCs w:val="18"/>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528BBAB2">
            <w:pPr>
              <w:pStyle w:val="260"/>
              <w:spacing w:before="77" w:line="202" w:lineRule="auto"/>
              <w:ind w:left="235"/>
              <w:jc w:val="center"/>
              <w:rPr>
                <w:color w:val="auto"/>
                <w:sz w:val="18"/>
                <w:szCs w:val="18"/>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55862C5C">
            <w:pPr>
              <w:pStyle w:val="260"/>
              <w:spacing w:before="77" w:line="202" w:lineRule="auto"/>
              <w:jc w:val="center"/>
              <w:rPr>
                <w:color w:val="auto"/>
                <w:sz w:val="18"/>
                <w:szCs w:val="18"/>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17609C44">
            <w:pPr>
              <w:pStyle w:val="260"/>
              <w:spacing w:before="77"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7057A42F">
            <w:pPr>
              <w:snapToGrid w:val="0"/>
              <w:jc w:val="center"/>
              <w:rPr>
                <w:rFonts w:ascii="Arial"/>
                <w:sz w:val="21"/>
              </w:rPr>
            </w:pPr>
          </w:p>
        </w:tc>
      </w:tr>
      <w:tr w14:paraId="6E1E7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2BC927E0">
            <w:pPr>
              <w:pStyle w:val="260"/>
              <w:spacing w:before="257" w:line="202" w:lineRule="auto"/>
              <w:ind w:left="378"/>
              <w:jc w:val="center"/>
              <w:rPr>
                <w:color w:val="auto"/>
                <w:sz w:val="18"/>
                <w:szCs w:val="18"/>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5F0B8295">
            <w:pPr>
              <w:pStyle w:val="260"/>
              <w:spacing w:before="257" w:line="202" w:lineRule="auto"/>
              <w:ind w:left="62"/>
              <w:jc w:val="center"/>
              <w:rPr>
                <w:color w:val="auto"/>
                <w:sz w:val="18"/>
                <w:szCs w:val="18"/>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579D6F89">
            <w:pPr>
              <w:pStyle w:val="260"/>
              <w:spacing w:before="257" w:line="185" w:lineRule="auto"/>
              <w:ind w:left="36"/>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4DCCB9B4">
            <w:pPr>
              <w:pStyle w:val="260"/>
              <w:spacing w:before="32" w:line="179" w:lineRule="auto"/>
              <w:ind w:left="39" w:right="38" w:firstLine="2"/>
              <w:jc w:val="center"/>
              <w:rPr>
                <w:color w:val="auto"/>
                <w:sz w:val="18"/>
                <w:szCs w:val="18"/>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41FD0D8D">
            <w:pPr>
              <w:pStyle w:val="260"/>
              <w:spacing w:before="257" w:line="204" w:lineRule="auto"/>
              <w:ind w:left="452"/>
              <w:jc w:val="center"/>
              <w:rPr>
                <w:color w:val="auto"/>
                <w:sz w:val="18"/>
                <w:szCs w:val="18"/>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23FDA7ED">
            <w:pPr>
              <w:pStyle w:val="260"/>
              <w:spacing w:before="257" w:line="202" w:lineRule="auto"/>
              <w:ind w:left="281"/>
              <w:jc w:val="center"/>
              <w:rPr>
                <w:color w:val="auto"/>
                <w:sz w:val="18"/>
                <w:szCs w:val="18"/>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551FF06F">
            <w:pPr>
              <w:pStyle w:val="260"/>
              <w:spacing w:before="257" w:line="202" w:lineRule="auto"/>
              <w:jc w:val="center"/>
              <w:rPr>
                <w:color w:val="auto"/>
                <w:sz w:val="18"/>
                <w:szCs w:val="18"/>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4557BB26">
            <w:pPr>
              <w:pStyle w:val="260"/>
              <w:spacing w:before="257"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51B37F10">
            <w:pPr>
              <w:snapToGrid w:val="0"/>
              <w:jc w:val="center"/>
              <w:rPr>
                <w:rFonts w:ascii="Arial"/>
                <w:sz w:val="21"/>
              </w:rPr>
            </w:pPr>
          </w:p>
        </w:tc>
      </w:tr>
      <w:tr w14:paraId="3135A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21A110FA">
            <w:pPr>
              <w:pStyle w:val="260"/>
              <w:spacing w:before="63" w:line="204" w:lineRule="auto"/>
              <w:ind w:left="373"/>
              <w:jc w:val="center"/>
              <w:rPr>
                <w:color w:val="auto"/>
                <w:sz w:val="18"/>
                <w:szCs w:val="18"/>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3B1504C9">
            <w:pPr>
              <w:pStyle w:val="260"/>
              <w:spacing w:before="63" w:line="202" w:lineRule="auto"/>
              <w:ind w:left="62"/>
              <w:jc w:val="center"/>
              <w:rPr>
                <w:color w:val="auto"/>
                <w:sz w:val="18"/>
                <w:szCs w:val="18"/>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3065752D">
            <w:pPr>
              <w:pStyle w:val="260"/>
              <w:spacing w:before="63" w:line="185" w:lineRule="auto"/>
              <w:ind w:left="34"/>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3F4D173D">
            <w:pPr>
              <w:pStyle w:val="260"/>
              <w:spacing w:before="63" w:line="185" w:lineRule="auto"/>
              <w:ind w:left="43"/>
              <w:jc w:val="center"/>
              <w:rPr>
                <w:color w:val="auto"/>
                <w:sz w:val="18"/>
                <w:szCs w:val="18"/>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0B815B7A">
            <w:pPr>
              <w:pStyle w:val="260"/>
              <w:spacing w:before="63" w:line="202" w:lineRule="auto"/>
              <w:ind w:left="506"/>
              <w:jc w:val="center"/>
              <w:rPr>
                <w:color w:val="auto"/>
                <w:sz w:val="18"/>
                <w:szCs w:val="18"/>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7C9F0267">
            <w:pPr>
              <w:pStyle w:val="260"/>
              <w:spacing w:before="63" w:line="202" w:lineRule="auto"/>
              <w:ind w:left="234"/>
              <w:jc w:val="center"/>
              <w:rPr>
                <w:color w:val="auto"/>
                <w:sz w:val="18"/>
                <w:szCs w:val="18"/>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7B2C1443">
            <w:pPr>
              <w:pStyle w:val="260"/>
              <w:spacing w:before="63" w:line="202" w:lineRule="auto"/>
              <w:jc w:val="center"/>
              <w:rPr>
                <w:color w:val="auto"/>
                <w:sz w:val="18"/>
                <w:szCs w:val="18"/>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65124F70">
            <w:pPr>
              <w:pStyle w:val="260"/>
              <w:spacing w:before="63"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0A7E7AB2">
            <w:pPr>
              <w:snapToGrid w:val="0"/>
              <w:jc w:val="center"/>
              <w:rPr>
                <w:rFonts w:ascii="Arial"/>
                <w:sz w:val="21"/>
              </w:rPr>
            </w:pPr>
          </w:p>
        </w:tc>
      </w:tr>
      <w:tr w14:paraId="5FA6B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735088A3">
            <w:pPr>
              <w:pStyle w:val="260"/>
              <w:spacing w:before="77" w:line="202" w:lineRule="auto"/>
              <w:ind w:left="378"/>
              <w:jc w:val="center"/>
              <w:rPr>
                <w:color w:val="auto"/>
                <w:sz w:val="18"/>
                <w:szCs w:val="18"/>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7396C3CE">
            <w:pPr>
              <w:pStyle w:val="260"/>
              <w:spacing w:before="77" w:line="202" w:lineRule="auto"/>
              <w:ind w:left="62"/>
              <w:jc w:val="center"/>
              <w:rPr>
                <w:color w:val="auto"/>
                <w:sz w:val="18"/>
                <w:szCs w:val="18"/>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79E2B9EE">
            <w:pPr>
              <w:pStyle w:val="260"/>
              <w:spacing w:before="77" w:line="185" w:lineRule="auto"/>
              <w:ind w:left="36"/>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0A03E8A9">
            <w:pPr>
              <w:pStyle w:val="260"/>
              <w:spacing w:line="180" w:lineRule="auto"/>
              <w:ind w:left="39" w:right="128"/>
              <w:jc w:val="center"/>
              <w:rPr>
                <w:color w:val="auto"/>
                <w:sz w:val="18"/>
                <w:szCs w:val="18"/>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53013EFC">
            <w:pPr>
              <w:pStyle w:val="260"/>
              <w:spacing w:before="77" w:line="202" w:lineRule="auto"/>
              <w:ind w:left="452"/>
              <w:jc w:val="center"/>
              <w:rPr>
                <w:color w:val="auto"/>
                <w:sz w:val="18"/>
                <w:szCs w:val="18"/>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71DA2E19">
            <w:pPr>
              <w:pStyle w:val="260"/>
              <w:spacing w:before="77" w:line="202" w:lineRule="auto"/>
              <w:ind w:left="203"/>
              <w:jc w:val="center"/>
              <w:rPr>
                <w:color w:val="auto"/>
                <w:sz w:val="18"/>
                <w:szCs w:val="18"/>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5A276C24">
            <w:pPr>
              <w:pStyle w:val="260"/>
              <w:spacing w:before="77" w:line="202" w:lineRule="auto"/>
              <w:jc w:val="center"/>
              <w:rPr>
                <w:color w:val="auto"/>
                <w:sz w:val="18"/>
                <w:szCs w:val="18"/>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356C930C">
            <w:pPr>
              <w:pStyle w:val="260"/>
              <w:spacing w:before="77"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2151F167">
            <w:pPr>
              <w:snapToGrid w:val="0"/>
              <w:jc w:val="center"/>
              <w:rPr>
                <w:rFonts w:ascii="Arial"/>
                <w:sz w:val="21"/>
              </w:rPr>
            </w:pPr>
          </w:p>
        </w:tc>
      </w:tr>
      <w:tr w14:paraId="3E1C6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1B011B7C">
            <w:pPr>
              <w:snapToGrid w:val="0"/>
              <w:jc w:val="center"/>
              <w:rPr>
                <w:rFonts w:ascii="Arial"/>
                <w:sz w:val="21"/>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14881A5F">
            <w:pPr>
              <w:snapToGrid w:val="0"/>
              <w:jc w:val="center"/>
              <w:rPr>
                <w:rFonts w:ascii="Arial"/>
                <w:sz w:val="21"/>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44687C70">
            <w:pPr>
              <w:pStyle w:val="260"/>
              <w:spacing w:before="66" w:line="185" w:lineRule="auto"/>
              <w:ind w:left="37"/>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777AAAED">
            <w:pPr>
              <w:snapToGrid w:val="0"/>
              <w:jc w:val="center"/>
              <w:rPr>
                <w:rFonts w:ascii="Arial"/>
                <w:sz w:val="21"/>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37FC48EC">
            <w:pPr>
              <w:snapToGrid w:val="0"/>
              <w:jc w:val="center"/>
              <w:rPr>
                <w:rFonts w:ascii="Arial"/>
                <w:sz w:val="21"/>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64866544">
            <w:pPr>
              <w:snapToGrid w:val="0"/>
              <w:jc w:val="center"/>
              <w:rPr>
                <w:rFonts w:ascii="Arial"/>
                <w:sz w:val="21"/>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12E7D240">
            <w:pPr>
              <w:snapToGrid w:val="0"/>
              <w:jc w:val="center"/>
              <w:rPr>
                <w:rFonts w:ascii="Arial"/>
                <w:sz w:val="21"/>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62798DFB">
            <w:pPr>
              <w:pStyle w:val="260"/>
              <w:spacing w:before="66"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6C48C0E1">
            <w:pPr>
              <w:snapToGrid w:val="0"/>
              <w:jc w:val="center"/>
              <w:rPr>
                <w:rFonts w:ascii="Arial"/>
                <w:sz w:val="21"/>
              </w:rPr>
            </w:pPr>
          </w:p>
        </w:tc>
      </w:tr>
      <w:tr w14:paraId="57830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6338410F">
            <w:pPr>
              <w:snapToGrid w:val="0"/>
              <w:jc w:val="center"/>
              <w:rPr>
                <w:rFonts w:ascii="Arial"/>
                <w:sz w:val="21"/>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0024B937">
            <w:pPr>
              <w:snapToGrid w:val="0"/>
              <w:jc w:val="center"/>
              <w:rPr>
                <w:rFonts w:ascii="Arial"/>
                <w:sz w:val="21"/>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1BE22183">
            <w:pPr>
              <w:pStyle w:val="260"/>
              <w:spacing w:before="66" w:line="186" w:lineRule="auto"/>
              <w:ind w:left="38"/>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4D2C70B6">
            <w:pPr>
              <w:snapToGrid w:val="0"/>
              <w:jc w:val="center"/>
              <w:rPr>
                <w:rFonts w:ascii="Arial"/>
                <w:sz w:val="21"/>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3CECE157">
            <w:pPr>
              <w:snapToGrid w:val="0"/>
              <w:jc w:val="center"/>
              <w:rPr>
                <w:rFonts w:ascii="Arial"/>
                <w:sz w:val="21"/>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668D9DAC">
            <w:pPr>
              <w:snapToGrid w:val="0"/>
              <w:jc w:val="center"/>
              <w:rPr>
                <w:rFonts w:ascii="Arial"/>
                <w:sz w:val="21"/>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61E6ABDF">
            <w:pPr>
              <w:snapToGrid w:val="0"/>
              <w:jc w:val="center"/>
              <w:rPr>
                <w:rFonts w:ascii="Arial"/>
                <w:sz w:val="21"/>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695C626D">
            <w:pPr>
              <w:pStyle w:val="260"/>
              <w:spacing w:before="67"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1838D654">
            <w:pPr>
              <w:snapToGrid w:val="0"/>
              <w:jc w:val="center"/>
              <w:rPr>
                <w:rFonts w:ascii="Arial"/>
                <w:sz w:val="21"/>
              </w:rPr>
            </w:pPr>
          </w:p>
        </w:tc>
      </w:tr>
      <w:tr w14:paraId="456AB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59018B01">
            <w:pPr>
              <w:snapToGrid w:val="0"/>
              <w:jc w:val="center"/>
              <w:rPr>
                <w:rFonts w:ascii="Arial"/>
                <w:sz w:val="21"/>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2B3E8DAA">
            <w:pPr>
              <w:snapToGrid w:val="0"/>
              <w:jc w:val="center"/>
              <w:rPr>
                <w:rFonts w:ascii="Arial"/>
                <w:sz w:val="21"/>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19CD869B">
            <w:pPr>
              <w:pStyle w:val="260"/>
              <w:spacing w:before="38" w:line="179" w:lineRule="auto"/>
              <w:ind w:left="35" w:right="148" w:firstLine="13"/>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7CB1A599">
            <w:pPr>
              <w:snapToGrid w:val="0"/>
              <w:jc w:val="center"/>
              <w:rPr>
                <w:rFonts w:ascii="Arial"/>
                <w:sz w:val="21"/>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462ACEC0">
            <w:pPr>
              <w:snapToGrid w:val="0"/>
              <w:jc w:val="center"/>
              <w:rPr>
                <w:rFonts w:ascii="Arial"/>
                <w:sz w:val="21"/>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734A7270">
            <w:pPr>
              <w:snapToGrid w:val="0"/>
              <w:jc w:val="center"/>
              <w:rPr>
                <w:rFonts w:ascii="Arial"/>
                <w:sz w:val="21"/>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0A1538F6">
            <w:pPr>
              <w:snapToGrid w:val="0"/>
              <w:jc w:val="center"/>
              <w:rPr>
                <w:rFonts w:ascii="Arial"/>
                <w:sz w:val="21"/>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6B36FC06">
            <w:pPr>
              <w:pStyle w:val="260"/>
              <w:spacing w:before="158"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376F5709">
            <w:pPr>
              <w:snapToGrid w:val="0"/>
              <w:jc w:val="center"/>
              <w:rPr>
                <w:rFonts w:ascii="Arial"/>
                <w:sz w:val="21"/>
              </w:rPr>
            </w:pPr>
          </w:p>
        </w:tc>
      </w:tr>
      <w:tr w14:paraId="1A971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2A867B78">
            <w:pPr>
              <w:snapToGrid w:val="0"/>
              <w:jc w:val="center"/>
              <w:rPr>
                <w:rFonts w:ascii="Arial"/>
                <w:sz w:val="21"/>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043B814A">
            <w:pPr>
              <w:snapToGrid w:val="0"/>
              <w:jc w:val="center"/>
              <w:rPr>
                <w:rFonts w:ascii="Arial"/>
                <w:sz w:val="21"/>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79DBAD6D">
            <w:pPr>
              <w:pStyle w:val="260"/>
              <w:spacing w:before="69" w:line="177" w:lineRule="auto"/>
              <w:ind w:left="34"/>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7B991B9D">
            <w:pPr>
              <w:snapToGrid w:val="0"/>
              <w:jc w:val="center"/>
              <w:rPr>
                <w:rFonts w:ascii="Arial"/>
                <w:sz w:val="21"/>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3BC56154">
            <w:pPr>
              <w:snapToGrid w:val="0"/>
              <w:jc w:val="center"/>
              <w:rPr>
                <w:rFonts w:ascii="Arial"/>
                <w:sz w:val="21"/>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1E33A0C5">
            <w:pPr>
              <w:snapToGrid w:val="0"/>
              <w:jc w:val="center"/>
              <w:rPr>
                <w:rFonts w:ascii="Arial"/>
                <w:sz w:val="21"/>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3DAB6375">
            <w:pPr>
              <w:snapToGrid w:val="0"/>
              <w:jc w:val="center"/>
              <w:rPr>
                <w:rFonts w:ascii="Arial"/>
                <w:sz w:val="21"/>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73135AB0">
            <w:pPr>
              <w:pStyle w:val="260"/>
              <w:spacing w:before="69"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488B1450">
            <w:pPr>
              <w:snapToGrid w:val="0"/>
              <w:jc w:val="center"/>
              <w:rPr>
                <w:rFonts w:ascii="Arial"/>
                <w:sz w:val="21"/>
              </w:rPr>
            </w:pPr>
          </w:p>
        </w:tc>
      </w:tr>
      <w:tr w14:paraId="16EC5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32405DF8">
            <w:pPr>
              <w:pStyle w:val="260"/>
              <w:spacing w:before="78" w:line="202" w:lineRule="auto"/>
              <w:ind w:left="375"/>
              <w:jc w:val="center"/>
              <w:rPr>
                <w:color w:val="auto"/>
                <w:sz w:val="18"/>
                <w:szCs w:val="18"/>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6A61CC2E">
            <w:pPr>
              <w:pStyle w:val="260"/>
              <w:spacing w:before="78" w:line="202" w:lineRule="auto"/>
              <w:ind w:left="62"/>
              <w:jc w:val="center"/>
              <w:rPr>
                <w:color w:val="auto"/>
                <w:sz w:val="18"/>
                <w:szCs w:val="18"/>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44E2FFCA">
            <w:pPr>
              <w:pStyle w:val="260"/>
              <w:spacing w:before="77" w:line="185" w:lineRule="auto"/>
              <w:ind w:left="39"/>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537BC49E">
            <w:pPr>
              <w:pStyle w:val="260"/>
              <w:spacing w:line="180" w:lineRule="auto"/>
              <w:ind w:left="41"/>
              <w:jc w:val="center"/>
              <w:rPr>
                <w:color w:val="auto"/>
                <w:sz w:val="18"/>
                <w:szCs w:val="18"/>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4E32D23D">
            <w:pPr>
              <w:pStyle w:val="260"/>
              <w:spacing w:before="78" w:line="202" w:lineRule="auto"/>
              <w:ind w:left="452"/>
              <w:jc w:val="center"/>
              <w:rPr>
                <w:color w:val="auto"/>
                <w:sz w:val="18"/>
                <w:szCs w:val="18"/>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0EB85D22">
            <w:pPr>
              <w:pStyle w:val="260"/>
              <w:spacing w:before="78" w:line="202" w:lineRule="auto"/>
              <w:ind w:left="248"/>
              <w:jc w:val="center"/>
              <w:rPr>
                <w:color w:val="auto"/>
                <w:sz w:val="18"/>
                <w:szCs w:val="18"/>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51D99534">
            <w:pPr>
              <w:pStyle w:val="260"/>
              <w:spacing w:before="78" w:line="202" w:lineRule="auto"/>
              <w:jc w:val="center"/>
              <w:rPr>
                <w:color w:val="auto"/>
                <w:sz w:val="18"/>
                <w:szCs w:val="18"/>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233DBA0B">
            <w:pPr>
              <w:pStyle w:val="260"/>
              <w:spacing w:before="78"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1216FCC9">
            <w:pPr>
              <w:snapToGrid w:val="0"/>
              <w:jc w:val="center"/>
              <w:rPr>
                <w:rFonts w:ascii="Arial"/>
                <w:sz w:val="21"/>
              </w:rPr>
            </w:pPr>
          </w:p>
        </w:tc>
      </w:tr>
      <w:tr w14:paraId="1D9D6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037C50A0">
            <w:pPr>
              <w:snapToGrid w:val="0"/>
              <w:jc w:val="center"/>
              <w:rPr>
                <w:rFonts w:ascii="Arial"/>
                <w:sz w:val="21"/>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532DBBCD">
            <w:pPr>
              <w:snapToGrid w:val="0"/>
              <w:jc w:val="center"/>
              <w:rPr>
                <w:rFonts w:ascii="Arial"/>
                <w:sz w:val="21"/>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1C8A91B9">
            <w:pPr>
              <w:pStyle w:val="260"/>
              <w:spacing w:before="72" w:line="185" w:lineRule="auto"/>
              <w:ind w:left="37"/>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0B052F6A">
            <w:pPr>
              <w:snapToGrid w:val="0"/>
              <w:jc w:val="center"/>
              <w:rPr>
                <w:rFonts w:ascii="Arial"/>
                <w:sz w:val="21"/>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60F8BABD">
            <w:pPr>
              <w:snapToGrid w:val="0"/>
              <w:jc w:val="center"/>
              <w:rPr>
                <w:rFonts w:ascii="Arial"/>
                <w:sz w:val="21"/>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4120DE92">
            <w:pPr>
              <w:snapToGrid w:val="0"/>
              <w:jc w:val="center"/>
              <w:rPr>
                <w:rFonts w:ascii="Arial"/>
                <w:sz w:val="21"/>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25074ED3">
            <w:pPr>
              <w:snapToGrid w:val="0"/>
              <w:jc w:val="center"/>
              <w:rPr>
                <w:rFonts w:ascii="Arial"/>
                <w:sz w:val="21"/>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2467A894">
            <w:pPr>
              <w:pStyle w:val="260"/>
              <w:spacing w:before="72"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37BB0AE3">
            <w:pPr>
              <w:snapToGrid w:val="0"/>
              <w:jc w:val="center"/>
              <w:rPr>
                <w:rFonts w:ascii="Arial"/>
                <w:sz w:val="21"/>
              </w:rPr>
            </w:pPr>
          </w:p>
        </w:tc>
      </w:tr>
      <w:tr w14:paraId="10803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3A8A2D76">
            <w:pPr>
              <w:snapToGrid w:val="0"/>
              <w:jc w:val="center"/>
              <w:rPr>
                <w:rFonts w:ascii="Arial"/>
                <w:sz w:val="21"/>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61FEE4DA">
            <w:pPr>
              <w:snapToGrid w:val="0"/>
              <w:jc w:val="center"/>
              <w:rPr>
                <w:rFonts w:ascii="Arial"/>
                <w:sz w:val="21"/>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0A9E68FF">
            <w:pPr>
              <w:pStyle w:val="260"/>
              <w:spacing w:before="43" w:line="177" w:lineRule="auto"/>
              <w:ind w:left="36" w:right="58" w:hanging="2"/>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7A2EC464">
            <w:pPr>
              <w:snapToGrid w:val="0"/>
              <w:jc w:val="center"/>
              <w:rPr>
                <w:rFonts w:ascii="Arial"/>
                <w:sz w:val="21"/>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6F3134A6">
            <w:pPr>
              <w:snapToGrid w:val="0"/>
              <w:jc w:val="center"/>
              <w:rPr>
                <w:rFonts w:ascii="Arial"/>
                <w:sz w:val="21"/>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4DBDBC1D">
            <w:pPr>
              <w:snapToGrid w:val="0"/>
              <w:jc w:val="center"/>
              <w:rPr>
                <w:rFonts w:ascii="Arial"/>
                <w:sz w:val="21"/>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02E68F76">
            <w:pPr>
              <w:snapToGrid w:val="0"/>
              <w:jc w:val="center"/>
              <w:rPr>
                <w:rFonts w:ascii="Arial"/>
                <w:sz w:val="21"/>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621A5D0F">
            <w:pPr>
              <w:pStyle w:val="260"/>
              <w:spacing w:before="163"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2870F553">
            <w:pPr>
              <w:snapToGrid w:val="0"/>
              <w:jc w:val="center"/>
              <w:rPr>
                <w:rFonts w:ascii="Arial"/>
                <w:sz w:val="21"/>
              </w:rPr>
            </w:pPr>
          </w:p>
        </w:tc>
      </w:tr>
      <w:tr w14:paraId="14B07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912" w:type="dxa"/>
            <w:gridSpan w:val="7"/>
            <w:tcBorders>
              <w:top w:val="single" w:color="000000" w:sz="6" w:space="0"/>
              <w:left w:val="single" w:color="000000" w:sz="12" w:space="0"/>
              <w:bottom w:val="single" w:color="000000" w:sz="12" w:space="0"/>
              <w:right w:val="single" w:color="000000" w:sz="6" w:space="0"/>
              <w:tl2br w:val="nil"/>
              <w:tr2bl w:val="nil"/>
            </w:tcBorders>
            <w:vAlign w:val="center"/>
          </w:tcPr>
          <w:p w14:paraId="220C6381">
            <w:pPr>
              <w:pStyle w:val="260"/>
              <w:spacing w:before="84" w:line="184" w:lineRule="auto"/>
              <w:ind w:left="3630"/>
              <w:jc w:val="center"/>
              <w:rPr>
                <w:rFonts w:eastAsia="宋体"/>
                <w:b/>
                <w:color w:val="auto"/>
                <w:sz w:val="19"/>
                <w:szCs w:val="18"/>
              </w:rPr>
            </w:pPr>
            <w:r>
              <w:rPr>
                <w:rFonts w:hint="eastAsia" w:eastAsia="宋体"/>
                <w:b/>
                <w:color w:val="auto"/>
                <w:spacing w:val="-3"/>
                <w:sz w:val="19"/>
                <w:szCs w:val="18"/>
              </w:rPr>
              <w:t>本页小计</w:t>
            </w:r>
          </w:p>
        </w:tc>
        <w:tc>
          <w:tcPr>
            <w:tcW w:w="787" w:type="dxa"/>
            <w:tcBorders>
              <w:top w:val="single" w:color="000000" w:sz="6" w:space="0"/>
              <w:left w:val="single" w:color="000000" w:sz="6" w:space="0"/>
              <w:bottom w:val="single" w:color="000000" w:sz="12" w:space="0"/>
              <w:right w:val="single" w:color="000000" w:sz="6" w:space="0"/>
              <w:tl2br w:val="nil"/>
              <w:tr2bl w:val="nil"/>
            </w:tcBorders>
            <w:vAlign w:val="center"/>
          </w:tcPr>
          <w:p w14:paraId="505206FB">
            <w:pPr>
              <w:pStyle w:val="260"/>
              <w:spacing w:before="84" w:line="202" w:lineRule="auto"/>
              <w:jc w:val="center"/>
              <w:rPr>
                <w:rFonts w:eastAsia="宋体"/>
                <w:b/>
                <w:color w:val="auto"/>
                <w:sz w:val="19"/>
                <w:szCs w:val="18"/>
              </w:rPr>
            </w:pPr>
          </w:p>
        </w:tc>
        <w:tc>
          <w:tcPr>
            <w:tcW w:w="1121" w:type="dxa"/>
            <w:tcBorders>
              <w:top w:val="single" w:color="000000" w:sz="6" w:space="0"/>
              <w:left w:val="single" w:color="000000" w:sz="6" w:space="0"/>
              <w:bottom w:val="single" w:color="000000" w:sz="12" w:space="0"/>
              <w:right w:val="single" w:color="000000" w:sz="12" w:space="0"/>
              <w:tl2br w:val="nil"/>
              <w:tr2bl w:val="nil"/>
            </w:tcBorders>
            <w:vAlign w:val="center"/>
          </w:tcPr>
          <w:p w14:paraId="75E2B115">
            <w:pPr>
              <w:snapToGrid w:val="0"/>
              <w:jc w:val="center"/>
              <w:rPr>
                <w:rFonts w:ascii="Arial" w:eastAsia="宋体"/>
                <w:b/>
                <w:sz w:val="19"/>
              </w:rPr>
            </w:pPr>
          </w:p>
        </w:tc>
      </w:tr>
    </w:tbl>
    <w:p w14:paraId="067F141C">
      <w:pPr>
        <w:pStyle w:val="28"/>
        <w:rPr>
          <w:rFonts w:ascii="宋体" w:hAnsi="宋体" w:eastAsia="宋体" w:cs="宋体"/>
          <w:kern w:val="2"/>
          <w:sz w:val="21"/>
          <w:szCs w:val="21"/>
          <w:lang w:eastAsia="zh-CN"/>
        </w:rPr>
        <w:sectPr>
          <w:headerReference r:id="rId14" w:type="default"/>
          <w:pgSz w:w="11906" w:h="16838"/>
          <w:pgMar w:top="1440" w:right="1797" w:bottom="1440" w:left="1797" w:header="851" w:footer="992" w:gutter="0"/>
          <w:pgNumType w:fmt="decimal"/>
          <w:cols w:space="425" w:num="1"/>
          <w:docGrid w:linePitch="312" w:charSpace="0"/>
        </w:sectPr>
      </w:pPr>
      <w:r>
        <w:rPr>
          <w:rFonts w:ascii="微软雅黑" w:hAnsi="微软雅黑" w:eastAsia="微软雅黑" w:cs="微软雅黑"/>
          <w:spacing w:val="-1"/>
          <w:sz w:val="18"/>
          <w:szCs w:val="18"/>
        </w:rPr>
        <w:t xml:space="preserve">                            </w:t>
      </w:r>
      <w:r>
        <w:rPr>
          <w:rFonts w:hint="eastAsia" w:ascii="微软雅黑" w:hAnsi="微软雅黑" w:eastAsia="微软雅黑" w:cs="微软雅黑"/>
          <w:spacing w:val="-1"/>
          <w:sz w:val="18"/>
          <w:szCs w:val="18"/>
          <w:lang w:eastAsia="zh-CN"/>
        </w:rPr>
        <w:t xml:space="preserve">                                                                    </w:t>
      </w:r>
    </w:p>
    <w:p w14:paraId="04472F01">
      <w:pPr>
        <w:spacing w:line="360" w:lineRule="auto"/>
        <w:jc w:val="center"/>
        <w:outlineLvl w:val="0"/>
        <w:rPr>
          <w:rFonts w:hint="eastAsia" w:ascii="宋体" w:hAnsi="宋体" w:eastAsia="宋体" w:cs="宋体"/>
          <w:b/>
          <w:sz w:val="36"/>
          <w:szCs w:val="36"/>
        </w:rPr>
      </w:pPr>
      <w:bookmarkStart w:id="707" w:name="_Toc97371946"/>
      <w:r>
        <w:rPr>
          <w:rFonts w:hint="eastAsia" w:ascii="宋体" w:hAnsi="宋体" w:eastAsia="宋体" w:cs="宋体"/>
          <w:b/>
          <w:sz w:val="36"/>
          <w:szCs w:val="36"/>
        </w:rPr>
        <w:t>第五章   合同草案条款</w:t>
      </w:r>
      <w:bookmarkEnd w:id="707"/>
    </w:p>
    <w:p w14:paraId="0BAF55D6">
      <w:pPr>
        <w:tabs>
          <w:tab w:val="left" w:pos="900"/>
          <w:tab w:val="left" w:pos="1080"/>
        </w:tabs>
        <w:snapToGrid w:val="0"/>
        <w:spacing w:line="360" w:lineRule="auto"/>
        <w:rPr>
          <w:rFonts w:hint="eastAsia" w:ascii="宋体" w:hAnsi="宋体" w:eastAsia="宋体" w:cs="宋体"/>
          <w:kern w:val="0"/>
          <w:sz w:val="18"/>
          <w:szCs w:val="18"/>
        </w:rPr>
      </w:pPr>
    </w:p>
    <w:p w14:paraId="29407F3E">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说明：</w:t>
      </w:r>
    </w:p>
    <w:p w14:paraId="518D96CF">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kern w:val="0"/>
          <w:sz w:val="24"/>
        </w:rPr>
        <w:t>1. 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r>
        <w:rPr>
          <w:rFonts w:hint="eastAsia" w:ascii="宋体" w:hAnsi="宋体" w:eastAsia="宋体" w:cs="宋体"/>
          <w:sz w:val="24"/>
        </w:rPr>
        <w:t xml:space="preserve"> 采购人应积极配合供应商获得政府采购合同融资贷款，无特殊原因，应在收到供应商因融资需要发起的变更收款账户申请后10个工作日内确认通过。</w:t>
      </w:r>
    </w:p>
    <w:p w14:paraId="12850A13">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sz w:val="24"/>
        </w:rPr>
        <w:t>2.采购人应严格按照要求，在中标、成交通知书发出之日起30日内签订采购合同，鼓励采购人在线签订电子合同，完善电子签章管理、合同审核等配套内控机制，进一步缩短合同签订期限。</w:t>
      </w:r>
    </w:p>
    <w:p w14:paraId="70025975">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rPr>
        <w:t xml:space="preserve"> </w:t>
      </w:r>
      <w:r>
        <w:rPr>
          <w:rFonts w:hint="eastAsia" w:ascii="宋体" w:hAnsi="宋体" w:eastAsia="宋体" w:cs="宋体"/>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E0A0960">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4. 合同条款中应规定，乙方完全遵守《中华人民共和国妇女权益保障法》中关于“劳动和社会保障权益”的有关要求。</w:t>
      </w:r>
    </w:p>
    <w:p w14:paraId="40FEB1A6">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kern w:val="0"/>
          <w:sz w:val="24"/>
        </w:rPr>
        <w:t xml:space="preserve">5. </w:t>
      </w:r>
      <w:r>
        <w:rPr>
          <w:rFonts w:hint="eastAsia" w:ascii="宋体" w:hAnsi="宋体" w:eastAsia="宋体" w:cs="宋体"/>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5D0D12A">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6. 政府采购合同设定首付款支付方式的，首付款支付比例原则上不低于合同金额的30%；对于中小企业，首付款支付比例原则上不低于合同金额的50%。</w:t>
      </w:r>
    </w:p>
    <w:p w14:paraId="65D7E7E4">
      <w:pPr>
        <w:pStyle w:val="43"/>
        <w:shd w:val="clear" w:color="auto" w:fill="FFFFFF"/>
        <w:spacing w:before="0" w:beforeAutospacing="0" w:after="0" w:afterAutospacing="0" w:line="360" w:lineRule="auto"/>
        <w:jc w:val="both"/>
        <w:rPr>
          <w:rFonts w:hint="eastAsia" w:ascii="宋体" w:hAnsi="宋体" w:eastAsia="宋体" w:cs="宋体"/>
        </w:rPr>
      </w:pPr>
      <w:r>
        <w:rPr>
          <w:rFonts w:hint="eastAsia" w:ascii="宋体" w:hAnsi="宋体" w:eastAsia="宋体" w:cs="宋体"/>
        </w:rPr>
        <w:t>7. 政府采购合同应当约定资金支付的方式、时间和条件，明确逾期支付资金的违约责任。</w:t>
      </w:r>
    </w:p>
    <w:p w14:paraId="43C6565F">
      <w:pPr>
        <w:pStyle w:val="43"/>
        <w:shd w:val="clear" w:color="auto" w:fill="FFFFFF"/>
        <w:spacing w:before="0" w:beforeAutospacing="0" w:after="0" w:afterAutospacing="0" w:line="360" w:lineRule="auto"/>
        <w:jc w:val="both"/>
        <w:rPr>
          <w:rFonts w:hint="eastAsia" w:ascii="宋体" w:hAnsi="宋体" w:eastAsia="宋体" w:cs="宋体"/>
          <w:color w:val="333333"/>
          <w:sz w:val="21"/>
          <w:szCs w:val="21"/>
        </w:rPr>
      </w:pPr>
      <w:r>
        <w:rPr>
          <w:rFonts w:hint="eastAsia" w:ascii="宋体" w:hAnsi="宋体" w:eastAsia="宋体" w:cs="宋体"/>
        </w:rPr>
        <w:t>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7E4B07F3">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5D764653">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 xml:space="preserve">9. </w:t>
      </w:r>
      <w:bookmarkStart w:id="708" w:name="_Hlk168432431"/>
      <w:r>
        <w:rPr>
          <w:rFonts w:hint="eastAsia" w:ascii="宋体" w:hAnsi="宋体" w:eastAsia="宋体" w:cs="宋体"/>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708"/>
      <w:bookmarkStart w:id="709" w:name="_Toc97371947"/>
    </w:p>
    <w:p w14:paraId="00CBE198">
      <w:pPr>
        <w:rPr>
          <w:rFonts w:hint="eastAsia" w:ascii="宋体" w:hAnsi="宋体" w:eastAsia="宋体" w:cs="宋体"/>
          <w:sz w:val="24"/>
        </w:rPr>
      </w:pPr>
      <w:r>
        <w:rPr>
          <w:rFonts w:hint="eastAsia" w:ascii="宋体" w:hAnsi="宋体" w:eastAsia="宋体" w:cs="宋体"/>
          <w:sz w:val="24"/>
        </w:rPr>
        <w:br w:type="page"/>
      </w:r>
    </w:p>
    <w:p w14:paraId="62421C5F">
      <w:pPr>
        <w:spacing w:line="360" w:lineRule="auto"/>
        <w:jc w:val="center"/>
        <w:outlineLvl w:val="0"/>
        <w:rPr>
          <w:rFonts w:hint="eastAsia" w:ascii="宋体" w:hAnsi="宋体" w:eastAsia="宋体" w:cs="宋体"/>
          <w:b/>
          <w:sz w:val="36"/>
          <w:szCs w:val="36"/>
        </w:rPr>
      </w:pPr>
      <w:bookmarkStart w:id="710" w:name="_Toc14076"/>
      <w:bookmarkStart w:id="711" w:name="_Toc257"/>
      <w:bookmarkStart w:id="712" w:name="_Toc6936"/>
      <w:r>
        <w:rPr>
          <w:rFonts w:hint="eastAsia" w:ascii="宋体" w:hAnsi="宋体" w:eastAsia="宋体" w:cs="宋体"/>
          <w:b/>
          <w:sz w:val="36"/>
          <w:szCs w:val="36"/>
        </w:rPr>
        <w:t>第五章合同草案条款</w:t>
      </w:r>
      <w:bookmarkEnd w:id="710"/>
      <w:bookmarkEnd w:id="711"/>
      <w:bookmarkEnd w:id="712"/>
    </w:p>
    <w:p w14:paraId="7935E2F8">
      <w:pPr>
        <w:bidi w:val="0"/>
        <w:jc w:val="center"/>
        <w:rPr>
          <w:rFonts w:hint="default" w:eastAsia="宋体"/>
          <w:lang w:val="en-US" w:eastAsia="zh-CN"/>
        </w:rPr>
      </w:pPr>
      <w:r>
        <w:rPr>
          <w:rFonts w:hint="eastAsia"/>
          <w:lang w:val="en-US" w:eastAsia="zh-CN"/>
        </w:rPr>
        <w:t>（此为模板，具体以实际签订为准）</w:t>
      </w:r>
    </w:p>
    <w:p w14:paraId="7A04DCEB">
      <w:pPr>
        <w:pStyle w:val="23"/>
        <w:spacing w:line="360" w:lineRule="atLeast"/>
        <w:jc w:val="center"/>
        <w:rPr>
          <w:rFonts w:hint="eastAsia" w:ascii="宋体" w:hAnsi="宋体" w:eastAsia="宋体" w:cs="宋体"/>
          <w:sz w:val="48"/>
          <w:szCs w:val="48"/>
          <w:lang w:eastAsia="zh-CN"/>
        </w:rPr>
      </w:pPr>
      <w:bookmarkStart w:id="713" w:name="_Toc21754"/>
      <w:bookmarkStart w:id="714" w:name="_Toc17995"/>
      <w:bookmarkStart w:id="715" w:name="_Toc7966"/>
      <w:r>
        <w:rPr>
          <w:rFonts w:hint="eastAsia" w:hAnsi="宋体" w:cs="宋体"/>
          <w:b/>
          <w:sz w:val="48"/>
          <w:szCs w:val="48"/>
          <w:lang w:val="en-US" w:eastAsia="zh-CN"/>
        </w:rPr>
        <w:t>密云区太师屯镇民族村基础设施灾后修复及防灾减灾能力提升项目</w:t>
      </w:r>
    </w:p>
    <w:p w14:paraId="4CD259AA">
      <w:pPr>
        <w:spacing w:before="17" w:after="0" w:line="360" w:lineRule="auto"/>
        <w:ind w:firstLine="3080" w:firstLineChars="700"/>
        <w:rPr>
          <w:rFonts w:ascii="宋体" w:hAnsi="宋体" w:eastAsia="宋体" w:cs="宋体"/>
          <w:sz w:val="44"/>
          <w:szCs w:val="44"/>
          <w:lang w:eastAsia="zh-CN"/>
        </w:rPr>
      </w:pPr>
      <w:r>
        <w:rPr>
          <w:rFonts w:hint="eastAsia" w:ascii="宋体" w:hAnsi="宋体" w:eastAsia="宋体" w:cs="宋体"/>
          <w:sz w:val="44"/>
          <w:szCs w:val="44"/>
          <w:lang w:eastAsia="zh-CN"/>
        </w:rPr>
        <w:t>工程施工合同</w:t>
      </w:r>
    </w:p>
    <w:p w14:paraId="3CC6A96C">
      <w:pPr>
        <w:rPr>
          <w:lang w:eastAsia="zh-CN"/>
        </w:rPr>
      </w:pPr>
    </w:p>
    <w:p w14:paraId="2C5E65D5">
      <w:pPr>
        <w:spacing w:after="0" w:line="360" w:lineRule="auto"/>
        <w:rPr>
          <w:rFonts w:ascii="宋体" w:hAnsi="宋体" w:eastAsia="宋体" w:cs="宋体"/>
          <w:sz w:val="24"/>
          <w:szCs w:val="24"/>
          <w:lang w:eastAsia="zh-CN"/>
        </w:rPr>
      </w:pPr>
    </w:p>
    <w:p w14:paraId="3C756ECD">
      <w:pPr>
        <w:spacing w:after="0" w:line="360" w:lineRule="auto"/>
        <w:rPr>
          <w:rFonts w:ascii="宋体" w:hAnsi="宋体" w:eastAsia="宋体" w:cs="宋体"/>
          <w:sz w:val="24"/>
          <w:szCs w:val="24"/>
          <w:lang w:eastAsia="zh-CN"/>
        </w:rPr>
      </w:pPr>
    </w:p>
    <w:p w14:paraId="002880D3">
      <w:pPr>
        <w:spacing w:after="0" w:line="360" w:lineRule="auto"/>
        <w:rPr>
          <w:rFonts w:ascii="宋体" w:hAnsi="宋体" w:eastAsia="宋体" w:cs="宋体"/>
          <w:sz w:val="24"/>
          <w:szCs w:val="24"/>
          <w:lang w:eastAsia="zh-CN"/>
        </w:rPr>
      </w:pPr>
    </w:p>
    <w:p w14:paraId="2CE2C3AB">
      <w:pPr>
        <w:spacing w:before="9" w:after="0" w:line="360" w:lineRule="auto"/>
        <w:rPr>
          <w:rFonts w:ascii="宋体" w:hAnsi="宋体" w:eastAsia="宋体" w:cs="宋体"/>
          <w:sz w:val="24"/>
          <w:szCs w:val="24"/>
          <w:lang w:eastAsia="zh-CN"/>
        </w:rPr>
      </w:pPr>
    </w:p>
    <w:p w14:paraId="127946A0">
      <w:pPr>
        <w:spacing w:before="9" w:after="0" w:line="360" w:lineRule="auto"/>
        <w:rPr>
          <w:rFonts w:ascii="宋体" w:hAnsi="宋体" w:eastAsia="宋体" w:cs="宋体"/>
          <w:sz w:val="24"/>
          <w:szCs w:val="24"/>
          <w:lang w:eastAsia="zh-CN"/>
        </w:rPr>
      </w:pPr>
    </w:p>
    <w:p w14:paraId="51971F45">
      <w:pPr>
        <w:spacing w:before="9" w:after="0" w:line="360" w:lineRule="auto"/>
        <w:rPr>
          <w:rFonts w:ascii="宋体" w:hAnsi="宋体" w:eastAsia="宋体" w:cs="宋体"/>
          <w:sz w:val="24"/>
          <w:szCs w:val="24"/>
          <w:lang w:eastAsia="zh-CN"/>
        </w:rPr>
      </w:pPr>
    </w:p>
    <w:p w14:paraId="2D978E48">
      <w:pPr>
        <w:spacing w:before="9" w:after="0" w:line="360" w:lineRule="auto"/>
        <w:rPr>
          <w:rFonts w:ascii="宋体" w:hAnsi="宋体" w:eastAsia="宋体" w:cs="宋体"/>
          <w:sz w:val="24"/>
          <w:szCs w:val="24"/>
          <w:lang w:eastAsia="zh-CN"/>
        </w:rPr>
      </w:pPr>
    </w:p>
    <w:p w14:paraId="2A3A2F6F">
      <w:pPr>
        <w:spacing w:before="9" w:after="0" w:line="360" w:lineRule="auto"/>
        <w:rPr>
          <w:rFonts w:ascii="宋体" w:hAnsi="宋体" w:eastAsia="宋体" w:cs="宋体"/>
          <w:sz w:val="24"/>
          <w:szCs w:val="24"/>
          <w:lang w:eastAsia="zh-CN"/>
        </w:rPr>
      </w:pPr>
    </w:p>
    <w:p w14:paraId="153A6F8C">
      <w:pPr>
        <w:spacing w:before="9" w:after="0" w:line="360" w:lineRule="auto"/>
        <w:rPr>
          <w:rFonts w:ascii="宋体" w:hAnsi="宋体" w:eastAsia="宋体" w:cs="宋体"/>
          <w:sz w:val="24"/>
          <w:szCs w:val="24"/>
          <w:lang w:eastAsia="zh-CN"/>
        </w:rPr>
      </w:pPr>
    </w:p>
    <w:p w14:paraId="7DD60680">
      <w:pPr>
        <w:spacing w:before="9" w:after="0" w:line="360" w:lineRule="auto"/>
        <w:rPr>
          <w:rFonts w:ascii="宋体" w:hAnsi="宋体" w:eastAsia="宋体" w:cs="宋体"/>
          <w:sz w:val="24"/>
          <w:szCs w:val="24"/>
          <w:lang w:eastAsia="zh-CN"/>
        </w:rPr>
      </w:pPr>
    </w:p>
    <w:p w14:paraId="16C468FE">
      <w:pPr>
        <w:spacing w:before="9" w:after="0" w:line="360" w:lineRule="auto"/>
        <w:rPr>
          <w:rFonts w:ascii="宋体" w:hAnsi="宋体" w:eastAsia="宋体" w:cs="宋体"/>
          <w:sz w:val="24"/>
          <w:szCs w:val="24"/>
          <w:lang w:eastAsia="zh-CN"/>
        </w:rPr>
      </w:pPr>
    </w:p>
    <w:p w14:paraId="07FCA1EF">
      <w:pPr>
        <w:spacing w:line="360" w:lineRule="auto"/>
        <w:rPr>
          <w:rFonts w:ascii="宋体" w:hAnsi="宋体" w:eastAsia="宋体" w:cs="宋体"/>
          <w:lang w:eastAsia="zh-CN"/>
        </w:rPr>
      </w:pPr>
      <w:r>
        <w:rPr>
          <w:rFonts w:hint="eastAsia" w:ascii="宋体" w:hAnsi="宋体" w:eastAsia="宋体" w:cs="宋体"/>
          <w:lang w:eastAsia="zh-CN"/>
        </w:rPr>
        <w:t>发包方：</w:t>
      </w:r>
      <w:r>
        <w:rPr>
          <w:rFonts w:hint="eastAsia" w:ascii="宋体" w:hAnsi="宋体" w:eastAsia="宋体" w:cs="宋体"/>
          <w:u w:val="single"/>
          <w:lang w:eastAsia="zh-CN"/>
        </w:rPr>
        <w:t xml:space="preserve">                                                          </w:t>
      </w:r>
    </w:p>
    <w:p w14:paraId="01DCF025">
      <w:pPr>
        <w:spacing w:line="360" w:lineRule="auto"/>
        <w:rPr>
          <w:rFonts w:ascii="宋体" w:hAnsi="宋体" w:eastAsia="宋体" w:cs="宋体"/>
          <w:u w:val="single"/>
          <w:lang w:eastAsia="zh-CN"/>
        </w:rPr>
      </w:pPr>
      <w:r>
        <w:rPr>
          <w:rFonts w:hint="eastAsia" w:ascii="宋体" w:hAnsi="宋体" w:eastAsia="宋体" w:cs="宋体"/>
          <w:lang w:eastAsia="zh-CN"/>
        </w:rPr>
        <w:t xml:space="preserve">承包方： </w:t>
      </w:r>
      <w:r>
        <w:rPr>
          <w:rFonts w:hint="eastAsia" w:ascii="宋体" w:hAnsi="宋体" w:eastAsia="宋体" w:cs="宋体"/>
          <w:u w:val="single"/>
          <w:lang w:eastAsia="zh-CN"/>
        </w:rPr>
        <w:t xml:space="preserve">                                                            </w:t>
      </w:r>
    </w:p>
    <w:p w14:paraId="13F57643">
      <w:pPr>
        <w:spacing w:line="360" w:lineRule="auto"/>
        <w:rPr>
          <w:rFonts w:ascii="宋体" w:hAnsi="宋体" w:eastAsia="宋体" w:cs="宋体"/>
          <w:lang w:eastAsia="zh-CN"/>
        </w:rPr>
      </w:pPr>
    </w:p>
    <w:p w14:paraId="4AC6B25F">
      <w:pPr>
        <w:spacing w:after="0" w:line="360" w:lineRule="auto"/>
        <w:ind w:left="2471" w:right="-20"/>
        <w:rPr>
          <w:rFonts w:ascii="宋体" w:hAnsi="宋体" w:eastAsia="宋体" w:cs="宋体"/>
          <w:sz w:val="24"/>
          <w:szCs w:val="24"/>
          <w:lang w:eastAsia="zh-CN"/>
        </w:rPr>
      </w:pPr>
      <w:r>
        <w:rPr>
          <w:rFonts w:hint="eastAsia" w:ascii="宋体" w:hAnsi="宋体" w:eastAsia="宋体" w:cs="宋体"/>
          <w:spacing w:val="2"/>
          <w:position w:val="-3"/>
          <w:sz w:val="24"/>
          <w:szCs w:val="24"/>
          <w:lang w:eastAsia="zh-CN"/>
        </w:rPr>
        <w:t>中</w:t>
      </w:r>
      <w:r>
        <w:rPr>
          <w:rFonts w:hint="eastAsia" w:ascii="宋体" w:hAnsi="宋体" w:eastAsia="宋体" w:cs="宋体"/>
          <w:position w:val="-3"/>
          <w:sz w:val="24"/>
          <w:szCs w:val="24"/>
          <w:lang w:eastAsia="zh-CN"/>
        </w:rPr>
        <w:t>华</w:t>
      </w:r>
      <w:r>
        <w:rPr>
          <w:rFonts w:hint="eastAsia" w:ascii="宋体" w:hAnsi="宋体" w:eastAsia="宋体" w:cs="宋体"/>
          <w:spacing w:val="2"/>
          <w:position w:val="-3"/>
          <w:sz w:val="24"/>
          <w:szCs w:val="24"/>
          <w:lang w:eastAsia="zh-CN"/>
        </w:rPr>
        <w:t>人</w:t>
      </w:r>
      <w:r>
        <w:rPr>
          <w:rFonts w:hint="eastAsia" w:ascii="宋体" w:hAnsi="宋体" w:eastAsia="宋体" w:cs="宋体"/>
          <w:position w:val="-3"/>
          <w:sz w:val="24"/>
          <w:szCs w:val="24"/>
          <w:lang w:eastAsia="zh-CN"/>
        </w:rPr>
        <w:t>民</w:t>
      </w:r>
      <w:r>
        <w:rPr>
          <w:rFonts w:hint="eastAsia" w:ascii="宋体" w:hAnsi="宋体" w:eastAsia="宋体" w:cs="宋体"/>
          <w:spacing w:val="2"/>
          <w:position w:val="-3"/>
          <w:sz w:val="24"/>
          <w:szCs w:val="24"/>
          <w:lang w:eastAsia="zh-CN"/>
        </w:rPr>
        <w:t>共</w:t>
      </w:r>
      <w:r>
        <w:rPr>
          <w:rFonts w:hint="eastAsia" w:ascii="宋体" w:hAnsi="宋体" w:eastAsia="宋体" w:cs="宋体"/>
          <w:position w:val="-3"/>
          <w:sz w:val="24"/>
          <w:szCs w:val="24"/>
          <w:lang w:eastAsia="zh-CN"/>
        </w:rPr>
        <w:t>和</w:t>
      </w:r>
      <w:r>
        <w:rPr>
          <w:rFonts w:hint="eastAsia" w:ascii="宋体" w:hAnsi="宋体" w:eastAsia="宋体" w:cs="宋体"/>
          <w:spacing w:val="2"/>
          <w:position w:val="-3"/>
          <w:sz w:val="24"/>
          <w:szCs w:val="24"/>
          <w:lang w:eastAsia="zh-CN"/>
        </w:rPr>
        <w:t>国</w:t>
      </w:r>
      <w:r>
        <w:rPr>
          <w:rFonts w:hint="eastAsia" w:ascii="宋体" w:hAnsi="宋体" w:eastAsia="宋体" w:cs="宋体"/>
          <w:position w:val="-3"/>
          <w:sz w:val="24"/>
          <w:szCs w:val="24"/>
          <w:lang w:eastAsia="zh-CN"/>
        </w:rPr>
        <w:t>建</w:t>
      </w:r>
      <w:r>
        <w:rPr>
          <w:rFonts w:hint="eastAsia" w:ascii="宋体" w:hAnsi="宋体" w:eastAsia="宋体" w:cs="宋体"/>
          <w:spacing w:val="2"/>
          <w:position w:val="-3"/>
          <w:sz w:val="24"/>
          <w:szCs w:val="24"/>
          <w:lang w:eastAsia="zh-CN"/>
        </w:rPr>
        <w:t>设</w:t>
      </w:r>
      <w:r>
        <w:rPr>
          <w:rFonts w:hint="eastAsia" w:ascii="宋体" w:hAnsi="宋体" w:eastAsia="宋体" w:cs="宋体"/>
          <w:position w:val="-3"/>
          <w:sz w:val="24"/>
          <w:szCs w:val="24"/>
          <w:lang w:eastAsia="zh-CN"/>
        </w:rPr>
        <w:t>部</w:t>
      </w:r>
    </w:p>
    <w:p w14:paraId="43B5C2AC">
      <w:pPr>
        <w:spacing w:after="0" w:line="360" w:lineRule="auto"/>
        <w:ind w:right="1423"/>
        <w:jc w:val="center"/>
        <w:rPr>
          <w:rFonts w:ascii="宋体" w:hAnsi="宋体" w:eastAsia="宋体" w:cs="宋体"/>
          <w:sz w:val="24"/>
          <w:szCs w:val="24"/>
          <w:lang w:eastAsia="zh-CN"/>
        </w:rPr>
      </w:pPr>
      <w:r>
        <w:rPr>
          <w:rFonts w:hint="eastAsia" w:ascii="宋体" w:hAnsi="宋体" w:eastAsia="宋体" w:cs="宋体"/>
          <w:sz w:val="24"/>
          <w:szCs w:val="24"/>
          <w:lang w:eastAsia="zh-CN"/>
        </w:rPr>
        <mc:AlternateContent>
          <mc:Choice Requires="wps">
            <w:drawing>
              <wp:anchor distT="0" distB="0" distL="114300" distR="114300" simplePos="0" relativeHeight="251670528" behindDoc="1" locked="0" layoutInCell="1" allowOverlap="1">
                <wp:simplePos x="0" y="0"/>
                <wp:positionH relativeFrom="page">
                  <wp:posOffset>2543175</wp:posOffset>
                </wp:positionH>
                <wp:positionV relativeFrom="paragraph">
                  <wp:posOffset>-338455</wp:posOffset>
                </wp:positionV>
                <wp:extent cx="2606040" cy="941070"/>
                <wp:effectExtent l="0" t="0" r="0" b="0"/>
                <wp:wrapNone/>
                <wp:docPr id="35" name="Text Box 14"/>
                <wp:cNvGraphicFramePr/>
                <a:graphic xmlns:a="http://schemas.openxmlformats.org/drawingml/2006/main">
                  <a:graphicData uri="http://schemas.microsoft.com/office/word/2010/wordprocessingShape">
                    <wps:wsp>
                      <wps:cNvSpPr txBox="1">
                        <a:spLocks noChangeArrowheads="1"/>
                      </wps:cNvSpPr>
                      <wps:spPr bwMode="auto">
                        <a:xfrm>
                          <a:off x="0" y="0"/>
                          <a:ext cx="2606040" cy="941070"/>
                        </a:xfrm>
                        <a:prstGeom prst="rect">
                          <a:avLst/>
                        </a:prstGeom>
                        <a:noFill/>
                        <a:ln>
                          <a:noFill/>
                        </a:ln>
                      </wps:spPr>
                      <wps:txbx>
                        <w:txbxContent>
                          <w:p w14:paraId="5CAB7AB9">
                            <w:pPr>
                              <w:spacing w:before="4" w:after="0" w:line="170" w:lineRule="exact"/>
                              <w:rPr>
                                <w:sz w:val="17"/>
                                <w:szCs w:val="17"/>
                              </w:rPr>
                            </w:pPr>
                          </w:p>
                          <w:p w14:paraId="398FE413">
                            <w:pPr>
                              <w:spacing w:after="0" w:line="200" w:lineRule="exact"/>
                              <w:rPr>
                                <w:sz w:val="20"/>
                                <w:szCs w:val="20"/>
                              </w:rPr>
                            </w:pPr>
                          </w:p>
                          <w:p w14:paraId="602D70B6">
                            <w:pPr>
                              <w:spacing w:after="0" w:line="200" w:lineRule="exact"/>
                              <w:rPr>
                                <w:sz w:val="20"/>
                                <w:szCs w:val="20"/>
                              </w:rPr>
                            </w:pPr>
                          </w:p>
                          <w:p w14:paraId="4A49DEB7">
                            <w:pPr>
                              <w:spacing w:after="0" w:line="200" w:lineRule="exact"/>
                              <w:rPr>
                                <w:sz w:val="20"/>
                                <w:szCs w:val="20"/>
                              </w:rPr>
                            </w:pPr>
                          </w:p>
                          <w:p w14:paraId="0EF20234">
                            <w:pPr>
                              <w:spacing w:after="0" w:line="200" w:lineRule="exact"/>
                              <w:rPr>
                                <w:sz w:val="20"/>
                                <w:szCs w:val="20"/>
                              </w:rPr>
                            </w:pPr>
                          </w:p>
                          <w:p w14:paraId="754B31B2">
                            <w:pPr>
                              <w:tabs>
                                <w:tab w:val="left" w:pos="2200"/>
                              </w:tabs>
                              <w:spacing w:after="0" w:line="240" w:lineRule="auto"/>
                              <w:ind w:left="1053" w:right="-20"/>
                              <w:rPr>
                                <w:rFonts w:ascii="宋体" w:hAnsi="宋体" w:eastAsia="宋体" w:cs="宋体"/>
                                <w:sz w:val="21"/>
                                <w:szCs w:val="21"/>
                              </w:rPr>
                            </w:pPr>
                            <w:r>
                              <w:rPr>
                                <w:rFonts w:ascii="宋体" w:hAnsi="宋体" w:eastAsia="宋体" w:cs="宋体"/>
                                <w:sz w:val="21"/>
                                <w:szCs w:val="21"/>
                              </w:rPr>
                              <w:t>第一部分</w:t>
                            </w:r>
                            <w:r>
                              <w:rPr>
                                <w:rFonts w:ascii="宋体" w:hAnsi="宋体" w:eastAsia="宋体" w:cs="宋体"/>
                                <w:sz w:val="21"/>
                                <w:szCs w:val="21"/>
                              </w:rPr>
                              <w:tab/>
                            </w:r>
                            <w:r>
                              <w:rPr>
                                <w:rFonts w:ascii="宋体" w:hAnsi="宋体" w:eastAsia="宋体" w:cs="宋体"/>
                                <w:sz w:val="21"/>
                                <w:szCs w:val="21"/>
                              </w:rPr>
                              <w:t>协议书</w:t>
                            </w:r>
                          </w:p>
                        </w:txbxContent>
                      </wps:txbx>
                      <wps:bodyPr rot="0" vert="horz" wrap="square" lIns="0" tIns="0" rIns="0" bIns="0" anchor="t" anchorCtr="0" upright="1">
                        <a:noAutofit/>
                      </wps:bodyPr>
                    </wps:wsp>
                  </a:graphicData>
                </a:graphic>
              </wp:anchor>
            </w:drawing>
          </mc:Choice>
          <mc:Fallback>
            <w:pict>
              <v:shape id="Text Box 14" o:spid="_x0000_s1026" o:spt="202" type="#_x0000_t202" style="position:absolute;left:0pt;margin-left:200.25pt;margin-top:-26.65pt;height:74.1pt;width:205.2pt;mso-position-horizontal-relative:page;z-index:-251645952;mso-width-relative:page;mso-height-relative:page;" filled="f" stroked="f" coordsize="21600,21600" o:gfxdata="UEsDBAoAAAAAAIdO4kAAAAAAAAAAAAAAAAAEAAAAZHJzL1BLAwQUAAAACACHTuJAIb3AAtkAAAAK&#10;AQAADwAAAGRycy9kb3ducmV2LnhtbE2Py07DMBBF90j8gzVI7Fo79KEmZFIhBCskRBoWLJ14mkSN&#10;xyF2H/w9ZlWWo3t075l8e7GDONHke8cIyVyBIG6c6blF+KxeZxsQPmg2enBMCD/kYVvc3uQ6M+7M&#10;JZ12oRWxhH2mEboQxkxK33RktZ+7kThmezdZHeI5tdJM+hzL7SAflFpLq3uOC50e6bmj5rA7WoSn&#10;Ly5f+u/3+qPcl31VpYrf1gfE+7tEPYIIdAlXGP70ozoU0al2RzZeDAhLpVYRRZitFgsQkdgkKgVR&#10;I6TLFGSRy/8vFL9QSwMEFAAAAAgAh07iQMkEQIj/AQAABgQAAA4AAABkcnMvZTJvRG9jLnhtbK1T&#10;TY/TMBC9I/EfLN9p0lIKRE1Xy1aLkJYPaZcfMHWcxiLxmLHbpPx6xk5aluWyBy7WeDx+fu/NeH01&#10;dK04avIGbSnns1wKbRVWxu5L+f3h9tU7KXwAW0GLVpfypL282rx8se5doRfYYFtpEgxifdG7UjYh&#10;uCLLvGp0B36GTls+rJE6CLylfVYR9Izetdkiz1dZj1Q5QqW95+x2PJQTIj0HEOvaKL1Fdei0DSMq&#10;6RYCS/KNcV5uEtu61ip8rWuvg2hLyUpDWvkRjndxzTZrKPYErjFqogDPofBEUwfG8qMXqC0EEAcy&#10;/0B1RhF6rMNMYZeNQpIjrGKeP/HmvgGnkxa22ruL6f7/waovx28kTFXK12+ksNBxxx/0EMQHHMR8&#10;Gf3pnS+47N5xYRg4z1OTtHp3h+qHFxZvGrB7fU2EfaOhYn7zeDN7dHXE8RFk13/Git+BQ8AENNTU&#10;RfPYDsHo3JvTpTeRi+LkYpWv8iUfKT57v5znb1PzMijOtx358FFjJ2JQSuLeJ3Q43vkQ2UBxLomP&#10;Wbw1bZv639q/ElwYM4l9JDxSD8NumNzYYXViHYTjOPFn4qBB+iVFz6NUSv/zAKSlaD9Z9iLO3Tmg&#10;c7A7B2AVXy1lkGIMb8I4nwdHZt8w8ui2xWv2qzZJSjR2ZDHx5PFICqdRjvP3eJ+q/nzf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hvcAC2QAAAAoBAAAPAAAAAAAAAAEAIAAAACIAAABkcnMvZG93&#10;bnJldi54bWxQSwECFAAUAAAACACHTuJAyQRAiP8BAAAGBAAADgAAAAAAAAABACAAAAAoAQAAZHJz&#10;L2Uyb0RvYy54bWxQSwUGAAAAAAYABgBZAQAAmQUAAAAA&#10;">
                <v:fill on="f" focussize="0,0"/>
                <v:stroke on="f"/>
                <v:imagedata o:title=""/>
                <o:lock v:ext="edit" aspectratio="f"/>
                <v:textbox inset="0mm,0mm,0mm,0mm">
                  <w:txbxContent>
                    <w:p w14:paraId="5CAB7AB9">
                      <w:pPr>
                        <w:spacing w:before="4" w:after="0" w:line="170" w:lineRule="exact"/>
                        <w:rPr>
                          <w:sz w:val="17"/>
                          <w:szCs w:val="17"/>
                        </w:rPr>
                      </w:pPr>
                    </w:p>
                    <w:p w14:paraId="398FE413">
                      <w:pPr>
                        <w:spacing w:after="0" w:line="200" w:lineRule="exact"/>
                        <w:rPr>
                          <w:sz w:val="20"/>
                          <w:szCs w:val="20"/>
                        </w:rPr>
                      </w:pPr>
                    </w:p>
                    <w:p w14:paraId="602D70B6">
                      <w:pPr>
                        <w:spacing w:after="0" w:line="200" w:lineRule="exact"/>
                        <w:rPr>
                          <w:sz w:val="20"/>
                          <w:szCs w:val="20"/>
                        </w:rPr>
                      </w:pPr>
                    </w:p>
                    <w:p w14:paraId="4A49DEB7">
                      <w:pPr>
                        <w:spacing w:after="0" w:line="200" w:lineRule="exact"/>
                        <w:rPr>
                          <w:sz w:val="20"/>
                          <w:szCs w:val="20"/>
                        </w:rPr>
                      </w:pPr>
                    </w:p>
                    <w:p w14:paraId="0EF20234">
                      <w:pPr>
                        <w:spacing w:after="0" w:line="200" w:lineRule="exact"/>
                        <w:rPr>
                          <w:sz w:val="20"/>
                          <w:szCs w:val="20"/>
                        </w:rPr>
                      </w:pPr>
                    </w:p>
                    <w:p w14:paraId="754B31B2">
                      <w:pPr>
                        <w:tabs>
                          <w:tab w:val="left" w:pos="2200"/>
                        </w:tabs>
                        <w:spacing w:after="0" w:line="240" w:lineRule="auto"/>
                        <w:ind w:left="1053" w:right="-20"/>
                        <w:rPr>
                          <w:rFonts w:ascii="宋体" w:hAnsi="宋体" w:eastAsia="宋体" w:cs="宋体"/>
                          <w:sz w:val="21"/>
                          <w:szCs w:val="21"/>
                        </w:rPr>
                      </w:pPr>
                      <w:r>
                        <w:rPr>
                          <w:rFonts w:ascii="宋体" w:hAnsi="宋体" w:eastAsia="宋体" w:cs="宋体"/>
                          <w:sz w:val="21"/>
                          <w:szCs w:val="21"/>
                        </w:rPr>
                        <w:t>第一部分</w:t>
                      </w:r>
                      <w:r>
                        <w:rPr>
                          <w:rFonts w:ascii="宋体" w:hAnsi="宋体" w:eastAsia="宋体" w:cs="宋体"/>
                          <w:sz w:val="21"/>
                          <w:szCs w:val="21"/>
                        </w:rPr>
                        <w:tab/>
                      </w:r>
                      <w:r>
                        <w:rPr>
                          <w:rFonts w:ascii="宋体" w:hAnsi="宋体" w:eastAsia="宋体" w:cs="宋体"/>
                          <w:sz w:val="21"/>
                          <w:szCs w:val="21"/>
                        </w:rPr>
                        <w:t>协议书</w:t>
                      </w:r>
                    </w:p>
                  </w:txbxContent>
                </v:textbox>
              </v:shape>
            </w:pict>
          </mc:Fallback>
        </mc:AlternateContent>
      </w:r>
      <w:r>
        <w:rPr>
          <w:rFonts w:hint="eastAsia" w:ascii="宋体" w:hAnsi="宋体" w:eastAsia="宋体" w:cs="宋体"/>
          <w:sz w:val="24"/>
          <w:szCs w:val="24"/>
          <w:lang w:eastAsia="zh-CN"/>
        </w:rPr>
        <mc:AlternateContent>
          <mc:Choice Requires="wpg">
            <w:drawing>
              <wp:anchor distT="0" distB="0" distL="114300" distR="114300" simplePos="0" relativeHeight="251676672" behindDoc="1" locked="0" layoutInCell="1" allowOverlap="1">
                <wp:simplePos x="0" y="0"/>
                <wp:positionH relativeFrom="page">
                  <wp:posOffset>2543175</wp:posOffset>
                </wp:positionH>
                <wp:positionV relativeFrom="paragraph">
                  <wp:posOffset>-338455</wp:posOffset>
                </wp:positionV>
                <wp:extent cx="2606040" cy="941070"/>
                <wp:effectExtent l="0" t="0" r="10160" b="11430"/>
                <wp:wrapNone/>
                <wp:docPr id="33" name="Group 12"/>
                <wp:cNvGraphicFramePr/>
                <a:graphic xmlns:a="http://schemas.openxmlformats.org/drawingml/2006/main">
                  <a:graphicData uri="http://schemas.microsoft.com/office/word/2010/wordprocessingGroup">
                    <wpg:wgp>
                      <wpg:cNvGrpSpPr/>
                      <wpg:grpSpPr>
                        <a:xfrm>
                          <a:off x="0" y="0"/>
                          <a:ext cx="2606040" cy="941070"/>
                          <a:chOff x="4005" y="-533"/>
                          <a:chExt cx="4104" cy="1482"/>
                        </a:xfrm>
                      </wpg:grpSpPr>
                      <wps:wsp>
                        <wps:cNvPr id="34" name="Freeform 13"/>
                        <wps:cNvSpPr/>
                        <wps:spPr bwMode="auto">
                          <a:xfrm>
                            <a:off x="4005" y="-533"/>
                            <a:ext cx="4104" cy="1482"/>
                          </a:xfrm>
                          <a:custGeom>
                            <a:avLst/>
                            <a:gdLst>
                              <a:gd name="T0" fmla="+- 0 4005 4005"/>
                              <a:gd name="T1" fmla="*/ T0 w 4104"/>
                              <a:gd name="T2" fmla="+- 0 949 -533"/>
                              <a:gd name="T3" fmla="*/ 949 h 1482"/>
                              <a:gd name="T4" fmla="+- 0 8109 4005"/>
                              <a:gd name="T5" fmla="*/ T4 w 4104"/>
                              <a:gd name="T6" fmla="+- 0 949 -533"/>
                              <a:gd name="T7" fmla="*/ 949 h 1482"/>
                              <a:gd name="T8" fmla="+- 0 8109 4005"/>
                              <a:gd name="T9" fmla="*/ T8 w 4104"/>
                              <a:gd name="T10" fmla="+- 0 -533 -533"/>
                              <a:gd name="T11" fmla="*/ -533 h 1482"/>
                              <a:gd name="T12" fmla="+- 0 4005 4005"/>
                              <a:gd name="T13" fmla="*/ T12 w 4104"/>
                              <a:gd name="T14" fmla="+- 0 -533 -533"/>
                              <a:gd name="T15" fmla="*/ -533 h 1482"/>
                              <a:gd name="T16" fmla="+- 0 4005 4005"/>
                              <a:gd name="T17" fmla="*/ T16 w 4104"/>
                              <a:gd name="T18" fmla="+- 0 949 -533"/>
                              <a:gd name="T19" fmla="*/ 949 h 1482"/>
                            </a:gdLst>
                            <a:ahLst/>
                            <a:cxnLst>
                              <a:cxn ang="0">
                                <a:pos x="T1" y="T3"/>
                              </a:cxn>
                              <a:cxn ang="0">
                                <a:pos x="T5" y="T7"/>
                              </a:cxn>
                              <a:cxn ang="0">
                                <a:pos x="T9" y="T11"/>
                              </a:cxn>
                              <a:cxn ang="0">
                                <a:pos x="T13" y="T15"/>
                              </a:cxn>
                              <a:cxn ang="0">
                                <a:pos x="T17" y="T19"/>
                              </a:cxn>
                            </a:cxnLst>
                            <a:rect l="0" t="0" r="r" b="b"/>
                            <a:pathLst>
                              <a:path w="4104" h="1482">
                                <a:moveTo>
                                  <a:pt x="0" y="1482"/>
                                </a:moveTo>
                                <a:lnTo>
                                  <a:pt x="4104" y="1482"/>
                                </a:lnTo>
                                <a:lnTo>
                                  <a:pt x="4104" y="0"/>
                                </a:lnTo>
                                <a:lnTo>
                                  <a:pt x="0" y="0"/>
                                </a:lnTo>
                                <a:lnTo>
                                  <a:pt x="0" y="1482"/>
                                </a:lnTo>
                              </a:path>
                            </a:pathLst>
                          </a:custGeom>
                          <a:solidFill>
                            <a:srgbClr val="FFFFFF"/>
                          </a:solidFill>
                          <a:ln>
                            <a:noFill/>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200.25pt;margin-top:-26.65pt;height:74.1pt;width:205.2pt;mso-position-horizontal-relative:page;z-index:-251639808;mso-width-relative:page;mso-height-relative:page;" coordorigin="4005,-533" coordsize="4104,1482" o:gfxdata="UEsDBAoAAAAAAIdO4kAAAAAAAAAAAAAAAAAEAAAAZHJzL1BLAwQUAAAACACHTuJAwSNr+dsAAAAK&#10;AQAADwAAAGRycy9kb3ducmV2LnhtbE2PwWrDMBBE74X+g9hCb4mkOi6xYzmU0PYUCk0KJTfF2tgm&#10;1spYip38fdVTe1zmMfO2WF9tx0YcfOtIgZwLYEiVMy3VCr72b7MlMB80Gd05QgU39LAu7+8KnRs3&#10;0SeOu1CzWEI+1wqaEPqcc181aLWfux4pZic3WB3iOdTcDHqK5bbjT0I8c6tbiguN7nHTYHXeXayC&#10;90lPL4l8Hbfn0+Z22Kcf31uJSj0+SLECFvAa/mD41Y/qUEano7uQ8axTsBAijaiCWZokwCKxlCID&#10;dlSQLTLgZcH/v1D+AFBLAwQUAAAACACHTuJAL4ip3acDAABiCgAADgAAAGRycy9lMm9Eb2MueG1s&#10;pVbbbts4EH1foP9A8LGLRJLrOLEQpyiaTbDAXgpU+wG0RF0ASdSStOXs1+8hKcqyG6VG6weZEg+H&#10;Z87McHj/8dDUZM+lqkS7odF1SAlvU5FVbbGh/yRPV3eUKM3ajNWi5Rv6whX9+PDul/u+i/lClKLO&#10;uCQw0qq47za01LqLg0ClJW+YuhYdbzGZC9kwjVdZBJlkPaw3dbAIw1XQC5l1UqRcKXx9dJN0sCgv&#10;MSjyvEr5o0h3DW+1syp5zTRcUmXVKfpg2eY5T/Xfea64JvWGwlNtn9gE4615Bg/3LC4k68oqHSiw&#10;Syic+dSwqsWmo6lHphnZyeobU02VSqFErq9T0QTOEasIvIjCM22epdh11pci7otuFB2BOlP9h82m&#10;f+2/SFJlG/rhAyUtaxBxuy2JFkacvitiYJ5l97X7IocPhXsz/h5y2Zh/eEIOVtaXUVZ+0CTFx8Uq&#10;XIVLKJ5ibr2MwttB97REcMyyZRjeUILZqxvQsDFJy9+G5ViwdGuj5Z0lFfh9A0NvZNN3yEh1lEn9&#10;nExfS9Zxq74yEniZwMXJ9CQ5N2lOIkvZ7A7YKJOKFRQj2/5PkUFUttPCZsiZYq+47nV7w3EWpzul&#10;n7mw4rP9H0q7TM4wsnmYDSwT6J43NZL61ysSErOdfQyZP8IiD3sfkCQkPbG7D0a9rYUHWVvr5Zoc&#10;A1aMppBIbkeYMpiS+MChPkYUdJzwuovC9au8kBejsWQ5w2vlQW/yuvWoN3nh+LuE19rDjF53M7yi&#10;U/GNWK8qFk3Vt6jXNUNNTsnNB3MagiRazNE7jcE8vWkQ3qJ3God5etNIJNFqjt5pKObSLZqG4jTf&#10;cFAUviJY6YskPbRDlWBEmOl7oS3NTihzGiWIBs6ixJY1TABlSmoG7A6u5NYU1HfBoGosI96XoHGw&#10;OPjNZXDIaq2vp3DHaXBYoiGet0JpW+HWrGFxx7TRyQ9Jj8PZnr8l7grm+DUzjdjzRFiMPp76vsix&#10;4RFQt1OgMwWOE6xH+P/OmhyRtlXApJ/2/w6G+oK1SzDf7AibxlkbtNFrI9bkYFWirrKnqq6Nr0oW&#10;28+1JHuGu8ST/Q06n8BqmyytMMtckM0XdCrXEExLVfFWZC9oDlK4CwmuYxiUQv5HSY/LyIaqf3dM&#10;ckrq31u0sXW0NP1T25flze0CL3I6s53OsDaFqQ3VFMlthp+1u/HsOlkVJXaKbBhb8QlNKa9M67D8&#10;HKvhBZ3UjuzVA6OTu8303aKOV8OH/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bBgAAW0NvbnRlbnRfVHlwZXNdLnhtbFBLAQIUAAoAAAAAAIdO&#10;4kAAAAAAAAAAAAAAAAAGAAAAAAAAAAAAEAAAAP0EAABfcmVscy9QSwECFAAUAAAACACHTuJAihRm&#10;PNEAAACUAQAACwAAAAAAAAABACAAAAAhBQAAX3JlbHMvLnJlbHNQSwECFAAKAAAAAACHTuJAAAAA&#10;AAAAAAAAAAAABAAAAAAAAAAAABAAAAAAAAAAZHJzL1BLAQIUABQAAAAIAIdO4kDBI2v52wAAAAoB&#10;AAAPAAAAAAAAAAEAIAAAACIAAABkcnMvZG93bnJldi54bWxQSwECFAAUAAAACACHTuJAL4ip3acD&#10;AABiCgAADgAAAAAAAAABACAAAAAqAQAAZHJzL2Uyb0RvYy54bWxQSwUGAAAAAAYABgBZAQAAQwcA&#10;AAAA&#10;">
                <o:lock v:ext="edit" aspectratio="f"/>
                <v:shape id="Freeform 13" o:spid="_x0000_s1026" o:spt="100" style="position:absolute;left:4005;top:-533;height:1482;width:4104;" fillcolor="#FFFFFF" filled="t" stroked="f" coordsize="4104,1482" o:gfxdata="UEsDBAoAAAAAAIdO4kAAAAAAAAAAAAAAAAAEAAAAZHJzL1BLAwQUAAAACACHTuJAUAfbX7gAAADb&#10;AAAADwAAAGRycy9kb3ducmV2LnhtbEWPzWoCQRCE70LeYWjBm86aiMjG0YNByFXdB2h22v2dns1M&#10;RzdvnxEEj0VVfUVt96Pr1Y1CbDwbWC4yUMSltw1XBorLcb4BFQXZYu+ZDPxRhP3ubbLF3Po7n+h2&#10;lkolCMccDdQiQ651LGtyGBd+IE7e1QeHkmSotA14T3DX6/csW2uHDaeFGgc61FR2519noBUU+3UM&#10;ayy6U/HTdnqk9mrMbLrMPkEJjfIKP9vf1sDHCh5f0g/Qu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AfbX7gAAADbAAAA&#10;DwAAAAAAAAABACAAAAAiAAAAZHJzL2Rvd25yZXYueG1sUEsBAhQAFAAAAAgAh07iQDMvBZ47AAAA&#10;OQAAABAAAAAAAAAAAQAgAAAABwEAAGRycy9zaGFwZXhtbC54bWxQSwUGAAAAAAYABgBbAQAAsQMA&#10;AAAA&#10;" path="m0,1482l4104,1482,4104,0,0,0,0,1482e">
                  <v:path o:connectlocs="0,949;4104,949;4104,-533;0,-533;0,949" o:connectangles="0,0,0,0,0"/>
                  <v:fill on="t" focussize="0,0"/>
                  <v:stroke on="f"/>
                  <v:imagedata o:title=""/>
                  <o:lock v:ext="edit" aspectratio="f"/>
                </v:shape>
              </v:group>
            </w:pict>
          </mc:Fallback>
        </mc:AlternateContent>
      </w:r>
      <w:r>
        <w:rPr>
          <w:rFonts w:hint="eastAsia" w:ascii="宋体" w:hAnsi="宋体" w:eastAsia="宋体" w:cs="宋体"/>
          <w:spacing w:val="2"/>
          <w:w w:val="99"/>
          <w:position w:val="-2"/>
          <w:sz w:val="24"/>
          <w:szCs w:val="24"/>
          <w:lang w:eastAsia="zh-CN"/>
        </w:rPr>
        <w:t xml:space="preserve">                               制定</w:t>
      </w:r>
    </w:p>
    <w:p w14:paraId="2EFA2A5C">
      <w:pPr>
        <w:spacing w:after="0" w:line="360" w:lineRule="auto"/>
        <w:ind w:left="2471" w:right="-20"/>
        <w:rPr>
          <w:rFonts w:ascii="宋体" w:hAnsi="宋体" w:eastAsia="宋体" w:cs="宋体"/>
          <w:sz w:val="24"/>
          <w:szCs w:val="24"/>
          <w:lang w:eastAsia="zh-CN"/>
        </w:rPr>
        <w:sectPr>
          <w:footerReference r:id="rId15" w:type="default"/>
          <w:pgSz w:w="11920" w:h="16840"/>
          <w:pgMar w:top="1500" w:right="1680" w:bottom="1160" w:left="1680" w:header="0" w:footer="976" w:gutter="0"/>
          <w:pgNumType w:fmt="decimal"/>
          <w:cols w:space="720" w:num="1"/>
        </w:sectPr>
      </w:pPr>
      <w:r>
        <w:rPr>
          <w:rFonts w:hint="eastAsia" w:ascii="宋体" w:hAnsi="宋体" w:eastAsia="宋体" w:cs="宋体"/>
          <w:spacing w:val="29"/>
          <w:position w:val="-2"/>
          <w:sz w:val="24"/>
          <w:szCs w:val="24"/>
          <w:lang w:eastAsia="zh-CN"/>
        </w:rPr>
        <w:t>国家</w:t>
      </w:r>
      <w:r>
        <w:rPr>
          <w:rFonts w:hint="eastAsia" w:ascii="宋体" w:hAnsi="宋体" w:eastAsia="宋体" w:cs="宋体"/>
          <w:spacing w:val="31"/>
          <w:position w:val="-2"/>
          <w:sz w:val="24"/>
          <w:szCs w:val="24"/>
          <w:lang w:eastAsia="zh-CN"/>
        </w:rPr>
        <w:t>工</w:t>
      </w:r>
      <w:r>
        <w:rPr>
          <w:rFonts w:hint="eastAsia" w:ascii="宋体" w:hAnsi="宋体" w:eastAsia="宋体" w:cs="宋体"/>
          <w:spacing w:val="29"/>
          <w:position w:val="-2"/>
          <w:sz w:val="24"/>
          <w:szCs w:val="24"/>
          <w:lang w:eastAsia="zh-CN"/>
        </w:rPr>
        <w:t>商行政管理</w:t>
      </w:r>
      <w:r>
        <w:rPr>
          <w:rFonts w:hint="eastAsia" w:ascii="宋体" w:hAnsi="宋体" w:eastAsia="宋体" w:cs="宋体"/>
          <w:position w:val="-2"/>
          <w:sz w:val="24"/>
          <w:szCs w:val="24"/>
          <w:lang w:eastAsia="zh-CN"/>
        </w:rPr>
        <w:t>局</w:t>
      </w:r>
    </w:p>
    <w:p w14:paraId="4E37D826">
      <w:pPr>
        <w:pStyle w:val="5"/>
        <w:spacing w:line="360" w:lineRule="auto"/>
        <w:jc w:val="center"/>
        <w:rPr>
          <w:rFonts w:ascii="宋体" w:hAnsi="宋体" w:eastAsia="宋体" w:cs="宋体"/>
          <w:lang w:eastAsia="zh-CN"/>
        </w:rPr>
      </w:pPr>
      <w:r>
        <w:rPr>
          <w:rFonts w:hint="eastAsia" w:ascii="宋体" w:hAnsi="宋体" w:eastAsia="宋体" w:cs="宋体"/>
          <w:lang w:eastAsia="zh-CN"/>
        </w:rPr>
        <w:t>一、合同协议书</w:t>
      </w:r>
    </w:p>
    <w:p w14:paraId="4F6C03A5">
      <w:pPr>
        <w:spacing w:line="360" w:lineRule="auto"/>
        <w:ind w:firstLine="1260" w:firstLineChars="600"/>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编号：</w:t>
      </w:r>
      <w:r>
        <w:rPr>
          <w:rFonts w:hint="eastAsia" w:ascii="宋体" w:hAnsi="宋体" w:eastAsia="宋体" w:cs="宋体"/>
          <w:kern w:val="2"/>
          <w:sz w:val="21"/>
          <w:szCs w:val="21"/>
          <w:u w:val="single"/>
          <w:lang w:eastAsia="zh-CN"/>
        </w:rPr>
        <w:t xml:space="preserve">                   </w:t>
      </w:r>
    </w:p>
    <w:p w14:paraId="7DD4A29C">
      <w:pPr>
        <w:spacing w:after="0" w:line="360" w:lineRule="auto"/>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发包人（全称）：</w:t>
      </w:r>
      <w:r>
        <w:rPr>
          <w:rFonts w:hint="eastAsia" w:ascii="宋体" w:hAnsi="宋体" w:eastAsia="宋体" w:cs="宋体"/>
          <w:kern w:val="2"/>
          <w:sz w:val="21"/>
          <w:szCs w:val="21"/>
          <w:u w:val="single"/>
          <w:lang w:eastAsia="zh-CN"/>
        </w:rPr>
        <w:t xml:space="preserve">                                                              </w:t>
      </w:r>
    </w:p>
    <w:p w14:paraId="616F3A6C">
      <w:pPr>
        <w:spacing w:after="0" w:line="360" w:lineRule="auto"/>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w:t>
      </w:r>
      <w:r>
        <w:rPr>
          <w:rFonts w:hint="eastAsia" w:ascii="宋体" w:hAnsi="宋体" w:eastAsia="宋体" w:cs="宋体"/>
          <w:kern w:val="2"/>
          <w:sz w:val="18"/>
          <w:szCs w:val="21"/>
          <w:lang w:eastAsia="zh-CN"/>
        </w:rPr>
        <w:t xml:space="preserve"> </w:t>
      </w:r>
      <w:r>
        <w:rPr>
          <w:rFonts w:hint="eastAsia" w:ascii="宋体" w:hAnsi="宋体" w:eastAsia="宋体" w:cs="宋体"/>
          <w:kern w:val="2"/>
          <w:sz w:val="21"/>
          <w:szCs w:val="21"/>
          <w:lang w:eastAsia="zh-CN"/>
        </w:rPr>
        <w:t>定</w:t>
      </w:r>
      <w:r>
        <w:rPr>
          <w:rFonts w:hint="eastAsia" w:ascii="宋体" w:hAnsi="宋体" w:eastAsia="宋体" w:cs="宋体"/>
          <w:kern w:val="2"/>
          <w:sz w:val="13"/>
          <w:szCs w:val="21"/>
          <w:lang w:eastAsia="zh-CN"/>
        </w:rPr>
        <w:t xml:space="preserve"> </w:t>
      </w:r>
      <w:r>
        <w:rPr>
          <w:rFonts w:hint="eastAsia" w:ascii="宋体" w:hAnsi="宋体" w:eastAsia="宋体" w:cs="宋体"/>
          <w:kern w:val="2"/>
          <w:sz w:val="21"/>
          <w:szCs w:val="21"/>
          <w:lang w:eastAsia="zh-CN"/>
        </w:rPr>
        <w:t>代</w:t>
      </w:r>
      <w:r>
        <w:rPr>
          <w:rFonts w:hint="eastAsia" w:ascii="宋体" w:hAnsi="宋体" w:eastAsia="宋体" w:cs="宋体"/>
          <w:kern w:val="2"/>
          <w:sz w:val="13"/>
          <w:szCs w:val="21"/>
          <w:lang w:eastAsia="zh-CN"/>
        </w:rPr>
        <w:t xml:space="preserve"> </w:t>
      </w:r>
      <w:r>
        <w:rPr>
          <w:rFonts w:hint="eastAsia" w:ascii="宋体" w:hAnsi="宋体" w:eastAsia="宋体" w:cs="宋体"/>
          <w:kern w:val="2"/>
          <w:sz w:val="21"/>
          <w:szCs w:val="21"/>
          <w:lang w:eastAsia="zh-CN"/>
        </w:rPr>
        <w:t>表</w:t>
      </w:r>
      <w:r>
        <w:rPr>
          <w:rFonts w:hint="eastAsia" w:ascii="宋体" w:hAnsi="宋体" w:eastAsia="宋体" w:cs="宋体"/>
          <w:kern w:val="2"/>
          <w:sz w:val="13"/>
          <w:szCs w:val="21"/>
          <w:lang w:eastAsia="zh-CN"/>
        </w:rPr>
        <w:t xml:space="preserve"> </w:t>
      </w:r>
      <w:r>
        <w:rPr>
          <w:rFonts w:hint="eastAsia" w:ascii="宋体" w:hAnsi="宋体" w:eastAsia="宋体" w:cs="宋体"/>
          <w:kern w:val="2"/>
          <w:sz w:val="21"/>
          <w:szCs w:val="21"/>
          <w:lang w:eastAsia="zh-CN"/>
        </w:rPr>
        <w:t>人：</w:t>
      </w:r>
      <w:r>
        <w:rPr>
          <w:rFonts w:hint="eastAsia" w:ascii="宋体" w:hAnsi="宋体" w:eastAsia="宋体" w:cs="宋体"/>
          <w:kern w:val="2"/>
          <w:sz w:val="21"/>
          <w:szCs w:val="21"/>
          <w:u w:val="single"/>
          <w:lang w:eastAsia="zh-CN"/>
        </w:rPr>
        <w:t xml:space="preserve">                                                              </w:t>
      </w:r>
    </w:p>
    <w:p w14:paraId="032135E7">
      <w:pPr>
        <w:spacing w:after="0" w:line="360" w:lineRule="auto"/>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法定注册地址：</w:t>
      </w:r>
      <w:r>
        <w:rPr>
          <w:rFonts w:hint="eastAsia" w:ascii="宋体" w:hAnsi="宋体" w:eastAsia="宋体" w:cs="宋体"/>
          <w:kern w:val="2"/>
          <w:sz w:val="21"/>
          <w:szCs w:val="21"/>
          <w:u w:val="single"/>
          <w:lang w:eastAsia="zh-CN"/>
        </w:rPr>
        <w:t xml:space="preserve">                                                               </w:t>
      </w:r>
    </w:p>
    <w:p w14:paraId="2C1D8B47">
      <w:pPr>
        <w:spacing w:after="0" w:line="360" w:lineRule="auto"/>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承包人（全称）：</w:t>
      </w:r>
      <w:r>
        <w:rPr>
          <w:rFonts w:hint="eastAsia" w:ascii="宋体" w:hAnsi="宋体" w:eastAsia="宋体" w:cs="宋体"/>
          <w:kern w:val="2"/>
          <w:sz w:val="21"/>
          <w:szCs w:val="21"/>
          <w:u w:val="single"/>
          <w:lang w:eastAsia="zh-CN"/>
        </w:rPr>
        <w:t xml:space="preserve">                                                              </w:t>
      </w:r>
    </w:p>
    <w:p w14:paraId="0474EAA8">
      <w:pPr>
        <w:spacing w:after="0" w:line="360" w:lineRule="auto"/>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w:t>
      </w:r>
      <w:r>
        <w:rPr>
          <w:rFonts w:hint="eastAsia" w:ascii="宋体" w:hAnsi="宋体" w:eastAsia="宋体" w:cs="宋体"/>
          <w:kern w:val="2"/>
          <w:sz w:val="18"/>
          <w:szCs w:val="21"/>
          <w:lang w:eastAsia="zh-CN"/>
        </w:rPr>
        <w:t xml:space="preserve"> </w:t>
      </w:r>
      <w:r>
        <w:rPr>
          <w:rFonts w:hint="eastAsia" w:ascii="宋体" w:hAnsi="宋体" w:eastAsia="宋体" w:cs="宋体"/>
          <w:kern w:val="2"/>
          <w:sz w:val="21"/>
          <w:szCs w:val="21"/>
          <w:lang w:eastAsia="zh-CN"/>
        </w:rPr>
        <w:t>定</w:t>
      </w:r>
      <w:r>
        <w:rPr>
          <w:rFonts w:hint="eastAsia" w:ascii="宋体" w:hAnsi="宋体" w:eastAsia="宋体" w:cs="宋体"/>
          <w:kern w:val="2"/>
          <w:sz w:val="13"/>
          <w:szCs w:val="21"/>
          <w:lang w:eastAsia="zh-CN"/>
        </w:rPr>
        <w:t xml:space="preserve"> </w:t>
      </w:r>
      <w:r>
        <w:rPr>
          <w:rFonts w:hint="eastAsia" w:ascii="宋体" w:hAnsi="宋体" w:eastAsia="宋体" w:cs="宋体"/>
          <w:kern w:val="2"/>
          <w:sz w:val="21"/>
          <w:szCs w:val="21"/>
          <w:lang w:eastAsia="zh-CN"/>
        </w:rPr>
        <w:t>代</w:t>
      </w:r>
      <w:r>
        <w:rPr>
          <w:rFonts w:hint="eastAsia" w:ascii="宋体" w:hAnsi="宋体" w:eastAsia="宋体" w:cs="宋体"/>
          <w:kern w:val="2"/>
          <w:sz w:val="13"/>
          <w:szCs w:val="21"/>
          <w:lang w:eastAsia="zh-CN"/>
        </w:rPr>
        <w:t xml:space="preserve"> </w:t>
      </w:r>
      <w:r>
        <w:rPr>
          <w:rFonts w:hint="eastAsia" w:ascii="宋体" w:hAnsi="宋体" w:eastAsia="宋体" w:cs="宋体"/>
          <w:kern w:val="2"/>
          <w:sz w:val="21"/>
          <w:szCs w:val="21"/>
          <w:lang w:eastAsia="zh-CN"/>
        </w:rPr>
        <w:t>表</w:t>
      </w:r>
      <w:r>
        <w:rPr>
          <w:rFonts w:hint="eastAsia" w:ascii="宋体" w:hAnsi="宋体" w:eastAsia="宋体" w:cs="宋体"/>
          <w:kern w:val="2"/>
          <w:sz w:val="13"/>
          <w:szCs w:val="21"/>
          <w:lang w:eastAsia="zh-CN"/>
        </w:rPr>
        <w:t xml:space="preserve"> </w:t>
      </w:r>
      <w:r>
        <w:rPr>
          <w:rFonts w:hint="eastAsia" w:ascii="宋体" w:hAnsi="宋体" w:eastAsia="宋体" w:cs="宋体"/>
          <w:kern w:val="2"/>
          <w:sz w:val="21"/>
          <w:szCs w:val="21"/>
          <w:lang w:eastAsia="zh-CN"/>
        </w:rPr>
        <w:t>人：</w:t>
      </w:r>
      <w:r>
        <w:rPr>
          <w:rFonts w:hint="eastAsia" w:ascii="宋体" w:hAnsi="宋体" w:eastAsia="宋体" w:cs="宋体"/>
          <w:kern w:val="2"/>
          <w:sz w:val="21"/>
          <w:szCs w:val="21"/>
          <w:u w:val="single"/>
          <w:lang w:eastAsia="zh-CN"/>
        </w:rPr>
        <w:t xml:space="preserve">                                                              </w:t>
      </w:r>
    </w:p>
    <w:p w14:paraId="145ADA91">
      <w:pPr>
        <w:spacing w:after="0" w:line="360" w:lineRule="auto"/>
        <w:jc w:val="both"/>
        <w:rPr>
          <w:rFonts w:ascii="宋体" w:hAnsi="宋体" w:eastAsia="宋体" w:cs="宋体"/>
          <w:b/>
          <w:kern w:val="2"/>
          <w:sz w:val="21"/>
          <w:szCs w:val="24"/>
          <w:lang w:eastAsia="zh-CN"/>
        </w:rPr>
      </w:pPr>
      <w:r>
        <w:rPr>
          <w:rFonts w:hint="eastAsia" w:ascii="宋体" w:hAnsi="宋体" w:eastAsia="宋体" w:cs="宋体"/>
          <w:kern w:val="2"/>
          <w:sz w:val="21"/>
          <w:szCs w:val="21"/>
          <w:lang w:eastAsia="zh-CN"/>
        </w:rPr>
        <w:t>法定注册地址</w:t>
      </w:r>
      <w:r>
        <w:rPr>
          <w:rFonts w:hint="eastAsia" w:ascii="宋体" w:hAnsi="宋体" w:eastAsia="宋体" w:cs="宋体"/>
          <w:b/>
          <w:kern w:val="2"/>
          <w:sz w:val="21"/>
          <w:szCs w:val="21"/>
          <w:lang w:eastAsia="zh-CN"/>
        </w:rPr>
        <w:t>：</w:t>
      </w:r>
      <w:r>
        <w:rPr>
          <w:rFonts w:hint="eastAsia" w:ascii="宋体" w:hAnsi="宋体" w:eastAsia="宋体" w:cs="宋体"/>
          <w:kern w:val="2"/>
          <w:sz w:val="21"/>
          <w:szCs w:val="21"/>
          <w:u w:val="single"/>
          <w:lang w:eastAsia="zh-CN"/>
        </w:rPr>
        <w:t xml:space="preserve">                                                               </w:t>
      </w:r>
    </w:p>
    <w:p w14:paraId="7C7FB49B">
      <w:pPr>
        <w:spacing w:after="0" w:line="360" w:lineRule="auto"/>
        <w:ind w:firstLine="490"/>
        <w:jc w:val="both"/>
        <w:rPr>
          <w:rFonts w:ascii="宋体" w:hAnsi="宋体" w:eastAsia="宋体" w:cs="宋体"/>
          <w:kern w:val="2"/>
          <w:sz w:val="21"/>
          <w:szCs w:val="24"/>
          <w:lang w:eastAsia="zh-CN"/>
        </w:rPr>
      </w:pPr>
    </w:p>
    <w:p w14:paraId="4A408689">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1"/>
          <w:lang w:eastAsia="zh-CN"/>
        </w:rPr>
        <w:t>发包人为建设</w:t>
      </w:r>
      <w:r>
        <w:rPr>
          <w:rFonts w:hint="eastAsia" w:ascii="宋体" w:hAnsi="宋体" w:eastAsia="宋体" w:cs="宋体"/>
          <w:kern w:val="2"/>
          <w:sz w:val="21"/>
          <w:szCs w:val="24"/>
          <w:u w:val="single"/>
          <w:lang w:eastAsia="zh-CN"/>
        </w:rPr>
        <w:t xml:space="preserve">                               </w:t>
      </w:r>
      <w:r>
        <w:rPr>
          <w:rFonts w:hint="eastAsia" w:ascii="宋体" w:hAnsi="宋体" w:eastAsia="宋体" w:cs="宋体"/>
          <w:kern w:val="2"/>
          <w:sz w:val="21"/>
          <w:szCs w:val="21"/>
          <w:lang w:eastAsia="zh-CN"/>
        </w:rPr>
        <w:t>（以下简称“本工程”），已接受承包人提出的承担本工程的施工、竣工、交付并维修其任何缺陷的投标。</w:t>
      </w:r>
      <w:r>
        <w:rPr>
          <w:rFonts w:hint="eastAsia" w:ascii="宋体" w:hAnsi="宋体" w:eastAsia="宋体" w:cs="宋体"/>
          <w:kern w:val="2"/>
          <w:sz w:val="21"/>
          <w:szCs w:val="24"/>
          <w:lang w:eastAsia="zh-CN"/>
        </w:rPr>
        <w:t>依照《中华人民共和国招标投标法》、《中华人民共和国合同法》、《中华人民共和国建筑法》、及其他有关法律、行政法规，遵循平等、自愿、公平和诚实信用的原则，双方共同达成并订立如下协议。</w:t>
      </w:r>
    </w:p>
    <w:p w14:paraId="287602B9">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一、工程概况</w:t>
      </w:r>
    </w:p>
    <w:p w14:paraId="52533B96">
      <w:pPr>
        <w:spacing w:after="0" w:line="360" w:lineRule="auto"/>
        <w:ind w:firstLine="420" w:firstLineChars="200"/>
        <w:jc w:val="both"/>
        <w:rPr>
          <w:rFonts w:ascii="宋体" w:hAnsi="宋体" w:eastAsia="宋体" w:cs="宋体"/>
          <w:kern w:val="2"/>
          <w:sz w:val="21"/>
          <w:szCs w:val="24"/>
          <w:u w:val="single"/>
          <w:lang w:eastAsia="zh-CN"/>
        </w:rPr>
      </w:pPr>
      <w:r>
        <w:rPr>
          <w:rFonts w:hint="eastAsia" w:ascii="宋体" w:hAnsi="宋体" w:eastAsia="宋体" w:cs="宋体"/>
          <w:kern w:val="2"/>
          <w:sz w:val="21"/>
          <w:szCs w:val="24"/>
          <w:lang w:eastAsia="zh-CN"/>
        </w:rPr>
        <w:t>工程名称：</w:t>
      </w:r>
      <w:r>
        <w:rPr>
          <w:rFonts w:hint="eastAsia" w:ascii="宋体" w:hAnsi="宋体" w:eastAsia="宋体" w:cs="宋体"/>
          <w:kern w:val="2"/>
          <w:sz w:val="21"/>
          <w:szCs w:val="24"/>
          <w:u w:val="single"/>
          <w:lang w:eastAsia="zh-CN"/>
        </w:rPr>
        <w:t xml:space="preserve">                                                                 </w:t>
      </w:r>
    </w:p>
    <w:p w14:paraId="5E21D52A">
      <w:pPr>
        <w:spacing w:after="0" w:line="360" w:lineRule="auto"/>
        <w:ind w:firstLine="420" w:firstLineChars="200"/>
        <w:jc w:val="both"/>
        <w:rPr>
          <w:rFonts w:ascii="宋体" w:hAnsi="宋体" w:eastAsia="宋体" w:cs="宋体"/>
          <w:kern w:val="2"/>
          <w:sz w:val="21"/>
          <w:szCs w:val="24"/>
          <w:u w:val="single"/>
          <w:lang w:eastAsia="zh-CN"/>
        </w:rPr>
      </w:pPr>
      <w:r>
        <w:rPr>
          <w:rFonts w:hint="eastAsia" w:ascii="宋体" w:hAnsi="宋体" w:eastAsia="宋体" w:cs="宋体"/>
          <w:kern w:val="2"/>
          <w:sz w:val="21"/>
          <w:szCs w:val="24"/>
          <w:lang w:eastAsia="zh-CN"/>
        </w:rPr>
        <w:t>工程地点：</w:t>
      </w:r>
      <w:r>
        <w:rPr>
          <w:rFonts w:hint="eastAsia" w:ascii="宋体" w:hAnsi="宋体" w:eastAsia="宋体" w:cs="宋体"/>
          <w:kern w:val="2"/>
          <w:sz w:val="21"/>
          <w:szCs w:val="24"/>
          <w:u w:val="single"/>
          <w:lang w:eastAsia="zh-CN"/>
        </w:rPr>
        <w:t xml:space="preserve">                                                                  </w:t>
      </w:r>
    </w:p>
    <w:p w14:paraId="52FB86C5">
      <w:pPr>
        <w:spacing w:after="0" w:line="360" w:lineRule="auto"/>
        <w:ind w:firstLine="420" w:firstLineChars="200"/>
        <w:jc w:val="both"/>
        <w:rPr>
          <w:rFonts w:ascii="宋体" w:hAnsi="宋体" w:eastAsia="宋体" w:cs="宋体"/>
          <w:kern w:val="2"/>
          <w:sz w:val="21"/>
          <w:szCs w:val="24"/>
          <w:u w:val="single"/>
          <w:lang w:eastAsia="zh-CN"/>
        </w:rPr>
      </w:pPr>
      <w:r>
        <w:rPr>
          <w:rFonts w:hint="eastAsia" w:ascii="宋体" w:hAnsi="宋体" w:eastAsia="宋体" w:cs="宋体"/>
          <w:kern w:val="2"/>
          <w:sz w:val="21"/>
          <w:szCs w:val="24"/>
          <w:lang w:eastAsia="zh-CN"/>
        </w:rPr>
        <w:t>工程内容：</w:t>
      </w:r>
      <w:r>
        <w:rPr>
          <w:rFonts w:hint="eastAsia" w:ascii="宋体" w:hAnsi="宋体" w:eastAsia="宋体" w:cs="宋体"/>
          <w:kern w:val="2"/>
          <w:sz w:val="21"/>
          <w:szCs w:val="24"/>
          <w:u w:val="single"/>
          <w:lang w:eastAsia="zh-CN"/>
        </w:rPr>
        <w:t xml:space="preserve">                                                                  </w:t>
      </w:r>
    </w:p>
    <w:p w14:paraId="166E1D98">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群体工程应附“承包人承揽工程项目一览表”（附件二）</w:t>
      </w:r>
    </w:p>
    <w:p w14:paraId="19720485">
      <w:pPr>
        <w:spacing w:after="0" w:line="360" w:lineRule="auto"/>
        <w:ind w:firstLine="420" w:firstLineChars="200"/>
        <w:jc w:val="both"/>
        <w:rPr>
          <w:rFonts w:ascii="宋体" w:hAnsi="宋体" w:eastAsia="宋体" w:cs="宋体"/>
          <w:kern w:val="2"/>
          <w:sz w:val="21"/>
          <w:szCs w:val="24"/>
          <w:u w:val="single"/>
          <w:lang w:eastAsia="zh-CN"/>
        </w:rPr>
      </w:pPr>
      <w:r>
        <w:rPr>
          <w:rFonts w:hint="eastAsia" w:ascii="宋体" w:hAnsi="宋体" w:eastAsia="宋体" w:cs="宋体"/>
          <w:kern w:val="2"/>
          <w:sz w:val="21"/>
          <w:szCs w:val="24"/>
          <w:lang w:eastAsia="zh-CN"/>
        </w:rPr>
        <w:t>工程立项批准文号：</w:t>
      </w:r>
      <w:r>
        <w:rPr>
          <w:rFonts w:hint="eastAsia" w:ascii="宋体" w:hAnsi="宋体" w:eastAsia="宋体" w:cs="宋体"/>
          <w:kern w:val="2"/>
          <w:sz w:val="21"/>
          <w:szCs w:val="24"/>
          <w:u w:val="single"/>
          <w:lang w:eastAsia="zh-CN"/>
        </w:rPr>
        <w:t xml:space="preserve">                                                         </w:t>
      </w:r>
    </w:p>
    <w:p w14:paraId="462433EA">
      <w:pPr>
        <w:spacing w:after="0" w:line="360" w:lineRule="auto"/>
        <w:ind w:firstLine="420" w:firstLineChars="200"/>
        <w:jc w:val="both"/>
        <w:rPr>
          <w:rFonts w:ascii="宋体" w:hAnsi="宋体" w:eastAsia="宋体" w:cs="宋体"/>
          <w:kern w:val="2"/>
          <w:sz w:val="21"/>
          <w:szCs w:val="24"/>
          <w:u w:val="single"/>
          <w:lang w:eastAsia="zh-CN"/>
        </w:rPr>
      </w:pPr>
      <w:r>
        <w:rPr>
          <w:rFonts w:hint="eastAsia" w:ascii="宋体" w:hAnsi="宋体" w:eastAsia="宋体" w:cs="宋体"/>
          <w:kern w:val="2"/>
          <w:sz w:val="21"/>
          <w:szCs w:val="24"/>
          <w:lang w:eastAsia="zh-CN"/>
        </w:rPr>
        <w:t>资金来源：</w:t>
      </w:r>
      <w:r>
        <w:rPr>
          <w:rFonts w:hint="eastAsia" w:ascii="宋体" w:hAnsi="宋体" w:eastAsia="宋体" w:cs="宋体"/>
          <w:kern w:val="2"/>
          <w:sz w:val="21"/>
          <w:szCs w:val="24"/>
          <w:u w:val="single"/>
          <w:lang w:eastAsia="zh-CN"/>
        </w:rPr>
        <w:t xml:space="preserve">                                                                 </w:t>
      </w:r>
    </w:p>
    <w:p w14:paraId="75E86A6D">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二、工程承包范围</w:t>
      </w:r>
    </w:p>
    <w:p w14:paraId="7047D04E">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承包范围：</w:t>
      </w:r>
      <w:r>
        <w:rPr>
          <w:rFonts w:hint="eastAsia" w:ascii="宋体" w:hAnsi="宋体" w:eastAsia="宋体" w:cs="宋体"/>
          <w:kern w:val="2"/>
          <w:sz w:val="21"/>
          <w:szCs w:val="24"/>
          <w:u w:val="single"/>
          <w:lang w:eastAsia="zh-CN"/>
        </w:rPr>
        <w:t xml:space="preserve">                                                                 </w:t>
      </w:r>
    </w:p>
    <w:p w14:paraId="0E0F3228">
      <w:pPr>
        <w:spacing w:after="0" w:line="360" w:lineRule="auto"/>
        <w:ind w:firstLine="420" w:firstLineChars="200"/>
        <w:jc w:val="both"/>
        <w:rPr>
          <w:rFonts w:ascii="宋体" w:hAnsi="宋体" w:eastAsia="宋体" w:cs="宋体"/>
          <w:b/>
          <w:kern w:val="2"/>
          <w:sz w:val="21"/>
          <w:szCs w:val="24"/>
          <w:u w:val="single"/>
          <w:lang w:eastAsia="zh-CN"/>
        </w:rPr>
      </w:pPr>
      <w:r>
        <w:rPr>
          <w:rFonts w:hint="eastAsia" w:ascii="宋体" w:hAnsi="宋体" w:eastAsia="宋体" w:cs="宋体"/>
          <w:kern w:val="2"/>
          <w:sz w:val="21"/>
          <w:szCs w:val="24"/>
          <w:lang w:eastAsia="zh-CN"/>
        </w:rPr>
        <w:t>详细承包范围见第五章“技术标准和要求”。</w:t>
      </w:r>
    </w:p>
    <w:p w14:paraId="7803D8B5">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三、合同工期</w:t>
      </w:r>
    </w:p>
    <w:p w14:paraId="469D9017">
      <w:pPr>
        <w:spacing w:after="0" w:line="360" w:lineRule="auto"/>
        <w:ind w:firstLine="420" w:firstLineChars="200"/>
        <w:jc w:val="both"/>
        <w:rPr>
          <w:rFonts w:ascii="宋体" w:hAnsi="宋体" w:eastAsia="宋体" w:cs="宋体"/>
          <w:kern w:val="2"/>
          <w:sz w:val="21"/>
          <w:szCs w:val="24"/>
          <w:u w:val="single"/>
          <w:lang w:eastAsia="zh-CN"/>
        </w:rPr>
      </w:pPr>
      <w:r>
        <w:rPr>
          <w:rFonts w:hint="eastAsia" w:ascii="宋体" w:hAnsi="宋体" w:eastAsia="宋体" w:cs="宋体"/>
          <w:kern w:val="2"/>
          <w:sz w:val="21"/>
          <w:szCs w:val="24"/>
          <w:lang w:eastAsia="zh-CN"/>
        </w:rPr>
        <w:t>计划开工日期：</w:t>
      </w:r>
      <w:r>
        <w:rPr>
          <w:rFonts w:hint="eastAsia" w:ascii="宋体" w:hAnsi="宋体" w:eastAsia="宋体" w:cs="宋体"/>
          <w:kern w:val="2"/>
          <w:sz w:val="21"/>
          <w:szCs w:val="24"/>
          <w:u w:val="single"/>
          <w:lang w:eastAsia="zh-CN"/>
        </w:rPr>
        <w:t xml:space="preserve">        </w:t>
      </w:r>
      <w:r>
        <w:rPr>
          <w:rFonts w:hint="eastAsia" w:ascii="宋体" w:hAnsi="宋体" w:eastAsia="宋体" w:cs="宋体"/>
          <w:kern w:val="2"/>
          <w:sz w:val="21"/>
          <w:szCs w:val="24"/>
          <w:lang w:eastAsia="zh-CN"/>
        </w:rPr>
        <w:t>年</w:t>
      </w:r>
      <w:r>
        <w:rPr>
          <w:rFonts w:hint="eastAsia" w:ascii="宋体" w:hAnsi="宋体" w:eastAsia="宋体" w:cs="宋体"/>
          <w:kern w:val="2"/>
          <w:sz w:val="21"/>
          <w:szCs w:val="24"/>
          <w:u w:val="single"/>
          <w:lang w:eastAsia="zh-CN"/>
        </w:rPr>
        <w:t xml:space="preserve">        </w:t>
      </w:r>
      <w:r>
        <w:rPr>
          <w:rFonts w:hint="eastAsia" w:ascii="宋体" w:hAnsi="宋体" w:eastAsia="宋体" w:cs="宋体"/>
          <w:kern w:val="2"/>
          <w:sz w:val="21"/>
          <w:szCs w:val="24"/>
          <w:lang w:eastAsia="zh-CN"/>
        </w:rPr>
        <w:t>月</w:t>
      </w:r>
      <w:r>
        <w:rPr>
          <w:rFonts w:hint="eastAsia" w:ascii="宋体" w:hAnsi="宋体" w:eastAsia="宋体" w:cs="宋体"/>
          <w:kern w:val="2"/>
          <w:sz w:val="21"/>
          <w:szCs w:val="24"/>
          <w:u w:val="single"/>
          <w:lang w:eastAsia="zh-CN"/>
        </w:rPr>
        <w:t xml:space="preserve">        </w:t>
      </w:r>
      <w:r>
        <w:rPr>
          <w:rFonts w:hint="eastAsia" w:ascii="宋体" w:hAnsi="宋体" w:eastAsia="宋体" w:cs="宋体"/>
          <w:kern w:val="2"/>
          <w:sz w:val="21"/>
          <w:szCs w:val="24"/>
          <w:lang w:eastAsia="zh-CN"/>
        </w:rPr>
        <w:t>日</w:t>
      </w:r>
    </w:p>
    <w:p w14:paraId="25AD9168">
      <w:pPr>
        <w:spacing w:after="0" w:line="360" w:lineRule="auto"/>
        <w:ind w:firstLine="420" w:firstLineChars="200"/>
        <w:jc w:val="both"/>
        <w:rPr>
          <w:rFonts w:ascii="宋体" w:hAnsi="宋体" w:eastAsia="宋体" w:cs="宋体"/>
          <w:kern w:val="2"/>
          <w:sz w:val="21"/>
          <w:szCs w:val="24"/>
          <w:u w:val="single"/>
          <w:lang w:eastAsia="zh-CN"/>
        </w:rPr>
      </w:pPr>
      <w:r>
        <w:rPr>
          <w:rFonts w:hint="eastAsia" w:ascii="宋体" w:hAnsi="宋体" w:eastAsia="宋体" w:cs="宋体"/>
          <w:kern w:val="2"/>
          <w:sz w:val="21"/>
          <w:szCs w:val="24"/>
          <w:lang w:eastAsia="zh-CN"/>
        </w:rPr>
        <w:t>计划竣工日期：</w:t>
      </w:r>
      <w:r>
        <w:rPr>
          <w:rFonts w:hint="eastAsia" w:ascii="宋体" w:hAnsi="宋体" w:eastAsia="宋体" w:cs="宋体"/>
          <w:kern w:val="2"/>
          <w:sz w:val="21"/>
          <w:szCs w:val="24"/>
          <w:u w:val="single"/>
          <w:lang w:eastAsia="zh-CN"/>
        </w:rPr>
        <w:t xml:space="preserve">        </w:t>
      </w:r>
      <w:r>
        <w:rPr>
          <w:rFonts w:hint="eastAsia" w:ascii="宋体" w:hAnsi="宋体" w:eastAsia="宋体" w:cs="宋体"/>
          <w:kern w:val="2"/>
          <w:sz w:val="21"/>
          <w:szCs w:val="24"/>
          <w:lang w:eastAsia="zh-CN"/>
        </w:rPr>
        <w:t>年</w:t>
      </w:r>
      <w:r>
        <w:rPr>
          <w:rFonts w:hint="eastAsia" w:ascii="宋体" w:hAnsi="宋体" w:eastAsia="宋体" w:cs="宋体"/>
          <w:kern w:val="2"/>
          <w:sz w:val="21"/>
          <w:szCs w:val="24"/>
          <w:u w:val="single"/>
          <w:lang w:eastAsia="zh-CN"/>
        </w:rPr>
        <w:t xml:space="preserve">        </w:t>
      </w:r>
      <w:r>
        <w:rPr>
          <w:rFonts w:hint="eastAsia" w:ascii="宋体" w:hAnsi="宋体" w:eastAsia="宋体" w:cs="宋体"/>
          <w:kern w:val="2"/>
          <w:sz w:val="21"/>
          <w:szCs w:val="24"/>
          <w:lang w:eastAsia="zh-CN"/>
        </w:rPr>
        <w:t>月</w:t>
      </w:r>
      <w:r>
        <w:rPr>
          <w:rFonts w:hint="eastAsia" w:ascii="宋体" w:hAnsi="宋体" w:eastAsia="宋体" w:cs="宋体"/>
          <w:kern w:val="2"/>
          <w:sz w:val="21"/>
          <w:szCs w:val="24"/>
          <w:u w:val="single"/>
          <w:lang w:eastAsia="zh-CN"/>
        </w:rPr>
        <w:t xml:space="preserve">        </w:t>
      </w:r>
      <w:r>
        <w:rPr>
          <w:rFonts w:hint="eastAsia" w:ascii="宋体" w:hAnsi="宋体" w:eastAsia="宋体" w:cs="宋体"/>
          <w:kern w:val="2"/>
          <w:sz w:val="21"/>
          <w:szCs w:val="24"/>
          <w:lang w:eastAsia="zh-CN"/>
        </w:rPr>
        <w:t>日</w:t>
      </w:r>
    </w:p>
    <w:p w14:paraId="0EB00E76">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工期总日历天数</w:t>
      </w:r>
      <w:r>
        <w:rPr>
          <w:rFonts w:hint="eastAsia" w:ascii="宋体" w:hAnsi="宋体" w:eastAsia="宋体" w:cs="宋体"/>
          <w:kern w:val="2"/>
          <w:sz w:val="21"/>
          <w:szCs w:val="24"/>
          <w:u w:val="single"/>
          <w:lang w:eastAsia="zh-CN"/>
        </w:rPr>
        <w:t xml:space="preserve">            </w:t>
      </w:r>
      <w:r>
        <w:rPr>
          <w:rFonts w:hint="eastAsia" w:ascii="宋体" w:hAnsi="宋体" w:eastAsia="宋体" w:cs="宋体"/>
          <w:kern w:val="2"/>
          <w:sz w:val="21"/>
          <w:szCs w:val="24"/>
          <w:lang w:eastAsia="zh-CN"/>
        </w:rPr>
        <w:t>天，自监理人发出的开工通知中载明的开工日期起算。</w:t>
      </w:r>
    </w:p>
    <w:p w14:paraId="132789E1">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四、质量标准</w:t>
      </w:r>
    </w:p>
    <w:p w14:paraId="6EE13B60">
      <w:pPr>
        <w:spacing w:after="0" w:line="360" w:lineRule="auto"/>
        <w:ind w:firstLine="420" w:firstLineChars="200"/>
        <w:jc w:val="both"/>
        <w:rPr>
          <w:rFonts w:ascii="宋体" w:hAnsi="宋体" w:eastAsia="宋体" w:cs="宋体"/>
          <w:kern w:val="2"/>
          <w:sz w:val="21"/>
          <w:szCs w:val="24"/>
          <w:u w:val="single"/>
          <w:lang w:eastAsia="zh-CN"/>
        </w:rPr>
      </w:pPr>
      <w:r>
        <w:rPr>
          <w:rFonts w:hint="eastAsia" w:ascii="宋体" w:hAnsi="宋体" w:eastAsia="宋体" w:cs="宋体"/>
          <w:kern w:val="2"/>
          <w:sz w:val="21"/>
          <w:szCs w:val="24"/>
          <w:lang w:eastAsia="zh-CN"/>
        </w:rPr>
        <w:t>工程质量标准：</w:t>
      </w:r>
      <w:r>
        <w:rPr>
          <w:rFonts w:hint="eastAsia" w:ascii="宋体" w:hAnsi="宋体" w:eastAsia="宋体" w:cs="宋体"/>
          <w:kern w:val="2"/>
          <w:sz w:val="21"/>
          <w:szCs w:val="24"/>
          <w:u w:val="single"/>
          <w:lang w:eastAsia="zh-CN"/>
        </w:rPr>
        <w:t xml:space="preserve">                                                             </w:t>
      </w:r>
    </w:p>
    <w:p w14:paraId="51AFCC62">
      <w:pPr>
        <w:spacing w:after="0" w:line="360" w:lineRule="auto"/>
        <w:ind w:firstLine="420" w:firstLineChars="200"/>
        <w:jc w:val="both"/>
        <w:rPr>
          <w:rFonts w:ascii="宋体" w:hAnsi="宋体" w:eastAsia="宋体" w:cs="宋体"/>
          <w:kern w:val="2"/>
          <w:sz w:val="21"/>
          <w:szCs w:val="24"/>
          <w:lang w:eastAsia="zh-CN"/>
        </w:rPr>
      </w:pPr>
      <w:bookmarkStart w:id="716" w:name="_Hlk8723675"/>
      <w:r>
        <w:rPr>
          <w:rFonts w:hint="eastAsia" w:ascii="宋体" w:hAnsi="宋体" w:eastAsia="宋体" w:cs="宋体"/>
          <w:kern w:val="2"/>
          <w:sz w:val="21"/>
          <w:szCs w:val="24"/>
          <w:lang w:eastAsia="zh-CN"/>
        </w:rPr>
        <w:t>五、施工现场安全生产标准化管理目标等级要求</w:t>
      </w:r>
    </w:p>
    <w:p w14:paraId="6040A4D7">
      <w:pPr>
        <w:spacing w:after="0" w:line="360" w:lineRule="auto"/>
        <w:ind w:firstLine="420" w:firstLineChars="200"/>
        <w:jc w:val="both"/>
        <w:rPr>
          <w:rFonts w:ascii="宋体" w:hAnsi="宋体" w:eastAsia="宋体" w:cs="宋体"/>
          <w:kern w:val="2"/>
          <w:sz w:val="21"/>
          <w:szCs w:val="24"/>
          <w:u w:val="single"/>
          <w:lang w:eastAsia="zh-CN"/>
        </w:rPr>
      </w:pPr>
      <w:r>
        <w:rPr>
          <w:rFonts w:hint="eastAsia" w:ascii="宋体" w:hAnsi="宋体" w:eastAsia="宋体" w:cs="宋体"/>
          <w:kern w:val="2"/>
          <w:sz w:val="21"/>
          <w:szCs w:val="24"/>
          <w:lang w:eastAsia="zh-CN"/>
        </w:rPr>
        <w:t>施工现场安全生产标准化管理目标等级：</w:t>
      </w:r>
      <w:r>
        <w:rPr>
          <w:rFonts w:hint="eastAsia" w:ascii="宋体" w:hAnsi="宋体" w:eastAsia="宋体" w:cs="宋体"/>
          <w:kern w:val="2"/>
          <w:sz w:val="21"/>
          <w:szCs w:val="24"/>
          <w:u w:val="single"/>
          <w:lang w:eastAsia="zh-CN"/>
        </w:rPr>
        <w:t xml:space="preserve">                                       </w:t>
      </w:r>
      <w:bookmarkEnd w:id="716"/>
    </w:p>
    <w:p w14:paraId="2B00B2C2">
      <w:pPr>
        <w:spacing w:after="0" w:line="360" w:lineRule="auto"/>
        <w:ind w:firstLine="420" w:firstLineChars="200"/>
        <w:jc w:val="both"/>
        <w:rPr>
          <w:rFonts w:ascii="宋体" w:hAnsi="宋体" w:eastAsia="宋体" w:cs="宋体"/>
          <w:kern w:val="2"/>
          <w:sz w:val="21"/>
          <w:szCs w:val="24"/>
          <w:lang w:eastAsia="zh-CN"/>
        </w:rPr>
      </w:pPr>
    </w:p>
    <w:p w14:paraId="54D69078">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六、合同形式</w:t>
      </w:r>
    </w:p>
    <w:p w14:paraId="46713D2F">
      <w:pPr>
        <w:spacing w:after="0" w:line="360" w:lineRule="auto"/>
        <w:ind w:firstLine="420" w:firstLineChars="200"/>
        <w:jc w:val="both"/>
        <w:rPr>
          <w:rFonts w:ascii="宋体" w:hAnsi="宋体" w:eastAsia="宋体" w:cs="宋体"/>
          <w:b/>
          <w:kern w:val="2"/>
          <w:sz w:val="21"/>
          <w:szCs w:val="24"/>
          <w:u w:val="single"/>
          <w:lang w:eastAsia="zh-CN"/>
        </w:rPr>
      </w:pPr>
      <w:r>
        <w:rPr>
          <w:rFonts w:hint="eastAsia" w:ascii="宋体" w:hAnsi="宋体" w:eastAsia="宋体" w:cs="宋体"/>
          <w:kern w:val="2"/>
          <w:sz w:val="21"/>
          <w:szCs w:val="24"/>
          <w:lang w:eastAsia="zh-CN"/>
        </w:rPr>
        <w:t xml:space="preserve">本合同采用 </w:t>
      </w:r>
      <w:r>
        <w:rPr>
          <w:rFonts w:hint="eastAsia" w:ascii="宋体" w:hAnsi="宋体" w:eastAsia="宋体" w:cs="宋体"/>
          <w:kern w:val="2"/>
          <w:sz w:val="21"/>
          <w:szCs w:val="24"/>
          <w:u w:val="single"/>
          <w:lang w:eastAsia="zh-CN"/>
        </w:rPr>
        <w:t xml:space="preserve">                                                    </w:t>
      </w:r>
      <w:r>
        <w:rPr>
          <w:rFonts w:hint="eastAsia" w:ascii="宋体" w:hAnsi="宋体" w:eastAsia="宋体" w:cs="宋体"/>
          <w:kern w:val="2"/>
          <w:sz w:val="21"/>
          <w:szCs w:val="24"/>
          <w:lang w:eastAsia="zh-CN"/>
        </w:rPr>
        <w:t>合同形式。</w:t>
      </w:r>
    </w:p>
    <w:p w14:paraId="01451C01">
      <w:pPr>
        <w:spacing w:after="0" w:line="360" w:lineRule="auto"/>
        <w:ind w:firstLine="420" w:firstLineChars="200"/>
        <w:jc w:val="both"/>
        <w:rPr>
          <w:rFonts w:ascii="宋体" w:hAnsi="宋体" w:eastAsia="宋体" w:cs="宋体"/>
          <w:bCs/>
          <w:kern w:val="2"/>
          <w:sz w:val="21"/>
          <w:szCs w:val="24"/>
          <w:lang w:eastAsia="zh-CN"/>
        </w:rPr>
      </w:pPr>
      <w:r>
        <w:rPr>
          <w:rFonts w:hint="eastAsia" w:ascii="宋体" w:hAnsi="宋体" w:eastAsia="宋体" w:cs="宋体"/>
          <w:bCs/>
          <w:kern w:val="2"/>
          <w:sz w:val="21"/>
          <w:szCs w:val="24"/>
          <w:lang w:eastAsia="zh-CN"/>
        </w:rPr>
        <w:t>七、签约合同价</w:t>
      </w:r>
    </w:p>
    <w:p w14:paraId="5350035E">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金额（大写）：</w:t>
      </w:r>
      <w:r>
        <w:rPr>
          <w:rFonts w:hint="eastAsia" w:ascii="宋体" w:hAnsi="宋体" w:eastAsia="宋体" w:cs="宋体"/>
          <w:kern w:val="2"/>
          <w:sz w:val="21"/>
          <w:szCs w:val="24"/>
          <w:u w:val="single"/>
          <w:lang w:eastAsia="zh-CN"/>
        </w:rPr>
        <w:t xml:space="preserve">                                                  </w:t>
      </w:r>
      <w:r>
        <w:rPr>
          <w:rFonts w:hint="eastAsia" w:ascii="宋体" w:hAnsi="宋体" w:eastAsia="宋体" w:cs="宋体"/>
          <w:kern w:val="2"/>
          <w:sz w:val="21"/>
          <w:szCs w:val="24"/>
          <w:lang w:eastAsia="zh-CN"/>
        </w:rPr>
        <w:t>（人民币）</w:t>
      </w:r>
    </w:p>
    <w:p w14:paraId="3F9DFF0C">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（小写）￥：</w:t>
      </w:r>
      <w:r>
        <w:rPr>
          <w:rFonts w:hint="eastAsia" w:ascii="宋体" w:hAnsi="宋体" w:eastAsia="宋体" w:cs="宋体"/>
          <w:kern w:val="2"/>
          <w:sz w:val="21"/>
          <w:szCs w:val="24"/>
          <w:u w:val="single"/>
          <w:lang w:eastAsia="zh-CN"/>
        </w:rPr>
        <w:t xml:space="preserve">                                                          </w:t>
      </w:r>
      <w:r>
        <w:rPr>
          <w:rFonts w:hint="eastAsia" w:ascii="宋体" w:hAnsi="宋体" w:eastAsia="宋体" w:cs="宋体"/>
          <w:kern w:val="2"/>
          <w:sz w:val="21"/>
          <w:szCs w:val="24"/>
          <w:lang w:eastAsia="zh-CN"/>
        </w:rPr>
        <w:t>元</w:t>
      </w:r>
    </w:p>
    <w:p w14:paraId="2B4E42C2">
      <w:pPr>
        <w:spacing w:after="0" w:line="360" w:lineRule="auto"/>
        <w:ind w:firstLine="630" w:firstLineChars="3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其中：安全文明施工费</w:t>
      </w:r>
      <w:bookmarkStart w:id="717" w:name="_Hlk8292053"/>
      <w:r>
        <w:rPr>
          <w:rFonts w:hint="eastAsia" w:ascii="宋体" w:hAnsi="宋体" w:eastAsia="宋体" w:cs="宋体"/>
          <w:kern w:val="2"/>
          <w:sz w:val="21"/>
          <w:szCs w:val="24"/>
          <w:lang w:eastAsia="zh-CN"/>
        </w:rPr>
        <w:t>（含税）：</w:t>
      </w:r>
      <w:r>
        <w:rPr>
          <w:rFonts w:hint="eastAsia" w:ascii="宋体" w:hAnsi="宋体" w:eastAsia="宋体" w:cs="宋体"/>
          <w:kern w:val="2"/>
          <w:sz w:val="21"/>
          <w:szCs w:val="24"/>
          <w:u w:val="single"/>
          <w:lang w:eastAsia="zh-CN"/>
        </w:rPr>
        <w:t xml:space="preserve">                                      </w:t>
      </w:r>
      <w:r>
        <w:rPr>
          <w:rFonts w:hint="eastAsia" w:ascii="宋体" w:hAnsi="宋体" w:eastAsia="宋体" w:cs="宋体"/>
          <w:kern w:val="2"/>
          <w:sz w:val="21"/>
          <w:szCs w:val="24"/>
          <w:lang w:eastAsia="zh-CN"/>
        </w:rPr>
        <w:t>元</w:t>
      </w:r>
      <w:bookmarkEnd w:id="717"/>
    </w:p>
    <w:p w14:paraId="7463C651">
      <w:pPr>
        <w:wordWrap w:val="0"/>
        <w:spacing w:after="0" w:line="360" w:lineRule="auto"/>
        <w:ind w:left="1260" w:leftChars="6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建筑垃圾运输处置费（含税）：</w:t>
      </w:r>
      <w:r>
        <w:rPr>
          <w:rFonts w:hint="eastAsia" w:ascii="宋体" w:hAnsi="宋体" w:eastAsia="宋体" w:cs="宋体"/>
          <w:kern w:val="2"/>
          <w:sz w:val="21"/>
          <w:szCs w:val="24"/>
          <w:u w:val="single"/>
          <w:lang w:eastAsia="zh-CN"/>
        </w:rPr>
        <w:t xml:space="preserve">                                 </w:t>
      </w:r>
      <w:r>
        <w:rPr>
          <w:rFonts w:hint="eastAsia" w:ascii="宋体" w:hAnsi="宋体" w:eastAsia="宋体" w:cs="宋体"/>
          <w:kern w:val="2"/>
          <w:sz w:val="21"/>
          <w:szCs w:val="24"/>
          <w:lang w:eastAsia="zh-CN"/>
        </w:rPr>
        <w:t>元</w:t>
      </w:r>
    </w:p>
    <w:p w14:paraId="32BC1A52">
      <w:pPr>
        <w:spacing w:after="0" w:line="360" w:lineRule="auto"/>
        <w:ind w:firstLine="1260" w:firstLineChars="6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暂列金额（</w:t>
      </w:r>
      <w:r>
        <w:rPr>
          <w:rFonts w:hint="eastAsia" w:ascii="宋体" w:hAnsi="宋体" w:eastAsia="宋体" w:cs="宋体"/>
          <w:kern w:val="2"/>
          <w:sz w:val="21"/>
          <w:szCs w:val="21"/>
          <w:lang w:eastAsia="zh-CN"/>
        </w:rPr>
        <w:t>含税</w:t>
      </w:r>
      <w:r>
        <w:rPr>
          <w:rFonts w:hint="eastAsia" w:ascii="宋体" w:hAnsi="宋体" w:eastAsia="宋体" w:cs="宋体"/>
          <w:kern w:val="2"/>
          <w:sz w:val="21"/>
          <w:szCs w:val="24"/>
          <w:lang w:eastAsia="zh-CN"/>
        </w:rPr>
        <w:t>）：</w:t>
      </w:r>
      <w:r>
        <w:rPr>
          <w:rFonts w:hint="eastAsia" w:ascii="宋体" w:hAnsi="宋体" w:eastAsia="宋体" w:cs="宋体"/>
          <w:kern w:val="2"/>
          <w:sz w:val="21"/>
          <w:szCs w:val="24"/>
          <w:u w:val="single"/>
          <w:lang w:eastAsia="zh-CN"/>
        </w:rPr>
        <w:t xml:space="preserve">                                            </w:t>
      </w:r>
      <w:r>
        <w:rPr>
          <w:rFonts w:hint="eastAsia" w:ascii="宋体" w:hAnsi="宋体" w:eastAsia="宋体" w:cs="宋体"/>
          <w:kern w:val="2"/>
          <w:sz w:val="21"/>
          <w:szCs w:val="24"/>
          <w:lang w:eastAsia="zh-CN"/>
        </w:rPr>
        <w:t>元</w:t>
      </w:r>
    </w:p>
    <w:p w14:paraId="754A903B">
      <w:pPr>
        <w:spacing w:after="0" w:line="360" w:lineRule="auto"/>
        <w:ind w:firstLine="1260" w:firstLineChars="600"/>
        <w:rPr>
          <w:rFonts w:ascii="宋体" w:hAnsi="宋体" w:eastAsia="宋体" w:cs="宋体"/>
          <w:b/>
          <w:kern w:val="2"/>
          <w:sz w:val="21"/>
          <w:szCs w:val="24"/>
          <w:lang w:eastAsia="zh-CN"/>
        </w:rPr>
      </w:pPr>
      <w:r>
        <w:rPr>
          <w:rFonts w:hint="eastAsia" w:ascii="宋体" w:hAnsi="宋体" w:eastAsia="宋体" w:cs="宋体"/>
          <w:bCs/>
          <w:kern w:val="2"/>
          <w:sz w:val="21"/>
          <w:szCs w:val="24"/>
          <w:lang w:eastAsia="zh-CN"/>
        </w:rPr>
        <w:t>专业工程暂估价</w:t>
      </w:r>
      <w:r>
        <w:rPr>
          <w:rFonts w:hint="eastAsia" w:ascii="宋体" w:hAnsi="宋体" w:eastAsia="宋体" w:cs="宋体"/>
          <w:kern w:val="2"/>
          <w:sz w:val="21"/>
          <w:szCs w:val="24"/>
          <w:lang w:eastAsia="zh-CN"/>
        </w:rPr>
        <w:t>（</w:t>
      </w:r>
      <w:r>
        <w:rPr>
          <w:rFonts w:hint="eastAsia" w:ascii="宋体" w:hAnsi="宋体" w:eastAsia="宋体" w:cs="宋体"/>
          <w:kern w:val="2"/>
          <w:sz w:val="21"/>
          <w:szCs w:val="21"/>
          <w:lang w:eastAsia="zh-CN"/>
        </w:rPr>
        <w:t>含税</w:t>
      </w:r>
      <w:r>
        <w:rPr>
          <w:rFonts w:hint="eastAsia" w:ascii="宋体" w:hAnsi="宋体" w:eastAsia="宋体" w:cs="宋体"/>
          <w:kern w:val="2"/>
          <w:sz w:val="21"/>
          <w:szCs w:val="24"/>
          <w:lang w:eastAsia="zh-CN"/>
        </w:rPr>
        <w:t>）</w:t>
      </w:r>
      <w:r>
        <w:rPr>
          <w:rFonts w:hint="eastAsia" w:ascii="宋体" w:hAnsi="宋体" w:eastAsia="宋体" w:cs="宋体"/>
          <w:bCs/>
          <w:kern w:val="2"/>
          <w:sz w:val="21"/>
          <w:szCs w:val="24"/>
          <w:lang w:eastAsia="zh-CN"/>
        </w:rPr>
        <w:t>：</w:t>
      </w:r>
      <w:r>
        <w:rPr>
          <w:rFonts w:hint="eastAsia" w:ascii="宋体" w:hAnsi="宋体" w:eastAsia="宋体" w:cs="宋体"/>
          <w:kern w:val="2"/>
          <w:sz w:val="21"/>
          <w:szCs w:val="24"/>
          <w:u w:val="single"/>
          <w:lang w:eastAsia="zh-CN"/>
        </w:rPr>
        <w:t xml:space="preserve">      </w:t>
      </w:r>
      <w:r>
        <w:rPr>
          <w:rFonts w:hint="eastAsia" w:ascii="宋体" w:hAnsi="宋体" w:eastAsia="宋体" w:cs="宋体"/>
          <w:kern w:val="2"/>
          <w:sz w:val="24"/>
          <w:szCs w:val="24"/>
          <w:u w:val="single"/>
          <w:lang w:eastAsia="zh-CN"/>
        </w:rPr>
        <w:t xml:space="preserve"> </w:t>
      </w:r>
      <w:r>
        <w:rPr>
          <w:rFonts w:hint="eastAsia" w:ascii="宋体" w:hAnsi="宋体" w:eastAsia="宋体" w:cs="宋体"/>
          <w:kern w:val="2"/>
          <w:sz w:val="21"/>
          <w:szCs w:val="24"/>
          <w:u w:val="single"/>
          <w:lang w:eastAsia="zh-CN"/>
        </w:rPr>
        <w:t xml:space="preserve">   </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4"/>
          <w:u w:val="single"/>
          <w:lang w:eastAsia="zh-CN"/>
        </w:rPr>
        <w:t xml:space="preserve">                      </w:t>
      </w:r>
      <w:r>
        <w:rPr>
          <w:rFonts w:hint="eastAsia" w:ascii="宋体" w:hAnsi="宋体" w:eastAsia="宋体" w:cs="宋体"/>
          <w:kern w:val="2"/>
          <w:sz w:val="21"/>
          <w:szCs w:val="24"/>
          <w:lang w:eastAsia="zh-CN"/>
        </w:rPr>
        <w:t>元</w:t>
      </w:r>
    </w:p>
    <w:p w14:paraId="488C1C79">
      <w:pPr>
        <w:spacing w:after="0" w:line="360" w:lineRule="auto"/>
        <w:ind w:firstLine="420" w:firstLineChars="200"/>
        <w:jc w:val="both"/>
        <w:rPr>
          <w:rFonts w:ascii="宋体" w:hAnsi="宋体" w:eastAsia="宋体" w:cs="宋体"/>
          <w:bCs/>
          <w:kern w:val="2"/>
          <w:sz w:val="21"/>
          <w:szCs w:val="24"/>
          <w:lang w:eastAsia="zh-CN"/>
        </w:rPr>
      </w:pPr>
      <w:r>
        <w:rPr>
          <w:rFonts w:hint="eastAsia" w:ascii="宋体" w:hAnsi="宋体" w:eastAsia="宋体" w:cs="宋体"/>
          <w:bCs/>
          <w:kern w:val="2"/>
          <w:sz w:val="21"/>
          <w:szCs w:val="24"/>
          <w:lang w:eastAsia="zh-CN"/>
        </w:rPr>
        <w:t>八、承包人项目经理：</w:t>
      </w:r>
    </w:p>
    <w:p w14:paraId="422D1D4E">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姓名：</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      职称：</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w:t>
      </w:r>
    </w:p>
    <w:p w14:paraId="57CA20E3">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身份证号：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建造师执业资格证书号：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005C7F5B">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建造师注册证书号：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w:t>
      </w:r>
    </w:p>
    <w:p w14:paraId="778E8632">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建造师执业印章号：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w:t>
      </w:r>
    </w:p>
    <w:p w14:paraId="31BF1897">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安全生产考核合格证书号：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w:t>
      </w:r>
    </w:p>
    <w:p w14:paraId="0B1F146D">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九、合同文件的组成</w:t>
      </w:r>
    </w:p>
    <w:p w14:paraId="425F5C95">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下列文件共同构成合同文件：</w:t>
      </w:r>
    </w:p>
    <w:p w14:paraId="5F6FA8CD">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1、本协议书；</w:t>
      </w:r>
    </w:p>
    <w:p w14:paraId="59ABB728">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2、中标通知书；</w:t>
      </w:r>
    </w:p>
    <w:p w14:paraId="2B9E6EF2">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3、</w:t>
      </w:r>
      <w:r>
        <w:rPr>
          <w:rFonts w:hint="eastAsia" w:ascii="宋体" w:hAnsi="宋体" w:eastAsia="宋体" w:cs="宋体"/>
          <w:kern w:val="2"/>
          <w:sz w:val="21"/>
          <w:szCs w:val="21"/>
          <w:lang w:eastAsia="zh-CN"/>
        </w:rPr>
        <w:t>投标函及投标函附录</w:t>
      </w:r>
      <w:r>
        <w:rPr>
          <w:rFonts w:hint="eastAsia" w:ascii="宋体" w:hAnsi="宋体" w:eastAsia="宋体" w:cs="宋体"/>
          <w:kern w:val="2"/>
          <w:sz w:val="21"/>
          <w:szCs w:val="24"/>
          <w:lang w:eastAsia="zh-CN"/>
        </w:rPr>
        <w:t>；</w:t>
      </w:r>
    </w:p>
    <w:p w14:paraId="78130597">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4、合同条款专用部分；</w:t>
      </w:r>
    </w:p>
    <w:p w14:paraId="0CCA5D3B">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5、合同条款通用部分；</w:t>
      </w:r>
    </w:p>
    <w:p w14:paraId="4A675F26">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6、</w:t>
      </w:r>
      <w:r>
        <w:rPr>
          <w:rFonts w:hint="eastAsia" w:ascii="宋体" w:hAnsi="宋体" w:eastAsia="宋体" w:cs="宋体"/>
          <w:kern w:val="2"/>
          <w:sz w:val="21"/>
          <w:szCs w:val="21"/>
          <w:lang w:eastAsia="zh-CN"/>
        </w:rPr>
        <w:t>技术标准和要求；</w:t>
      </w:r>
    </w:p>
    <w:p w14:paraId="7ABA0FEA">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7、图纸；</w:t>
      </w:r>
    </w:p>
    <w:p w14:paraId="4F017F6A">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8、已标价工程量清单；</w:t>
      </w:r>
    </w:p>
    <w:p w14:paraId="0781E5A5">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9、其他合同文件。</w:t>
      </w:r>
    </w:p>
    <w:p w14:paraId="1D53A025">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上述文件互相补充和解释，如有不明确或不一致之处，以合同约定次序在先者为准。</w:t>
      </w:r>
    </w:p>
    <w:p w14:paraId="2C335D92">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十、本协议书中有关词语定义与合同条款中的定义相同。</w:t>
      </w:r>
    </w:p>
    <w:p w14:paraId="4999715F">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十一、承包人承诺按照合同约定进行施工、竣工、交付并承担质量缺陷保修责任。</w:t>
      </w:r>
    </w:p>
    <w:p w14:paraId="1E9F205B">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十二、发包人承诺按照合同约定的条件、期限和方式向承包人支付合同价款。</w:t>
      </w:r>
    </w:p>
    <w:p w14:paraId="59A90A8A">
      <w:pPr>
        <w:spacing w:after="0" w:line="360" w:lineRule="auto"/>
        <w:ind w:firstLine="420" w:firstLineChars="200"/>
        <w:jc w:val="both"/>
        <w:rPr>
          <w:rFonts w:ascii="宋体" w:hAnsi="宋体" w:eastAsia="宋体" w:cs="宋体"/>
          <w:kern w:val="2"/>
          <w:sz w:val="21"/>
          <w:szCs w:val="24"/>
          <w:u w:val="single"/>
          <w:lang w:eastAsia="zh-CN"/>
        </w:rPr>
      </w:pPr>
      <w:r>
        <w:rPr>
          <w:rFonts w:hint="eastAsia" w:ascii="宋体" w:hAnsi="宋体" w:eastAsia="宋体" w:cs="宋体"/>
          <w:kern w:val="2"/>
          <w:sz w:val="21"/>
          <w:szCs w:val="24"/>
          <w:lang w:eastAsia="zh-CN"/>
        </w:rPr>
        <w:t>十三、本协议书连同其他合同文件正本一式两份，合同双方各执一份；副本一式</w:t>
      </w:r>
      <w:r>
        <w:rPr>
          <w:rFonts w:hint="eastAsia" w:ascii="宋体" w:hAnsi="宋体" w:eastAsia="宋体" w:cs="宋体"/>
          <w:kern w:val="2"/>
          <w:sz w:val="21"/>
          <w:szCs w:val="24"/>
          <w:u w:val="single"/>
          <w:lang w:eastAsia="zh-CN"/>
        </w:rPr>
        <w:t xml:space="preserve">    </w:t>
      </w:r>
    </w:p>
    <w:p w14:paraId="450634E9">
      <w:pPr>
        <w:spacing w:after="0" w:line="360" w:lineRule="auto"/>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份，其中一份在合同报送建设行政主管部门备案时留存。</w:t>
      </w:r>
    </w:p>
    <w:p w14:paraId="1A28B440">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十四、合同未尽事宜，双方另行签订补充协议，但不得背离本协议第八条所约定的合同文件的实质性内容。补充协议是合同文件的组成部分。</w:t>
      </w:r>
    </w:p>
    <w:p w14:paraId="2697BA6B">
      <w:pPr>
        <w:spacing w:after="0" w:line="360" w:lineRule="auto"/>
        <w:jc w:val="both"/>
        <w:rPr>
          <w:rFonts w:ascii="宋体" w:hAnsi="宋体" w:eastAsia="宋体" w:cs="宋体"/>
          <w:kern w:val="2"/>
          <w:sz w:val="21"/>
          <w:szCs w:val="21"/>
          <w:u w:val="single"/>
          <w:lang w:eastAsia="zh-CN"/>
        </w:rPr>
      </w:pPr>
    </w:p>
    <w:p w14:paraId="25D75312">
      <w:pPr>
        <w:spacing w:after="0" w:line="360" w:lineRule="auto"/>
        <w:jc w:val="both"/>
        <w:rPr>
          <w:rFonts w:ascii="宋体" w:hAnsi="宋体" w:eastAsia="宋体" w:cs="宋体"/>
          <w:b/>
          <w:bCs/>
          <w:kern w:val="2"/>
          <w:sz w:val="21"/>
          <w:szCs w:val="21"/>
          <w:lang w:eastAsia="zh-CN"/>
        </w:rPr>
      </w:pPr>
    </w:p>
    <w:p w14:paraId="509A95DB">
      <w:pPr>
        <w:spacing w:after="0" w:line="360" w:lineRule="auto"/>
        <w:jc w:val="both"/>
        <w:rPr>
          <w:rFonts w:ascii="宋体" w:hAnsi="宋体" w:eastAsia="宋体" w:cs="宋体"/>
          <w:kern w:val="2"/>
          <w:sz w:val="21"/>
          <w:szCs w:val="21"/>
          <w:lang w:eastAsia="zh-CN"/>
        </w:rPr>
      </w:pPr>
      <w:r>
        <w:rPr>
          <w:rFonts w:hint="eastAsia" w:ascii="宋体" w:hAnsi="宋体" w:eastAsia="宋体" w:cs="宋体"/>
          <w:bCs/>
          <w:kern w:val="2"/>
          <w:sz w:val="21"/>
          <w:szCs w:val="21"/>
          <w:lang w:eastAsia="zh-CN"/>
        </w:rPr>
        <w:t>发包人：</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（盖单位章）</w:t>
      </w:r>
      <w:r>
        <w:rPr>
          <w:rFonts w:hint="eastAsia" w:ascii="宋体" w:hAnsi="宋体" w:eastAsia="宋体" w:cs="宋体"/>
          <w:bCs/>
          <w:kern w:val="2"/>
          <w:sz w:val="21"/>
          <w:szCs w:val="21"/>
          <w:lang w:eastAsia="zh-CN"/>
        </w:rPr>
        <w:t xml:space="preserve"> 承包人：</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（盖单位章）</w:t>
      </w:r>
    </w:p>
    <w:p w14:paraId="5573D4DD">
      <w:pPr>
        <w:spacing w:after="0" w:line="360" w:lineRule="auto"/>
        <w:jc w:val="both"/>
        <w:rPr>
          <w:rFonts w:ascii="宋体" w:hAnsi="宋体" w:eastAsia="宋体" w:cs="宋体"/>
          <w:kern w:val="2"/>
          <w:sz w:val="21"/>
          <w:szCs w:val="21"/>
          <w:lang w:eastAsia="zh-CN"/>
        </w:rPr>
      </w:pPr>
    </w:p>
    <w:p w14:paraId="57BA081D">
      <w:pPr>
        <w:spacing w:after="0" w:line="360" w:lineRule="auto"/>
        <w:jc w:val="both"/>
        <w:rPr>
          <w:rFonts w:ascii="宋体" w:hAnsi="宋体" w:eastAsia="宋体" w:cs="宋体"/>
          <w:kern w:val="2"/>
          <w:sz w:val="21"/>
          <w:szCs w:val="21"/>
          <w:lang w:eastAsia="zh-CN"/>
        </w:rPr>
      </w:pPr>
      <w:r>
        <w:rPr>
          <w:rFonts w:hint="eastAsia" w:ascii="宋体" w:hAnsi="宋体" w:eastAsia="宋体" w:cs="宋体"/>
          <w:bCs/>
          <w:kern w:val="2"/>
          <w:sz w:val="21"/>
          <w:szCs w:val="21"/>
          <w:lang w:eastAsia="zh-CN"/>
        </w:rPr>
        <w:t>法定代表人或其</w:t>
      </w:r>
      <w:r>
        <w:rPr>
          <w:rFonts w:hint="eastAsia" w:ascii="宋体" w:hAnsi="宋体" w:eastAsia="宋体" w:cs="宋体"/>
          <w:kern w:val="2"/>
          <w:sz w:val="21"/>
          <w:szCs w:val="21"/>
          <w:lang w:eastAsia="zh-CN"/>
        </w:rPr>
        <w:t xml:space="preserve">                           </w:t>
      </w:r>
      <w:r>
        <w:rPr>
          <w:rFonts w:hint="eastAsia" w:ascii="宋体" w:hAnsi="宋体" w:eastAsia="宋体" w:cs="宋体"/>
          <w:bCs/>
          <w:kern w:val="2"/>
          <w:sz w:val="21"/>
          <w:szCs w:val="21"/>
          <w:lang w:eastAsia="zh-CN"/>
        </w:rPr>
        <w:t>法定代表人或其</w:t>
      </w:r>
    </w:p>
    <w:p w14:paraId="16D6149C">
      <w:pPr>
        <w:spacing w:after="0" w:line="360" w:lineRule="auto"/>
        <w:jc w:val="both"/>
        <w:rPr>
          <w:rFonts w:ascii="宋体" w:hAnsi="宋体" w:eastAsia="宋体" w:cs="宋体"/>
          <w:kern w:val="2"/>
          <w:sz w:val="21"/>
          <w:szCs w:val="21"/>
          <w:lang w:eastAsia="zh-CN"/>
        </w:rPr>
      </w:pPr>
      <w:r>
        <w:rPr>
          <w:rFonts w:hint="eastAsia" w:ascii="宋体" w:hAnsi="宋体" w:eastAsia="宋体" w:cs="宋体"/>
          <w:bCs/>
          <w:kern w:val="2"/>
          <w:sz w:val="21"/>
          <w:szCs w:val="21"/>
          <w:lang w:eastAsia="zh-CN"/>
        </w:rPr>
        <w:t>委托代理人：</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（签字） </w:t>
      </w:r>
      <w:r>
        <w:rPr>
          <w:rFonts w:hint="eastAsia" w:ascii="宋体" w:hAnsi="宋体" w:eastAsia="宋体" w:cs="宋体"/>
          <w:bCs/>
          <w:kern w:val="2"/>
          <w:sz w:val="21"/>
          <w:szCs w:val="21"/>
          <w:lang w:eastAsia="zh-CN"/>
        </w:rPr>
        <w:t xml:space="preserve"> 委托代理人：</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（签字）</w:t>
      </w:r>
    </w:p>
    <w:p w14:paraId="2DE15082">
      <w:pPr>
        <w:spacing w:after="0" w:line="360" w:lineRule="auto"/>
        <w:jc w:val="both"/>
        <w:rPr>
          <w:rFonts w:ascii="宋体" w:hAnsi="宋体" w:eastAsia="宋体" w:cs="宋体"/>
          <w:kern w:val="2"/>
          <w:sz w:val="21"/>
          <w:szCs w:val="21"/>
          <w:u w:val="single"/>
          <w:lang w:eastAsia="zh-CN"/>
        </w:rPr>
      </w:pPr>
    </w:p>
    <w:p w14:paraId="37DA48AB">
      <w:pPr>
        <w:spacing w:after="0" w:line="360" w:lineRule="auto"/>
        <w:jc w:val="both"/>
        <w:rPr>
          <w:rFonts w:ascii="宋体" w:hAnsi="宋体" w:eastAsia="宋体" w:cs="宋体"/>
          <w:kern w:val="2"/>
          <w:sz w:val="21"/>
          <w:szCs w:val="21"/>
          <w:lang w:eastAsia="zh-CN"/>
        </w:rPr>
      </w:pP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月 </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日                            </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月 </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w:t>
      </w:r>
    </w:p>
    <w:p w14:paraId="4C229FDD">
      <w:pPr>
        <w:spacing w:after="0" w:line="360" w:lineRule="auto"/>
        <w:jc w:val="both"/>
        <w:rPr>
          <w:rFonts w:ascii="宋体" w:hAnsi="宋体" w:eastAsia="宋体" w:cs="宋体"/>
          <w:kern w:val="2"/>
          <w:sz w:val="21"/>
          <w:szCs w:val="21"/>
          <w:lang w:eastAsia="zh-CN"/>
        </w:rPr>
      </w:pPr>
    </w:p>
    <w:p w14:paraId="675BAFA8">
      <w:pPr>
        <w:spacing w:after="0" w:line="360" w:lineRule="auto"/>
        <w:jc w:val="both"/>
        <w:rPr>
          <w:rFonts w:ascii="宋体" w:hAnsi="宋体" w:eastAsia="宋体" w:cs="宋体"/>
          <w:b/>
          <w:kern w:val="2"/>
          <w:sz w:val="21"/>
          <w:szCs w:val="21"/>
          <w:lang w:eastAsia="zh-CN"/>
        </w:rPr>
      </w:pPr>
      <w:r>
        <w:rPr>
          <w:rFonts w:hint="eastAsia" w:ascii="宋体" w:hAnsi="宋体" w:eastAsia="宋体" w:cs="宋体"/>
          <w:kern w:val="2"/>
          <w:sz w:val="21"/>
          <w:szCs w:val="21"/>
          <w:lang w:eastAsia="zh-CN"/>
        </w:rPr>
        <w:t>签约地点：</w:t>
      </w:r>
      <w:r>
        <w:rPr>
          <w:rFonts w:hint="eastAsia" w:ascii="宋体" w:hAnsi="宋体" w:eastAsia="宋体" w:cs="宋体"/>
          <w:kern w:val="2"/>
          <w:sz w:val="21"/>
          <w:szCs w:val="21"/>
          <w:u w:val="single"/>
          <w:lang w:eastAsia="zh-CN"/>
        </w:rPr>
        <w:t xml:space="preserve">                                                                   </w:t>
      </w:r>
      <w:r>
        <w:rPr>
          <w:rFonts w:hint="eastAsia" w:ascii="宋体" w:hAnsi="宋体" w:eastAsia="宋体" w:cs="宋体"/>
          <w:b/>
          <w:kern w:val="2"/>
          <w:sz w:val="21"/>
          <w:szCs w:val="21"/>
          <w:u w:val="single"/>
          <w:lang w:eastAsia="zh-CN"/>
        </w:rPr>
        <w:t xml:space="preserve"> </w:t>
      </w:r>
    </w:p>
    <w:p w14:paraId="436EC015">
      <w:pPr>
        <w:spacing w:after="0" w:line="360" w:lineRule="auto"/>
        <w:jc w:val="both"/>
        <w:rPr>
          <w:rFonts w:ascii="宋体" w:hAnsi="宋体" w:eastAsia="宋体" w:cs="宋体"/>
          <w:sz w:val="24"/>
          <w:szCs w:val="24"/>
          <w:lang w:eastAsia="zh-CN"/>
        </w:rPr>
      </w:pPr>
      <w:r>
        <w:rPr>
          <w:rFonts w:hint="eastAsia" w:ascii="宋体" w:hAnsi="宋体" w:eastAsia="宋体" w:cs="宋体"/>
          <w:sz w:val="24"/>
          <w:szCs w:val="21"/>
          <w:lang w:eastAsia="zh-CN"/>
        </w:rPr>
        <w:br w:type="page"/>
      </w:r>
    </w:p>
    <w:p w14:paraId="0ACBCFBB">
      <w:pPr>
        <w:pStyle w:val="5"/>
        <w:spacing w:line="360" w:lineRule="auto"/>
        <w:jc w:val="center"/>
        <w:rPr>
          <w:rFonts w:ascii="宋体" w:hAnsi="宋体" w:eastAsia="宋体" w:cs="宋体"/>
          <w:lang w:eastAsia="zh-CN"/>
        </w:rPr>
      </w:pPr>
      <w:r>
        <w:rPr>
          <w:rFonts w:hint="eastAsia" w:ascii="宋体" w:hAnsi="宋体" w:eastAsia="宋体" w:cs="宋体"/>
          <w:lang w:eastAsia="zh-CN"/>
        </w:rPr>
        <w:t>二、  合同通用条款</w:t>
      </w:r>
    </w:p>
    <w:p w14:paraId="47ECF434">
      <w:pPr>
        <w:spacing w:line="360" w:lineRule="auto"/>
        <w:rPr>
          <w:rFonts w:ascii="宋体" w:hAnsi="宋体" w:eastAsia="宋体" w:cs="宋体"/>
          <w:lang w:eastAsia="zh-CN"/>
        </w:rPr>
      </w:pPr>
      <w:r>
        <w:rPr>
          <w:rFonts w:hint="eastAsia" w:ascii="宋体" w:hAnsi="宋体" w:eastAsia="宋体" w:cs="宋体"/>
          <w:lang w:eastAsia="zh-CN"/>
        </w:rPr>
        <w:t xml:space="preserve">1.一般约定 </w:t>
      </w:r>
    </w:p>
    <w:p w14:paraId="68613C5D">
      <w:pPr>
        <w:spacing w:line="360" w:lineRule="auto"/>
        <w:rPr>
          <w:rFonts w:ascii="宋体" w:hAnsi="宋体" w:eastAsia="宋体" w:cs="宋体"/>
          <w:lang w:eastAsia="zh-CN"/>
        </w:rPr>
      </w:pPr>
      <w:bookmarkStart w:id="718" w:name="_Toc511293818"/>
      <w:bookmarkStart w:id="719" w:name="_Toc511294089"/>
      <w:r>
        <w:rPr>
          <w:rFonts w:hint="eastAsia" w:ascii="宋体" w:hAnsi="宋体" w:eastAsia="宋体" w:cs="宋体"/>
          <w:lang w:eastAsia="zh-CN"/>
        </w:rPr>
        <w:t>1.1  词语定义</w:t>
      </w:r>
      <w:bookmarkEnd w:id="718"/>
      <w:bookmarkEnd w:id="719"/>
      <w:r>
        <w:rPr>
          <w:rFonts w:hint="eastAsia" w:ascii="宋体" w:hAnsi="宋体" w:eastAsia="宋体" w:cs="宋体"/>
          <w:lang w:eastAsia="zh-CN"/>
        </w:rPr>
        <w:t xml:space="preserve"> </w:t>
      </w:r>
    </w:p>
    <w:p w14:paraId="7555B4F1">
      <w:pPr>
        <w:spacing w:line="360" w:lineRule="auto"/>
        <w:rPr>
          <w:rFonts w:ascii="宋体" w:hAnsi="宋体" w:eastAsia="宋体" w:cs="宋体"/>
          <w:lang w:eastAsia="zh-CN"/>
        </w:rPr>
      </w:pPr>
      <w:r>
        <w:rPr>
          <w:rFonts w:hint="eastAsia" w:ascii="宋体" w:hAnsi="宋体" w:eastAsia="宋体" w:cs="宋体"/>
          <w:lang w:eastAsia="zh-CN"/>
        </w:rPr>
        <w:t xml:space="preserve">合同条款通用部分、合同条款专用部分中的下列词语应具有本款所赋予的含义。 </w:t>
      </w:r>
    </w:p>
    <w:p w14:paraId="740B76BC">
      <w:pPr>
        <w:spacing w:line="360" w:lineRule="auto"/>
        <w:rPr>
          <w:rFonts w:ascii="宋体" w:hAnsi="宋体" w:eastAsia="宋体" w:cs="宋体"/>
          <w:lang w:eastAsia="zh-CN"/>
        </w:rPr>
      </w:pPr>
      <w:r>
        <w:rPr>
          <w:rFonts w:hint="eastAsia" w:ascii="宋体" w:hAnsi="宋体" w:eastAsia="宋体" w:cs="宋体"/>
          <w:lang w:eastAsia="zh-CN"/>
        </w:rPr>
        <w:t xml:space="preserve">1.1.1  合同 </w:t>
      </w:r>
    </w:p>
    <w:p w14:paraId="76D70DCB">
      <w:pPr>
        <w:spacing w:line="360" w:lineRule="auto"/>
        <w:rPr>
          <w:rFonts w:ascii="宋体" w:hAnsi="宋体" w:eastAsia="宋体" w:cs="宋体"/>
          <w:lang w:eastAsia="zh-CN"/>
        </w:rPr>
      </w:pPr>
      <w:r>
        <w:rPr>
          <w:rFonts w:hint="eastAsia" w:ascii="宋体" w:hAnsi="宋体" w:eastAsia="宋体" w:cs="宋体"/>
          <w:lang w:eastAsia="zh-CN"/>
        </w:rPr>
        <w:t xml:space="preserve">1.1.1.1  合同文件（或称合同）：指合同协议书、中标通知书、投标函及投标函附录、合同条款专用部分、合同条款通用部分、技术标准和要求、图纸、已标价工程量清单，以及其他合同文件。 </w:t>
      </w:r>
    </w:p>
    <w:p w14:paraId="33391C8F">
      <w:pPr>
        <w:spacing w:line="360" w:lineRule="auto"/>
        <w:rPr>
          <w:rFonts w:ascii="宋体" w:hAnsi="宋体" w:eastAsia="宋体" w:cs="宋体"/>
          <w:lang w:eastAsia="zh-CN"/>
        </w:rPr>
      </w:pPr>
      <w:r>
        <w:rPr>
          <w:rFonts w:hint="eastAsia" w:ascii="宋体" w:hAnsi="宋体" w:eastAsia="宋体" w:cs="宋体"/>
          <w:lang w:eastAsia="zh-CN"/>
        </w:rPr>
        <w:t xml:space="preserve">1.1.1.2  合同协议书：指第1.5款所指的合同协议书。 </w:t>
      </w:r>
    </w:p>
    <w:p w14:paraId="31095E83">
      <w:pPr>
        <w:spacing w:line="360" w:lineRule="auto"/>
        <w:rPr>
          <w:rFonts w:ascii="宋体" w:hAnsi="宋体" w:eastAsia="宋体" w:cs="宋体"/>
          <w:lang w:eastAsia="zh-CN"/>
        </w:rPr>
      </w:pPr>
      <w:r>
        <w:rPr>
          <w:rFonts w:hint="eastAsia" w:ascii="宋体" w:hAnsi="宋体" w:eastAsia="宋体" w:cs="宋体"/>
          <w:lang w:eastAsia="zh-CN"/>
        </w:rPr>
        <w:t xml:space="preserve">1.1.1.3  中标通知书：指发包人通知承包人中标的函件。 </w:t>
      </w:r>
    </w:p>
    <w:p w14:paraId="4F7B82C8">
      <w:pPr>
        <w:spacing w:line="360" w:lineRule="auto"/>
        <w:rPr>
          <w:rFonts w:ascii="宋体" w:hAnsi="宋体" w:eastAsia="宋体" w:cs="宋体"/>
          <w:lang w:eastAsia="zh-CN"/>
        </w:rPr>
      </w:pPr>
      <w:r>
        <w:rPr>
          <w:rFonts w:hint="eastAsia" w:ascii="宋体" w:hAnsi="宋体" w:eastAsia="宋体" w:cs="宋体"/>
          <w:lang w:eastAsia="zh-CN"/>
        </w:rPr>
        <w:t xml:space="preserve">1.1.1.4  投标函：指构成合同文件组成部分的由承包人填写并签署的投标函。 </w:t>
      </w:r>
    </w:p>
    <w:p w14:paraId="50551F87">
      <w:pPr>
        <w:spacing w:line="360" w:lineRule="auto"/>
        <w:rPr>
          <w:rFonts w:ascii="宋体" w:hAnsi="宋体" w:eastAsia="宋体" w:cs="宋体"/>
          <w:lang w:eastAsia="zh-CN"/>
        </w:rPr>
      </w:pPr>
      <w:r>
        <w:rPr>
          <w:rFonts w:hint="eastAsia" w:ascii="宋体" w:hAnsi="宋体" w:eastAsia="宋体" w:cs="宋体"/>
          <w:lang w:eastAsia="zh-CN"/>
        </w:rPr>
        <w:t xml:space="preserve">1.1.1.5  投标函附录：指附在投标函后构成合同文件的投标函附录。 </w:t>
      </w:r>
    </w:p>
    <w:p w14:paraId="6CA754F5">
      <w:pPr>
        <w:spacing w:line="360" w:lineRule="auto"/>
        <w:rPr>
          <w:rFonts w:ascii="宋体" w:hAnsi="宋体" w:eastAsia="宋体" w:cs="宋体"/>
          <w:lang w:eastAsia="zh-CN"/>
        </w:rPr>
      </w:pPr>
      <w:r>
        <w:rPr>
          <w:rFonts w:hint="eastAsia" w:ascii="宋体" w:hAnsi="宋体" w:eastAsia="宋体" w:cs="宋体"/>
          <w:lang w:eastAsia="zh-CN"/>
        </w:rPr>
        <w:t xml:space="preserve">1.1.1.6  合同条款：指构成合同文件组成部分的合同条款通用部分和（或）合同条款专用部分。 </w:t>
      </w:r>
    </w:p>
    <w:p w14:paraId="6A732FD1">
      <w:pPr>
        <w:spacing w:line="360" w:lineRule="auto"/>
        <w:rPr>
          <w:rFonts w:ascii="宋体" w:hAnsi="宋体" w:eastAsia="宋体" w:cs="宋体"/>
          <w:lang w:eastAsia="zh-CN"/>
        </w:rPr>
      </w:pPr>
      <w:r>
        <w:rPr>
          <w:rFonts w:hint="eastAsia" w:ascii="宋体" w:hAnsi="宋体" w:eastAsia="宋体" w:cs="宋体"/>
          <w:lang w:eastAsia="zh-CN"/>
        </w:rPr>
        <w:t xml:space="preserve">1.1.1.7  技术标准和要求：指构成合同文件组成部分的名为技术标准和要求的文件，包括合同双方当事人约定对其所作的修改或补充。 </w:t>
      </w:r>
    </w:p>
    <w:p w14:paraId="5FFE45A8">
      <w:pPr>
        <w:spacing w:line="360" w:lineRule="auto"/>
        <w:rPr>
          <w:rFonts w:ascii="宋体" w:hAnsi="宋体" w:eastAsia="宋体" w:cs="宋体"/>
          <w:lang w:eastAsia="zh-CN"/>
        </w:rPr>
      </w:pPr>
      <w:r>
        <w:rPr>
          <w:rFonts w:hint="eastAsia" w:ascii="宋体" w:hAnsi="宋体" w:eastAsia="宋体" w:cs="宋体"/>
          <w:lang w:eastAsia="zh-CN"/>
        </w:rPr>
        <w:t xml:space="preserve">1.1.1.8  图纸：指包含在合同中的工程图纸，以及由发包人按合同约定提供的任何补充和修改的图纸，包括配套的说明。 </w:t>
      </w:r>
    </w:p>
    <w:p w14:paraId="38C32AFA">
      <w:pPr>
        <w:spacing w:line="360" w:lineRule="auto"/>
        <w:rPr>
          <w:rFonts w:ascii="宋体" w:hAnsi="宋体" w:eastAsia="宋体" w:cs="宋体"/>
          <w:lang w:eastAsia="zh-CN"/>
        </w:rPr>
      </w:pPr>
      <w:r>
        <w:rPr>
          <w:rFonts w:hint="eastAsia" w:ascii="宋体" w:hAnsi="宋体" w:eastAsia="宋体" w:cs="宋体"/>
          <w:lang w:eastAsia="zh-CN"/>
        </w:rPr>
        <w:t xml:space="preserve">1.1.1.9  已标价工程量清单：指构成合同文件组成部分的由承包人按照规定的格式和要求填写并标明价格的工程量清单。 </w:t>
      </w:r>
    </w:p>
    <w:p w14:paraId="325496B5">
      <w:pPr>
        <w:spacing w:line="360" w:lineRule="auto"/>
        <w:rPr>
          <w:rFonts w:ascii="宋体" w:hAnsi="宋体" w:eastAsia="宋体" w:cs="宋体"/>
          <w:lang w:eastAsia="zh-CN"/>
        </w:rPr>
      </w:pPr>
      <w:r>
        <w:rPr>
          <w:rFonts w:hint="eastAsia" w:ascii="宋体" w:hAnsi="宋体" w:eastAsia="宋体" w:cs="宋体"/>
          <w:lang w:eastAsia="zh-CN"/>
        </w:rPr>
        <w:t xml:space="preserve">1.1.1.10  其他合同文件：指经合同双方当事人确认构成合同文件的其他文件。 </w:t>
      </w:r>
    </w:p>
    <w:p w14:paraId="72266814">
      <w:pPr>
        <w:spacing w:line="360" w:lineRule="auto"/>
        <w:rPr>
          <w:rFonts w:ascii="宋体" w:hAnsi="宋体" w:eastAsia="宋体" w:cs="宋体"/>
          <w:lang w:eastAsia="zh-CN"/>
        </w:rPr>
      </w:pPr>
      <w:r>
        <w:rPr>
          <w:rFonts w:hint="eastAsia" w:ascii="宋体" w:hAnsi="宋体" w:eastAsia="宋体" w:cs="宋体"/>
          <w:lang w:eastAsia="zh-CN"/>
        </w:rPr>
        <w:t xml:space="preserve">1.1.2  合同当事人和人员 </w:t>
      </w:r>
    </w:p>
    <w:p w14:paraId="4673CEA9">
      <w:pPr>
        <w:spacing w:line="360" w:lineRule="auto"/>
        <w:rPr>
          <w:rFonts w:ascii="宋体" w:hAnsi="宋体" w:eastAsia="宋体" w:cs="宋体"/>
          <w:lang w:eastAsia="zh-CN"/>
        </w:rPr>
      </w:pPr>
      <w:r>
        <w:rPr>
          <w:rFonts w:hint="eastAsia" w:ascii="宋体" w:hAnsi="宋体" w:eastAsia="宋体" w:cs="宋体"/>
          <w:lang w:eastAsia="zh-CN"/>
        </w:rPr>
        <w:t xml:space="preserve">1.1.2.1  合同当事人：指发包人和（或）承包人。 </w:t>
      </w:r>
    </w:p>
    <w:p w14:paraId="63CC0BEC">
      <w:pPr>
        <w:spacing w:line="360" w:lineRule="auto"/>
        <w:rPr>
          <w:rFonts w:ascii="宋体" w:hAnsi="宋体" w:eastAsia="宋体" w:cs="宋体"/>
          <w:lang w:eastAsia="zh-CN"/>
        </w:rPr>
      </w:pPr>
      <w:r>
        <w:rPr>
          <w:rFonts w:hint="eastAsia" w:ascii="宋体" w:hAnsi="宋体" w:eastAsia="宋体" w:cs="宋体"/>
          <w:lang w:eastAsia="zh-CN"/>
        </w:rPr>
        <w:t xml:space="preserve">1.1.2.2  发包人：指合同协议书中约定，具有工程发包主体资格和承诺按照合同约定的条件、期限和方式向承包人支付工程价款的当事人，以及取得该当事人资格的合法继承人。发包人名称见合同条款专用部分。 </w:t>
      </w:r>
    </w:p>
    <w:p w14:paraId="25F25778">
      <w:pPr>
        <w:spacing w:line="360" w:lineRule="auto"/>
        <w:rPr>
          <w:rFonts w:ascii="宋体" w:hAnsi="宋体" w:eastAsia="宋体" w:cs="宋体"/>
          <w:lang w:eastAsia="zh-CN"/>
        </w:rPr>
      </w:pPr>
      <w:r>
        <w:rPr>
          <w:rFonts w:hint="eastAsia" w:ascii="宋体" w:hAnsi="宋体" w:eastAsia="宋体" w:cs="宋体"/>
          <w:lang w:eastAsia="zh-CN"/>
        </w:rPr>
        <w:t xml:space="preserve">1.1.2.3  承包人：指合同协议书中约定，具有合同工程承包主体资格，并承诺按照合同约定进行施工、竣工、交付并承担质量缺陷保修责任的当事人，以及取得该当事人资格的合法继承人。承包人名称见合同条款专用部分。 </w:t>
      </w:r>
    </w:p>
    <w:p w14:paraId="5D125E4C">
      <w:pPr>
        <w:spacing w:line="360" w:lineRule="auto"/>
        <w:rPr>
          <w:rFonts w:ascii="宋体" w:hAnsi="宋体" w:eastAsia="宋体" w:cs="宋体"/>
          <w:lang w:eastAsia="zh-CN"/>
        </w:rPr>
      </w:pPr>
      <w:r>
        <w:rPr>
          <w:rFonts w:hint="eastAsia" w:ascii="宋体" w:hAnsi="宋体" w:eastAsia="宋体" w:cs="宋体"/>
          <w:lang w:eastAsia="zh-CN"/>
        </w:rPr>
        <w:t xml:space="preserve">1.1.2.4  承包人项目经理：指承包人派驻施工场地的全权负责人。 </w:t>
      </w:r>
    </w:p>
    <w:p w14:paraId="24B8834B">
      <w:pPr>
        <w:spacing w:line="360" w:lineRule="auto"/>
        <w:rPr>
          <w:rFonts w:ascii="宋体" w:hAnsi="宋体" w:eastAsia="宋体" w:cs="宋体"/>
          <w:lang w:eastAsia="zh-CN"/>
        </w:rPr>
      </w:pPr>
      <w:r>
        <w:rPr>
          <w:rFonts w:hint="eastAsia" w:ascii="宋体" w:hAnsi="宋体" w:eastAsia="宋体" w:cs="宋体"/>
          <w:lang w:eastAsia="zh-CN"/>
        </w:rPr>
        <w:t xml:space="preserve">1.1.2.5  分包人：指从承包人处分包合同中某一部分工程，并与其签订分包合同的分包人。 </w:t>
      </w:r>
    </w:p>
    <w:p w14:paraId="5591AD7C">
      <w:pPr>
        <w:spacing w:line="360" w:lineRule="auto"/>
        <w:rPr>
          <w:rFonts w:ascii="宋体" w:hAnsi="宋体" w:eastAsia="宋体" w:cs="宋体"/>
          <w:lang w:eastAsia="zh-CN"/>
        </w:rPr>
      </w:pPr>
      <w:r>
        <w:rPr>
          <w:rFonts w:hint="eastAsia" w:ascii="宋体" w:hAnsi="宋体" w:eastAsia="宋体" w:cs="宋体"/>
          <w:lang w:eastAsia="zh-CN"/>
        </w:rPr>
        <w:t xml:space="preserve">1.1.2.6  监理人：指发包人委托的对合同履行实施管理的法人或其他组织。监理人名称见合同条款专用部分。 </w:t>
      </w:r>
    </w:p>
    <w:p w14:paraId="50B954B3">
      <w:pPr>
        <w:spacing w:line="360" w:lineRule="auto"/>
        <w:rPr>
          <w:rFonts w:ascii="宋体" w:hAnsi="宋体" w:eastAsia="宋体" w:cs="宋体"/>
          <w:lang w:eastAsia="zh-CN"/>
        </w:rPr>
      </w:pPr>
      <w:r>
        <w:rPr>
          <w:rFonts w:hint="eastAsia" w:ascii="宋体" w:hAnsi="宋体" w:eastAsia="宋体" w:cs="宋体"/>
          <w:lang w:eastAsia="zh-CN"/>
        </w:rPr>
        <w:t xml:space="preserve">1.1.2.7  总监理工程师（总监）：指由监理人委派常驻施工场地对合同履行实施管理的全权负责人。 </w:t>
      </w:r>
    </w:p>
    <w:p w14:paraId="70F32B05">
      <w:pPr>
        <w:spacing w:line="360" w:lineRule="auto"/>
        <w:rPr>
          <w:rFonts w:ascii="宋体" w:hAnsi="宋体" w:eastAsia="宋体" w:cs="宋体"/>
          <w:lang w:eastAsia="zh-CN"/>
        </w:rPr>
      </w:pPr>
      <w:r>
        <w:rPr>
          <w:rFonts w:hint="eastAsia" w:ascii="宋体" w:hAnsi="宋体" w:eastAsia="宋体" w:cs="宋体"/>
          <w:lang w:eastAsia="zh-CN"/>
        </w:rPr>
        <w:t xml:space="preserve">1.1.2.8  发包人代表：指由发包人指定的派驻施工场地（现场）的全权代表。发包人代表相关信息见合同条款专用部分。 </w:t>
      </w:r>
    </w:p>
    <w:p w14:paraId="3BC65069">
      <w:pPr>
        <w:spacing w:line="360" w:lineRule="auto"/>
        <w:rPr>
          <w:rFonts w:ascii="宋体" w:hAnsi="宋体" w:eastAsia="宋体" w:cs="宋体"/>
          <w:lang w:eastAsia="zh-CN"/>
        </w:rPr>
      </w:pPr>
      <w:r>
        <w:rPr>
          <w:rFonts w:hint="eastAsia" w:ascii="宋体" w:hAnsi="宋体" w:eastAsia="宋体" w:cs="宋体"/>
          <w:lang w:eastAsia="zh-CN"/>
        </w:rPr>
        <w:t xml:space="preserve">1.1.2.9  专业分包人：指根据合同条款第15.8.1项的约定，由发包人和承包人以招标方式选择的分包人。 </w:t>
      </w:r>
    </w:p>
    <w:p w14:paraId="42078DB5">
      <w:pPr>
        <w:spacing w:line="360" w:lineRule="auto"/>
        <w:rPr>
          <w:rFonts w:ascii="宋体" w:hAnsi="宋体" w:eastAsia="宋体" w:cs="宋体"/>
          <w:lang w:eastAsia="zh-CN"/>
        </w:rPr>
      </w:pPr>
      <w:r>
        <w:rPr>
          <w:rFonts w:hint="eastAsia" w:ascii="宋体" w:hAnsi="宋体" w:eastAsia="宋体" w:cs="宋体"/>
          <w:lang w:eastAsia="zh-CN"/>
        </w:rPr>
        <w:t xml:space="preserve">1.1.2.10  专项投标人：指根据合同条款第15.8.1项的约定，由发包人和承包人以招标方式选择的投标人。 </w:t>
      </w:r>
    </w:p>
    <w:p w14:paraId="36D4301F">
      <w:pPr>
        <w:spacing w:line="360" w:lineRule="auto"/>
        <w:rPr>
          <w:rFonts w:ascii="宋体" w:hAnsi="宋体" w:eastAsia="宋体" w:cs="宋体"/>
          <w:lang w:eastAsia="zh-CN"/>
        </w:rPr>
      </w:pPr>
      <w:r>
        <w:rPr>
          <w:rFonts w:hint="eastAsia" w:ascii="宋体" w:hAnsi="宋体" w:eastAsia="宋体" w:cs="宋体"/>
          <w:lang w:eastAsia="zh-CN"/>
        </w:rPr>
        <w:t xml:space="preserve">1.1.2.11  独立承包人：指与发包人直接订立工程承包合同，负责实施与工程有关的其他工作的当事人。 </w:t>
      </w:r>
    </w:p>
    <w:p w14:paraId="0546E72A">
      <w:pPr>
        <w:spacing w:line="360" w:lineRule="auto"/>
        <w:rPr>
          <w:rFonts w:ascii="宋体" w:hAnsi="宋体" w:eastAsia="宋体" w:cs="宋体"/>
          <w:lang w:eastAsia="zh-CN"/>
        </w:rPr>
      </w:pPr>
      <w:r>
        <w:rPr>
          <w:rFonts w:hint="eastAsia" w:ascii="宋体" w:hAnsi="宋体" w:eastAsia="宋体" w:cs="宋体"/>
          <w:lang w:eastAsia="zh-CN"/>
        </w:rPr>
        <w:t xml:space="preserve">1.1.3  工程和设备 </w:t>
      </w:r>
    </w:p>
    <w:p w14:paraId="0C1ED7D4">
      <w:pPr>
        <w:spacing w:line="360" w:lineRule="auto"/>
        <w:rPr>
          <w:rFonts w:ascii="宋体" w:hAnsi="宋体" w:eastAsia="宋体" w:cs="宋体"/>
          <w:lang w:eastAsia="zh-CN"/>
        </w:rPr>
      </w:pPr>
      <w:r>
        <w:rPr>
          <w:rFonts w:hint="eastAsia" w:ascii="宋体" w:hAnsi="宋体" w:eastAsia="宋体" w:cs="宋体"/>
          <w:lang w:eastAsia="zh-CN"/>
        </w:rPr>
        <w:t xml:space="preserve">1.1.3.1  工程：指永久工程和（或）临时工程。 </w:t>
      </w:r>
    </w:p>
    <w:p w14:paraId="164AA1E1">
      <w:pPr>
        <w:spacing w:line="360" w:lineRule="auto"/>
        <w:rPr>
          <w:rFonts w:ascii="宋体" w:hAnsi="宋体" w:eastAsia="宋体" w:cs="宋体"/>
          <w:lang w:eastAsia="zh-CN"/>
        </w:rPr>
      </w:pPr>
      <w:r>
        <w:rPr>
          <w:rFonts w:hint="eastAsia" w:ascii="宋体" w:hAnsi="宋体" w:eastAsia="宋体" w:cs="宋体"/>
          <w:lang w:eastAsia="zh-CN"/>
        </w:rPr>
        <w:t xml:space="preserve">1.1.3.2  永久工程：指按照合同约定所需建造、完成并移交给发包人的工程，包括工程设备。永久工程的约定见合同条款专用部分。 </w:t>
      </w:r>
    </w:p>
    <w:p w14:paraId="4831019D">
      <w:pPr>
        <w:spacing w:line="360" w:lineRule="auto"/>
        <w:rPr>
          <w:rFonts w:ascii="宋体" w:hAnsi="宋体" w:eastAsia="宋体" w:cs="宋体"/>
          <w:lang w:eastAsia="zh-CN"/>
        </w:rPr>
      </w:pPr>
      <w:r>
        <w:rPr>
          <w:rFonts w:hint="eastAsia" w:ascii="宋体" w:hAnsi="宋体" w:eastAsia="宋体" w:cs="宋体"/>
          <w:lang w:eastAsia="zh-CN"/>
        </w:rPr>
        <w:t xml:space="preserve">1.1.3.3  临时工程：指为完成合同约定的永久工程所修建的各类临时性工程，不包括施工设备。临时工程的约定见合同条款专用部分。 </w:t>
      </w:r>
    </w:p>
    <w:p w14:paraId="1B17CBD0">
      <w:pPr>
        <w:spacing w:line="360" w:lineRule="auto"/>
        <w:rPr>
          <w:rFonts w:ascii="宋体" w:hAnsi="宋体" w:eastAsia="宋体" w:cs="宋体"/>
          <w:lang w:eastAsia="zh-CN"/>
        </w:rPr>
      </w:pPr>
      <w:r>
        <w:rPr>
          <w:rFonts w:hint="eastAsia" w:ascii="宋体" w:hAnsi="宋体" w:eastAsia="宋体" w:cs="宋体"/>
          <w:lang w:eastAsia="zh-CN"/>
        </w:rPr>
        <w:t xml:space="preserve">1.1.3.4  单位工程：指具有相对独立的设计文件，能够独立组织施工并能形成独立使用功能的永久工程的组成部分。 </w:t>
      </w:r>
    </w:p>
    <w:p w14:paraId="7AF2B3FD">
      <w:pPr>
        <w:spacing w:line="360" w:lineRule="auto"/>
        <w:rPr>
          <w:rFonts w:ascii="宋体" w:hAnsi="宋体" w:eastAsia="宋体" w:cs="宋体"/>
          <w:lang w:eastAsia="zh-CN"/>
        </w:rPr>
      </w:pPr>
      <w:r>
        <w:rPr>
          <w:rFonts w:hint="eastAsia" w:ascii="宋体" w:hAnsi="宋体" w:eastAsia="宋体" w:cs="宋体"/>
          <w:lang w:eastAsia="zh-CN"/>
        </w:rPr>
        <w:t xml:space="preserve">1.1.3.5  工程设备：指构成或计划构成永久工程一部分的机电设备、金属结构设备、仪器装置及其他类似的设备和装置。 </w:t>
      </w:r>
    </w:p>
    <w:p w14:paraId="4BEFF169">
      <w:pPr>
        <w:spacing w:line="360" w:lineRule="auto"/>
        <w:rPr>
          <w:rFonts w:ascii="宋体" w:hAnsi="宋体" w:eastAsia="宋体" w:cs="宋体"/>
          <w:lang w:eastAsia="zh-CN"/>
        </w:rPr>
      </w:pPr>
      <w:r>
        <w:rPr>
          <w:rFonts w:hint="eastAsia" w:ascii="宋体" w:hAnsi="宋体" w:eastAsia="宋体" w:cs="宋体"/>
          <w:lang w:eastAsia="zh-CN"/>
        </w:rPr>
        <w:t>1.1.3.6  施工设备：指为完成合同约定的各项工作所需的设备、器具和其他物品，</w:t>
      </w:r>
    </w:p>
    <w:p w14:paraId="4F0D36C4">
      <w:pPr>
        <w:spacing w:line="360" w:lineRule="auto"/>
        <w:rPr>
          <w:rFonts w:ascii="宋体" w:hAnsi="宋体" w:eastAsia="宋体" w:cs="宋体"/>
          <w:lang w:eastAsia="zh-CN"/>
        </w:rPr>
      </w:pPr>
      <w:r>
        <w:rPr>
          <w:rFonts w:hint="eastAsia" w:ascii="宋体" w:hAnsi="宋体" w:eastAsia="宋体" w:cs="宋体"/>
          <w:lang w:eastAsia="zh-CN"/>
        </w:rPr>
        <w:t xml:space="preserve">不包括临时工程和材料。 </w:t>
      </w:r>
    </w:p>
    <w:p w14:paraId="48FACD14">
      <w:pPr>
        <w:spacing w:line="360" w:lineRule="auto"/>
        <w:rPr>
          <w:rFonts w:ascii="宋体" w:hAnsi="宋体" w:eastAsia="宋体" w:cs="宋体"/>
          <w:lang w:eastAsia="zh-CN"/>
        </w:rPr>
      </w:pPr>
      <w:r>
        <w:rPr>
          <w:rFonts w:hint="eastAsia" w:ascii="宋体" w:hAnsi="宋体" w:eastAsia="宋体" w:cs="宋体"/>
          <w:lang w:eastAsia="zh-CN"/>
        </w:rPr>
        <w:t xml:space="preserve">1.1.3.7  临时设施：指为完成合同约定的各项工作所服务的临时性生产和生活设施。 </w:t>
      </w:r>
    </w:p>
    <w:p w14:paraId="589A43DE">
      <w:pPr>
        <w:spacing w:line="360" w:lineRule="auto"/>
        <w:rPr>
          <w:rFonts w:ascii="宋体" w:hAnsi="宋体" w:eastAsia="宋体" w:cs="宋体"/>
          <w:lang w:eastAsia="zh-CN"/>
        </w:rPr>
      </w:pPr>
      <w:r>
        <w:rPr>
          <w:rFonts w:hint="eastAsia" w:ascii="宋体" w:hAnsi="宋体" w:eastAsia="宋体" w:cs="宋体"/>
          <w:lang w:eastAsia="zh-CN"/>
        </w:rPr>
        <w:t xml:space="preserve">1.1.3.8  承包人设备：指承包人自带的施工设备。 </w:t>
      </w:r>
    </w:p>
    <w:p w14:paraId="312A800E">
      <w:pPr>
        <w:spacing w:line="360" w:lineRule="auto"/>
        <w:rPr>
          <w:rFonts w:ascii="宋体" w:hAnsi="宋体" w:eastAsia="宋体" w:cs="宋体"/>
          <w:lang w:eastAsia="zh-CN"/>
        </w:rPr>
      </w:pPr>
      <w:r>
        <w:rPr>
          <w:rFonts w:hint="eastAsia" w:ascii="宋体" w:hAnsi="宋体" w:eastAsia="宋体" w:cs="宋体"/>
          <w:lang w:eastAsia="zh-CN"/>
        </w:rPr>
        <w:t xml:space="preserve">1.1.3.9  施工场地（或称工地、现场）：指用于合同工程施工的场所，以及在合同中指定作为施工场地组成部分的其他场所，包括永久占地和临时占地。 </w:t>
      </w:r>
    </w:p>
    <w:p w14:paraId="467F5BD9">
      <w:pPr>
        <w:spacing w:line="360" w:lineRule="auto"/>
        <w:rPr>
          <w:rFonts w:ascii="宋体" w:hAnsi="宋体" w:eastAsia="宋体" w:cs="宋体"/>
          <w:lang w:eastAsia="zh-CN"/>
        </w:rPr>
      </w:pPr>
      <w:r>
        <w:rPr>
          <w:rFonts w:hint="eastAsia" w:ascii="宋体" w:hAnsi="宋体" w:eastAsia="宋体" w:cs="宋体"/>
          <w:lang w:eastAsia="zh-CN"/>
        </w:rPr>
        <w:t xml:space="preserve">1.1.3.10  永久占地：指为实施合同工程需永久占用的土地。永久占地的约定见合同条款专用部分。 </w:t>
      </w:r>
    </w:p>
    <w:p w14:paraId="1EF3679B">
      <w:pPr>
        <w:spacing w:line="360" w:lineRule="auto"/>
        <w:rPr>
          <w:rFonts w:ascii="宋体" w:hAnsi="宋体" w:eastAsia="宋体" w:cs="宋体"/>
          <w:lang w:eastAsia="zh-CN"/>
        </w:rPr>
      </w:pPr>
      <w:r>
        <w:rPr>
          <w:rFonts w:hint="eastAsia" w:ascii="宋体" w:hAnsi="宋体" w:eastAsia="宋体" w:cs="宋体"/>
          <w:lang w:eastAsia="zh-CN"/>
        </w:rPr>
        <w:t xml:space="preserve">1.1.3.11  临时占地：指为实施合同工程需临时占用的土地。临时占地的约定见合同条款专用部分。 </w:t>
      </w:r>
    </w:p>
    <w:p w14:paraId="7ADA5BA1">
      <w:pPr>
        <w:spacing w:line="360" w:lineRule="auto"/>
        <w:rPr>
          <w:rFonts w:ascii="宋体" w:hAnsi="宋体" w:eastAsia="宋体" w:cs="宋体"/>
          <w:lang w:eastAsia="zh-CN"/>
        </w:rPr>
      </w:pPr>
      <w:r>
        <w:rPr>
          <w:rFonts w:hint="eastAsia" w:ascii="宋体" w:hAnsi="宋体" w:eastAsia="宋体" w:cs="宋体"/>
          <w:lang w:eastAsia="zh-CN"/>
        </w:rPr>
        <w:t xml:space="preserve">1.1.3.12  材料：指构成或将构成永久工程组成部分的各类物品(工程设备除外)，包括合同中可能约定的承包人仅负责供应的材料。 </w:t>
      </w:r>
    </w:p>
    <w:p w14:paraId="25FA23C7">
      <w:pPr>
        <w:spacing w:line="360" w:lineRule="auto"/>
        <w:rPr>
          <w:rFonts w:ascii="宋体" w:hAnsi="宋体" w:eastAsia="宋体" w:cs="宋体"/>
          <w:lang w:eastAsia="zh-CN"/>
        </w:rPr>
      </w:pPr>
      <w:r>
        <w:rPr>
          <w:rFonts w:hint="eastAsia" w:ascii="宋体" w:hAnsi="宋体" w:eastAsia="宋体" w:cs="宋体"/>
          <w:lang w:eastAsia="zh-CN"/>
        </w:rPr>
        <w:t xml:space="preserve">1.1.4  日期 </w:t>
      </w:r>
    </w:p>
    <w:p w14:paraId="083B5F8A">
      <w:pPr>
        <w:spacing w:line="360" w:lineRule="auto"/>
        <w:rPr>
          <w:rFonts w:ascii="宋体" w:hAnsi="宋体" w:eastAsia="宋体" w:cs="宋体"/>
          <w:lang w:eastAsia="zh-CN"/>
        </w:rPr>
      </w:pPr>
      <w:r>
        <w:rPr>
          <w:rFonts w:hint="eastAsia" w:ascii="宋体" w:hAnsi="宋体" w:eastAsia="宋体" w:cs="宋体"/>
          <w:lang w:eastAsia="zh-CN"/>
        </w:rPr>
        <w:t xml:space="preserve">1.1.4.1  开工通知：指监理人按第11.1款通知承包人开工的函件。 </w:t>
      </w:r>
    </w:p>
    <w:p w14:paraId="68CCE73B">
      <w:pPr>
        <w:spacing w:line="360" w:lineRule="auto"/>
        <w:rPr>
          <w:rFonts w:ascii="宋体" w:hAnsi="宋体" w:eastAsia="宋体" w:cs="宋体"/>
          <w:lang w:eastAsia="zh-CN"/>
        </w:rPr>
      </w:pPr>
      <w:r>
        <w:rPr>
          <w:rFonts w:hint="eastAsia" w:ascii="宋体" w:hAnsi="宋体" w:eastAsia="宋体" w:cs="宋体"/>
          <w:lang w:eastAsia="zh-CN"/>
        </w:rPr>
        <w:t xml:space="preserve">1.1.4.2  开工日期：指监理人按第11.1款发出的开工通知中写明的开工日期。 </w:t>
      </w:r>
    </w:p>
    <w:p w14:paraId="17CFA1D2">
      <w:pPr>
        <w:spacing w:line="360" w:lineRule="auto"/>
        <w:rPr>
          <w:rFonts w:ascii="宋体" w:hAnsi="宋体" w:eastAsia="宋体" w:cs="宋体"/>
          <w:lang w:eastAsia="zh-CN"/>
        </w:rPr>
      </w:pPr>
      <w:r>
        <w:rPr>
          <w:rFonts w:hint="eastAsia" w:ascii="宋体" w:hAnsi="宋体" w:eastAsia="宋体" w:cs="宋体"/>
          <w:lang w:eastAsia="zh-CN"/>
        </w:rPr>
        <w:t>1.1.4.3  工期：指承包人在投标函中承诺的完成合同工程所需的期限，包括按第</w:t>
      </w:r>
    </w:p>
    <w:p w14:paraId="137FB189">
      <w:pPr>
        <w:spacing w:line="360" w:lineRule="auto"/>
        <w:rPr>
          <w:rFonts w:ascii="宋体" w:hAnsi="宋体" w:eastAsia="宋体" w:cs="宋体"/>
          <w:lang w:eastAsia="zh-CN"/>
        </w:rPr>
      </w:pPr>
      <w:r>
        <w:rPr>
          <w:rFonts w:hint="eastAsia" w:ascii="宋体" w:hAnsi="宋体" w:eastAsia="宋体" w:cs="宋体"/>
          <w:lang w:eastAsia="zh-CN"/>
        </w:rPr>
        <w:t xml:space="preserve">11.3款、第11.4款和第11.6款约定所作的变更。 </w:t>
      </w:r>
    </w:p>
    <w:p w14:paraId="24CA89BF">
      <w:pPr>
        <w:spacing w:line="360" w:lineRule="auto"/>
        <w:rPr>
          <w:rFonts w:ascii="宋体" w:hAnsi="宋体" w:eastAsia="宋体" w:cs="宋体"/>
          <w:lang w:eastAsia="zh-CN"/>
        </w:rPr>
      </w:pPr>
      <w:r>
        <w:rPr>
          <w:rFonts w:hint="eastAsia" w:ascii="宋体" w:hAnsi="宋体" w:eastAsia="宋体" w:cs="宋体"/>
          <w:lang w:eastAsia="zh-CN"/>
        </w:rPr>
        <w:t xml:space="preserve">1.1.4.4  竣工日期：指第1.1.4.3目约定工期届满时的日期。实际竣工日期以工程接收证书中写明的日期为准。 </w:t>
      </w:r>
    </w:p>
    <w:p w14:paraId="091327FA">
      <w:pPr>
        <w:spacing w:line="360" w:lineRule="auto"/>
        <w:rPr>
          <w:rFonts w:ascii="宋体" w:hAnsi="宋体" w:eastAsia="宋体" w:cs="宋体"/>
          <w:lang w:eastAsia="zh-CN"/>
        </w:rPr>
      </w:pPr>
      <w:r>
        <w:rPr>
          <w:rFonts w:hint="eastAsia" w:ascii="宋体" w:hAnsi="宋体" w:eastAsia="宋体" w:cs="宋体"/>
          <w:lang w:eastAsia="zh-CN"/>
        </w:rPr>
        <w:t xml:space="preserve">1.1.4.5  缺陷责任期：指履行第 19.2 款约定的缺陷责任的期限，包括根据第 19.3 款约定所作的延长。缺陷责任期的具体期限见合同条款专用部分。 </w:t>
      </w:r>
    </w:p>
    <w:p w14:paraId="3EF14F27">
      <w:pPr>
        <w:spacing w:line="360" w:lineRule="auto"/>
        <w:rPr>
          <w:rFonts w:ascii="宋体" w:hAnsi="宋体" w:eastAsia="宋体" w:cs="宋体"/>
          <w:lang w:eastAsia="zh-CN"/>
        </w:rPr>
      </w:pPr>
      <w:r>
        <w:rPr>
          <w:rFonts w:hint="eastAsia" w:ascii="宋体" w:hAnsi="宋体" w:eastAsia="宋体" w:cs="宋体"/>
          <w:lang w:eastAsia="zh-CN"/>
        </w:rPr>
        <w:t xml:space="preserve">1.1.4.6  基准日期：指投标截止时间前28天的日期。 </w:t>
      </w:r>
    </w:p>
    <w:p w14:paraId="4A7660E3">
      <w:pPr>
        <w:spacing w:line="360" w:lineRule="auto"/>
        <w:rPr>
          <w:rFonts w:ascii="宋体" w:hAnsi="宋体" w:eastAsia="宋体" w:cs="宋体"/>
          <w:lang w:eastAsia="zh-CN"/>
        </w:rPr>
      </w:pPr>
      <w:r>
        <w:rPr>
          <w:rFonts w:hint="eastAsia" w:ascii="宋体" w:hAnsi="宋体" w:eastAsia="宋体" w:cs="宋体"/>
          <w:lang w:eastAsia="zh-CN"/>
        </w:rPr>
        <w:t xml:space="preserve">1.1.4.7  天：除特别指明外，指日历天。合同中按天计算时间的，开始当天不计入，从次日开始计算。期限最后一天的截止时间为当天24:00。 </w:t>
      </w:r>
    </w:p>
    <w:p w14:paraId="3A6FB683">
      <w:pPr>
        <w:spacing w:line="360" w:lineRule="auto"/>
        <w:rPr>
          <w:rFonts w:ascii="宋体" w:hAnsi="宋体" w:eastAsia="宋体" w:cs="宋体"/>
          <w:lang w:eastAsia="zh-CN"/>
        </w:rPr>
      </w:pPr>
      <w:r>
        <w:rPr>
          <w:rFonts w:hint="eastAsia" w:ascii="宋体" w:hAnsi="宋体" w:eastAsia="宋体" w:cs="宋体"/>
          <w:lang w:eastAsia="zh-CN"/>
        </w:rPr>
        <w:t xml:space="preserve">1.1.4.8  保修期：是根据现行有关法律规定，在合同条款第19.7款中约定的由承包人负责对合同约定的保修范围内发生的质量问题履行保修义务并对造成的损失承担赔偿责任的期限。 </w:t>
      </w:r>
    </w:p>
    <w:p w14:paraId="6AB99575">
      <w:pPr>
        <w:spacing w:line="360" w:lineRule="auto"/>
        <w:rPr>
          <w:rFonts w:ascii="宋体" w:hAnsi="宋体" w:eastAsia="宋体" w:cs="宋体"/>
          <w:lang w:eastAsia="zh-CN"/>
        </w:rPr>
      </w:pPr>
      <w:r>
        <w:rPr>
          <w:rFonts w:hint="eastAsia" w:ascii="宋体" w:hAnsi="宋体" w:eastAsia="宋体" w:cs="宋体"/>
          <w:lang w:eastAsia="zh-CN"/>
        </w:rPr>
        <w:t xml:space="preserve">1.1.5  合同价格和费用 </w:t>
      </w:r>
    </w:p>
    <w:p w14:paraId="6CA7897C">
      <w:pPr>
        <w:spacing w:line="360" w:lineRule="auto"/>
        <w:rPr>
          <w:rFonts w:ascii="宋体" w:hAnsi="宋体" w:eastAsia="宋体" w:cs="宋体"/>
          <w:lang w:eastAsia="zh-CN"/>
        </w:rPr>
      </w:pPr>
      <w:r>
        <w:rPr>
          <w:rFonts w:hint="eastAsia" w:ascii="宋体" w:hAnsi="宋体" w:eastAsia="宋体" w:cs="宋体"/>
          <w:lang w:eastAsia="zh-CN"/>
        </w:rPr>
        <w:t xml:space="preserve">1.1.5.1  签约合同价：指签定合同时合同协议书中写明的，包括了暂列金额、暂估价的合同总金额。 </w:t>
      </w:r>
    </w:p>
    <w:p w14:paraId="72524E08">
      <w:pPr>
        <w:spacing w:line="360" w:lineRule="auto"/>
        <w:rPr>
          <w:rFonts w:ascii="宋体" w:hAnsi="宋体" w:eastAsia="宋体" w:cs="宋体"/>
          <w:lang w:eastAsia="zh-CN"/>
        </w:rPr>
      </w:pPr>
      <w:r>
        <w:rPr>
          <w:rFonts w:hint="eastAsia" w:ascii="宋体" w:hAnsi="宋体" w:eastAsia="宋体" w:cs="宋体"/>
          <w:lang w:eastAsia="zh-CN"/>
        </w:rPr>
        <w:t xml:space="preserve">1.1.5.2  合同价格：指承包人按合同约定完成了包括缺陷责任期内的全部承包工作后，发包人应付给承包人的金额，包括在履行合同过程中按合同约定进行的变更和调整。 </w:t>
      </w:r>
    </w:p>
    <w:p w14:paraId="5A889000">
      <w:pPr>
        <w:spacing w:line="360" w:lineRule="auto"/>
        <w:rPr>
          <w:rFonts w:ascii="宋体" w:hAnsi="宋体" w:eastAsia="宋体" w:cs="宋体"/>
          <w:lang w:eastAsia="zh-CN"/>
        </w:rPr>
      </w:pPr>
      <w:r>
        <w:rPr>
          <w:rFonts w:hint="eastAsia" w:ascii="宋体" w:hAnsi="宋体" w:eastAsia="宋体" w:cs="宋体"/>
          <w:lang w:eastAsia="zh-CN"/>
        </w:rPr>
        <w:t xml:space="preserve">1.1.5.3  费用：指为履行合同所发生的或将要发生的所有合理开支，包括管理费和应分摊的其他费用，但不包括利润。 </w:t>
      </w:r>
    </w:p>
    <w:p w14:paraId="44093D05">
      <w:pPr>
        <w:spacing w:line="360" w:lineRule="auto"/>
        <w:rPr>
          <w:rFonts w:ascii="宋体" w:hAnsi="宋体" w:eastAsia="宋体" w:cs="宋体"/>
          <w:lang w:eastAsia="zh-CN"/>
        </w:rPr>
      </w:pPr>
      <w:r>
        <w:rPr>
          <w:rFonts w:hint="eastAsia" w:ascii="宋体" w:hAnsi="宋体" w:eastAsia="宋体" w:cs="宋体"/>
          <w:lang w:eastAsia="zh-CN"/>
        </w:rPr>
        <w:t xml:space="preserve">1.1.5.4  暂列金额：指已标价工程量清单中所列的暂列金额，用于在签订协议书时尚未确定或不可预见变更的施工及其所需材料、工程设备、服务等的金额，包括以计日工方式支付的金额。 </w:t>
      </w:r>
    </w:p>
    <w:p w14:paraId="3176CDAC">
      <w:pPr>
        <w:spacing w:line="360" w:lineRule="auto"/>
        <w:rPr>
          <w:rFonts w:ascii="宋体" w:hAnsi="宋体" w:eastAsia="宋体" w:cs="宋体"/>
          <w:lang w:eastAsia="zh-CN"/>
        </w:rPr>
      </w:pPr>
      <w:r>
        <w:rPr>
          <w:rFonts w:hint="eastAsia" w:ascii="宋体" w:hAnsi="宋体" w:eastAsia="宋体" w:cs="宋体"/>
          <w:lang w:eastAsia="zh-CN"/>
        </w:rPr>
        <w:t xml:space="preserve">1.1.5.5  暂估价：指发包人在工程量清单中给定的用于支付必然发生但暂时不能确定价格的材料、设备以及专业工程的金额。 </w:t>
      </w:r>
    </w:p>
    <w:p w14:paraId="35BD05B1">
      <w:pPr>
        <w:spacing w:line="360" w:lineRule="auto"/>
        <w:rPr>
          <w:rFonts w:ascii="宋体" w:hAnsi="宋体" w:eastAsia="宋体" w:cs="宋体"/>
          <w:lang w:eastAsia="zh-CN"/>
        </w:rPr>
      </w:pPr>
      <w:r>
        <w:rPr>
          <w:rFonts w:hint="eastAsia" w:ascii="宋体" w:hAnsi="宋体" w:eastAsia="宋体" w:cs="宋体"/>
          <w:lang w:eastAsia="zh-CN"/>
        </w:rPr>
        <w:t xml:space="preserve">1.1.5.6  计日工：指对零星工作采取的一种计价方式，按合同中的计日工子目及其单价计价付款。 </w:t>
      </w:r>
    </w:p>
    <w:p w14:paraId="2F9038B5">
      <w:pPr>
        <w:spacing w:line="360" w:lineRule="auto"/>
        <w:rPr>
          <w:rFonts w:ascii="宋体" w:hAnsi="宋体" w:eastAsia="宋体" w:cs="宋体"/>
          <w:lang w:eastAsia="zh-CN"/>
        </w:rPr>
      </w:pPr>
      <w:r>
        <w:rPr>
          <w:rFonts w:hint="eastAsia" w:ascii="宋体" w:hAnsi="宋体" w:eastAsia="宋体" w:cs="宋体"/>
          <w:lang w:eastAsia="zh-CN"/>
        </w:rPr>
        <w:t xml:space="preserve">1.1.5.7  质量保证金（或称保留金）：指按第17.4.1项约定用于保证在缺陷责任期内履行缺陷修复义务的金额。 </w:t>
      </w:r>
    </w:p>
    <w:p w14:paraId="4ADC56B0">
      <w:pPr>
        <w:spacing w:line="360" w:lineRule="auto"/>
        <w:rPr>
          <w:rFonts w:ascii="宋体" w:hAnsi="宋体" w:eastAsia="宋体" w:cs="宋体"/>
          <w:lang w:eastAsia="zh-CN"/>
        </w:rPr>
      </w:pPr>
      <w:r>
        <w:rPr>
          <w:rFonts w:hint="eastAsia" w:ascii="宋体" w:hAnsi="宋体" w:eastAsia="宋体" w:cs="宋体"/>
          <w:lang w:eastAsia="zh-CN"/>
        </w:rPr>
        <w:t xml:space="preserve">1.1.6  书面形式 </w:t>
      </w:r>
    </w:p>
    <w:p w14:paraId="01F67D1A">
      <w:pPr>
        <w:spacing w:line="360" w:lineRule="auto"/>
        <w:rPr>
          <w:rFonts w:ascii="宋体" w:hAnsi="宋体" w:eastAsia="宋体" w:cs="宋体"/>
          <w:lang w:eastAsia="zh-CN"/>
        </w:rPr>
      </w:pPr>
      <w:r>
        <w:rPr>
          <w:rFonts w:hint="eastAsia" w:ascii="宋体" w:hAnsi="宋体" w:eastAsia="宋体" w:cs="宋体"/>
          <w:lang w:eastAsia="zh-CN"/>
        </w:rPr>
        <w:t xml:space="preserve">书面形式：指合同文件、信函、电报、传真等可以有形地表现所载内容的形式。 </w:t>
      </w:r>
    </w:p>
    <w:p w14:paraId="6829F5C8">
      <w:pPr>
        <w:spacing w:line="360" w:lineRule="auto"/>
        <w:rPr>
          <w:rFonts w:ascii="宋体" w:hAnsi="宋体" w:eastAsia="宋体" w:cs="宋体"/>
          <w:lang w:eastAsia="zh-CN"/>
        </w:rPr>
      </w:pPr>
      <w:r>
        <w:rPr>
          <w:rFonts w:hint="eastAsia" w:ascii="宋体" w:hAnsi="宋体" w:eastAsia="宋体" w:cs="宋体"/>
          <w:lang w:eastAsia="zh-CN"/>
        </w:rPr>
        <w:t xml:space="preserve">1.1.7  争议评审组 </w:t>
      </w:r>
    </w:p>
    <w:p w14:paraId="2CC6E15C">
      <w:pPr>
        <w:spacing w:line="360" w:lineRule="auto"/>
        <w:rPr>
          <w:rFonts w:ascii="宋体" w:hAnsi="宋体" w:eastAsia="宋体" w:cs="宋体"/>
          <w:lang w:eastAsia="zh-CN"/>
        </w:rPr>
      </w:pPr>
      <w:r>
        <w:rPr>
          <w:rFonts w:hint="eastAsia" w:ascii="宋体" w:hAnsi="宋体" w:eastAsia="宋体" w:cs="宋体"/>
          <w:lang w:eastAsia="zh-CN"/>
        </w:rPr>
        <w:t xml:space="preserve">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 </w:t>
      </w:r>
    </w:p>
    <w:p w14:paraId="64C05FE2">
      <w:pPr>
        <w:spacing w:line="360" w:lineRule="auto"/>
        <w:rPr>
          <w:rFonts w:ascii="宋体" w:hAnsi="宋体" w:eastAsia="宋体" w:cs="宋体"/>
          <w:lang w:eastAsia="zh-CN"/>
        </w:rPr>
      </w:pPr>
      <w:r>
        <w:rPr>
          <w:rFonts w:hint="eastAsia" w:ascii="宋体" w:hAnsi="宋体" w:eastAsia="宋体" w:cs="宋体"/>
          <w:lang w:eastAsia="zh-CN"/>
        </w:rPr>
        <w:t xml:space="preserve">1.1.8  其他需要补充的内容 </w:t>
      </w:r>
    </w:p>
    <w:p w14:paraId="432B5CA9">
      <w:pPr>
        <w:spacing w:line="360" w:lineRule="auto"/>
        <w:rPr>
          <w:rFonts w:ascii="宋体" w:hAnsi="宋体" w:eastAsia="宋体" w:cs="宋体"/>
          <w:lang w:eastAsia="zh-CN"/>
        </w:rPr>
      </w:pPr>
      <w:r>
        <w:rPr>
          <w:rFonts w:hint="eastAsia" w:ascii="宋体" w:hAnsi="宋体" w:eastAsia="宋体" w:cs="宋体"/>
          <w:lang w:eastAsia="zh-CN"/>
        </w:rPr>
        <w:t xml:space="preserve">其他需要补充的内容见合同条款专用部分。 </w:t>
      </w:r>
    </w:p>
    <w:p w14:paraId="718E8706">
      <w:pPr>
        <w:spacing w:line="360" w:lineRule="auto"/>
        <w:rPr>
          <w:rFonts w:ascii="宋体" w:hAnsi="宋体" w:eastAsia="宋体" w:cs="宋体"/>
          <w:lang w:eastAsia="zh-CN"/>
        </w:rPr>
      </w:pPr>
      <w:bookmarkStart w:id="720" w:name="_Toc511294090"/>
      <w:bookmarkStart w:id="721" w:name="_Toc511293819"/>
      <w:r>
        <w:rPr>
          <w:rFonts w:hint="eastAsia" w:ascii="宋体" w:hAnsi="宋体" w:eastAsia="宋体" w:cs="宋体"/>
          <w:lang w:eastAsia="zh-CN"/>
        </w:rPr>
        <w:t>1.2  语言文字</w:t>
      </w:r>
      <w:bookmarkEnd w:id="720"/>
      <w:bookmarkEnd w:id="721"/>
      <w:r>
        <w:rPr>
          <w:rFonts w:hint="eastAsia" w:ascii="宋体" w:hAnsi="宋体" w:eastAsia="宋体" w:cs="宋体"/>
          <w:lang w:eastAsia="zh-CN"/>
        </w:rPr>
        <w:t xml:space="preserve"> </w:t>
      </w:r>
    </w:p>
    <w:p w14:paraId="03DEE3E6">
      <w:pPr>
        <w:spacing w:line="360" w:lineRule="auto"/>
        <w:rPr>
          <w:rFonts w:ascii="宋体" w:hAnsi="宋体" w:eastAsia="宋体" w:cs="宋体"/>
          <w:lang w:eastAsia="zh-CN"/>
        </w:rPr>
      </w:pPr>
      <w:r>
        <w:rPr>
          <w:rFonts w:hint="eastAsia" w:ascii="宋体" w:hAnsi="宋体" w:eastAsia="宋体" w:cs="宋体"/>
          <w:lang w:eastAsia="zh-CN"/>
        </w:rPr>
        <w:t xml:space="preserve">除专用术语外，合同使用的语言文字为中文。必要时专用术语应附有中文注释。 </w:t>
      </w:r>
    </w:p>
    <w:p w14:paraId="18D9A5A1">
      <w:pPr>
        <w:spacing w:line="360" w:lineRule="auto"/>
        <w:rPr>
          <w:rFonts w:ascii="宋体" w:hAnsi="宋体" w:eastAsia="宋体" w:cs="宋体"/>
          <w:lang w:eastAsia="zh-CN"/>
        </w:rPr>
      </w:pPr>
      <w:bookmarkStart w:id="722" w:name="_Toc511293820"/>
      <w:bookmarkStart w:id="723" w:name="_Toc511294091"/>
      <w:r>
        <w:rPr>
          <w:rFonts w:hint="eastAsia" w:ascii="宋体" w:hAnsi="宋体" w:eastAsia="宋体" w:cs="宋体"/>
          <w:lang w:eastAsia="zh-CN"/>
        </w:rPr>
        <w:t>1.3  法律</w:t>
      </w:r>
      <w:bookmarkEnd w:id="722"/>
      <w:bookmarkEnd w:id="723"/>
      <w:r>
        <w:rPr>
          <w:rFonts w:hint="eastAsia" w:ascii="宋体" w:hAnsi="宋体" w:eastAsia="宋体" w:cs="宋体"/>
          <w:lang w:eastAsia="zh-CN"/>
        </w:rPr>
        <w:t xml:space="preserve"> </w:t>
      </w:r>
    </w:p>
    <w:p w14:paraId="70B3D85E">
      <w:pPr>
        <w:spacing w:line="360" w:lineRule="auto"/>
        <w:rPr>
          <w:rFonts w:ascii="宋体" w:hAnsi="宋体" w:eastAsia="宋体" w:cs="宋体"/>
          <w:lang w:eastAsia="zh-CN"/>
        </w:rPr>
      </w:pPr>
      <w:r>
        <w:rPr>
          <w:rFonts w:hint="eastAsia" w:ascii="宋体" w:hAnsi="宋体" w:eastAsia="宋体" w:cs="宋体"/>
          <w:lang w:eastAsia="zh-CN"/>
        </w:rPr>
        <w:t>适用于合同的法律包括中华人民共和国法律、行政法规、部门规章，以及工程所在地的</w:t>
      </w:r>
    </w:p>
    <w:p w14:paraId="3E8087E8">
      <w:pPr>
        <w:spacing w:line="360" w:lineRule="auto"/>
        <w:rPr>
          <w:rFonts w:ascii="宋体" w:hAnsi="宋体" w:eastAsia="宋体" w:cs="宋体"/>
          <w:lang w:eastAsia="zh-CN"/>
        </w:rPr>
      </w:pPr>
      <w:r>
        <w:rPr>
          <w:rFonts w:hint="eastAsia" w:ascii="宋体" w:hAnsi="宋体" w:eastAsia="宋体" w:cs="宋体"/>
          <w:lang w:eastAsia="zh-CN"/>
        </w:rPr>
        <w:t xml:space="preserve">地方法规、自治条例、单行条例和地方政府规章。 </w:t>
      </w:r>
    </w:p>
    <w:p w14:paraId="63EAAF90">
      <w:pPr>
        <w:spacing w:line="360" w:lineRule="auto"/>
        <w:rPr>
          <w:rFonts w:ascii="宋体" w:hAnsi="宋体" w:eastAsia="宋体" w:cs="宋体"/>
          <w:lang w:eastAsia="zh-CN"/>
        </w:rPr>
      </w:pPr>
      <w:bookmarkStart w:id="724" w:name="_Toc511293821"/>
      <w:bookmarkStart w:id="725" w:name="_Toc511294092"/>
      <w:r>
        <w:rPr>
          <w:rFonts w:hint="eastAsia" w:ascii="宋体" w:hAnsi="宋体" w:eastAsia="宋体" w:cs="宋体"/>
          <w:lang w:eastAsia="zh-CN"/>
        </w:rPr>
        <w:t>1.4  合同文件的优先顺序</w:t>
      </w:r>
      <w:bookmarkEnd w:id="724"/>
      <w:bookmarkEnd w:id="725"/>
      <w:r>
        <w:rPr>
          <w:rFonts w:hint="eastAsia" w:ascii="宋体" w:hAnsi="宋体" w:eastAsia="宋体" w:cs="宋体"/>
          <w:lang w:eastAsia="zh-CN"/>
        </w:rPr>
        <w:t xml:space="preserve"> </w:t>
      </w:r>
    </w:p>
    <w:p w14:paraId="3D5E10D0">
      <w:pPr>
        <w:spacing w:line="360" w:lineRule="auto"/>
        <w:rPr>
          <w:rFonts w:ascii="宋体" w:hAnsi="宋体" w:eastAsia="宋体" w:cs="宋体"/>
          <w:lang w:eastAsia="zh-CN"/>
        </w:rPr>
      </w:pPr>
      <w:r>
        <w:rPr>
          <w:rFonts w:hint="eastAsia" w:ascii="宋体" w:hAnsi="宋体" w:eastAsia="宋体" w:cs="宋体"/>
          <w:lang w:eastAsia="zh-CN"/>
        </w:rPr>
        <w:t xml:space="preserve">组成合同的各项文件应互相解释，互为说明。除合同条款专用部分另有约定外，解释合同文件的优先顺序如下： </w:t>
      </w:r>
    </w:p>
    <w:p w14:paraId="5CB7CBCF">
      <w:pPr>
        <w:spacing w:line="360" w:lineRule="auto"/>
        <w:rPr>
          <w:rFonts w:ascii="宋体" w:hAnsi="宋体" w:eastAsia="宋体" w:cs="宋体"/>
          <w:lang w:eastAsia="zh-CN"/>
        </w:rPr>
      </w:pPr>
      <w:r>
        <w:rPr>
          <w:rFonts w:hint="eastAsia" w:ascii="宋体" w:hAnsi="宋体" w:eastAsia="宋体" w:cs="宋体"/>
          <w:lang w:eastAsia="zh-CN"/>
        </w:rPr>
        <w:t xml:space="preserve">（1）合同协议书； </w:t>
      </w:r>
    </w:p>
    <w:p w14:paraId="1212B2A6">
      <w:pPr>
        <w:spacing w:line="360" w:lineRule="auto"/>
        <w:rPr>
          <w:rFonts w:ascii="宋体" w:hAnsi="宋体" w:eastAsia="宋体" w:cs="宋体"/>
          <w:lang w:eastAsia="zh-CN"/>
        </w:rPr>
      </w:pPr>
      <w:r>
        <w:rPr>
          <w:rFonts w:hint="eastAsia" w:ascii="宋体" w:hAnsi="宋体" w:eastAsia="宋体" w:cs="宋体"/>
          <w:lang w:eastAsia="zh-CN"/>
        </w:rPr>
        <w:t xml:space="preserve">（2）中标通知书； </w:t>
      </w:r>
    </w:p>
    <w:p w14:paraId="725C33BD">
      <w:pPr>
        <w:spacing w:line="360" w:lineRule="auto"/>
        <w:rPr>
          <w:rFonts w:ascii="宋体" w:hAnsi="宋体" w:eastAsia="宋体" w:cs="宋体"/>
          <w:lang w:eastAsia="zh-CN"/>
        </w:rPr>
      </w:pPr>
      <w:r>
        <w:rPr>
          <w:rFonts w:hint="eastAsia" w:ascii="宋体" w:hAnsi="宋体" w:eastAsia="宋体" w:cs="宋体"/>
          <w:lang w:eastAsia="zh-CN"/>
        </w:rPr>
        <w:t xml:space="preserve">（3）投标函及投标函附录； </w:t>
      </w:r>
    </w:p>
    <w:p w14:paraId="5639C4A8">
      <w:pPr>
        <w:spacing w:line="360" w:lineRule="auto"/>
        <w:rPr>
          <w:rFonts w:ascii="宋体" w:hAnsi="宋体" w:eastAsia="宋体" w:cs="宋体"/>
          <w:lang w:eastAsia="zh-CN"/>
        </w:rPr>
      </w:pPr>
      <w:r>
        <w:rPr>
          <w:rFonts w:hint="eastAsia" w:ascii="宋体" w:hAnsi="宋体" w:eastAsia="宋体" w:cs="宋体"/>
          <w:lang w:eastAsia="zh-CN"/>
        </w:rPr>
        <w:t xml:space="preserve">（4）合同条款专用部分； </w:t>
      </w:r>
    </w:p>
    <w:p w14:paraId="013A498F">
      <w:pPr>
        <w:spacing w:line="360" w:lineRule="auto"/>
        <w:rPr>
          <w:rFonts w:ascii="宋体" w:hAnsi="宋体" w:eastAsia="宋体" w:cs="宋体"/>
          <w:lang w:eastAsia="zh-CN"/>
        </w:rPr>
      </w:pPr>
      <w:r>
        <w:rPr>
          <w:rFonts w:hint="eastAsia" w:ascii="宋体" w:hAnsi="宋体" w:eastAsia="宋体" w:cs="宋体"/>
          <w:lang w:eastAsia="zh-CN"/>
        </w:rPr>
        <w:t xml:space="preserve">（5）合同条款通用部分； </w:t>
      </w:r>
    </w:p>
    <w:p w14:paraId="3424B556">
      <w:pPr>
        <w:spacing w:line="360" w:lineRule="auto"/>
        <w:rPr>
          <w:rFonts w:ascii="宋体" w:hAnsi="宋体" w:eastAsia="宋体" w:cs="宋体"/>
          <w:lang w:eastAsia="zh-CN"/>
        </w:rPr>
      </w:pPr>
      <w:r>
        <w:rPr>
          <w:rFonts w:hint="eastAsia" w:ascii="宋体" w:hAnsi="宋体" w:eastAsia="宋体" w:cs="宋体"/>
          <w:lang w:eastAsia="zh-CN"/>
        </w:rPr>
        <w:t xml:space="preserve">（6）技术标准和要求； </w:t>
      </w:r>
    </w:p>
    <w:p w14:paraId="7F4D7B88">
      <w:pPr>
        <w:spacing w:line="360" w:lineRule="auto"/>
        <w:rPr>
          <w:rFonts w:ascii="宋体" w:hAnsi="宋体" w:eastAsia="宋体" w:cs="宋体"/>
          <w:lang w:eastAsia="zh-CN"/>
        </w:rPr>
      </w:pPr>
      <w:r>
        <w:rPr>
          <w:rFonts w:hint="eastAsia" w:ascii="宋体" w:hAnsi="宋体" w:eastAsia="宋体" w:cs="宋体"/>
          <w:lang w:eastAsia="zh-CN"/>
        </w:rPr>
        <w:t xml:space="preserve">（7）图纸； </w:t>
      </w:r>
    </w:p>
    <w:p w14:paraId="5A890D33">
      <w:pPr>
        <w:spacing w:line="360" w:lineRule="auto"/>
        <w:rPr>
          <w:rFonts w:ascii="宋体" w:hAnsi="宋体" w:eastAsia="宋体" w:cs="宋体"/>
          <w:lang w:eastAsia="zh-CN"/>
        </w:rPr>
      </w:pPr>
      <w:r>
        <w:rPr>
          <w:rFonts w:hint="eastAsia" w:ascii="宋体" w:hAnsi="宋体" w:eastAsia="宋体" w:cs="宋体"/>
          <w:lang w:eastAsia="zh-CN"/>
        </w:rPr>
        <w:t xml:space="preserve">（8）已标价工程量清单； </w:t>
      </w:r>
    </w:p>
    <w:p w14:paraId="56CC3844">
      <w:pPr>
        <w:spacing w:line="360" w:lineRule="auto"/>
        <w:rPr>
          <w:rFonts w:ascii="宋体" w:hAnsi="宋体" w:eastAsia="宋体" w:cs="宋体"/>
          <w:lang w:eastAsia="zh-CN"/>
        </w:rPr>
      </w:pPr>
      <w:r>
        <w:rPr>
          <w:rFonts w:hint="eastAsia" w:ascii="宋体" w:hAnsi="宋体" w:eastAsia="宋体" w:cs="宋体"/>
          <w:lang w:eastAsia="zh-CN"/>
        </w:rPr>
        <w:t xml:space="preserve">（9）其他合同文件。 </w:t>
      </w:r>
    </w:p>
    <w:p w14:paraId="73976144">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附注：构成合同文件的图纸与技术标准和要求之间有矛盾或者不一致的，应以其中要求较严格的标准为准。 </w:t>
      </w:r>
    </w:p>
    <w:p w14:paraId="117B625F">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合同双方在合同履行过程中签署的不背离合同实质性内容的补充协议，应当视为合同文件的有效组成部分，其解释顺序视其内容与其他合同文件的相互关系而定。 </w:t>
      </w:r>
    </w:p>
    <w:p w14:paraId="457982F2">
      <w:pPr>
        <w:spacing w:line="360" w:lineRule="auto"/>
        <w:rPr>
          <w:rFonts w:ascii="宋体" w:hAnsi="宋体" w:eastAsia="宋体" w:cs="宋体"/>
          <w:lang w:eastAsia="zh-CN"/>
        </w:rPr>
      </w:pPr>
      <w:bookmarkStart w:id="726" w:name="_Toc511293822"/>
      <w:bookmarkStart w:id="727" w:name="_Toc511294093"/>
      <w:r>
        <w:rPr>
          <w:rFonts w:hint="eastAsia" w:ascii="宋体" w:hAnsi="宋体" w:eastAsia="宋体" w:cs="宋体"/>
          <w:lang w:eastAsia="zh-CN"/>
        </w:rPr>
        <w:t>1.5  合同协议书</w:t>
      </w:r>
      <w:bookmarkEnd w:id="726"/>
      <w:bookmarkEnd w:id="727"/>
      <w:r>
        <w:rPr>
          <w:rFonts w:hint="eastAsia" w:ascii="宋体" w:hAnsi="宋体" w:eastAsia="宋体" w:cs="宋体"/>
          <w:lang w:eastAsia="zh-CN"/>
        </w:rPr>
        <w:t xml:space="preserve"> </w:t>
      </w:r>
    </w:p>
    <w:p w14:paraId="61A14CBD">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指由发包人与承包人共同签署的用于明确当事人合同关系的文件。承包人按照中标通知书规定的时间与发包人签订的合同协议书，除法律另有规定或合同条款专用部分另有约定外，发包人和承包人的法定代表人或其委托代理人在合同协议书上签字并盖单位章后，合同生效。合同生效的条件见合同条款专用部分。 </w:t>
      </w:r>
    </w:p>
    <w:p w14:paraId="0409CBCD">
      <w:pPr>
        <w:spacing w:line="360" w:lineRule="auto"/>
        <w:rPr>
          <w:rFonts w:ascii="宋体" w:hAnsi="宋体" w:eastAsia="宋体" w:cs="宋体"/>
          <w:lang w:eastAsia="zh-CN"/>
        </w:rPr>
      </w:pPr>
      <w:bookmarkStart w:id="728" w:name="_Toc511294094"/>
      <w:bookmarkStart w:id="729" w:name="_Toc511293823"/>
      <w:r>
        <w:rPr>
          <w:rFonts w:hint="eastAsia" w:ascii="宋体" w:hAnsi="宋体" w:eastAsia="宋体" w:cs="宋体"/>
          <w:lang w:eastAsia="zh-CN"/>
        </w:rPr>
        <w:t>1.6  图纸和承包人文件</w:t>
      </w:r>
      <w:bookmarkEnd w:id="728"/>
      <w:bookmarkEnd w:id="729"/>
      <w:r>
        <w:rPr>
          <w:rFonts w:hint="eastAsia" w:ascii="宋体" w:hAnsi="宋体" w:eastAsia="宋体" w:cs="宋体"/>
          <w:lang w:eastAsia="zh-CN"/>
        </w:rPr>
        <w:t xml:space="preserve"> </w:t>
      </w:r>
    </w:p>
    <w:p w14:paraId="06DC227C">
      <w:pPr>
        <w:spacing w:line="360" w:lineRule="auto"/>
        <w:rPr>
          <w:rFonts w:ascii="宋体" w:hAnsi="宋体" w:eastAsia="宋体" w:cs="宋体"/>
          <w:lang w:eastAsia="zh-CN"/>
        </w:rPr>
      </w:pPr>
      <w:r>
        <w:rPr>
          <w:rFonts w:hint="eastAsia" w:ascii="宋体" w:hAnsi="宋体" w:eastAsia="宋体" w:cs="宋体"/>
          <w:lang w:eastAsia="zh-CN"/>
        </w:rPr>
        <w:t xml:space="preserve">1.6.1  图纸的提供 </w:t>
      </w:r>
    </w:p>
    <w:p w14:paraId="4623AC90">
      <w:pPr>
        <w:spacing w:line="360" w:lineRule="auto"/>
        <w:rPr>
          <w:rFonts w:ascii="宋体" w:hAnsi="宋体" w:eastAsia="宋体" w:cs="宋体"/>
          <w:lang w:eastAsia="zh-CN"/>
        </w:rPr>
      </w:pPr>
      <w:r>
        <w:rPr>
          <w:rFonts w:hint="eastAsia" w:ascii="宋体" w:hAnsi="宋体" w:eastAsia="宋体" w:cs="宋体"/>
          <w:lang w:eastAsia="zh-CN"/>
        </w:rPr>
        <w:t xml:space="preserve">（1）发包人按照合同约定向承包人提供图纸。发包人未按时提供图纸造成工期延误的，按第11.3款的约定办理。承包人需要增加图纸套数的，发包人应代为复制，复制费用由承包人承担。 </w:t>
      </w:r>
    </w:p>
    <w:p w14:paraId="619FEF05">
      <w:pPr>
        <w:spacing w:line="360" w:lineRule="auto"/>
        <w:rPr>
          <w:rFonts w:ascii="宋体" w:hAnsi="宋体" w:eastAsia="宋体" w:cs="宋体"/>
          <w:lang w:eastAsia="zh-CN"/>
        </w:rPr>
      </w:pPr>
      <w:r>
        <w:rPr>
          <w:rFonts w:hint="eastAsia" w:ascii="宋体" w:hAnsi="宋体" w:eastAsia="宋体" w:cs="宋体"/>
          <w:lang w:eastAsia="zh-CN"/>
        </w:rPr>
        <w:t xml:space="preserve">（2）依据合同条款专用部分第10.1款约定制定的合同进度计划，或依据合同条款专用部分第10.2款约定修订的合同进度计划，经监理人批准后7日内，承包人应当根据合同进度计划或合同进度计划修订和本项约定的图纸提供期限和数量，编制或者修改图纸供应计划并报送监理人，其中应当载明承包人对各最新版本图纸(包括第1.6.3项约定的图纸修改图) 的最迟需求时间，监理人应当在收到图纸供应计划后7天内批复或提出修改意见，否则该图纸供应计划视为得到批准。 </w:t>
      </w:r>
    </w:p>
    <w:p w14:paraId="4FA1836F">
      <w:pPr>
        <w:spacing w:line="360" w:lineRule="auto"/>
        <w:rPr>
          <w:rFonts w:ascii="宋体" w:hAnsi="宋体" w:eastAsia="宋体" w:cs="宋体"/>
          <w:lang w:eastAsia="zh-CN"/>
        </w:rPr>
      </w:pPr>
      <w:r>
        <w:rPr>
          <w:rFonts w:hint="eastAsia" w:ascii="宋体" w:hAnsi="宋体" w:eastAsia="宋体" w:cs="宋体"/>
          <w:lang w:eastAsia="zh-CN"/>
        </w:rPr>
        <w:t xml:space="preserve">（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 </w:t>
      </w:r>
    </w:p>
    <w:p w14:paraId="023C1364">
      <w:pPr>
        <w:spacing w:line="360" w:lineRule="auto"/>
        <w:rPr>
          <w:rFonts w:ascii="宋体" w:hAnsi="宋体" w:eastAsia="宋体" w:cs="宋体"/>
          <w:lang w:eastAsia="zh-CN"/>
        </w:rPr>
      </w:pPr>
      <w:r>
        <w:rPr>
          <w:rFonts w:hint="eastAsia" w:ascii="宋体" w:hAnsi="宋体" w:eastAsia="宋体" w:cs="宋体"/>
          <w:lang w:eastAsia="zh-CN"/>
        </w:rPr>
        <w:t>（4）承包人未按照约定的时间向监理人提交图纸供应计划,致使发包人或者监理人未能</w:t>
      </w:r>
    </w:p>
    <w:p w14:paraId="55C0A38A">
      <w:pPr>
        <w:spacing w:line="360" w:lineRule="auto"/>
        <w:rPr>
          <w:rFonts w:ascii="宋体" w:hAnsi="宋体" w:eastAsia="宋体" w:cs="宋体"/>
          <w:lang w:eastAsia="zh-CN"/>
        </w:rPr>
      </w:pPr>
      <w:r>
        <w:rPr>
          <w:rFonts w:hint="eastAsia" w:ascii="宋体" w:hAnsi="宋体" w:eastAsia="宋体" w:cs="宋体"/>
          <w:lang w:eastAsia="zh-CN"/>
        </w:rPr>
        <w:t xml:space="preserve">在约定的时间内提供相应图纸或者承包人未按照图纸供应计划组织施工所造成的费用增加和（或）工期延误由承包人承担。 </w:t>
      </w:r>
    </w:p>
    <w:p w14:paraId="5A4ED886">
      <w:pPr>
        <w:spacing w:line="360" w:lineRule="auto"/>
        <w:rPr>
          <w:rFonts w:ascii="宋体" w:hAnsi="宋体" w:eastAsia="宋体" w:cs="宋体"/>
          <w:lang w:eastAsia="zh-CN"/>
        </w:rPr>
      </w:pPr>
      <w:r>
        <w:rPr>
          <w:rFonts w:hint="eastAsia" w:ascii="宋体" w:hAnsi="宋体" w:eastAsia="宋体" w:cs="宋体"/>
          <w:lang w:eastAsia="zh-CN"/>
        </w:rPr>
        <w:t xml:space="preserve">（5）发包人提供图纸的期限、数量和其他约定见合同条款专用部分。 </w:t>
      </w:r>
    </w:p>
    <w:p w14:paraId="1DD57309">
      <w:pPr>
        <w:spacing w:line="360" w:lineRule="auto"/>
        <w:rPr>
          <w:rFonts w:ascii="宋体" w:hAnsi="宋体" w:eastAsia="宋体" w:cs="宋体"/>
          <w:lang w:eastAsia="zh-CN"/>
        </w:rPr>
      </w:pPr>
      <w:r>
        <w:rPr>
          <w:rFonts w:hint="eastAsia" w:ascii="宋体" w:hAnsi="宋体" w:eastAsia="宋体" w:cs="宋体"/>
          <w:lang w:eastAsia="zh-CN"/>
        </w:rPr>
        <w:t xml:space="preserve">1.6.2  承包人提供的文件 </w:t>
      </w:r>
    </w:p>
    <w:p w14:paraId="20AAD865">
      <w:pPr>
        <w:spacing w:line="360" w:lineRule="auto"/>
        <w:rPr>
          <w:rFonts w:ascii="宋体" w:hAnsi="宋体" w:eastAsia="宋体" w:cs="宋体"/>
          <w:lang w:eastAsia="zh-CN"/>
        </w:rPr>
      </w:pPr>
      <w:r>
        <w:rPr>
          <w:rFonts w:hint="eastAsia" w:ascii="宋体" w:hAnsi="宋体" w:eastAsia="宋体" w:cs="宋体"/>
          <w:lang w:eastAsia="zh-CN"/>
        </w:rPr>
        <w:t xml:space="preserve">（1）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 </w:t>
      </w:r>
    </w:p>
    <w:p w14:paraId="553C500A">
      <w:pPr>
        <w:spacing w:line="360" w:lineRule="auto"/>
        <w:rPr>
          <w:rFonts w:ascii="宋体" w:hAnsi="宋体" w:eastAsia="宋体" w:cs="宋体"/>
          <w:lang w:eastAsia="zh-CN"/>
        </w:rPr>
      </w:pPr>
      <w:r>
        <w:rPr>
          <w:rFonts w:hint="eastAsia" w:ascii="宋体" w:hAnsi="宋体" w:eastAsia="宋体" w:cs="宋体"/>
          <w:lang w:eastAsia="zh-CN"/>
        </w:rPr>
        <w:t xml:space="preserve">（2）除合同条款第4.1.10项约定的由承包人提供的设计文件外，本项约定的其他应由承包人提供的文件，包括必要的加工图和大样图，均不能作为合同计量与支付的依据文件。 </w:t>
      </w:r>
    </w:p>
    <w:p w14:paraId="05D77610">
      <w:pPr>
        <w:spacing w:line="360" w:lineRule="auto"/>
        <w:rPr>
          <w:rFonts w:ascii="宋体" w:hAnsi="宋体" w:eastAsia="宋体" w:cs="宋体"/>
          <w:lang w:eastAsia="zh-CN"/>
        </w:rPr>
      </w:pPr>
      <w:r>
        <w:rPr>
          <w:rFonts w:hint="eastAsia" w:ascii="宋体" w:hAnsi="宋体" w:eastAsia="宋体" w:cs="宋体"/>
          <w:lang w:eastAsia="zh-CN"/>
        </w:rPr>
        <w:t xml:space="preserve">1.6.3  图纸的修改 </w:t>
      </w:r>
    </w:p>
    <w:p w14:paraId="35D902E7">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图纸需要修改和补充的，监理人应当按照合同条款第1.6.1（2）目约定的有合同约束力的图纸供应计划，签发图纸修改图给承包人。承包人应按修改后的图纸施工。 </w:t>
      </w:r>
    </w:p>
    <w:p w14:paraId="61512F82">
      <w:pPr>
        <w:spacing w:line="360" w:lineRule="auto"/>
        <w:rPr>
          <w:rFonts w:ascii="宋体" w:hAnsi="宋体" w:eastAsia="宋体" w:cs="宋体"/>
          <w:lang w:eastAsia="zh-CN"/>
        </w:rPr>
      </w:pPr>
      <w:r>
        <w:rPr>
          <w:rFonts w:hint="eastAsia" w:ascii="宋体" w:hAnsi="宋体" w:eastAsia="宋体" w:cs="宋体"/>
          <w:lang w:eastAsia="zh-CN"/>
        </w:rPr>
        <w:t xml:space="preserve">1.6.4  图纸的错误 </w:t>
      </w:r>
    </w:p>
    <w:p w14:paraId="02987508">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承包人发现发包人提供的图纸存在明显错误或疏忽，应及时通知监理人。 </w:t>
      </w:r>
    </w:p>
    <w:p w14:paraId="2DCE6F7A">
      <w:pPr>
        <w:spacing w:line="360" w:lineRule="auto"/>
        <w:rPr>
          <w:rFonts w:ascii="宋体" w:hAnsi="宋体" w:eastAsia="宋体" w:cs="宋体"/>
          <w:lang w:eastAsia="zh-CN"/>
        </w:rPr>
      </w:pPr>
      <w:r>
        <w:rPr>
          <w:rFonts w:hint="eastAsia" w:ascii="宋体" w:hAnsi="宋体" w:eastAsia="宋体" w:cs="宋体"/>
          <w:lang w:eastAsia="zh-CN"/>
        </w:rPr>
        <w:t xml:space="preserve">1.6.5  图纸和承包人文件的保管 </w:t>
      </w:r>
    </w:p>
    <w:p w14:paraId="63975E4F">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监理人和承包人均应在施工场地各保存一套完整的包含第1.6.1项、第1.6.2项、第1.6.3项约定内容的图纸和承包人文件。 </w:t>
      </w:r>
    </w:p>
    <w:p w14:paraId="4109D604">
      <w:pPr>
        <w:spacing w:line="360" w:lineRule="auto"/>
        <w:rPr>
          <w:rFonts w:ascii="宋体" w:hAnsi="宋体" w:eastAsia="宋体" w:cs="宋体"/>
          <w:lang w:eastAsia="zh-CN"/>
        </w:rPr>
      </w:pPr>
      <w:bookmarkStart w:id="730" w:name="_Toc511294095"/>
      <w:bookmarkStart w:id="731" w:name="_Toc511293824"/>
      <w:r>
        <w:rPr>
          <w:rFonts w:hint="eastAsia" w:ascii="宋体" w:hAnsi="宋体" w:eastAsia="宋体" w:cs="宋体"/>
          <w:lang w:eastAsia="zh-CN"/>
        </w:rPr>
        <w:t>1.7  联络</w:t>
      </w:r>
      <w:bookmarkEnd w:id="730"/>
      <w:bookmarkEnd w:id="731"/>
      <w:r>
        <w:rPr>
          <w:rFonts w:hint="eastAsia" w:ascii="宋体" w:hAnsi="宋体" w:eastAsia="宋体" w:cs="宋体"/>
          <w:lang w:eastAsia="zh-CN"/>
        </w:rPr>
        <w:t xml:space="preserve"> </w:t>
      </w:r>
    </w:p>
    <w:p w14:paraId="31641EB6">
      <w:pPr>
        <w:spacing w:line="360" w:lineRule="auto"/>
        <w:rPr>
          <w:rFonts w:ascii="宋体" w:hAnsi="宋体" w:eastAsia="宋体" w:cs="宋体"/>
          <w:lang w:eastAsia="zh-CN"/>
        </w:rPr>
      </w:pPr>
      <w:r>
        <w:rPr>
          <w:rFonts w:hint="eastAsia" w:ascii="宋体" w:hAnsi="宋体" w:eastAsia="宋体" w:cs="宋体"/>
          <w:lang w:eastAsia="zh-CN"/>
        </w:rPr>
        <w:t xml:space="preserve">1.7.1  与合同有关的通知、批准、证明、证书、指示、要求、请求、同意、意见、确定和决定等，均应采用书面形式。 </w:t>
      </w:r>
    </w:p>
    <w:p w14:paraId="68FAFBFD">
      <w:pPr>
        <w:spacing w:line="360" w:lineRule="auto"/>
        <w:rPr>
          <w:rFonts w:ascii="宋体" w:hAnsi="宋体" w:eastAsia="宋体" w:cs="宋体"/>
          <w:lang w:eastAsia="zh-CN"/>
        </w:rPr>
      </w:pPr>
      <w:r>
        <w:rPr>
          <w:rFonts w:hint="eastAsia" w:ascii="宋体" w:hAnsi="宋体" w:eastAsia="宋体" w:cs="宋体"/>
          <w:lang w:eastAsia="zh-CN"/>
        </w:rPr>
        <w:t xml:space="preserve">1.7.2  第1.7.1项中的通知、批准、证明、证书、指示、要求、请求、同意、意见、确定和决定等来往函件，均应在合同约定的期限内送达指定地点和接收人，并办理签收手续。 </w:t>
      </w:r>
    </w:p>
    <w:p w14:paraId="7FA20ADF">
      <w:pPr>
        <w:spacing w:line="360" w:lineRule="auto"/>
        <w:rPr>
          <w:rFonts w:ascii="宋体" w:hAnsi="宋体" w:eastAsia="宋体" w:cs="宋体"/>
          <w:lang w:eastAsia="zh-CN"/>
        </w:rPr>
      </w:pPr>
      <w:r>
        <w:rPr>
          <w:rFonts w:hint="eastAsia" w:ascii="宋体" w:hAnsi="宋体" w:eastAsia="宋体" w:cs="宋体"/>
          <w:lang w:eastAsia="zh-CN"/>
        </w:rPr>
        <w:t xml:space="preserve">（1）联络来往信函的送达期限：合同约定了发出期限的，送达期限为合同约定的发出期限后的24小时内；合同约定了通知、提供或者报送期限的，通知、提供或者报送期限即为送达期限。 </w:t>
      </w:r>
    </w:p>
    <w:p w14:paraId="068817C8">
      <w:pPr>
        <w:spacing w:line="360" w:lineRule="auto"/>
        <w:rPr>
          <w:rFonts w:ascii="宋体" w:hAnsi="宋体" w:eastAsia="宋体" w:cs="宋体"/>
          <w:lang w:eastAsia="zh-CN"/>
        </w:rPr>
      </w:pPr>
      <w:r>
        <w:rPr>
          <w:rFonts w:hint="eastAsia" w:ascii="宋体" w:hAnsi="宋体" w:eastAsia="宋体" w:cs="宋体"/>
          <w:lang w:eastAsia="zh-CN"/>
        </w:rPr>
        <w:t xml:space="preserve">（2）发包人指定的接收人和接收地点见合同条款专用部分。 </w:t>
      </w:r>
    </w:p>
    <w:p w14:paraId="2E05166B">
      <w:pPr>
        <w:spacing w:line="360" w:lineRule="auto"/>
        <w:rPr>
          <w:rFonts w:ascii="宋体" w:hAnsi="宋体" w:eastAsia="宋体" w:cs="宋体"/>
          <w:lang w:eastAsia="zh-CN"/>
        </w:rPr>
      </w:pPr>
      <w:r>
        <w:rPr>
          <w:rFonts w:hint="eastAsia" w:ascii="宋体" w:hAnsi="宋体" w:eastAsia="宋体" w:cs="宋体"/>
          <w:lang w:eastAsia="zh-CN"/>
        </w:rPr>
        <w:t xml:space="preserve">（3）监理人指定的接收人和接收地点见合同条款专用部分。 </w:t>
      </w:r>
    </w:p>
    <w:p w14:paraId="1439DAA5">
      <w:pPr>
        <w:spacing w:line="360" w:lineRule="auto"/>
        <w:rPr>
          <w:rFonts w:ascii="宋体" w:hAnsi="宋体" w:eastAsia="宋体" w:cs="宋体"/>
          <w:lang w:eastAsia="zh-CN"/>
        </w:rPr>
      </w:pPr>
      <w:r>
        <w:rPr>
          <w:rFonts w:hint="eastAsia" w:ascii="宋体" w:hAnsi="宋体" w:eastAsia="宋体" w:cs="宋体"/>
          <w:lang w:eastAsia="zh-CN"/>
        </w:rPr>
        <w:t xml:space="preserve">（4）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 </w:t>
      </w:r>
    </w:p>
    <w:p w14:paraId="0A85A245">
      <w:pPr>
        <w:spacing w:line="360" w:lineRule="auto"/>
        <w:rPr>
          <w:rFonts w:ascii="宋体" w:hAnsi="宋体" w:eastAsia="宋体" w:cs="宋体"/>
          <w:lang w:eastAsia="zh-CN"/>
        </w:rPr>
      </w:pPr>
      <w:r>
        <w:rPr>
          <w:rFonts w:hint="eastAsia" w:ascii="宋体" w:hAnsi="宋体" w:eastAsia="宋体" w:cs="宋体"/>
          <w:lang w:eastAsia="zh-CN"/>
        </w:rPr>
        <w:t xml:space="preserve">（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 </w:t>
      </w:r>
    </w:p>
    <w:p w14:paraId="43AED8A1">
      <w:pPr>
        <w:spacing w:line="360" w:lineRule="auto"/>
        <w:rPr>
          <w:rFonts w:ascii="宋体" w:hAnsi="宋体" w:eastAsia="宋体" w:cs="宋体"/>
          <w:lang w:eastAsia="zh-CN"/>
        </w:rPr>
      </w:pPr>
      <w:r>
        <w:rPr>
          <w:rFonts w:hint="eastAsia" w:ascii="宋体" w:hAnsi="宋体" w:eastAsia="宋体" w:cs="宋体"/>
          <w:lang w:eastAsia="zh-CN"/>
        </w:rPr>
        <w:t xml:space="preserve">（6）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 </w:t>
      </w:r>
    </w:p>
    <w:p w14:paraId="25B96EBC">
      <w:pPr>
        <w:spacing w:line="360" w:lineRule="auto"/>
        <w:rPr>
          <w:rFonts w:ascii="宋体" w:hAnsi="宋体" w:eastAsia="宋体" w:cs="宋体"/>
          <w:lang w:eastAsia="zh-CN"/>
        </w:rPr>
      </w:pPr>
      <w:bookmarkStart w:id="732" w:name="_Toc511293825"/>
      <w:bookmarkStart w:id="733" w:name="_Toc511294096"/>
      <w:r>
        <w:rPr>
          <w:rFonts w:hint="eastAsia" w:ascii="宋体" w:hAnsi="宋体" w:eastAsia="宋体" w:cs="宋体"/>
          <w:lang w:eastAsia="zh-CN"/>
        </w:rPr>
        <w:t>1.8  转让</w:t>
      </w:r>
      <w:bookmarkEnd w:id="732"/>
      <w:bookmarkEnd w:id="733"/>
      <w:r>
        <w:rPr>
          <w:rFonts w:hint="eastAsia" w:ascii="宋体" w:hAnsi="宋体" w:eastAsia="宋体" w:cs="宋体"/>
          <w:lang w:eastAsia="zh-CN"/>
        </w:rPr>
        <w:t xml:space="preserve"> </w:t>
      </w:r>
    </w:p>
    <w:p w14:paraId="55D9D865">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除合同另有约定外，未经对方当事人同意，一方当事人不得将合同权利全部或部分转让给第三人，也不得全部或部分转移合同义务。 </w:t>
      </w:r>
    </w:p>
    <w:p w14:paraId="214F7A14">
      <w:pPr>
        <w:spacing w:line="360" w:lineRule="auto"/>
        <w:rPr>
          <w:rFonts w:ascii="宋体" w:hAnsi="宋体" w:eastAsia="宋体" w:cs="宋体"/>
          <w:lang w:eastAsia="zh-CN"/>
        </w:rPr>
      </w:pPr>
      <w:bookmarkStart w:id="734" w:name="_Toc511294097"/>
      <w:bookmarkStart w:id="735" w:name="_Toc511293826"/>
      <w:r>
        <w:rPr>
          <w:rFonts w:hint="eastAsia" w:ascii="宋体" w:hAnsi="宋体" w:eastAsia="宋体" w:cs="宋体"/>
          <w:lang w:eastAsia="zh-CN"/>
        </w:rPr>
        <w:t>1.9  严禁贿赂</w:t>
      </w:r>
      <w:bookmarkEnd w:id="734"/>
      <w:bookmarkEnd w:id="735"/>
      <w:r>
        <w:rPr>
          <w:rFonts w:hint="eastAsia" w:ascii="宋体" w:hAnsi="宋体" w:eastAsia="宋体" w:cs="宋体"/>
          <w:lang w:eastAsia="zh-CN"/>
        </w:rPr>
        <w:t xml:space="preserve"> </w:t>
      </w:r>
    </w:p>
    <w:p w14:paraId="010B0D83">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合同双方当事人不得以贿赂或变相贿赂的方式，谋取不当利益或损害对方权益。因贿赂造成对方损失的，行为人应赔偿损失，并承担相应的法律责任。 </w:t>
      </w:r>
    </w:p>
    <w:p w14:paraId="20120F91">
      <w:pPr>
        <w:spacing w:line="360" w:lineRule="auto"/>
        <w:rPr>
          <w:rFonts w:ascii="宋体" w:hAnsi="宋体" w:eastAsia="宋体" w:cs="宋体"/>
          <w:lang w:eastAsia="zh-CN"/>
        </w:rPr>
      </w:pPr>
      <w:bookmarkStart w:id="736" w:name="_Toc511294098"/>
      <w:bookmarkStart w:id="737" w:name="_Toc511293827"/>
      <w:r>
        <w:rPr>
          <w:rFonts w:hint="eastAsia" w:ascii="宋体" w:hAnsi="宋体" w:eastAsia="宋体" w:cs="宋体"/>
          <w:lang w:eastAsia="zh-CN"/>
        </w:rPr>
        <w:t>1.10  化石、文物</w:t>
      </w:r>
      <w:bookmarkEnd w:id="736"/>
      <w:bookmarkEnd w:id="737"/>
      <w:r>
        <w:rPr>
          <w:rFonts w:hint="eastAsia" w:ascii="宋体" w:hAnsi="宋体" w:eastAsia="宋体" w:cs="宋体"/>
          <w:lang w:eastAsia="zh-CN"/>
        </w:rPr>
        <w:t xml:space="preserve"> </w:t>
      </w:r>
    </w:p>
    <w:p w14:paraId="6FEBF142">
      <w:pPr>
        <w:spacing w:line="360" w:lineRule="auto"/>
        <w:rPr>
          <w:rFonts w:ascii="宋体" w:hAnsi="宋体" w:eastAsia="宋体" w:cs="宋体"/>
          <w:lang w:eastAsia="zh-CN"/>
        </w:rPr>
      </w:pPr>
      <w:r>
        <w:rPr>
          <w:rFonts w:hint="eastAsia" w:ascii="宋体" w:hAnsi="宋体" w:eastAsia="宋体" w:cs="宋体"/>
          <w:lang w:eastAsia="zh-CN"/>
        </w:rPr>
        <w:t xml:space="preserve">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 </w:t>
      </w:r>
    </w:p>
    <w:p w14:paraId="49937689">
      <w:pPr>
        <w:spacing w:line="360" w:lineRule="auto"/>
        <w:rPr>
          <w:rFonts w:ascii="宋体" w:hAnsi="宋体" w:eastAsia="宋体" w:cs="宋体"/>
          <w:lang w:eastAsia="zh-CN"/>
        </w:rPr>
      </w:pPr>
      <w:r>
        <w:rPr>
          <w:rFonts w:hint="eastAsia" w:ascii="宋体" w:hAnsi="宋体" w:eastAsia="宋体" w:cs="宋体"/>
          <w:lang w:eastAsia="zh-CN"/>
        </w:rPr>
        <w:t xml:space="preserve">1.10.2  承包人发现文物后不及时报告或隐瞒不报，致使文物丢失或损坏的，应赔偿损失，并承担相应的法律责任。 </w:t>
      </w:r>
    </w:p>
    <w:p w14:paraId="39374A40">
      <w:pPr>
        <w:spacing w:line="360" w:lineRule="auto"/>
        <w:rPr>
          <w:rFonts w:ascii="宋体" w:hAnsi="宋体" w:eastAsia="宋体" w:cs="宋体"/>
          <w:lang w:eastAsia="zh-CN"/>
        </w:rPr>
      </w:pPr>
      <w:bookmarkStart w:id="738" w:name="_Toc511294099"/>
      <w:bookmarkStart w:id="739" w:name="_Toc511293828"/>
      <w:r>
        <w:rPr>
          <w:rFonts w:hint="eastAsia" w:ascii="宋体" w:hAnsi="宋体" w:eastAsia="宋体" w:cs="宋体"/>
          <w:lang w:eastAsia="zh-CN"/>
        </w:rPr>
        <w:t>1.11  专利技术</w:t>
      </w:r>
      <w:bookmarkEnd w:id="738"/>
      <w:bookmarkEnd w:id="739"/>
      <w:r>
        <w:rPr>
          <w:rFonts w:hint="eastAsia" w:ascii="宋体" w:hAnsi="宋体" w:eastAsia="宋体" w:cs="宋体"/>
          <w:lang w:eastAsia="zh-CN"/>
        </w:rPr>
        <w:t xml:space="preserve"> </w:t>
      </w:r>
    </w:p>
    <w:p w14:paraId="192842FB">
      <w:pPr>
        <w:spacing w:line="360" w:lineRule="auto"/>
        <w:rPr>
          <w:rFonts w:ascii="宋体" w:hAnsi="宋体" w:eastAsia="宋体" w:cs="宋体"/>
          <w:lang w:eastAsia="zh-CN"/>
        </w:rPr>
      </w:pPr>
      <w:r>
        <w:rPr>
          <w:rFonts w:hint="eastAsia" w:ascii="宋体" w:hAnsi="宋体" w:eastAsia="宋体" w:cs="宋体"/>
          <w:lang w:eastAsia="zh-CN"/>
        </w:rPr>
        <w:t xml:space="preserve">1.11.1  承包人在使用任何材料、承包人设备、工程设备或采用施工工艺时，因侵犯专利权或其他知识产权所引起的责任，由承包人承担，但由于遵照发包人提供的设计或技术标准和要求引起的除外。 </w:t>
      </w:r>
    </w:p>
    <w:p w14:paraId="389E66D5">
      <w:pPr>
        <w:spacing w:line="360" w:lineRule="auto"/>
        <w:rPr>
          <w:rFonts w:ascii="宋体" w:hAnsi="宋体" w:eastAsia="宋体" w:cs="宋体"/>
          <w:lang w:eastAsia="zh-CN"/>
        </w:rPr>
      </w:pPr>
      <w:r>
        <w:rPr>
          <w:rFonts w:hint="eastAsia" w:ascii="宋体" w:hAnsi="宋体" w:eastAsia="宋体" w:cs="宋体"/>
          <w:lang w:eastAsia="zh-CN"/>
        </w:rPr>
        <w:t xml:space="preserve">1.11.2  承包人在响应文件中采用专利技术的，专利技术的使用费包含在投标报价内。 </w:t>
      </w:r>
    </w:p>
    <w:p w14:paraId="2FDBD671">
      <w:pPr>
        <w:spacing w:line="360" w:lineRule="auto"/>
        <w:rPr>
          <w:rFonts w:ascii="宋体" w:hAnsi="宋体" w:eastAsia="宋体" w:cs="宋体"/>
          <w:lang w:eastAsia="zh-CN"/>
        </w:rPr>
      </w:pPr>
      <w:r>
        <w:rPr>
          <w:rFonts w:hint="eastAsia" w:ascii="宋体" w:hAnsi="宋体" w:eastAsia="宋体" w:cs="宋体"/>
          <w:lang w:eastAsia="zh-CN"/>
        </w:rPr>
        <w:t xml:space="preserve">1.11.3  承包人的技术秘密和声明需要保密的资料和信息，发包人和监理人不得为合同以外的目的泄露给他人。 </w:t>
      </w:r>
    </w:p>
    <w:p w14:paraId="1FBE7775">
      <w:pPr>
        <w:spacing w:line="360" w:lineRule="auto"/>
        <w:rPr>
          <w:rFonts w:ascii="宋体" w:hAnsi="宋体" w:eastAsia="宋体" w:cs="宋体"/>
          <w:lang w:eastAsia="zh-CN"/>
        </w:rPr>
      </w:pPr>
      <w:bookmarkStart w:id="740" w:name="_Toc511293829"/>
      <w:bookmarkStart w:id="741" w:name="_Toc511294100"/>
      <w:r>
        <w:rPr>
          <w:rFonts w:hint="eastAsia" w:ascii="宋体" w:hAnsi="宋体" w:eastAsia="宋体" w:cs="宋体"/>
          <w:lang w:eastAsia="zh-CN"/>
        </w:rPr>
        <w:t>1.12  图纸和文件的保密</w:t>
      </w:r>
      <w:bookmarkEnd w:id="740"/>
      <w:bookmarkEnd w:id="741"/>
      <w:r>
        <w:rPr>
          <w:rFonts w:hint="eastAsia" w:ascii="宋体" w:hAnsi="宋体" w:eastAsia="宋体" w:cs="宋体"/>
          <w:lang w:eastAsia="zh-CN"/>
        </w:rPr>
        <w:t xml:space="preserve"> </w:t>
      </w:r>
    </w:p>
    <w:p w14:paraId="68F98524">
      <w:pPr>
        <w:spacing w:line="360" w:lineRule="auto"/>
        <w:rPr>
          <w:rFonts w:ascii="宋体" w:hAnsi="宋体" w:eastAsia="宋体" w:cs="宋体"/>
          <w:lang w:eastAsia="zh-CN"/>
        </w:rPr>
      </w:pPr>
      <w:r>
        <w:rPr>
          <w:rFonts w:hint="eastAsia" w:ascii="宋体" w:hAnsi="宋体" w:eastAsia="宋体" w:cs="宋体"/>
          <w:lang w:eastAsia="zh-CN"/>
        </w:rPr>
        <w:t xml:space="preserve">1.12.1  发包人提供的图纸和文件，未经发包人同意，承包人不得为合同以外的目的泄露给他人或公开发表与引用。 </w:t>
      </w:r>
    </w:p>
    <w:p w14:paraId="4775946A">
      <w:pPr>
        <w:spacing w:line="360" w:lineRule="auto"/>
        <w:rPr>
          <w:rFonts w:ascii="宋体" w:hAnsi="宋体" w:eastAsia="宋体" w:cs="宋体"/>
          <w:lang w:eastAsia="zh-CN"/>
        </w:rPr>
      </w:pPr>
      <w:r>
        <w:rPr>
          <w:rFonts w:hint="eastAsia" w:ascii="宋体" w:hAnsi="宋体" w:eastAsia="宋体" w:cs="宋体"/>
          <w:lang w:eastAsia="zh-CN"/>
        </w:rPr>
        <w:t xml:space="preserve">1.12.2  承包人提供的文件，未经承包人同意，发包人和监理人不得为合同以外的目的泄露给他人或公开发表与引用。 </w:t>
      </w:r>
    </w:p>
    <w:p w14:paraId="04CB744A">
      <w:pPr>
        <w:spacing w:line="360" w:lineRule="auto"/>
        <w:rPr>
          <w:rFonts w:ascii="宋体" w:hAnsi="宋体" w:eastAsia="宋体" w:cs="宋体"/>
          <w:lang w:eastAsia="zh-CN"/>
        </w:rPr>
      </w:pPr>
      <w:r>
        <w:rPr>
          <w:rFonts w:hint="eastAsia" w:ascii="宋体" w:hAnsi="宋体" w:eastAsia="宋体" w:cs="宋体"/>
          <w:lang w:eastAsia="zh-CN"/>
        </w:rPr>
        <w:t xml:space="preserve">2.发包人义务 </w:t>
      </w:r>
    </w:p>
    <w:p w14:paraId="0C38DCD4">
      <w:pPr>
        <w:spacing w:line="360" w:lineRule="auto"/>
        <w:rPr>
          <w:rFonts w:ascii="宋体" w:hAnsi="宋体" w:eastAsia="宋体" w:cs="宋体"/>
          <w:lang w:eastAsia="zh-CN"/>
        </w:rPr>
      </w:pPr>
      <w:bookmarkStart w:id="742" w:name="_Toc511293830"/>
      <w:bookmarkStart w:id="743" w:name="_Toc511294101"/>
      <w:r>
        <w:rPr>
          <w:rFonts w:hint="eastAsia" w:ascii="宋体" w:hAnsi="宋体" w:eastAsia="宋体" w:cs="宋体"/>
          <w:lang w:eastAsia="zh-CN"/>
        </w:rPr>
        <w:t>2.1  遵守法律</w:t>
      </w:r>
      <w:bookmarkEnd w:id="742"/>
      <w:bookmarkEnd w:id="743"/>
      <w:r>
        <w:rPr>
          <w:rFonts w:hint="eastAsia" w:ascii="宋体" w:hAnsi="宋体" w:eastAsia="宋体" w:cs="宋体"/>
          <w:lang w:eastAsia="zh-CN"/>
        </w:rPr>
        <w:t xml:space="preserve"> </w:t>
      </w:r>
    </w:p>
    <w:p w14:paraId="7C7C6F5A">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发包人在履行合同过程中应遵守法律，并保证承包人免于承担因发包人违反法律而引起的任何责任。 </w:t>
      </w:r>
    </w:p>
    <w:p w14:paraId="4CC8D4B1">
      <w:pPr>
        <w:spacing w:line="360" w:lineRule="auto"/>
        <w:rPr>
          <w:rFonts w:ascii="宋体" w:hAnsi="宋体" w:eastAsia="宋体" w:cs="宋体"/>
          <w:lang w:eastAsia="zh-CN"/>
        </w:rPr>
      </w:pPr>
      <w:bookmarkStart w:id="744" w:name="_Toc511293831"/>
      <w:bookmarkStart w:id="745" w:name="_Toc511294102"/>
      <w:r>
        <w:rPr>
          <w:rFonts w:hint="eastAsia" w:ascii="宋体" w:hAnsi="宋体" w:eastAsia="宋体" w:cs="宋体"/>
          <w:lang w:eastAsia="zh-CN"/>
        </w:rPr>
        <w:t>2.2  发出开工通知</w:t>
      </w:r>
      <w:bookmarkEnd w:id="744"/>
      <w:bookmarkEnd w:id="745"/>
      <w:r>
        <w:rPr>
          <w:rFonts w:hint="eastAsia" w:ascii="宋体" w:hAnsi="宋体" w:eastAsia="宋体" w:cs="宋体"/>
          <w:lang w:eastAsia="zh-CN"/>
        </w:rPr>
        <w:t xml:space="preserve"> </w:t>
      </w:r>
    </w:p>
    <w:p w14:paraId="4F947406">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发包人应委托监理人按第11.1款的约定向承包人发出开工通知。 </w:t>
      </w:r>
    </w:p>
    <w:p w14:paraId="0D33EF56">
      <w:pPr>
        <w:spacing w:line="360" w:lineRule="auto"/>
        <w:rPr>
          <w:rFonts w:ascii="宋体" w:hAnsi="宋体" w:eastAsia="宋体" w:cs="宋体"/>
          <w:lang w:eastAsia="zh-CN"/>
        </w:rPr>
      </w:pPr>
      <w:bookmarkStart w:id="746" w:name="_Toc511293832"/>
      <w:bookmarkStart w:id="747" w:name="_Toc511294103"/>
      <w:r>
        <w:rPr>
          <w:rFonts w:hint="eastAsia" w:ascii="宋体" w:hAnsi="宋体" w:eastAsia="宋体" w:cs="宋体"/>
          <w:lang w:eastAsia="zh-CN"/>
        </w:rPr>
        <w:t>2.3  提供施工场地</w:t>
      </w:r>
      <w:bookmarkEnd w:id="746"/>
      <w:bookmarkEnd w:id="747"/>
      <w:r>
        <w:rPr>
          <w:rFonts w:hint="eastAsia" w:ascii="宋体" w:hAnsi="宋体" w:eastAsia="宋体" w:cs="宋体"/>
          <w:lang w:eastAsia="zh-CN"/>
        </w:rPr>
        <w:t xml:space="preserve"> </w:t>
      </w:r>
    </w:p>
    <w:p w14:paraId="1C7171F6">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发包人应在约定期限前确保施工场地具备施工条件并移交给承包人，具体施工条件在 “技术标准和要求”第一节“一般要求”中约定。发包人最迟应当在移交施工场地的同时向承包人提供施工场地内地下管线和地下设施等有关资料，并保证资料的真实、准确和完整。发包人移交施工场地的期限见合同条款专用部分。 </w:t>
      </w:r>
    </w:p>
    <w:p w14:paraId="472DBB4A">
      <w:pPr>
        <w:spacing w:line="360" w:lineRule="auto"/>
        <w:rPr>
          <w:rFonts w:ascii="宋体" w:hAnsi="宋体" w:eastAsia="宋体" w:cs="宋体"/>
          <w:lang w:eastAsia="zh-CN"/>
        </w:rPr>
      </w:pPr>
      <w:bookmarkStart w:id="748" w:name="_Toc511294104"/>
      <w:bookmarkStart w:id="749" w:name="_Toc511293833"/>
      <w:r>
        <w:rPr>
          <w:rFonts w:hint="eastAsia" w:ascii="宋体" w:hAnsi="宋体" w:eastAsia="宋体" w:cs="宋体"/>
          <w:lang w:eastAsia="zh-CN"/>
        </w:rPr>
        <w:t>2.4  协助承包人办理证件和批件</w:t>
      </w:r>
      <w:bookmarkEnd w:id="748"/>
      <w:bookmarkEnd w:id="749"/>
      <w:r>
        <w:rPr>
          <w:rFonts w:hint="eastAsia" w:ascii="宋体" w:hAnsi="宋体" w:eastAsia="宋体" w:cs="宋体"/>
          <w:lang w:eastAsia="zh-CN"/>
        </w:rPr>
        <w:t xml:space="preserve"> </w:t>
      </w:r>
    </w:p>
    <w:p w14:paraId="4076E651">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发包人应协助承包人办理法律规定的有关施工证件和批件。 </w:t>
      </w:r>
    </w:p>
    <w:p w14:paraId="2C6E8280">
      <w:pPr>
        <w:spacing w:line="360" w:lineRule="auto"/>
        <w:rPr>
          <w:rFonts w:ascii="宋体" w:hAnsi="宋体" w:eastAsia="宋体" w:cs="宋体"/>
          <w:lang w:eastAsia="zh-CN"/>
        </w:rPr>
      </w:pPr>
      <w:bookmarkStart w:id="750" w:name="_Toc511293834"/>
      <w:bookmarkStart w:id="751" w:name="_Toc511294105"/>
      <w:r>
        <w:rPr>
          <w:rFonts w:hint="eastAsia" w:ascii="宋体" w:hAnsi="宋体" w:eastAsia="宋体" w:cs="宋体"/>
          <w:lang w:eastAsia="zh-CN"/>
        </w:rPr>
        <w:t>2.5  组织设计交底</w:t>
      </w:r>
      <w:bookmarkEnd w:id="750"/>
      <w:bookmarkEnd w:id="751"/>
      <w:r>
        <w:rPr>
          <w:rFonts w:hint="eastAsia" w:ascii="宋体" w:hAnsi="宋体" w:eastAsia="宋体" w:cs="宋体"/>
          <w:lang w:eastAsia="zh-CN"/>
        </w:rPr>
        <w:t xml:space="preserve"> </w:t>
      </w:r>
    </w:p>
    <w:p w14:paraId="26913082">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发包人应根据批准的合同进度计划，组织设计单位向承包人进行设计交底。 </w:t>
      </w:r>
    </w:p>
    <w:p w14:paraId="2AFEB40F">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应在第11.1.1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 </w:t>
      </w:r>
    </w:p>
    <w:p w14:paraId="084E6C35">
      <w:pPr>
        <w:spacing w:line="360" w:lineRule="auto"/>
        <w:rPr>
          <w:rFonts w:ascii="宋体" w:hAnsi="宋体" w:eastAsia="宋体" w:cs="宋体"/>
          <w:lang w:eastAsia="zh-CN"/>
        </w:rPr>
      </w:pPr>
      <w:bookmarkStart w:id="752" w:name="_Toc511294106"/>
      <w:bookmarkStart w:id="753" w:name="_Toc511293835"/>
      <w:r>
        <w:rPr>
          <w:rFonts w:hint="eastAsia" w:ascii="宋体" w:hAnsi="宋体" w:eastAsia="宋体" w:cs="宋体"/>
          <w:lang w:eastAsia="zh-CN"/>
        </w:rPr>
        <w:t>2.6  支付合同价款</w:t>
      </w:r>
      <w:bookmarkEnd w:id="752"/>
      <w:bookmarkEnd w:id="753"/>
      <w:r>
        <w:rPr>
          <w:rFonts w:hint="eastAsia" w:ascii="宋体" w:hAnsi="宋体" w:eastAsia="宋体" w:cs="宋体"/>
          <w:lang w:eastAsia="zh-CN"/>
        </w:rPr>
        <w:t xml:space="preserve"> </w:t>
      </w:r>
    </w:p>
    <w:p w14:paraId="4399EF0B">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发包人应按合同约定向承包人及时支付合同价款。 </w:t>
      </w:r>
    </w:p>
    <w:p w14:paraId="03743EE9">
      <w:pPr>
        <w:spacing w:line="360" w:lineRule="auto"/>
        <w:rPr>
          <w:rFonts w:ascii="宋体" w:hAnsi="宋体" w:eastAsia="宋体" w:cs="宋体"/>
          <w:lang w:eastAsia="zh-CN"/>
        </w:rPr>
      </w:pPr>
      <w:bookmarkStart w:id="754" w:name="_Toc511293836"/>
      <w:bookmarkStart w:id="755" w:name="_Toc511294107"/>
      <w:r>
        <w:rPr>
          <w:rFonts w:hint="eastAsia" w:ascii="宋体" w:hAnsi="宋体" w:eastAsia="宋体" w:cs="宋体"/>
          <w:lang w:eastAsia="zh-CN"/>
        </w:rPr>
        <w:t>2.7  组织竣工验收</w:t>
      </w:r>
      <w:bookmarkEnd w:id="754"/>
      <w:bookmarkEnd w:id="755"/>
      <w:r>
        <w:rPr>
          <w:rFonts w:hint="eastAsia" w:ascii="宋体" w:hAnsi="宋体" w:eastAsia="宋体" w:cs="宋体"/>
          <w:lang w:eastAsia="zh-CN"/>
        </w:rPr>
        <w:t xml:space="preserve"> </w:t>
      </w:r>
    </w:p>
    <w:p w14:paraId="1D9E0FD1">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发包人应按合同约定及时组织竣工验收。 </w:t>
      </w:r>
    </w:p>
    <w:p w14:paraId="53D18DFB">
      <w:pPr>
        <w:spacing w:line="360" w:lineRule="auto"/>
        <w:rPr>
          <w:rFonts w:ascii="宋体" w:hAnsi="宋体" w:eastAsia="宋体" w:cs="宋体"/>
          <w:lang w:eastAsia="zh-CN"/>
        </w:rPr>
      </w:pPr>
      <w:bookmarkStart w:id="756" w:name="_Toc511294108"/>
      <w:bookmarkStart w:id="757" w:name="_Toc511293837"/>
      <w:r>
        <w:rPr>
          <w:rFonts w:hint="eastAsia" w:ascii="宋体" w:hAnsi="宋体" w:eastAsia="宋体" w:cs="宋体"/>
          <w:lang w:eastAsia="zh-CN"/>
        </w:rPr>
        <w:t>2.8  向承包人提交支付担保</w:t>
      </w:r>
      <w:bookmarkEnd w:id="756"/>
      <w:bookmarkEnd w:id="757"/>
      <w:r>
        <w:rPr>
          <w:rFonts w:hint="eastAsia" w:ascii="宋体" w:hAnsi="宋体" w:eastAsia="宋体" w:cs="宋体"/>
          <w:lang w:eastAsia="zh-CN"/>
        </w:rPr>
        <w:t xml:space="preserve"> </w:t>
      </w:r>
    </w:p>
    <w:p w14:paraId="2940B3D8">
      <w:pPr>
        <w:spacing w:line="360" w:lineRule="auto"/>
        <w:rPr>
          <w:rFonts w:ascii="宋体" w:hAnsi="宋体" w:eastAsia="宋体" w:cs="宋体"/>
          <w:lang w:eastAsia="zh-CN"/>
        </w:rPr>
      </w:pPr>
      <w:r>
        <w:rPr>
          <w:rFonts w:hint="eastAsia" w:ascii="宋体" w:hAnsi="宋体" w:eastAsia="宋体" w:cs="宋体"/>
          <w:lang w:eastAsia="zh-CN"/>
        </w:rPr>
        <w:t xml:space="preserve">（1）发包人要求承包人提交履约担保的，除合同条款专用部分另有约定的，在承包人按合同条款第4.2款向发包人递交符合合同约定的履约担保的同时，发包人应当按照金额和条件对等的原则和合同文件中规定的格式或者其他经过承包人事先认可的格式向承包人递交一份支付担保。发包人提供支付担保格式见合同条款专用部分附件六。 </w:t>
      </w:r>
    </w:p>
    <w:p w14:paraId="32404142">
      <w:pPr>
        <w:spacing w:line="360" w:lineRule="auto"/>
        <w:rPr>
          <w:rFonts w:ascii="宋体" w:hAnsi="宋体" w:eastAsia="宋体" w:cs="宋体"/>
          <w:lang w:eastAsia="zh-CN"/>
        </w:rPr>
      </w:pPr>
      <w:r>
        <w:rPr>
          <w:rFonts w:hint="eastAsia" w:ascii="宋体" w:hAnsi="宋体" w:eastAsia="宋体" w:cs="宋体"/>
          <w:lang w:eastAsia="zh-CN"/>
        </w:rPr>
        <w:t xml:space="preserve">（2）支付担保的有效期应当自本合同生效之日起至发包人实际支付竣工付款之日止。 </w:t>
      </w:r>
    </w:p>
    <w:p w14:paraId="66144802">
      <w:pPr>
        <w:spacing w:line="360" w:lineRule="auto"/>
        <w:rPr>
          <w:rFonts w:ascii="宋体" w:hAnsi="宋体" w:eastAsia="宋体" w:cs="宋体"/>
          <w:lang w:eastAsia="zh-CN"/>
        </w:rPr>
      </w:pPr>
      <w:r>
        <w:rPr>
          <w:rFonts w:hint="eastAsia" w:ascii="宋体" w:hAnsi="宋体" w:eastAsia="宋体" w:cs="宋体"/>
          <w:lang w:eastAsia="zh-CN"/>
        </w:rPr>
        <w:t xml:space="preserve">（3）发包人无法获得一份不带具体截止日期的履约担保，支付担保中应当约定有“变更工程竣工付款支付日期的，保证期间按照变更后的竣工付款支付日期做相应调整”或类似约定的条款。 </w:t>
      </w:r>
    </w:p>
    <w:p w14:paraId="331B560F">
      <w:pPr>
        <w:spacing w:line="360" w:lineRule="auto"/>
        <w:rPr>
          <w:rFonts w:ascii="宋体" w:hAnsi="宋体" w:eastAsia="宋体" w:cs="宋体"/>
          <w:lang w:eastAsia="zh-CN"/>
        </w:rPr>
      </w:pPr>
      <w:r>
        <w:rPr>
          <w:rFonts w:hint="eastAsia" w:ascii="宋体" w:hAnsi="宋体" w:eastAsia="宋体" w:cs="宋体"/>
          <w:lang w:eastAsia="zh-CN"/>
        </w:rPr>
        <w:t xml:space="preserve">（4）支付担保应当在发包人付清竣工付款之日后28天内退还给发包人；承包人不承担发包人与支付担保有关的任何利息或其它类似的费用或者收益。 </w:t>
      </w:r>
    </w:p>
    <w:p w14:paraId="3AC1556A">
      <w:pPr>
        <w:spacing w:line="360" w:lineRule="auto"/>
        <w:rPr>
          <w:rFonts w:ascii="宋体" w:hAnsi="宋体" w:eastAsia="宋体" w:cs="宋体"/>
          <w:lang w:eastAsia="zh-CN"/>
        </w:rPr>
      </w:pPr>
      <w:bookmarkStart w:id="758" w:name="_Toc511293838"/>
      <w:bookmarkStart w:id="759" w:name="_Toc511294109"/>
      <w:r>
        <w:rPr>
          <w:rFonts w:hint="eastAsia" w:ascii="宋体" w:hAnsi="宋体" w:eastAsia="宋体" w:cs="宋体"/>
          <w:lang w:eastAsia="zh-CN"/>
        </w:rPr>
        <w:t>2.9  办理工程质量监督手续</w:t>
      </w:r>
      <w:bookmarkEnd w:id="758"/>
      <w:bookmarkEnd w:id="759"/>
      <w:r>
        <w:rPr>
          <w:rFonts w:hint="eastAsia" w:ascii="宋体" w:hAnsi="宋体" w:eastAsia="宋体" w:cs="宋体"/>
          <w:lang w:eastAsia="zh-CN"/>
        </w:rPr>
        <w:t xml:space="preserve"> </w:t>
      </w:r>
    </w:p>
    <w:p w14:paraId="25F6A6CA">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发包人应按有关规定及时办理工程质量监督手续。 </w:t>
      </w:r>
    </w:p>
    <w:p w14:paraId="026960B7">
      <w:pPr>
        <w:spacing w:line="360" w:lineRule="auto"/>
        <w:rPr>
          <w:rFonts w:ascii="宋体" w:hAnsi="宋体" w:eastAsia="宋体" w:cs="宋体"/>
          <w:lang w:eastAsia="zh-CN"/>
        </w:rPr>
      </w:pPr>
      <w:bookmarkStart w:id="760" w:name="_Toc511293839"/>
      <w:bookmarkStart w:id="761" w:name="_Toc511294110"/>
      <w:r>
        <w:rPr>
          <w:rFonts w:hint="eastAsia" w:ascii="宋体" w:hAnsi="宋体" w:eastAsia="宋体" w:cs="宋体"/>
          <w:lang w:eastAsia="zh-CN"/>
        </w:rPr>
        <w:t>2.10  环境保护责任</w:t>
      </w:r>
      <w:bookmarkEnd w:id="760"/>
      <w:bookmarkEnd w:id="761"/>
      <w:r>
        <w:rPr>
          <w:rFonts w:hint="eastAsia" w:ascii="宋体" w:hAnsi="宋体" w:eastAsia="宋体" w:cs="宋体"/>
          <w:lang w:eastAsia="zh-CN"/>
        </w:rPr>
        <w:t xml:space="preserve"> </w:t>
      </w:r>
    </w:p>
    <w:p w14:paraId="1FAFEAFB">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 发包人对建筑垃圾处理、施工扬尘治理负总责。 </w:t>
      </w:r>
    </w:p>
    <w:p w14:paraId="3AD64FE4">
      <w:pPr>
        <w:spacing w:line="360" w:lineRule="auto"/>
        <w:rPr>
          <w:rFonts w:ascii="宋体" w:hAnsi="宋体" w:eastAsia="宋体" w:cs="宋体"/>
          <w:lang w:eastAsia="zh-CN"/>
        </w:rPr>
      </w:pPr>
      <w:bookmarkStart w:id="762" w:name="_Toc511294111"/>
      <w:bookmarkStart w:id="763" w:name="_Toc511293840"/>
      <w:r>
        <w:rPr>
          <w:rFonts w:hint="eastAsia" w:ascii="宋体" w:hAnsi="宋体" w:eastAsia="宋体" w:cs="宋体"/>
          <w:lang w:eastAsia="zh-CN"/>
        </w:rPr>
        <w:t>2.11  移交工程档案</w:t>
      </w:r>
      <w:bookmarkEnd w:id="762"/>
      <w:bookmarkEnd w:id="763"/>
      <w:r>
        <w:rPr>
          <w:rFonts w:hint="eastAsia" w:ascii="宋体" w:hAnsi="宋体" w:eastAsia="宋体" w:cs="宋体"/>
          <w:lang w:eastAsia="zh-CN"/>
        </w:rPr>
        <w:t xml:space="preserve"> </w:t>
      </w:r>
    </w:p>
    <w:p w14:paraId="4AC3AADB">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发包人应根据建设行政主管部门和（或）城市建设档案管理机构的规定，收集、整理、立卷、归档工程资料，并按规定时间向建设行政主管部门或者城市建设档案管理机构移交规定的工程档案。 </w:t>
      </w:r>
    </w:p>
    <w:p w14:paraId="4F7E62E8">
      <w:pPr>
        <w:spacing w:line="360" w:lineRule="auto"/>
        <w:rPr>
          <w:rFonts w:ascii="宋体" w:hAnsi="宋体" w:eastAsia="宋体" w:cs="宋体"/>
          <w:lang w:eastAsia="zh-CN"/>
        </w:rPr>
      </w:pPr>
      <w:bookmarkStart w:id="764" w:name="_Toc511293841"/>
      <w:bookmarkStart w:id="765" w:name="_Toc511294112"/>
      <w:r>
        <w:rPr>
          <w:rFonts w:hint="eastAsia" w:ascii="宋体" w:hAnsi="宋体" w:eastAsia="宋体" w:cs="宋体"/>
          <w:lang w:eastAsia="zh-CN"/>
        </w:rPr>
        <w:t>2.12  批准和确认</w:t>
      </w:r>
      <w:bookmarkEnd w:id="764"/>
      <w:bookmarkEnd w:id="765"/>
      <w:r>
        <w:rPr>
          <w:rFonts w:hint="eastAsia" w:ascii="宋体" w:hAnsi="宋体" w:eastAsia="宋体" w:cs="宋体"/>
          <w:lang w:eastAsia="zh-CN"/>
        </w:rPr>
        <w:t xml:space="preserve"> </w:t>
      </w:r>
    </w:p>
    <w:p w14:paraId="3EA545D5">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 </w:t>
      </w:r>
    </w:p>
    <w:p w14:paraId="6574D744">
      <w:pPr>
        <w:spacing w:line="360" w:lineRule="auto"/>
        <w:rPr>
          <w:rFonts w:ascii="宋体" w:hAnsi="宋体" w:eastAsia="宋体" w:cs="宋体"/>
          <w:lang w:eastAsia="zh-CN"/>
        </w:rPr>
      </w:pPr>
      <w:bookmarkStart w:id="766" w:name="_Toc511294113"/>
      <w:bookmarkStart w:id="767" w:name="_Toc511293842"/>
      <w:r>
        <w:rPr>
          <w:rFonts w:hint="eastAsia" w:ascii="宋体" w:hAnsi="宋体" w:eastAsia="宋体" w:cs="宋体"/>
          <w:lang w:eastAsia="zh-CN"/>
        </w:rPr>
        <w:t>2.13  其他义务</w:t>
      </w:r>
      <w:bookmarkEnd w:id="766"/>
      <w:bookmarkEnd w:id="767"/>
      <w:r>
        <w:rPr>
          <w:rFonts w:hint="eastAsia" w:ascii="宋体" w:hAnsi="宋体" w:eastAsia="宋体" w:cs="宋体"/>
          <w:lang w:eastAsia="zh-CN"/>
        </w:rPr>
        <w:t xml:space="preserve"> </w:t>
      </w:r>
    </w:p>
    <w:p w14:paraId="4E733234">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发包人应履行的其他义务见合同条款专用部分。 </w:t>
      </w:r>
    </w:p>
    <w:p w14:paraId="3459E150">
      <w:pPr>
        <w:spacing w:line="360" w:lineRule="auto"/>
        <w:rPr>
          <w:rFonts w:ascii="宋体" w:hAnsi="宋体" w:eastAsia="宋体" w:cs="宋体"/>
          <w:lang w:eastAsia="zh-CN"/>
        </w:rPr>
      </w:pPr>
      <w:r>
        <w:rPr>
          <w:rFonts w:hint="eastAsia" w:ascii="宋体" w:hAnsi="宋体" w:eastAsia="宋体" w:cs="宋体"/>
          <w:lang w:eastAsia="zh-CN"/>
        </w:rPr>
        <w:t xml:space="preserve">3.监理人 </w:t>
      </w:r>
    </w:p>
    <w:p w14:paraId="77258D88">
      <w:pPr>
        <w:spacing w:line="360" w:lineRule="auto"/>
        <w:rPr>
          <w:rFonts w:ascii="宋体" w:hAnsi="宋体" w:eastAsia="宋体" w:cs="宋体"/>
          <w:lang w:eastAsia="zh-CN"/>
        </w:rPr>
      </w:pPr>
      <w:bookmarkStart w:id="768" w:name="_Toc511294114"/>
      <w:bookmarkStart w:id="769" w:name="_Toc511293843"/>
      <w:r>
        <w:rPr>
          <w:rFonts w:hint="eastAsia" w:ascii="宋体" w:hAnsi="宋体" w:eastAsia="宋体" w:cs="宋体"/>
          <w:lang w:eastAsia="zh-CN"/>
        </w:rPr>
        <w:t>3.1  监理人的职责和权力</w:t>
      </w:r>
      <w:bookmarkEnd w:id="768"/>
      <w:bookmarkEnd w:id="769"/>
      <w:r>
        <w:rPr>
          <w:rFonts w:hint="eastAsia" w:ascii="宋体" w:hAnsi="宋体" w:eastAsia="宋体" w:cs="宋体"/>
          <w:lang w:eastAsia="zh-CN"/>
        </w:rPr>
        <w:t xml:space="preserve"> </w:t>
      </w:r>
    </w:p>
    <w:p w14:paraId="76B38194">
      <w:pPr>
        <w:spacing w:line="360" w:lineRule="auto"/>
        <w:rPr>
          <w:rFonts w:ascii="宋体" w:hAnsi="宋体" w:eastAsia="宋体" w:cs="宋体"/>
          <w:lang w:eastAsia="zh-CN"/>
        </w:rPr>
      </w:pPr>
      <w:r>
        <w:rPr>
          <w:rFonts w:hint="eastAsia" w:ascii="宋体" w:hAnsi="宋体" w:eastAsia="宋体" w:cs="宋体"/>
          <w:lang w:eastAsia="zh-CN"/>
        </w:rPr>
        <w:t xml:space="preserve">3.1.1  监理人受发包人委托，享有合同约定的权力。监理人在行使某项权力前需要经发包人事先批准，合同条款通用部分没有指明的，应在合同中指明。监理人履行须经发包人批准行使的权力时，应当向承包人出示其行使该权力已经取得发包人批准的文件或者其他合法有效的证明。发包人需批准明确行使的权力见合同条款专用部分。 </w:t>
      </w:r>
    </w:p>
    <w:p w14:paraId="5F7F0F9D">
      <w:pPr>
        <w:spacing w:line="360" w:lineRule="auto"/>
        <w:rPr>
          <w:rFonts w:ascii="宋体" w:hAnsi="宋体" w:eastAsia="宋体" w:cs="宋体"/>
          <w:lang w:eastAsia="zh-CN"/>
        </w:rPr>
      </w:pPr>
      <w:r>
        <w:rPr>
          <w:rFonts w:hint="eastAsia" w:ascii="宋体" w:hAnsi="宋体" w:eastAsia="宋体" w:cs="宋体"/>
          <w:lang w:eastAsia="zh-CN"/>
        </w:rPr>
        <w:t xml:space="preserve">3.1.2  监理人发出的任何指示应视为已得到发包人的批准，但监理人无权免除或变更合同约定的发包人和承包人的权利、义务和责任。 </w:t>
      </w:r>
    </w:p>
    <w:p w14:paraId="2886D5D3">
      <w:pPr>
        <w:spacing w:line="360" w:lineRule="auto"/>
        <w:rPr>
          <w:rFonts w:ascii="宋体" w:hAnsi="宋体" w:eastAsia="宋体" w:cs="宋体"/>
          <w:lang w:eastAsia="zh-CN"/>
        </w:rPr>
      </w:pPr>
      <w:r>
        <w:rPr>
          <w:rFonts w:hint="eastAsia" w:ascii="宋体" w:hAnsi="宋体" w:eastAsia="宋体" w:cs="宋体"/>
          <w:lang w:eastAsia="zh-CN"/>
        </w:rPr>
        <w:t xml:space="preserve">3.1.3  合同约定应由承包人承担的义务和责任，不因监理人对承包人提交文件的审查或批准，对工程、材料和设备的检查和检验，以及为实施监理作出的指示等职务行为而减轻或解除。 </w:t>
      </w:r>
    </w:p>
    <w:p w14:paraId="57C5C6AF">
      <w:pPr>
        <w:spacing w:line="360" w:lineRule="auto"/>
        <w:rPr>
          <w:rFonts w:ascii="宋体" w:hAnsi="宋体" w:eastAsia="宋体" w:cs="宋体"/>
          <w:lang w:eastAsia="zh-CN"/>
        </w:rPr>
      </w:pPr>
      <w:bookmarkStart w:id="770" w:name="_Toc511293844"/>
      <w:bookmarkStart w:id="771" w:name="_Toc511294115"/>
      <w:r>
        <w:rPr>
          <w:rFonts w:hint="eastAsia" w:ascii="宋体" w:hAnsi="宋体" w:eastAsia="宋体" w:cs="宋体"/>
          <w:lang w:eastAsia="zh-CN"/>
        </w:rPr>
        <w:t>3.2  总监理工程师</w:t>
      </w:r>
      <w:bookmarkEnd w:id="770"/>
      <w:bookmarkEnd w:id="771"/>
      <w:r>
        <w:rPr>
          <w:rFonts w:hint="eastAsia" w:ascii="宋体" w:hAnsi="宋体" w:eastAsia="宋体" w:cs="宋体"/>
          <w:lang w:eastAsia="zh-CN"/>
        </w:rPr>
        <w:t xml:space="preserve"> </w:t>
      </w:r>
    </w:p>
    <w:p w14:paraId="596408E8">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发包人应在发出开工通知前将总监理工程师的任命通知承包人。总监理工程师更换时，应在调离14天前通知承包人。总监理工程师短期离开施工场地的，应委派代表代行其职责，并通知承包人。 </w:t>
      </w:r>
    </w:p>
    <w:p w14:paraId="6DB6843F">
      <w:pPr>
        <w:spacing w:line="360" w:lineRule="auto"/>
        <w:rPr>
          <w:rFonts w:ascii="宋体" w:hAnsi="宋体" w:eastAsia="宋体" w:cs="宋体"/>
          <w:lang w:eastAsia="zh-CN"/>
        </w:rPr>
      </w:pPr>
      <w:bookmarkStart w:id="772" w:name="_Toc511294116"/>
      <w:bookmarkStart w:id="773" w:name="_Toc511293845"/>
      <w:r>
        <w:rPr>
          <w:rFonts w:hint="eastAsia" w:ascii="宋体" w:hAnsi="宋体" w:eastAsia="宋体" w:cs="宋体"/>
          <w:lang w:eastAsia="zh-CN"/>
        </w:rPr>
        <w:t>3.3  监理人员</w:t>
      </w:r>
      <w:bookmarkEnd w:id="772"/>
      <w:bookmarkEnd w:id="773"/>
      <w:r>
        <w:rPr>
          <w:rFonts w:hint="eastAsia" w:ascii="宋体" w:hAnsi="宋体" w:eastAsia="宋体" w:cs="宋体"/>
          <w:lang w:eastAsia="zh-CN"/>
        </w:rPr>
        <w:t xml:space="preserve"> </w:t>
      </w:r>
    </w:p>
    <w:p w14:paraId="0DFC482C">
      <w:pPr>
        <w:spacing w:line="360" w:lineRule="auto"/>
        <w:rPr>
          <w:rFonts w:ascii="宋体" w:hAnsi="宋体" w:eastAsia="宋体" w:cs="宋体"/>
          <w:lang w:eastAsia="zh-CN"/>
        </w:rPr>
      </w:pPr>
      <w:r>
        <w:rPr>
          <w:rFonts w:hint="eastAsia" w:ascii="宋体" w:hAnsi="宋体" w:eastAsia="宋体" w:cs="宋体"/>
          <w:lang w:eastAsia="zh-CN"/>
        </w:rPr>
        <w:t xml:space="preserve">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 </w:t>
      </w:r>
    </w:p>
    <w:p w14:paraId="22696706">
      <w:pPr>
        <w:spacing w:line="360" w:lineRule="auto"/>
        <w:rPr>
          <w:rFonts w:ascii="宋体" w:hAnsi="宋体" w:eastAsia="宋体" w:cs="宋体"/>
          <w:lang w:eastAsia="zh-CN"/>
        </w:rPr>
      </w:pPr>
      <w:r>
        <w:rPr>
          <w:rFonts w:hint="eastAsia" w:ascii="宋体" w:hAnsi="宋体" w:eastAsia="宋体" w:cs="宋体"/>
          <w:lang w:eastAsia="zh-CN"/>
        </w:rPr>
        <w:t>3.3.2  监理人员对承包人的任何工作、工程或其采用的材料和工程设备未在约定的或</w:t>
      </w:r>
    </w:p>
    <w:p w14:paraId="40A21D02">
      <w:pPr>
        <w:spacing w:line="360" w:lineRule="auto"/>
        <w:rPr>
          <w:rFonts w:ascii="宋体" w:hAnsi="宋体" w:eastAsia="宋体" w:cs="宋体"/>
          <w:lang w:eastAsia="zh-CN"/>
        </w:rPr>
      </w:pPr>
      <w:r>
        <w:rPr>
          <w:rFonts w:hint="eastAsia" w:ascii="宋体" w:hAnsi="宋体" w:eastAsia="宋体" w:cs="宋体"/>
          <w:lang w:eastAsia="zh-CN"/>
        </w:rPr>
        <w:t xml:space="preserve">合理的期限内提出否定意见的，视为已获批准，但不影响监理人在以后拒绝该项工作、工程、材料或工程设备的权利。 </w:t>
      </w:r>
    </w:p>
    <w:p w14:paraId="263FA8AD">
      <w:pPr>
        <w:spacing w:line="360" w:lineRule="auto"/>
        <w:rPr>
          <w:rFonts w:ascii="宋体" w:hAnsi="宋体" w:eastAsia="宋体" w:cs="宋体"/>
          <w:lang w:eastAsia="zh-CN"/>
        </w:rPr>
      </w:pPr>
      <w:r>
        <w:rPr>
          <w:rFonts w:hint="eastAsia" w:ascii="宋体" w:hAnsi="宋体" w:eastAsia="宋体" w:cs="宋体"/>
          <w:lang w:eastAsia="zh-CN"/>
        </w:rPr>
        <w:t xml:space="preserve">3.3.3  承包人对总监理工程师授权的监理人员发出的指示有疑问的，可向总监理工程师提出书面异议，总监理工程师应在48小时内对该指示予以确认、更改或撤销。 </w:t>
      </w:r>
    </w:p>
    <w:p w14:paraId="7336AB3E">
      <w:pPr>
        <w:spacing w:line="360" w:lineRule="auto"/>
        <w:rPr>
          <w:rFonts w:ascii="宋体" w:hAnsi="宋体" w:eastAsia="宋体" w:cs="宋体"/>
          <w:lang w:eastAsia="zh-CN"/>
        </w:rPr>
      </w:pPr>
      <w:r>
        <w:rPr>
          <w:rFonts w:hint="eastAsia" w:ascii="宋体" w:hAnsi="宋体" w:eastAsia="宋体" w:cs="宋体"/>
          <w:lang w:eastAsia="zh-CN"/>
        </w:rPr>
        <w:t xml:space="preserve">3.3.4  总监理工程师不应将合同条款通用部分第3.5款约定应由总监理工程师作出确定的权力授权或者委托给其他监理人员。 </w:t>
      </w:r>
    </w:p>
    <w:p w14:paraId="135464C9">
      <w:pPr>
        <w:spacing w:line="360" w:lineRule="auto"/>
        <w:rPr>
          <w:rFonts w:ascii="宋体" w:hAnsi="宋体" w:eastAsia="宋体" w:cs="宋体"/>
          <w:lang w:eastAsia="zh-CN"/>
        </w:rPr>
      </w:pPr>
      <w:bookmarkStart w:id="774" w:name="_Toc511294117"/>
      <w:bookmarkStart w:id="775" w:name="_Toc511293846"/>
      <w:r>
        <w:rPr>
          <w:rFonts w:hint="eastAsia" w:ascii="宋体" w:hAnsi="宋体" w:eastAsia="宋体" w:cs="宋体"/>
          <w:lang w:eastAsia="zh-CN"/>
        </w:rPr>
        <w:t>3.4  监理人的指示</w:t>
      </w:r>
      <w:bookmarkEnd w:id="774"/>
      <w:bookmarkEnd w:id="775"/>
      <w:r>
        <w:rPr>
          <w:rFonts w:hint="eastAsia" w:ascii="宋体" w:hAnsi="宋体" w:eastAsia="宋体" w:cs="宋体"/>
          <w:lang w:eastAsia="zh-CN"/>
        </w:rPr>
        <w:t xml:space="preserve"> </w:t>
      </w:r>
    </w:p>
    <w:p w14:paraId="27AB1EDB">
      <w:pPr>
        <w:spacing w:line="360" w:lineRule="auto"/>
        <w:rPr>
          <w:rFonts w:ascii="宋体" w:hAnsi="宋体" w:eastAsia="宋体" w:cs="宋体"/>
          <w:lang w:eastAsia="zh-CN"/>
        </w:rPr>
      </w:pPr>
      <w:r>
        <w:rPr>
          <w:rFonts w:hint="eastAsia" w:ascii="宋体" w:hAnsi="宋体" w:eastAsia="宋体" w:cs="宋体"/>
          <w:lang w:eastAsia="zh-CN"/>
        </w:rPr>
        <w:t xml:space="preserve">3.4.1  监理人应按第3.1款的约定向承包人发出指示，监理人的指示应加盖监理人授权的施工场地机构章，并由总监理工程师或总监理工程师按第3.3.1项约定授权的监理人员签字。 </w:t>
      </w:r>
    </w:p>
    <w:p w14:paraId="6ACB74FF">
      <w:pPr>
        <w:spacing w:line="360" w:lineRule="auto"/>
        <w:rPr>
          <w:rFonts w:ascii="宋体" w:hAnsi="宋体" w:eastAsia="宋体" w:cs="宋体"/>
          <w:lang w:eastAsia="zh-CN"/>
        </w:rPr>
      </w:pPr>
      <w:r>
        <w:rPr>
          <w:rFonts w:hint="eastAsia" w:ascii="宋体" w:hAnsi="宋体" w:eastAsia="宋体" w:cs="宋体"/>
          <w:lang w:eastAsia="zh-CN"/>
        </w:rPr>
        <w:t xml:space="preserve">3.4.2  承包人收到监理人按第3.4.1项作出的指示后，应遵照执行。指示构成变更的，应按第15条处理。 </w:t>
      </w:r>
    </w:p>
    <w:p w14:paraId="1A5458BE">
      <w:pPr>
        <w:spacing w:line="360" w:lineRule="auto"/>
        <w:rPr>
          <w:rFonts w:ascii="宋体" w:hAnsi="宋体" w:eastAsia="宋体" w:cs="宋体"/>
          <w:lang w:eastAsia="zh-CN"/>
        </w:rPr>
      </w:pPr>
      <w:r>
        <w:rPr>
          <w:rFonts w:hint="eastAsia" w:ascii="宋体" w:hAnsi="宋体" w:eastAsia="宋体" w:cs="宋体"/>
          <w:lang w:eastAsia="zh-CN"/>
        </w:rPr>
        <w:t>3.4.3  在紧急情况下，总监理工程师或被授权的监理人员可以当场签发临时书面指示，</w:t>
      </w:r>
    </w:p>
    <w:p w14:paraId="30DD3F7A">
      <w:pPr>
        <w:spacing w:line="360" w:lineRule="auto"/>
        <w:rPr>
          <w:rFonts w:ascii="宋体" w:hAnsi="宋体" w:eastAsia="宋体" w:cs="宋体"/>
          <w:lang w:eastAsia="zh-CN"/>
        </w:rPr>
      </w:pPr>
      <w:r>
        <w:rPr>
          <w:rFonts w:hint="eastAsia" w:ascii="宋体" w:hAnsi="宋体" w:eastAsia="宋体" w:cs="宋体"/>
          <w:lang w:eastAsia="zh-CN"/>
        </w:rPr>
        <w:t xml:space="preserve">承包人应遵照执行。承包人应在收到上述临时书面指示后24小时内，向监理人发出书面确认函。监理人在收到书面确认函后24小时内未予答复的，该书面确认函应被视为监理人的正式指示。 </w:t>
      </w:r>
    </w:p>
    <w:p w14:paraId="32D8E59E">
      <w:pPr>
        <w:spacing w:line="360" w:lineRule="auto"/>
        <w:rPr>
          <w:rFonts w:ascii="宋体" w:hAnsi="宋体" w:eastAsia="宋体" w:cs="宋体"/>
          <w:lang w:eastAsia="zh-CN"/>
        </w:rPr>
      </w:pPr>
      <w:r>
        <w:rPr>
          <w:rFonts w:hint="eastAsia" w:ascii="宋体" w:hAnsi="宋体" w:eastAsia="宋体" w:cs="宋体"/>
          <w:lang w:eastAsia="zh-CN"/>
        </w:rPr>
        <w:t>3.4.4  除合同另有约定外，承包人只从总监理工程师或按第3.3.1项被授权的监理人</w:t>
      </w:r>
    </w:p>
    <w:p w14:paraId="45ED9E03">
      <w:pPr>
        <w:spacing w:line="360" w:lineRule="auto"/>
        <w:rPr>
          <w:rFonts w:ascii="宋体" w:hAnsi="宋体" w:eastAsia="宋体" w:cs="宋体"/>
          <w:lang w:eastAsia="zh-CN"/>
        </w:rPr>
      </w:pPr>
      <w:r>
        <w:rPr>
          <w:rFonts w:hint="eastAsia" w:ascii="宋体" w:hAnsi="宋体" w:eastAsia="宋体" w:cs="宋体"/>
          <w:lang w:eastAsia="zh-CN"/>
        </w:rPr>
        <w:t xml:space="preserve">员处取得指示。 </w:t>
      </w:r>
    </w:p>
    <w:p w14:paraId="47D3BB19">
      <w:pPr>
        <w:spacing w:line="360" w:lineRule="auto"/>
        <w:rPr>
          <w:rFonts w:ascii="宋体" w:hAnsi="宋体" w:eastAsia="宋体" w:cs="宋体"/>
          <w:lang w:eastAsia="zh-CN"/>
        </w:rPr>
      </w:pPr>
      <w:r>
        <w:rPr>
          <w:rFonts w:hint="eastAsia" w:ascii="宋体" w:hAnsi="宋体" w:eastAsia="宋体" w:cs="宋体"/>
          <w:lang w:eastAsia="zh-CN"/>
        </w:rPr>
        <w:t xml:space="preserve">3.4.5  由于监理人未能按合同约定发出指示、指示延误或指示错误而导致承包人费用增加和（或）工期延误的，由发包人承担赔偿责任。  </w:t>
      </w:r>
    </w:p>
    <w:p w14:paraId="20BD780A">
      <w:pPr>
        <w:spacing w:line="360" w:lineRule="auto"/>
        <w:rPr>
          <w:rFonts w:ascii="宋体" w:hAnsi="宋体" w:eastAsia="宋体" w:cs="宋体"/>
          <w:lang w:eastAsia="zh-CN"/>
        </w:rPr>
      </w:pPr>
      <w:bookmarkStart w:id="776" w:name="_Toc511293847"/>
      <w:bookmarkStart w:id="777" w:name="_Toc511294118"/>
      <w:r>
        <w:rPr>
          <w:rFonts w:hint="eastAsia" w:ascii="宋体" w:hAnsi="宋体" w:eastAsia="宋体" w:cs="宋体"/>
          <w:lang w:eastAsia="zh-CN"/>
        </w:rPr>
        <w:t>3.5  商定或确定</w:t>
      </w:r>
      <w:bookmarkEnd w:id="776"/>
      <w:bookmarkEnd w:id="777"/>
      <w:r>
        <w:rPr>
          <w:rFonts w:hint="eastAsia" w:ascii="宋体" w:hAnsi="宋体" w:eastAsia="宋体" w:cs="宋体"/>
          <w:lang w:eastAsia="zh-CN"/>
        </w:rPr>
        <w:t xml:space="preserve"> </w:t>
      </w:r>
    </w:p>
    <w:p w14:paraId="1FB2D5D3">
      <w:pPr>
        <w:spacing w:line="360" w:lineRule="auto"/>
        <w:rPr>
          <w:rFonts w:ascii="宋体" w:hAnsi="宋体" w:eastAsia="宋体" w:cs="宋体"/>
          <w:lang w:eastAsia="zh-CN"/>
        </w:rPr>
      </w:pPr>
      <w:r>
        <w:rPr>
          <w:rFonts w:hint="eastAsia" w:ascii="宋体" w:hAnsi="宋体" w:eastAsia="宋体" w:cs="宋体"/>
          <w:lang w:eastAsia="zh-CN"/>
        </w:rPr>
        <w:t xml:space="preserve">3.5.1  总监理工程师应按照本款对任何事项进行商定或确定时，总监理工程师应与合同当事人协商，尽量达成一致。不能达成一致的，总监理工程师应认真研究后审慎确定。 </w:t>
      </w:r>
    </w:p>
    <w:p w14:paraId="2AC1D05A">
      <w:pPr>
        <w:spacing w:line="360" w:lineRule="auto"/>
        <w:rPr>
          <w:rFonts w:ascii="宋体" w:hAnsi="宋体" w:eastAsia="宋体" w:cs="宋体"/>
          <w:lang w:eastAsia="zh-CN"/>
        </w:rPr>
      </w:pPr>
      <w:r>
        <w:rPr>
          <w:rFonts w:hint="eastAsia" w:ascii="宋体" w:hAnsi="宋体" w:eastAsia="宋体" w:cs="宋体"/>
          <w:lang w:eastAsia="zh-CN"/>
        </w:rPr>
        <w:t xml:space="preserve">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需要作出修改的，按修改后的结果执行。 </w:t>
      </w:r>
    </w:p>
    <w:p w14:paraId="6862D839">
      <w:pPr>
        <w:spacing w:line="360" w:lineRule="auto"/>
        <w:rPr>
          <w:rFonts w:ascii="宋体" w:hAnsi="宋体" w:eastAsia="宋体" w:cs="宋体"/>
          <w:lang w:eastAsia="zh-CN"/>
        </w:rPr>
      </w:pPr>
      <w:bookmarkStart w:id="778" w:name="_Toc511293848"/>
      <w:bookmarkStart w:id="779" w:name="_Toc511294119"/>
      <w:r>
        <w:rPr>
          <w:rFonts w:hint="eastAsia" w:ascii="宋体" w:hAnsi="宋体" w:eastAsia="宋体" w:cs="宋体"/>
          <w:lang w:eastAsia="zh-CN"/>
        </w:rPr>
        <w:t>3.6  监理人的宽恕</w:t>
      </w:r>
      <w:bookmarkEnd w:id="778"/>
      <w:bookmarkEnd w:id="779"/>
      <w:r>
        <w:rPr>
          <w:rFonts w:hint="eastAsia" w:ascii="宋体" w:hAnsi="宋体" w:eastAsia="宋体" w:cs="宋体"/>
          <w:lang w:eastAsia="zh-CN"/>
        </w:rPr>
        <w:t xml:space="preserve"> </w:t>
      </w:r>
    </w:p>
    <w:p w14:paraId="330DE025">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 </w:t>
      </w:r>
    </w:p>
    <w:p w14:paraId="365CB253">
      <w:pPr>
        <w:spacing w:line="360" w:lineRule="auto"/>
        <w:rPr>
          <w:rFonts w:ascii="宋体" w:hAnsi="宋体" w:eastAsia="宋体" w:cs="宋体"/>
          <w:lang w:eastAsia="zh-CN"/>
        </w:rPr>
      </w:pPr>
      <w:r>
        <w:rPr>
          <w:rFonts w:hint="eastAsia" w:ascii="宋体" w:hAnsi="宋体" w:eastAsia="宋体" w:cs="宋体"/>
          <w:lang w:eastAsia="zh-CN"/>
        </w:rPr>
        <w:t xml:space="preserve">4.承包人 </w:t>
      </w:r>
    </w:p>
    <w:p w14:paraId="1D31ED8D">
      <w:pPr>
        <w:spacing w:line="360" w:lineRule="auto"/>
        <w:rPr>
          <w:rFonts w:ascii="宋体" w:hAnsi="宋体" w:eastAsia="宋体" w:cs="宋体"/>
          <w:lang w:eastAsia="zh-CN"/>
        </w:rPr>
      </w:pPr>
      <w:bookmarkStart w:id="780" w:name="_Toc511294120"/>
      <w:bookmarkStart w:id="781" w:name="_Toc511293849"/>
      <w:r>
        <w:rPr>
          <w:rFonts w:hint="eastAsia" w:ascii="宋体" w:hAnsi="宋体" w:eastAsia="宋体" w:cs="宋体"/>
          <w:lang w:eastAsia="zh-CN"/>
        </w:rPr>
        <w:t>4.1  承包人的一般义务</w:t>
      </w:r>
      <w:bookmarkEnd w:id="780"/>
      <w:bookmarkEnd w:id="781"/>
      <w:r>
        <w:rPr>
          <w:rFonts w:hint="eastAsia" w:ascii="宋体" w:hAnsi="宋体" w:eastAsia="宋体" w:cs="宋体"/>
          <w:lang w:eastAsia="zh-CN"/>
        </w:rPr>
        <w:t xml:space="preserve"> </w:t>
      </w:r>
    </w:p>
    <w:p w14:paraId="1F72F412">
      <w:pPr>
        <w:spacing w:line="360" w:lineRule="auto"/>
        <w:rPr>
          <w:rFonts w:ascii="宋体" w:hAnsi="宋体" w:eastAsia="宋体" w:cs="宋体"/>
          <w:lang w:eastAsia="zh-CN"/>
        </w:rPr>
      </w:pPr>
      <w:r>
        <w:rPr>
          <w:rFonts w:hint="eastAsia" w:ascii="宋体" w:hAnsi="宋体" w:eastAsia="宋体" w:cs="宋体"/>
          <w:lang w:eastAsia="zh-CN"/>
        </w:rPr>
        <w:t xml:space="preserve">4.1.1  遵守法律 </w:t>
      </w:r>
    </w:p>
    <w:p w14:paraId="180A12B6">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承包人在履行合同过程中应遵守法律，并保证发包人免于承担因承包人违反法律而引起的任何责任。 </w:t>
      </w:r>
    </w:p>
    <w:p w14:paraId="557C7E1F">
      <w:pPr>
        <w:spacing w:line="360" w:lineRule="auto"/>
        <w:rPr>
          <w:rFonts w:ascii="宋体" w:hAnsi="宋体" w:eastAsia="宋体" w:cs="宋体"/>
          <w:lang w:eastAsia="zh-CN"/>
        </w:rPr>
      </w:pPr>
      <w:r>
        <w:rPr>
          <w:rFonts w:hint="eastAsia" w:ascii="宋体" w:hAnsi="宋体" w:eastAsia="宋体" w:cs="宋体"/>
          <w:lang w:eastAsia="zh-CN"/>
        </w:rPr>
        <w:t xml:space="preserve">4.1.2  依法纳税 </w:t>
      </w:r>
    </w:p>
    <w:p w14:paraId="23FF5955">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承包人应按有关法律规定纳税，应缴纳的税金包括在合同价格内。 </w:t>
      </w:r>
    </w:p>
    <w:p w14:paraId="1612E534">
      <w:pPr>
        <w:spacing w:line="360" w:lineRule="auto"/>
        <w:rPr>
          <w:rFonts w:ascii="宋体" w:hAnsi="宋体" w:eastAsia="宋体" w:cs="宋体"/>
          <w:lang w:eastAsia="zh-CN"/>
        </w:rPr>
      </w:pPr>
      <w:r>
        <w:rPr>
          <w:rFonts w:hint="eastAsia" w:ascii="宋体" w:hAnsi="宋体" w:eastAsia="宋体" w:cs="宋体"/>
          <w:lang w:eastAsia="zh-CN"/>
        </w:rPr>
        <w:t xml:space="preserve">4.1.3  完成各项承包工作 </w:t>
      </w:r>
    </w:p>
    <w:p w14:paraId="6DEFAEC4">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承包人应按合同约定以及监理人根据第3.4款作出的指示，实施、完成全部工程，</w:t>
      </w:r>
    </w:p>
    <w:p w14:paraId="1F107BDB">
      <w:pPr>
        <w:spacing w:line="360" w:lineRule="auto"/>
        <w:rPr>
          <w:rFonts w:ascii="宋体" w:hAnsi="宋体" w:eastAsia="宋体" w:cs="宋体"/>
          <w:lang w:eastAsia="zh-CN"/>
        </w:rPr>
      </w:pPr>
      <w:r>
        <w:rPr>
          <w:rFonts w:hint="eastAsia" w:ascii="宋体" w:hAnsi="宋体" w:eastAsia="宋体" w:cs="宋体"/>
          <w:lang w:eastAsia="zh-CN"/>
        </w:rPr>
        <w:t xml:space="preserve">并修补工程中的任何缺陷。除第5.2款约定由发包人提供的材料和工程设备和第6.2款约定由发包人提供的施工设备和临时设施外，承包人应负责提供为完成合同工作所需的劳务、材料、施工设备、工程设备和其他物品，并按照合同约定负责临时设施的设计、建造、运行、维护、管理和拆除工作。 </w:t>
      </w:r>
    </w:p>
    <w:p w14:paraId="566C54B4">
      <w:pPr>
        <w:spacing w:line="360" w:lineRule="auto"/>
        <w:rPr>
          <w:rFonts w:ascii="宋体" w:hAnsi="宋体" w:eastAsia="宋体" w:cs="宋体"/>
          <w:lang w:eastAsia="zh-CN"/>
        </w:rPr>
      </w:pPr>
      <w:r>
        <w:rPr>
          <w:rFonts w:hint="eastAsia" w:ascii="宋体" w:hAnsi="宋体" w:eastAsia="宋体" w:cs="宋体"/>
          <w:lang w:eastAsia="zh-CN"/>
        </w:rPr>
        <w:t xml:space="preserve">承包人还应当依法合规建立施工扬尘综合治理、建筑垃圾、土方和砂石清运与消纳、严禁使用高排放非道路移动机械和行业挥发性有机物治理（如建筑外墙涂装、钢结构等鼓励使用水性漆替代油性漆）等责任制，制定具体的管控机制和实施方案，严格落实。 </w:t>
      </w:r>
    </w:p>
    <w:p w14:paraId="14FA568F">
      <w:pPr>
        <w:spacing w:line="360" w:lineRule="auto"/>
        <w:rPr>
          <w:rFonts w:ascii="宋体" w:hAnsi="宋体" w:eastAsia="宋体" w:cs="宋体"/>
          <w:lang w:eastAsia="zh-CN"/>
        </w:rPr>
      </w:pPr>
      <w:r>
        <w:rPr>
          <w:rFonts w:hint="eastAsia" w:ascii="宋体" w:hAnsi="宋体" w:eastAsia="宋体" w:cs="宋体"/>
          <w:lang w:eastAsia="zh-CN"/>
        </w:rPr>
        <w:t xml:space="preserve">4.1.4  对施工作业和施工方法的完备性负责 </w:t>
      </w:r>
    </w:p>
    <w:p w14:paraId="62D76544">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承包人应按合同约定的工作内容和施工进度要求，编制施工组织设计和施工措施计划，并对所有施工作业和施工方法的完备性和安全可靠性负责。 </w:t>
      </w:r>
    </w:p>
    <w:p w14:paraId="7C54E02E">
      <w:pPr>
        <w:spacing w:line="360" w:lineRule="auto"/>
        <w:rPr>
          <w:rFonts w:ascii="宋体" w:hAnsi="宋体" w:eastAsia="宋体" w:cs="宋体"/>
          <w:lang w:eastAsia="zh-CN"/>
        </w:rPr>
      </w:pPr>
      <w:r>
        <w:rPr>
          <w:rFonts w:hint="eastAsia" w:ascii="宋体" w:hAnsi="宋体" w:eastAsia="宋体" w:cs="宋体"/>
          <w:lang w:eastAsia="zh-CN"/>
        </w:rPr>
        <w:t xml:space="preserve">4.1.5  保证工程施工和人员的安全 </w:t>
      </w:r>
    </w:p>
    <w:p w14:paraId="5F2935ED">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承包人应按照第9.2款约定采取施工安全措施，确保工程及其人员、材料、设备和设施的安全，防止因工程施工造成的人身伤害和财产损失。 </w:t>
      </w:r>
    </w:p>
    <w:p w14:paraId="4B06B09F">
      <w:pPr>
        <w:spacing w:line="360" w:lineRule="auto"/>
        <w:rPr>
          <w:rFonts w:ascii="宋体" w:hAnsi="宋体" w:eastAsia="宋体" w:cs="宋体"/>
          <w:lang w:eastAsia="zh-CN"/>
        </w:rPr>
      </w:pPr>
      <w:r>
        <w:rPr>
          <w:rFonts w:hint="eastAsia" w:ascii="宋体" w:hAnsi="宋体" w:eastAsia="宋体" w:cs="宋体"/>
          <w:lang w:eastAsia="zh-CN"/>
        </w:rPr>
        <w:t xml:space="preserve">4.1.6  负责施工场地及其周边环境与生态的保护工作承包人应按照第9.4款约定负责施工场地及其周边环境与生态的保护工作。 </w:t>
      </w:r>
    </w:p>
    <w:p w14:paraId="5AB29056">
      <w:pPr>
        <w:spacing w:line="360" w:lineRule="auto"/>
        <w:rPr>
          <w:rFonts w:ascii="宋体" w:hAnsi="宋体" w:eastAsia="宋体" w:cs="宋体"/>
          <w:lang w:eastAsia="zh-CN"/>
        </w:rPr>
      </w:pPr>
      <w:r>
        <w:rPr>
          <w:rFonts w:hint="eastAsia" w:ascii="宋体" w:hAnsi="宋体" w:eastAsia="宋体" w:cs="宋体"/>
          <w:lang w:eastAsia="zh-CN"/>
        </w:rPr>
        <w:t xml:space="preserve">4.1.7  避免施工对公众与他人的利益造成损害 </w:t>
      </w:r>
    </w:p>
    <w:p w14:paraId="0F582583">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承包人在进行合同约定的各项工作时，不得侵害发包人与他人使用公用道路、水源、市政管网等公共设施的权利，避免对邻近的公共设施产生干扰。承包人占用或使用他人的施工场地，影响他人作业或生活的，应承担相应责任。 </w:t>
      </w:r>
    </w:p>
    <w:p w14:paraId="43A3C624">
      <w:pPr>
        <w:spacing w:line="360" w:lineRule="auto"/>
        <w:rPr>
          <w:rFonts w:ascii="宋体" w:hAnsi="宋体" w:eastAsia="宋体" w:cs="宋体"/>
          <w:lang w:eastAsia="zh-CN"/>
        </w:rPr>
      </w:pPr>
      <w:r>
        <w:rPr>
          <w:rFonts w:hint="eastAsia" w:ascii="宋体" w:hAnsi="宋体" w:eastAsia="宋体" w:cs="宋体"/>
          <w:lang w:eastAsia="zh-CN"/>
        </w:rPr>
        <w:t xml:space="preserve">4.1.8  为他人提供方便 </w:t>
      </w:r>
    </w:p>
    <w:p w14:paraId="7CF52BB7">
      <w:pPr>
        <w:spacing w:line="360" w:lineRule="auto"/>
        <w:rPr>
          <w:rFonts w:ascii="宋体" w:hAnsi="宋体" w:eastAsia="宋体" w:cs="宋体"/>
          <w:lang w:eastAsia="zh-CN"/>
        </w:rPr>
      </w:pPr>
      <w:r>
        <w:rPr>
          <w:rFonts w:hint="eastAsia" w:ascii="宋体" w:hAnsi="宋体" w:eastAsia="宋体" w:cs="宋体"/>
          <w:lang w:eastAsia="zh-CN"/>
        </w:rPr>
        <w:t xml:space="preserve">（1）承包人应当对在施工场地或者附近实施与合同工程有关的其他工作的独立承包人履行管理、协调、配合、照管和服务义务，由此发生的费用被认为已经包括在承包人的签约合同价（投标总报价）中，具体工作内容和要求见合同条款专用部分。 </w:t>
      </w:r>
    </w:p>
    <w:p w14:paraId="649B071C">
      <w:pPr>
        <w:spacing w:line="360" w:lineRule="auto"/>
        <w:rPr>
          <w:rFonts w:ascii="宋体" w:hAnsi="宋体" w:eastAsia="宋体" w:cs="宋体"/>
          <w:lang w:eastAsia="zh-CN"/>
        </w:rPr>
      </w:pPr>
      <w:r>
        <w:rPr>
          <w:rFonts w:hint="eastAsia" w:ascii="宋体" w:hAnsi="宋体" w:eastAsia="宋体" w:cs="宋体"/>
          <w:lang w:eastAsia="zh-CN"/>
        </w:rPr>
        <w:t xml:space="preserve">（2）承包人还应按照监理人指示为独立承包人以外的他人在施工场地或者附近实施与合同工程有关的其他工作提供可能的条件，可能发生费用由监理人按合同条款通用部分第3.5款商定或者确定。 </w:t>
      </w:r>
    </w:p>
    <w:p w14:paraId="2A6CB249">
      <w:pPr>
        <w:spacing w:line="360" w:lineRule="auto"/>
        <w:rPr>
          <w:rFonts w:ascii="宋体" w:hAnsi="宋体" w:eastAsia="宋体" w:cs="宋体"/>
          <w:lang w:eastAsia="zh-CN"/>
        </w:rPr>
      </w:pPr>
      <w:r>
        <w:rPr>
          <w:rFonts w:hint="eastAsia" w:ascii="宋体" w:hAnsi="宋体" w:eastAsia="宋体" w:cs="宋体"/>
          <w:lang w:eastAsia="zh-CN"/>
        </w:rPr>
        <w:t xml:space="preserve">4.1.9  工程的维护和照管 </w:t>
      </w:r>
    </w:p>
    <w:p w14:paraId="270070B0">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工程接收证书颁发前，承包人应负责照管和维护工程。工程接收证书颁发时尚有部分未竣工工程的，承包人还应负责该未竣工工程的照管和维护工作，直至竣工后移交给发包人为止。 </w:t>
      </w:r>
    </w:p>
    <w:p w14:paraId="56EFE56E">
      <w:pPr>
        <w:spacing w:line="360" w:lineRule="auto"/>
        <w:rPr>
          <w:rFonts w:ascii="宋体" w:hAnsi="宋体" w:eastAsia="宋体" w:cs="宋体"/>
          <w:lang w:eastAsia="zh-CN"/>
        </w:rPr>
      </w:pPr>
      <w:r>
        <w:rPr>
          <w:rFonts w:hint="eastAsia" w:ascii="宋体" w:hAnsi="宋体" w:eastAsia="宋体" w:cs="宋体"/>
          <w:lang w:eastAsia="zh-CN"/>
        </w:rPr>
        <w:t xml:space="preserve">4.1.10  承包人的设计工作  </w:t>
      </w:r>
    </w:p>
    <w:p w14:paraId="4C419077">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根据发包人委托，在其设计资质等级和业务允许的范围内，完成约定的施工图设计或与工程配套的设计工作，经监理人确认后使用，发包人承担由此发生的费用和合理利润。由承包人负责完成的设计文件属于合同条款第1.6.2项约定的承包人提供的文件，承包人应按照合同条款专用部分第1.6.2项约定的期限和数量提交，由此发生的费用被认为已经包括在承包人的签约合同价（投标总报价）中。承包人承担的施工图设计或与工程配套的设计工作内容见合同条款专用部分。 </w:t>
      </w:r>
    </w:p>
    <w:p w14:paraId="0A500777">
      <w:pPr>
        <w:spacing w:line="360" w:lineRule="auto"/>
        <w:rPr>
          <w:rFonts w:ascii="宋体" w:hAnsi="宋体" w:eastAsia="宋体" w:cs="宋体"/>
          <w:lang w:eastAsia="zh-CN"/>
        </w:rPr>
      </w:pPr>
      <w:r>
        <w:rPr>
          <w:rFonts w:hint="eastAsia" w:ascii="宋体" w:hAnsi="宋体" w:eastAsia="宋体" w:cs="宋体"/>
          <w:lang w:eastAsia="zh-CN"/>
        </w:rPr>
        <w:t xml:space="preserve">4.1.11  农民工工资保证金 </w:t>
      </w:r>
    </w:p>
    <w:p w14:paraId="3B3B18BA">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承包人应在银行设立工资保证金专用账户，专项用于发生欠薪时支付农民工工资的应急保障。账户内资金启用应当经建设主管部门和劳动保障行政部门批准。 </w:t>
      </w:r>
    </w:p>
    <w:p w14:paraId="65306FC2">
      <w:pPr>
        <w:spacing w:line="360" w:lineRule="auto"/>
        <w:rPr>
          <w:rFonts w:ascii="宋体" w:hAnsi="宋体" w:eastAsia="宋体" w:cs="宋体"/>
          <w:lang w:eastAsia="zh-CN"/>
        </w:rPr>
      </w:pPr>
      <w:r>
        <w:rPr>
          <w:rFonts w:hint="eastAsia" w:ascii="宋体" w:hAnsi="宋体" w:eastAsia="宋体" w:cs="宋体"/>
          <w:lang w:eastAsia="zh-CN"/>
        </w:rPr>
        <w:t xml:space="preserve">4.1.12  其他义务 </w:t>
      </w:r>
    </w:p>
    <w:p w14:paraId="0E3C5DAA">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承包人应履行的其他义务见合同条款专用部分。 </w:t>
      </w:r>
    </w:p>
    <w:p w14:paraId="3CE203B9">
      <w:pPr>
        <w:spacing w:line="360" w:lineRule="auto"/>
        <w:rPr>
          <w:rFonts w:ascii="宋体" w:hAnsi="宋体" w:eastAsia="宋体" w:cs="宋体"/>
          <w:lang w:eastAsia="zh-CN"/>
        </w:rPr>
      </w:pPr>
      <w:bookmarkStart w:id="782" w:name="_Toc511293850"/>
      <w:bookmarkStart w:id="783" w:name="_Toc511294121"/>
      <w:r>
        <w:rPr>
          <w:rFonts w:hint="eastAsia" w:ascii="宋体" w:hAnsi="宋体" w:eastAsia="宋体" w:cs="宋体"/>
          <w:lang w:eastAsia="zh-CN"/>
        </w:rPr>
        <w:t>4.2  履约担保</w:t>
      </w:r>
      <w:bookmarkEnd w:id="782"/>
      <w:bookmarkEnd w:id="783"/>
      <w:r>
        <w:rPr>
          <w:rFonts w:hint="eastAsia" w:ascii="宋体" w:hAnsi="宋体" w:eastAsia="宋体" w:cs="宋体"/>
          <w:lang w:eastAsia="zh-CN"/>
        </w:rPr>
        <w:t xml:space="preserve"> </w:t>
      </w:r>
    </w:p>
    <w:p w14:paraId="45B59631">
      <w:pPr>
        <w:spacing w:line="360" w:lineRule="auto"/>
        <w:rPr>
          <w:rFonts w:ascii="宋体" w:hAnsi="宋体" w:eastAsia="宋体" w:cs="宋体"/>
          <w:lang w:eastAsia="zh-CN"/>
        </w:rPr>
      </w:pPr>
      <w:r>
        <w:rPr>
          <w:rFonts w:hint="eastAsia" w:ascii="宋体" w:hAnsi="宋体" w:eastAsia="宋体" w:cs="宋体"/>
          <w:lang w:eastAsia="zh-CN"/>
        </w:rPr>
        <w:t xml:space="preserve">4.2.1  履约担保的格式和金额 </w:t>
      </w:r>
    </w:p>
    <w:p w14:paraId="624FA24D">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见合同条款专用部分。承包人履约担保格式见合同条款专用部分附件五。 </w:t>
      </w:r>
    </w:p>
    <w:p w14:paraId="24124F46">
      <w:pPr>
        <w:spacing w:line="360" w:lineRule="auto"/>
        <w:rPr>
          <w:rFonts w:ascii="宋体" w:hAnsi="宋体" w:eastAsia="宋体" w:cs="宋体"/>
          <w:lang w:eastAsia="zh-CN"/>
        </w:rPr>
      </w:pPr>
      <w:r>
        <w:rPr>
          <w:rFonts w:hint="eastAsia" w:ascii="宋体" w:hAnsi="宋体" w:eastAsia="宋体" w:cs="宋体"/>
          <w:lang w:eastAsia="zh-CN"/>
        </w:rPr>
        <w:t xml:space="preserve">4.2.2  履约担保的有效期 </w:t>
      </w:r>
    </w:p>
    <w:p w14:paraId="6D77E819">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履约担保的有效期应当自本合同生效之日起至发包人签认并由监理人向承包人出具工程接收证书之日止。如果承包人无法获得一份不带具体截止日期的担保，履约担保中就应当约定有“变更工程竣工日期的，保证期间按照变更后的竣工日期做相应调整”或类似约定的条款。 </w:t>
      </w:r>
    </w:p>
    <w:p w14:paraId="2C1005B6">
      <w:pPr>
        <w:spacing w:line="360" w:lineRule="auto"/>
        <w:rPr>
          <w:rFonts w:ascii="宋体" w:hAnsi="宋体" w:eastAsia="宋体" w:cs="宋体"/>
          <w:lang w:eastAsia="zh-CN"/>
        </w:rPr>
      </w:pPr>
      <w:r>
        <w:rPr>
          <w:rFonts w:hint="eastAsia" w:ascii="宋体" w:hAnsi="宋体" w:eastAsia="宋体" w:cs="宋体"/>
          <w:lang w:eastAsia="zh-CN"/>
        </w:rPr>
        <w:t xml:space="preserve">4.2.3  履约担保的退还 </w:t>
      </w:r>
    </w:p>
    <w:p w14:paraId="7DB7F00E">
      <w:pPr>
        <w:spacing w:line="360" w:lineRule="auto"/>
        <w:rPr>
          <w:rFonts w:ascii="宋体" w:hAnsi="宋体" w:eastAsia="宋体" w:cs="宋体"/>
          <w:lang w:eastAsia="zh-CN"/>
        </w:rPr>
      </w:pPr>
      <w:r>
        <w:rPr>
          <w:rFonts w:hint="eastAsia" w:ascii="宋体" w:hAnsi="宋体" w:eastAsia="宋体" w:cs="宋体"/>
          <w:lang w:eastAsia="zh-CN"/>
        </w:rPr>
        <w:t xml:space="preserve">履约担保应在监理人向承包人颁发（出具）工程接收证书之日后28天内退还给承包人。发包人不承担承包人与履约担保有关的任何利息或其它类似的费用或者收益。 </w:t>
      </w:r>
    </w:p>
    <w:p w14:paraId="14813A3B">
      <w:pPr>
        <w:spacing w:line="360" w:lineRule="auto"/>
        <w:rPr>
          <w:rFonts w:ascii="宋体" w:hAnsi="宋体" w:eastAsia="宋体" w:cs="宋体"/>
          <w:lang w:eastAsia="zh-CN"/>
        </w:rPr>
      </w:pPr>
      <w:r>
        <w:rPr>
          <w:rFonts w:hint="eastAsia" w:ascii="宋体" w:hAnsi="宋体" w:eastAsia="宋体" w:cs="宋体"/>
          <w:lang w:eastAsia="zh-CN"/>
        </w:rPr>
        <w:t xml:space="preserve">4.2.4  通知义务 </w:t>
      </w:r>
    </w:p>
    <w:p w14:paraId="3CA3A7B3">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不管履约担保条款中如何约定，发包人根据担保条款提出索赔或兑现要求28天前，应通知承包人并说明导致此类索赔或兑现的违约性质或原因。相应地，不管第2.8款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 </w:t>
      </w:r>
    </w:p>
    <w:p w14:paraId="6D6555B1">
      <w:pPr>
        <w:spacing w:line="360" w:lineRule="auto"/>
        <w:rPr>
          <w:rFonts w:ascii="宋体" w:hAnsi="宋体" w:eastAsia="宋体" w:cs="宋体"/>
          <w:lang w:eastAsia="zh-CN"/>
        </w:rPr>
      </w:pPr>
      <w:bookmarkStart w:id="784" w:name="_Toc511293851"/>
      <w:bookmarkStart w:id="785" w:name="_Toc511294122"/>
      <w:r>
        <w:rPr>
          <w:rFonts w:hint="eastAsia" w:ascii="宋体" w:hAnsi="宋体" w:eastAsia="宋体" w:cs="宋体"/>
          <w:lang w:eastAsia="zh-CN"/>
        </w:rPr>
        <w:t>4.3  分包</w:t>
      </w:r>
      <w:bookmarkEnd w:id="784"/>
      <w:bookmarkEnd w:id="785"/>
      <w:r>
        <w:rPr>
          <w:rFonts w:hint="eastAsia" w:ascii="宋体" w:hAnsi="宋体" w:eastAsia="宋体" w:cs="宋体"/>
          <w:lang w:eastAsia="zh-CN"/>
        </w:rPr>
        <w:t xml:space="preserve"> </w:t>
      </w:r>
    </w:p>
    <w:p w14:paraId="63955512">
      <w:pPr>
        <w:spacing w:line="360" w:lineRule="auto"/>
        <w:rPr>
          <w:rFonts w:ascii="宋体" w:hAnsi="宋体" w:eastAsia="宋体" w:cs="宋体"/>
          <w:lang w:eastAsia="zh-CN"/>
        </w:rPr>
      </w:pPr>
      <w:r>
        <w:rPr>
          <w:rFonts w:hint="eastAsia" w:ascii="宋体" w:hAnsi="宋体" w:eastAsia="宋体" w:cs="宋体"/>
          <w:lang w:eastAsia="zh-CN"/>
        </w:rPr>
        <w:t xml:space="preserve">4.3.1  承包人不得将其承包的全部工程转包给第三人，或将其承包的全部工程肢解后以分包的名义转包给第三人。 </w:t>
      </w:r>
    </w:p>
    <w:p w14:paraId="72ED716C">
      <w:pPr>
        <w:spacing w:line="360" w:lineRule="auto"/>
        <w:rPr>
          <w:rFonts w:ascii="宋体" w:hAnsi="宋体" w:eastAsia="宋体" w:cs="宋体"/>
          <w:lang w:eastAsia="zh-CN"/>
        </w:rPr>
      </w:pPr>
      <w:r>
        <w:rPr>
          <w:rFonts w:hint="eastAsia" w:ascii="宋体" w:hAnsi="宋体" w:eastAsia="宋体" w:cs="宋体"/>
          <w:lang w:eastAsia="zh-CN"/>
        </w:rPr>
        <w:t xml:space="preserve">4.3.2  承包人不得将工程主体、关键性工作分包给第三人。 </w:t>
      </w:r>
    </w:p>
    <w:p w14:paraId="1A252CEE">
      <w:pPr>
        <w:spacing w:line="360" w:lineRule="auto"/>
        <w:rPr>
          <w:rFonts w:ascii="宋体" w:hAnsi="宋体" w:eastAsia="宋体" w:cs="宋体"/>
          <w:lang w:eastAsia="zh-CN"/>
        </w:rPr>
      </w:pPr>
      <w:r>
        <w:rPr>
          <w:rFonts w:hint="eastAsia" w:ascii="宋体" w:hAnsi="宋体" w:eastAsia="宋体" w:cs="宋体"/>
          <w:lang w:eastAsia="zh-CN"/>
        </w:rPr>
        <w:t xml:space="preserve">4.3.3  未经发包人同意，承包人不得将其自行施工范围工程的其他部分或工作分包给第三人。发包人同意承包人分包的非主体、非关键性工作包括： </w:t>
      </w:r>
    </w:p>
    <w:p w14:paraId="1F396122">
      <w:pPr>
        <w:spacing w:line="360" w:lineRule="auto"/>
        <w:rPr>
          <w:rFonts w:ascii="宋体" w:hAnsi="宋体" w:eastAsia="宋体" w:cs="宋体"/>
          <w:lang w:eastAsia="zh-CN"/>
        </w:rPr>
      </w:pPr>
      <w:r>
        <w:rPr>
          <w:rFonts w:hint="eastAsia" w:ascii="宋体" w:hAnsi="宋体" w:eastAsia="宋体" w:cs="宋体"/>
          <w:lang w:eastAsia="zh-CN"/>
        </w:rPr>
        <w:t xml:space="preserve">（1）投标函附录约定的分包工程； </w:t>
      </w:r>
    </w:p>
    <w:p w14:paraId="77501171">
      <w:pPr>
        <w:spacing w:line="360" w:lineRule="auto"/>
        <w:rPr>
          <w:rFonts w:ascii="宋体" w:hAnsi="宋体" w:eastAsia="宋体" w:cs="宋体"/>
          <w:lang w:eastAsia="zh-CN"/>
        </w:rPr>
      </w:pPr>
      <w:r>
        <w:rPr>
          <w:rFonts w:hint="eastAsia" w:ascii="宋体" w:hAnsi="宋体" w:eastAsia="宋体" w:cs="宋体"/>
          <w:lang w:eastAsia="zh-CN"/>
        </w:rPr>
        <w:t xml:space="preserve">（2）除投标函附录中约定的分包内容外，经过发包人和监理人同意的其他非主体、非关键性工作，但分包人应当经过发包人和监理人审批。发包人和监理人有权拒绝承包人的分包请求和承包人选择的分包人。 </w:t>
      </w:r>
    </w:p>
    <w:p w14:paraId="55BA0FD0">
      <w:pPr>
        <w:spacing w:line="360" w:lineRule="auto"/>
        <w:rPr>
          <w:rFonts w:ascii="宋体" w:hAnsi="宋体" w:eastAsia="宋体" w:cs="宋体"/>
          <w:lang w:eastAsia="zh-CN"/>
        </w:rPr>
      </w:pPr>
      <w:r>
        <w:rPr>
          <w:rFonts w:hint="eastAsia" w:ascii="宋体" w:hAnsi="宋体" w:eastAsia="宋体" w:cs="宋体"/>
          <w:lang w:eastAsia="zh-CN"/>
        </w:rPr>
        <w:t xml:space="preserve">4.3.4  发包人在工程量清单中给定暂估价的专业工程，包括从暂列金额开支的专业工程，达到依法应当招标的规模标准的，以及虽未达到规定的规模标准但合同中约定采用招标方式实施的，应当按第15.8.1项的约定，由发包人和承包人以招标方式确定专业分包人。除项目审批部门有特别核准外，暂估价的专业工程的招标应当采用与施工总承包同样的招标方式。 </w:t>
      </w:r>
    </w:p>
    <w:p w14:paraId="5DFD90D4">
      <w:pPr>
        <w:spacing w:line="360" w:lineRule="auto"/>
        <w:rPr>
          <w:rFonts w:ascii="宋体" w:hAnsi="宋体" w:eastAsia="宋体" w:cs="宋体"/>
          <w:lang w:eastAsia="zh-CN"/>
        </w:rPr>
      </w:pPr>
      <w:r>
        <w:rPr>
          <w:rFonts w:hint="eastAsia" w:ascii="宋体" w:hAnsi="宋体" w:eastAsia="宋体" w:cs="宋体"/>
          <w:lang w:eastAsia="zh-CN"/>
        </w:rPr>
        <w:t xml:space="preserve">4.3.5  在相关分包合同签订并报送有关建设行政主管部门备案后7天内，承包人应当将一份副本提交给监理人，承包人应保障分包工作不得再次分包。 </w:t>
      </w:r>
    </w:p>
    <w:p w14:paraId="63A9EEED">
      <w:pPr>
        <w:spacing w:line="360" w:lineRule="auto"/>
        <w:rPr>
          <w:rFonts w:ascii="宋体" w:hAnsi="宋体" w:eastAsia="宋体" w:cs="宋体"/>
          <w:lang w:eastAsia="zh-CN"/>
        </w:rPr>
      </w:pPr>
      <w:r>
        <w:rPr>
          <w:rFonts w:hint="eastAsia" w:ascii="宋体" w:hAnsi="宋体" w:eastAsia="宋体" w:cs="宋体"/>
          <w:lang w:eastAsia="zh-CN"/>
        </w:rPr>
        <w:t>4.3.6  分包工程价款由承包人与分包人（包括专业分包人）结算。未经承包人同意，</w:t>
      </w:r>
    </w:p>
    <w:p w14:paraId="093FF91B">
      <w:pPr>
        <w:spacing w:line="360" w:lineRule="auto"/>
        <w:rPr>
          <w:rFonts w:ascii="宋体" w:hAnsi="宋体" w:eastAsia="宋体" w:cs="宋体"/>
          <w:lang w:eastAsia="zh-CN"/>
        </w:rPr>
      </w:pPr>
      <w:r>
        <w:rPr>
          <w:rFonts w:hint="eastAsia" w:ascii="宋体" w:hAnsi="宋体" w:eastAsia="宋体" w:cs="宋体"/>
          <w:lang w:eastAsia="zh-CN"/>
        </w:rPr>
        <w:t xml:space="preserve">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 </w:t>
      </w:r>
    </w:p>
    <w:p w14:paraId="76442FB6">
      <w:pPr>
        <w:spacing w:line="360" w:lineRule="auto"/>
        <w:rPr>
          <w:rFonts w:ascii="宋体" w:hAnsi="宋体" w:eastAsia="宋体" w:cs="宋体"/>
          <w:lang w:eastAsia="zh-CN"/>
        </w:rPr>
      </w:pPr>
      <w:r>
        <w:rPr>
          <w:rFonts w:hint="eastAsia" w:ascii="宋体" w:hAnsi="宋体" w:eastAsia="宋体" w:cs="宋体"/>
          <w:lang w:eastAsia="zh-CN"/>
        </w:rPr>
        <w:t xml:space="preserve">4.3.7  未经发包人和监理人审批同意的分包工程和分包人，发包人有权拒绝验收分包工程和支付相应款项，由此引起的承包人费用增加和（或）延误的工期由承包人承担。 </w:t>
      </w:r>
    </w:p>
    <w:p w14:paraId="30E74E15">
      <w:pPr>
        <w:spacing w:line="360" w:lineRule="auto"/>
        <w:rPr>
          <w:rFonts w:ascii="宋体" w:hAnsi="宋体" w:eastAsia="宋体" w:cs="宋体"/>
          <w:lang w:eastAsia="zh-CN"/>
        </w:rPr>
      </w:pPr>
      <w:r>
        <w:rPr>
          <w:rFonts w:hint="eastAsia" w:ascii="宋体" w:hAnsi="宋体" w:eastAsia="宋体" w:cs="宋体"/>
          <w:lang w:eastAsia="zh-CN"/>
        </w:rPr>
        <w:t xml:space="preserve">4.3.8  分包人的资格能力应与其分包工程的标准和规模相适应。 </w:t>
      </w:r>
    </w:p>
    <w:p w14:paraId="34AB43F0">
      <w:pPr>
        <w:spacing w:line="360" w:lineRule="auto"/>
        <w:rPr>
          <w:rFonts w:ascii="宋体" w:hAnsi="宋体" w:eastAsia="宋体" w:cs="宋体"/>
          <w:lang w:eastAsia="zh-CN"/>
        </w:rPr>
      </w:pPr>
      <w:r>
        <w:rPr>
          <w:rFonts w:hint="eastAsia" w:ascii="宋体" w:hAnsi="宋体" w:eastAsia="宋体" w:cs="宋体"/>
          <w:lang w:eastAsia="zh-CN"/>
        </w:rPr>
        <w:t xml:space="preserve">4.3.9  发包人同意的分包工程，承包人应向发包人和监理人提供合同副本。 </w:t>
      </w:r>
    </w:p>
    <w:p w14:paraId="295A0C88">
      <w:pPr>
        <w:spacing w:line="360" w:lineRule="auto"/>
        <w:rPr>
          <w:rFonts w:ascii="宋体" w:hAnsi="宋体" w:eastAsia="宋体" w:cs="宋体"/>
          <w:lang w:eastAsia="zh-CN"/>
        </w:rPr>
      </w:pPr>
      <w:r>
        <w:rPr>
          <w:rFonts w:hint="eastAsia" w:ascii="宋体" w:hAnsi="宋体" w:eastAsia="宋体" w:cs="宋体"/>
          <w:lang w:eastAsia="zh-CN"/>
        </w:rPr>
        <w:t xml:space="preserve">4.3.10  承包人应与分包人就分包工程向发包人承担连带责任。 </w:t>
      </w:r>
    </w:p>
    <w:p w14:paraId="7E9F75AD">
      <w:pPr>
        <w:spacing w:line="360" w:lineRule="auto"/>
        <w:rPr>
          <w:rFonts w:ascii="宋体" w:hAnsi="宋体" w:eastAsia="宋体" w:cs="宋体"/>
          <w:lang w:eastAsia="zh-CN"/>
        </w:rPr>
      </w:pPr>
      <w:bookmarkStart w:id="786" w:name="_Toc511293852"/>
      <w:bookmarkStart w:id="787" w:name="_Toc511294123"/>
      <w:r>
        <w:rPr>
          <w:rFonts w:hint="eastAsia" w:ascii="宋体" w:hAnsi="宋体" w:eastAsia="宋体" w:cs="宋体"/>
          <w:lang w:eastAsia="zh-CN"/>
        </w:rPr>
        <w:t>4.4  联合体</w:t>
      </w:r>
      <w:bookmarkEnd w:id="786"/>
      <w:bookmarkEnd w:id="787"/>
      <w:r>
        <w:rPr>
          <w:rFonts w:hint="eastAsia" w:ascii="宋体" w:hAnsi="宋体" w:eastAsia="宋体" w:cs="宋体"/>
          <w:lang w:eastAsia="zh-CN"/>
        </w:rPr>
        <w:t xml:space="preserve"> </w:t>
      </w:r>
    </w:p>
    <w:p w14:paraId="4672577F">
      <w:pPr>
        <w:spacing w:line="360" w:lineRule="auto"/>
        <w:rPr>
          <w:rFonts w:ascii="宋体" w:hAnsi="宋体" w:eastAsia="宋体" w:cs="宋体"/>
          <w:lang w:eastAsia="zh-CN"/>
        </w:rPr>
      </w:pPr>
      <w:r>
        <w:rPr>
          <w:rFonts w:hint="eastAsia" w:ascii="宋体" w:hAnsi="宋体" w:eastAsia="宋体" w:cs="宋体"/>
          <w:lang w:eastAsia="zh-CN"/>
        </w:rPr>
        <w:t>4.4.1  联合体各方应共同与发包人签订合同协议书。联合体各方应为履行合同承担连</w:t>
      </w:r>
    </w:p>
    <w:p w14:paraId="2B938179">
      <w:pPr>
        <w:spacing w:line="360" w:lineRule="auto"/>
        <w:rPr>
          <w:rFonts w:ascii="宋体" w:hAnsi="宋体" w:eastAsia="宋体" w:cs="宋体"/>
          <w:lang w:eastAsia="zh-CN"/>
        </w:rPr>
      </w:pPr>
      <w:r>
        <w:rPr>
          <w:rFonts w:hint="eastAsia" w:ascii="宋体" w:hAnsi="宋体" w:eastAsia="宋体" w:cs="宋体"/>
          <w:lang w:eastAsia="zh-CN"/>
        </w:rPr>
        <w:t xml:space="preserve">带责任。 </w:t>
      </w:r>
    </w:p>
    <w:p w14:paraId="54DACCBB">
      <w:pPr>
        <w:spacing w:line="360" w:lineRule="auto"/>
        <w:rPr>
          <w:rFonts w:ascii="宋体" w:hAnsi="宋体" w:eastAsia="宋体" w:cs="宋体"/>
          <w:lang w:eastAsia="zh-CN"/>
        </w:rPr>
      </w:pPr>
      <w:r>
        <w:rPr>
          <w:rFonts w:hint="eastAsia" w:ascii="宋体" w:hAnsi="宋体" w:eastAsia="宋体" w:cs="宋体"/>
          <w:lang w:eastAsia="zh-CN"/>
        </w:rPr>
        <w:t xml:space="preserve">4.4.2  联合体协议经发包人确认后作为合同附件。在履行合同过程中，未经发包人同意，不得修改联合体协议。 </w:t>
      </w:r>
    </w:p>
    <w:p w14:paraId="68ED109A">
      <w:pPr>
        <w:spacing w:line="360" w:lineRule="auto"/>
        <w:rPr>
          <w:rFonts w:ascii="宋体" w:hAnsi="宋体" w:eastAsia="宋体" w:cs="宋体"/>
          <w:lang w:eastAsia="zh-CN"/>
        </w:rPr>
      </w:pPr>
      <w:r>
        <w:rPr>
          <w:rFonts w:hint="eastAsia" w:ascii="宋体" w:hAnsi="宋体" w:eastAsia="宋体" w:cs="宋体"/>
          <w:lang w:eastAsia="zh-CN"/>
        </w:rPr>
        <w:t xml:space="preserve">4.4.3  联合体牵头人负责与发包人和监理人联系，并接受指示，负责组织联合体各成员全面履行合同。 </w:t>
      </w:r>
    </w:p>
    <w:p w14:paraId="69A2C8A6">
      <w:pPr>
        <w:spacing w:line="360" w:lineRule="auto"/>
        <w:rPr>
          <w:rFonts w:ascii="宋体" w:hAnsi="宋体" w:eastAsia="宋体" w:cs="宋体"/>
          <w:lang w:eastAsia="zh-CN"/>
        </w:rPr>
      </w:pPr>
      <w:bookmarkStart w:id="788" w:name="_Toc511294124"/>
      <w:bookmarkStart w:id="789" w:name="_Toc511293853"/>
      <w:r>
        <w:rPr>
          <w:rFonts w:hint="eastAsia" w:ascii="宋体" w:hAnsi="宋体" w:eastAsia="宋体" w:cs="宋体"/>
          <w:lang w:eastAsia="zh-CN"/>
        </w:rPr>
        <w:t>4.5  承包人项目经理</w:t>
      </w:r>
      <w:bookmarkEnd w:id="788"/>
      <w:bookmarkEnd w:id="789"/>
      <w:r>
        <w:rPr>
          <w:rFonts w:hint="eastAsia" w:ascii="宋体" w:hAnsi="宋体" w:eastAsia="宋体" w:cs="宋体"/>
          <w:lang w:eastAsia="zh-CN"/>
        </w:rPr>
        <w:t xml:space="preserve"> </w:t>
      </w:r>
    </w:p>
    <w:p w14:paraId="24F866F1">
      <w:pPr>
        <w:spacing w:line="360" w:lineRule="auto"/>
        <w:rPr>
          <w:rFonts w:ascii="宋体" w:hAnsi="宋体" w:eastAsia="宋体" w:cs="宋体"/>
          <w:lang w:eastAsia="zh-CN"/>
        </w:rPr>
      </w:pPr>
      <w:r>
        <w:rPr>
          <w:rFonts w:hint="eastAsia" w:ascii="宋体" w:hAnsi="宋体" w:eastAsia="宋体" w:cs="宋体"/>
          <w:lang w:eastAsia="zh-CN"/>
        </w:rPr>
        <w:t xml:space="preserve">4.5.1  承包人项目经理必须与承包人投标时所承诺的人员一致，并在根据第 11.1.1 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14天前通知发包人和监理人。承包人项目经理短期离开施工场地，应事先征得监理人同意，并委派代表代行其职责。 </w:t>
      </w:r>
    </w:p>
    <w:p w14:paraId="6891EED6">
      <w:pPr>
        <w:spacing w:line="360" w:lineRule="auto"/>
        <w:rPr>
          <w:rFonts w:ascii="宋体" w:hAnsi="宋体" w:eastAsia="宋体" w:cs="宋体"/>
          <w:lang w:eastAsia="zh-CN"/>
        </w:rPr>
      </w:pPr>
      <w:r>
        <w:rPr>
          <w:rFonts w:hint="eastAsia" w:ascii="宋体" w:hAnsi="宋体" w:eastAsia="宋体" w:cs="宋体"/>
          <w:lang w:eastAsia="zh-CN"/>
        </w:rPr>
        <w:t xml:space="preserve">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 </w:t>
      </w:r>
    </w:p>
    <w:p w14:paraId="418465ED">
      <w:pPr>
        <w:spacing w:line="360" w:lineRule="auto"/>
        <w:rPr>
          <w:rFonts w:ascii="宋体" w:hAnsi="宋体" w:eastAsia="宋体" w:cs="宋体"/>
          <w:lang w:eastAsia="zh-CN"/>
        </w:rPr>
      </w:pPr>
      <w:r>
        <w:rPr>
          <w:rFonts w:hint="eastAsia" w:ascii="宋体" w:hAnsi="宋体" w:eastAsia="宋体" w:cs="宋体"/>
          <w:lang w:eastAsia="zh-CN"/>
        </w:rPr>
        <w:t xml:space="preserve">4.5.3  承包人为履行合同发出的一切函件均应盖有承包人授权的施工场地管理机构章，并由承包人项目经理或其授权代表签字。 </w:t>
      </w:r>
    </w:p>
    <w:p w14:paraId="0F471B4E">
      <w:pPr>
        <w:spacing w:line="360" w:lineRule="auto"/>
        <w:rPr>
          <w:rFonts w:ascii="宋体" w:hAnsi="宋体" w:eastAsia="宋体" w:cs="宋体"/>
          <w:lang w:eastAsia="zh-CN"/>
        </w:rPr>
      </w:pPr>
      <w:r>
        <w:rPr>
          <w:rFonts w:hint="eastAsia" w:ascii="宋体" w:hAnsi="宋体" w:eastAsia="宋体" w:cs="宋体"/>
          <w:lang w:eastAsia="zh-CN"/>
        </w:rPr>
        <w:t xml:space="preserve">4.5.4  承包人项目经理可以授权其下属人员履行其某项职责，但事先应将这些人员的姓名和授权范围通知监理人。 </w:t>
      </w:r>
    </w:p>
    <w:p w14:paraId="35EF2986">
      <w:pPr>
        <w:spacing w:line="360" w:lineRule="auto"/>
        <w:rPr>
          <w:rFonts w:ascii="宋体" w:hAnsi="宋体" w:eastAsia="宋体" w:cs="宋体"/>
          <w:lang w:eastAsia="zh-CN"/>
        </w:rPr>
      </w:pPr>
      <w:bookmarkStart w:id="790" w:name="_Toc511294125"/>
      <w:bookmarkStart w:id="791" w:name="_Toc511293854"/>
      <w:r>
        <w:rPr>
          <w:rFonts w:hint="eastAsia" w:ascii="宋体" w:hAnsi="宋体" w:eastAsia="宋体" w:cs="宋体"/>
          <w:lang w:eastAsia="zh-CN"/>
        </w:rPr>
        <w:t>4.6  承包人人员的管理</w:t>
      </w:r>
      <w:bookmarkEnd w:id="790"/>
      <w:bookmarkEnd w:id="791"/>
      <w:r>
        <w:rPr>
          <w:rFonts w:hint="eastAsia" w:ascii="宋体" w:hAnsi="宋体" w:eastAsia="宋体" w:cs="宋体"/>
          <w:lang w:eastAsia="zh-CN"/>
        </w:rPr>
        <w:t xml:space="preserve"> </w:t>
      </w:r>
    </w:p>
    <w:p w14:paraId="3318B746">
      <w:pPr>
        <w:spacing w:line="360" w:lineRule="auto"/>
        <w:rPr>
          <w:rFonts w:ascii="宋体" w:hAnsi="宋体" w:eastAsia="宋体" w:cs="宋体"/>
          <w:lang w:eastAsia="zh-CN"/>
        </w:rPr>
      </w:pPr>
      <w:r>
        <w:rPr>
          <w:rFonts w:hint="eastAsia" w:ascii="宋体" w:hAnsi="宋体" w:eastAsia="宋体" w:cs="宋体"/>
          <w:lang w:eastAsia="zh-CN"/>
        </w:rPr>
        <w:t xml:space="preserve">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 </w:t>
      </w:r>
    </w:p>
    <w:p w14:paraId="563BB7BE">
      <w:pPr>
        <w:spacing w:line="360" w:lineRule="auto"/>
        <w:rPr>
          <w:rFonts w:ascii="宋体" w:hAnsi="宋体" w:eastAsia="宋体" w:cs="宋体"/>
          <w:lang w:eastAsia="zh-CN"/>
        </w:rPr>
      </w:pPr>
      <w:r>
        <w:rPr>
          <w:rFonts w:hint="eastAsia" w:ascii="宋体" w:hAnsi="宋体" w:eastAsia="宋体" w:cs="宋体"/>
          <w:lang w:eastAsia="zh-CN"/>
        </w:rPr>
        <w:t xml:space="preserve">4.6.2  为完成合同约定的各项工作，承包人应向施工场地派遣或雇佣足够数量的下列人员： </w:t>
      </w:r>
    </w:p>
    <w:p w14:paraId="4C04E085">
      <w:pPr>
        <w:spacing w:line="360" w:lineRule="auto"/>
        <w:rPr>
          <w:rFonts w:ascii="宋体" w:hAnsi="宋体" w:eastAsia="宋体" w:cs="宋体"/>
          <w:lang w:eastAsia="zh-CN"/>
        </w:rPr>
      </w:pPr>
      <w:r>
        <w:rPr>
          <w:rFonts w:hint="eastAsia" w:ascii="宋体" w:hAnsi="宋体" w:eastAsia="宋体" w:cs="宋体"/>
          <w:lang w:eastAsia="zh-CN"/>
        </w:rPr>
        <w:t xml:space="preserve">（1）具有相应资格的专业技工和合格的普工； </w:t>
      </w:r>
    </w:p>
    <w:p w14:paraId="722628C1">
      <w:pPr>
        <w:spacing w:line="360" w:lineRule="auto"/>
        <w:rPr>
          <w:rFonts w:ascii="宋体" w:hAnsi="宋体" w:eastAsia="宋体" w:cs="宋体"/>
          <w:lang w:eastAsia="zh-CN"/>
        </w:rPr>
      </w:pPr>
      <w:r>
        <w:rPr>
          <w:rFonts w:hint="eastAsia" w:ascii="宋体" w:hAnsi="宋体" w:eastAsia="宋体" w:cs="宋体"/>
          <w:lang w:eastAsia="zh-CN"/>
        </w:rPr>
        <w:t xml:space="preserve">（2）具有相应施工经验的技术人员； </w:t>
      </w:r>
    </w:p>
    <w:p w14:paraId="3CF6572B">
      <w:pPr>
        <w:spacing w:line="360" w:lineRule="auto"/>
        <w:rPr>
          <w:rFonts w:ascii="宋体" w:hAnsi="宋体" w:eastAsia="宋体" w:cs="宋体"/>
          <w:lang w:eastAsia="zh-CN"/>
        </w:rPr>
      </w:pPr>
      <w:r>
        <w:rPr>
          <w:rFonts w:hint="eastAsia" w:ascii="宋体" w:hAnsi="宋体" w:eastAsia="宋体" w:cs="宋体"/>
          <w:lang w:eastAsia="zh-CN"/>
        </w:rPr>
        <w:t xml:space="preserve">（3）具有相应岗位资格的各级管理人员。 </w:t>
      </w:r>
    </w:p>
    <w:p w14:paraId="517AEB8E">
      <w:pPr>
        <w:spacing w:line="360" w:lineRule="auto"/>
        <w:rPr>
          <w:rFonts w:ascii="宋体" w:hAnsi="宋体" w:eastAsia="宋体" w:cs="宋体"/>
          <w:lang w:eastAsia="zh-CN"/>
        </w:rPr>
      </w:pPr>
      <w:r>
        <w:rPr>
          <w:rFonts w:hint="eastAsia" w:ascii="宋体" w:hAnsi="宋体" w:eastAsia="宋体" w:cs="宋体"/>
          <w:lang w:eastAsia="zh-CN"/>
        </w:rPr>
        <w:t xml:space="preserve">4.6.3  承包人安排在施工场地的主要管理人员和技术骨干应相对稳定。承包人更换主要管理人员和技术骨干时，应取得监理人的同意。 </w:t>
      </w:r>
    </w:p>
    <w:p w14:paraId="73AB85BE">
      <w:pPr>
        <w:spacing w:line="360" w:lineRule="auto"/>
        <w:rPr>
          <w:rFonts w:ascii="宋体" w:hAnsi="宋体" w:eastAsia="宋体" w:cs="宋体"/>
          <w:lang w:eastAsia="zh-CN"/>
        </w:rPr>
      </w:pPr>
      <w:r>
        <w:rPr>
          <w:rFonts w:hint="eastAsia" w:ascii="宋体" w:hAnsi="宋体" w:eastAsia="宋体" w:cs="宋体"/>
          <w:lang w:eastAsia="zh-CN"/>
        </w:rPr>
        <w:t xml:space="preserve">4.6.4  特殊岗位的工作人员均应持有相应的资格证明，监理人有权随时检查。监理人认为有必要时，可进行现场考核。 </w:t>
      </w:r>
    </w:p>
    <w:p w14:paraId="1636BE17">
      <w:pPr>
        <w:spacing w:line="360" w:lineRule="auto"/>
        <w:rPr>
          <w:rFonts w:ascii="宋体" w:hAnsi="宋体" w:eastAsia="宋体" w:cs="宋体"/>
          <w:lang w:eastAsia="zh-CN"/>
        </w:rPr>
      </w:pPr>
      <w:bookmarkStart w:id="792" w:name="_Toc511294126"/>
      <w:bookmarkStart w:id="793" w:name="_Toc511293855"/>
      <w:r>
        <w:rPr>
          <w:rFonts w:hint="eastAsia" w:ascii="宋体" w:hAnsi="宋体" w:eastAsia="宋体" w:cs="宋体"/>
          <w:lang w:eastAsia="zh-CN"/>
        </w:rPr>
        <w:t>4.7  撤换承包人项目经理和其他人员</w:t>
      </w:r>
      <w:bookmarkEnd w:id="792"/>
      <w:bookmarkEnd w:id="793"/>
      <w:r>
        <w:rPr>
          <w:rFonts w:hint="eastAsia" w:ascii="宋体" w:hAnsi="宋体" w:eastAsia="宋体" w:cs="宋体"/>
          <w:lang w:eastAsia="zh-CN"/>
        </w:rPr>
        <w:t xml:space="preserve"> </w:t>
      </w:r>
    </w:p>
    <w:p w14:paraId="4D2739C4">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承包人应对其项目经理和其他人员进行有效管理。监理人要求撤换不能胜任本职工作、行为不端或玩忽职守的承包人项目经理和其他人员的，承包人应予以撤换。 </w:t>
      </w:r>
    </w:p>
    <w:p w14:paraId="74E003FE">
      <w:pPr>
        <w:spacing w:line="360" w:lineRule="auto"/>
        <w:rPr>
          <w:rFonts w:ascii="宋体" w:hAnsi="宋体" w:eastAsia="宋体" w:cs="宋体"/>
          <w:lang w:eastAsia="zh-CN"/>
        </w:rPr>
      </w:pPr>
      <w:bookmarkStart w:id="794" w:name="_Toc511294127"/>
      <w:bookmarkStart w:id="795" w:name="_Toc511293856"/>
      <w:r>
        <w:rPr>
          <w:rFonts w:hint="eastAsia" w:ascii="宋体" w:hAnsi="宋体" w:eastAsia="宋体" w:cs="宋体"/>
          <w:lang w:eastAsia="zh-CN"/>
        </w:rPr>
        <w:t>4.8  保障承包人人员的合法权益</w:t>
      </w:r>
      <w:bookmarkEnd w:id="794"/>
      <w:bookmarkEnd w:id="795"/>
      <w:r>
        <w:rPr>
          <w:rFonts w:hint="eastAsia" w:ascii="宋体" w:hAnsi="宋体" w:eastAsia="宋体" w:cs="宋体"/>
          <w:lang w:eastAsia="zh-CN"/>
        </w:rPr>
        <w:t xml:space="preserve"> </w:t>
      </w:r>
    </w:p>
    <w:p w14:paraId="510627C6">
      <w:pPr>
        <w:spacing w:line="360" w:lineRule="auto"/>
        <w:rPr>
          <w:rFonts w:ascii="宋体" w:hAnsi="宋体" w:eastAsia="宋体" w:cs="宋体"/>
          <w:lang w:eastAsia="zh-CN"/>
        </w:rPr>
      </w:pPr>
      <w:r>
        <w:rPr>
          <w:rFonts w:hint="eastAsia" w:ascii="宋体" w:hAnsi="宋体" w:eastAsia="宋体" w:cs="宋体"/>
          <w:lang w:eastAsia="zh-CN"/>
        </w:rPr>
        <w:t xml:space="preserve">4.8.1  承包人应与其雇佣的人员签订劳动合同，并按时发放工资。 </w:t>
      </w:r>
    </w:p>
    <w:p w14:paraId="7430C48C">
      <w:pPr>
        <w:spacing w:line="360" w:lineRule="auto"/>
        <w:rPr>
          <w:rFonts w:ascii="宋体" w:hAnsi="宋体" w:eastAsia="宋体" w:cs="宋体"/>
          <w:lang w:eastAsia="zh-CN"/>
        </w:rPr>
      </w:pPr>
      <w:r>
        <w:rPr>
          <w:rFonts w:hint="eastAsia" w:ascii="宋体" w:hAnsi="宋体" w:eastAsia="宋体" w:cs="宋体"/>
          <w:lang w:eastAsia="zh-CN"/>
        </w:rPr>
        <w:t xml:space="preserve">4.8.2  承包人应按劳动法的规定安排工作时间，保证其雇佣人员享有休息和休假的权利。因工程施工的特殊需要占用休假日或延长工作时间的，应不超过法律规定的限度，并按法律规定给予补休或付酬。 </w:t>
      </w:r>
    </w:p>
    <w:p w14:paraId="0DF1251A">
      <w:pPr>
        <w:spacing w:line="360" w:lineRule="auto"/>
        <w:rPr>
          <w:rFonts w:ascii="宋体" w:hAnsi="宋体" w:eastAsia="宋体" w:cs="宋体"/>
          <w:lang w:eastAsia="zh-CN"/>
        </w:rPr>
      </w:pPr>
      <w:r>
        <w:rPr>
          <w:rFonts w:hint="eastAsia" w:ascii="宋体" w:hAnsi="宋体" w:eastAsia="宋体" w:cs="宋体"/>
          <w:lang w:eastAsia="zh-CN"/>
        </w:rPr>
        <w:t xml:space="preserve">4.8.3  承包人应为其雇佣人员提供必要的食宿条件，以及符合环境保护和卫生要求的生活环境，在远离城镇的施工场地，还应配备必要的伤病防治和急救的医务人员与医疗设施。 </w:t>
      </w:r>
    </w:p>
    <w:p w14:paraId="7728FBD5">
      <w:pPr>
        <w:spacing w:line="360" w:lineRule="auto"/>
        <w:rPr>
          <w:rFonts w:ascii="宋体" w:hAnsi="宋体" w:eastAsia="宋体" w:cs="宋体"/>
          <w:lang w:eastAsia="zh-CN"/>
        </w:rPr>
      </w:pPr>
      <w:r>
        <w:rPr>
          <w:rFonts w:hint="eastAsia" w:ascii="宋体" w:hAnsi="宋体" w:eastAsia="宋体" w:cs="宋体"/>
          <w:lang w:eastAsia="zh-CN"/>
        </w:rPr>
        <w:t xml:space="preserve">4.8.4  承包人应按国家有关劳动保护的规定，采取有效的防止粉尘、降低噪声、控制有害气体和保障高温、高寒、高空作业安全等劳动保护措施。其雇佣人员在施工中受到伤害的，承包人应立即采取有效措施进行抢救和治疗。 </w:t>
      </w:r>
    </w:p>
    <w:p w14:paraId="7A520CB7">
      <w:pPr>
        <w:spacing w:line="360" w:lineRule="auto"/>
        <w:rPr>
          <w:rFonts w:ascii="宋体" w:hAnsi="宋体" w:eastAsia="宋体" w:cs="宋体"/>
          <w:lang w:eastAsia="zh-CN"/>
        </w:rPr>
      </w:pPr>
      <w:r>
        <w:rPr>
          <w:rFonts w:hint="eastAsia" w:ascii="宋体" w:hAnsi="宋体" w:eastAsia="宋体" w:cs="宋体"/>
          <w:lang w:eastAsia="zh-CN"/>
        </w:rPr>
        <w:t xml:space="preserve">4.8.5  承包人应按有关法律规定和合同约定，为其雇佣人员办理保险。 </w:t>
      </w:r>
    </w:p>
    <w:p w14:paraId="38BECFE0">
      <w:pPr>
        <w:spacing w:line="360" w:lineRule="auto"/>
        <w:rPr>
          <w:rFonts w:ascii="宋体" w:hAnsi="宋体" w:eastAsia="宋体" w:cs="宋体"/>
          <w:lang w:eastAsia="zh-CN"/>
        </w:rPr>
      </w:pPr>
      <w:r>
        <w:rPr>
          <w:rFonts w:hint="eastAsia" w:ascii="宋体" w:hAnsi="宋体" w:eastAsia="宋体" w:cs="宋体"/>
          <w:lang w:eastAsia="zh-CN"/>
        </w:rPr>
        <w:t xml:space="preserve">4.8.6  承包人应负责处理其雇佣人员因工伤亡事故的善后事宜。 </w:t>
      </w:r>
    </w:p>
    <w:p w14:paraId="0B39A6E9">
      <w:pPr>
        <w:spacing w:line="360" w:lineRule="auto"/>
        <w:rPr>
          <w:rFonts w:ascii="宋体" w:hAnsi="宋体" w:eastAsia="宋体" w:cs="宋体"/>
          <w:lang w:eastAsia="zh-CN"/>
        </w:rPr>
      </w:pPr>
      <w:bookmarkStart w:id="796" w:name="_Toc511293857"/>
      <w:bookmarkStart w:id="797" w:name="_Toc511294128"/>
      <w:r>
        <w:rPr>
          <w:rFonts w:hint="eastAsia" w:ascii="宋体" w:hAnsi="宋体" w:eastAsia="宋体" w:cs="宋体"/>
          <w:lang w:eastAsia="zh-CN"/>
        </w:rPr>
        <w:t>4.9  工程价款应专款专用</w:t>
      </w:r>
      <w:bookmarkEnd w:id="796"/>
      <w:bookmarkEnd w:id="797"/>
      <w:r>
        <w:rPr>
          <w:rFonts w:hint="eastAsia" w:ascii="宋体" w:hAnsi="宋体" w:eastAsia="宋体" w:cs="宋体"/>
          <w:lang w:eastAsia="zh-CN"/>
        </w:rPr>
        <w:t xml:space="preserve"> </w:t>
      </w:r>
    </w:p>
    <w:p w14:paraId="3DC4E6A7">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发包人按合同约定支付给承包人的各项价款应专用于合同工程。 </w:t>
      </w:r>
    </w:p>
    <w:p w14:paraId="45D15C60">
      <w:pPr>
        <w:spacing w:line="360" w:lineRule="auto"/>
        <w:rPr>
          <w:rFonts w:ascii="宋体" w:hAnsi="宋体" w:eastAsia="宋体" w:cs="宋体"/>
          <w:lang w:eastAsia="zh-CN"/>
        </w:rPr>
      </w:pPr>
      <w:bookmarkStart w:id="798" w:name="_Toc511294129"/>
      <w:bookmarkStart w:id="799" w:name="_Toc511293858"/>
      <w:r>
        <w:rPr>
          <w:rFonts w:hint="eastAsia" w:ascii="宋体" w:hAnsi="宋体" w:eastAsia="宋体" w:cs="宋体"/>
          <w:lang w:eastAsia="zh-CN"/>
        </w:rPr>
        <w:t>4.10  承包人现场查勘</w:t>
      </w:r>
      <w:bookmarkEnd w:id="798"/>
      <w:bookmarkEnd w:id="799"/>
      <w:r>
        <w:rPr>
          <w:rFonts w:hint="eastAsia" w:ascii="宋体" w:hAnsi="宋体" w:eastAsia="宋体" w:cs="宋体"/>
          <w:lang w:eastAsia="zh-CN"/>
        </w:rPr>
        <w:t xml:space="preserve"> </w:t>
      </w:r>
    </w:p>
    <w:p w14:paraId="0BD1A233">
      <w:pPr>
        <w:spacing w:line="360" w:lineRule="auto"/>
        <w:rPr>
          <w:rFonts w:ascii="宋体" w:hAnsi="宋体" w:eastAsia="宋体" w:cs="宋体"/>
          <w:lang w:eastAsia="zh-CN"/>
        </w:rPr>
      </w:pPr>
      <w:r>
        <w:rPr>
          <w:rFonts w:hint="eastAsia" w:ascii="宋体" w:hAnsi="宋体" w:eastAsia="宋体" w:cs="宋体"/>
          <w:lang w:eastAsia="zh-CN"/>
        </w:rPr>
        <w:t xml:space="preserve">4.10.1  发包人应将其持有的现场地质勘探资料、水文气象资料提供给承包人，并对其准确性负责。但承包人应对其阅读上述有关资料后所作出的解释和推断负责。 </w:t>
      </w:r>
    </w:p>
    <w:p w14:paraId="04483168">
      <w:pPr>
        <w:spacing w:line="360" w:lineRule="auto"/>
        <w:rPr>
          <w:rFonts w:ascii="宋体" w:hAnsi="宋体" w:eastAsia="宋体" w:cs="宋体"/>
          <w:lang w:eastAsia="zh-CN"/>
        </w:rPr>
      </w:pPr>
      <w:r>
        <w:rPr>
          <w:rFonts w:hint="eastAsia" w:ascii="宋体" w:hAnsi="宋体" w:eastAsia="宋体" w:cs="宋体"/>
          <w:lang w:eastAsia="zh-CN"/>
        </w:rPr>
        <w:t>4.10.2  承包人应对施工场地和周围环境进行查勘，并收集有关地质、水文、气象条件、</w:t>
      </w:r>
    </w:p>
    <w:p w14:paraId="609C2311">
      <w:pPr>
        <w:spacing w:line="360" w:lineRule="auto"/>
        <w:rPr>
          <w:rFonts w:ascii="宋体" w:hAnsi="宋体" w:eastAsia="宋体" w:cs="宋体"/>
          <w:lang w:eastAsia="zh-CN"/>
        </w:rPr>
      </w:pPr>
      <w:r>
        <w:rPr>
          <w:rFonts w:hint="eastAsia" w:ascii="宋体" w:hAnsi="宋体" w:eastAsia="宋体" w:cs="宋体"/>
          <w:lang w:eastAsia="zh-CN"/>
        </w:rPr>
        <w:t xml:space="preserve">交通条件、风俗习惯以及其他为完成合同工作有关的当地资料。在全部合同工作中，应视为承包人已充分估计了应承担的责任和风险。 </w:t>
      </w:r>
    </w:p>
    <w:p w14:paraId="60FA3D88">
      <w:pPr>
        <w:spacing w:line="360" w:lineRule="auto"/>
        <w:rPr>
          <w:rFonts w:ascii="宋体" w:hAnsi="宋体" w:eastAsia="宋体" w:cs="宋体"/>
          <w:lang w:eastAsia="zh-CN"/>
        </w:rPr>
      </w:pPr>
      <w:bookmarkStart w:id="800" w:name="_Toc511293859"/>
      <w:bookmarkStart w:id="801" w:name="_Toc511294130"/>
      <w:r>
        <w:rPr>
          <w:rFonts w:hint="eastAsia" w:ascii="宋体" w:hAnsi="宋体" w:eastAsia="宋体" w:cs="宋体"/>
          <w:lang w:eastAsia="zh-CN"/>
        </w:rPr>
        <w:t>4.11  不利物质条件</w:t>
      </w:r>
      <w:bookmarkEnd w:id="800"/>
      <w:bookmarkEnd w:id="801"/>
      <w:r>
        <w:rPr>
          <w:rFonts w:hint="eastAsia" w:ascii="宋体" w:hAnsi="宋体" w:eastAsia="宋体" w:cs="宋体"/>
          <w:lang w:eastAsia="zh-CN"/>
        </w:rPr>
        <w:t xml:space="preserve"> </w:t>
      </w:r>
    </w:p>
    <w:p w14:paraId="7B177BFF">
      <w:pPr>
        <w:spacing w:line="360" w:lineRule="auto"/>
        <w:rPr>
          <w:rFonts w:ascii="宋体" w:hAnsi="宋体" w:eastAsia="宋体" w:cs="宋体"/>
          <w:lang w:eastAsia="zh-CN"/>
        </w:rPr>
      </w:pPr>
      <w:r>
        <w:rPr>
          <w:rFonts w:hint="eastAsia" w:ascii="宋体" w:hAnsi="宋体" w:eastAsia="宋体" w:cs="宋体"/>
          <w:lang w:eastAsia="zh-CN"/>
        </w:rPr>
        <w:t xml:space="preserve">4.11.1  不利物质条件一般是指承包人在施工场地遇到的不可预见的自然物质条件、非自然的物质障碍和污染物，包括地下和水文条件，但不包括气候条件。不利物质条件的具体范围见合同条款专用部分。 </w:t>
      </w:r>
    </w:p>
    <w:p w14:paraId="4EFCCD90">
      <w:pPr>
        <w:spacing w:line="360" w:lineRule="auto"/>
        <w:rPr>
          <w:rFonts w:ascii="宋体" w:hAnsi="宋体" w:eastAsia="宋体" w:cs="宋体"/>
          <w:lang w:eastAsia="zh-CN"/>
        </w:rPr>
      </w:pPr>
      <w:r>
        <w:rPr>
          <w:rFonts w:hint="eastAsia" w:ascii="宋体" w:hAnsi="宋体" w:eastAsia="宋体" w:cs="宋体"/>
          <w:lang w:eastAsia="zh-CN"/>
        </w:rPr>
        <w:t>4.11.2  承包人遇到不利物质条件时，应采取适应不利物质条件的合理措施继续施工，</w:t>
      </w:r>
    </w:p>
    <w:p w14:paraId="5366E4C1">
      <w:pPr>
        <w:spacing w:line="360" w:lineRule="auto"/>
        <w:rPr>
          <w:rFonts w:ascii="宋体" w:hAnsi="宋体" w:eastAsia="宋体" w:cs="宋体"/>
          <w:lang w:eastAsia="zh-CN"/>
        </w:rPr>
      </w:pPr>
      <w:r>
        <w:rPr>
          <w:rFonts w:hint="eastAsia" w:ascii="宋体" w:hAnsi="宋体" w:eastAsia="宋体" w:cs="宋体"/>
          <w:lang w:eastAsia="zh-CN"/>
        </w:rPr>
        <w:t xml:space="preserve">并及时通知监理人。监理人应当及时发出指示，指示构成变更的，按第15条约定办理。监理人没有发出指示的，承包人因采取合理措施增加的费用和（或）工期延误，由发包人承担。 </w:t>
      </w:r>
    </w:p>
    <w:p w14:paraId="2D6298FB">
      <w:pPr>
        <w:spacing w:line="360" w:lineRule="auto"/>
        <w:rPr>
          <w:rFonts w:ascii="宋体" w:hAnsi="宋体" w:eastAsia="宋体" w:cs="宋体"/>
          <w:lang w:eastAsia="zh-CN"/>
        </w:rPr>
      </w:pPr>
      <w:r>
        <w:rPr>
          <w:rFonts w:hint="eastAsia" w:ascii="宋体" w:hAnsi="宋体" w:eastAsia="宋体" w:cs="宋体"/>
          <w:lang w:eastAsia="zh-CN"/>
        </w:rPr>
        <w:t xml:space="preserve">5.材料和工程设备 </w:t>
      </w:r>
    </w:p>
    <w:p w14:paraId="3A9398FF">
      <w:pPr>
        <w:spacing w:line="360" w:lineRule="auto"/>
        <w:rPr>
          <w:rFonts w:ascii="宋体" w:hAnsi="宋体" w:eastAsia="宋体" w:cs="宋体"/>
          <w:lang w:eastAsia="zh-CN"/>
        </w:rPr>
      </w:pPr>
      <w:bookmarkStart w:id="802" w:name="_Toc511293860"/>
      <w:bookmarkStart w:id="803" w:name="_Toc511294131"/>
      <w:r>
        <w:rPr>
          <w:rFonts w:hint="eastAsia" w:ascii="宋体" w:hAnsi="宋体" w:eastAsia="宋体" w:cs="宋体"/>
          <w:lang w:eastAsia="zh-CN"/>
        </w:rPr>
        <w:t>5.1  承包人提供的材料和工程设备</w:t>
      </w:r>
      <w:bookmarkEnd w:id="802"/>
      <w:bookmarkEnd w:id="803"/>
      <w:r>
        <w:rPr>
          <w:rFonts w:hint="eastAsia" w:ascii="宋体" w:hAnsi="宋体" w:eastAsia="宋体" w:cs="宋体"/>
          <w:lang w:eastAsia="zh-CN"/>
        </w:rPr>
        <w:t xml:space="preserve"> </w:t>
      </w:r>
    </w:p>
    <w:p w14:paraId="4B6130DF">
      <w:pPr>
        <w:spacing w:line="360" w:lineRule="auto"/>
        <w:rPr>
          <w:rFonts w:ascii="宋体" w:hAnsi="宋体" w:eastAsia="宋体" w:cs="宋体"/>
          <w:lang w:eastAsia="zh-CN"/>
        </w:rPr>
      </w:pPr>
      <w:r>
        <w:rPr>
          <w:rFonts w:hint="eastAsia" w:ascii="宋体" w:hAnsi="宋体" w:eastAsia="宋体" w:cs="宋体"/>
          <w:lang w:eastAsia="zh-CN"/>
        </w:rPr>
        <w:t xml:space="preserve">5.1.1  除第5.2款约定由发包人提供的材料和工程设备外，由承包人提供的材料和工程设备均由承包人负责招标、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招标的，应当按第15.8.1项的约定，由发包人和承包人以招标方式确定专项投标人。承包人负责提供的主要材料和工程设备清单见合同条款专用部分“附件三：承包人提供的材料和工程设备一览表”。 </w:t>
      </w:r>
    </w:p>
    <w:p w14:paraId="6A9CCABA">
      <w:pPr>
        <w:spacing w:line="360" w:lineRule="auto"/>
        <w:rPr>
          <w:rFonts w:ascii="宋体" w:hAnsi="宋体" w:eastAsia="宋体" w:cs="宋体"/>
          <w:lang w:eastAsia="zh-CN"/>
        </w:rPr>
      </w:pPr>
      <w:r>
        <w:rPr>
          <w:rFonts w:hint="eastAsia" w:ascii="宋体" w:hAnsi="宋体" w:eastAsia="宋体" w:cs="宋体"/>
          <w:lang w:eastAsia="zh-CN"/>
        </w:rPr>
        <w:t>5.1.2  承包人应在合同约定的期限内，将各项材料和工程设备的供货人和品种、规格、</w:t>
      </w:r>
    </w:p>
    <w:p w14:paraId="1C1A3B1B">
      <w:pPr>
        <w:spacing w:line="360" w:lineRule="auto"/>
        <w:rPr>
          <w:rFonts w:ascii="宋体" w:hAnsi="宋体" w:eastAsia="宋体" w:cs="宋体"/>
          <w:lang w:eastAsia="zh-CN"/>
        </w:rPr>
      </w:pPr>
      <w:r>
        <w:rPr>
          <w:rFonts w:hint="eastAsia" w:ascii="宋体" w:hAnsi="宋体" w:eastAsia="宋体" w:cs="宋体"/>
          <w:lang w:eastAsia="zh-CN"/>
        </w:rPr>
        <w:t xml:space="preserve">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见合同条款专用部分。 </w:t>
      </w:r>
    </w:p>
    <w:p w14:paraId="355A461D">
      <w:pPr>
        <w:spacing w:line="360" w:lineRule="auto"/>
        <w:rPr>
          <w:rFonts w:ascii="宋体" w:hAnsi="宋体" w:eastAsia="宋体" w:cs="宋体"/>
          <w:lang w:eastAsia="zh-CN"/>
        </w:rPr>
      </w:pPr>
      <w:r>
        <w:rPr>
          <w:rFonts w:hint="eastAsia" w:ascii="宋体" w:hAnsi="宋体" w:eastAsia="宋体" w:cs="宋体"/>
          <w:lang w:eastAsia="zh-CN"/>
        </w:rPr>
        <w:t xml:space="preserve">5.1.3  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 </w:t>
      </w:r>
    </w:p>
    <w:p w14:paraId="63408F10">
      <w:pPr>
        <w:spacing w:line="360" w:lineRule="auto"/>
        <w:rPr>
          <w:rFonts w:ascii="宋体" w:hAnsi="宋体" w:eastAsia="宋体" w:cs="宋体"/>
          <w:lang w:eastAsia="zh-CN"/>
        </w:rPr>
      </w:pPr>
      <w:bookmarkStart w:id="804" w:name="_Toc511294132"/>
      <w:bookmarkStart w:id="805" w:name="_Toc511293861"/>
      <w:r>
        <w:rPr>
          <w:rFonts w:hint="eastAsia" w:ascii="宋体" w:hAnsi="宋体" w:eastAsia="宋体" w:cs="宋体"/>
          <w:lang w:eastAsia="zh-CN"/>
        </w:rPr>
        <w:t>5.2  发包人提供的材料和工程设备</w:t>
      </w:r>
      <w:bookmarkEnd w:id="804"/>
      <w:bookmarkEnd w:id="805"/>
      <w:r>
        <w:rPr>
          <w:rFonts w:hint="eastAsia" w:ascii="宋体" w:hAnsi="宋体" w:eastAsia="宋体" w:cs="宋体"/>
          <w:lang w:eastAsia="zh-CN"/>
        </w:rPr>
        <w:t xml:space="preserve"> </w:t>
      </w:r>
    </w:p>
    <w:p w14:paraId="3EBD526C">
      <w:pPr>
        <w:spacing w:line="360" w:lineRule="auto"/>
        <w:rPr>
          <w:rFonts w:ascii="宋体" w:hAnsi="宋体" w:eastAsia="宋体" w:cs="宋体"/>
          <w:lang w:eastAsia="zh-CN"/>
        </w:rPr>
      </w:pPr>
      <w:r>
        <w:rPr>
          <w:rFonts w:hint="eastAsia" w:ascii="宋体" w:hAnsi="宋体" w:eastAsia="宋体" w:cs="宋体"/>
          <w:lang w:eastAsia="zh-CN"/>
        </w:rPr>
        <w:t xml:space="preserve">5.2.1  发包人负责提供的材料和工程设备的名称、规格、数量、价格、交货方式、交货地点和计划交货日期等见合同条款专用部分“附件四：发包人提供的材料和工程设备一览表”。 </w:t>
      </w:r>
    </w:p>
    <w:p w14:paraId="000FCB83">
      <w:pPr>
        <w:spacing w:line="360" w:lineRule="auto"/>
        <w:rPr>
          <w:rFonts w:ascii="宋体" w:hAnsi="宋体" w:eastAsia="宋体" w:cs="宋体"/>
          <w:lang w:eastAsia="zh-CN"/>
        </w:rPr>
      </w:pPr>
      <w:r>
        <w:rPr>
          <w:rFonts w:hint="eastAsia" w:ascii="宋体" w:hAnsi="宋体" w:eastAsia="宋体" w:cs="宋体"/>
          <w:lang w:eastAsia="zh-CN"/>
        </w:rPr>
        <w:t xml:space="preserve">5.2.2  承包人应根据合同进度计划的安排，向监理人报送要求发包人交货的日期计划。发包人应按照监理人与合同双方当事人商定的交货日期，向承包人提交材料和工程设备。 </w:t>
      </w:r>
    </w:p>
    <w:p w14:paraId="78FEFEA2">
      <w:pPr>
        <w:spacing w:line="360" w:lineRule="auto"/>
        <w:rPr>
          <w:rFonts w:ascii="宋体" w:hAnsi="宋体" w:eastAsia="宋体" w:cs="宋体"/>
          <w:lang w:eastAsia="zh-CN"/>
        </w:rPr>
      </w:pPr>
      <w:r>
        <w:rPr>
          <w:rFonts w:hint="eastAsia" w:ascii="宋体" w:hAnsi="宋体" w:eastAsia="宋体" w:cs="宋体"/>
          <w:lang w:eastAsia="zh-CN"/>
        </w:rPr>
        <w:t xml:space="preserve">5.2.3  发包人应在材料和工程设备到货7天前通知承包人，承包人应会同监理人在约定的时间内，赴交货地点共同进行验收。由发包人提供的材料和工程设备验收后，由承包人负责接收、运输和保管。 </w:t>
      </w:r>
    </w:p>
    <w:p w14:paraId="697B86D6">
      <w:pPr>
        <w:spacing w:line="360" w:lineRule="auto"/>
        <w:rPr>
          <w:rFonts w:ascii="宋体" w:hAnsi="宋体" w:eastAsia="宋体" w:cs="宋体"/>
          <w:lang w:eastAsia="zh-CN"/>
        </w:rPr>
      </w:pPr>
      <w:r>
        <w:rPr>
          <w:rFonts w:hint="eastAsia" w:ascii="宋体" w:hAnsi="宋体" w:eastAsia="宋体" w:cs="宋体"/>
          <w:lang w:eastAsia="zh-CN"/>
        </w:rPr>
        <w:t xml:space="preserve">5.2.4  发包人要求向承包人提前交货的，承包人不得拒绝，但发包人应承担承包人由此增加的费用。  </w:t>
      </w:r>
    </w:p>
    <w:p w14:paraId="42F09C47">
      <w:pPr>
        <w:spacing w:line="360" w:lineRule="auto"/>
        <w:rPr>
          <w:rFonts w:ascii="宋体" w:hAnsi="宋体" w:eastAsia="宋体" w:cs="宋体"/>
          <w:lang w:eastAsia="zh-CN"/>
        </w:rPr>
      </w:pPr>
      <w:r>
        <w:rPr>
          <w:rFonts w:hint="eastAsia" w:ascii="宋体" w:hAnsi="宋体" w:eastAsia="宋体" w:cs="宋体"/>
          <w:lang w:eastAsia="zh-CN"/>
        </w:rPr>
        <w:t xml:space="preserve">5.2.5  承包人要求更改交货日期或地点的，应事先报请监理人批准。由于承包人要求更改交货时间或地点所增加的费用和（或）工期延误由承包人承担。  </w:t>
      </w:r>
    </w:p>
    <w:p w14:paraId="23A83626">
      <w:pPr>
        <w:spacing w:line="360" w:lineRule="auto"/>
        <w:rPr>
          <w:rFonts w:ascii="宋体" w:hAnsi="宋体" w:eastAsia="宋体" w:cs="宋体"/>
          <w:lang w:eastAsia="zh-CN"/>
        </w:rPr>
      </w:pPr>
      <w:r>
        <w:rPr>
          <w:rFonts w:hint="eastAsia" w:ascii="宋体" w:hAnsi="宋体" w:eastAsia="宋体" w:cs="宋体"/>
          <w:lang w:eastAsia="zh-CN"/>
        </w:rPr>
        <w:t>5.2.6  发包人提供的材料和工程设备的规格、数量或质量不符合合同要求，或由于发</w:t>
      </w:r>
    </w:p>
    <w:p w14:paraId="073207EE">
      <w:pPr>
        <w:spacing w:line="360" w:lineRule="auto"/>
        <w:rPr>
          <w:rFonts w:ascii="宋体" w:hAnsi="宋体" w:eastAsia="宋体" w:cs="宋体"/>
          <w:lang w:eastAsia="zh-CN"/>
        </w:rPr>
      </w:pPr>
      <w:r>
        <w:rPr>
          <w:rFonts w:hint="eastAsia" w:ascii="宋体" w:hAnsi="宋体" w:eastAsia="宋体" w:cs="宋体"/>
          <w:lang w:eastAsia="zh-CN"/>
        </w:rPr>
        <w:t xml:space="preserve">包人原因发生交货日期延误及交货地点变更等情况的，发包人应承担由此增加的费用和（或）工期延误，并向承包人支付合理利润。 </w:t>
      </w:r>
    </w:p>
    <w:p w14:paraId="2566EAD0">
      <w:pPr>
        <w:spacing w:line="360" w:lineRule="auto"/>
        <w:rPr>
          <w:rFonts w:ascii="宋体" w:hAnsi="宋体" w:eastAsia="宋体" w:cs="宋体"/>
          <w:lang w:eastAsia="zh-CN"/>
        </w:rPr>
      </w:pPr>
      <w:bookmarkStart w:id="806" w:name="_Toc511293862"/>
      <w:bookmarkStart w:id="807" w:name="_Toc511294133"/>
      <w:r>
        <w:rPr>
          <w:rFonts w:hint="eastAsia" w:ascii="宋体" w:hAnsi="宋体" w:eastAsia="宋体" w:cs="宋体"/>
          <w:lang w:eastAsia="zh-CN"/>
        </w:rPr>
        <w:t>5.3  材料和工程设备专用于合同工程</w:t>
      </w:r>
      <w:bookmarkEnd w:id="806"/>
      <w:bookmarkEnd w:id="807"/>
      <w:r>
        <w:rPr>
          <w:rFonts w:hint="eastAsia" w:ascii="宋体" w:hAnsi="宋体" w:eastAsia="宋体" w:cs="宋体"/>
          <w:lang w:eastAsia="zh-CN"/>
        </w:rPr>
        <w:t xml:space="preserve"> </w:t>
      </w:r>
    </w:p>
    <w:p w14:paraId="784AEDA0">
      <w:pPr>
        <w:spacing w:line="360" w:lineRule="auto"/>
        <w:rPr>
          <w:rFonts w:ascii="宋体" w:hAnsi="宋体" w:eastAsia="宋体" w:cs="宋体"/>
          <w:lang w:eastAsia="zh-CN"/>
        </w:rPr>
      </w:pPr>
      <w:r>
        <w:rPr>
          <w:rFonts w:hint="eastAsia" w:ascii="宋体" w:hAnsi="宋体" w:eastAsia="宋体" w:cs="宋体"/>
          <w:lang w:eastAsia="zh-CN"/>
        </w:rPr>
        <w:t xml:space="preserve">5.3.1  运入施工场地的材料、工程设备，包括备品备件、安装专用工器具与随机资料，必须专用于合同工程，未经监理人同意，承包人不得运出施工场地或挪作他用。 </w:t>
      </w:r>
    </w:p>
    <w:p w14:paraId="6D8AF893">
      <w:pPr>
        <w:spacing w:line="360" w:lineRule="auto"/>
        <w:rPr>
          <w:rFonts w:ascii="宋体" w:hAnsi="宋体" w:eastAsia="宋体" w:cs="宋体"/>
          <w:lang w:eastAsia="zh-CN"/>
        </w:rPr>
      </w:pPr>
      <w:r>
        <w:rPr>
          <w:rFonts w:hint="eastAsia" w:ascii="宋体" w:hAnsi="宋体" w:eastAsia="宋体" w:cs="宋体"/>
          <w:lang w:eastAsia="zh-CN"/>
        </w:rPr>
        <w:t xml:space="preserve">5.3.2  随同工程设备运入施工场地的备品备件、专用工器具与随机资料，应由承包人会同监理人按供货人的装箱单清点后共同封存，未经监理人同意不得启用。承包人因合同工作需要使用上述物品时，应向监理人提出申请。 </w:t>
      </w:r>
    </w:p>
    <w:p w14:paraId="076F1D83">
      <w:pPr>
        <w:spacing w:line="360" w:lineRule="auto"/>
        <w:rPr>
          <w:rFonts w:ascii="宋体" w:hAnsi="宋体" w:eastAsia="宋体" w:cs="宋体"/>
          <w:lang w:eastAsia="zh-CN"/>
        </w:rPr>
      </w:pPr>
      <w:bookmarkStart w:id="808" w:name="_Toc511293863"/>
      <w:bookmarkStart w:id="809" w:name="_Toc511294134"/>
      <w:r>
        <w:rPr>
          <w:rFonts w:hint="eastAsia" w:ascii="宋体" w:hAnsi="宋体" w:eastAsia="宋体" w:cs="宋体"/>
          <w:lang w:eastAsia="zh-CN"/>
        </w:rPr>
        <w:t>5.4  禁止使用不合格的材料和工程设备</w:t>
      </w:r>
      <w:bookmarkEnd w:id="808"/>
      <w:bookmarkEnd w:id="809"/>
      <w:r>
        <w:rPr>
          <w:rFonts w:hint="eastAsia" w:ascii="宋体" w:hAnsi="宋体" w:eastAsia="宋体" w:cs="宋体"/>
          <w:lang w:eastAsia="zh-CN"/>
        </w:rPr>
        <w:t xml:space="preserve"> </w:t>
      </w:r>
    </w:p>
    <w:p w14:paraId="4CCBD2AD">
      <w:pPr>
        <w:spacing w:line="360" w:lineRule="auto"/>
        <w:rPr>
          <w:rFonts w:ascii="宋体" w:hAnsi="宋体" w:eastAsia="宋体" w:cs="宋体"/>
          <w:lang w:eastAsia="zh-CN"/>
        </w:rPr>
      </w:pPr>
      <w:r>
        <w:rPr>
          <w:rFonts w:hint="eastAsia" w:ascii="宋体" w:hAnsi="宋体" w:eastAsia="宋体" w:cs="宋体"/>
          <w:lang w:eastAsia="zh-CN"/>
        </w:rPr>
        <w:t xml:space="preserve">5.4.1  监理人有权拒绝承包人提供的不合格材料或工程设备，并要求承包人立即进行更换。监理人应在更换后再次进行检查和检验，由此增加的费用和（或）工期延误由承包人承担。 </w:t>
      </w:r>
    </w:p>
    <w:p w14:paraId="425E1781">
      <w:pPr>
        <w:spacing w:line="360" w:lineRule="auto"/>
        <w:rPr>
          <w:rFonts w:ascii="宋体" w:hAnsi="宋体" w:eastAsia="宋体" w:cs="宋体"/>
          <w:lang w:eastAsia="zh-CN"/>
        </w:rPr>
      </w:pPr>
      <w:r>
        <w:rPr>
          <w:rFonts w:hint="eastAsia" w:ascii="宋体" w:hAnsi="宋体" w:eastAsia="宋体" w:cs="宋体"/>
          <w:lang w:eastAsia="zh-CN"/>
        </w:rPr>
        <w:t xml:space="preserve">5.4.2  监理人发现承包人使用了不合格的材料和工程设备，应即时发出指示要求承包人立即改正，并禁止在工程中继续使用不合格的材料和工程设备。 </w:t>
      </w:r>
    </w:p>
    <w:p w14:paraId="2EB895D8">
      <w:pPr>
        <w:spacing w:line="360" w:lineRule="auto"/>
        <w:rPr>
          <w:rFonts w:ascii="宋体" w:hAnsi="宋体" w:eastAsia="宋体" w:cs="宋体"/>
          <w:lang w:eastAsia="zh-CN"/>
        </w:rPr>
      </w:pPr>
      <w:r>
        <w:rPr>
          <w:rFonts w:hint="eastAsia" w:ascii="宋体" w:hAnsi="宋体" w:eastAsia="宋体" w:cs="宋体"/>
          <w:lang w:eastAsia="zh-CN"/>
        </w:rPr>
        <w:t>5.4.3  发包人提供的材料或工程设备不符合合同要求的，承包人有权拒绝，并可要求</w:t>
      </w:r>
    </w:p>
    <w:p w14:paraId="7A593B1C">
      <w:pPr>
        <w:spacing w:line="360" w:lineRule="auto"/>
        <w:rPr>
          <w:rFonts w:ascii="宋体" w:hAnsi="宋体" w:eastAsia="宋体" w:cs="宋体"/>
          <w:lang w:eastAsia="zh-CN"/>
        </w:rPr>
      </w:pPr>
      <w:r>
        <w:rPr>
          <w:rFonts w:hint="eastAsia" w:ascii="宋体" w:hAnsi="宋体" w:eastAsia="宋体" w:cs="宋体"/>
          <w:lang w:eastAsia="zh-CN"/>
        </w:rPr>
        <w:t xml:space="preserve">发包人更换，由此增加的费用和（或）工期延误由发包人承担。 </w:t>
      </w:r>
    </w:p>
    <w:p w14:paraId="4C3D917D">
      <w:pPr>
        <w:spacing w:line="360" w:lineRule="auto"/>
        <w:rPr>
          <w:rFonts w:ascii="宋体" w:hAnsi="宋体" w:eastAsia="宋体" w:cs="宋体"/>
          <w:lang w:eastAsia="zh-CN"/>
        </w:rPr>
      </w:pPr>
      <w:r>
        <w:rPr>
          <w:rFonts w:hint="eastAsia" w:ascii="宋体" w:hAnsi="宋体" w:eastAsia="宋体" w:cs="宋体"/>
          <w:lang w:eastAsia="zh-CN"/>
        </w:rPr>
        <w:t xml:space="preserve">6.施工设备和临时设施 </w:t>
      </w:r>
    </w:p>
    <w:p w14:paraId="71034D09">
      <w:pPr>
        <w:spacing w:line="360" w:lineRule="auto"/>
        <w:rPr>
          <w:rFonts w:ascii="宋体" w:hAnsi="宋体" w:eastAsia="宋体" w:cs="宋体"/>
          <w:lang w:eastAsia="zh-CN"/>
        </w:rPr>
      </w:pPr>
      <w:bookmarkStart w:id="810" w:name="_Toc511294135"/>
      <w:bookmarkStart w:id="811" w:name="_Toc511293864"/>
      <w:r>
        <w:rPr>
          <w:rFonts w:hint="eastAsia" w:ascii="宋体" w:hAnsi="宋体" w:eastAsia="宋体" w:cs="宋体"/>
          <w:lang w:eastAsia="zh-CN"/>
        </w:rPr>
        <w:t>6.1  承包人提供的施工设备和临时设施</w:t>
      </w:r>
      <w:bookmarkEnd w:id="810"/>
      <w:bookmarkEnd w:id="811"/>
      <w:r>
        <w:rPr>
          <w:rFonts w:hint="eastAsia" w:ascii="宋体" w:hAnsi="宋体" w:eastAsia="宋体" w:cs="宋体"/>
          <w:lang w:eastAsia="zh-CN"/>
        </w:rPr>
        <w:t xml:space="preserve"> </w:t>
      </w:r>
    </w:p>
    <w:p w14:paraId="26AF504D">
      <w:pPr>
        <w:spacing w:line="360" w:lineRule="auto"/>
        <w:rPr>
          <w:rFonts w:ascii="宋体" w:hAnsi="宋体" w:eastAsia="宋体" w:cs="宋体"/>
          <w:lang w:eastAsia="zh-CN"/>
        </w:rPr>
      </w:pPr>
      <w:r>
        <w:rPr>
          <w:rFonts w:hint="eastAsia" w:ascii="宋体" w:hAnsi="宋体" w:eastAsia="宋体" w:cs="宋体"/>
          <w:lang w:eastAsia="zh-CN"/>
        </w:rPr>
        <w:t xml:space="preserve">6.1.1  承包人应按合同进度计划的要求，及时配置施工设备和修建临时设施。进入施工场地的承包人设备需经监理人核查后才能投入使用。承包人更换合同约定的承包人设备的，应报监理人批准。 </w:t>
      </w:r>
    </w:p>
    <w:p w14:paraId="2EA86188">
      <w:pPr>
        <w:spacing w:line="360" w:lineRule="auto"/>
        <w:rPr>
          <w:rFonts w:ascii="宋体" w:hAnsi="宋体" w:eastAsia="宋体" w:cs="宋体"/>
          <w:lang w:eastAsia="zh-CN"/>
        </w:rPr>
      </w:pPr>
      <w:r>
        <w:rPr>
          <w:rFonts w:hint="eastAsia" w:ascii="宋体" w:hAnsi="宋体" w:eastAsia="宋体" w:cs="宋体"/>
          <w:lang w:eastAsia="zh-CN"/>
        </w:rPr>
        <w:t>6.1.2  除合同另有约定外，承包人应承担自行修建临时设施的费用。需要临时占地的，</w:t>
      </w:r>
    </w:p>
    <w:p w14:paraId="0CB263CB">
      <w:pPr>
        <w:spacing w:line="360" w:lineRule="auto"/>
        <w:rPr>
          <w:rFonts w:ascii="宋体" w:hAnsi="宋体" w:eastAsia="宋体" w:cs="宋体"/>
          <w:lang w:eastAsia="zh-CN"/>
        </w:rPr>
      </w:pPr>
      <w:r>
        <w:rPr>
          <w:rFonts w:hint="eastAsia" w:ascii="宋体" w:hAnsi="宋体" w:eastAsia="宋体" w:cs="宋体"/>
          <w:lang w:eastAsia="zh-CN"/>
        </w:rPr>
        <w:t xml:space="preserve">应由发包人办理申请手续并承担相应费用。承包人自行修建临时设施的范围以及所需临时占地见合同条款专用部分。 </w:t>
      </w:r>
    </w:p>
    <w:p w14:paraId="32AB1DDE">
      <w:pPr>
        <w:spacing w:line="360" w:lineRule="auto"/>
        <w:rPr>
          <w:rFonts w:ascii="宋体" w:hAnsi="宋体" w:eastAsia="宋体" w:cs="宋体"/>
          <w:lang w:eastAsia="zh-CN"/>
        </w:rPr>
      </w:pPr>
      <w:bookmarkStart w:id="812" w:name="_Toc511293865"/>
      <w:bookmarkStart w:id="813" w:name="_Toc511294136"/>
      <w:r>
        <w:rPr>
          <w:rFonts w:hint="eastAsia" w:ascii="宋体" w:hAnsi="宋体" w:eastAsia="宋体" w:cs="宋体"/>
          <w:lang w:eastAsia="zh-CN"/>
        </w:rPr>
        <w:t>6.2  发包人提供的施工设备和临时设施</w:t>
      </w:r>
      <w:bookmarkEnd w:id="812"/>
      <w:bookmarkEnd w:id="813"/>
      <w:r>
        <w:rPr>
          <w:rFonts w:hint="eastAsia" w:ascii="宋体" w:hAnsi="宋体" w:eastAsia="宋体" w:cs="宋体"/>
          <w:lang w:eastAsia="zh-CN"/>
        </w:rPr>
        <w:t xml:space="preserve"> </w:t>
      </w:r>
    </w:p>
    <w:p w14:paraId="69A58D2F">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发包人提供的施工设备或临时设施，以及相关运行、维护、拆除、清运费用的承担人见合同条款专用部分。 </w:t>
      </w:r>
    </w:p>
    <w:p w14:paraId="0F26457B">
      <w:pPr>
        <w:spacing w:line="360" w:lineRule="auto"/>
        <w:rPr>
          <w:rFonts w:ascii="宋体" w:hAnsi="宋体" w:eastAsia="宋体" w:cs="宋体"/>
          <w:lang w:eastAsia="zh-CN"/>
        </w:rPr>
      </w:pPr>
      <w:bookmarkStart w:id="814" w:name="_Toc511293866"/>
      <w:bookmarkStart w:id="815" w:name="_Toc511294137"/>
      <w:r>
        <w:rPr>
          <w:rFonts w:hint="eastAsia" w:ascii="宋体" w:hAnsi="宋体" w:eastAsia="宋体" w:cs="宋体"/>
          <w:lang w:eastAsia="zh-CN"/>
        </w:rPr>
        <w:t>6.3  要求承包人增加或更换施工设备</w:t>
      </w:r>
      <w:bookmarkEnd w:id="814"/>
      <w:bookmarkEnd w:id="815"/>
      <w:r>
        <w:rPr>
          <w:rFonts w:hint="eastAsia" w:ascii="宋体" w:hAnsi="宋体" w:eastAsia="宋体" w:cs="宋体"/>
          <w:lang w:eastAsia="zh-CN"/>
        </w:rPr>
        <w:t xml:space="preserve"> </w:t>
      </w:r>
    </w:p>
    <w:p w14:paraId="4A442765">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承包人使用的施工设备不能满足合同进度计划和（或）质量要求时，监理人有权要求承包人增加或更换施工设备，承包人应及时增加或更换，由此增加的费用和（或）工期延误由承包人承担。 </w:t>
      </w:r>
    </w:p>
    <w:p w14:paraId="33A831DF">
      <w:pPr>
        <w:spacing w:line="360" w:lineRule="auto"/>
        <w:rPr>
          <w:rFonts w:ascii="宋体" w:hAnsi="宋体" w:eastAsia="宋体" w:cs="宋体"/>
          <w:lang w:eastAsia="zh-CN"/>
        </w:rPr>
      </w:pPr>
      <w:bookmarkStart w:id="816" w:name="_Toc511294138"/>
      <w:bookmarkStart w:id="817" w:name="_Toc511293867"/>
      <w:r>
        <w:rPr>
          <w:rFonts w:hint="eastAsia" w:ascii="宋体" w:hAnsi="宋体" w:eastAsia="宋体" w:cs="宋体"/>
          <w:lang w:eastAsia="zh-CN"/>
        </w:rPr>
        <w:t>6.4  施工设备和临时设施专用于合同工程</w:t>
      </w:r>
      <w:bookmarkEnd w:id="816"/>
      <w:bookmarkEnd w:id="817"/>
      <w:r>
        <w:rPr>
          <w:rFonts w:hint="eastAsia" w:ascii="宋体" w:hAnsi="宋体" w:eastAsia="宋体" w:cs="宋体"/>
          <w:lang w:eastAsia="zh-CN"/>
        </w:rPr>
        <w:t xml:space="preserve"> </w:t>
      </w:r>
    </w:p>
    <w:p w14:paraId="568E0C3B">
      <w:pPr>
        <w:spacing w:line="360" w:lineRule="auto"/>
        <w:rPr>
          <w:rFonts w:ascii="宋体" w:hAnsi="宋体" w:eastAsia="宋体" w:cs="宋体"/>
          <w:lang w:eastAsia="zh-CN"/>
        </w:rPr>
      </w:pPr>
      <w:r>
        <w:rPr>
          <w:rFonts w:hint="eastAsia" w:ascii="宋体" w:hAnsi="宋体" w:eastAsia="宋体" w:cs="宋体"/>
          <w:lang w:eastAsia="zh-CN"/>
        </w:rPr>
        <w:t xml:space="preserve">6.4.1  除为第 4.1.8 项约定的其他独立承包人和监理人指示的他人提供条件外,承包人运入施工场地的所有施工设备以及在施工场地建设的临时设施仅限于用于合同工程。未经监理人同意，不得将上述施工设备和临时设施中的任何部分运出施工场地或挪作他用。 </w:t>
      </w:r>
    </w:p>
    <w:p w14:paraId="22781392">
      <w:pPr>
        <w:spacing w:line="360" w:lineRule="auto"/>
        <w:rPr>
          <w:rFonts w:ascii="宋体" w:hAnsi="宋体" w:eastAsia="宋体" w:cs="宋体"/>
          <w:lang w:eastAsia="zh-CN"/>
        </w:rPr>
      </w:pPr>
      <w:r>
        <w:rPr>
          <w:rFonts w:hint="eastAsia" w:ascii="宋体" w:hAnsi="宋体" w:eastAsia="宋体" w:cs="宋体"/>
          <w:lang w:eastAsia="zh-CN"/>
        </w:rPr>
        <w:t xml:space="preserve">6.4.2  经监理人同意，承包人可根据合同进度计划撤走闲置的施工设备。 </w:t>
      </w:r>
    </w:p>
    <w:p w14:paraId="73937D3C">
      <w:pPr>
        <w:spacing w:line="360" w:lineRule="auto"/>
        <w:rPr>
          <w:rFonts w:ascii="宋体" w:hAnsi="宋体" w:eastAsia="宋体" w:cs="宋体"/>
          <w:lang w:eastAsia="zh-CN"/>
        </w:rPr>
      </w:pPr>
      <w:r>
        <w:rPr>
          <w:rFonts w:hint="eastAsia" w:ascii="宋体" w:hAnsi="宋体" w:eastAsia="宋体" w:cs="宋体"/>
          <w:lang w:eastAsia="zh-CN"/>
        </w:rPr>
        <w:t xml:space="preserve">7.交通运输 </w:t>
      </w:r>
    </w:p>
    <w:p w14:paraId="7C3865A6">
      <w:pPr>
        <w:spacing w:line="360" w:lineRule="auto"/>
        <w:rPr>
          <w:rFonts w:ascii="宋体" w:hAnsi="宋体" w:eastAsia="宋体" w:cs="宋体"/>
          <w:lang w:eastAsia="zh-CN"/>
        </w:rPr>
      </w:pPr>
      <w:bookmarkStart w:id="818" w:name="_Toc511293868"/>
      <w:bookmarkStart w:id="819" w:name="_Toc511294139"/>
      <w:r>
        <w:rPr>
          <w:rFonts w:hint="eastAsia" w:ascii="宋体" w:hAnsi="宋体" w:eastAsia="宋体" w:cs="宋体"/>
          <w:lang w:eastAsia="zh-CN"/>
        </w:rPr>
        <w:t>7.1  道路通行权和场外设施</w:t>
      </w:r>
      <w:bookmarkEnd w:id="818"/>
      <w:bookmarkEnd w:id="819"/>
      <w:r>
        <w:rPr>
          <w:rFonts w:hint="eastAsia" w:ascii="宋体" w:hAnsi="宋体" w:eastAsia="宋体" w:cs="宋体"/>
          <w:lang w:eastAsia="zh-CN"/>
        </w:rPr>
        <w:t xml:space="preserve"> </w:t>
      </w:r>
    </w:p>
    <w:p w14:paraId="1AA07F14">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 </w:t>
      </w:r>
    </w:p>
    <w:p w14:paraId="1A37D9CA">
      <w:pPr>
        <w:spacing w:line="360" w:lineRule="auto"/>
        <w:rPr>
          <w:rFonts w:ascii="宋体" w:hAnsi="宋体" w:eastAsia="宋体" w:cs="宋体"/>
          <w:lang w:eastAsia="zh-CN"/>
        </w:rPr>
      </w:pPr>
      <w:bookmarkStart w:id="820" w:name="_Toc511293869"/>
      <w:bookmarkStart w:id="821" w:name="_Toc511294140"/>
      <w:r>
        <w:rPr>
          <w:rFonts w:hint="eastAsia" w:ascii="宋体" w:hAnsi="宋体" w:eastAsia="宋体" w:cs="宋体"/>
          <w:lang w:eastAsia="zh-CN"/>
        </w:rPr>
        <w:t>7.2  场内施工道路</w:t>
      </w:r>
      <w:bookmarkEnd w:id="820"/>
      <w:bookmarkEnd w:id="821"/>
      <w:r>
        <w:rPr>
          <w:rFonts w:hint="eastAsia" w:ascii="宋体" w:hAnsi="宋体" w:eastAsia="宋体" w:cs="宋体"/>
          <w:lang w:eastAsia="zh-CN"/>
        </w:rPr>
        <w:t xml:space="preserve"> </w:t>
      </w:r>
    </w:p>
    <w:p w14:paraId="6BAAE4B6">
      <w:pPr>
        <w:spacing w:line="360" w:lineRule="auto"/>
        <w:rPr>
          <w:rFonts w:ascii="宋体" w:hAnsi="宋体" w:eastAsia="宋体" w:cs="宋体"/>
          <w:lang w:eastAsia="zh-CN"/>
        </w:rPr>
      </w:pPr>
      <w:r>
        <w:rPr>
          <w:rFonts w:hint="eastAsia" w:ascii="宋体" w:hAnsi="宋体" w:eastAsia="宋体" w:cs="宋体"/>
          <w:lang w:eastAsia="zh-CN"/>
        </w:rPr>
        <w:t xml:space="preserve">7.2.1  除合同条款专用部分另有约定外，承包人应负责修建、维修、养护和管理施工所需的临时道路和交通设施，包括维修、养护和管理发包人提供的道路和交通设施，并承担相应费用。 </w:t>
      </w:r>
    </w:p>
    <w:p w14:paraId="1614FB27">
      <w:pPr>
        <w:spacing w:line="360" w:lineRule="auto"/>
        <w:rPr>
          <w:rFonts w:ascii="宋体" w:hAnsi="宋体" w:eastAsia="宋体" w:cs="宋体"/>
          <w:lang w:eastAsia="zh-CN"/>
        </w:rPr>
      </w:pPr>
      <w:r>
        <w:rPr>
          <w:rFonts w:hint="eastAsia" w:ascii="宋体" w:hAnsi="宋体" w:eastAsia="宋体" w:cs="宋体"/>
          <w:lang w:eastAsia="zh-CN"/>
        </w:rPr>
        <w:t xml:space="preserve">7.2.2  发包人和监理人有权无偿使用承包人修建的临时道路和交通设施，不需要交纳任何费用。 </w:t>
      </w:r>
    </w:p>
    <w:p w14:paraId="3DF3C356">
      <w:pPr>
        <w:spacing w:line="360" w:lineRule="auto"/>
        <w:rPr>
          <w:rFonts w:ascii="宋体" w:hAnsi="宋体" w:eastAsia="宋体" w:cs="宋体"/>
          <w:lang w:eastAsia="zh-CN"/>
        </w:rPr>
      </w:pPr>
      <w:bookmarkStart w:id="822" w:name="_Toc511294141"/>
      <w:bookmarkStart w:id="823" w:name="_Toc511293870"/>
      <w:r>
        <w:rPr>
          <w:rFonts w:hint="eastAsia" w:ascii="宋体" w:hAnsi="宋体" w:eastAsia="宋体" w:cs="宋体"/>
          <w:lang w:eastAsia="zh-CN"/>
        </w:rPr>
        <w:t>7.3  场外交通</w:t>
      </w:r>
      <w:bookmarkEnd w:id="822"/>
      <w:bookmarkEnd w:id="823"/>
      <w:r>
        <w:rPr>
          <w:rFonts w:hint="eastAsia" w:ascii="宋体" w:hAnsi="宋体" w:eastAsia="宋体" w:cs="宋体"/>
          <w:lang w:eastAsia="zh-CN"/>
        </w:rPr>
        <w:t xml:space="preserve"> </w:t>
      </w:r>
    </w:p>
    <w:p w14:paraId="4B998E9C">
      <w:pPr>
        <w:spacing w:line="360" w:lineRule="auto"/>
        <w:rPr>
          <w:rFonts w:ascii="宋体" w:hAnsi="宋体" w:eastAsia="宋体" w:cs="宋体"/>
          <w:lang w:eastAsia="zh-CN"/>
        </w:rPr>
      </w:pPr>
      <w:r>
        <w:rPr>
          <w:rFonts w:hint="eastAsia" w:ascii="宋体" w:hAnsi="宋体" w:eastAsia="宋体" w:cs="宋体"/>
          <w:lang w:eastAsia="zh-CN"/>
        </w:rPr>
        <w:t xml:space="preserve">7.3.1  承包人车辆外出行驶所需的场外公共道路的通行费、养路费和税款等由承包人承担。 </w:t>
      </w:r>
    </w:p>
    <w:p w14:paraId="5D00E4BD">
      <w:pPr>
        <w:spacing w:line="360" w:lineRule="auto"/>
        <w:rPr>
          <w:rFonts w:ascii="宋体" w:hAnsi="宋体" w:eastAsia="宋体" w:cs="宋体"/>
          <w:lang w:eastAsia="zh-CN"/>
        </w:rPr>
      </w:pPr>
      <w:r>
        <w:rPr>
          <w:rFonts w:hint="eastAsia" w:ascii="宋体" w:hAnsi="宋体" w:eastAsia="宋体" w:cs="宋体"/>
          <w:lang w:eastAsia="zh-CN"/>
        </w:rPr>
        <w:t xml:space="preserve">7.3.2  承包人应遵守有关交通法规，严格按照道路和桥梁的限制荷重安全行驶，并服从交通管理部门的检查和监督。 </w:t>
      </w:r>
    </w:p>
    <w:p w14:paraId="06542059">
      <w:pPr>
        <w:spacing w:line="360" w:lineRule="auto"/>
        <w:rPr>
          <w:rFonts w:ascii="宋体" w:hAnsi="宋体" w:eastAsia="宋体" w:cs="宋体"/>
          <w:lang w:eastAsia="zh-CN"/>
        </w:rPr>
      </w:pPr>
      <w:bookmarkStart w:id="824" w:name="_Toc511293871"/>
      <w:bookmarkStart w:id="825" w:name="_Toc511294142"/>
      <w:r>
        <w:rPr>
          <w:rFonts w:hint="eastAsia" w:ascii="宋体" w:hAnsi="宋体" w:eastAsia="宋体" w:cs="宋体"/>
          <w:lang w:eastAsia="zh-CN"/>
        </w:rPr>
        <w:t>7.4  超大件和超重件的运输</w:t>
      </w:r>
      <w:bookmarkEnd w:id="824"/>
      <w:bookmarkEnd w:id="825"/>
      <w:r>
        <w:rPr>
          <w:rFonts w:hint="eastAsia" w:ascii="宋体" w:hAnsi="宋体" w:eastAsia="宋体" w:cs="宋体"/>
          <w:lang w:eastAsia="zh-CN"/>
        </w:rPr>
        <w:t xml:space="preserve"> </w:t>
      </w:r>
    </w:p>
    <w:p w14:paraId="6469A935">
      <w:pPr>
        <w:spacing w:line="360" w:lineRule="auto"/>
        <w:rPr>
          <w:rFonts w:ascii="宋体" w:hAnsi="宋体" w:eastAsia="宋体" w:cs="宋体"/>
          <w:lang w:eastAsia="zh-CN"/>
        </w:rPr>
      </w:pPr>
      <w:r>
        <w:rPr>
          <w:rFonts w:hint="eastAsia" w:ascii="宋体" w:hAnsi="宋体" w:eastAsia="宋体" w:cs="宋体"/>
          <w:lang w:eastAsia="zh-CN"/>
        </w:rPr>
        <w:t>由承包人负责运输的超大件或超重件，应由承包人负责向交通管理部门办理申请手续，</w:t>
      </w:r>
    </w:p>
    <w:p w14:paraId="448D3CE8">
      <w:pPr>
        <w:spacing w:line="360" w:lineRule="auto"/>
        <w:rPr>
          <w:rFonts w:ascii="宋体" w:hAnsi="宋体" w:eastAsia="宋体" w:cs="宋体"/>
          <w:lang w:eastAsia="zh-CN"/>
        </w:rPr>
      </w:pPr>
      <w:r>
        <w:rPr>
          <w:rFonts w:hint="eastAsia" w:ascii="宋体" w:hAnsi="宋体" w:eastAsia="宋体" w:cs="宋体"/>
          <w:lang w:eastAsia="zh-CN"/>
        </w:rPr>
        <w:t xml:space="preserve">发包人给予协助。运输超大件或超重件所需的道路和桥梁临时加固改造费用和其他有关费用，由承包人承担，但合同条款专用部分另有约定除外。 </w:t>
      </w:r>
    </w:p>
    <w:p w14:paraId="79666446">
      <w:pPr>
        <w:spacing w:line="360" w:lineRule="auto"/>
        <w:rPr>
          <w:rFonts w:ascii="宋体" w:hAnsi="宋体" w:eastAsia="宋体" w:cs="宋体"/>
          <w:lang w:eastAsia="zh-CN"/>
        </w:rPr>
      </w:pPr>
      <w:bookmarkStart w:id="826" w:name="_Toc511294143"/>
      <w:bookmarkStart w:id="827" w:name="_Toc511293872"/>
      <w:r>
        <w:rPr>
          <w:rFonts w:hint="eastAsia" w:ascii="宋体" w:hAnsi="宋体" w:eastAsia="宋体" w:cs="宋体"/>
          <w:lang w:eastAsia="zh-CN"/>
        </w:rPr>
        <w:t>7.5  道路和桥梁的损坏责任</w:t>
      </w:r>
      <w:bookmarkEnd w:id="826"/>
      <w:bookmarkEnd w:id="827"/>
      <w:r>
        <w:rPr>
          <w:rFonts w:hint="eastAsia" w:ascii="宋体" w:hAnsi="宋体" w:eastAsia="宋体" w:cs="宋体"/>
          <w:lang w:eastAsia="zh-CN"/>
        </w:rPr>
        <w:t xml:space="preserve"> </w:t>
      </w:r>
    </w:p>
    <w:p w14:paraId="6821C305">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因承包人运输造成施工场地内外公共道路和桥梁损坏的，由承包人承担修复损坏的全部费用和可能引起的赔偿。 </w:t>
      </w:r>
    </w:p>
    <w:p w14:paraId="72437EBD">
      <w:pPr>
        <w:spacing w:line="360" w:lineRule="auto"/>
        <w:rPr>
          <w:rFonts w:ascii="宋体" w:hAnsi="宋体" w:eastAsia="宋体" w:cs="宋体"/>
          <w:lang w:eastAsia="zh-CN"/>
        </w:rPr>
      </w:pPr>
      <w:bookmarkStart w:id="828" w:name="_Toc511293873"/>
      <w:bookmarkStart w:id="829" w:name="_Toc511294144"/>
      <w:r>
        <w:rPr>
          <w:rFonts w:hint="eastAsia" w:ascii="宋体" w:hAnsi="宋体" w:eastAsia="宋体" w:cs="宋体"/>
          <w:lang w:eastAsia="zh-CN"/>
        </w:rPr>
        <w:t>7.6  水路和航空运输</w:t>
      </w:r>
      <w:bookmarkEnd w:id="828"/>
      <w:bookmarkEnd w:id="829"/>
      <w:r>
        <w:rPr>
          <w:rFonts w:hint="eastAsia" w:ascii="宋体" w:hAnsi="宋体" w:eastAsia="宋体" w:cs="宋体"/>
          <w:lang w:eastAsia="zh-CN"/>
        </w:rPr>
        <w:t xml:space="preserve"> </w:t>
      </w:r>
    </w:p>
    <w:p w14:paraId="22621664">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本条上述各款的内容适用于水路运输和航空运输，其中“道路”一词的涵义包括河道、航线、船闸、机场、码头、堤防以及水路或航空运输中其他相似结构物；“车辆”一词的涵义包括船舶和飞机等。 </w:t>
      </w:r>
    </w:p>
    <w:p w14:paraId="2801CC60">
      <w:pPr>
        <w:spacing w:line="360" w:lineRule="auto"/>
        <w:rPr>
          <w:rFonts w:ascii="宋体" w:hAnsi="宋体" w:eastAsia="宋体" w:cs="宋体"/>
          <w:lang w:eastAsia="zh-CN"/>
        </w:rPr>
      </w:pPr>
      <w:r>
        <w:rPr>
          <w:rFonts w:hint="eastAsia" w:ascii="宋体" w:hAnsi="宋体" w:eastAsia="宋体" w:cs="宋体"/>
          <w:lang w:eastAsia="zh-CN"/>
        </w:rPr>
        <w:t xml:space="preserve">8.测量放线 </w:t>
      </w:r>
    </w:p>
    <w:p w14:paraId="680A54BE">
      <w:pPr>
        <w:spacing w:line="360" w:lineRule="auto"/>
        <w:rPr>
          <w:rFonts w:ascii="宋体" w:hAnsi="宋体" w:eastAsia="宋体" w:cs="宋体"/>
          <w:lang w:eastAsia="zh-CN"/>
        </w:rPr>
      </w:pPr>
      <w:bookmarkStart w:id="830" w:name="_Toc511293874"/>
      <w:bookmarkStart w:id="831" w:name="_Toc511294145"/>
      <w:r>
        <w:rPr>
          <w:rFonts w:hint="eastAsia" w:ascii="宋体" w:hAnsi="宋体" w:eastAsia="宋体" w:cs="宋体"/>
          <w:lang w:eastAsia="zh-CN"/>
        </w:rPr>
        <w:t>8.1  施工控制网</w:t>
      </w:r>
      <w:bookmarkEnd w:id="830"/>
      <w:bookmarkEnd w:id="831"/>
      <w:r>
        <w:rPr>
          <w:rFonts w:hint="eastAsia" w:ascii="宋体" w:hAnsi="宋体" w:eastAsia="宋体" w:cs="宋体"/>
          <w:lang w:eastAsia="zh-CN"/>
        </w:rPr>
        <w:t xml:space="preserve"> </w:t>
      </w:r>
    </w:p>
    <w:p w14:paraId="6F61DD01">
      <w:pPr>
        <w:spacing w:line="360" w:lineRule="auto"/>
        <w:rPr>
          <w:rFonts w:ascii="宋体" w:hAnsi="宋体" w:eastAsia="宋体" w:cs="宋体"/>
          <w:lang w:eastAsia="zh-CN"/>
        </w:rPr>
      </w:pPr>
      <w:r>
        <w:rPr>
          <w:rFonts w:hint="eastAsia" w:ascii="宋体" w:hAnsi="宋体" w:eastAsia="宋体" w:cs="宋体"/>
          <w:lang w:eastAsia="zh-CN"/>
        </w:rPr>
        <w:t xml:space="preserve">8.1.1  发包人应在合同约定的期限内，通过监理人向承包人提供测量基准点、基准线和水准点及其书面资料。向承包人提供测量基准点、基准线和水准点及其书面资料的期限见合同条款专用部分。 </w:t>
      </w:r>
    </w:p>
    <w:p w14:paraId="1868635B">
      <w:pPr>
        <w:spacing w:line="360" w:lineRule="auto"/>
        <w:rPr>
          <w:rFonts w:ascii="宋体" w:hAnsi="宋体" w:eastAsia="宋体" w:cs="宋体"/>
          <w:lang w:eastAsia="zh-CN"/>
        </w:rPr>
      </w:pPr>
      <w:r>
        <w:rPr>
          <w:rFonts w:hint="eastAsia" w:ascii="宋体" w:hAnsi="宋体" w:eastAsia="宋体" w:cs="宋体"/>
          <w:lang w:eastAsia="zh-CN"/>
        </w:rPr>
        <w:t xml:space="preserve">8.1.2  承包人应根据国家测绘基准、测绘系统和工程测量技术规范，按上述基准点（线）以及合同工程精度要求，测设施工控制网，承包人测设施工控制网的其他要求见合同条款专用部分。并将施工控制网资料在约定期限内报送监理人审批，其报送监理人审批的期限见合同条款专用部分。 </w:t>
      </w:r>
    </w:p>
    <w:p w14:paraId="77B8546D">
      <w:pPr>
        <w:spacing w:line="360" w:lineRule="auto"/>
        <w:rPr>
          <w:rFonts w:ascii="宋体" w:hAnsi="宋体" w:eastAsia="宋体" w:cs="宋体"/>
          <w:lang w:eastAsia="zh-CN"/>
        </w:rPr>
      </w:pPr>
      <w:r>
        <w:rPr>
          <w:rFonts w:hint="eastAsia" w:ascii="宋体" w:hAnsi="宋体" w:eastAsia="宋体" w:cs="宋体"/>
          <w:lang w:eastAsia="zh-CN"/>
        </w:rPr>
        <w:t xml:space="preserve">8.1.3  承包人应负责管理施工控制网点。施工控制网点丢失或损坏的，承包人应及时修复，并承担施工控制网点的管理与修复费用。工程竣工后将施工控制网点移交发包人。 </w:t>
      </w:r>
    </w:p>
    <w:p w14:paraId="758BC68A">
      <w:pPr>
        <w:spacing w:line="360" w:lineRule="auto"/>
        <w:rPr>
          <w:rFonts w:ascii="宋体" w:hAnsi="宋体" w:eastAsia="宋体" w:cs="宋体"/>
          <w:lang w:eastAsia="zh-CN"/>
        </w:rPr>
      </w:pPr>
      <w:bookmarkStart w:id="832" w:name="_Toc511293875"/>
      <w:bookmarkStart w:id="833" w:name="_Toc511294146"/>
      <w:r>
        <w:rPr>
          <w:rFonts w:hint="eastAsia" w:ascii="宋体" w:hAnsi="宋体" w:eastAsia="宋体" w:cs="宋体"/>
          <w:lang w:eastAsia="zh-CN"/>
        </w:rPr>
        <w:t>8.2  施工测量</w:t>
      </w:r>
      <w:bookmarkEnd w:id="832"/>
      <w:bookmarkEnd w:id="833"/>
      <w:r>
        <w:rPr>
          <w:rFonts w:hint="eastAsia" w:ascii="宋体" w:hAnsi="宋体" w:eastAsia="宋体" w:cs="宋体"/>
          <w:lang w:eastAsia="zh-CN"/>
        </w:rPr>
        <w:t xml:space="preserve"> </w:t>
      </w:r>
    </w:p>
    <w:p w14:paraId="0E4CA089">
      <w:pPr>
        <w:spacing w:line="360" w:lineRule="auto"/>
        <w:rPr>
          <w:rFonts w:ascii="宋体" w:hAnsi="宋体" w:eastAsia="宋体" w:cs="宋体"/>
          <w:lang w:eastAsia="zh-CN"/>
        </w:rPr>
      </w:pPr>
      <w:r>
        <w:rPr>
          <w:rFonts w:hint="eastAsia" w:ascii="宋体" w:hAnsi="宋体" w:eastAsia="宋体" w:cs="宋体"/>
          <w:lang w:eastAsia="zh-CN"/>
        </w:rPr>
        <w:t xml:space="preserve">8.2.1  承包人应负责施工过程中的全部施工测量放线工作，并配置合格的人员、仪器、设备和其他物品。 </w:t>
      </w:r>
    </w:p>
    <w:p w14:paraId="2CB759C0">
      <w:pPr>
        <w:spacing w:line="360" w:lineRule="auto"/>
        <w:rPr>
          <w:rFonts w:ascii="宋体" w:hAnsi="宋体" w:eastAsia="宋体" w:cs="宋体"/>
          <w:lang w:eastAsia="zh-CN"/>
        </w:rPr>
      </w:pPr>
      <w:r>
        <w:rPr>
          <w:rFonts w:hint="eastAsia" w:ascii="宋体" w:hAnsi="宋体" w:eastAsia="宋体" w:cs="宋体"/>
          <w:lang w:eastAsia="zh-CN"/>
        </w:rPr>
        <w:t xml:space="preserve">8.2.2  监理人可以指示承包人进行抽样复测，当复测中发现错误或出现超过合同约定的误差时，承包人应按监理人指示进行修正或补测，并承担相应的复测费用。 </w:t>
      </w:r>
    </w:p>
    <w:p w14:paraId="10FAD426">
      <w:pPr>
        <w:spacing w:line="360" w:lineRule="auto"/>
        <w:rPr>
          <w:rFonts w:ascii="宋体" w:hAnsi="宋体" w:eastAsia="宋体" w:cs="宋体"/>
          <w:lang w:eastAsia="zh-CN"/>
        </w:rPr>
      </w:pPr>
      <w:bookmarkStart w:id="834" w:name="_Toc511293876"/>
      <w:bookmarkStart w:id="835" w:name="_Toc511294147"/>
      <w:r>
        <w:rPr>
          <w:rFonts w:hint="eastAsia" w:ascii="宋体" w:hAnsi="宋体" w:eastAsia="宋体" w:cs="宋体"/>
          <w:lang w:eastAsia="zh-CN"/>
        </w:rPr>
        <w:t>8.3  基准资料错误的责任</w:t>
      </w:r>
      <w:bookmarkEnd w:id="834"/>
      <w:bookmarkEnd w:id="835"/>
      <w:r>
        <w:rPr>
          <w:rFonts w:hint="eastAsia" w:ascii="宋体" w:hAnsi="宋体" w:eastAsia="宋体" w:cs="宋体"/>
          <w:lang w:eastAsia="zh-CN"/>
        </w:rPr>
        <w:t xml:space="preserve"> </w:t>
      </w:r>
    </w:p>
    <w:p w14:paraId="01A96E88">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 </w:t>
      </w:r>
    </w:p>
    <w:p w14:paraId="5C01F7C6">
      <w:pPr>
        <w:spacing w:line="360" w:lineRule="auto"/>
        <w:rPr>
          <w:rFonts w:ascii="宋体" w:hAnsi="宋体" w:eastAsia="宋体" w:cs="宋体"/>
          <w:lang w:eastAsia="zh-CN"/>
        </w:rPr>
      </w:pPr>
      <w:bookmarkStart w:id="836" w:name="_Toc511294148"/>
      <w:bookmarkStart w:id="837" w:name="_Toc511293877"/>
      <w:r>
        <w:rPr>
          <w:rFonts w:hint="eastAsia" w:ascii="宋体" w:hAnsi="宋体" w:eastAsia="宋体" w:cs="宋体"/>
          <w:lang w:eastAsia="zh-CN"/>
        </w:rPr>
        <w:t>8.4  监理人使用施工控制网</w:t>
      </w:r>
      <w:bookmarkEnd w:id="836"/>
      <w:bookmarkEnd w:id="837"/>
      <w:r>
        <w:rPr>
          <w:rFonts w:hint="eastAsia" w:ascii="宋体" w:hAnsi="宋体" w:eastAsia="宋体" w:cs="宋体"/>
          <w:lang w:eastAsia="zh-CN"/>
        </w:rPr>
        <w:t xml:space="preserve"> </w:t>
      </w:r>
    </w:p>
    <w:p w14:paraId="528B52C0">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监理人需要使用施工控制网的，承包人应提供必要的协助，发包人不再为此支付费用。 </w:t>
      </w:r>
    </w:p>
    <w:p w14:paraId="45F283AA">
      <w:pPr>
        <w:spacing w:line="360" w:lineRule="auto"/>
        <w:rPr>
          <w:rFonts w:ascii="宋体" w:hAnsi="宋体" w:eastAsia="宋体" w:cs="宋体"/>
          <w:lang w:eastAsia="zh-CN"/>
        </w:rPr>
      </w:pPr>
      <w:r>
        <w:rPr>
          <w:rFonts w:hint="eastAsia" w:ascii="宋体" w:hAnsi="宋体" w:eastAsia="宋体" w:cs="宋体"/>
          <w:lang w:eastAsia="zh-CN"/>
        </w:rPr>
        <w:t xml:space="preserve">9.施工安全、治安保卫和环境保护 </w:t>
      </w:r>
    </w:p>
    <w:p w14:paraId="03B1EA87">
      <w:pPr>
        <w:spacing w:line="360" w:lineRule="auto"/>
        <w:rPr>
          <w:rFonts w:ascii="宋体" w:hAnsi="宋体" w:eastAsia="宋体" w:cs="宋体"/>
          <w:lang w:eastAsia="zh-CN"/>
        </w:rPr>
      </w:pPr>
      <w:bookmarkStart w:id="838" w:name="_Toc511293878"/>
      <w:bookmarkStart w:id="839" w:name="_Toc511294149"/>
      <w:r>
        <w:rPr>
          <w:rFonts w:hint="eastAsia" w:ascii="宋体" w:hAnsi="宋体" w:eastAsia="宋体" w:cs="宋体"/>
          <w:lang w:eastAsia="zh-CN"/>
        </w:rPr>
        <w:t>9.1  发包人的施工安全责任</w:t>
      </w:r>
      <w:bookmarkEnd w:id="838"/>
      <w:bookmarkEnd w:id="839"/>
      <w:r>
        <w:rPr>
          <w:rFonts w:hint="eastAsia" w:ascii="宋体" w:hAnsi="宋体" w:eastAsia="宋体" w:cs="宋体"/>
          <w:lang w:eastAsia="zh-CN"/>
        </w:rPr>
        <w:t xml:space="preserve"> </w:t>
      </w:r>
    </w:p>
    <w:p w14:paraId="5B7EE162">
      <w:pPr>
        <w:spacing w:line="360" w:lineRule="auto"/>
        <w:rPr>
          <w:rFonts w:ascii="宋体" w:hAnsi="宋体" w:eastAsia="宋体" w:cs="宋体"/>
          <w:lang w:eastAsia="zh-CN"/>
        </w:rPr>
      </w:pPr>
      <w:r>
        <w:rPr>
          <w:rFonts w:hint="eastAsia" w:ascii="宋体" w:hAnsi="宋体" w:eastAsia="宋体" w:cs="宋体"/>
          <w:lang w:eastAsia="zh-CN"/>
        </w:rPr>
        <w:t xml:space="preserve">9.1.1  发包人应按合同约定履行安全职责，授权监理人按合同约定的安全工作内容监督、检查承包人安全工作的实施，组织承包人和有关单位进行安全检查。 </w:t>
      </w:r>
    </w:p>
    <w:p w14:paraId="2D994A1D">
      <w:pPr>
        <w:spacing w:line="360" w:lineRule="auto"/>
        <w:rPr>
          <w:rFonts w:ascii="宋体" w:hAnsi="宋体" w:eastAsia="宋体" w:cs="宋体"/>
          <w:lang w:eastAsia="zh-CN"/>
        </w:rPr>
      </w:pPr>
      <w:r>
        <w:rPr>
          <w:rFonts w:hint="eastAsia" w:ascii="宋体" w:hAnsi="宋体" w:eastAsia="宋体" w:cs="宋体"/>
          <w:lang w:eastAsia="zh-CN"/>
        </w:rPr>
        <w:t>9.1.2  发包人应对其现场机构雇佣的全部人员的工伤事故承担责任，但由于承包人原</w:t>
      </w:r>
    </w:p>
    <w:p w14:paraId="6CBD0862">
      <w:pPr>
        <w:spacing w:line="360" w:lineRule="auto"/>
        <w:rPr>
          <w:rFonts w:ascii="宋体" w:hAnsi="宋体" w:eastAsia="宋体" w:cs="宋体"/>
          <w:lang w:eastAsia="zh-CN"/>
        </w:rPr>
      </w:pPr>
      <w:r>
        <w:rPr>
          <w:rFonts w:hint="eastAsia" w:ascii="宋体" w:hAnsi="宋体" w:eastAsia="宋体" w:cs="宋体"/>
          <w:lang w:eastAsia="zh-CN"/>
        </w:rPr>
        <w:t xml:space="preserve">因造成发包人人员工伤的，应由承包人承担责任。 </w:t>
      </w:r>
    </w:p>
    <w:p w14:paraId="2AF78D3E">
      <w:pPr>
        <w:spacing w:line="360" w:lineRule="auto"/>
        <w:rPr>
          <w:rFonts w:ascii="宋体" w:hAnsi="宋体" w:eastAsia="宋体" w:cs="宋体"/>
          <w:lang w:eastAsia="zh-CN"/>
        </w:rPr>
      </w:pPr>
      <w:r>
        <w:rPr>
          <w:rFonts w:hint="eastAsia" w:ascii="宋体" w:hAnsi="宋体" w:eastAsia="宋体" w:cs="宋体"/>
          <w:lang w:eastAsia="zh-CN"/>
        </w:rPr>
        <w:t xml:space="preserve">9.1.3  发包人应负责赔偿以下各种情况造成的第三者人身伤亡和财产损失： </w:t>
      </w:r>
    </w:p>
    <w:p w14:paraId="75F23DE4">
      <w:pPr>
        <w:spacing w:line="360" w:lineRule="auto"/>
        <w:rPr>
          <w:rFonts w:ascii="宋体" w:hAnsi="宋体" w:eastAsia="宋体" w:cs="宋体"/>
          <w:lang w:eastAsia="zh-CN"/>
        </w:rPr>
      </w:pPr>
      <w:r>
        <w:rPr>
          <w:rFonts w:hint="eastAsia" w:ascii="宋体" w:hAnsi="宋体" w:eastAsia="宋体" w:cs="宋体"/>
          <w:lang w:eastAsia="zh-CN"/>
        </w:rPr>
        <w:t xml:space="preserve">（1）工程或工程的任何部分对土地的占用所造成的第三者财产损失； </w:t>
      </w:r>
    </w:p>
    <w:p w14:paraId="693D40C6">
      <w:pPr>
        <w:spacing w:line="360" w:lineRule="auto"/>
        <w:rPr>
          <w:rFonts w:ascii="宋体" w:hAnsi="宋体" w:eastAsia="宋体" w:cs="宋体"/>
          <w:lang w:eastAsia="zh-CN"/>
        </w:rPr>
      </w:pPr>
      <w:r>
        <w:rPr>
          <w:rFonts w:hint="eastAsia" w:ascii="宋体" w:hAnsi="宋体" w:eastAsia="宋体" w:cs="宋体"/>
          <w:lang w:eastAsia="zh-CN"/>
        </w:rPr>
        <w:t xml:space="preserve">（2）由于发包人原因在施工场地及其毗邻地带造成的第三者人身伤亡和财产损失。 </w:t>
      </w:r>
    </w:p>
    <w:p w14:paraId="6DEAC9F6">
      <w:pPr>
        <w:spacing w:line="360" w:lineRule="auto"/>
        <w:rPr>
          <w:rFonts w:ascii="宋体" w:hAnsi="宋体" w:eastAsia="宋体" w:cs="宋体"/>
          <w:lang w:eastAsia="zh-CN"/>
        </w:rPr>
      </w:pPr>
      <w:bookmarkStart w:id="840" w:name="_Toc511294150"/>
      <w:bookmarkStart w:id="841" w:name="_Toc511293879"/>
      <w:r>
        <w:rPr>
          <w:rFonts w:hint="eastAsia" w:ascii="宋体" w:hAnsi="宋体" w:eastAsia="宋体" w:cs="宋体"/>
          <w:lang w:eastAsia="zh-CN"/>
        </w:rPr>
        <w:t>9.2  承包人的施工安全责任</w:t>
      </w:r>
      <w:bookmarkEnd w:id="840"/>
      <w:bookmarkEnd w:id="841"/>
      <w:r>
        <w:rPr>
          <w:rFonts w:hint="eastAsia" w:ascii="宋体" w:hAnsi="宋体" w:eastAsia="宋体" w:cs="宋体"/>
          <w:lang w:eastAsia="zh-CN"/>
        </w:rPr>
        <w:t xml:space="preserve"> </w:t>
      </w:r>
    </w:p>
    <w:p w14:paraId="6352E0FF">
      <w:pPr>
        <w:spacing w:line="360" w:lineRule="auto"/>
        <w:rPr>
          <w:rFonts w:ascii="宋体" w:hAnsi="宋体" w:eastAsia="宋体" w:cs="宋体"/>
          <w:lang w:eastAsia="zh-CN"/>
        </w:rPr>
      </w:pPr>
      <w:r>
        <w:rPr>
          <w:rFonts w:hint="eastAsia" w:ascii="宋体" w:hAnsi="宋体" w:eastAsia="宋体" w:cs="宋体"/>
          <w:lang w:eastAsia="zh-CN"/>
        </w:rPr>
        <w:t xml:space="preserve">9.2.1  承包人应按合同约定履行安全职责,执行监理人有关安全工作的指示,并在合同条款专用部分约定的期限内，按合同约定的安全工作内容，编制施工安全措施计划报送监理人审批。监理人应在合同条款专用部分约定的期限内完成批复。 </w:t>
      </w:r>
    </w:p>
    <w:p w14:paraId="7D8E6F93">
      <w:pPr>
        <w:spacing w:line="360" w:lineRule="auto"/>
        <w:rPr>
          <w:rFonts w:ascii="宋体" w:hAnsi="宋体" w:eastAsia="宋体" w:cs="宋体"/>
          <w:lang w:eastAsia="zh-CN"/>
        </w:rPr>
      </w:pPr>
      <w:r>
        <w:rPr>
          <w:rFonts w:hint="eastAsia" w:ascii="宋体" w:hAnsi="宋体" w:eastAsia="宋体" w:cs="宋体"/>
          <w:lang w:eastAsia="zh-CN"/>
        </w:rPr>
        <w:t xml:space="preserve">9.2.2  承包人应加强施工作业安全管理，特别应加强易燃、易爆材料、火工器材、有毒与腐蚀性材料、行业挥发性有机物和其他危险品的管理，以及对爆破作业和地下工程施工等危险作业的管理。 </w:t>
      </w:r>
    </w:p>
    <w:p w14:paraId="5C5B4B8B">
      <w:pPr>
        <w:spacing w:line="360" w:lineRule="auto"/>
        <w:rPr>
          <w:rFonts w:ascii="宋体" w:hAnsi="宋体" w:eastAsia="宋体" w:cs="宋体"/>
          <w:lang w:eastAsia="zh-CN"/>
        </w:rPr>
      </w:pPr>
      <w:r>
        <w:rPr>
          <w:rFonts w:hint="eastAsia" w:ascii="宋体" w:hAnsi="宋体" w:eastAsia="宋体" w:cs="宋体"/>
          <w:lang w:eastAsia="zh-CN"/>
        </w:rPr>
        <w:t xml:space="preserve">9.2.3  承包人应严格按照国家安全标准制定施工安全操作规程，配备必要的安全生产和劳动保护设施，加强对承包人人员的安全教育，并发放安全工作手册和劳动保护用具。 </w:t>
      </w:r>
    </w:p>
    <w:p w14:paraId="356DF820">
      <w:pPr>
        <w:spacing w:line="360" w:lineRule="auto"/>
        <w:rPr>
          <w:rFonts w:ascii="宋体" w:hAnsi="宋体" w:eastAsia="宋体" w:cs="宋体"/>
          <w:lang w:eastAsia="zh-CN"/>
        </w:rPr>
      </w:pPr>
      <w:r>
        <w:rPr>
          <w:rFonts w:hint="eastAsia" w:ascii="宋体" w:hAnsi="宋体" w:eastAsia="宋体" w:cs="宋体"/>
          <w:lang w:eastAsia="zh-CN"/>
        </w:rPr>
        <w:t xml:space="preserve">9.2.4  承包人应按监理人的指示制定应对灾害的紧急预案，报送监理人审批。承包人还应按预案做好安全检查，配置必要的救助物资和器材，切实保护好有关人员的人身和财产安全。 </w:t>
      </w:r>
    </w:p>
    <w:p w14:paraId="56D4BB4A">
      <w:pPr>
        <w:spacing w:line="360" w:lineRule="auto"/>
        <w:rPr>
          <w:rFonts w:ascii="宋体" w:hAnsi="宋体" w:eastAsia="宋体" w:cs="宋体"/>
          <w:lang w:eastAsia="zh-CN"/>
        </w:rPr>
      </w:pPr>
      <w:r>
        <w:rPr>
          <w:rFonts w:hint="eastAsia" w:ascii="宋体" w:hAnsi="宋体" w:eastAsia="宋体" w:cs="宋体"/>
          <w:lang w:eastAsia="zh-CN"/>
        </w:rPr>
        <w:t xml:space="preserve">9.2.5  合同约定的安全作业环境及安全施工措施所需费用应遵守有关规定，并包括在相关工作的合同价格中。因采取合同未约定的安全作业环境及安全施工措施增加的费用，由监理人按第3.5款商定或确定。 </w:t>
      </w:r>
    </w:p>
    <w:p w14:paraId="3A21F3A7">
      <w:pPr>
        <w:spacing w:line="360" w:lineRule="auto"/>
        <w:rPr>
          <w:rFonts w:ascii="宋体" w:hAnsi="宋体" w:eastAsia="宋体" w:cs="宋体"/>
          <w:lang w:eastAsia="zh-CN"/>
        </w:rPr>
      </w:pPr>
      <w:r>
        <w:rPr>
          <w:rFonts w:hint="eastAsia" w:ascii="宋体" w:hAnsi="宋体" w:eastAsia="宋体" w:cs="宋体"/>
          <w:lang w:eastAsia="zh-CN"/>
        </w:rPr>
        <w:t xml:space="preserve">9.2.6  承包人应对其履行合同所雇佣的全部人员，包括分包人人员的工伤事故承担责任，但由于发包人原因造成承包人人员工伤事故的，应由发包人承担责任。 </w:t>
      </w:r>
    </w:p>
    <w:p w14:paraId="438D2B7A">
      <w:pPr>
        <w:spacing w:line="360" w:lineRule="auto"/>
        <w:rPr>
          <w:rFonts w:ascii="宋体" w:hAnsi="宋体" w:eastAsia="宋体" w:cs="宋体"/>
          <w:lang w:eastAsia="zh-CN"/>
        </w:rPr>
      </w:pPr>
      <w:r>
        <w:rPr>
          <w:rFonts w:hint="eastAsia" w:ascii="宋体" w:hAnsi="宋体" w:eastAsia="宋体" w:cs="宋体"/>
          <w:lang w:eastAsia="zh-CN"/>
        </w:rPr>
        <w:t xml:space="preserve">9.2.7  由于承包人原因在施工场地内及其毗邻地带造成的第三者人员伤亡和财产损失，由承包人负责赔偿。 </w:t>
      </w:r>
    </w:p>
    <w:p w14:paraId="19C9D10C">
      <w:pPr>
        <w:spacing w:line="360" w:lineRule="auto"/>
        <w:rPr>
          <w:rFonts w:ascii="宋体" w:hAnsi="宋体" w:eastAsia="宋体" w:cs="宋体"/>
          <w:lang w:eastAsia="zh-CN"/>
        </w:rPr>
      </w:pPr>
      <w:bookmarkStart w:id="842" w:name="_Toc511293880"/>
      <w:bookmarkStart w:id="843" w:name="_Toc511294151"/>
      <w:r>
        <w:rPr>
          <w:rFonts w:hint="eastAsia" w:ascii="宋体" w:hAnsi="宋体" w:eastAsia="宋体" w:cs="宋体"/>
          <w:lang w:eastAsia="zh-CN"/>
        </w:rPr>
        <w:t>9.3  治安保卫</w:t>
      </w:r>
      <w:bookmarkEnd w:id="842"/>
      <w:bookmarkEnd w:id="843"/>
      <w:r>
        <w:rPr>
          <w:rFonts w:hint="eastAsia" w:ascii="宋体" w:hAnsi="宋体" w:eastAsia="宋体" w:cs="宋体"/>
          <w:lang w:eastAsia="zh-CN"/>
        </w:rPr>
        <w:t xml:space="preserve"> </w:t>
      </w:r>
    </w:p>
    <w:p w14:paraId="6E657826">
      <w:pPr>
        <w:spacing w:line="360" w:lineRule="auto"/>
        <w:rPr>
          <w:rFonts w:ascii="宋体" w:hAnsi="宋体" w:eastAsia="宋体" w:cs="宋体"/>
          <w:lang w:eastAsia="zh-CN"/>
        </w:rPr>
      </w:pPr>
      <w:r>
        <w:rPr>
          <w:rFonts w:hint="eastAsia" w:ascii="宋体" w:hAnsi="宋体" w:eastAsia="宋体" w:cs="宋体"/>
          <w:lang w:eastAsia="zh-CN"/>
        </w:rPr>
        <w:t xml:space="preserve">9.3.1  发包人应与当地公安部门协商，在现场建立治安管理机构或联防组织，负责统一管理施工场地的治安保卫事项，履行合同工程的治安保卫职责。 </w:t>
      </w:r>
    </w:p>
    <w:p w14:paraId="45BF2BE3">
      <w:pPr>
        <w:spacing w:line="360" w:lineRule="auto"/>
        <w:rPr>
          <w:rFonts w:ascii="宋体" w:hAnsi="宋体" w:eastAsia="宋体" w:cs="宋体"/>
          <w:lang w:eastAsia="zh-CN"/>
        </w:rPr>
      </w:pPr>
      <w:r>
        <w:rPr>
          <w:rFonts w:hint="eastAsia" w:ascii="宋体" w:hAnsi="宋体" w:eastAsia="宋体" w:cs="宋体"/>
          <w:lang w:eastAsia="zh-CN"/>
        </w:rPr>
        <w:t xml:space="preserve">9.3.2  发包人和承包人除应协助现场治安管理机构或联防组织维护施工场地的社会治安外，还应做好包括生活区在内的各自管辖区的治安保卫工作。 </w:t>
      </w:r>
    </w:p>
    <w:p w14:paraId="52037476">
      <w:pPr>
        <w:spacing w:line="360" w:lineRule="auto"/>
        <w:rPr>
          <w:rFonts w:ascii="宋体" w:hAnsi="宋体" w:eastAsia="宋体" w:cs="宋体"/>
          <w:lang w:eastAsia="zh-CN"/>
        </w:rPr>
      </w:pPr>
      <w:r>
        <w:rPr>
          <w:rFonts w:hint="eastAsia" w:ascii="宋体" w:hAnsi="宋体" w:eastAsia="宋体" w:cs="宋体"/>
          <w:lang w:eastAsia="zh-CN"/>
        </w:rPr>
        <w:t xml:space="preserve">9.3.3  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见合同条款专用部分。 </w:t>
      </w:r>
    </w:p>
    <w:p w14:paraId="6997BA44">
      <w:pPr>
        <w:spacing w:line="360" w:lineRule="auto"/>
        <w:rPr>
          <w:rFonts w:ascii="宋体" w:hAnsi="宋体" w:eastAsia="宋体" w:cs="宋体"/>
          <w:lang w:eastAsia="zh-CN"/>
        </w:rPr>
      </w:pPr>
      <w:bookmarkStart w:id="844" w:name="_Toc511293881"/>
      <w:bookmarkStart w:id="845" w:name="_Toc511294152"/>
      <w:r>
        <w:rPr>
          <w:rFonts w:hint="eastAsia" w:ascii="宋体" w:hAnsi="宋体" w:eastAsia="宋体" w:cs="宋体"/>
          <w:lang w:eastAsia="zh-CN"/>
        </w:rPr>
        <w:t>9.4  环境保护</w:t>
      </w:r>
      <w:bookmarkEnd w:id="844"/>
      <w:bookmarkEnd w:id="845"/>
      <w:r>
        <w:rPr>
          <w:rFonts w:hint="eastAsia" w:ascii="宋体" w:hAnsi="宋体" w:eastAsia="宋体" w:cs="宋体"/>
          <w:lang w:eastAsia="zh-CN"/>
        </w:rPr>
        <w:t xml:space="preserve"> </w:t>
      </w:r>
    </w:p>
    <w:p w14:paraId="7CD1B604">
      <w:pPr>
        <w:spacing w:line="360" w:lineRule="auto"/>
        <w:rPr>
          <w:rFonts w:ascii="宋体" w:hAnsi="宋体" w:eastAsia="宋体" w:cs="宋体"/>
          <w:lang w:eastAsia="zh-CN"/>
        </w:rPr>
      </w:pPr>
      <w:r>
        <w:rPr>
          <w:rFonts w:hint="eastAsia" w:ascii="宋体" w:hAnsi="宋体" w:eastAsia="宋体" w:cs="宋体"/>
          <w:lang w:eastAsia="zh-CN"/>
        </w:rPr>
        <w:t xml:space="preserve">9.4.1  承包人在施工过程中，应遵守有关环境保护的法律，履行合同约定的环境保护义务，并对违反法律和合同约定义务所造成的环境破坏、人身伤害和财产损失负责。 </w:t>
      </w:r>
    </w:p>
    <w:p w14:paraId="1440A633">
      <w:pPr>
        <w:spacing w:line="360" w:lineRule="auto"/>
        <w:rPr>
          <w:rFonts w:ascii="宋体" w:hAnsi="宋体" w:eastAsia="宋体" w:cs="宋体"/>
          <w:lang w:eastAsia="zh-CN"/>
        </w:rPr>
      </w:pPr>
      <w:r>
        <w:rPr>
          <w:rFonts w:hint="eastAsia" w:ascii="宋体" w:hAnsi="宋体" w:eastAsia="宋体" w:cs="宋体"/>
          <w:lang w:eastAsia="zh-CN"/>
        </w:rPr>
        <w:t xml:space="preserve">9.4.2  承包人应建立施工扬尘治理、建筑垃圾、土方和砂石清运与消纳、严禁使用高排放非道路移动机械和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 </w:t>
      </w:r>
    </w:p>
    <w:p w14:paraId="0F34B7FD">
      <w:pPr>
        <w:spacing w:line="360" w:lineRule="auto"/>
        <w:rPr>
          <w:rFonts w:ascii="宋体" w:hAnsi="宋体" w:eastAsia="宋体" w:cs="宋体"/>
          <w:lang w:eastAsia="zh-CN"/>
        </w:rPr>
      </w:pPr>
      <w:r>
        <w:rPr>
          <w:rFonts w:hint="eastAsia" w:ascii="宋体" w:hAnsi="宋体" w:eastAsia="宋体" w:cs="宋体"/>
          <w:lang w:eastAsia="zh-CN"/>
        </w:rPr>
        <w:t xml:space="preserve">9.4.3  承包人应在合同条款专用部分约定的时限内，按合同约定的环保工作内容，编制施工环保措施计划（包含第9.4.2项约定的实施方案内容），报送监理人审批。监理人在合同条款专用部分约定的期限内给予批复。 </w:t>
      </w:r>
    </w:p>
    <w:p w14:paraId="748326FE">
      <w:pPr>
        <w:spacing w:line="360" w:lineRule="auto"/>
        <w:rPr>
          <w:rFonts w:ascii="宋体" w:hAnsi="宋体" w:eastAsia="宋体" w:cs="宋体"/>
          <w:lang w:eastAsia="zh-CN"/>
        </w:rPr>
      </w:pPr>
      <w:r>
        <w:rPr>
          <w:rFonts w:hint="eastAsia" w:ascii="宋体" w:hAnsi="宋体" w:eastAsia="宋体" w:cs="宋体"/>
          <w:lang w:eastAsia="zh-CN"/>
        </w:rPr>
        <w:t>9.4.4  承包人应按照批准的施工环保措施计划有序地堆放和处理施工废弃物，避免对</w:t>
      </w:r>
    </w:p>
    <w:p w14:paraId="667BE66B">
      <w:pPr>
        <w:spacing w:line="360" w:lineRule="auto"/>
        <w:rPr>
          <w:rFonts w:ascii="宋体" w:hAnsi="宋体" w:eastAsia="宋体" w:cs="宋体"/>
          <w:lang w:eastAsia="zh-CN"/>
        </w:rPr>
      </w:pPr>
      <w:r>
        <w:rPr>
          <w:rFonts w:hint="eastAsia" w:ascii="宋体" w:hAnsi="宋体" w:eastAsia="宋体" w:cs="宋体"/>
          <w:lang w:eastAsia="zh-CN"/>
        </w:rPr>
        <w:t xml:space="preserve">环境造成破坏。因承包人任意堆放或弃置施工废弃物造成妨碍公共交通、影响城镇居民生活、降低河流行洪能力、危及居民安全、破坏和污染环境，或者影响其他承包人施工等后果的，承包人应承担责任。 </w:t>
      </w:r>
    </w:p>
    <w:p w14:paraId="3A43725C">
      <w:pPr>
        <w:spacing w:line="360" w:lineRule="auto"/>
        <w:rPr>
          <w:rFonts w:ascii="宋体" w:hAnsi="宋体" w:eastAsia="宋体" w:cs="宋体"/>
          <w:lang w:eastAsia="zh-CN"/>
        </w:rPr>
      </w:pPr>
      <w:r>
        <w:rPr>
          <w:rFonts w:hint="eastAsia" w:ascii="宋体" w:hAnsi="宋体" w:eastAsia="宋体" w:cs="宋体"/>
          <w:lang w:eastAsia="zh-CN"/>
        </w:rPr>
        <w:t xml:space="preserve">9.4.5  承包人应按合同约定采取有效措施，对施工开挖的边坡及时进行支护,维护排水设施，并进行水土保护，避免因施工造成的地质灾害。 </w:t>
      </w:r>
    </w:p>
    <w:p w14:paraId="488704F2">
      <w:pPr>
        <w:spacing w:line="360" w:lineRule="auto"/>
        <w:rPr>
          <w:rFonts w:ascii="宋体" w:hAnsi="宋体" w:eastAsia="宋体" w:cs="宋体"/>
          <w:lang w:eastAsia="zh-CN"/>
        </w:rPr>
      </w:pPr>
      <w:r>
        <w:rPr>
          <w:rFonts w:hint="eastAsia" w:ascii="宋体" w:hAnsi="宋体" w:eastAsia="宋体" w:cs="宋体"/>
          <w:lang w:eastAsia="zh-CN"/>
        </w:rPr>
        <w:t xml:space="preserve">9.4.6  承包人应按国家饮用水管理标准定期对饮用水源进行监测，防止施工活动污染饮用水源。 </w:t>
      </w:r>
    </w:p>
    <w:p w14:paraId="7ED5835D">
      <w:pPr>
        <w:spacing w:line="360" w:lineRule="auto"/>
        <w:rPr>
          <w:rFonts w:ascii="宋体" w:hAnsi="宋体" w:eastAsia="宋体" w:cs="宋体"/>
          <w:lang w:eastAsia="zh-CN"/>
        </w:rPr>
      </w:pPr>
      <w:r>
        <w:rPr>
          <w:rFonts w:hint="eastAsia" w:ascii="宋体" w:hAnsi="宋体" w:eastAsia="宋体" w:cs="宋体"/>
          <w:lang w:eastAsia="zh-CN"/>
        </w:rPr>
        <w:t xml:space="preserve">9.4.7  承包人应按合同约定，加强对噪声、粉尘、废气、废水和废油的控制，努力降低噪声，控制粉尘和废气浓度，做好废水和废油的治理和排放。 </w:t>
      </w:r>
    </w:p>
    <w:p w14:paraId="601D839D">
      <w:pPr>
        <w:spacing w:line="360" w:lineRule="auto"/>
        <w:rPr>
          <w:rFonts w:ascii="宋体" w:hAnsi="宋体" w:eastAsia="宋体" w:cs="宋体"/>
          <w:lang w:eastAsia="zh-CN"/>
        </w:rPr>
      </w:pPr>
      <w:bookmarkStart w:id="846" w:name="_Toc511294153"/>
      <w:bookmarkStart w:id="847" w:name="_Toc511293882"/>
      <w:r>
        <w:rPr>
          <w:rFonts w:hint="eastAsia" w:ascii="宋体" w:hAnsi="宋体" w:eastAsia="宋体" w:cs="宋体"/>
          <w:lang w:eastAsia="zh-CN"/>
        </w:rPr>
        <w:t>9.5  事故处理</w:t>
      </w:r>
      <w:bookmarkEnd w:id="846"/>
      <w:bookmarkEnd w:id="847"/>
      <w:r>
        <w:rPr>
          <w:rFonts w:hint="eastAsia" w:ascii="宋体" w:hAnsi="宋体" w:eastAsia="宋体" w:cs="宋体"/>
          <w:lang w:eastAsia="zh-CN"/>
        </w:rPr>
        <w:t xml:space="preserve"> </w:t>
      </w:r>
    </w:p>
    <w:p w14:paraId="674F0F8D">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 </w:t>
      </w:r>
    </w:p>
    <w:p w14:paraId="5F14752E">
      <w:pPr>
        <w:spacing w:line="360" w:lineRule="auto"/>
        <w:rPr>
          <w:rFonts w:ascii="宋体" w:hAnsi="宋体" w:eastAsia="宋体" w:cs="宋体"/>
          <w:lang w:eastAsia="zh-CN"/>
        </w:rPr>
      </w:pPr>
      <w:r>
        <w:rPr>
          <w:rFonts w:hint="eastAsia" w:ascii="宋体" w:hAnsi="宋体" w:eastAsia="宋体" w:cs="宋体"/>
          <w:lang w:eastAsia="zh-CN"/>
        </w:rPr>
        <w:t>9.6施工现场安全生产标准化管理目标</w:t>
      </w:r>
    </w:p>
    <w:p w14:paraId="2EE04133">
      <w:pPr>
        <w:spacing w:line="360" w:lineRule="auto"/>
        <w:rPr>
          <w:rFonts w:ascii="宋体" w:hAnsi="宋体" w:eastAsia="宋体" w:cs="宋体"/>
          <w:lang w:eastAsia="zh-CN"/>
        </w:rPr>
      </w:pPr>
      <w:r>
        <w:rPr>
          <w:rFonts w:hint="eastAsia" w:ascii="宋体" w:hAnsi="宋体" w:eastAsia="宋体" w:cs="宋体"/>
          <w:lang w:eastAsia="zh-CN"/>
        </w:rPr>
        <w:t>9.6.1 由于承包人原因，施工现场安全生产标准化评定、认定等级未达到合同协议书中约定的管理目标等级但“达标（合格）”的，承包人应当向发包人支付未达到合同协议书中约定的安全生产标准管理目标等级的违约金或损失赔偿金。未达到合同协议书中约定的安全生产标准化管理目标等级的违约金或赔偿金的金额或者计算方法见合同条款专用部分。</w:t>
      </w:r>
    </w:p>
    <w:p w14:paraId="6C32130C">
      <w:pPr>
        <w:spacing w:line="360" w:lineRule="auto"/>
        <w:rPr>
          <w:rFonts w:ascii="宋体" w:hAnsi="宋体" w:eastAsia="宋体" w:cs="宋体"/>
          <w:lang w:eastAsia="zh-CN"/>
        </w:rPr>
      </w:pPr>
      <w:r>
        <w:rPr>
          <w:rFonts w:hint="eastAsia" w:ascii="宋体" w:hAnsi="宋体" w:eastAsia="宋体" w:cs="宋体"/>
          <w:lang w:eastAsia="zh-CN"/>
        </w:rPr>
        <w:t>9.6.2 发包人鼓励承包人提高施工现场安全生产标准化管理。施工现场安全生产标准化评定、认定等级高于合同协议书中约定的管理目标等级的，发包人可给与承包人创优奖励。发包人是否给与承包人创优及创优奖励金额或者计算方法见合同条款专用部分。</w:t>
      </w:r>
    </w:p>
    <w:p w14:paraId="5811A52D">
      <w:pPr>
        <w:spacing w:line="360" w:lineRule="auto"/>
        <w:rPr>
          <w:rFonts w:ascii="宋体" w:hAnsi="宋体" w:eastAsia="宋体" w:cs="宋体"/>
          <w:lang w:eastAsia="zh-CN"/>
        </w:rPr>
      </w:pPr>
      <w:r>
        <w:rPr>
          <w:rFonts w:hint="eastAsia" w:ascii="宋体" w:hAnsi="宋体" w:eastAsia="宋体" w:cs="宋体"/>
          <w:lang w:eastAsia="zh-CN"/>
        </w:rPr>
        <w:t xml:space="preserve"> 9.7特殊安全文明施工</w:t>
      </w:r>
    </w:p>
    <w:p w14:paraId="37FA85E4">
      <w:pPr>
        <w:spacing w:line="360" w:lineRule="auto"/>
        <w:rPr>
          <w:rFonts w:ascii="宋体" w:hAnsi="宋体" w:eastAsia="宋体" w:cs="宋体"/>
          <w:lang w:eastAsia="zh-CN"/>
        </w:rPr>
      </w:pPr>
      <w:r>
        <w:rPr>
          <w:rFonts w:hint="eastAsia" w:ascii="宋体" w:hAnsi="宋体" w:eastAsia="宋体" w:cs="宋体"/>
          <w:lang w:eastAsia="zh-CN"/>
        </w:rPr>
        <w:t>9.7.1 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见合同条款专用部分。</w:t>
      </w:r>
    </w:p>
    <w:p w14:paraId="20EF4DCD">
      <w:pPr>
        <w:spacing w:line="360" w:lineRule="auto"/>
        <w:rPr>
          <w:rFonts w:ascii="宋体" w:hAnsi="宋体" w:eastAsia="宋体" w:cs="宋体"/>
          <w:lang w:eastAsia="zh-CN"/>
        </w:rPr>
      </w:pPr>
      <w:r>
        <w:rPr>
          <w:rFonts w:hint="eastAsia" w:ascii="宋体" w:hAnsi="宋体" w:eastAsia="宋体" w:cs="宋体"/>
          <w:lang w:eastAsia="zh-CN"/>
        </w:rPr>
        <w:t>9.7.2  发包人鼓励承包人提高特殊安全文明施工要求。特殊安全文明施工要求高于合同约定的要求，发包人可给与承包人创优奖励。发包人是否给与承包人创优及创优奖励金额或者计算方法见合同条款专用部分。</w:t>
      </w:r>
    </w:p>
    <w:p w14:paraId="17888060">
      <w:pPr>
        <w:spacing w:line="360" w:lineRule="auto"/>
        <w:rPr>
          <w:rFonts w:ascii="宋体" w:hAnsi="宋体" w:eastAsia="宋体" w:cs="宋体"/>
          <w:lang w:eastAsia="zh-CN"/>
        </w:rPr>
      </w:pPr>
      <w:r>
        <w:rPr>
          <w:rFonts w:hint="eastAsia" w:ascii="宋体" w:hAnsi="宋体" w:eastAsia="宋体" w:cs="宋体"/>
          <w:lang w:eastAsia="zh-CN"/>
        </w:rPr>
        <w:t xml:space="preserve">10.进度计划 </w:t>
      </w:r>
    </w:p>
    <w:p w14:paraId="6AB1A09D">
      <w:pPr>
        <w:spacing w:line="360" w:lineRule="auto"/>
        <w:rPr>
          <w:rFonts w:ascii="宋体" w:hAnsi="宋体" w:eastAsia="宋体" w:cs="宋体"/>
          <w:lang w:eastAsia="zh-CN"/>
        </w:rPr>
      </w:pPr>
      <w:bookmarkStart w:id="848" w:name="_Toc511294154"/>
      <w:bookmarkStart w:id="849" w:name="_Toc511293883"/>
      <w:r>
        <w:rPr>
          <w:rFonts w:hint="eastAsia" w:ascii="宋体" w:hAnsi="宋体" w:eastAsia="宋体" w:cs="宋体"/>
          <w:lang w:eastAsia="zh-CN"/>
        </w:rPr>
        <w:t>10.1  合同进度计划</w:t>
      </w:r>
      <w:bookmarkEnd w:id="848"/>
      <w:bookmarkEnd w:id="849"/>
      <w:r>
        <w:rPr>
          <w:rFonts w:hint="eastAsia" w:ascii="宋体" w:hAnsi="宋体" w:eastAsia="宋体" w:cs="宋体"/>
          <w:lang w:eastAsia="zh-CN"/>
        </w:rPr>
        <w:t xml:space="preserve"> </w:t>
      </w:r>
    </w:p>
    <w:p w14:paraId="3B6B9AA6">
      <w:pPr>
        <w:spacing w:line="360" w:lineRule="auto"/>
        <w:rPr>
          <w:rFonts w:ascii="宋体" w:hAnsi="宋体" w:eastAsia="宋体" w:cs="宋体"/>
          <w:lang w:eastAsia="zh-CN"/>
        </w:rPr>
      </w:pPr>
      <w:r>
        <w:rPr>
          <w:rFonts w:hint="eastAsia" w:ascii="宋体" w:hAnsi="宋体" w:eastAsia="宋体" w:cs="宋体"/>
          <w:lang w:eastAsia="zh-CN"/>
        </w:rPr>
        <w:t xml:space="preserve">10.1.1  承包人应当在收到监理人按照第11.1.1项发出的开工通知后7天内，编制详细的施工进度计划和施工方案说明报送监理人，施工进度计划中应载明要求发包人组织设计人进行阶段性工程设计交底的时间。监理人应在收到承包人报送的相关进度计划和施工方案说明后14天内批复或提出修改意见，否则该进度计划视为已得到批准。经监理人批准的施工进度计划称合同进度计划，是控制合同工程进度的依据。承包人编制施工进度计划和施工方案说明的内容见合同条款专用部分。 </w:t>
      </w:r>
    </w:p>
    <w:p w14:paraId="2A18B68F">
      <w:pPr>
        <w:spacing w:line="360" w:lineRule="auto"/>
        <w:rPr>
          <w:rFonts w:ascii="宋体" w:hAnsi="宋体" w:eastAsia="宋体" w:cs="宋体"/>
          <w:lang w:eastAsia="zh-CN"/>
        </w:rPr>
      </w:pPr>
      <w:r>
        <w:rPr>
          <w:rFonts w:hint="eastAsia" w:ascii="宋体" w:hAnsi="宋体" w:eastAsia="宋体" w:cs="宋体"/>
          <w:lang w:eastAsia="zh-CN"/>
        </w:rPr>
        <w:t xml:space="preserve">10.1.2  承包人还应根据合同进度计划，按照第10.1.1项相关约定编制更为详细的分阶段或分项进度计划，报监理人审批。承包人编制分阶段或分项施工进度计划和施工方案说明的内容及时限要求见合同条款专用部分。 </w:t>
      </w:r>
    </w:p>
    <w:p w14:paraId="11206724">
      <w:pPr>
        <w:spacing w:line="360" w:lineRule="auto"/>
        <w:rPr>
          <w:rFonts w:ascii="宋体" w:hAnsi="宋体" w:eastAsia="宋体" w:cs="宋体"/>
          <w:lang w:eastAsia="zh-CN"/>
        </w:rPr>
      </w:pPr>
      <w:r>
        <w:rPr>
          <w:rFonts w:hint="eastAsia" w:ascii="宋体" w:hAnsi="宋体" w:eastAsia="宋体" w:cs="宋体"/>
          <w:lang w:eastAsia="zh-CN"/>
        </w:rPr>
        <w:t xml:space="preserve">10.1.3  群体工程中单位工程分期进行施工的，承包人应当按照发包人提供图纸及有关资料的时间要求，编制单位工程进度计划和施工方案说明。群体工程中有关编制进度计划和施工方案说明的要求见合同条款专用部分。 </w:t>
      </w:r>
    </w:p>
    <w:p w14:paraId="232185BB">
      <w:pPr>
        <w:spacing w:line="360" w:lineRule="auto"/>
        <w:rPr>
          <w:rFonts w:ascii="宋体" w:hAnsi="宋体" w:eastAsia="宋体" w:cs="宋体"/>
          <w:lang w:eastAsia="zh-CN"/>
        </w:rPr>
      </w:pPr>
      <w:bookmarkStart w:id="850" w:name="_Toc511293884"/>
      <w:bookmarkStart w:id="851" w:name="_Toc511294155"/>
      <w:r>
        <w:rPr>
          <w:rFonts w:hint="eastAsia" w:ascii="宋体" w:hAnsi="宋体" w:eastAsia="宋体" w:cs="宋体"/>
          <w:lang w:eastAsia="zh-CN"/>
        </w:rPr>
        <w:t>10.2  合同进度计划的修订</w:t>
      </w:r>
      <w:bookmarkEnd w:id="850"/>
      <w:bookmarkEnd w:id="851"/>
      <w:r>
        <w:rPr>
          <w:rFonts w:hint="eastAsia" w:ascii="宋体" w:hAnsi="宋体" w:eastAsia="宋体" w:cs="宋体"/>
          <w:lang w:eastAsia="zh-CN"/>
        </w:rPr>
        <w:t xml:space="preserve"> </w:t>
      </w:r>
    </w:p>
    <w:p w14:paraId="58140C82">
      <w:pPr>
        <w:spacing w:line="360" w:lineRule="auto"/>
        <w:rPr>
          <w:rFonts w:ascii="宋体" w:hAnsi="宋体" w:eastAsia="宋体" w:cs="宋体"/>
          <w:lang w:eastAsia="zh-CN"/>
        </w:rPr>
      </w:pPr>
      <w:r>
        <w:rPr>
          <w:rFonts w:hint="eastAsia" w:ascii="宋体" w:hAnsi="宋体" w:eastAsia="宋体" w:cs="宋体"/>
          <w:lang w:eastAsia="zh-CN"/>
        </w:rPr>
        <w:t xml:space="preserve">10.2.1  不论何种原因造成工程的实际进度与第10.1款的合同进度计划不符时，承包人可以在合同条款专用部分约定的期限内向监理人提交修订合同进度计划的申请报告，并附有关措施和相关资料，报监理人审批； </w:t>
      </w:r>
    </w:p>
    <w:p w14:paraId="1430AC33">
      <w:pPr>
        <w:spacing w:line="360" w:lineRule="auto"/>
        <w:rPr>
          <w:rFonts w:ascii="宋体" w:hAnsi="宋体" w:eastAsia="宋体" w:cs="宋体"/>
          <w:lang w:eastAsia="zh-CN"/>
        </w:rPr>
      </w:pPr>
      <w:r>
        <w:rPr>
          <w:rFonts w:hint="eastAsia" w:ascii="宋体" w:hAnsi="宋体" w:eastAsia="宋体" w:cs="宋体"/>
          <w:lang w:eastAsia="zh-CN"/>
        </w:rPr>
        <w:t>10.2.2  监理人也可以直接向承包人作出修订合同进度计划的指示，承包人应按该指示</w:t>
      </w:r>
    </w:p>
    <w:p w14:paraId="2A4AD341">
      <w:pPr>
        <w:spacing w:line="360" w:lineRule="auto"/>
        <w:rPr>
          <w:rFonts w:ascii="宋体" w:hAnsi="宋体" w:eastAsia="宋体" w:cs="宋体"/>
          <w:lang w:eastAsia="zh-CN"/>
        </w:rPr>
      </w:pPr>
      <w:r>
        <w:rPr>
          <w:rFonts w:hint="eastAsia" w:ascii="宋体" w:hAnsi="宋体" w:eastAsia="宋体" w:cs="宋体"/>
          <w:lang w:eastAsia="zh-CN"/>
        </w:rPr>
        <w:t xml:space="preserve">修订合同进度计划，报监理人审批。监理人应在合同条款专用部分约定的期限内完成批复。监理人在批复前应获得发包人同意。 </w:t>
      </w:r>
    </w:p>
    <w:p w14:paraId="13973D55">
      <w:pPr>
        <w:spacing w:line="360" w:lineRule="auto"/>
        <w:rPr>
          <w:rFonts w:ascii="宋体" w:hAnsi="宋体" w:eastAsia="宋体" w:cs="宋体"/>
          <w:lang w:eastAsia="zh-CN"/>
        </w:rPr>
      </w:pPr>
      <w:r>
        <w:rPr>
          <w:rFonts w:hint="eastAsia" w:ascii="宋体" w:hAnsi="宋体" w:eastAsia="宋体" w:cs="宋体"/>
          <w:lang w:eastAsia="zh-CN"/>
        </w:rPr>
        <w:t xml:space="preserve">11.开工和竣工 </w:t>
      </w:r>
    </w:p>
    <w:p w14:paraId="2C189BC1">
      <w:pPr>
        <w:spacing w:line="360" w:lineRule="auto"/>
        <w:rPr>
          <w:rFonts w:ascii="宋体" w:hAnsi="宋体" w:eastAsia="宋体" w:cs="宋体"/>
          <w:lang w:eastAsia="zh-CN"/>
        </w:rPr>
      </w:pPr>
      <w:bookmarkStart w:id="852" w:name="_Toc511293885"/>
      <w:bookmarkStart w:id="853" w:name="_Toc511294156"/>
      <w:r>
        <w:rPr>
          <w:rFonts w:hint="eastAsia" w:ascii="宋体" w:hAnsi="宋体" w:eastAsia="宋体" w:cs="宋体"/>
          <w:lang w:eastAsia="zh-CN"/>
        </w:rPr>
        <w:t>11.1  开工</w:t>
      </w:r>
      <w:bookmarkEnd w:id="852"/>
      <w:bookmarkEnd w:id="853"/>
      <w:r>
        <w:rPr>
          <w:rFonts w:hint="eastAsia" w:ascii="宋体" w:hAnsi="宋体" w:eastAsia="宋体" w:cs="宋体"/>
          <w:lang w:eastAsia="zh-CN"/>
        </w:rPr>
        <w:t xml:space="preserve"> </w:t>
      </w:r>
    </w:p>
    <w:p w14:paraId="471C0598">
      <w:pPr>
        <w:spacing w:line="360" w:lineRule="auto"/>
        <w:rPr>
          <w:rFonts w:ascii="宋体" w:hAnsi="宋体" w:eastAsia="宋体" w:cs="宋体"/>
          <w:lang w:eastAsia="zh-CN"/>
        </w:rPr>
      </w:pPr>
      <w:r>
        <w:rPr>
          <w:rFonts w:hint="eastAsia" w:ascii="宋体" w:hAnsi="宋体" w:eastAsia="宋体" w:cs="宋体"/>
          <w:lang w:eastAsia="zh-CN"/>
        </w:rPr>
        <w:t xml:space="preserve">11.1.1  监理人应在开工日期7天前向承包人发出开工通知。监理人在发出开工通知前应获得发包人同意。工期自监理人发出的开工通知中载明的开工日期起计算。承包人应在开工日期后尽快施工。 </w:t>
      </w:r>
    </w:p>
    <w:p w14:paraId="190F60D4">
      <w:pPr>
        <w:spacing w:line="360" w:lineRule="auto"/>
        <w:rPr>
          <w:rFonts w:ascii="宋体" w:hAnsi="宋体" w:eastAsia="宋体" w:cs="宋体"/>
          <w:lang w:eastAsia="zh-CN"/>
        </w:rPr>
      </w:pPr>
      <w:r>
        <w:rPr>
          <w:rFonts w:hint="eastAsia" w:ascii="宋体" w:hAnsi="宋体" w:eastAsia="宋体" w:cs="宋体"/>
          <w:lang w:eastAsia="zh-CN"/>
        </w:rPr>
        <w:t xml:space="preserve">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 </w:t>
      </w:r>
    </w:p>
    <w:p w14:paraId="7E0258DD">
      <w:pPr>
        <w:spacing w:line="360" w:lineRule="auto"/>
        <w:rPr>
          <w:rFonts w:ascii="宋体" w:hAnsi="宋体" w:eastAsia="宋体" w:cs="宋体"/>
          <w:lang w:eastAsia="zh-CN"/>
        </w:rPr>
      </w:pPr>
      <w:bookmarkStart w:id="854" w:name="_Toc511293886"/>
      <w:bookmarkStart w:id="855" w:name="_Toc511294157"/>
      <w:r>
        <w:rPr>
          <w:rFonts w:hint="eastAsia" w:ascii="宋体" w:hAnsi="宋体" w:eastAsia="宋体" w:cs="宋体"/>
          <w:lang w:eastAsia="zh-CN"/>
        </w:rPr>
        <w:t>11.2  竣工</w:t>
      </w:r>
      <w:bookmarkEnd w:id="854"/>
      <w:bookmarkEnd w:id="855"/>
      <w:r>
        <w:rPr>
          <w:rFonts w:hint="eastAsia" w:ascii="宋体" w:hAnsi="宋体" w:eastAsia="宋体" w:cs="宋体"/>
          <w:lang w:eastAsia="zh-CN"/>
        </w:rPr>
        <w:t xml:space="preserve"> </w:t>
      </w:r>
    </w:p>
    <w:p w14:paraId="3B180ACD">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承包人应在第 1.1.4.3 目约定的期限内完成合同工程。实际竣工日期在接收证书中写明。 </w:t>
      </w:r>
    </w:p>
    <w:p w14:paraId="24631F55">
      <w:pPr>
        <w:spacing w:line="360" w:lineRule="auto"/>
        <w:rPr>
          <w:rFonts w:ascii="宋体" w:hAnsi="宋体" w:eastAsia="宋体" w:cs="宋体"/>
          <w:lang w:eastAsia="zh-CN"/>
        </w:rPr>
      </w:pPr>
      <w:bookmarkStart w:id="856" w:name="_Toc511294158"/>
      <w:bookmarkStart w:id="857" w:name="_Toc511293887"/>
      <w:r>
        <w:rPr>
          <w:rFonts w:hint="eastAsia" w:ascii="宋体" w:hAnsi="宋体" w:eastAsia="宋体" w:cs="宋体"/>
          <w:lang w:eastAsia="zh-CN"/>
        </w:rPr>
        <w:t>11.3  发包人的工期延误</w:t>
      </w:r>
      <w:bookmarkEnd w:id="856"/>
      <w:bookmarkEnd w:id="857"/>
      <w:r>
        <w:rPr>
          <w:rFonts w:hint="eastAsia" w:ascii="宋体" w:hAnsi="宋体" w:eastAsia="宋体" w:cs="宋体"/>
          <w:lang w:eastAsia="zh-CN"/>
        </w:rPr>
        <w:t xml:space="preserve"> </w:t>
      </w:r>
    </w:p>
    <w:p w14:paraId="09B5D6F3">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在履行合同过程中，由于发包人的下列原因造成承包人关键线路工期延误的，承包人有权要求发包人延长工期和（或）增加费用，并支付合理利润。需要修订合同进度计划的，按照第10.2款的约定办理。 </w:t>
      </w:r>
    </w:p>
    <w:p w14:paraId="2003DE4E">
      <w:pPr>
        <w:pStyle w:val="106"/>
        <w:numPr>
          <w:ilvl w:val="0"/>
          <w:numId w:val="15"/>
        </w:numPr>
        <w:spacing w:line="360" w:lineRule="auto"/>
        <w:ind w:firstLineChars="0"/>
        <w:rPr>
          <w:rFonts w:ascii="宋体" w:hAnsi="宋体" w:eastAsia="宋体" w:cs="宋体"/>
          <w:lang w:eastAsia="zh-CN"/>
        </w:rPr>
      </w:pPr>
      <w:r>
        <w:rPr>
          <w:rFonts w:hint="eastAsia" w:ascii="宋体" w:hAnsi="宋体" w:eastAsia="宋体" w:cs="宋体"/>
          <w:lang w:eastAsia="zh-CN"/>
        </w:rPr>
        <w:t xml:space="preserve">增加合同工作内容； </w:t>
      </w:r>
    </w:p>
    <w:p w14:paraId="4F740863">
      <w:pPr>
        <w:pStyle w:val="106"/>
        <w:numPr>
          <w:ilvl w:val="0"/>
          <w:numId w:val="15"/>
        </w:numPr>
        <w:spacing w:line="360" w:lineRule="auto"/>
        <w:ind w:firstLineChars="0"/>
        <w:rPr>
          <w:rFonts w:ascii="宋体" w:hAnsi="宋体" w:eastAsia="宋体" w:cs="宋体"/>
          <w:lang w:eastAsia="zh-CN"/>
        </w:rPr>
      </w:pPr>
      <w:r>
        <w:rPr>
          <w:rFonts w:hint="eastAsia" w:ascii="宋体" w:hAnsi="宋体" w:eastAsia="宋体" w:cs="宋体"/>
          <w:lang w:eastAsia="zh-CN"/>
        </w:rPr>
        <w:t>改变合同中任何一项工作的质量要求或其他特性；</w:t>
      </w:r>
    </w:p>
    <w:p w14:paraId="3172A4B1">
      <w:pPr>
        <w:pStyle w:val="106"/>
        <w:numPr>
          <w:ilvl w:val="0"/>
          <w:numId w:val="15"/>
        </w:numPr>
        <w:spacing w:line="360" w:lineRule="auto"/>
        <w:ind w:firstLineChars="0"/>
        <w:rPr>
          <w:rFonts w:ascii="宋体" w:hAnsi="宋体" w:eastAsia="宋体" w:cs="宋体"/>
          <w:lang w:eastAsia="zh-CN"/>
        </w:rPr>
      </w:pPr>
      <w:r>
        <w:rPr>
          <w:rFonts w:hint="eastAsia" w:ascii="宋体" w:hAnsi="宋体" w:eastAsia="宋体" w:cs="宋体"/>
          <w:lang w:eastAsia="zh-CN"/>
        </w:rPr>
        <w:t>发包人迟延提供材料、工程设备或变更交货地点的；</w:t>
      </w:r>
    </w:p>
    <w:p w14:paraId="1624F544">
      <w:pPr>
        <w:pStyle w:val="106"/>
        <w:numPr>
          <w:ilvl w:val="0"/>
          <w:numId w:val="15"/>
        </w:numPr>
        <w:spacing w:line="360" w:lineRule="auto"/>
        <w:ind w:firstLineChars="0"/>
        <w:rPr>
          <w:rFonts w:ascii="宋体" w:hAnsi="宋体" w:eastAsia="宋体" w:cs="宋体"/>
          <w:lang w:eastAsia="zh-CN"/>
        </w:rPr>
      </w:pPr>
      <w:r>
        <w:rPr>
          <w:rFonts w:hint="eastAsia" w:ascii="宋体" w:hAnsi="宋体" w:eastAsia="宋体" w:cs="宋体"/>
          <w:lang w:eastAsia="zh-CN"/>
        </w:rPr>
        <w:t>因发包人原因导致的暂停施工；</w:t>
      </w:r>
    </w:p>
    <w:p w14:paraId="22E1F8D0">
      <w:pPr>
        <w:pStyle w:val="106"/>
        <w:numPr>
          <w:ilvl w:val="0"/>
          <w:numId w:val="15"/>
        </w:numPr>
        <w:spacing w:line="360" w:lineRule="auto"/>
        <w:ind w:firstLineChars="0"/>
        <w:rPr>
          <w:rFonts w:ascii="宋体" w:hAnsi="宋体" w:eastAsia="宋体" w:cs="宋体"/>
          <w:lang w:eastAsia="zh-CN"/>
        </w:rPr>
      </w:pPr>
      <w:r>
        <w:rPr>
          <w:rFonts w:hint="eastAsia" w:ascii="宋体" w:hAnsi="宋体" w:eastAsia="宋体" w:cs="宋体"/>
        </w:rPr>
        <w:t>提供图纸延误；</w:t>
      </w:r>
    </w:p>
    <w:p w14:paraId="52130580">
      <w:pPr>
        <w:pStyle w:val="106"/>
        <w:numPr>
          <w:ilvl w:val="0"/>
          <w:numId w:val="15"/>
        </w:numPr>
        <w:spacing w:line="360" w:lineRule="auto"/>
        <w:ind w:firstLineChars="0"/>
        <w:rPr>
          <w:rFonts w:ascii="宋体" w:hAnsi="宋体" w:eastAsia="宋体" w:cs="宋体"/>
          <w:lang w:eastAsia="zh-CN"/>
        </w:rPr>
      </w:pPr>
      <w:r>
        <w:rPr>
          <w:rFonts w:hint="eastAsia" w:ascii="宋体" w:hAnsi="宋体" w:eastAsia="宋体" w:cs="宋体"/>
          <w:lang w:eastAsia="zh-CN"/>
        </w:rPr>
        <w:t>未按合同约定及时支付预付款、进度款；</w:t>
      </w:r>
    </w:p>
    <w:p w14:paraId="3EC6D358">
      <w:pPr>
        <w:pStyle w:val="106"/>
        <w:numPr>
          <w:ilvl w:val="0"/>
          <w:numId w:val="15"/>
        </w:numPr>
        <w:spacing w:line="360" w:lineRule="auto"/>
        <w:ind w:firstLineChars="0"/>
        <w:rPr>
          <w:rFonts w:ascii="宋体" w:hAnsi="宋体" w:eastAsia="宋体" w:cs="宋体"/>
          <w:lang w:eastAsia="zh-CN"/>
        </w:rPr>
      </w:pPr>
      <w:r>
        <w:rPr>
          <w:rFonts w:hint="eastAsia" w:ascii="宋体" w:hAnsi="宋体" w:eastAsia="宋体" w:cs="宋体"/>
          <w:lang w:eastAsia="zh-CN"/>
        </w:rPr>
        <w:t>因发包人原因不能按照监理人发出的开工通知中载明的开工日期开工；</w:t>
      </w:r>
    </w:p>
    <w:p w14:paraId="6CA6BA9F">
      <w:pPr>
        <w:pStyle w:val="106"/>
        <w:numPr>
          <w:ilvl w:val="0"/>
          <w:numId w:val="15"/>
        </w:numPr>
        <w:spacing w:line="360" w:lineRule="auto"/>
        <w:ind w:firstLineChars="0"/>
        <w:rPr>
          <w:rFonts w:ascii="宋体" w:hAnsi="宋体" w:eastAsia="宋体" w:cs="宋体"/>
          <w:lang w:eastAsia="zh-CN"/>
        </w:rPr>
      </w:pPr>
      <w:r>
        <w:rPr>
          <w:rFonts w:hint="eastAsia" w:ascii="宋体" w:hAnsi="宋体" w:eastAsia="宋体" w:cs="宋体"/>
          <w:lang w:eastAsia="zh-CN"/>
        </w:rPr>
        <w:t>发包人造成工期延误的其他原因见合同条款专用部分。</w:t>
      </w:r>
    </w:p>
    <w:p w14:paraId="535255EE">
      <w:pPr>
        <w:spacing w:line="360" w:lineRule="auto"/>
        <w:rPr>
          <w:rFonts w:ascii="宋体" w:hAnsi="宋体" w:eastAsia="宋体" w:cs="宋体"/>
          <w:lang w:eastAsia="zh-CN"/>
        </w:rPr>
      </w:pPr>
      <w:bookmarkStart w:id="858" w:name="_Toc511294159"/>
      <w:bookmarkStart w:id="859" w:name="_Toc511293888"/>
      <w:r>
        <w:rPr>
          <w:rFonts w:hint="eastAsia" w:ascii="宋体" w:hAnsi="宋体" w:eastAsia="宋体" w:cs="宋体"/>
          <w:lang w:eastAsia="zh-CN"/>
        </w:rPr>
        <w:t>11.4  异常恶劣的气候条件</w:t>
      </w:r>
      <w:bookmarkEnd w:id="858"/>
      <w:bookmarkEnd w:id="859"/>
      <w:r>
        <w:rPr>
          <w:rFonts w:hint="eastAsia" w:ascii="宋体" w:hAnsi="宋体" w:eastAsia="宋体" w:cs="宋体"/>
          <w:lang w:eastAsia="zh-CN"/>
        </w:rPr>
        <w:t xml:space="preserve"> </w:t>
      </w:r>
    </w:p>
    <w:p w14:paraId="18B76228">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由于出现异常恶劣气候的条件导致工期延误的，承包人有权要求发包人延长工期。异常恶劣的气候条件的范围和标准见合同条款专用部分。 </w:t>
      </w:r>
    </w:p>
    <w:p w14:paraId="4E3D5213">
      <w:pPr>
        <w:spacing w:line="360" w:lineRule="auto"/>
        <w:rPr>
          <w:rFonts w:ascii="宋体" w:hAnsi="宋体" w:eastAsia="宋体" w:cs="宋体"/>
          <w:lang w:eastAsia="zh-CN"/>
        </w:rPr>
      </w:pPr>
      <w:bookmarkStart w:id="860" w:name="_Toc511294160"/>
      <w:bookmarkStart w:id="861" w:name="_Toc511293889"/>
      <w:r>
        <w:rPr>
          <w:rFonts w:hint="eastAsia" w:ascii="宋体" w:hAnsi="宋体" w:eastAsia="宋体" w:cs="宋体"/>
          <w:lang w:eastAsia="zh-CN"/>
        </w:rPr>
        <w:t>11.5  承包人的工期延误</w:t>
      </w:r>
      <w:bookmarkEnd w:id="860"/>
      <w:bookmarkEnd w:id="861"/>
      <w:r>
        <w:rPr>
          <w:rFonts w:hint="eastAsia" w:ascii="宋体" w:hAnsi="宋体" w:eastAsia="宋体" w:cs="宋体"/>
          <w:lang w:eastAsia="zh-CN"/>
        </w:rPr>
        <w:t xml:space="preserve"> </w:t>
      </w:r>
    </w:p>
    <w:p w14:paraId="21828FED">
      <w:pPr>
        <w:spacing w:line="360" w:lineRule="auto"/>
        <w:rPr>
          <w:rFonts w:ascii="宋体" w:hAnsi="宋体" w:eastAsia="宋体" w:cs="宋体"/>
          <w:lang w:eastAsia="zh-CN"/>
        </w:rPr>
      </w:pPr>
      <w:r>
        <w:rPr>
          <w:rFonts w:hint="eastAsia" w:ascii="宋体" w:hAnsi="宋体" w:eastAsia="宋体" w:cs="宋体"/>
          <w:lang w:eastAsia="zh-CN"/>
        </w:rPr>
        <w:t xml:space="preserve">11.5.1  由于承包人原因，未能按合同进度计划完成工作，或监理人认为承包人施工进度不能满足合同工期要求的，承包人应采取措施加快进度，并承担加快进度所增加的费用。 </w:t>
      </w:r>
    </w:p>
    <w:p w14:paraId="28D83597">
      <w:pPr>
        <w:spacing w:line="360" w:lineRule="auto"/>
        <w:rPr>
          <w:rFonts w:ascii="宋体" w:hAnsi="宋体" w:eastAsia="宋体" w:cs="宋体"/>
          <w:lang w:eastAsia="zh-CN"/>
        </w:rPr>
      </w:pPr>
      <w:r>
        <w:rPr>
          <w:rFonts w:hint="eastAsia" w:ascii="宋体" w:hAnsi="宋体" w:eastAsia="宋体" w:cs="宋体"/>
          <w:lang w:eastAsia="zh-CN"/>
        </w:rPr>
        <w:t xml:space="preserve">11.5.2  由于承包人原因造成不能按期竣工的，按照合同约定的竣工日期（包括按合同工期延长）后7天内，监理人应当按第23.4.1项的约定书面通知承包人,说明发包人有权得到逾期竣工违约金，逾期竣工违约金计算标准和计算方法见合同条款专用部分。但最终逾期竣工违约金的金额不应超过合同约定的逾期竣工违约金最高限额。逾期竣工违约金最高限额见合同条款专用部分。 </w:t>
      </w:r>
    </w:p>
    <w:p w14:paraId="098CA811">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监理人未在规定的期限内发出本款约定的书面通知的，发包人丧失主张逾期竣工违约金的权利。 </w:t>
      </w:r>
    </w:p>
    <w:p w14:paraId="74184F37">
      <w:pPr>
        <w:spacing w:line="360" w:lineRule="auto"/>
        <w:rPr>
          <w:rFonts w:ascii="宋体" w:hAnsi="宋体" w:eastAsia="宋体" w:cs="宋体"/>
          <w:lang w:eastAsia="zh-CN"/>
        </w:rPr>
      </w:pPr>
      <w:r>
        <w:rPr>
          <w:rFonts w:hint="eastAsia" w:ascii="宋体" w:hAnsi="宋体" w:eastAsia="宋体" w:cs="宋体"/>
          <w:lang w:eastAsia="zh-CN"/>
        </w:rPr>
        <w:t xml:space="preserve">11.5.3  承包人支付逾期竣工违约金，不免除承包人完成工程及修补缺陷的义务。 </w:t>
      </w:r>
    </w:p>
    <w:p w14:paraId="63A3F647">
      <w:pPr>
        <w:spacing w:line="360" w:lineRule="auto"/>
        <w:rPr>
          <w:rFonts w:ascii="宋体" w:hAnsi="宋体" w:eastAsia="宋体" w:cs="宋体"/>
          <w:lang w:eastAsia="zh-CN"/>
        </w:rPr>
      </w:pPr>
      <w:bookmarkStart w:id="862" w:name="_Toc511294161"/>
      <w:bookmarkStart w:id="863" w:name="_Toc511293890"/>
      <w:r>
        <w:rPr>
          <w:rFonts w:hint="eastAsia" w:ascii="宋体" w:hAnsi="宋体" w:eastAsia="宋体" w:cs="宋体"/>
          <w:lang w:eastAsia="zh-CN"/>
        </w:rPr>
        <w:t>11.6  工期提前</w:t>
      </w:r>
      <w:bookmarkEnd w:id="862"/>
      <w:bookmarkEnd w:id="863"/>
      <w:r>
        <w:rPr>
          <w:rFonts w:hint="eastAsia" w:ascii="宋体" w:hAnsi="宋体" w:eastAsia="宋体" w:cs="宋体"/>
          <w:lang w:eastAsia="zh-CN"/>
        </w:rPr>
        <w:t xml:space="preserve"> </w:t>
      </w:r>
    </w:p>
    <w:p w14:paraId="242BE107">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见合同条款专用部分。 </w:t>
      </w:r>
    </w:p>
    <w:p w14:paraId="42649E36">
      <w:pPr>
        <w:spacing w:line="360" w:lineRule="auto"/>
        <w:rPr>
          <w:rFonts w:ascii="宋体" w:hAnsi="宋体" w:eastAsia="宋体" w:cs="宋体"/>
          <w:lang w:eastAsia="zh-CN"/>
        </w:rPr>
      </w:pPr>
      <w:r>
        <w:rPr>
          <w:rFonts w:hint="eastAsia" w:ascii="宋体" w:hAnsi="宋体" w:eastAsia="宋体" w:cs="宋体"/>
          <w:lang w:eastAsia="zh-CN"/>
        </w:rPr>
        <w:t xml:space="preserve">12.暂停施工 </w:t>
      </w:r>
    </w:p>
    <w:p w14:paraId="29166133">
      <w:pPr>
        <w:spacing w:line="360" w:lineRule="auto"/>
        <w:rPr>
          <w:rFonts w:ascii="宋体" w:hAnsi="宋体" w:eastAsia="宋体" w:cs="宋体"/>
          <w:lang w:eastAsia="zh-CN"/>
        </w:rPr>
      </w:pPr>
      <w:bookmarkStart w:id="864" w:name="_Toc511294162"/>
      <w:bookmarkStart w:id="865" w:name="_Toc511293891"/>
      <w:r>
        <w:rPr>
          <w:rFonts w:hint="eastAsia" w:ascii="宋体" w:hAnsi="宋体" w:eastAsia="宋体" w:cs="宋体"/>
          <w:lang w:eastAsia="zh-CN"/>
        </w:rPr>
        <w:t>12.1  承包人暂停施工的责任</w:t>
      </w:r>
      <w:bookmarkEnd w:id="864"/>
      <w:bookmarkEnd w:id="865"/>
      <w:r>
        <w:rPr>
          <w:rFonts w:hint="eastAsia" w:ascii="宋体" w:hAnsi="宋体" w:eastAsia="宋体" w:cs="宋体"/>
          <w:lang w:eastAsia="zh-CN"/>
        </w:rPr>
        <w:t xml:space="preserve"> </w:t>
      </w:r>
    </w:p>
    <w:p w14:paraId="5A9BA45D">
      <w:pPr>
        <w:spacing w:line="360" w:lineRule="auto"/>
        <w:rPr>
          <w:rFonts w:ascii="宋体" w:hAnsi="宋体" w:eastAsia="宋体" w:cs="宋体"/>
          <w:lang w:eastAsia="zh-CN"/>
        </w:rPr>
      </w:pPr>
      <w:r>
        <w:rPr>
          <w:rFonts w:hint="eastAsia" w:ascii="宋体" w:hAnsi="宋体" w:eastAsia="宋体" w:cs="宋体"/>
          <w:lang w:eastAsia="zh-CN"/>
        </w:rPr>
        <w:t xml:space="preserve">因下列情形暂停施工增加的费用和（或）工期延误由承包人承担： </w:t>
      </w:r>
    </w:p>
    <w:p w14:paraId="1FFD5E87">
      <w:pPr>
        <w:spacing w:line="360" w:lineRule="auto"/>
        <w:rPr>
          <w:rFonts w:ascii="宋体" w:hAnsi="宋体" w:eastAsia="宋体" w:cs="宋体"/>
          <w:lang w:eastAsia="zh-CN"/>
        </w:rPr>
      </w:pPr>
      <w:r>
        <w:rPr>
          <w:rFonts w:hint="eastAsia" w:ascii="宋体" w:hAnsi="宋体" w:eastAsia="宋体" w:cs="宋体"/>
          <w:lang w:eastAsia="zh-CN"/>
        </w:rPr>
        <w:t xml:space="preserve">（1）承包人违约引起的暂停施工； </w:t>
      </w:r>
    </w:p>
    <w:p w14:paraId="5620133E">
      <w:pPr>
        <w:spacing w:line="360" w:lineRule="auto"/>
        <w:rPr>
          <w:rFonts w:ascii="宋体" w:hAnsi="宋体" w:eastAsia="宋体" w:cs="宋体"/>
          <w:lang w:eastAsia="zh-CN"/>
        </w:rPr>
      </w:pPr>
      <w:r>
        <w:rPr>
          <w:rFonts w:hint="eastAsia" w:ascii="宋体" w:hAnsi="宋体" w:eastAsia="宋体" w:cs="宋体"/>
          <w:lang w:eastAsia="zh-CN"/>
        </w:rPr>
        <w:t xml:space="preserve">（2）由于承包人原因为工程合理施工和安全保障所必需的暂停施工； </w:t>
      </w:r>
    </w:p>
    <w:p w14:paraId="278F2630">
      <w:pPr>
        <w:spacing w:line="360" w:lineRule="auto"/>
        <w:rPr>
          <w:rFonts w:ascii="宋体" w:hAnsi="宋体" w:eastAsia="宋体" w:cs="宋体"/>
          <w:lang w:eastAsia="zh-CN"/>
        </w:rPr>
      </w:pPr>
      <w:r>
        <w:rPr>
          <w:rFonts w:hint="eastAsia" w:ascii="宋体" w:hAnsi="宋体" w:eastAsia="宋体" w:cs="宋体"/>
          <w:lang w:eastAsia="zh-CN"/>
        </w:rPr>
        <w:t xml:space="preserve">（3）承包人擅自暂停施工； </w:t>
      </w:r>
    </w:p>
    <w:p w14:paraId="39B8D229">
      <w:pPr>
        <w:spacing w:line="360" w:lineRule="auto"/>
        <w:rPr>
          <w:rFonts w:ascii="宋体" w:hAnsi="宋体" w:eastAsia="宋体" w:cs="宋体"/>
          <w:lang w:eastAsia="zh-CN"/>
        </w:rPr>
      </w:pPr>
      <w:r>
        <w:rPr>
          <w:rFonts w:hint="eastAsia" w:ascii="宋体" w:hAnsi="宋体" w:eastAsia="宋体" w:cs="宋体"/>
          <w:lang w:eastAsia="zh-CN"/>
        </w:rPr>
        <w:t xml:space="preserve">（4）承包人承担暂停施工责任的其他情形见合同条款专用部分。 </w:t>
      </w:r>
    </w:p>
    <w:p w14:paraId="026336C1">
      <w:pPr>
        <w:spacing w:line="360" w:lineRule="auto"/>
        <w:rPr>
          <w:rFonts w:ascii="宋体" w:hAnsi="宋体" w:eastAsia="宋体" w:cs="宋体"/>
          <w:lang w:eastAsia="zh-CN"/>
        </w:rPr>
      </w:pPr>
      <w:bookmarkStart w:id="866" w:name="_Toc511293892"/>
      <w:bookmarkStart w:id="867" w:name="_Toc511294163"/>
      <w:r>
        <w:rPr>
          <w:rFonts w:hint="eastAsia" w:ascii="宋体" w:hAnsi="宋体" w:eastAsia="宋体" w:cs="宋体"/>
          <w:lang w:eastAsia="zh-CN"/>
        </w:rPr>
        <w:t>12.2  发包人暂停施工的责任</w:t>
      </w:r>
      <w:bookmarkEnd w:id="866"/>
      <w:bookmarkEnd w:id="867"/>
      <w:r>
        <w:rPr>
          <w:rFonts w:hint="eastAsia" w:ascii="宋体" w:hAnsi="宋体" w:eastAsia="宋体" w:cs="宋体"/>
          <w:lang w:eastAsia="zh-CN"/>
        </w:rPr>
        <w:t xml:space="preserve"> </w:t>
      </w:r>
    </w:p>
    <w:p w14:paraId="33384502">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由于发包人原因引起的暂停施工造成工期延误的，承包人有权要求发包人延长工期和（或）增加费用，并支付合理利润。 </w:t>
      </w:r>
    </w:p>
    <w:p w14:paraId="10BC2EBB">
      <w:pPr>
        <w:spacing w:line="360" w:lineRule="auto"/>
        <w:rPr>
          <w:rFonts w:ascii="宋体" w:hAnsi="宋体" w:eastAsia="宋体" w:cs="宋体"/>
          <w:lang w:eastAsia="zh-CN"/>
        </w:rPr>
      </w:pPr>
      <w:bookmarkStart w:id="868" w:name="_Toc511293893"/>
      <w:bookmarkStart w:id="869" w:name="_Toc511294164"/>
      <w:r>
        <w:rPr>
          <w:rFonts w:hint="eastAsia" w:ascii="宋体" w:hAnsi="宋体" w:eastAsia="宋体" w:cs="宋体"/>
          <w:lang w:eastAsia="zh-CN"/>
        </w:rPr>
        <w:t>12.3  监理人暂停施工指示</w:t>
      </w:r>
      <w:bookmarkEnd w:id="868"/>
      <w:bookmarkEnd w:id="869"/>
      <w:r>
        <w:rPr>
          <w:rFonts w:hint="eastAsia" w:ascii="宋体" w:hAnsi="宋体" w:eastAsia="宋体" w:cs="宋体"/>
          <w:lang w:eastAsia="zh-CN"/>
        </w:rPr>
        <w:t xml:space="preserve"> </w:t>
      </w:r>
    </w:p>
    <w:p w14:paraId="1E596D9D">
      <w:pPr>
        <w:spacing w:line="360" w:lineRule="auto"/>
        <w:rPr>
          <w:rFonts w:ascii="宋体" w:hAnsi="宋体" w:eastAsia="宋体" w:cs="宋体"/>
          <w:lang w:eastAsia="zh-CN"/>
        </w:rPr>
      </w:pPr>
      <w:r>
        <w:rPr>
          <w:rFonts w:hint="eastAsia" w:ascii="宋体" w:hAnsi="宋体" w:eastAsia="宋体" w:cs="宋体"/>
          <w:lang w:eastAsia="zh-CN"/>
        </w:rPr>
        <w:t xml:space="preserve">12.3.1  监理人认为有必要时，可向承包人作出暂停施工的指示，承包人应按监理人指示暂停施工。不论由于何种原因引起的暂停施工，暂停施工期间承包人应负责妥善保护工程并提供安全保障。 </w:t>
      </w:r>
    </w:p>
    <w:p w14:paraId="67CEE3EB">
      <w:pPr>
        <w:spacing w:line="360" w:lineRule="auto"/>
        <w:rPr>
          <w:rFonts w:ascii="宋体" w:hAnsi="宋体" w:eastAsia="宋体" w:cs="宋体"/>
          <w:lang w:eastAsia="zh-CN"/>
        </w:rPr>
      </w:pPr>
      <w:r>
        <w:rPr>
          <w:rFonts w:hint="eastAsia" w:ascii="宋体" w:hAnsi="宋体" w:eastAsia="宋体" w:cs="宋体"/>
          <w:lang w:eastAsia="zh-CN"/>
        </w:rPr>
        <w:t xml:space="preserve">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 </w:t>
      </w:r>
    </w:p>
    <w:p w14:paraId="070A9DF1">
      <w:pPr>
        <w:spacing w:line="360" w:lineRule="auto"/>
        <w:rPr>
          <w:rFonts w:ascii="宋体" w:hAnsi="宋体" w:eastAsia="宋体" w:cs="宋体"/>
          <w:lang w:eastAsia="zh-CN"/>
        </w:rPr>
      </w:pPr>
      <w:bookmarkStart w:id="870" w:name="_Toc511293894"/>
      <w:bookmarkStart w:id="871" w:name="_Toc511294165"/>
      <w:r>
        <w:rPr>
          <w:rFonts w:hint="eastAsia" w:ascii="宋体" w:hAnsi="宋体" w:eastAsia="宋体" w:cs="宋体"/>
          <w:lang w:eastAsia="zh-CN"/>
        </w:rPr>
        <w:t>12.4  暂停施工后的复工</w:t>
      </w:r>
      <w:bookmarkEnd w:id="870"/>
      <w:bookmarkEnd w:id="871"/>
      <w:r>
        <w:rPr>
          <w:rFonts w:hint="eastAsia" w:ascii="宋体" w:hAnsi="宋体" w:eastAsia="宋体" w:cs="宋体"/>
          <w:lang w:eastAsia="zh-CN"/>
        </w:rPr>
        <w:t xml:space="preserve"> </w:t>
      </w:r>
    </w:p>
    <w:p w14:paraId="3D59EBC9">
      <w:pPr>
        <w:spacing w:line="360" w:lineRule="auto"/>
        <w:rPr>
          <w:rFonts w:ascii="宋体" w:hAnsi="宋体" w:eastAsia="宋体" w:cs="宋体"/>
          <w:lang w:eastAsia="zh-CN"/>
        </w:rPr>
      </w:pPr>
      <w:r>
        <w:rPr>
          <w:rFonts w:hint="eastAsia" w:ascii="宋体" w:hAnsi="宋体" w:eastAsia="宋体" w:cs="宋体"/>
          <w:lang w:eastAsia="zh-CN"/>
        </w:rPr>
        <w:t xml:space="preserve">12.4.1  暂停施工后，监理人应与发包人和承包人协商，采取有效措施积极消除暂停施工的影响。当工程具备复工条件时，监理人应立即向承包人发出复工通知。承包人收到复工通知后，应在监理人指定的期限内复工。 </w:t>
      </w:r>
    </w:p>
    <w:p w14:paraId="3DB75191">
      <w:pPr>
        <w:spacing w:line="360" w:lineRule="auto"/>
        <w:rPr>
          <w:rFonts w:ascii="宋体" w:hAnsi="宋体" w:eastAsia="宋体" w:cs="宋体"/>
          <w:lang w:eastAsia="zh-CN"/>
        </w:rPr>
      </w:pPr>
      <w:r>
        <w:rPr>
          <w:rFonts w:hint="eastAsia" w:ascii="宋体" w:hAnsi="宋体" w:eastAsia="宋体" w:cs="宋体"/>
          <w:lang w:eastAsia="zh-CN"/>
        </w:rPr>
        <w:t xml:space="preserve">12.4.2  承包人无故拖延和拒绝复工的，由此增加的费用和工期延误由承包人承担；因发包人原因无法按时复工的，承包人有权要求发包人延长工期和（或）增加费用，并支付合理利润。 </w:t>
      </w:r>
    </w:p>
    <w:p w14:paraId="3CC0EF75">
      <w:pPr>
        <w:spacing w:line="360" w:lineRule="auto"/>
        <w:rPr>
          <w:rFonts w:ascii="宋体" w:hAnsi="宋体" w:eastAsia="宋体" w:cs="宋体"/>
          <w:lang w:eastAsia="zh-CN"/>
        </w:rPr>
      </w:pPr>
      <w:r>
        <w:rPr>
          <w:rFonts w:hint="eastAsia" w:ascii="宋体" w:hAnsi="宋体" w:eastAsia="宋体" w:cs="宋体"/>
          <w:lang w:eastAsia="zh-CN"/>
        </w:rPr>
        <w:t xml:space="preserve">12.4.3  根据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 </w:t>
      </w:r>
    </w:p>
    <w:p w14:paraId="50AF35CB">
      <w:pPr>
        <w:spacing w:line="360" w:lineRule="auto"/>
        <w:rPr>
          <w:rFonts w:ascii="宋体" w:hAnsi="宋体" w:eastAsia="宋体" w:cs="宋体"/>
          <w:lang w:eastAsia="zh-CN"/>
        </w:rPr>
      </w:pPr>
      <w:r>
        <w:rPr>
          <w:rFonts w:hint="eastAsia" w:ascii="宋体" w:hAnsi="宋体" w:eastAsia="宋体" w:cs="宋体"/>
          <w:lang w:eastAsia="zh-CN"/>
        </w:rPr>
        <w:t xml:space="preserve">12.4.4  暂停施工持续56天以上，按合同约定由承包人提供的材料和工程设备，由于暂停施工原因导致承包人在暂停施工前已经订购但被暂停运至施工现场的，发包人应按照承包人订购合同的约定支付相应的订购款项。 </w:t>
      </w:r>
    </w:p>
    <w:p w14:paraId="6CAF81DD">
      <w:pPr>
        <w:spacing w:line="360" w:lineRule="auto"/>
        <w:rPr>
          <w:rFonts w:ascii="宋体" w:hAnsi="宋体" w:eastAsia="宋体" w:cs="宋体"/>
          <w:lang w:eastAsia="zh-CN"/>
        </w:rPr>
      </w:pPr>
      <w:bookmarkStart w:id="872" w:name="_Toc511294166"/>
      <w:bookmarkStart w:id="873" w:name="_Toc511293895"/>
      <w:r>
        <w:rPr>
          <w:rFonts w:hint="eastAsia" w:ascii="宋体" w:hAnsi="宋体" w:eastAsia="宋体" w:cs="宋体"/>
          <w:lang w:eastAsia="zh-CN"/>
        </w:rPr>
        <w:t>12.5  暂停施工持续56天以上</w:t>
      </w:r>
      <w:bookmarkEnd w:id="872"/>
      <w:bookmarkEnd w:id="873"/>
      <w:r>
        <w:rPr>
          <w:rFonts w:hint="eastAsia" w:ascii="宋体" w:hAnsi="宋体" w:eastAsia="宋体" w:cs="宋体"/>
          <w:lang w:eastAsia="zh-CN"/>
        </w:rPr>
        <w:t xml:space="preserve"> </w:t>
      </w:r>
    </w:p>
    <w:p w14:paraId="2415E250">
      <w:pPr>
        <w:spacing w:line="360" w:lineRule="auto"/>
        <w:rPr>
          <w:rFonts w:ascii="宋体" w:hAnsi="宋体" w:eastAsia="宋体" w:cs="宋体"/>
          <w:lang w:eastAsia="zh-CN"/>
        </w:rPr>
      </w:pPr>
      <w:r>
        <w:rPr>
          <w:rFonts w:hint="eastAsia" w:ascii="宋体" w:hAnsi="宋体" w:eastAsia="宋体" w:cs="宋体"/>
          <w:lang w:eastAsia="zh-CN"/>
        </w:rPr>
        <w:t>12.5.1  监理人发出暂停施工指示后56天内未向承包人发出复工通知，除了该项停工属于第12.1款的情况外，承包人可向监理人提交书面通知，要求监理人在收到书面通知后</w:t>
      </w:r>
    </w:p>
    <w:p w14:paraId="7697E79B">
      <w:pPr>
        <w:spacing w:line="360" w:lineRule="auto"/>
        <w:rPr>
          <w:rFonts w:ascii="宋体" w:hAnsi="宋体" w:eastAsia="宋体" w:cs="宋体"/>
          <w:lang w:eastAsia="zh-CN"/>
        </w:rPr>
      </w:pPr>
      <w:r>
        <w:rPr>
          <w:rFonts w:hint="eastAsia" w:ascii="宋体" w:hAnsi="宋体" w:eastAsia="宋体" w:cs="宋体"/>
          <w:lang w:eastAsia="zh-CN"/>
        </w:rPr>
        <w:t xml:space="preserve">28 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 </w:t>
      </w:r>
    </w:p>
    <w:p w14:paraId="3C9D2FA0">
      <w:pPr>
        <w:spacing w:line="360" w:lineRule="auto"/>
        <w:rPr>
          <w:rFonts w:ascii="宋体" w:hAnsi="宋体" w:eastAsia="宋体" w:cs="宋体"/>
          <w:lang w:eastAsia="zh-CN"/>
        </w:rPr>
      </w:pPr>
      <w:r>
        <w:rPr>
          <w:rFonts w:hint="eastAsia" w:ascii="宋体" w:hAnsi="宋体" w:eastAsia="宋体" w:cs="宋体"/>
          <w:lang w:eastAsia="zh-CN"/>
        </w:rPr>
        <w:t xml:space="preserve">12.5.2  由于承包人责任引起的暂停施工，如承包人在收到监理人暂停施工指示后 56 天内不认真采取有效的复工措施，造成工期延误，可视为承包人违约，应按第22.1款的规定办理。 </w:t>
      </w:r>
    </w:p>
    <w:p w14:paraId="7538F2F3">
      <w:pPr>
        <w:spacing w:line="360" w:lineRule="auto"/>
        <w:rPr>
          <w:rFonts w:ascii="宋体" w:hAnsi="宋体" w:eastAsia="宋体" w:cs="宋体"/>
          <w:lang w:eastAsia="zh-CN"/>
        </w:rPr>
      </w:pPr>
      <w:r>
        <w:rPr>
          <w:rFonts w:hint="eastAsia" w:ascii="宋体" w:hAnsi="宋体" w:eastAsia="宋体" w:cs="宋体"/>
          <w:lang w:eastAsia="zh-CN"/>
        </w:rPr>
        <w:t xml:space="preserve">13.工程质量 </w:t>
      </w:r>
    </w:p>
    <w:p w14:paraId="24CD4EB6">
      <w:pPr>
        <w:spacing w:line="360" w:lineRule="auto"/>
        <w:rPr>
          <w:rFonts w:ascii="宋体" w:hAnsi="宋体" w:eastAsia="宋体" w:cs="宋体"/>
          <w:lang w:eastAsia="zh-CN"/>
        </w:rPr>
      </w:pPr>
      <w:bookmarkStart w:id="874" w:name="_Toc511293896"/>
      <w:bookmarkStart w:id="875" w:name="_Toc511294167"/>
      <w:r>
        <w:rPr>
          <w:rFonts w:hint="eastAsia" w:ascii="宋体" w:hAnsi="宋体" w:eastAsia="宋体" w:cs="宋体"/>
          <w:lang w:eastAsia="zh-CN"/>
        </w:rPr>
        <w:t>13.1  工程质量要求</w:t>
      </w:r>
      <w:bookmarkEnd w:id="874"/>
      <w:bookmarkEnd w:id="875"/>
      <w:r>
        <w:rPr>
          <w:rFonts w:hint="eastAsia" w:ascii="宋体" w:hAnsi="宋体" w:eastAsia="宋体" w:cs="宋体"/>
          <w:lang w:eastAsia="zh-CN"/>
        </w:rPr>
        <w:t xml:space="preserve"> </w:t>
      </w:r>
    </w:p>
    <w:p w14:paraId="73516E76">
      <w:pPr>
        <w:spacing w:line="360" w:lineRule="auto"/>
        <w:rPr>
          <w:rFonts w:ascii="宋体" w:hAnsi="宋体" w:eastAsia="宋体" w:cs="宋体"/>
          <w:lang w:eastAsia="zh-CN"/>
        </w:rPr>
      </w:pPr>
      <w:r>
        <w:rPr>
          <w:rFonts w:hint="eastAsia" w:ascii="宋体" w:hAnsi="宋体" w:eastAsia="宋体" w:cs="宋体"/>
          <w:lang w:eastAsia="zh-CN"/>
        </w:rPr>
        <w:t xml:space="preserve">13.1.1  工程质量验收按合同约定验收标准执行。 </w:t>
      </w:r>
    </w:p>
    <w:p w14:paraId="1607969C">
      <w:pPr>
        <w:spacing w:line="360" w:lineRule="auto"/>
        <w:rPr>
          <w:rFonts w:ascii="宋体" w:hAnsi="宋体" w:eastAsia="宋体" w:cs="宋体"/>
          <w:lang w:eastAsia="zh-CN"/>
        </w:rPr>
      </w:pPr>
      <w:r>
        <w:rPr>
          <w:rFonts w:hint="eastAsia" w:ascii="宋体" w:hAnsi="宋体" w:eastAsia="宋体" w:cs="宋体"/>
          <w:lang w:eastAsia="zh-CN"/>
        </w:rPr>
        <w:t xml:space="preserve">13.1.2  因承包人原因造成工程质量达不到合同约定验收标准的，监理人有权要求承包人返工直至符合合同要求为止，由此造成的费用增加和（或）工期延误由承包人承担。 </w:t>
      </w:r>
    </w:p>
    <w:p w14:paraId="3C29AE52">
      <w:pPr>
        <w:spacing w:line="360" w:lineRule="auto"/>
        <w:rPr>
          <w:rFonts w:ascii="宋体" w:hAnsi="宋体" w:eastAsia="宋体" w:cs="宋体"/>
          <w:lang w:eastAsia="zh-CN"/>
        </w:rPr>
      </w:pPr>
      <w:r>
        <w:rPr>
          <w:rFonts w:hint="eastAsia" w:ascii="宋体" w:hAnsi="宋体" w:eastAsia="宋体" w:cs="宋体"/>
          <w:lang w:eastAsia="zh-CN"/>
        </w:rPr>
        <w:t xml:space="preserve">13.1.3  因发包人原因造成工程质量达不到合同约定验收标准的，发包人应承担由于承包人返工造成的费用增加和（或）工期延误，并支付承包人合理利润。 </w:t>
      </w:r>
    </w:p>
    <w:p w14:paraId="26115CDA">
      <w:pPr>
        <w:spacing w:line="360" w:lineRule="auto"/>
        <w:rPr>
          <w:rFonts w:ascii="宋体" w:hAnsi="宋体" w:eastAsia="宋体" w:cs="宋体"/>
          <w:lang w:eastAsia="zh-CN"/>
        </w:rPr>
      </w:pPr>
      <w:bookmarkStart w:id="876" w:name="_Toc511293897"/>
      <w:bookmarkStart w:id="877" w:name="_Toc511294168"/>
      <w:r>
        <w:rPr>
          <w:rFonts w:hint="eastAsia" w:ascii="宋体" w:hAnsi="宋体" w:eastAsia="宋体" w:cs="宋体"/>
          <w:lang w:eastAsia="zh-CN"/>
        </w:rPr>
        <w:t>13.2  承包人的质量管理</w:t>
      </w:r>
      <w:bookmarkEnd w:id="876"/>
      <w:bookmarkEnd w:id="877"/>
      <w:r>
        <w:rPr>
          <w:rFonts w:hint="eastAsia" w:ascii="宋体" w:hAnsi="宋体" w:eastAsia="宋体" w:cs="宋体"/>
          <w:lang w:eastAsia="zh-CN"/>
        </w:rPr>
        <w:t xml:space="preserve"> </w:t>
      </w:r>
    </w:p>
    <w:p w14:paraId="0323E19A">
      <w:pPr>
        <w:spacing w:line="360" w:lineRule="auto"/>
        <w:rPr>
          <w:rFonts w:ascii="宋体" w:hAnsi="宋体" w:eastAsia="宋体" w:cs="宋体"/>
          <w:lang w:eastAsia="zh-CN"/>
        </w:rPr>
      </w:pPr>
      <w:r>
        <w:rPr>
          <w:rFonts w:hint="eastAsia" w:ascii="宋体" w:hAnsi="宋体" w:eastAsia="宋体" w:cs="宋体"/>
          <w:lang w:eastAsia="zh-CN"/>
        </w:rPr>
        <w:t xml:space="preserve">13.2.1  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 </w:t>
      </w:r>
    </w:p>
    <w:p w14:paraId="12929296">
      <w:pPr>
        <w:spacing w:line="360" w:lineRule="auto"/>
        <w:rPr>
          <w:rFonts w:ascii="宋体" w:hAnsi="宋体" w:eastAsia="宋体" w:cs="宋体"/>
          <w:lang w:eastAsia="zh-CN"/>
        </w:rPr>
      </w:pPr>
      <w:r>
        <w:rPr>
          <w:rFonts w:hint="eastAsia" w:ascii="宋体" w:hAnsi="宋体" w:eastAsia="宋体" w:cs="宋体"/>
          <w:lang w:eastAsia="zh-CN"/>
        </w:rPr>
        <w:t xml:space="preserve">13.2.2  承包人应加强对施工人员的质量教育和技术培训，定期考核施工人员的劳动技能，严格执行规范和操作规程。 </w:t>
      </w:r>
    </w:p>
    <w:p w14:paraId="1C0E3C78">
      <w:pPr>
        <w:spacing w:line="360" w:lineRule="auto"/>
        <w:rPr>
          <w:rFonts w:ascii="宋体" w:hAnsi="宋体" w:eastAsia="宋体" w:cs="宋体"/>
          <w:lang w:eastAsia="zh-CN"/>
        </w:rPr>
      </w:pPr>
      <w:bookmarkStart w:id="878" w:name="_Toc511293898"/>
      <w:bookmarkStart w:id="879" w:name="_Toc511294169"/>
      <w:r>
        <w:rPr>
          <w:rFonts w:hint="eastAsia" w:ascii="宋体" w:hAnsi="宋体" w:eastAsia="宋体" w:cs="宋体"/>
          <w:lang w:eastAsia="zh-CN"/>
        </w:rPr>
        <w:t>13.3  承包人的质量检查</w:t>
      </w:r>
      <w:bookmarkEnd w:id="878"/>
      <w:bookmarkEnd w:id="879"/>
      <w:r>
        <w:rPr>
          <w:rFonts w:hint="eastAsia" w:ascii="宋体" w:hAnsi="宋体" w:eastAsia="宋体" w:cs="宋体"/>
          <w:lang w:eastAsia="zh-CN"/>
        </w:rPr>
        <w:t xml:space="preserve"> </w:t>
      </w:r>
    </w:p>
    <w:p w14:paraId="69328602">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 </w:t>
      </w:r>
    </w:p>
    <w:p w14:paraId="524BE054">
      <w:pPr>
        <w:spacing w:line="360" w:lineRule="auto"/>
        <w:rPr>
          <w:rFonts w:ascii="宋体" w:hAnsi="宋体" w:eastAsia="宋体" w:cs="宋体"/>
          <w:lang w:eastAsia="zh-CN"/>
        </w:rPr>
      </w:pPr>
      <w:bookmarkStart w:id="880" w:name="_Toc511294170"/>
      <w:bookmarkStart w:id="881" w:name="_Toc511293899"/>
      <w:r>
        <w:rPr>
          <w:rFonts w:hint="eastAsia" w:ascii="宋体" w:hAnsi="宋体" w:eastAsia="宋体" w:cs="宋体"/>
          <w:lang w:eastAsia="zh-CN"/>
        </w:rPr>
        <w:t>13.4  监理人的质量检查</w:t>
      </w:r>
      <w:bookmarkEnd w:id="880"/>
      <w:bookmarkEnd w:id="881"/>
      <w:r>
        <w:rPr>
          <w:rFonts w:hint="eastAsia" w:ascii="宋体" w:hAnsi="宋体" w:eastAsia="宋体" w:cs="宋体"/>
          <w:lang w:eastAsia="zh-CN"/>
        </w:rPr>
        <w:t xml:space="preserve"> </w:t>
      </w:r>
    </w:p>
    <w:p w14:paraId="43E9DC0B">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见合同条款专用部分。 </w:t>
      </w:r>
    </w:p>
    <w:p w14:paraId="7DAB708D">
      <w:pPr>
        <w:spacing w:line="360" w:lineRule="auto"/>
        <w:rPr>
          <w:rFonts w:ascii="宋体" w:hAnsi="宋体" w:eastAsia="宋体" w:cs="宋体"/>
          <w:lang w:eastAsia="zh-CN"/>
        </w:rPr>
      </w:pPr>
      <w:bookmarkStart w:id="882" w:name="_Toc511293900"/>
      <w:bookmarkStart w:id="883" w:name="_Toc511294171"/>
      <w:r>
        <w:rPr>
          <w:rFonts w:hint="eastAsia" w:ascii="宋体" w:hAnsi="宋体" w:eastAsia="宋体" w:cs="宋体"/>
          <w:lang w:eastAsia="zh-CN"/>
        </w:rPr>
        <w:t>13.5  工程隐蔽部位覆盖前的检查</w:t>
      </w:r>
      <w:bookmarkEnd w:id="882"/>
      <w:bookmarkEnd w:id="883"/>
      <w:r>
        <w:rPr>
          <w:rFonts w:hint="eastAsia" w:ascii="宋体" w:hAnsi="宋体" w:eastAsia="宋体" w:cs="宋体"/>
          <w:lang w:eastAsia="zh-CN"/>
        </w:rPr>
        <w:t xml:space="preserve"> </w:t>
      </w:r>
    </w:p>
    <w:p w14:paraId="3509DA44">
      <w:pPr>
        <w:spacing w:line="360" w:lineRule="auto"/>
        <w:rPr>
          <w:rFonts w:ascii="宋体" w:hAnsi="宋体" w:eastAsia="宋体" w:cs="宋体"/>
          <w:lang w:eastAsia="zh-CN"/>
        </w:rPr>
      </w:pPr>
      <w:r>
        <w:rPr>
          <w:rFonts w:hint="eastAsia" w:ascii="宋体" w:hAnsi="宋体" w:eastAsia="宋体" w:cs="宋体"/>
          <w:lang w:eastAsia="zh-CN"/>
        </w:rPr>
        <w:t xml:space="preserve">13.5.1  通知监理人检查 </w:t>
      </w:r>
    </w:p>
    <w:p w14:paraId="56074515">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6FF2236C">
      <w:pPr>
        <w:spacing w:line="360" w:lineRule="auto"/>
        <w:rPr>
          <w:rFonts w:ascii="宋体" w:hAnsi="宋体" w:eastAsia="宋体" w:cs="宋体"/>
          <w:lang w:eastAsia="zh-CN"/>
        </w:rPr>
      </w:pPr>
      <w:r>
        <w:rPr>
          <w:rFonts w:hint="eastAsia" w:ascii="宋体" w:hAnsi="宋体" w:eastAsia="宋体" w:cs="宋体"/>
          <w:lang w:eastAsia="zh-CN"/>
        </w:rPr>
        <w:t xml:space="preserve">监理人对工程隐蔽部位进行检查的期限见合同条款专用部分。 </w:t>
      </w:r>
    </w:p>
    <w:p w14:paraId="3745DC8C">
      <w:pPr>
        <w:spacing w:line="360" w:lineRule="auto"/>
        <w:rPr>
          <w:rFonts w:ascii="宋体" w:hAnsi="宋体" w:eastAsia="宋体" w:cs="宋体"/>
          <w:lang w:eastAsia="zh-CN"/>
        </w:rPr>
      </w:pPr>
      <w:r>
        <w:rPr>
          <w:rFonts w:hint="eastAsia" w:ascii="宋体" w:hAnsi="宋体" w:eastAsia="宋体" w:cs="宋体"/>
          <w:lang w:eastAsia="zh-CN"/>
        </w:rPr>
        <w:t xml:space="preserve">13.5.2  监理人未到场检查 </w:t>
      </w:r>
    </w:p>
    <w:p w14:paraId="0E2AB982">
      <w:pPr>
        <w:spacing w:line="360" w:lineRule="auto"/>
        <w:rPr>
          <w:rFonts w:ascii="宋体" w:hAnsi="宋体" w:eastAsia="宋体" w:cs="宋体"/>
          <w:lang w:eastAsia="zh-CN"/>
        </w:rPr>
      </w:pPr>
      <w:r>
        <w:rPr>
          <w:rFonts w:hint="eastAsia" w:ascii="宋体" w:hAnsi="宋体" w:eastAsia="宋体" w:cs="宋体"/>
          <w:lang w:eastAsia="zh-CN"/>
        </w:rPr>
        <w:t xml:space="preserve">监理人未按第13.5.1项约定的时间进行检查的，除监理人另有指示外，承包人可自行完成覆盖工作，并作相应记录报送监理人，监理人应签字确认。监理人事后对检查记录有疑问的，可按第13.5.3项的约定重新检查。 </w:t>
      </w:r>
    </w:p>
    <w:p w14:paraId="181B711E">
      <w:pPr>
        <w:spacing w:line="360" w:lineRule="auto"/>
        <w:rPr>
          <w:rFonts w:ascii="宋体" w:hAnsi="宋体" w:eastAsia="宋体" w:cs="宋体"/>
          <w:lang w:eastAsia="zh-CN"/>
        </w:rPr>
      </w:pPr>
      <w:r>
        <w:rPr>
          <w:rFonts w:hint="eastAsia" w:ascii="宋体" w:hAnsi="宋体" w:eastAsia="宋体" w:cs="宋体"/>
          <w:lang w:eastAsia="zh-CN"/>
        </w:rPr>
        <w:t xml:space="preserve">13.5.3  监理人重新检查 </w:t>
      </w:r>
    </w:p>
    <w:p w14:paraId="6FCF4AE9">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 </w:t>
      </w:r>
    </w:p>
    <w:p w14:paraId="7E79C3A1">
      <w:pPr>
        <w:spacing w:line="360" w:lineRule="auto"/>
        <w:rPr>
          <w:rFonts w:ascii="宋体" w:hAnsi="宋体" w:eastAsia="宋体" w:cs="宋体"/>
          <w:lang w:eastAsia="zh-CN"/>
        </w:rPr>
      </w:pPr>
      <w:r>
        <w:rPr>
          <w:rFonts w:hint="eastAsia" w:ascii="宋体" w:hAnsi="宋体" w:eastAsia="宋体" w:cs="宋体"/>
          <w:lang w:eastAsia="zh-CN"/>
        </w:rPr>
        <w:t xml:space="preserve">13.5.4  承包人私自覆盖 </w:t>
      </w:r>
    </w:p>
    <w:p w14:paraId="2052E26A">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承包人未通知监理人到场检查，私自将工程隐蔽部位覆盖的，监理人有权指示承包人钻孔探测或揭开检查，由此增加的费用和（或）工期延误由承包人承担。 </w:t>
      </w:r>
    </w:p>
    <w:p w14:paraId="26C4B7C7">
      <w:pPr>
        <w:spacing w:line="360" w:lineRule="auto"/>
        <w:rPr>
          <w:rFonts w:ascii="宋体" w:hAnsi="宋体" w:eastAsia="宋体" w:cs="宋体"/>
          <w:lang w:eastAsia="zh-CN"/>
        </w:rPr>
      </w:pPr>
      <w:bookmarkStart w:id="884" w:name="_Toc511293901"/>
      <w:bookmarkStart w:id="885" w:name="_Toc511294172"/>
      <w:r>
        <w:rPr>
          <w:rFonts w:hint="eastAsia" w:ascii="宋体" w:hAnsi="宋体" w:eastAsia="宋体" w:cs="宋体"/>
          <w:lang w:eastAsia="zh-CN"/>
        </w:rPr>
        <w:t>13.6  清除不合格工程</w:t>
      </w:r>
      <w:bookmarkEnd w:id="884"/>
      <w:bookmarkEnd w:id="885"/>
      <w:r>
        <w:rPr>
          <w:rFonts w:hint="eastAsia" w:ascii="宋体" w:hAnsi="宋体" w:eastAsia="宋体" w:cs="宋体"/>
          <w:lang w:eastAsia="zh-CN"/>
        </w:rPr>
        <w:t xml:space="preserve"> </w:t>
      </w:r>
    </w:p>
    <w:p w14:paraId="63CB1AC4">
      <w:pPr>
        <w:spacing w:line="360" w:lineRule="auto"/>
        <w:rPr>
          <w:rFonts w:ascii="宋体" w:hAnsi="宋体" w:eastAsia="宋体" w:cs="宋体"/>
          <w:lang w:eastAsia="zh-CN"/>
        </w:rPr>
      </w:pPr>
      <w:r>
        <w:rPr>
          <w:rFonts w:hint="eastAsia" w:ascii="宋体" w:hAnsi="宋体" w:eastAsia="宋体" w:cs="宋体"/>
          <w:lang w:eastAsia="zh-CN"/>
        </w:rPr>
        <w:t>13.6.1  承包人使用不合格材料、工程设备，或采用不适当的施工工艺，或施工不当，</w:t>
      </w:r>
    </w:p>
    <w:p w14:paraId="01CECA5E">
      <w:pPr>
        <w:spacing w:line="360" w:lineRule="auto"/>
        <w:rPr>
          <w:rFonts w:ascii="宋体" w:hAnsi="宋体" w:eastAsia="宋体" w:cs="宋体"/>
          <w:lang w:eastAsia="zh-CN"/>
        </w:rPr>
      </w:pPr>
      <w:r>
        <w:rPr>
          <w:rFonts w:hint="eastAsia" w:ascii="宋体" w:hAnsi="宋体" w:eastAsia="宋体" w:cs="宋体"/>
          <w:lang w:eastAsia="zh-CN"/>
        </w:rPr>
        <w:t xml:space="preserve">造成工程不合格的，监理人可以随时发出指示，要求承包人立即采取措施进行补救，直至达到合同要求的质量标准，由此增加的费用和（或）工期延误由承包人承担。 </w:t>
      </w:r>
    </w:p>
    <w:p w14:paraId="7536209B">
      <w:pPr>
        <w:spacing w:line="360" w:lineRule="auto"/>
        <w:rPr>
          <w:rFonts w:ascii="宋体" w:hAnsi="宋体" w:eastAsia="宋体" w:cs="宋体"/>
          <w:lang w:eastAsia="zh-CN"/>
        </w:rPr>
      </w:pPr>
      <w:r>
        <w:rPr>
          <w:rFonts w:hint="eastAsia" w:ascii="宋体" w:hAnsi="宋体" w:eastAsia="宋体" w:cs="宋体"/>
          <w:lang w:eastAsia="zh-CN"/>
        </w:rPr>
        <w:t xml:space="preserve">13.6.2  由于发包人提供的材料或工程设备不合格造成的工程不合格，需要承包人采取措施补救的，发包人应承担由此增加的费用和（或）工期延误，并支付承包人合理利润。 </w:t>
      </w:r>
    </w:p>
    <w:p w14:paraId="388DDDD0">
      <w:pPr>
        <w:spacing w:line="360" w:lineRule="auto"/>
        <w:rPr>
          <w:rFonts w:ascii="宋体" w:hAnsi="宋体" w:eastAsia="宋体" w:cs="宋体"/>
          <w:lang w:eastAsia="zh-CN"/>
        </w:rPr>
      </w:pPr>
      <w:bookmarkStart w:id="886" w:name="_Toc511294173"/>
      <w:bookmarkStart w:id="887" w:name="_Toc511293902"/>
      <w:r>
        <w:rPr>
          <w:rFonts w:hint="eastAsia" w:ascii="宋体" w:hAnsi="宋体" w:eastAsia="宋体" w:cs="宋体"/>
          <w:lang w:eastAsia="zh-CN"/>
        </w:rPr>
        <w:t>13.7  质量争议</w:t>
      </w:r>
      <w:bookmarkEnd w:id="886"/>
      <w:bookmarkEnd w:id="887"/>
      <w:r>
        <w:rPr>
          <w:rFonts w:hint="eastAsia" w:ascii="宋体" w:hAnsi="宋体" w:eastAsia="宋体" w:cs="宋体"/>
          <w:lang w:eastAsia="zh-CN"/>
        </w:rPr>
        <w:t xml:space="preserve"> </w:t>
      </w:r>
    </w:p>
    <w:p w14:paraId="35833693">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和承包人对工程质量有争议的，除可按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 </w:t>
      </w:r>
    </w:p>
    <w:p w14:paraId="05D18038">
      <w:pPr>
        <w:spacing w:line="360" w:lineRule="auto"/>
        <w:rPr>
          <w:rFonts w:ascii="宋体" w:hAnsi="宋体" w:eastAsia="宋体" w:cs="宋体"/>
          <w:lang w:eastAsia="zh-CN"/>
        </w:rPr>
      </w:pPr>
      <w:r>
        <w:rPr>
          <w:rFonts w:hint="eastAsia" w:ascii="宋体" w:hAnsi="宋体" w:eastAsia="宋体" w:cs="宋体"/>
          <w:lang w:eastAsia="zh-CN"/>
        </w:rPr>
        <w:t xml:space="preserve">14.试验和检验 </w:t>
      </w:r>
    </w:p>
    <w:p w14:paraId="51309D83">
      <w:pPr>
        <w:spacing w:line="360" w:lineRule="auto"/>
        <w:rPr>
          <w:rFonts w:ascii="宋体" w:hAnsi="宋体" w:eastAsia="宋体" w:cs="宋体"/>
          <w:lang w:eastAsia="zh-CN"/>
        </w:rPr>
      </w:pPr>
      <w:bookmarkStart w:id="888" w:name="_Toc511293903"/>
      <w:bookmarkStart w:id="889" w:name="_Toc511294174"/>
      <w:r>
        <w:rPr>
          <w:rFonts w:hint="eastAsia" w:ascii="宋体" w:hAnsi="宋体" w:eastAsia="宋体" w:cs="宋体"/>
          <w:lang w:eastAsia="zh-CN"/>
        </w:rPr>
        <w:t>14.1  材料、工程设备和工程的试验和检验</w:t>
      </w:r>
      <w:bookmarkEnd w:id="888"/>
      <w:bookmarkEnd w:id="889"/>
      <w:r>
        <w:rPr>
          <w:rFonts w:hint="eastAsia" w:ascii="宋体" w:hAnsi="宋体" w:eastAsia="宋体" w:cs="宋体"/>
          <w:lang w:eastAsia="zh-CN"/>
        </w:rPr>
        <w:t xml:space="preserve"> </w:t>
      </w:r>
    </w:p>
    <w:p w14:paraId="51179B22">
      <w:pPr>
        <w:spacing w:line="360" w:lineRule="auto"/>
        <w:rPr>
          <w:rFonts w:ascii="宋体" w:hAnsi="宋体" w:eastAsia="宋体" w:cs="宋体"/>
          <w:lang w:eastAsia="zh-CN"/>
        </w:rPr>
      </w:pPr>
      <w:r>
        <w:rPr>
          <w:rFonts w:hint="eastAsia" w:ascii="宋体" w:hAnsi="宋体" w:eastAsia="宋体" w:cs="宋体"/>
          <w:lang w:eastAsia="zh-CN"/>
        </w:rPr>
        <w:t xml:space="preserve">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 </w:t>
      </w:r>
    </w:p>
    <w:p w14:paraId="11A73A73">
      <w:pPr>
        <w:spacing w:line="360" w:lineRule="auto"/>
        <w:rPr>
          <w:rFonts w:ascii="宋体" w:hAnsi="宋体" w:eastAsia="宋体" w:cs="宋体"/>
          <w:lang w:eastAsia="zh-CN"/>
        </w:rPr>
      </w:pPr>
      <w:r>
        <w:rPr>
          <w:rFonts w:hint="eastAsia" w:ascii="宋体" w:hAnsi="宋体" w:eastAsia="宋体" w:cs="宋体"/>
          <w:lang w:eastAsia="zh-CN"/>
        </w:rPr>
        <w:t xml:space="preserve">14.1.2  监理人未按合同约定派员参加试验和检验的，除监理人另有指示外，承包人可自行试验和检验，并应立即将试验和检验结果报送监理人，监理人应签字确认。 </w:t>
      </w:r>
    </w:p>
    <w:p w14:paraId="577A121C">
      <w:pPr>
        <w:spacing w:line="360" w:lineRule="auto"/>
        <w:rPr>
          <w:rFonts w:ascii="宋体" w:hAnsi="宋体" w:eastAsia="宋体" w:cs="宋体"/>
          <w:lang w:eastAsia="zh-CN"/>
        </w:rPr>
      </w:pPr>
      <w:r>
        <w:rPr>
          <w:rFonts w:hint="eastAsia" w:ascii="宋体" w:hAnsi="宋体" w:eastAsia="宋体" w:cs="宋体"/>
          <w:lang w:eastAsia="zh-CN"/>
        </w:rPr>
        <w:t xml:space="preserve">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 </w:t>
      </w:r>
    </w:p>
    <w:p w14:paraId="0115AF31">
      <w:pPr>
        <w:spacing w:line="360" w:lineRule="auto"/>
        <w:rPr>
          <w:rFonts w:ascii="宋体" w:hAnsi="宋体" w:eastAsia="宋体" w:cs="宋体"/>
          <w:lang w:eastAsia="zh-CN"/>
        </w:rPr>
      </w:pPr>
      <w:bookmarkStart w:id="890" w:name="_Toc511293904"/>
      <w:bookmarkStart w:id="891" w:name="_Toc511294175"/>
      <w:r>
        <w:rPr>
          <w:rFonts w:hint="eastAsia" w:ascii="宋体" w:hAnsi="宋体" w:eastAsia="宋体" w:cs="宋体"/>
          <w:lang w:eastAsia="zh-CN"/>
        </w:rPr>
        <w:t>14.2  现场材料试验</w:t>
      </w:r>
      <w:bookmarkEnd w:id="890"/>
      <w:bookmarkEnd w:id="891"/>
      <w:r>
        <w:rPr>
          <w:rFonts w:hint="eastAsia" w:ascii="宋体" w:hAnsi="宋体" w:eastAsia="宋体" w:cs="宋体"/>
          <w:lang w:eastAsia="zh-CN"/>
        </w:rPr>
        <w:t xml:space="preserve"> </w:t>
      </w:r>
    </w:p>
    <w:p w14:paraId="37EE974F">
      <w:pPr>
        <w:spacing w:line="360" w:lineRule="auto"/>
        <w:rPr>
          <w:rFonts w:ascii="宋体" w:hAnsi="宋体" w:eastAsia="宋体" w:cs="宋体"/>
          <w:lang w:eastAsia="zh-CN"/>
        </w:rPr>
      </w:pPr>
      <w:r>
        <w:rPr>
          <w:rFonts w:hint="eastAsia" w:ascii="宋体" w:hAnsi="宋体" w:eastAsia="宋体" w:cs="宋体"/>
          <w:lang w:eastAsia="zh-CN"/>
        </w:rPr>
        <w:t xml:space="preserve">14.2.1  承包人根据合同约定或监理人指示进行的现场材料试验，应由承包人提供试验场所、试验人员、试验设备器材以及其他必要的试验条件。 </w:t>
      </w:r>
    </w:p>
    <w:p w14:paraId="572F877E">
      <w:pPr>
        <w:spacing w:line="360" w:lineRule="auto"/>
        <w:rPr>
          <w:rFonts w:ascii="宋体" w:hAnsi="宋体" w:eastAsia="宋体" w:cs="宋体"/>
          <w:lang w:eastAsia="zh-CN"/>
        </w:rPr>
      </w:pPr>
      <w:r>
        <w:rPr>
          <w:rFonts w:hint="eastAsia" w:ascii="宋体" w:hAnsi="宋体" w:eastAsia="宋体" w:cs="宋体"/>
          <w:lang w:eastAsia="zh-CN"/>
        </w:rPr>
        <w:t xml:space="preserve">14.2.2  监理人在必要时可以使用承包人的试验场所、试验设备器材以及其他试验条件，进行以工程质量检查为目的的复核性材料试验，承包人应予以协助。 </w:t>
      </w:r>
    </w:p>
    <w:p w14:paraId="556DD140">
      <w:pPr>
        <w:spacing w:line="360" w:lineRule="auto"/>
        <w:rPr>
          <w:rFonts w:ascii="宋体" w:hAnsi="宋体" w:eastAsia="宋体" w:cs="宋体"/>
          <w:lang w:eastAsia="zh-CN"/>
        </w:rPr>
      </w:pPr>
      <w:bookmarkStart w:id="892" w:name="_Toc511293905"/>
      <w:bookmarkStart w:id="893" w:name="_Toc511294176"/>
      <w:r>
        <w:rPr>
          <w:rFonts w:hint="eastAsia" w:ascii="宋体" w:hAnsi="宋体" w:eastAsia="宋体" w:cs="宋体"/>
          <w:lang w:eastAsia="zh-CN"/>
        </w:rPr>
        <w:t>14.3  现场工艺试验</w:t>
      </w:r>
      <w:bookmarkEnd w:id="892"/>
      <w:bookmarkEnd w:id="893"/>
      <w:r>
        <w:rPr>
          <w:rFonts w:hint="eastAsia" w:ascii="宋体" w:hAnsi="宋体" w:eastAsia="宋体" w:cs="宋体"/>
          <w:lang w:eastAsia="zh-CN"/>
        </w:rPr>
        <w:t xml:space="preserve"> </w:t>
      </w:r>
    </w:p>
    <w:p w14:paraId="71017457">
      <w:pPr>
        <w:spacing w:line="360" w:lineRule="auto"/>
        <w:rPr>
          <w:rFonts w:ascii="宋体" w:hAnsi="宋体" w:eastAsia="宋体" w:cs="宋体"/>
          <w:lang w:eastAsia="zh-CN"/>
        </w:rPr>
      </w:pPr>
      <w:r>
        <w:rPr>
          <w:rFonts w:hint="eastAsia" w:ascii="宋体" w:hAnsi="宋体" w:eastAsia="宋体" w:cs="宋体"/>
          <w:lang w:eastAsia="zh-CN"/>
        </w:rPr>
        <w:t xml:space="preserve">承包人应按合同约定或监理人指示进行现场工艺试验。对大型的现场工艺试验，监理人认为必要时，应由承包人根据监理人提出的工艺试验要求，编制工艺试验措施计划，报送监理人审批。 </w:t>
      </w:r>
    </w:p>
    <w:p w14:paraId="5FD9239E">
      <w:pPr>
        <w:spacing w:line="360" w:lineRule="auto"/>
        <w:rPr>
          <w:rFonts w:ascii="宋体" w:hAnsi="宋体" w:eastAsia="宋体" w:cs="宋体"/>
          <w:lang w:eastAsia="zh-CN"/>
        </w:rPr>
      </w:pPr>
      <w:r>
        <w:rPr>
          <w:rFonts w:hint="eastAsia" w:ascii="宋体" w:hAnsi="宋体" w:eastAsia="宋体" w:cs="宋体"/>
          <w:lang w:eastAsia="zh-CN"/>
        </w:rPr>
        <w:t xml:space="preserve">15.变更 </w:t>
      </w:r>
    </w:p>
    <w:p w14:paraId="28384189">
      <w:pPr>
        <w:spacing w:line="360" w:lineRule="auto"/>
        <w:rPr>
          <w:rFonts w:ascii="宋体" w:hAnsi="宋体" w:eastAsia="宋体" w:cs="宋体"/>
          <w:lang w:eastAsia="zh-CN"/>
        </w:rPr>
      </w:pPr>
      <w:bookmarkStart w:id="894" w:name="_Toc511293906"/>
      <w:bookmarkStart w:id="895" w:name="_Toc511294177"/>
      <w:r>
        <w:rPr>
          <w:rFonts w:hint="eastAsia" w:ascii="宋体" w:hAnsi="宋体" w:eastAsia="宋体" w:cs="宋体"/>
          <w:lang w:eastAsia="zh-CN"/>
        </w:rPr>
        <w:t>15.1  变更的范围和内容</w:t>
      </w:r>
      <w:bookmarkEnd w:id="894"/>
      <w:bookmarkEnd w:id="895"/>
      <w:r>
        <w:rPr>
          <w:rFonts w:hint="eastAsia" w:ascii="宋体" w:hAnsi="宋体" w:eastAsia="宋体" w:cs="宋体"/>
          <w:lang w:eastAsia="zh-CN"/>
        </w:rPr>
        <w:t xml:space="preserve"> </w:t>
      </w:r>
    </w:p>
    <w:p w14:paraId="1136F625">
      <w:pPr>
        <w:spacing w:line="360" w:lineRule="auto"/>
        <w:rPr>
          <w:rFonts w:ascii="宋体" w:hAnsi="宋体" w:eastAsia="宋体" w:cs="宋体"/>
          <w:lang w:eastAsia="zh-CN"/>
        </w:rPr>
      </w:pPr>
      <w:r>
        <w:rPr>
          <w:rFonts w:hint="eastAsia" w:ascii="宋体" w:hAnsi="宋体" w:eastAsia="宋体" w:cs="宋体"/>
          <w:lang w:eastAsia="zh-CN"/>
        </w:rPr>
        <w:t xml:space="preserve">15.1.1  在履行合同中发生以下情形之一，应按照本条规定进行变更。 </w:t>
      </w:r>
    </w:p>
    <w:p w14:paraId="048DA6F6">
      <w:pPr>
        <w:spacing w:line="360" w:lineRule="auto"/>
        <w:rPr>
          <w:rFonts w:ascii="宋体" w:hAnsi="宋体" w:eastAsia="宋体" w:cs="宋体"/>
          <w:lang w:eastAsia="zh-CN"/>
        </w:rPr>
      </w:pPr>
      <w:r>
        <w:rPr>
          <w:rFonts w:hint="eastAsia" w:ascii="宋体" w:hAnsi="宋体" w:eastAsia="宋体" w:cs="宋体"/>
          <w:lang w:eastAsia="zh-CN"/>
        </w:rPr>
        <w:t xml:space="preserve">（1）取消合同中任何一项工作，但被取消的工作不能转由发包人或其他人实施； </w:t>
      </w:r>
    </w:p>
    <w:p w14:paraId="494AE3B7">
      <w:pPr>
        <w:spacing w:line="360" w:lineRule="auto"/>
        <w:rPr>
          <w:rFonts w:ascii="宋体" w:hAnsi="宋体" w:eastAsia="宋体" w:cs="宋体"/>
          <w:lang w:eastAsia="zh-CN"/>
        </w:rPr>
      </w:pPr>
      <w:r>
        <w:rPr>
          <w:rFonts w:hint="eastAsia" w:ascii="宋体" w:hAnsi="宋体" w:eastAsia="宋体" w:cs="宋体"/>
          <w:lang w:eastAsia="zh-CN"/>
        </w:rPr>
        <w:t xml:space="preserve">（2）改变合同中任何一项工作的质量或其他特性； </w:t>
      </w:r>
    </w:p>
    <w:p w14:paraId="590EADBC">
      <w:pPr>
        <w:spacing w:line="360" w:lineRule="auto"/>
        <w:rPr>
          <w:rFonts w:ascii="宋体" w:hAnsi="宋体" w:eastAsia="宋体" w:cs="宋体"/>
          <w:lang w:eastAsia="zh-CN"/>
        </w:rPr>
      </w:pPr>
      <w:r>
        <w:rPr>
          <w:rFonts w:hint="eastAsia" w:ascii="宋体" w:hAnsi="宋体" w:eastAsia="宋体" w:cs="宋体"/>
          <w:lang w:eastAsia="zh-CN"/>
        </w:rPr>
        <w:t xml:space="preserve">（3）改变合同工程的基线、标高、位置或尺寸； </w:t>
      </w:r>
    </w:p>
    <w:p w14:paraId="232BDF5D">
      <w:pPr>
        <w:spacing w:line="360" w:lineRule="auto"/>
        <w:rPr>
          <w:rFonts w:ascii="宋体" w:hAnsi="宋体" w:eastAsia="宋体" w:cs="宋体"/>
          <w:lang w:eastAsia="zh-CN"/>
        </w:rPr>
      </w:pPr>
      <w:r>
        <w:rPr>
          <w:rFonts w:hint="eastAsia" w:ascii="宋体" w:hAnsi="宋体" w:eastAsia="宋体" w:cs="宋体"/>
          <w:lang w:eastAsia="zh-CN"/>
        </w:rPr>
        <w:t xml:space="preserve">（4）改变合同中任何一项工作的施工时间或改变已批准的施工工艺或顺序； </w:t>
      </w:r>
    </w:p>
    <w:p w14:paraId="6524B2FF">
      <w:pPr>
        <w:spacing w:line="360" w:lineRule="auto"/>
        <w:rPr>
          <w:rFonts w:ascii="宋体" w:hAnsi="宋体" w:eastAsia="宋体" w:cs="宋体"/>
          <w:lang w:eastAsia="zh-CN"/>
        </w:rPr>
      </w:pPr>
      <w:r>
        <w:rPr>
          <w:rFonts w:hint="eastAsia" w:ascii="宋体" w:hAnsi="宋体" w:eastAsia="宋体" w:cs="宋体"/>
          <w:lang w:eastAsia="zh-CN"/>
        </w:rPr>
        <w:t xml:space="preserve">（5）为完成工程需要追加的额外工作； </w:t>
      </w:r>
    </w:p>
    <w:p w14:paraId="4BF3D407">
      <w:pPr>
        <w:spacing w:line="360" w:lineRule="auto"/>
        <w:rPr>
          <w:rFonts w:ascii="宋体" w:hAnsi="宋体" w:eastAsia="宋体" w:cs="宋体"/>
          <w:lang w:eastAsia="zh-CN"/>
        </w:rPr>
      </w:pPr>
      <w:r>
        <w:rPr>
          <w:rFonts w:hint="eastAsia" w:ascii="宋体" w:hAnsi="宋体" w:eastAsia="宋体" w:cs="宋体"/>
          <w:lang w:eastAsia="zh-CN"/>
        </w:rPr>
        <w:t xml:space="preserve">（6）变更的其他情形见合同条款专用部分。 </w:t>
      </w:r>
    </w:p>
    <w:p w14:paraId="6419DFE4">
      <w:pPr>
        <w:spacing w:line="360" w:lineRule="auto"/>
        <w:rPr>
          <w:rFonts w:ascii="宋体" w:hAnsi="宋体" w:eastAsia="宋体" w:cs="宋体"/>
          <w:lang w:eastAsia="zh-CN"/>
        </w:rPr>
      </w:pPr>
      <w:r>
        <w:rPr>
          <w:rFonts w:hint="eastAsia" w:ascii="宋体" w:hAnsi="宋体" w:eastAsia="宋体" w:cs="宋体"/>
          <w:lang w:eastAsia="zh-CN"/>
        </w:rPr>
        <w:t xml:space="preserve">15.1.2  发包人违背第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第 23.1（1）项的约定，在上述 28 天期限到期后的28天内，向监理人递交索赔意向通知书,并按第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 </w:t>
      </w:r>
    </w:p>
    <w:p w14:paraId="4FAF1561">
      <w:pPr>
        <w:spacing w:line="360" w:lineRule="auto"/>
        <w:rPr>
          <w:rFonts w:ascii="宋体" w:hAnsi="宋体" w:eastAsia="宋体" w:cs="宋体"/>
          <w:lang w:eastAsia="zh-CN"/>
        </w:rPr>
      </w:pPr>
      <w:bookmarkStart w:id="896" w:name="_Toc511293907"/>
      <w:bookmarkStart w:id="897" w:name="_Toc511294178"/>
      <w:r>
        <w:rPr>
          <w:rFonts w:hint="eastAsia" w:ascii="宋体" w:hAnsi="宋体" w:eastAsia="宋体" w:cs="宋体"/>
          <w:lang w:eastAsia="zh-CN"/>
        </w:rPr>
        <w:t>15.2  变更权</w:t>
      </w:r>
      <w:bookmarkEnd w:id="896"/>
      <w:bookmarkEnd w:id="897"/>
      <w:r>
        <w:rPr>
          <w:rFonts w:hint="eastAsia" w:ascii="宋体" w:hAnsi="宋体" w:eastAsia="宋体" w:cs="宋体"/>
          <w:lang w:eastAsia="zh-CN"/>
        </w:rPr>
        <w:t xml:space="preserve"> </w:t>
      </w:r>
    </w:p>
    <w:p w14:paraId="0AD40521">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在履行合同过程中，经发包人同意，监理人可按第15.3款约定的变更程序向承包人作出变更指示，承包人应遵照执行。没有监理人的变更指示，承包人不得擅自变更。 </w:t>
      </w:r>
    </w:p>
    <w:p w14:paraId="02D58322">
      <w:pPr>
        <w:spacing w:line="360" w:lineRule="auto"/>
        <w:rPr>
          <w:rFonts w:ascii="宋体" w:hAnsi="宋体" w:eastAsia="宋体" w:cs="宋体"/>
          <w:lang w:eastAsia="zh-CN"/>
        </w:rPr>
      </w:pPr>
      <w:bookmarkStart w:id="898" w:name="_Toc511293908"/>
      <w:bookmarkStart w:id="899" w:name="_Toc511294179"/>
      <w:r>
        <w:rPr>
          <w:rFonts w:hint="eastAsia" w:ascii="宋体" w:hAnsi="宋体" w:eastAsia="宋体" w:cs="宋体"/>
          <w:lang w:eastAsia="zh-CN"/>
        </w:rPr>
        <w:t>15.3  变更程序</w:t>
      </w:r>
      <w:bookmarkEnd w:id="898"/>
      <w:bookmarkEnd w:id="899"/>
      <w:r>
        <w:rPr>
          <w:rFonts w:hint="eastAsia" w:ascii="宋体" w:hAnsi="宋体" w:eastAsia="宋体" w:cs="宋体"/>
          <w:lang w:eastAsia="zh-CN"/>
        </w:rPr>
        <w:t xml:space="preserve"> </w:t>
      </w:r>
    </w:p>
    <w:p w14:paraId="54144F0C">
      <w:pPr>
        <w:spacing w:line="360" w:lineRule="auto"/>
        <w:rPr>
          <w:rFonts w:ascii="宋体" w:hAnsi="宋体" w:eastAsia="宋体" w:cs="宋体"/>
          <w:lang w:eastAsia="zh-CN"/>
        </w:rPr>
      </w:pPr>
      <w:r>
        <w:rPr>
          <w:rFonts w:hint="eastAsia" w:ascii="宋体" w:hAnsi="宋体" w:eastAsia="宋体" w:cs="宋体"/>
          <w:lang w:eastAsia="zh-CN"/>
        </w:rPr>
        <w:t xml:space="preserve">15.3.1  变更的提出 </w:t>
      </w:r>
    </w:p>
    <w:p w14:paraId="2A2952D5">
      <w:pPr>
        <w:spacing w:line="360" w:lineRule="auto"/>
        <w:ind w:firstLine="105" w:firstLineChars="50"/>
        <w:rPr>
          <w:rFonts w:ascii="宋体" w:hAnsi="宋体" w:eastAsia="宋体" w:cs="宋体"/>
          <w:lang w:eastAsia="zh-CN"/>
        </w:rPr>
      </w:pPr>
      <w:r>
        <w:rPr>
          <w:rFonts w:hint="eastAsia" w:ascii="宋体" w:hAnsi="宋体" w:eastAsia="宋体" w:cs="宋体"/>
          <w:lang w:eastAsia="zh-CN"/>
        </w:rPr>
        <w:t xml:space="preserve">（1）在合同履行过程中，可能发生第15.1.1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0E5B8D33">
      <w:pPr>
        <w:spacing w:line="360" w:lineRule="auto"/>
        <w:rPr>
          <w:rFonts w:ascii="宋体" w:hAnsi="宋体" w:eastAsia="宋体" w:cs="宋体"/>
          <w:lang w:eastAsia="zh-CN"/>
        </w:rPr>
      </w:pPr>
      <w:r>
        <w:rPr>
          <w:rFonts w:hint="eastAsia" w:ascii="宋体" w:hAnsi="宋体" w:eastAsia="宋体" w:cs="宋体"/>
          <w:lang w:eastAsia="zh-CN"/>
        </w:rPr>
        <w:t xml:space="preserve">（2）在合同履行过程中，发生第15.1.1项约定情形的，监理人应按照第15.3.3项约定向承包人发出变更指示。 </w:t>
      </w:r>
    </w:p>
    <w:p w14:paraId="69448C81">
      <w:pPr>
        <w:spacing w:line="360" w:lineRule="auto"/>
        <w:rPr>
          <w:rFonts w:ascii="宋体" w:hAnsi="宋体" w:eastAsia="宋体" w:cs="宋体"/>
          <w:lang w:eastAsia="zh-CN"/>
        </w:rPr>
      </w:pPr>
      <w:r>
        <w:rPr>
          <w:rFonts w:hint="eastAsia" w:ascii="宋体" w:hAnsi="宋体" w:eastAsia="宋体" w:cs="宋体"/>
          <w:lang w:eastAsia="zh-CN"/>
        </w:rPr>
        <w:t xml:space="preserve">（3）承包人收到监理人按合同约定发出的图纸和文件，经检查认为其中存在第 15.1.1 项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 </w:t>
      </w:r>
    </w:p>
    <w:p w14:paraId="05CF2CCC">
      <w:pPr>
        <w:spacing w:line="360" w:lineRule="auto"/>
        <w:rPr>
          <w:rFonts w:ascii="宋体" w:hAnsi="宋体" w:eastAsia="宋体" w:cs="宋体"/>
          <w:lang w:eastAsia="zh-CN"/>
        </w:rPr>
      </w:pPr>
      <w:r>
        <w:rPr>
          <w:rFonts w:hint="eastAsia" w:ascii="宋体" w:hAnsi="宋体" w:eastAsia="宋体" w:cs="宋体"/>
          <w:lang w:eastAsia="zh-CN"/>
        </w:rPr>
        <w:t xml:space="preserve">（4）若承包人收到监理人的变更意向书后认为难以实施此项变更，应立即通知监理人，说明原因并附详细依据。监理人与承包人和发包人协商后确定撤销、改变或不改变原变更意向书。 </w:t>
      </w:r>
    </w:p>
    <w:p w14:paraId="77F65237">
      <w:pPr>
        <w:spacing w:line="360" w:lineRule="auto"/>
        <w:rPr>
          <w:rFonts w:ascii="宋体" w:hAnsi="宋体" w:eastAsia="宋体" w:cs="宋体"/>
          <w:lang w:eastAsia="zh-CN"/>
        </w:rPr>
      </w:pPr>
      <w:r>
        <w:rPr>
          <w:rFonts w:hint="eastAsia" w:ascii="宋体" w:hAnsi="宋体" w:eastAsia="宋体" w:cs="宋体"/>
          <w:lang w:eastAsia="zh-CN"/>
        </w:rPr>
        <w:t xml:space="preserve">15.3.2  变更估价 </w:t>
      </w:r>
    </w:p>
    <w:p w14:paraId="3FBD0C74">
      <w:pPr>
        <w:spacing w:line="360" w:lineRule="auto"/>
        <w:rPr>
          <w:rFonts w:ascii="宋体" w:hAnsi="宋体" w:eastAsia="宋体" w:cs="宋体"/>
          <w:lang w:eastAsia="zh-CN"/>
        </w:rPr>
      </w:pPr>
      <w:r>
        <w:rPr>
          <w:rFonts w:hint="eastAsia" w:ascii="宋体" w:hAnsi="宋体" w:eastAsia="宋体" w:cs="宋体"/>
          <w:lang w:eastAsia="zh-CN"/>
        </w:rPr>
        <w:t xml:space="preserve">（1）除合同条款专用部分对期限另有约定外，承包人应在收到变更指示或变更意向书后的14天内，向监理人提交变更报价书，报价内容应根据第15.4款约定的估价原则，详细开列变更工作的价格组成及其依据，并附必要的施工方法说明和有关图纸。承包人提交变更报价书的期限见合同条款专用部分。 </w:t>
      </w:r>
    </w:p>
    <w:p w14:paraId="52939D60">
      <w:pPr>
        <w:spacing w:line="360" w:lineRule="auto"/>
        <w:rPr>
          <w:rFonts w:ascii="宋体" w:hAnsi="宋体" w:eastAsia="宋体" w:cs="宋体"/>
          <w:lang w:eastAsia="zh-CN"/>
        </w:rPr>
      </w:pPr>
      <w:r>
        <w:rPr>
          <w:rFonts w:hint="eastAsia" w:ascii="宋体" w:hAnsi="宋体" w:eastAsia="宋体" w:cs="宋体"/>
          <w:lang w:eastAsia="zh-CN"/>
        </w:rPr>
        <w:t xml:space="preserve">（2）变更工作影响工期的，承包人应提出调整工期的具体细节。监理人认为有必要时，可要求承包人提交要求提前或延长工期的施工进度计划，及相应施工措施等详细资料。 </w:t>
      </w:r>
    </w:p>
    <w:p w14:paraId="0409408C">
      <w:pPr>
        <w:spacing w:line="360" w:lineRule="auto"/>
        <w:rPr>
          <w:rFonts w:ascii="宋体" w:hAnsi="宋体" w:eastAsia="宋体" w:cs="宋体"/>
          <w:lang w:eastAsia="zh-CN"/>
        </w:rPr>
      </w:pPr>
      <w:r>
        <w:rPr>
          <w:rFonts w:hint="eastAsia" w:ascii="宋体" w:hAnsi="宋体" w:eastAsia="宋体" w:cs="宋体"/>
          <w:lang w:eastAsia="zh-CN"/>
        </w:rPr>
        <w:t xml:space="preserve">（3）除合同条款专用部分对期限另有约定外，监理人收到承包人变更报价书后的14天内，根据第15.4款约定的估价原则，按照第3.5款商定或确定变更价格。监理人商定或确定变更价格的期限见合同条款专用部分。 </w:t>
      </w:r>
    </w:p>
    <w:p w14:paraId="71FDF813">
      <w:pPr>
        <w:spacing w:line="360" w:lineRule="auto"/>
        <w:rPr>
          <w:rFonts w:ascii="宋体" w:hAnsi="宋体" w:eastAsia="宋体" w:cs="宋体"/>
          <w:lang w:eastAsia="zh-CN"/>
        </w:rPr>
      </w:pPr>
      <w:r>
        <w:rPr>
          <w:rFonts w:hint="eastAsia" w:ascii="宋体" w:hAnsi="宋体" w:eastAsia="宋体" w:cs="宋体"/>
          <w:lang w:eastAsia="zh-CN"/>
        </w:rPr>
        <w:t xml:space="preserve">（4）收到变更指示后，如承包人未在规定的期限内提交变更报价书的，监理人可自行决定是否调整合同价款以及如果监理人决定调整合同价款时，相应调整的具体金额。 </w:t>
      </w:r>
    </w:p>
    <w:p w14:paraId="3722DA1A">
      <w:pPr>
        <w:spacing w:line="360" w:lineRule="auto"/>
        <w:rPr>
          <w:rFonts w:ascii="宋体" w:hAnsi="宋体" w:eastAsia="宋体" w:cs="宋体"/>
          <w:lang w:eastAsia="zh-CN"/>
        </w:rPr>
      </w:pPr>
      <w:r>
        <w:rPr>
          <w:rFonts w:hint="eastAsia" w:ascii="宋体" w:hAnsi="宋体" w:eastAsia="宋体" w:cs="宋体"/>
          <w:lang w:eastAsia="zh-CN"/>
        </w:rPr>
        <w:t xml:space="preserve">15.3.3  变更指示 </w:t>
      </w:r>
    </w:p>
    <w:p w14:paraId="4F15F22F">
      <w:pPr>
        <w:spacing w:line="360" w:lineRule="auto"/>
        <w:rPr>
          <w:rFonts w:ascii="宋体" w:hAnsi="宋体" w:eastAsia="宋体" w:cs="宋体"/>
          <w:lang w:eastAsia="zh-CN"/>
        </w:rPr>
      </w:pPr>
      <w:r>
        <w:rPr>
          <w:rFonts w:hint="eastAsia" w:ascii="宋体" w:hAnsi="宋体" w:eastAsia="宋体" w:cs="宋体"/>
          <w:lang w:eastAsia="zh-CN"/>
        </w:rPr>
        <w:t xml:space="preserve">（1）变更指示只能由监理人发出。 </w:t>
      </w:r>
    </w:p>
    <w:p w14:paraId="17F8CDA4">
      <w:pPr>
        <w:spacing w:line="360" w:lineRule="auto"/>
        <w:rPr>
          <w:rFonts w:ascii="宋体" w:hAnsi="宋体" w:eastAsia="宋体" w:cs="宋体"/>
          <w:lang w:eastAsia="zh-CN"/>
        </w:rPr>
      </w:pPr>
      <w:r>
        <w:rPr>
          <w:rFonts w:hint="eastAsia" w:ascii="宋体" w:hAnsi="宋体" w:eastAsia="宋体" w:cs="宋体"/>
          <w:lang w:eastAsia="zh-CN"/>
        </w:rPr>
        <w:t xml:space="preserve">（2）变更指示应说明变更的目的、范围、变更内容以及变更的工程量及其进度和技术要求，并附有关图纸和文件。承包人收到变更指示后，应按变更指示进行变更工作。 </w:t>
      </w:r>
    </w:p>
    <w:p w14:paraId="3EF5DAE1">
      <w:pPr>
        <w:spacing w:line="360" w:lineRule="auto"/>
        <w:rPr>
          <w:rFonts w:ascii="宋体" w:hAnsi="宋体" w:eastAsia="宋体" w:cs="宋体"/>
          <w:lang w:eastAsia="zh-CN"/>
        </w:rPr>
      </w:pPr>
      <w:bookmarkStart w:id="900" w:name="_Toc511293909"/>
      <w:bookmarkStart w:id="901" w:name="_Toc511294180"/>
      <w:r>
        <w:rPr>
          <w:rFonts w:hint="eastAsia" w:ascii="宋体" w:hAnsi="宋体" w:eastAsia="宋体" w:cs="宋体"/>
          <w:lang w:eastAsia="zh-CN"/>
        </w:rPr>
        <w:t>15.4  变更的估价原则</w:t>
      </w:r>
      <w:bookmarkEnd w:id="900"/>
      <w:bookmarkEnd w:id="901"/>
      <w:r>
        <w:rPr>
          <w:rFonts w:hint="eastAsia" w:ascii="宋体" w:hAnsi="宋体" w:eastAsia="宋体" w:cs="宋体"/>
          <w:lang w:eastAsia="zh-CN"/>
        </w:rPr>
        <w:t xml:space="preserve"> </w:t>
      </w:r>
    </w:p>
    <w:p w14:paraId="78DABC75">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因工程量清单漏项（仅适用于合同协议书约定采用单价合同形式时）或变更引起的价格调整按照本款约定处理。 </w:t>
      </w:r>
    </w:p>
    <w:p w14:paraId="7A7CC2B8">
      <w:pPr>
        <w:spacing w:line="360" w:lineRule="auto"/>
        <w:rPr>
          <w:rFonts w:ascii="宋体" w:hAnsi="宋体" w:eastAsia="宋体" w:cs="宋体"/>
          <w:lang w:eastAsia="zh-CN"/>
        </w:rPr>
      </w:pPr>
      <w:r>
        <w:rPr>
          <w:rFonts w:hint="eastAsia" w:ascii="宋体" w:hAnsi="宋体" w:eastAsia="宋体" w:cs="宋体"/>
          <w:lang w:eastAsia="zh-CN"/>
        </w:rPr>
        <w:t xml:space="preserve">15.4.1  已标价工程量清单中有适用于变更工作的子目的，采用该子目的单价。 </w:t>
      </w:r>
    </w:p>
    <w:p w14:paraId="1F47148B">
      <w:pPr>
        <w:spacing w:line="360" w:lineRule="auto"/>
        <w:rPr>
          <w:rFonts w:ascii="宋体" w:hAnsi="宋体" w:eastAsia="宋体" w:cs="宋体"/>
          <w:lang w:eastAsia="zh-CN"/>
        </w:rPr>
      </w:pPr>
      <w:r>
        <w:rPr>
          <w:rFonts w:hint="eastAsia" w:ascii="宋体" w:hAnsi="宋体" w:eastAsia="宋体" w:cs="宋体"/>
          <w:lang w:eastAsia="zh-CN"/>
        </w:rPr>
        <w:t xml:space="preserve">15.4.2  已标价工程量清单中无适用于变更工作的子目，但有类似子目的，可在合理范围内参照类似子目的单价，由监理人按第3.5款商定或确定变更工作的单价。 </w:t>
      </w:r>
    </w:p>
    <w:p w14:paraId="04EBCA2D">
      <w:pPr>
        <w:spacing w:line="360" w:lineRule="auto"/>
        <w:rPr>
          <w:rFonts w:ascii="宋体" w:hAnsi="宋体" w:eastAsia="宋体" w:cs="宋体"/>
          <w:lang w:eastAsia="zh-CN"/>
        </w:rPr>
      </w:pPr>
      <w:r>
        <w:rPr>
          <w:rFonts w:hint="eastAsia" w:ascii="宋体" w:hAnsi="宋体" w:eastAsia="宋体" w:cs="宋体"/>
          <w:lang w:eastAsia="zh-CN"/>
        </w:rPr>
        <w:t xml:space="preserve">15.4.3  已标价工程量清单中无适用或类似子目的单价，可按照成本加利润的原则，由监理人按第3.5款商定或确定变更工作的单价。 </w:t>
      </w:r>
    </w:p>
    <w:p w14:paraId="64B7E43B">
      <w:pPr>
        <w:spacing w:line="360" w:lineRule="auto"/>
        <w:rPr>
          <w:rFonts w:ascii="宋体" w:hAnsi="宋体" w:eastAsia="宋体" w:cs="宋体"/>
          <w:lang w:eastAsia="zh-CN"/>
        </w:rPr>
      </w:pPr>
      <w:r>
        <w:rPr>
          <w:rFonts w:hint="eastAsia" w:ascii="宋体" w:hAnsi="宋体" w:eastAsia="宋体" w:cs="宋体"/>
          <w:lang w:eastAsia="zh-CN"/>
        </w:rPr>
        <w:t>15.4.4  因工程量清单漏项（仅适用于合同协议书约定采用单价合同形式时）或变更引</w:t>
      </w:r>
    </w:p>
    <w:p w14:paraId="7DBB9B00">
      <w:pPr>
        <w:spacing w:line="360" w:lineRule="auto"/>
        <w:rPr>
          <w:rFonts w:ascii="宋体" w:hAnsi="宋体" w:eastAsia="宋体" w:cs="宋体"/>
          <w:lang w:eastAsia="zh-CN"/>
        </w:rPr>
      </w:pPr>
      <w:r>
        <w:rPr>
          <w:rFonts w:hint="eastAsia" w:ascii="宋体" w:hAnsi="宋体" w:eastAsia="宋体" w:cs="宋体"/>
          <w:lang w:eastAsia="zh-CN"/>
        </w:rPr>
        <w:t xml:space="preserve">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 </w:t>
      </w:r>
    </w:p>
    <w:p w14:paraId="21363A99">
      <w:pPr>
        <w:spacing w:line="360" w:lineRule="auto"/>
        <w:rPr>
          <w:rFonts w:ascii="宋体" w:hAnsi="宋体" w:eastAsia="宋体" w:cs="宋体"/>
          <w:lang w:eastAsia="zh-CN"/>
        </w:rPr>
      </w:pPr>
      <w:r>
        <w:rPr>
          <w:rFonts w:hint="eastAsia" w:ascii="宋体" w:hAnsi="宋体" w:eastAsia="宋体" w:cs="宋体"/>
          <w:lang w:eastAsia="zh-CN"/>
        </w:rPr>
        <w:t xml:space="preserve">15.4.5  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见合同条款专用部分。 </w:t>
      </w:r>
    </w:p>
    <w:p w14:paraId="3872D321">
      <w:pPr>
        <w:spacing w:line="360" w:lineRule="auto"/>
        <w:rPr>
          <w:rFonts w:ascii="宋体" w:hAnsi="宋体" w:eastAsia="宋体" w:cs="宋体"/>
          <w:lang w:eastAsia="zh-CN"/>
        </w:rPr>
      </w:pPr>
      <w:r>
        <w:rPr>
          <w:rFonts w:hint="eastAsia" w:ascii="宋体" w:hAnsi="宋体" w:eastAsia="宋体" w:cs="宋体"/>
          <w:lang w:eastAsia="zh-CN"/>
        </w:rPr>
        <w:t xml:space="preserve">15.4.6  因变更引起价格调整的其他处理方式见合同条款专用部分。 </w:t>
      </w:r>
    </w:p>
    <w:p w14:paraId="281A60C5">
      <w:pPr>
        <w:spacing w:line="360" w:lineRule="auto"/>
        <w:rPr>
          <w:rFonts w:ascii="宋体" w:hAnsi="宋体" w:eastAsia="宋体" w:cs="宋体"/>
          <w:lang w:eastAsia="zh-CN"/>
        </w:rPr>
      </w:pPr>
      <w:bookmarkStart w:id="902" w:name="_Toc511293910"/>
      <w:bookmarkStart w:id="903" w:name="_Toc511294181"/>
      <w:r>
        <w:rPr>
          <w:rFonts w:hint="eastAsia" w:ascii="宋体" w:hAnsi="宋体" w:eastAsia="宋体" w:cs="宋体"/>
          <w:lang w:eastAsia="zh-CN"/>
        </w:rPr>
        <w:t>15.5  承包人的合理化建议</w:t>
      </w:r>
      <w:bookmarkEnd w:id="902"/>
      <w:bookmarkEnd w:id="903"/>
      <w:r>
        <w:rPr>
          <w:rFonts w:hint="eastAsia" w:ascii="宋体" w:hAnsi="宋体" w:eastAsia="宋体" w:cs="宋体"/>
          <w:lang w:eastAsia="zh-CN"/>
        </w:rPr>
        <w:t xml:space="preserve"> </w:t>
      </w:r>
    </w:p>
    <w:p w14:paraId="16FF3FDC">
      <w:pPr>
        <w:spacing w:line="360" w:lineRule="auto"/>
        <w:rPr>
          <w:rFonts w:ascii="宋体" w:hAnsi="宋体" w:eastAsia="宋体" w:cs="宋体"/>
          <w:lang w:eastAsia="zh-CN"/>
        </w:rPr>
      </w:pPr>
      <w:r>
        <w:rPr>
          <w:rFonts w:hint="eastAsia" w:ascii="宋体" w:hAnsi="宋体" w:eastAsia="宋体" w:cs="宋体"/>
          <w:lang w:eastAsia="zh-CN"/>
        </w:rPr>
        <w:t xml:space="preserve">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 </w:t>
      </w:r>
    </w:p>
    <w:p w14:paraId="594189AD">
      <w:pPr>
        <w:spacing w:line="360" w:lineRule="auto"/>
        <w:rPr>
          <w:rFonts w:ascii="宋体" w:hAnsi="宋体" w:eastAsia="宋体" w:cs="宋体"/>
          <w:lang w:eastAsia="zh-CN"/>
        </w:rPr>
      </w:pPr>
      <w:r>
        <w:rPr>
          <w:rFonts w:hint="eastAsia" w:ascii="宋体" w:hAnsi="宋体" w:eastAsia="宋体" w:cs="宋体"/>
          <w:lang w:eastAsia="zh-CN"/>
        </w:rPr>
        <w:t xml:space="preserve">15.5.2  承包人提出的合理化建议降低了合同价格、缩短了工期或者提高了工程经济效益的，发包人可按国家有关规定给予奖励。对承包人提出合理化建议的奖励方法见合同条款专用部分。 </w:t>
      </w:r>
    </w:p>
    <w:p w14:paraId="424B98E0">
      <w:pPr>
        <w:spacing w:line="360" w:lineRule="auto"/>
        <w:rPr>
          <w:rFonts w:ascii="宋体" w:hAnsi="宋体" w:eastAsia="宋体" w:cs="宋体"/>
          <w:lang w:eastAsia="zh-CN"/>
        </w:rPr>
      </w:pPr>
      <w:bookmarkStart w:id="904" w:name="_Toc511293911"/>
      <w:bookmarkStart w:id="905" w:name="_Toc511294182"/>
      <w:r>
        <w:rPr>
          <w:rFonts w:hint="eastAsia" w:ascii="宋体" w:hAnsi="宋体" w:eastAsia="宋体" w:cs="宋体"/>
          <w:lang w:eastAsia="zh-CN"/>
        </w:rPr>
        <w:t>15.6  暂列金额</w:t>
      </w:r>
      <w:bookmarkEnd w:id="904"/>
      <w:bookmarkEnd w:id="905"/>
      <w:r>
        <w:rPr>
          <w:rFonts w:hint="eastAsia" w:ascii="宋体" w:hAnsi="宋体" w:eastAsia="宋体" w:cs="宋体"/>
          <w:lang w:eastAsia="zh-CN"/>
        </w:rPr>
        <w:t xml:space="preserve"> </w:t>
      </w:r>
    </w:p>
    <w:p w14:paraId="693499D9">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暂列金额只能按照监理人的指示使用，并对合同价格进行相应调整。 </w:t>
      </w:r>
    </w:p>
    <w:p w14:paraId="21FEF6D2">
      <w:pPr>
        <w:spacing w:line="360" w:lineRule="auto"/>
        <w:rPr>
          <w:rFonts w:ascii="宋体" w:hAnsi="宋体" w:eastAsia="宋体" w:cs="宋体"/>
          <w:lang w:eastAsia="zh-CN"/>
        </w:rPr>
      </w:pPr>
      <w:bookmarkStart w:id="906" w:name="_Toc511294183"/>
      <w:bookmarkStart w:id="907" w:name="_Toc511293912"/>
      <w:r>
        <w:rPr>
          <w:rFonts w:hint="eastAsia" w:ascii="宋体" w:hAnsi="宋体" w:eastAsia="宋体" w:cs="宋体"/>
          <w:lang w:eastAsia="zh-CN"/>
        </w:rPr>
        <w:t>15.7  计日工</w:t>
      </w:r>
      <w:bookmarkEnd w:id="906"/>
      <w:bookmarkEnd w:id="907"/>
      <w:r>
        <w:rPr>
          <w:rFonts w:hint="eastAsia" w:ascii="宋体" w:hAnsi="宋体" w:eastAsia="宋体" w:cs="宋体"/>
          <w:lang w:eastAsia="zh-CN"/>
        </w:rPr>
        <w:t xml:space="preserve"> </w:t>
      </w:r>
    </w:p>
    <w:p w14:paraId="4D4F99B9">
      <w:pPr>
        <w:spacing w:line="360" w:lineRule="auto"/>
        <w:rPr>
          <w:rFonts w:ascii="宋体" w:hAnsi="宋体" w:eastAsia="宋体" w:cs="宋体"/>
          <w:lang w:eastAsia="zh-CN"/>
        </w:rPr>
      </w:pPr>
      <w:r>
        <w:rPr>
          <w:rFonts w:hint="eastAsia" w:ascii="宋体" w:hAnsi="宋体" w:eastAsia="宋体" w:cs="宋体"/>
          <w:lang w:eastAsia="zh-CN"/>
        </w:rPr>
        <w:t>15.7.1  发包人认为有必要时，由监理人通知承包人以计日工方式实施变更的零星工</w:t>
      </w:r>
    </w:p>
    <w:p w14:paraId="01C93A55">
      <w:pPr>
        <w:spacing w:line="360" w:lineRule="auto"/>
        <w:rPr>
          <w:rFonts w:ascii="宋体" w:hAnsi="宋体" w:eastAsia="宋体" w:cs="宋体"/>
          <w:lang w:eastAsia="zh-CN"/>
        </w:rPr>
      </w:pPr>
      <w:r>
        <w:rPr>
          <w:rFonts w:hint="eastAsia" w:ascii="宋体" w:hAnsi="宋体" w:eastAsia="宋体" w:cs="宋体"/>
          <w:lang w:eastAsia="zh-CN"/>
        </w:rPr>
        <w:t xml:space="preserve">作。其价款按列入已标价工程量清单中的计日工计价子目及其单价进行计算。 </w:t>
      </w:r>
    </w:p>
    <w:p w14:paraId="1FCF867A">
      <w:pPr>
        <w:spacing w:line="360" w:lineRule="auto"/>
        <w:rPr>
          <w:rFonts w:ascii="宋体" w:hAnsi="宋体" w:eastAsia="宋体" w:cs="宋体"/>
          <w:lang w:eastAsia="zh-CN"/>
        </w:rPr>
      </w:pPr>
      <w:r>
        <w:rPr>
          <w:rFonts w:hint="eastAsia" w:ascii="宋体" w:hAnsi="宋体" w:eastAsia="宋体" w:cs="宋体"/>
          <w:lang w:eastAsia="zh-CN"/>
        </w:rPr>
        <w:t xml:space="preserve">15.7.2  采用计日工计价的任何一项变更工作，应从暂列金额中支付，承包人应在该项变更的实施过程中，每天提交以下报表和有关凭证报送监理人审批： </w:t>
      </w:r>
    </w:p>
    <w:p w14:paraId="7766C79E">
      <w:pPr>
        <w:spacing w:line="360" w:lineRule="auto"/>
        <w:rPr>
          <w:rFonts w:ascii="宋体" w:hAnsi="宋体" w:eastAsia="宋体" w:cs="宋体"/>
          <w:lang w:eastAsia="zh-CN"/>
        </w:rPr>
      </w:pPr>
      <w:r>
        <w:rPr>
          <w:rFonts w:hint="eastAsia" w:ascii="宋体" w:hAnsi="宋体" w:eastAsia="宋体" w:cs="宋体"/>
          <w:lang w:eastAsia="zh-CN"/>
        </w:rPr>
        <w:t xml:space="preserve">（1）工作名称、内容和数量； </w:t>
      </w:r>
    </w:p>
    <w:p w14:paraId="3D04EC50">
      <w:pPr>
        <w:spacing w:line="360" w:lineRule="auto"/>
        <w:rPr>
          <w:rFonts w:ascii="宋体" w:hAnsi="宋体" w:eastAsia="宋体" w:cs="宋体"/>
          <w:lang w:eastAsia="zh-CN"/>
        </w:rPr>
      </w:pPr>
      <w:r>
        <w:rPr>
          <w:rFonts w:hint="eastAsia" w:ascii="宋体" w:hAnsi="宋体" w:eastAsia="宋体" w:cs="宋体"/>
          <w:lang w:eastAsia="zh-CN"/>
        </w:rPr>
        <w:t xml:space="preserve">（2）投入该工作所有人员的姓名、工种、级别和耗用工时； </w:t>
      </w:r>
    </w:p>
    <w:p w14:paraId="00EA92E8">
      <w:pPr>
        <w:spacing w:line="360" w:lineRule="auto"/>
        <w:rPr>
          <w:rFonts w:ascii="宋体" w:hAnsi="宋体" w:eastAsia="宋体" w:cs="宋体"/>
          <w:lang w:eastAsia="zh-CN"/>
        </w:rPr>
      </w:pPr>
      <w:r>
        <w:rPr>
          <w:rFonts w:hint="eastAsia" w:ascii="宋体" w:hAnsi="宋体" w:eastAsia="宋体" w:cs="宋体"/>
          <w:lang w:eastAsia="zh-CN"/>
        </w:rPr>
        <w:t xml:space="preserve">（3）投入该工作的材料类别和数量； </w:t>
      </w:r>
    </w:p>
    <w:p w14:paraId="42127997">
      <w:pPr>
        <w:spacing w:line="360" w:lineRule="auto"/>
        <w:rPr>
          <w:rFonts w:ascii="宋体" w:hAnsi="宋体" w:eastAsia="宋体" w:cs="宋体"/>
          <w:lang w:eastAsia="zh-CN"/>
        </w:rPr>
      </w:pPr>
      <w:r>
        <w:rPr>
          <w:rFonts w:hint="eastAsia" w:ascii="宋体" w:hAnsi="宋体" w:eastAsia="宋体" w:cs="宋体"/>
          <w:lang w:eastAsia="zh-CN"/>
        </w:rPr>
        <w:t xml:space="preserve">（4）投入该工作的施工设备型号、台数和耗用台时； </w:t>
      </w:r>
    </w:p>
    <w:p w14:paraId="59CF6F3F">
      <w:pPr>
        <w:spacing w:line="360" w:lineRule="auto"/>
        <w:rPr>
          <w:rFonts w:ascii="宋体" w:hAnsi="宋体" w:eastAsia="宋体" w:cs="宋体"/>
          <w:lang w:eastAsia="zh-CN"/>
        </w:rPr>
      </w:pPr>
      <w:r>
        <w:rPr>
          <w:rFonts w:hint="eastAsia" w:ascii="宋体" w:hAnsi="宋体" w:eastAsia="宋体" w:cs="宋体"/>
          <w:lang w:eastAsia="zh-CN"/>
        </w:rPr>
        <w:t xml:space="preserve">（5）监理人要求提交的其他资料和凭证。 </w:t>
      </w:r>
    </w:p>
    <w:p w14:paraId="05EB9D94">
      <w:pPr>
        <w:spacing w:line="360" w:lineRule="auto"/>
        <w:rPr>
          <w:rFonts w:ascii="宋体" w:hAnsi="宋体" w:eastAsia="宋体" w:cs="宋体"/>
          <w:lang w:eastAsia="zh-CN"/>
        </w:rPr>
      </w:pPr>
      <w:r>
        <w:rPr>
          <w:rFonts w:hint="eastAsia" w:ascii="宋体" w:hAnsi="宋体" w:eastAsia="宋体" w:cs="宋体"/>
          <w:lang w:eastAsia="zh-CN"/>
        </w:rPr>
        <w:t xml:space="preserve">15.7.3  计日工由承包人汇总后，按第17.3.2项的约定列入进度付款申请单，由监理人复核并经发包人同意后列入进度付款。 </w:t>
      </w:r>
    </w:p>
    <w:p w14:paraId="3B08FA80">
      <w:pPr>
        <w:spacing w:line="360" w:lineRule="auto"/>
        <w:rPr>
          <w:rFonts w:ascii="宋体" w:hAnsi="宋体" w:eastAsia="宋体" w:cs="宋体"/>
          <w:lang w:eastAsia="zh-CN"/>
        </w:rPr>
      </w:pPr>
      <w:bookmarkStart w:id="908" w:name="_Toc511294184"/>
      <w:bookmarkStart w:id="909" w:name="_Toc511293913"/>
      <w:r>
        <w:rPr>
          <w:rFonts w:hint="eastAsia" w:ascii="宋体" w:hAnsi="宋体" w:eastAsia="宋体" w:cs="宋体"/>
          <w:lang w:eastAsia="zh-CN"/>
        </w:rPr>
        <w:t>15.8  暂估价</w:t>
      </w:r>
      <w:bookmarkEnd w:id="908"/>
      <w:bookmarkEnd w:id="909"/>
      <w:r>
        <w:rPr>
          <w:rFonts w:hint="eastAsia" w:ascii="宋体" w:hAnsi="宋体" w:eastAsia="宋体" w:cs="宋体"/>
          <w:lang w:eastAsia="zh-CN"/>
        </w:rPr>
        <w:t xml:space="preserve"> </w:t>
      </w:r>
    </w:p>
    <w:p w14:paraId="627EE221">
      <w:pPr>
        <w:spacing w:line="360" w:lineRule="auto"/>
        <w:rPr>
          <w:rFonts w:ascii="宋体" w:hAnsi="宋体" w:eastAsia="宋体" w:cs="宋体"/>
          <w:lang w:eastAsia="zh-CN"/>
        </w:rPr>
      </w:pPr>
      <w:r>
        <w:rPr>
          <w:rFonts w:hint="eastAsia" w:ascii="宋体" w:hAnsi="宋体" w:eastAsia="宋体" w:cs="宋体"/>
          <w:lang w:eastAsia="zh-CN"/>
        </w:rPr>
        <w:t xml:space="preserve">15.8.1  发包人在工程量清单中给定暂估价的材料和工程设备及专业工程属于依法必须招标的范围并达到规定的规模标准的，由发包人和承包人采用招标方式选择专项投标人或专业分包人。发包人和承包人的权利义务关系约定如下：  </w:t>
      </w:r>
    </w:p>
    <w:p w14:paraId="38B5FFD4">
      <w:pPr>
        <w:spacing w:line="360" w:lineRule="auto"/>
        <w:rPr>
          <w:rFonts w:ascii="宋体" w:hAnsi="宋体" w:eastAsia="宋体" w:cs="宋体"/>
          <w:lang w:eastAsia="zh-CN"/>
        </w:rPr>
      </w:pPr>
      <w:r>
        <w:rPr>
          <w:rFonts w:hint="eastAsia" w:ascii="宋体" w:hAnsi="宋体" w:eastAsia="宋体" w:cs="宋体"/>
          <w:lang w:eastAsia="zh-CN"/>
        </w:rPr>
        <w:t xml:space="preserve">（1）由承包人作为采购人，依法组织招标工作并接受有管辖权的建设工程招标投标行政监督部门的监督。 </w:t>
      </w:r>
    </w:p>
    <w:p w14:paraId="39243AD0">
      <w:pPr>
        <w:spacing w:line="360" w:lineRule="auto"/>
        <w:rPr>
          <w:rFonts w:ascii="宋体" w:hAnsi="宋体" w:eastAsia="宋体" w:cs="宋体"/>
          <w:lang w:eastAsia="zh-CN"/>
        </w:rPr>
      </w:pPr>
      <w:r>
        <w:rPr>
          <w:rFonts w:hint="eastAsia" w:ascii="宋体" w:hAnsi="宋体" w:eastAsia="宋体" w:cs="宋体"/>
          <w:lang w:eastAsia="zh-CN"/>
        </w:rPr>
        <w:t xml:space="preserve">（2）与组织招标工作有关的费用应当被认为已经包括在承包人的签约合同价（投标总报价）中。 </w:t>
      </w:r>
    </w:p>
    <w:p w14:paraId="3DF10C63">
      <w:pPr>
        <w:spacing w:line="360" w:lineRule="auto"/>
        <w:rPr>
          <w:rFonts w:ascii="宋体" w:hAnsi="宋体" w:eastAsia="宋体" w:cs="宋体"/>
          <w:lang w:eastAsia="zh-CN"/>
        </w:rPr>
      </w:pPr>
      <w:r>
        <w:rPr>
          <w:rFonts w:hint="eastAsia" w:ascii="宋体" w:hAnsi="宋体" w:eastAsia="宋体" w:cs="宋体"/>
          <w:lang w:eastAsia="zh-CN"/>
        </w:rPr>
        <w:t xml:space="preserve">（3）中标金额与工程量清单中所列的暂估价的金额差以及相应的税金等其他费用列入合同价格。 </w:t>
      </w:r>
    </w:p>
    <w:p w14:paraId="63750F19">
      <w:pPr>
        <w:spacing w:line="360" w:lineRule="auto"/>
        <w:rPr>
          <w:rFonts w:ascii="宋体" w:hAnsi="宋体" w:eastAsia="宋体" w:cs="宋体"/>
          <w:lang w:eastAsia="zh-CN"/>
        </w:rPr>
      </w:pPr>
      <w:r>
        <w:rPr>
          <w:rFonts w:hint="eastAsia" w:ascii="宋体" w:hAnsi="宋体" w:eastAsia="宋体" w:cs="宋体"/>
          <w:lang w:eastAsia="zh-CN"/>
        </w:rPr>
        <w:t xml:space="preserve">（4）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 </w:t>
      </w:r>
    </w:p>
    <w:p w14:paraId="1CD129D2">
      <w:pPr>
        <w:spacing w:line="360" w:lineRule="auto"/>
        <w:rPr>
          <w:rFonts w:ascii="宋体" w:hAnsi="宋体" w:eastAsia="宋体" w:cs="宋体"/>
          <w:lang w:eastAsia="zh-CN"/>
        </w:rPr>
      </w:pPr>
      <w:r>
        <w:rPr>
          <w:rFonts w:hint="eastAsia" w:ascii="宋体" w:hAnsi="宋体" w:eastAsia="宋体" w:cs="宋体"/>
          <w:lang w:eastAsia="zh-CN"/>
        </w:rPr>
        <w:t xml:space="preserve">（5）承包人应当在发出招标公告（或者资格预审公告或者投标邀请书）、资格预审文件和磋商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 </w:t>
      </w:r>
    </w:p>
    <w:p w14:paraId="1F3E1ACF">
      <w:pPr>
        <w:spacing w:line="360" w:lineRule="auto"/>
        <w:rPr>
          <w:rFonts w:ascii="宋体" w:hAnsi="宋体" w:eastAsia="宋体" w:cs="宋体"/>
          <w:lang w:eastAsia="zh-CN"/>
        </w:rPr>
      </w:pPr>
      <w:r>
        <w:rPr>
          <w:rFonts w:hint="eastAsia" w:ascii="宋体" w:hAnsi="宋体" w:eastAsia="宋体" w:cs="宋体"/>
          <w:lang w:eastAsia="zh-CN"/>
        </w:rPr>
        <w:t xml:space="preserve">（6）如果发、承包任何一方委派评标代表，评标委员会应当由七人以上单数构成。除发包人或者承包人自愿放弃委派评标代表的权利外，采购人评标代表应当分别由发包人和承包人等额委派。 </w:t>
      </w:r>
    </w:p>
    <w:p w14:paraId="2C972F8C">
      <w:pPr>
        <w:spacing w:line="360" w:lineRule="auto"/>
        <w:rPr>
          <w:rFonts w:ascii="宋体" w:hAnsi="宋体" w:eastAsia="宋体" w:cs="宋体"/>
          <w:lang w:eastAsia="zh-CN"/>
        </w:rPr>
      </w:pPr>
      <w:r>
        <w:rPr>
          <w:rFonts w:hint="eastAsia" w:ascii="宋体" w:hAnsi="宋体" w:eastAsia="宋体" w:cs="宋体"/>
          <w:lang w:eastAsia="zh-CN"/>
        </w:rPr>
        <w:t xml:space="preserve">（7）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 </w:t>
      </w:r>
    </w:p>
    <w:p w14:paraId="3F07D81D">
      <w:pPr>
        <w:spacing w:line="360" w:lineRule="auto"/>
        <w:rPr>
          <w:rFonts w:ascii="宋体" w:hAnsi="宋体" w:eastAsia="宋体" w:cs="宋体"/>
          <w:lang w:eastAsia="zh-CN"/>
        </w:rPr>
      </w:pPr>
      <w:r>
        <w:rPr>
          <w:rFonts w:hint="eastAsia" w:ascii="宋体" w:hAnsi="宋体" w:eastAsia="宋体" w:cs="宋体"/>
          <w:lang w:eastAsia="zh-CN"/>
        </w:rPr>
        <w:t xml:space="preserve">（8）设有招标控制价的，承包人应当在磋商文件发出前提前7天将招标控制价报发包人审核认可，发包人应当在收到承包人报送的招标控制价后72小时内给予认可或者提出修改意见。招标控制价的最终审核和决定权属于发包人，未经发包人认可，承包人不得发出磋商文件。 </w:t>
      </w:r>
    </w:p>
    <w:p w14:paraId="2AFAAA9A">
      <w:pPr>
        <w:spacing w:line="360" w:lineRule="auto"/>
        <w:rPr>
          <w:rFonts w:ascii="宋体" w:hAnsi="宋体" w:eastAsia="宋体" w:cs="宋体"/>
          <w:lang w:eastAsia="zh-CN"/>
        </w:rPr>
      </w:pPr>
      <w:r>
        <w:rPr>
          <w:rFonts w:hint="eastAsia" w:ascii="宋体" w:hAnsi="宋体" w:eastAsia="宋体" w:cs="宋体"/>
          <w:lang w:eastAsia="zh-CN"/>
        </w:rPr>
        <w:t xml:space="preserve">（9）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 </w:t>
      </w:r>
    </w:p>
    <w:p w14:paraId="6D6F9628">
      <w:pPr>
        <w:spacing w:line="360" w:lineRule="auto"/>
        <w:rPr>
          <w:rFonts w:ascii="宋体" w:hAnsi="宋体" w:eastAsia="宋体" w:cs="宋体"/>
          <w:lang w:eastAsia="zh-CN"/>
        </w:rPr>
      </w:pPr>
      <w:r>
        <w:rPr>
          <w:rFonts w:hint="eastAsia" w:ascii="宋体" w:hAnsi="宋体" w:eastAsia="宋体" w:cs="宋体"/>
          <w:lang w:eastAsia="zh-CN"/>
        </w:rPr>
        <w:t xml:space="preserve">（10）承包人与专业分包人或者专项投标人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 </w:t>
      </w:r>
    </w:p>
    <w:p w14:paraId="6CE06FEB">
      <w:pPr>
        <w:spacing w:line="360" w:lineRule="auto"/>
        <w:rPr>
          <w:rFonts w:ascii="宋体" w:hAnsi="宋体" w:eastAsia="宋体" w:cs="宋体"/>
          <w:lang w:eastAsia="zh-CN"/>
        </w:rPr>
      </w:pPr>
      <w:r>
        <w:rPr>
          <w:rFonts w:hint="eastAsia" w:ascii="宋体" w:hAnsi="宋体" w:eastAsia="宋体" w:cs="宋体"/>
          <w:lang w:eastAsia="zh-CN"/>
        </w:rPr>
        <w:t xml:space="preserve">（11）发包人对承包人报送文件进行审批或提出的修改意见应当合理，并符合现行有关法律法规的规定。 </w:t>
      </w:r>
    </w:p>
    <w:p w14:paraId="79328015">
      <w:pPr>
        <w:spacing w:line="360" w:lineRule="auto"/>
        <w:rPr>
          <w:rFonts w:ascii="宋体" w:hAnsi="宋体" w:eastAsia="宋体" w:cs="宋体"/>
          <w:lang w:eastAsia="zh-CN"/>
        </w:rPr>
      </w:pPr>
      <w:r>
        <w:rPr>
          <w:rFonts w:hint="eastAsia" w:ascii="宋体" w:hAnsi="宋体" w:eastAsia="宋体" w:cs="宋体"/>
          <w:lang w:eastAsia="zh-CN"/>
        </w:rPr>
        <w:t xml:space="preserve">（12）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 </w:t>
      </w:r>
    </w:p>
    <w:p w14:paraId="21688D42">
      <w:pPr>
        <w:spacing w:line="360" w:lineRule="auto"/>
        <w:rPr>
          <w:rFonts w:ascii="宋体" w:hAnsi="宋体" w:eastAsia="宋体" w:cs="宋体"/>
          <w:lang w:eastAsia="zh-CN"/>
        </w:rPr>
      </w:pPr>
      <w:r>
        <w:rPr>
          <w:rFonts w:hint="eastAsia" w:ascii="宋体" w:hAnsi="宋体" w:eastAsia="宋体" w:cs="宋体"/>
          <w:lang w:eastAsia="zh-CN"/>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w:t>
      </w:r>
    </w:p>
    <w:p w14:paraId="42FFD88B">
      <w:pPr>
        <w:spacing w:line="360" w:lineRule="auto"/>
        <w:rPr>
          <w:rFonts w:ascii="宋体" w:hAnsi="宋体" w:eastAsia="宋体" w:cs="宋体"/>
          <w:lang w:eastAsia="zh-CN"/>
        </w:rPr>
      </w:pPr>
      <w:r>
        <w:rPr>
          <w:rFonts w:hint="eastAsia" w:ascii="宋体" w:hAnsi="宋体" w:eastAsia="宋体" w:cs="宋体"/>
          <w:lang w:eastAsia="zh-CN"/>
        </w:rPr>
        <w:t xml:space="preserve">价格。 </w:t>
      </w:r>
    </w:p>
    <w:p w14:paraId="6C2335D8">
      <w:pPr>
        <w:spacing w:line="360" w:lineRule="auto"/>
        <w:rPr>
          <w:rFonts w:ascii="宋体" w:hAnsi="宋体" w:eastAsia="宋体" w:cs="宋体"/>
          <w:lang w:eastAsia="zh-CN"/>
        </w:rPr>
      </w:pPr>
      <w:r>
        <w:rPr>
          <w:rFonts w:hint="eastAsia" w:ascii="宋体" w:hAnsi="宋体" w:eastAsia="宋体" w:cs="宋体"/>
          <w:lang w:eastAsia="zh-CN"/>
        </w:rPr>
        <w:t xml:space="preserve">15.8.3  发包人在工程量清单中给定暂估价的专业工程不属于依法必须招标的范围或未达到规定的规模标准的，由监理人按照第15.4款进行估价，但合同条款专用部分另有约定的除外。经估价的专业工程与工程量清单中所列的暂估价的金额差以及相应的税金等其他费用列入合同价格。 </w:t>
      </w:r>
    </w:p>
    <w:p w14:paraId="1DD58825">
      <w:pPr>
        <w:spacing w:line="360" w:lineRule="auto"/>
        <w:rPr>
          <w:rFonts w:ascii="宋体" w:hAnsi="宋体" w:eastAsia="宋体" w:cs="宋体"/>
          <w:lang w:eastAsia="zh-CN"/>
        </w:rPr>
      </w:pPr>
      <w:r>
        <w:rPr>
          <w:rFonts w:hint="eastAsia" w:ascii="宋体" w:hAnsi="宋体" w:eastAsia="宋体" w:cs="宋体"/>
          <w:lang w:eastAsia="zh-CN"/>
        </w:rPr>
        <w:t xml:space="preserve">16.价格调整 </w:t>
      </w:r>
    </w:p>
    <w:p w14:paraId="23D4C3D7">
      <w:pPr>
        <w:spacing w:line="360" w:lineRule="auto"/>
        <w:rPr>
          <w:rFonts w:ascii="宋体" w:hAnsi="宋体" w:eastAsia="宋体" w:cs="宋体"/>
          <w:lang w:eastAsia="zh-CN"/>
        </w:rPr>
      </w:pPr>
      <w:bookmarkStart w:id="910" w:name="_Toc511293914"/>
      <w:bookmarkStart w:id="911" w:name="_Toc511294185"/>
      <w:r>
        <w:rPr>
          <w:rFonts w:hint="eastAsia" w:ascii="宋体" w:hAnsi="宋体" w:eastAsia="宋体" w:cs="宋体"/>
          <w:lang w:eastAsia="zh-CN"/>
        </w:rPr>
        <w:t>16.1  物价波动引起的价格调整</w:t>
      </w:r>
      <w:bookmarkEnd w:id="910"/>
      <w:bookmarkEnd w:id="911"/>
      <w:r>
        <w:rPr>
          <w:rFonts w:hint="eastAsia" w:ascii="宋体" w:hAnsi="宋体" w:eastAsia="宋体" w:cs="宋体"/>
          <w:lang w:eastAsia="zh-CN"/>
        </w:rPr>
        <w:t xml:space="preserve"> </w:t>
      </w:r>
    </w:p>
    <w:p w14:paraId="3469E520">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除合同条款专用部分另有约定外，因物价波动引起的价格调整按照本款约定处理。 </w:t>
      </w:r>
    </w:p>
    <w:p w14:paraId="5D87C42E">
      <w:pPr>
        <w:spacing w:line="360" w:lineRule="auto"/>
        <w:rPr>
          <w:rFonts w:ascii="宋体" w:hAnsi="宋体" w:eastAsia="宋体" w:cs="宋体"/>
          <w:lang w:eastAsia="zh-CN"/>
        </w:rPr>
      </w:pPr>
      <w:r>
        <w:rPr>
          <w:rFonts w:hint="eastAsia" w:ascii="宋体" w:hAnsi="宋体" w:eastAsia="宋体" w:cs="宋体"/>
          <w:lang w:eastAsia="zh-CN"/>
        </w:rPr>
        <w:t xml:space="preserve">16.1.1 采用价格指数调整价格差额 </w:t>
      </w:r>
    </w:p>
    <w:p w14:paraId="3C7E0475">
      <w:pPr>
        <w:spacing w:line="360" w:lineRule="auto"/>
        <w:rPr>
          <w:rFonts w:ascii="宋体" w:hAnsi="宋体" w:eastAsia="宋体" w:cs="宋体"/>
          <w:lang w:eastAsia="zh-CN"/>
        </w:rPr>
      </w:pPr>
      <w:r>
        <w:rPr>
          <w:rFonts w:hint="eastAsia" w:ascii="宋体" w:hAnsi="宋体" w:eastAsia="宋体" w:cs="宋体"/>
          <w:lang w:eastAsia="zh-CN"/>
        </w:rPr>
        <w:t xml:space="preserve">16.1.1.1 价格调整公式 </w:t>
      </w:r>
    </w:p>
    <w:p w14:paraId="497DDDFC">
      <w:pPr>
        <w:spacing w:line="360" w:lineRule="auto"/>
        <w:rPr>
          <w:rFonts w:ascii="宋体" w:hAnsi="宋体" w:eastAsia="宋体" w:cs="宋体"/>
          <w:lang w:eastAsia="zh-CN"/>
        </w:rPr>
      </w:pPr>
      <w:r>
        <w:rPr>
          <w:rFonts w:hint="eastAsia" w:ascii="宋体" w:hAnsi="宋体" w:eastAsia="宋体" w:cs="宋体"/>
          <w:lang w:eastAsia="zh-CN"/>
        </w:rPr>
        <w:t>因人工、材料和设备等价格波动影响合同价格时，根据投标函附录中的价格指数和权重表约定的数据，按以下公式计算差额并调整合同价格。</w:t>
      </w:r>
    </w:p>
    <w:p w14:paraId="7CB9F272">
      <w:pPr>
        <w:spacing w:line="360" w:lineRule="auto"/>
        <w:rPr>
          <w:rFonts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object>
          <v:shape id="_x0000_i1025" o:spt="75" type="#_x0000_t75" style="height:36pt;width:309.75pt;" o:ole="t" filled="f" o:preferrelative="t" stroked="f" coordsize="21600,21600">
            <v:path/>
            <v:fill on="f" focussize="0,0"/>
            <v:stroke on="f" joinstyle="miter"/>
            <v:imagedata r:id="rId51" o:title=""/>
            <o:lock v:ext="edit" aspectratio="t"/>
            <w10:wrap type="none"/>
            <w10:anchorlock/>
          </v:shape>
          <o:OLEObject Type="Embed" ProgID="Equation.3" ShapeID="_x0000_i1025" DrawAspect="Content" ObjectID="_1468075725" r:id="rId50">
            <o:LockedField>false</o:LockedField>
          </o:OLEObject>
        </w:object>
      </w:r>
    </w:p>
    <w:p w14:paraId="049700D2">
      <w:pPr>
        <w:spacing w:line="360" w:lineRule="auto"/>
        <w:rPr>
          <w:rFonts w:ascii="宋体" w:hAnsi="宋体" w:eastAsia="宋体" w:cs="宋体"/>
          <w:lang w:eastAsia="zh-CN"/>
        </w:rPr>
      </w:pPr>
      <w:r>
        <w:rPr>
          <w:rFonts w:hint="eastAsia" w:ascii="宋体" w:hAnsi="宋体" w:eastAsia="宋体" w:cs="宋体"/>
          <w:lang w:eastAsia="zh-CN"/>
        </w:rPr>
        <w:t xml:space="preserve"> </w:t>
      </w:r>
    </w:p>
    <w:p w14:paraId="30072014">
      <w:pPr>
        <w:spacing w:line="360" w:lineRule="auto"/>
        <w:rPr>
          <w:rFonts w:ascii="宋体" w:hAnsi="宋体" w:eastAsia="宋体" w:cs="宋体"/>
          <w:lang w:eastAsia="zh-CN"/>
        </w:rPr>
      </w:pPr>
      <w:r>
        <w:rPr>
          <w:rFonts w:hint="eastAsia" w:ascii="宋体" w:hAnsi="宋体" w:eastAsia="宋体" w:cs="宋体"/>
          <w:lang w:eastAsia="zh-CN"/>
        </w:rPr>
        <w:t>式中： △P -- 需调整的价格差额；</w:t>
      </w:r>
    </w:p>
    <w:p w14:paraId="1C66640D">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1F1916D3">
      <w:pPr>
        <w:spacing w:line="360" w:lineRule="auto"/>
        <w:rPr>
          <w:rFonts w:ascii="宋体" w:hAnsi="宋体" w:eastAsia="宋体" w:cs="宋体"/>
          <w:lang w:eastAsia="zh-CN"/>
        </w:rPr>
      </w:pPr>
      <w:r>
        <w:rPr>
          <w:rFonts w:hint="eastAsia" w:ascii="宋体" w:hAnsi="宋体" w:eastAsia="宋体" w:cs="宋体"/>
          <w:lang w:eastAsia="zh-CN"/>
        </w:rPr>
        <w:tab/>
      </w:r>
      <w:bookmarkStart w:id="912" w:name="_Toc152042495"/>
      <w:bookmarkStart w:id="913" w:name="_Toc144974686"/>
      <w:r>
        <w:rPr>
          <w:rFonts w:hint="eastAsia" w:ascii="宋体" w:hAnsi="宋体" w:eastAsia="宋体" w:cs="宋体"/>
          <w:lang w:eastAsia="zh-CN"/>
        </w:rPr>
        <w:t>A -- 定值权重(即不调部分的权重)；</w:t>
      </w:r>
      <w:bookmarkEnd w:id="912"/>
      <w:bookmarkEnd w:id="913"/>
    </w:p>
    <w:p w14:paraId="208D56CD">
      <w:pPr>
        <w:spacing w:line="360" w:lineRule="auto"/>
        <w:rPr>
          <w:rFonts w:ascii="宋体" w:hAnsi="宋体" w:eastAsia="宋体" w:cs="宋体"/>
          <w:lang w:eastAsia="zh-CN"/>
        </w:rPr>
      </w:pPr>
      <w:r>
        <w:rPr>
          <w:rFonts w:hint="eastAsia" w:ascii="宋体" w:hAnsi="宋体" w:eastAsia="宋体" w:cs="宋体"/>
          <w:lang w:eastAsia="zh-CN"/>
        </w:rPr>
        <w:tab/>
      </w:r>
      <w:r>
        <w:rPr>
          <w:rFonts w:hint="eastAsia" w:ascii="宋体" w:hAnsi="宋体" w:eastAsia="宋体" w:cs="宋体"/>
          <w:lang w:eastAsia="zh-CN"/>
        </w:rPr>
        <w:t>B1; B2 ;B3；Bn -- 各可调因子的变值权重(即可调部分的权重)为各可调因子在投标函投标总报价中所占的比例；</w:t>
      </w:r>
    </w:p>
    <w:p w14:paraId="6947A826">
      <w:pPr>
        <w:spacing w:line="360" w:lineRule="auto"/>
        <w:rPr>
          <w:rFonts w:ascii="宋体" w:hAnsi="宋体" w:eastAsia="宋体" w:cs="宋体"/>
          <w:lang w:eastAsia="zh-CN"/>
        </w:rPr>
      </w:pPr>
      <w:r>
        <w:rPr>
          <w:rFonts w:hint="eastAsia" w:ascii="宋体" w:hAnsi="宋体" w:eastAsia="宋体" w:cs="宋体"/>
          <w:lang w:eastAsia="zh-CN"/>
        </w:rPr>
        <w:tab/>
      </w:r>
      <w:r>
        <w:rPr>
          <w:rFonts w:hint="eastAsia" w:ascii="宋体" w:hAnsi="宋体" w:eastAsia="宋体" w:cs="宋体"/>
          <w:lang w:eastAsia="zh-CN"/>
        </w:rPr>
        <w:t>Ft1 ;Ft2 ;Ft3；Ftn -- 各可调因子的现行价格指数，指第17.3.3项、第17.5.2项和第17.6.2项约定的付款证书相关周期最后一天的前42天的各可调因子的价格指数；</w:t>
      </w:r>
    </w:p>
    <w:p w14:paraId="7D0AA40D">
      <w:pPr>
        <w:spacing w:line="360" w:lineRule="auto"/>
        <w:rPr>
          <w:rFonts w:ascii="宋体" w:hAnsi="宋体" w:eastAsia="宋体" w:cs="宋体"/>
          <w:lang w:eastAsia="zh-CN"/>
        </w:rPr>
      </w:pPr>
      <w:r>
        <w:rPr>
          <w:rFonts w:hint="eastAsia" w:ascii="宋体" w:hAnsi="宋体" w:eastAsia="宋体" w:cs="宋体"/>
          <w:lang w:eastAsia="zh-CN"/>
        </w:rPr>
        <w:tab/>
      </w:r>
      <w:r>
        <w:rPr>
          <w:rFonts w:hint="eastAsia" w:ascii="宋体" w:hAnsi="宋体" w:eastAsia="宋体" w:cs="宋体"/>
          <w:lang w:eastAsia="zh-CN"/>
        </w:rPr>
        <w:t>Fo1; Fo2; Fo3；Fon -- 各可调因子的基本价格指数，指基准日期的各可调因子的价格指数。</w:t>
      </w:r>
    </w:p>
    <w:p w14:paraId="1C44764B">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 </w:t>
      </w:r>
    </w:p>
    <w:p w14:paraId="097AE08F">
      <w:pPr>
        <w:spacing w:line="360" w:lineRule="auto"/>
        <w:rPr>
          <w:rFonts w:ascii="宋体" w:hAnsi="宋体" w:eastAsia="宋体" w:cs="宋体"/>
          <w:lang w:eastAsia="zh-CN"/>
        </w:rPr>
      </w:pPr>
      <w:r>
        <w:rPr>
          <w:rFonts w:hint="eastAsia" w:ascii="宋体" w:hAnsi="宋体" w:eastAsia="宋体" w:cs="宋体"/>
          <w:lang w:eastAsia="zh-CN"/>
        </w:rPr>
        <w:t xml:space="preserve">16.1.1.2 暂时确定调整差额 </w:t>
      </w:r>
    </w:p>
    <w:p w14:paraId="4A058219">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在计算调整差额时得不到现行价格指数的，可暂用上一次价格指数计算，并在以后的付款中再按实际价格指数进行调整。 </w:t>
      </w:r>
    </w:p>
    <w:p w14:paraId="505CE31B">
      <w:pPr>
        <w:spacing w:line="360" w:lineRule="auto"/>
        <w:rPr>
          <w:rFonts w:ascii="宋体" w:hAnsi="宋体" w:eastAsia="宋体" w:cs="宋体"/>
          <w:lang w:eastAsia="zh-CN"/>
        </w:rPr>
      </w:pPr>
      <w:r>
        <w:rPr>
          <w:rFonts w:hint="eastAsia" w:ascii="宋体" w:hAnsi="宋体" w:eastAsia="宋体" w:cs="宋体"/>
          <w:lang w:eastAsia="zh-CN"/>
        </w:rPr>
        <w:t xml:space="preserve">16.1.1.3 权重的调整 </w:t>
      </w:r>
    </w:p>
    <w:p w14:paraId="16815D7A">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按第 15.1 款约定的变更导致原定合同中的权重不合理时，由监理人与承包人和发包人协商后进行调整。 </w:t>
      </w:r>
    </w:p>
    <w:p w14:paraId="7BEBBC8D">
      <w:pPr>
        <w:spacing w:line="360" w:lineRule="auto"/>
        <w:rPr>
          <w:rFonts w:ascii="宋体" w:hAnsi="宋体" w:eastAsia="宋体" w:cs="宋体"/>
          <w:lang w:eastAsia="zh-CN"/>
        </w:rPr>
      </w:pPr>
      <w:r>
        <w:rPr>
          <w:rFonts w:hint="eastAsia" w:ascii="宋体" w:hAnsi="宋体" w:eastAsia="宋体" w:cs="宋体"/>
          <w:lang w:eastAsia="zh-CN"/>
        </w:rPr>
        <w:t xml:space="preserve">16.1.1.4 承包人工期延误后的价格调整 </w:t>
      </w:r>
    </w:p>
    <w:p w14:paraId="1DAD6602">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由于承包人原因未在约定的工期内竣工的，则对原约定竣工日期后继续施工的工程，在使用第 16.1.1.1 目价格调整公式时，应采用原约定竣工日期与实际竣工日期的两个价格指数中较低的一个作为现行价格指数。 </w:t>
      </w:r>
    </w:p>
    <w:p w14:paraId="202F2D13">
      <w:pPr>
        <w:spacing w:line="360" w:lineRule="auto"/>
        <w:rPr>
          <w:rFonts w:ascii="宋体" w:hAnsi="宋体" w:eastAsia="宋体" w:cs="宋体"/>
          <w:lang w:eastAsia="zh-CN"/>
        </w:rPr>
      </w:pPr>
      <w:r>
        <w:rPr>
          <w:rFonts w:hint="eastAsia" w:ascii="宋体" w:hAnsi="宋体" w:eastAsia="宋体" w:cs="宋体"/>
          <w:lang w:eastAsia="zh-CN"/>
        </w:rPr>
        <w:t xml:space="preserve">16.1.2  采用造价信息调整价格差额 </w:t>
      </w:r>
    </w:p>
    <w:p w14:paraId="4CE0FD48">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施工期内，因人工、材料、设备和机械台班价格波动影响合同价格时，需要进行价格调整的，其价格和数量应由监理人审核，监理人确认需调整的内容、范围、价格和数量作为调整工程合同价格差额的依据。 </w:t>
      </w:r>
    </w:p>
    <w:p w14:paraId="6E6182A7">
      <w:pPr>
        <w:spacing w:line="360" w:lineRule="auto"/>
        <w:rPr>
          <w:rFonts w:ascii="宋体" w:hAnsi="宋体" w:eastAsia="宋体" w:cs="宋体"/>
          <w:lang w:eastAsia="zh-CN"/>
        </w:rPr>
      </w:pPr>
      <w:r>
        <w:rPr>
          <w:rFonts w:hint="eastAsia" w:ascii="宋体" w:hAnsi="宋体" w:eastAsia="宋体" w:cs="宋体"/>
          <w:lang w:eastAsia="zh-CN"/>
        </w:rPr>
        <w:t xml:space="preserve">16.1.2.1  引起价格调整的物价波动风险范围及幅度 </w:t>
      </w:r>
    </w:p>
    <w:p w14:paraId="2DDE3628">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见合同条款专用部分。 </w:t>
      </w:r>
    </w:p>
    <w:p w14:paraId="40D06F2D">
      <w:pPr>
        <w:spacing w:line="360" w:lineRule="auto"/>
        <w:rPr>
          <w:rFonts w:ascii="宋体" w:hAnsi="宋体" w:eastAsia="宋体" w:cs="宋体"/>
          <w:lang w:eastAsia="zh-CN"/>
        </w:rPr>
      </w:pPr>
      <w:r>
        <w:rPr>
          <w:rFonts w:hint="eastAsia" w:ascii="宋体" w:hAnsi="宋体" w:eastAsia="宋体" w:cs="宋体"/>
          <w:lang w:eastAsia="zh-CN"/>
        </w:rPr>
        <w:t xml:space="preserve">16.1.2.2  物价波动变化幅度的计算方法 </w:t>
      </w:r>
    </w:p>
    <w:p w14:paraId="1745F89A">
      <w:pPr>
        <w:spacing w:line="360" w:lineRule="auto"/>
        <w:rPr>
          <w:rFonts w:ascii="宋体" w:hAnsi="宋体" w:eastAsia="宋体" w:cs="宋体"/>
          <w:lang w:eastAsia="zh-CN"/>
        </w:rPr>
      </w:pPr>
      <w:r>
        <w:rPr>
          <w:rFonts w:hint="eastAsia" w:ascii="宋体" w:hAnsi="宋体" w:eastAsia="宋体" w:cs="宋体"/>
          <w:lang w:eastAsia="zh-CN"/>
        </w:rPr>
        <w:t xml:space="preserve">（1）投标报价基准期确定的人工、材料、设备和机械台班的市场价格即为基准价。投标报价基准期见合同条款专用部分。 </w:t>
      </w:r>
    </w:p>
    <w:p w14:paraId="725EEAF5">
      <w:pPr>
        <w:spacing w:line="360" w:lineRule="auto"/>
        <w:rPr>
          <w:rFonts w:ascii="宋体" w:hAnsi="宋体" w:eastAsia="宋体" w:cs="宋体"/>
          <w:lang w:eastAsia="zh-CN"/>
        </w:rPr>
      </w:pPr>
      <w:r>
        <w:rPr>
          <w:rFonts w:hint="eastAsia" w:ascii="宋体" w:hAnsi="宋体" w:eastAsia="宋体" w:cs="宋体"/>
          <w:lang w:eastAsia="zh-CN"/>
        </w:rPr>
        <w:t xml:space="preserve">（2）《北京工程造价信息》中市场价格信息有的，以北京市建设工程造价管理机构发布的《北京工程造价信息》中的市场价格（以下简称造价信息价格）为依据确定基准价，造价信息价格中有上、下限的，以下限为准；《北京工程造价信息》市场价格信息中没有的，确定基准价的方法见合同条款专用部分。 </w:t>
      </w:r>
    </w:p>
    <w:p w14:paraId="3E68AFFE">
      <w:pPr>
        <w:spacing w:line="360" w:lineRule="auto"/>
        <w:rPr>
          <w:rFonts w:ascii="宋体" w:hAnsi="宋体" w:eastAsia="宋体" w:cs="宋体"/>
          <w:lang w:eastAsia="zh-CN"/>
        </w:rPr>
      </w:pPr>
      <w:r>
        <w:rPr>
          <w:rFonts w:hint="eastAsia" w:ascii="宋体" w:hAnsi="宋体" w:eastAsia="宋体" w:cs="宋体"/>
          <w:lang w:eastAsia="zh-CN"/>
        </w:rPr>
        <w:t>（3）合同施工期市场价格的确定方法见合同条款专用部分。</w:t>
      </w:r>
    </w:p>
    <w:p w14:paraId="513467D5">
      <w:pPr>
        <w:spacing w:line="360" w:lineRule="auto"/>
        <w:rPr>
          <w:rFonts w:ascii="宋体" w:hAnsi="宋体" w:eastAsia="宋体" w:cs="宋体"/>
          <w:lang w:eastAsia="zh-CN"/>
        </w:rPr>
      </w:pPr>
      <w:r>
        <w:rPr>
          <w:rFonts w:hint="eastAsia" w:ascii="宋体" w:hAnsi="宋体" w:eastAsia="宋体" w:cs="宋体"/>
          <w:lang w:eastAsia="zh-CN"/>
        </w:rPr>
        <w:t xml:space="preserve">（4）物价波动变化幅度的计算方法： </w:t>
      </w:r>
    </w:p>
    <w:p w14:paraId="628037EF">
      <w:pPr>
        <w:spacing w:line="360" w:lineRule="auto"/>
        <w:rPr>
          <w:rFonts w:ascii="宋体" w:hAnsi="宋体" w:eastAsia="宋体" w:cs="宋体"/>
          <w:lang w:eastAsia="zh-CN"/>
        </w:rPr>
      </w:pPr>
      <w:r>
        <w:rPr>
          <w:rFonts w:hint="eastAsia" w:ascii="宋体" w:hAnsi="宋体" w:eastAsia="宋体" w:cs="宋体"/>
          <w:lang w:eastAsia="zh-CN"/>
        </w:rPr>
        <w:t xml:space="preserve">1）当承包人投标报价中的单价低于基准价时： </w:t>
      </w:r>
    </w:p>
    <w:p w14:paraId="6BEEB8B1">
      <w:pPr>
        <w:spacing w:line="360" w:lineRule="auto"/>
        <w:rPr>
          <w:rFonts w:ascii="宋体" w:hAnsi="宋体" w:eastAsia="宋体" w:cs="宋体"/>
          <w:lang w:eastAsia="zh-CN"/>
        </w:rPr>
      </w:pPr>
      <w:r>
        <w:rPr>
          <w:rFonts w:hint="eastAsia" w:ascii="宋体" w:hAnsi="宋体" w:eastAsia="宋体" w:cs="宋体"/>
          <w:lang w:eastAsia="zh-CN"/>
        </w:rPr>
        <w:t xml:space="preserve">物价波动变化幅度（涨幅）=（施工期市场价-基准价）/基准价×100% </w:t>
      </w:r>
    </w:p>
    <w:p w14:paraId="40305B95">
      <w:pPr>
        <w:spacing w:line="360" w:lineRule="auto"/>
        <w:rPr>
          <w:rFonts w:ascii="宋体" w:hAnsi="宋体" w:eastAsia="宋体" w:cs="宋体"/>
          <w:lang w:eastAsia="zh-CN"/>
        </w:rPr>
      </w:pPr>
      <w:r>
        <w:rPr>
          <w:rFonts w:hint="eastAsia" w:ascii="宋体" w:hAnsi="宋体" w:eastAsia="宋体" w:cs="宋体"/>
          <w:lang w:eastAsia="zh-CN"/>
        </w:rPr>
        <w:t xml:space="preserve">物价波动变化幅度（跌幅）=（施工期市场价-投标单价）/投标单价×100% </w:t>
      </w:r>
    </w:p>
    <w:p w14:paraId="1A363195">
      <w:pPr>
        <w:spacing w:line="360" w:lineRule="auto"/>
        <w:rPr>
          <w:rFonts w:ascii="宋体" w:hAnsi="宋体" w:eastAsia="宋体" w:cs="宋体"/>
          <w:lang w:eastAsia="zh-CN"/>
        </w:rPr>
      </w:pPr>
      <w:r>
        <w:rPr>
          <w:rFonts w:hint="eastAsia" w:ascii="宋体" w:hAnsi="宋体" w:eastAsia="宋体" w:cs="宋体"/>
          <w:lang w:eastAsia="zh-CN"/>
        </w:rPr>
        <w:t xml:space="preserve">2）当承包人投标报价中的单价高于基准价时： </w:t>
      </w:r>
    </w:p>
    <w:p w14:paraId="2C18DB6D">
      <w:pPr>
        <w:spacing w:line="360" w:lineRule="auto"/>
        <w:rPr>
          <w:rFonts w:ascii="宋体" w:hAnsi="宋体" w:eastAsia="宋体" w:cs="宋体"/>
          <w:lang w:eastAsia="zh-CN"/>
        </w:rPr>
      </w:pPr>
      <w:r>
        <w:rPr>
          <w:rFonts w:hint="eastAsia" w:ascii="宋体" w:hAnsi="宋体" w:eastAsia="宋体" w:cs="宋体"/>
          <w:lang w:eastAsia="zh-CN"/>
        </w:rPr>
        <w:t xml:space="preserve">物价波动变化幅度（涨幅）=（施工期市场价-投标单价）/投标单价×100% </w:t>
      </w:r>
    </w:p>
    <w:p w14:paraId="50A6A436">
      <w:pPr>
        <w:spacing w:line="360" w:lineRule="auto"/>
        <w:rPr>
          <w:rFonts w:ascii="宋体" w:hAnsi="宋体" w:eastAsia="宋体" w:cs="宋体"/>
          <w:lang w:eastAsia="zh-CN"/>
        </w:rPr>
      </w:pPr>
      <w:r>
        <w:rPr>
          <w:rFonts w:hint="eastAsia" w:ascii="宋体" w:hAnsi="宋体" w:eastAsia="宋体" w:cs="宋体"/>
          <w:lang w:eastAsia="zh-CN"/>
        </w:rPr>
        <w:t xml:space="preserve">物价波动变化幅度（跌幅）=（施工期市场价-基准价）/基准价×100% </w:t>
      </w:r>
    </w:p>
    <w:p w14:paraId="23F68DA0">
      <w:pPr>
        <w:spacing w:line="360" w:lineRule="auto"/>
        <w:rPr>
          <w:rFonts w:ascii="宋体" w:hAnsi="宋体" w:eastAsia="宋体" w:cs="宋体"/>
          <w:lang w:eastAsia="zh-CN"/>
        </w:rPr>
      </w:pPr>
      <w:r>
        <w:rPr>
          <w:rFonts w:hint="eastAsia" w:ascii="宋体" w:hAnsi="宋体" w:eastAsia="宋体" w:cs="宋体"/>
          <w:lang w:eastAsia="zh-CN"/>
        </w:rPr>
        <w:t xml:space="preserve">3）当承包人投标报价中的单价等于基准价时： </w:t>
      </w:r>
    </w:p>
    <w:p w14:paraId="44A3FD14">
      <w:pPr>
        <w:spacing w:line="360" w:lineRule="auto"/>
        <w:rPr>
          <w:rFonts w:ascii="宋体" w:hAnsi="宋体" w:eastAsia="宋体" w:cs="宋体"/>
          <w:lang w:eastAsia="zh-CN"/>
        </w:rPr>
      </w:pPr>
      <w:r>
        <w:rPr>
          <w:rFonts w:hint="eastAsia" w:ascii="宋体" w:hAnsi="宋体" w:eastAsia="宋体" w:cs="宋体"/>
          <w:lang w:eastAsia="zh-CN"/>
        </w:rPr>
        <w:t xml:space="preserve">物价波动变化幅度=（施工期市场价-基准价）/基准价×100% </w:t>
      </w:r>
    </w:p>
    <w:p w14:paraId="6230CCD1">
      <w:pPr>
        <w:spacing w:line="360" w:lineRule="auto"/>
        <w:rPr>
          <w:rFonts w:ascii="宋体" w:hAnsi="宋体" w:eastAsia="宋体" w:cs="宋体"/>
          <w:lang w:eastAsia="zh-CN"/>
        </w:rPr>
      </w:pPr>
      <w:r>
        <w:rPr>
          <w:rFonts w:hint="eastAsia" w:ascii="宋体" w:hAnsi="宋体" w:eastAsia="宋体" w:cs="宋体"/>
          <w:lang w:eastAsia="zh-CN"/>
        </w:rPr>
        <w:t xml:space="preserve">16.1.2.3  物价波动引起价格调整的方法 </w:t>
      </w:r>
    </w:p>
    <w:p w14:paraId="052E64FE">
      <w:pPr>
        <w:spacing w:line="360" w:lineRule="auto"/>
        <w:rPr>
          <w:rFonts w:ascii="宋体" w:hAnsi="宋体" w:eastAsia="宋体" w:cs="宋体"/>
          <w:lang w:eastAsia="zh-CN"/>
        </w:rPr>
      </w:pPr>
      <w:r>
        <w:rPr>
          <w:rFonts w:hint="eastAsia" w:ascii="宋体" w:hAnsi="宋体" w:eastAsia="宋体" w:cs="宋体"/>
          <w:lang w:eastAsia="zh-CN"/>
        </w:rPr>
        <w:t xml:space="preserve">（1）第16.1.2.1目中约定的人工、材料、设备和机械台班的物价波动变化幅度超过风险幅度时，其计算价格调整差额的方法见合同条款专用部分。 </w:t>
      </w:r>
    </w:p>
    <w:p w14:paraId="5FE50970">
      <w:pPr>
        <w:spacing w:line="360" w:lineRule="auto"/>
        <w:rPr>
          <w:rFonts w:ascii="宋体" w:hAnsi="宋体" w:eastAsia="宋体" w:cs="宋体"/>
          <w:lang w:eastAsia="zh-CN"/>
        </w:rPr>
      </w:pPr>
      <w:r>
        <w:rPr>
          <w:rFonts w:hint="eastAsia" w:ascii="宋体" w:hAnsi="宋体" w:eastAsia="宋体" w:cs="宋体"/>
          <w:lang w:eastAsia="zh-CN"/>
        </w:rPr>
        <w:t xml:space="preserve">（2）第16.1.2.1目中约定的人工的物价波动变化幅度超过风险幅度时，应当计算全部价格差额，其价格差额由发包人承担或受益，其价格差额不计取规费，只计取税金。 </w:t>
      </w:r>
    </w:p>
    <w:p w14:paraId="70A7EB1F">
      <w:pPr>
        <w:spacing w:line="360" w:lineRule="auto"/>
        <w:rPr>
          <w:rFonts w:ascii="宋体" w:hAnsi="宋体" w:eastAsia="宋体" w:cs="宋体"/>
          <w:lang w:eastAsia="zh-CN"/>
        </w:rPr>
      </w:pPr>
      <w:r>
        <w:rPr>
          <w:rFonts w:hint="eastAsia" w:ascii="宋体" w:hAnsi="宋体" w:eastAsia="宋体" w:cs="宋体"/>
          <w:lang w:eastAsia="zh-CN"/>
        </w:rPr>
        <w:t xml:space="preserve">（3）第16.1.2.1目中约定的材料、设备和机械台班的物价波动变化幅度超过风险幅度时，应当计算超过部分的价格差额，其价格差额由发包人承担或受益，其价格差额不计取规费，只计取税金。 </w:t>
      </w:r>
    </w:p>
    <w:p w14:paraId="74F3F181">
      <w:pPr>
        <w:spacing w:line="360" w:lineRule="auto"/>
        <w:rPr>
          <w:rFonts w:ascii="宋体" w:hAnsi="宋体" w:eastAsia="宋体" w:cs="宋体"/>
          <w:lang w:eastAsia="zh-CN"/>
        </w:rPr>
      </w:pPr>
      <w:r>
        <w:rPr>
          <w:rFonts w:hint="eastAsia" w:ascii="宋体" w:hAnsi="宋体" w:eastAsia="宋体" w:cs="宋体"/>
          <w:lang w:eastAsia="zh-CN"/>
        </w:rPr>
        <w:t xml:space="preserve">16.1.2.4  物价波动引起价格调整的其他约定见合同条款专用部分。 </w:t>
      </w:r>
    </w:p>
    <w:p w14:paraId="4D84DBC5">
      <w:pPr>
        <w:spacing w:line="360" w:lineRule="auto"/>
        <w:rPr>
          <w:rFonts w:ascii="宋体" w:hAnsi="宋体" w:eastAsia="宋体" w:cs="宋体"/>
          <w:lang w:eastAsia="zh-CN"/>
        </w:rPr>
      </w:pPr>
      <w:r>
        <w:rPr>
          <w:rFonts w:hint="eastAsia" w:ascii="宋体" w:hAnsi="宋体" w:eastAsia="宋体" w:cs="宋体"/>
          <w:lang w:eastAsia="zh-CN"/>
        </w:rPr>
        <w:t xml:space="preserve">16.1.3  物价波动引起价格调整的其他方法见合同条款专用部分。 </w:t>
      </w:r>
    </w:p>
    <w:p w14:paraId="7CF002C8">
      <w:pPr>
        <w:spacing w:line="360" w:lineRule="auto"/>
        <w:rPr>
          <w:rFonts w:ascii="宋体" w:hAnsi="宋体" w:eastAsia="宋体" w:cs="宋体"/>
          <w:lang w:eastAsia="zh-CN"/>
        </w:rPr>
      </w:pPr>
      <w:bookmarkStart w:id="914" w:name="_Toc511293915"/>
      <w:bookmarkStart w:id="915" w:name="_Toc511294186"/>
      <w:r>
        <w:rPr>
          <w:rFonts w:hint="eastAsia" w:ascii="宋体" w:hAnsi="宋体" w:eastAsia="宋体" w:cs="宋体"/>
          <w:lang w:eastAsia="zh-CN"/>
        </w:rPr>
        <w:t>16.2  法律变化引起的价格调整</w:t>
      </w:r>
      <w:bookmarkEnd w:id="914"/>
      <w:bookmarkEnd w:id="915"/>
      <w:r>
        <w:rPr>
          <w:rFonts w:hint="eastAsia" w:ascii="宋体" w:hAnsi="宋体" w:eastAsia="宋体" w:cs="宋体"/>
          <w:lang w:eastAsia="zh-CN"/>
        </w:rPr>
        <w:t xml:space="preserve"> </w:t>
      </w:r>
    </w:p>
    <w:p w14:paraId="1EA7BA47">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在基准日后，因法律变化导致承包人在合同履行中所需要的工程费用发生除第16.1款约定以外的增减时，监理人应根据法律、国家或省、自治区、直辖市有关部门的规定，按第3.5款商定或确定需调整的合同价款。 </w:t>
      </w:r>
    </w:p>
    <w:p w14:paraId="23A206F1">
      <w:pPr>
        <w:spacing w:line="360" w:lineRule="auto"/>
        <w:rPr>
          <w:rFonts w:ascii="宋体" w:hAnsi="宋体" w:eastAsia="宋体" w:cs="宋体"/>
          <w:lang w:eastAsia="zh-CN"/>
        </w:rPr>
      </w:pPr>
      <w:r>
        <w:rPr>
          <w:rFonts w:hint="eastAsia" w:ascii="宋体" w:hAnsi="宋体" w:eastAsia="宋体" w:cs="宋体"/>
          <w:lang w:eastAsia="zh-CN"/>
        </w:rPr>
        <w:t xml:space="preserve">17.计量与支付 </w:t>
      </w:r>
    </w:p>
    <w:p w14:paraId="19F11A87">
      <w:pPr>
        <w:spacing w:line="360" w:lineRule="auto"/>
        <w:rPr>
          <w:rFonts w:ascii="宋体" w:hAnsi="宋体" w:eastAsia="宋体" w:cs="宋体"/>
          <w:lang w:eastAsia="zh-CN"/>
        </w:rPr>
      </w:pPr>
      <w:bookmarkStart w:id="916" w:name="_Toc511293916"/>
      <w:bookmarkStart w:id="917" w:name="_Toc511294187"/>
      <w:r>
        <w:rPr>
          <w:rFonts w:hint="eastAsia" w:ascii="宋体" w:hAnsi="宋体" w:eastAsia="宋体" w:cs="宋体"/>
          <w:lang w:eastAsia="zh-CN"/>
        </w:rPr>
        <w:t>17.1  计量</w:t>
      </w:r>
      <w:bookmarkEnd w:id="916"/>
      <w:bookmarkEnd w:id="917"/>
      <w:r>
        <w:rPr>
          <w:rFonts w:hint="eastAsia" w:ascii="宋体" w:hAnsi="宋体" w:eastAsia="宋体" w:cs="宋体"/>
          <w:lang w:eastAsia="zh-CN"/>
        </w:rPr>
        <w:t xml:space="preserve"> </w:t>
      </w:r>
    </w:p>
    <w:p w14:paraId="519371C0">
      <w:pPr>
        <w:spacing w:line="360" w:lineRule="auto"/>
        <w:rPr>
          <w:rFonts w:ascii="宋体" w:hAnsi="宋体" w:eastAsia="宋体" w:cs="宋体"/>
          <w:lang w:eastAsia="zh-CN"/>
        </w:rPr>
      </w:pPr>
      <w:r>
        <w:rPr>
          <w:rFonts w:hint="eastAsia" w:ascii="宋体" w:hAnsi="宋体" w:eastAsia="宋体" w:cs="宋体"/>
          <w:lang w:eastAsia="zh-CN"/>
        </w:rPr>
        <w:t xml:space="preserve">17.1.1  计量单位 </w:t>
      </w:r>
    </w:p>
    <w:p w14:paraId="207FC23F">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计量采用国家法定的计量单位。 </w:t>
      </w:r>
    </w:p>
    <w:p w14:paraId="604BA927">
      <w:pPr>
        <w:spacing w:line="360" w:lineRule="auto"/>
        <w:rPr>
          <w:rFonts w:ascii="宋体" w:hAnsi="宋体" w:eastAsia="宋体" w:cs="宋体"/>
          <w:lang w:eastAsia="zh-CN"/>
        </w:rPr>
      </w:pPr>
      <w:r>
        <w:rPr>
          <w:rFonts w:hint="eastAsia" w:ascii="宋体" w:hAnsi="宋体" w:eastAsia="宋体" w:cs="宋体"/>
          <w:lang w:eastAsia="zh-CN"/>
        </w:rPr>
        <w:t xml:space="preserve">17.1.2  计量方法工程量计算规则执行工程量清单中约定的计量计价规范版本。除合同另有约定外，承包人实际完成的工程量按约定的工程量计算规则和有合同约束力的图纸进行计量。 </w:t>
      </w:r>
    </w:p>
    <w:p w14:paraId="51A514D5">
      <w:pPr>
        <w:spacing w:line="360" w:lineRule="auto"/>
        <w:rPr>
          <w:rFonts w:ascii="宋体" w:hAnsi="宋体" w:eastAsia="宋体" w:cs="宋体"/>
          <w:lang w:eastAsia="zh-CN"/>
        </w:rPr>
      </w:pPr>
      <w:r>
        <w:rPr>
          <w:rFonts w:hint="eastAsia" w:ascii="宋体" w:hAnsi="宋体" w:eastAsia="宋体" w:cs="宋体"/>
          <w:lang w:eastAsia="zh-CN"/>
        </w:rPr>
        <w:t xml:space="preserve">17.1.3  计量周期 </w:t>
      </w:r>
    </w:p>
    <w:p w14:paraId="451D1D26">
      <w:pPr>
        <w:spacing w:line="360" w:lineRule="auto"/>
        <w:rPr>
          <w:rFonts w:ascii="宋体" w:hAnsi="宋体" w:eastAsia="宋体" w:cs="宋体"/>
          <w:lang w:eastAsia="zh-CN"/>
        </w:rPr>
      </w:pPr>
      <w:r>
        <w:rPr>
          <w:rFonts w:hint="eastAsia" w:ascii="宋体" w:hAnsi="宋体" w:eastAsia="宋体" w:cs="宋体"/>
          <w:lang w:eastAsia="zh-CN"/>
        </w:rPr>
        <w:t xml:space="preserve">（1）本合同的计量周期为月，当月计量截止日期（不含当日）和下月计量起始日期（含当日）见合同条款专用部分。 </w:t>
      </w:r>
    </w:p>
    <w:p w14:paraId="08F4189E">
      <w:pPr>
        <w:spacing w:line="360" w:lineRule="auto"/>
        <w:rPr>
          <w:rFonts w:ascii="宋体" w:hAnsi="宋体" w:eastAsia="宋体" w:cs="宋体"/>
          <w:lang w:eastAsia="zh-CN"/>
        </w:rPr>
      </w:pPr>
      <w:r>
        <w:rPr>
          <w:rFonts w:hint="eastAsia" w:ascii="宋体" w:hAnsi="宋体" w:eastAsia="宋体" w:cs="宋体"/>
          <w:lang w:eastAsia="zh-CN"/>
        </w:rPr>
        <w:t xml:space="preserve">（2）单价子目已完成工程量是否按月计量见合同条款专用部分。 </w:t>
      </w:r>
    </w:p>
    <w:p w14:paraId="176128C3">
      <w:pPr>
        <w:spacing w:line="360" w:lineRule="auto"/>
        <w:rPr>
          <w:rFonts w:ascii="宋体" w:hAnsi="宋体" w:eastAsia="宋体" w:cs="宋体"/>
          <w:lang w:eastAsia="zh-CN"/>
        </w:rPr>
      </w:pPr>
      <w:r>
        <w:rPr>
          <w:rFonts w:hint="eastAsia" w:ascii="宋体" w:hAnsi="宋体" w:eastAsia="宋体" w:cs="宋体"/>
          <w:lang w:eastAsia="zh-CN"/>
        </w:rPr>
        <w:t xml:space="preserve">（3）总价子目计量方法见合同条款专用部分。 </w:t>
      </w:r>
    </w:p>
    <w:p w14:paraId="05657FA2">
      <w:pPr>
        <w:spacing w:line="360" w:lineRule="auto"/>
        <w:rPr>
          <w:rFonts w:ascii="宋体" w:hAnsi="宋体" w:eastAsia="宋体" w:cs="宋体"/>
          <w:lang w:eastAsia="zh-CN"/>
        </w:rPr>
      </w:pPr>
      <w:r>
        <w:rPr>
          <w:rFonts w:hint="eastAsia" w:ascii="宋体" w:hAnsi="宋体" w:eastAsia="宋体" w:cs="宋体"/>
          <w:lang w:eastAsia="zh-CN"/>
        </w:rPr>
        <w:t xml:space="preserve">17.1.4  单价子目的计量 </w:t>
      </w:r>
    </w:p>
    <w:p w14:paraId="21DE2592">
      <w:pPr>
        <w:spacing w:line="360" w:lineRule="auto"/>
        <w:rPr>
          <w:rFonts w:ascii="宋体" w:hAnsi="宋体" w:eastAsia="宋体" w:cs="宋体"/>
          <w:lang w:eastAsia="zh-CN"/>
        </w:rPr>
      </w:pPr>
      <w:r>
        <w:rPr>
          <w:rFonts w:hint="eastAsia" w:ascii="宋体" w:hAnsi="宋体" w:eastAsia="宋体" w:cs="宋体"/>
          <w:lang w:eastAsia="zh-CN"/>
        </w:rPr>
        <w:t xml:space="preserve">（1）已标价工程量清单中的单价子目工程量为估算工程量。结算工程量是承包人实际完成的，并按合同约定的计量方法进行计量的工程量。 </w:t>
      </w:r>
    </w:p>
    <w:p w14:paraId="625422F6">
      <w:pPr>
        <w:spacing w:line="360" w:lineRule="auto"/>
        <w:rPr>
          <w:rFonts w:ascii="宋体" w:hAnsi="宋体" w:eastAsia="宋体" w:cs="宋体"/>
          <w:lang w:eastAsia="zh-CN"/>
        </w:rPr>
      </w:pPr>
      <w:r>
        <w:rPr>
          <w:rFonts w:hint="eastAsia" w:ascii="宋体" w:hAnsi="宋体" w:eastAsia="宋体" w:cs="宋体"/>
          <w:lang w:eastAsia="zh-CN"/>
        </w:rPr>
        <w:t xml:space="preserve">（2）承包人对已完成的工程进行计量，向监理人提交进度付款申请单、已完成工程量报表和有关计量资料。 </w:t>
      </w:r>
    </w:p>
    <w:p w14:paraId="50CE17CD">
      <w:pPr>
        <w:spacing w:line="360" w:lineRule="auto"/>
        <w:rPr>
          <w:rFonts w:ascii="宋体" w:hAnsi="宋体" w:eastAsia="宋体" w:cs="宋体"/>
          <w:lang w:eastAsia="zh-CN"/>
        </w:rPr>
      </w:pPr>
      <w:r>
        <w:rPr>
          <w:rFonts w:hint="eastAsia" w:ascii="宋体" w:hAnsi="宋体" w:eastAsia="宋体" w:cs="宋体"/>
          <w:lang w:eastAsia="zh-CN"/>
        </w:rPr>
        <w:t xml:space="preserve">（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 </w:t>
      </w:r>
    </w:p>
    <w:p w14:paraId="0D73E48C">
      <w:pPr>
        <w:spacing w:line="360" w:lineRule="auto"/>
        <w:rPr>
          <w:rFonts w:ascii="宋体" w:hAnsi="宋体" w:eastAsia="宋体" w:cs="宋体"/>
          <w:lang w:eastAsia="zh-CN"/>
        </w:rPr>
      </w:pPr>
      <w:r>
        <w:rPr>
          <w:rFonts w:hint="eastAsia" w:ascii="宋体" w:hAnsi="宋体" w:eastAsia="宋体" w:cs="宋体"/>
          <w:lang w:eastAsia="zh-CN"/>
        </w:rPr>
        <w:t xml:space="preserve">（4）监理人认为有必要时，可通知承包人共同进行联合测量、计量，承包人应遵照执行。 </w:t>
      </w:r>
    </w:p>
    <w:p w14:paraId="321396DE">
      <w:pPr>
        <w:spacing w:line="360" w:lineRule="auto"/>
        <w:rPr>
          <w:rFonts w:ascii="宋体" w:hAnsi="宋体" w:eastAsia="宋体" w:cs="宋体"/>
          <w:lang w:eastAsia="zh-CN"/>
        </w:rPr>
      </w:pPr>
      <w:r>
        <w:rPr>
          <w:rFonts w:hint="eastAsia" w:ascii="宋体" w:hAnsi="宋体" w:eastAsia="宋体" w:cs="宋体"/>
          <w:lang w:eastAsia="zh-CN"/>
        </w:rPr>
        <w:t xml:space="preserve">（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 </w:t>
      </w:r>
    </w:p>
    <w:p w14:paraId="348F8B7B">
      <w:pPr>
        <w:spacing w:line="360" w:lineRule="auto"/>
        <w:rPr>
          <w:rFonts w:ascii="宋体" w:hAnsi="宋体" w:eastAsia="宋体" w:cs="宋体"/>
          <w:lang w:eastAsia="zh-CN"/>
        </w:rPr>
      </w:pPr>
      <w:r>
        <w:rPr>
          <w:rFonts w:hint="eastAsia" w:ascii="宋体" w:hAnsi="宋体" w:eastAsia="宋体" w:cs="宋体"/>
          <w:lang w:eastAsia="zh-CN"/>
        </w:rPr>
        <w:t xml:space="preserve">（6）监理人应在收到承包人提交的工程量报表后的7天内进行复核，监理人未在约定时间内复核的，承包人提交的工程量报表中的工程量视为承包人实际完成的工程量，据此计算工程价款。 </w:t>
      </w:r>
    </w:p>
    <w:p w14:paraId="01E6B671">
      <w:pPr>
        <w:spacing w:line="360" w:lineRule="auto"/>
        <w:rPr>
          <w:rFonts w:ascii="宋体" w:hAnsi="宋体" w:eastAsia="宋体" w:cs="宋体"/>
          <w:lang w:eastAsia="zh-CN"/>
        </w:rPr>
      </w:pPr>
      <w:r>
        <w:rPr>
          <w:rFonts w:hint="eastAsia" w:ascii="宋体" w:hAnsi="宋体" w:eastAsia="宋体" w:cs="宋体"/>
          <w:lang w:eastAsia="zh-CN"/>
        </w:rPr>
        <w:t xml:space="preserve">17.1.5  总价子目的计量（适用于采用支付分解报告） </w:t>
      </w:r>
    </w:p>
    <w:p w14:paraId="0AF1CED7">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 </w:t>
      </w:r>
    </w:p>
    <w:p w14:paraId="7998D403">
      <w:pPr>
        <w:spacing w:line="360" w:lineRule="auto"/>
        <w:rPr>
          <w:rFonts w:ascii="宋体" w:hAnsi="宋体" w:eastAsia="宋体" w:cs="宋体"/>
          <w:lang w:eastAsia="zh-CN"/>
        </w:rPr>
      </w:pPr>
      <w:r>
        <w:rPr>
          <w:rFonts w:hint="eastAsia" w:ascii="宋体" w:hAnsi="宋体" w:eastAsia="宋体" w:cs="宋体"/>
          <w:lang w:eastAsia="zh-CN"/>
        </w:rPr>
        <w:t xml:space="preserve">（1）总价子目的价格调整方法见合同条款专用部分。 </w:t>
      </w:r>
    </w:p>
    <w:p w14:paraId="770A79FA">
      <w:pPr>
        <w:spacing w:line="360" w:lineRule="auto"/>
        <w:rPr>
          <w:rFonts w:ascii="宋体" w:hAnsi="宋体" w:eastAsia="宋体" w:cs="宋体"/>
          <w:lang w:eastAsia="zh-CN"/>
        </w:rPr>
      </w:pPr>
      <w:r>
        <w:rPr>
          <w:rFonts w:hint="eastAsia" w:ascii="宋体" w:hAnsi="宋体" w:eastAsia="宋体" w:cs="宋体"/>
          <w:lang w:eastAsia="zh-CN"/>
        </w:rPr>
        <w:t xml:space="preserve">（2）列入每月进度付款申请单中各总价子目的价值为有合同约束力的支付分解表中对应月份的总价子目总价值。 </w:t>
      </w:r>
    </w:p>
    <w:p w14:paraId="67F66953">
      <w:pPr>
        <w:spacing w:line="360" w:lineRule="auto"/>
        <w:rPr>
          <w:rFonts w:ascii="宋体" w:hAnsi="宋体" w:eastAsia="宋体" w:cs="宋体"/>
          <w:lang w:eastAsia="zh-CN"/>
        </w:rPr>
      </w:pPr>
      <w:r>
        <w:rPr>
          <w:rFonts w:hint="eastAsia" w:ascii="宋体" w:hAnsi="宋体" w:eastAsia="宋体" w:cs="宋体"/>
          <w:lang w:eastAsia="zh-CN"/>
        </w:rPr>
        <w:t xml:space="preserve">（3）监理人根据有合同约束力的支付分解表复核列入每月进度付款申请单中的总价子目的总价值。 </w:t>
      </w:r>
    </w:p>
    <w:p w14:paraId="73337894">
      <w:pPr>
        <w:spacing w:line="360" w:lineRule="auto"/>
        <w:rPr>
          <w:rFonts w:ascii="宋体" w:hAnsi="宋体" w:eastAsia="宋体" w:cs="宋体"/>
          <w:lang w:eastAsia="zh-CN"/>
        </w:rPr>
      </w:pPr>
      <w:r>
        <w:rPr>
          <w:rFonts w:hint="eastAsia" w:ascii="宋体" w:hAnsi="宋体" w:eastAsia="宋体" w:cs="宋体"/>
          <w:lang w:eastAsia="zh-CN"/>
        </w:rPr>
        <w:t xml:space="preserve">（4）除按照第15条约定的变更外，在竣工结算时总价子目的工程量不应当重新计量，签约合同价所基于的工程量即是用于竣工结算的最终工程量。 </w:t>
      </w:r>
    </w:p>
    <w:p w14:paraId="18A5C765">
      <w:pPr>
        <w:spacing w:line="360" w:lineRule="auto"/>
        <w:rPr>
          <w:rFonts w:ascii="宋体" w:hAnsi="宋体" w:eastAsia="宋体" w:cs="宋体"/>
          <w:lang w:eastAsia="zh-CN"/>
        </w:rPr>
      </w:pPr>
      <w:r>
        <w:rPr>
          <w:rFonts w:hint="eastAsia" w:ascii="宋体" w:hAnsi="宋体" w:eastAsia="宋体" w:cs="宋体"/>
          <w:lang w:eastAsia="zh-CN"/>
        </w:rPr>
        <w:t xml:space="preserve">17.1.5  总价子目的计量（适用于采用按实际完成工程量计量） </w:t>
      </w:r>
    </w:p>
    <w:p w14:paraId="2ADF2A76">
      <w:pPr>
        <w:spacing w:line="360" w:lineRule="auto"/>
        <w:rPr>
          <w:rFonts w:ascii="宋体" w:hAnsi="宋体" w:eastAsia="宋体" w:cs="宋体"/>
          <w:lang w:eastAsia="zh-CN"/>
        </w:rPr>
      </w:pPr>
      <w:r>
        <w:rPr>
          <w:rFonts w:hint="eastAsia" w:ascii="宋体" w:hAnsi="宋体" w:eastAsia="宋体" w:cs="宋体"/>
          <w:lang w:eastAsia="zh-CN"/>
        </w:rPr>
        <w:t xml:space="preserve">（1）总价子目的计量和支付应以总价为基础，对承包人实际完成的工程量进行计量，是进行工程目标管理和控制进度款支付的依据。总价子目的价格调整方法见合同条款专用部分。 </w:t>
      </w:r>
    </w:p>
    <w:p w14:paraId="4E6CB042">
      <w:pPr>
        <w:spacing w:line="360" w:lineRule="auto"/>
        <w:rPr>
          <w:rFonts w:ascii="宋体" w:hAnsi="宋体" w:eastAsia="宋体" w:cs="宋体"/>
          <w:lang w:eastAsia="zh-CN"/>
        </w:rPr>
      </w:pPr>
      <w:r>
        <w:rPr>
          <w:rFonts w:hint="eastAsia" w:ascii="宋体" w:hAnsi="宋体" w:eastAsia="宋体" w:cs="宋体"/>
          <w:lang w:eastAsia="zh-CN"/>
        </w:rPr>
        <w:t xml:space="preserve">（2）承包人在合同条款专用部分第 17.1.3（1）目约定的每月计量截止日期后，对已完成的分部分项工程和单价措施项目的子目，按照合同条款第17.1.2项约定的计量方法进行计量，对已完成的总价措施项目的相关子目，按其总价构成、费用性质和实际发生比例进行计量，向监理人提交进度付款申请单、已完成工程量报表和有关计量资料。 </w:t>
      </w:r>
    </w:p>
    <w:p w14:paraId="3AB2A114">
      <w:pPr>
        <w:spacing w:line="360" w:lineRule="auto"/>
        <w:rPr>
          <w:rFonts w:ascii="宋体" w:hAnsi="宋体" w:eastAsia="宋体" w:cs="宋体"/>
          <w:lang w:eastAsia="zh-CN"/>
        </w:rPr>
      </w:pPr>
      <w:r>
        <w:rPr>
          <w:rFonts w:hint="eastAsia" w:ascii="宋体" w:hAnsi="宋体" w:eastAsia="宋体" w:cs="宋体"/>
          <w:lang w:eastAsia="zh-CN"/>
        </w:rPr>
        <w:t xml:space="preserve">（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 </w:t>
      </w:r>
    </w:p>
    <w:p w14:paraId="71DA5295">
      <w:pPr>
        <w:spacing w:line="360" w:lineRule="auto"/>
        <w:rPr>
          <w:rFonts w:ascii="宋体" w:hAnsi="宋体" w:eastAsia="宋体" w:cs="宋体"/>
          <w:lang w:eastAsia="zh-CN"/>
        </w:rPr>
      </w:pPr>
      <w:r>
        <w:rPr>
          <w:rFonts w:hint="eastAsia" w:ascii="宋体" w:hAnsi="宋体" w:eastAsia="宋体" w:cs="宋体"/>
          <w:lang w:eastAsia="zh-CN"/>
        </w:rPr>
        <w:t xml:space="preserve">（4）监理人应在收到承包人提交的工程量报表后的7天内进行复核，监理人未在约定时间内复核的，承包人提交的工程量报表中的工程量视为承包人实际完成的工程量，据此计算工程价款。 </w:t>
      </w:r>
    </w:p>
    <w:p w14:paraId="5F9F018F">
      <w:pPr>
        <w:spacing w:line="360" w:lineRule="auto"/>
        <w:rPr>
          <w:rFonts w:ascii="宋体" w:hAnsi="宋体" w:eastAsia="宋体" w:cs="宋体"/>
          <w:lang w:eastAsia="zh-CN"/>
        </w:rPr>
      </w:pPr>
      <w:r>
        <w:rPr>
          <w:rFonts w:hint="eastAsia" w:ascii="宋体" w:hAnsi="宋体" w:eastAsia="宋体" w:cs="宋体"/>
          <w:lang w:eastAsia="zh-CN"/>
        </w:rPr>
        <w:t xml:space="preserve">（5）除按照第15条约定的变更外，在竣工结算时总价子目的工程量不应当重新计量，签约合同价所基于的工程量即是用于竣工结算的最终工程量。 </w:t>
      </w:r>
    </w:p>
    <w:p w14:paraId="720BA649">
      <w:pPr>
        <w:spacing w:line="360" w:lineRule="auto"/>
        <w:rPr>
          <w:rFonts w:ascii="宋体" w:hAnsi="宋体" w:eastAsia="宋体" w:cs="宋体"/>
          <w:lang w:eastAsia="zh-CN"/>
        </w:rPr>
      </w:pPr>
      <w:bookmarkStart w:id="918" w:name="_Toc511293917"/>
      <w:bookmarkStart w:id="919" w:name="_Toc511294188"/>
      <w:r>
        <w:rPr>
          <w:rFonts w:hint="eastAsia" w:ascii="宋体" w:hAnsi="宋体" w:eastAsia="宋体" w:cs="宋体"/>
          <w:lang w:eastAsia="zh-CN"/>
        </w:rPr>
        <w:t>17.2  预付款</w:t>
      </w:r>
      <w:bookmarkEnd w:id="918"/>
      <w:bookmarkEnd w:id="919"/>
      <w:r>
        <w:rPr>
          <w:rFonts w:hint="eastAsia" w:ascii="宋体" w:hAnsi="宋体" w:eastAsia="宋体" w:cs="宋体"/>
          <w:lang w:eastAsia="zh-CN"/>
        </w:rPr>
        <w:t xml:space="preserve"> </w:t>
      </w:r>
    </w:p>
    <w:p w14:paraId="43F72878">
      <w:pPr>
        <w:spacing w:line="360" w:lineRule="auto"/>
        <w:rPr>
          <w:rFonts w:ascii="宋体" w:hAnsi="宋体" w:eastAsia="宋体" w:cs="宋体"/>
          <w:lang w:eastAsia="zh-CN"/>
        </w:rPr>
      </w:pPr>
      <w:r>
        <w:rPr>
          <w:rFonts w:hint="eastAsia" w:ascii="宋体" w:hAnsi="宋体" w:eastAsia="宋体" w:cs="宋体"/>
          <w:lang w:eastAsia="zh-CN"/>
        </w:rPr>
        <w:t>17.2.1 预付款</w:t>
      </w:r>
    </w:p>
    <w:p w14:paraId="7BD8576F">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 预付款预付款用于承包人为合同工程施工购置材料、工程设备、施工设备、修建临时设施以及组织施工队伍进场等。预付款必须专用于合同工程。预付款的额度和预付办法以及支付时间见合同条款专用部分。 </w:t>
      </w:r>
    </w:p>
    <w:p w14:paraId="359F4758">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安全文明施工费用预付款额度见合同条款专用部分。 </w:t>
      </w:r>
    </w:p>
    <w:p w14:paraId="3A80C4EC">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发包人逾期支付合同约定的预付款，除承担第22.2款约定的违约责任外，还应向承包人支付按第17.3.3(2)目约定的标准和方法计算的逾期付款违约金。 </w:t>
      </w:r>
    </w:p>
    <w:p w14:paraId="790F7649">
      <w:pPr>
        <w:spacing w:line="360" w:lineRule="auto"/>
        <w:rPr>
          <w:rFonts w:ascii="宋体" w:hAnsi="宋体" w:eastAsia="宋体" w:cs="宋体"/>
          <w:lang w:eastAsia="zh-CN"/>
        </w:rPr>
      </w:pPr>
      <w:r>
        <w:rPr>
          <w:rFonts w:hint="eastAsia" w:ascii="宋体" w:hAnsi="宋体" w:eastAsia="宋体" w:cs="宋体"/>
          <w:lang w:eastAsia="zh-CN"/>
        </w:rPr>
        <w:t xml:space="preserve">17.2.2  预付款的扣回与还清 </w:t>
      </w:r>
    </w:p>
    <w:p w14:paraId="6139C594">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预付款在进度付款中按照合同约定扣回。在颁发工程接收证书前，由于不可抗力或其他原因解除合同时，预付款尚未扣清的，尚未扣清的预付款余额应作为承包人的到期应付款。预付款扣回办法见合同条款专用部分。 </w:t>
      </w:r>
    </w:p>
    <w:p w14:paraId="005DB0BC">
      <w:pPr>
        <w:spacing w:line="360" w:lineRule="auto"/>
        <w:rPr>
          <w:rFonts w:ascii="宋体" w:hAnsi="宋体" w:eastAsia="宋体" w:cs="宋体"/>
          <w:lang w:eastAsia="zh-CN"/>
        </w:rPr>
      </w:pPr>
      <w:bookmarkStart w:id="920" w:name="_Toc511294189"/>
      <w:bookmarkStart w:id="921" w:name="_Toc511293918"/>
      <w:r>
        <w:rPr>
          <w:rFonts w:hint="eastAsia" w:ascii="宋体" w:hAnsi="宋体" w:eastAsia="宋体" w:cs="宋体"/>
          <w:lang w:eastAsia="zh-CN"/>
        </w:rPr>
        <w:t>17.3  工程进度付款</w:t>
      </w:r>
      <w:bookmarkEnd w:id="920"/>
      <w:bookmarkEnd w:id="921"/>
      <w:r>
        <w:rPr>
          <w:rFonts w:hint="eastAsia" w:ascii="宋体" w:hAnsi="宋体" w:eastAsia="宋体" w:cs="宋体"/>
          <w:lang w:eastAsia="zh-CN"/>
        </w:rPr>
        <w:t xml:space="preserve"> </w:t>
      </w:r>
    </w:p>
    <w:p w14:paraId="2551DA57">
      <w:pPr>
        <w:spacing w:line="360" w:lineRule="auto"/>
        <w:rPr>
          <w:rFonts w:ascii="宋体" w:hAnsi="宋体" w:eastAsia="宋体" w:cs="宋体"/>
          <w:lang w:eastAsia="zh-CN"/>
        </w:rPr>
      </w:pPr>
      <w:r>
        <w:rPr>
          <w:rFonts w:hint="eastAsia" w:ascii="宋体" w:hAnsi="宋体" w:eastAsia="宋体" w:cs="宋体"/>
          <w:lang w:eastAsia="zh-CN"/>
        </w:rPr>
        <w:t xml:space="preserve">17.3.1  付款周期 </w:t>
      </w:r>
    </w:p>
    <w:p w14:paraId="5031FE5E">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付款周期同计量周期。 </w:t>
      </w:r>
    </w:p>
    <w:p w14:paraId="28F83E4E">
      <w:pPr>
        <w:spacing w:line="360" w:lineRule="auto"/>
        <w:rPr>
          <w:rFonts w:ascii="宋体" w:hAnsi="宋体" w:eastAsia="宋体" w:cs="宋体"/>
          <w:lang w:eastAsia="zh-CN"/>
        </w:rPr>
      </w:pPr>
      <w:r>
        <w:rPr>
          <w:rFonts w:hint="eastAsia" w:ascii="宋体" w:hAnsi="宋体" w:eastAsia="宋体" w:cs="宋体"/>
          <w:lang w:eastAsia="zh-CN"/>
        </w:rPr>
        <w:t xml:space="preserve">17.3.2  进度付款申请单 </w:t>
      </w:r>
    </w:p>
    <w:p w14:paraId="567B0E3A">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承包人应在每个付款周期末，按监理人批准的格式和合同约定的份数，向监理人提交进度付款申请单，并附相应的支持性证明文件。承包人提交进度付款申请单份数见合同条款专用部分。 </w:t>
      </w:r>
    </w:p>
    <w:p w14:paraId="49DDA362">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承包人报送监理人的进度付款申请单应包括下列内容： </w:t>
      </w:r>
    </w:p>
    <w:p w14:paraId="56D1B80C">
      <w:pPr>
        <w:spacing w:line="360" w:lineRule="auto"/>
        <w:rPr>
          <w:rFonts w:ascii="宋体" w:hAnsi="宋体" w:eastAsia="宋体" w:cs="宋体"/>
          <w:lang w:eastAsia="zh-CN"/>
        </w:rPr>
      </w:pPr>
      <w:r>
        <w:rPr>
          <w:rFonts w:hint="eastAsia" w:ascii="宋体" w:hAnsi="宋体" w:eastAsia="宋体" w:cs="宋体"/>
          <w:lang w:eastAsia="zh-CN"/>
        </w:rPr>
        <w:t xml:space="preserve">（１）截至本次付款周期末已实施工程的价款； </w:t>
      </w:r>
    </w:p>
    <w:p w14:paraId="468E8F35">
      <w:pPr>
        <w:spacing w:line="360" w:lineRule="auto"/>
        <w:rPr>
          <w:rFonts w:ascii="宋体" w:hAnsi="宋体" w:eastAsia="宋体" w:cs="宋体"/>
          <w:lang w:eastAsia="zh-CN"/>
        </w:rPr>
      </w:pPr>
      <w:r>
        <w:rPr>
          <w:rFonts w:hint="eastAsia" w:ascii="宋体" w:hAnsi="宋体" w:eastAsia="宋体" w:cs="宋体"/>
          <w:lang w:eastAsia="zh-CN"/>
        </w:rPr>
        <w:t xml:space="preserve">（2）根据第15条应增加和扣减的变更金额； </w:t>
      </w:r>
    </w:p>
    <w:p w14:paraId="6618BED7">
      <w:pPr>
        <w:spacing w:line="360" w:lineRule="auto"/>
        <w:rPr>
          <w:rFonts w:ascii="宋体" w:hAnsi="宋体" w:eastAsia="宋体" w:cs="宋体"/>
          <w:lang w:eastAsia="zh-CN"/>
        </w:rPr>
      </w:pPr>
      <w:r>
        <w:rPr>
          <w:rFonts w:hint="eastAsia" w:ascii="宋体" w:hAnsi="宋体" w:eastAsia="宋体" w:cs="宋体"/>
          <w:lang w:eastAsia="zh-CN"/>
        </w:rPr>
        <w:t xml:space="preserve">（3）根据第23条应增加和扣减的索赔金额； </w:t>
      </w:r>
    </w:p>
    <w:p w14:paraId="5E5E2F19">
      <w:pPr>
        <w:spacing w:line="360" w:lineRule="auto"/>
        <w:rPr>
          <w:rFonts w:ascii="宋体" w:hAnsi="宋体" w:eastAsia="宋体" w:cs="宋体"/>
          <w:lang w:eastAsia="zh-CN"/>
        </w:rPr>
      </w:pPr>
      <w:r>
        <w:rPr>
          <w:rFonts w:hint="eastAsia" w:ascii="宋体" w:hAnsi="宋体" w:eastAsia="宋体" w:cs="宋体"/>
          <w:lang w:eastAsia="zh-CN"/>
        </w:rPr>
        <w:t xml:space="preserve">（4）根据第17.2款约定应支付的预付款和扣减的返还预付款； </w:t>
      </w:r>
    </w:p>
    <w:p w14:paraId="5E41A89F">
      <w:pPr>
        <w:spacing w:line="360" w:lineRule="auto"/>
        <w:rPr>
          <w:rFonts w:ascii="宋体" w:hAnsi="宋体" w:eastAsia="宋体" w:cs="宋体"/>
          <w:lang w:eastAsia="zh-CN"/>
        </w:rPr>
      </w:pPr>
      <w:r>
        <w:rPr>
          <w:rFonts w:hint="eastAsia" w:ascii="宋体" w:hAnsi="宋体" w:eastAsia="宋体" w:cs="宋体"/>
          <w:lang w:eastAsia="zh-CN"/>
        </w:rPr>
        <w:t xml:space="preserve">（5）根据第17.4.1项约定应扣减的质量保证金； </w:t>
      </w:r>
    </w:p>
    <w:p w14:paraId="17EED419">
      <w:pPr>
        <w:spacing w:line="360" w:lineRule="auto"/>
        <w:rPr>
          <w:rFonts w:ascii="宋体" w:hAnsi="宋体" w:eastAsia="宋体" w:cs="宋体"/>
          <w:lang w:eastAsia="zh-CN"/>
        </w:rPr>
      </w:pPr>
      <w:r>
        <w:rPr>
          <w:rFonts w:hint="eastAsia" w:ascii="宋体" w:hAnsi="宋体" w:eastAsia="宋体" w:cs="宋体"/>
          <w:lang w:eastAsia="zh-CN"/>
        </w:rPr>
        <w:t xml:space="preserve">（6）根据合同应增加和（或）扣减的其他内容金额见合同条款专用部分。 </w:t>
      </w:r>
    </w:p>
    <w:p w14:paraId="404B91FB">
      <w:pPr>
        <w:spacing w:line="360" w:lineRule="auto"/>
        <w:rPr>
          <w:rFonts w:ascii="宋体" w:hAnsi="宋体" w:eastAsia="宋体" w:cs="宋体"/>
          <w:lang w:eastAsia="zh-CN"/>
        </w:rPr>
      </w:pPr>
      <w:r>
        <w:rPr>
          <w:rFonts w:hint="eastAsia" w:ascii="宋体" w:hAnsi="宋体" w:eastAsia="宋体" w:cs="宋体"/>
          <w:lang w:eastAsia="zh-CN"/>
        </w:rPr>
        <w:t xml:space="preserve">17.3.3  进度付款证书和支付时间 </w:t>
      </w:r>
    </w:p>
    <w:p w14:paraId="2E2C2E4A">
      <w:pPr>
        <w:spacing w:line="360" w:lineRule="auto"/>
        <w:rPr>
          <w:rFonts w:ascii="宋体" w:hAnsi="宋体" w:eastAsia="宋体" w:cs="宋体"/>
          <w:lang w:eastAsia="zh-CN"/>
        </w:rPr>
      </w:pPr>
      <w:r>
        <w:rPr>
          <w:rFonts w:hint="eastAsia" w:ascii="宋体" w:hAnsi="宋体" w:eastAsia="宋体" w:cs="宋体"/>
          <w:lang w:eastAsia="zh-CN"/>
        </w:rPr>
        <w:t xml:space="preserve">（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 </w:t>
      </w:r>
    </w:p>
    <w:p w14:paraId="6FF89A22">
      <w:pPr>
        <w:spacing w:line="360" w:lineRule="auto"/>
        <w:rPr>
          <w:rFonts w:ascii="宋体" w:hAnsi="宋体" w:eastAsia="宋体" w:cs="宋体"/>
          <w:lang w:eastAsia="zh-CN"/>
        </w:rPr>
      </w:pPr>
      <w:r>
        <w:rPr>
          <w:rFonts w:hint="eastAsia" w:ascii="宋体" w:hAnsi="宋体" w:eastAsia="宋体" w:cs="宋体"/>
          <w:lang w:eastAsia="zh-CN"/>
        </w:rPr>
        <w:t xml:space="preserve">（2）发包人应在监理人收到进度付款申请单后的28天内，将进度应付款支付给承包人。发包人未按第17.2.1(2)目、第17.3.3(2)目、第17.5.2(2)目和第17.6.2(2)目约定的期限支付承包人依合同约定应当得到的款项，应当从应付之日起按照合同约定的计算标准和计算方法向承包人支付逾期付款违约金。承包人应当按第23.1（1）目的约定，在最终付款期限到期后28天内，向监理人递交索赔意向通知书,说明有权得到按本款约定的标准和方法计算的逾期付款违约金。承包人要求发包人支付逾期付款违约金不影响承包人要求发包人承担第22.2 款约定的其他违约责任的权利。逾期付款违约金计算标准和计算方法见合同条款专用部分。 </w:t>
      </w:r>
    </w:p>
    <w:p w14:paraId="2F3DEE9B">
      <w:pPr>
        <w:spacing w:line="360" w:lineRule="auto"/>
        <w:rPr>
          <w:rFonts w:ascii="宋体" w:hAnsi="宋体" w:eastAsia="宋体" w:cs="宋体"/>
          <w:lang w:eastAsia="zh-CN"/>
        </w:rPr>
      </w:pPr>
      <w:r>
        <w:rPr>
          <w:rFonts w:hint="eastAsia" w:ascii="宋体" w:hAnsi="宋体" w:eastAsia="宋体" w:cs="宋体"/>
          <w:lang w:eastAsia="zh-CN"/>
        </w:rPr>
        <w:t xml:space="preserve">（3）监理人出具进度付款证书，不应视为监理人已同意、批准或接受了承包人完成的该部分工作。 </w:t>
      </w:r>
    </w:p>
    <w:p w14:paraId="75F78BA5">
      <w:pPr>
        <w:spacing w:line="360" w:lineRule="auto"/>
        <w:rPr>
          <w:rFonts w:ascii="宋体" w:hAnsi="宋体" w:eastAsia="宋体" w:cs="宋体"/>
          <w:lang w:eastAsia="zh-CN"/>
        </w:rPr>
      </w:pPr>
      <w:r>
        <w:rPr>
          <w:rFonts w:hint="eastAsia" w:ascii="宋体" w:hAnsi="宋体" w:eastAsia="宋体" w:cs="宋体"/>
          <w:lang w:eastAsia="zh-CN"/>
        </w:rPr>
        <w:t xml:space="preserve">（4）进度付款涉及政府投资资金的，按照国库集中支付等国家相关规定和合同约定办理。进度付款涉及政府性资金的支付方法见合同条款专用部分。 </w:t>
      </w:r>
    </w:p>
    <w:p w14:paraId="34B522E4">
      <w:pPr>
        <w:spacing w:line="360" w:lineRule="auto"/>
        <w:rPr>
          <w:rFonts w:ascii="宋体" w:hAnsi="宋体" w:eastAsia="宋体" w:cs="宋体"/>
          <w:lang w:eastAsia="zh-CN"/>
        </w:rPr>
      </w:pPr>
      <w:r>
        <w:rPr>
          <w:rFonts w:hint="eastAsia" w:ascii="宋体" w:hAnsi="宋体" w:eastAsia="宋体" w:cs="宋体"/>
          <w:lang w:eastAsia="zh-CN"/>
        </w:rPr>
        <w:t xml:space="preserve">17.3.4工程进度付款的修正 </w:t>
      </w:r>
    </w:p>
    <w:p w14:paraId="240858AD">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在对以往历次已签发的进度付款证书进行汇总和复核中发现错、漏或重复的，监理人有权予以修正，承包人也有权提出修正申请。经双方复核同意的修正，应在本次进度付款中支付或扣除。 </w:t>
      </w:r>
    </w:p>
    <w:p w14:paraId="6F3EA223">
      <w:pPr>
        <w:spacing w:line="360" w:lineRule="auto"/>
        <w:rPr>
          <w:rFonts w:ascii="宋体" w:hAnsi="宋体" w:eastAsia="宋体" w:cs="宋体"/>
          <w:lang w:eastAsia="zh-CN"/>
        </w:rPr>
      </w:pPr>
      <w:r>
        <w:rPr>
          <w:rFonts w:hint="eastAsia" w:ascii="宋体" w:hAnsi="宋体" w:eastAsia="宋体" w:cs="宋体"/>
          <w:lang w:eastAsia="zh-CN"/>
        </w:rPr>
        <w:t xml:space="preserve">17.3.5临时付款证书 </w:t>
      </w:r>
    </w:p>
    <w:p w14:paraId="50DF08E2">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在合同约定的期限内，承包人和监理人无法对当期已完工程量和按合同约定应当支付的其他款项达成一致的，监理人应当在收到承包人报送的进度付款申请单等文件后14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28天内，将临时付款证书中确定的应付金额支付给承包人。发包人和监理人均不得以任何理由延期支付工程进度付款。 </w:t>
      </w:r>
    </w:p>
    <w:p w14:paraId="17649CCC">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对临时付款证书中承包人有异议部分的金额，承包人应当按照监理人要求，提交进一步的支持性文件，经监理人进一步审核并认可的应付金额，应当按第17.3.4项的约定纳入到下一期进度付款证书中。经过进一步努力，承包人仍有异议的，按合同条款第24条的约定办理。 </w:t>
      </w:r>
    </w:p>
    <w:p w14:paraId="09DFF7A8">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有异议款项中经监理人进一步审核后认可的，或者经过合同条款第24条约定的争议解决方式确定的应付金额，其应付之日为引发异议的进度付款证书的应付之日，承包人有权得到按第17.3.3（2）目约定计算的逾期付款违约金。 </w:t>
      </w:r>
    </w:p>
    <w:p w14:paraId="702CAEB0">
      <w:pPr>
        <w:spacing w:line="360" w:lineRule="auto"/>
        <w:rPr>
          <w:rFonts w:ascii="宋体" w:hAnsi="宋体" w:eastAsia="宋体" w:cs="宋体"/>
          <w:lang w:eastAsia="zh-CN"/>
        </w:rPr>
      </w:pPr>
      <w:bookmarkStart w:id="922" w:name="_Toc511294190"/>
      <w:bookmarkStart w:id="923" w:name="_Toc511293919"/>
      <w:r>
        <w:rPr>
          <w:rFonts w:hint="eastAsia" w:ascii="宋体" w:hAnsi="宋体" w:eastAsia="宋体" w:cs="宋体"/>
          <w:lang w:eastAsia="zh-CN"/>
        </w:rPr>
        <w:t>17.4  质量保证金</w:t>
      </w:r>
      <w:bookmarkEnd w:id="922"/>
      <w:bookmarkEnd w:id="923"/>
      <w:r>
        <w:rPr>
          <w:rFonts w:hint="eastAsia" w:ascii="宋体" w:hAnsi="宋体" w:eastAsia="宋体" w:cs="宋体"/>
          <w:lang w:eastAsia="zh-CN"/>
        </w:rPr>
        <w:t xml:space="preserve"> </w:t>
      </w:r>
    </w:p>
    <w:p w14:paraId="7D367ACA">
      <w:pPr>
        <w:spacing w:line="360" w:lineRule="auto"/>
        <w:rPr>
          <w:rFonts w:ascii="宋体" w:hAnsi="宋体" w:eastAsia="宋体" w:cs="宋体"/>
          <w:lang w:eastAsia="zh-CN"/>
        </w:rPr>
      </w:pPr>
      <w:r>
        <w:rPr>
          <w:rFonts w:hint="eastAsia" w:ascii="宋体" w:hAnsi="宋体" w:eastAsia="宋体" w:cs="宋体"/>
          <w:lang w:eastAsia="zh-CN"/>
        </w:rPr>
        <w:t xml:space="preserve">17.4.1  质量保证金处理 </w:t>
      </w:r>
    </w:p>
    <w:p w14:paraId="2E11841B">
      <w:pPr>
        <w:spacing w:line="360" w:lineRule="auto"/>
        <w:rPr>
          <w:rFonts w:ascii="宋体" w:hAnsi="宋体" w:eastAsia="宋体" w:cs="宋体"/>
          <w:lang w:eastAsia="zh-CN"/>
        </w:rPr>
      </w:pPr>
      <w:r>
        <w:rPr>
          <w:rFonts w:hint="eastAsia" w:ascii="宋体" w:hAnsi="宋体" w:eastAsia="宋体" w:cs="宋体"/>
          <w:lang w:eastAsia="zh-CN"/>
        </w:rPr>
        <w:t xml:space="preserve">（1）合同条款专用部分第4.2.1项约定不提交履约担保，采用扣留质量保证金的，质量保证金由监理人从第一个付款周期开始按进度付款证书确认的已实施工程的价款、根据合同条款第15条增加和扣减的变更金额、根据合同条款第23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采用质量保证金保函担保形式的，工程竣工前，不得扣留质量保证金。 </w:t>
      </w:r>
    </w:p>
    <w:p w14:paraId="7105C8DC">
      <w:pPr>
        <w:spacing w:line="360" w:lineRule="auto"/>
        <w:rPr>
          <w:rFonts w:ascii="宋体" w:hAnsi="宋体" w:eastAsia="宋体" w:cs="宋体"/>
          <w:lang w:eastAsia="zh-CN"/>
        </w:rPr>
      </w:pPr>
      <w:r>
        <w:rPr>
          <w:rFonts w:hint="eastAsia" w:ascii="宋体" w:hAnsi="宋体" w:eastAsia="宋体" w:cs="宋体"/>
          <w:lang w:eastAsia="zh-CN"/>
        </w:rPr>
        <w:t xml:space="preserve">（2）合同条款专用部分第4.2.1项约定提交履约担保，采用扣留质量保证金的，在第17.5 款竣工结算中，应当按照竣工结算合同总价约定的比例扣留质量保证金，当应支付的竣工付款金额不足应扣留的质量保证金金额时，承包人应返款差额部分；采用质量保证金保函担保形式的，工程竣工前，不得扣留质量保证金； </w:t>
      </w:r>
    </w:p>
    <w:p w14:paraId="05F7A3F3">
      <w:pPr>
        <w:spacing w:line="360" w:lineRule="auto"/>
        <w:rPr>
          <w:rFonts w:ascii="宋体" w:hAnsi="宋体" w:eastAsia="宋体" w:cs="宋体"/>
          <w:lang w:eastAsia="zh-CN"/>
        </w:rPr>
      </w:pPr>
      <w:r>
        <w:rPr>
          <w:rFonts w:hint="eastAsia" w:ascii="宋体" w:hAnsi="宋体" w:eastAsia="宋体" w:cs="宋体"/>
          <w:lang w:eastAsia="zh-CN"/>
        </w:rPr>
        <w:t xml:space="preserve">（3）质量保证金的形式与约定比例见合同条款专用部分。 </w:t>
      </w:r>
    </w:p>
    <w:p w14:paraId="085956DB">
      <w:pPr>
        <w:spacing w:line="360" w:lineRule="auto"/>
        <w:rPr>
          <w:rFonts w:ascii="宋体" w:hAnsi="宋体" w:eastAsia="宋体" w:cs="宋体"/>
          <w:lang w:eastAsia="zh-CN"/>
        </w:rPr>
      </w:pPr>
      <w:r>
        <w:rPr>
          <w:rFonts w:hint="eastAsia" w:ascii="宋体" w:hAnsi="宋体" w:eastAsia="宋体" w:cs="宋体"/>
          <w:lang w:eastAsia="zh-CN"/>
        </w:rPr>
        <w:t xml:space="preserve">17.4.2  在第1.1.4.5目约定的缺陷责任期满时，承包人向发包人申请到期应返还承包人剩余的质量保证金金额或退还保函担保，发包人应在14天内会同承包人按照合同约定的内容核实承包人是否完成缺陷责任。如无异议，发包人应当在核实后将剩余保证金返还承包人或将其保函退还承包人。 </w:t>
      </w:r>
    </w:p>
    <w:p w14:paraId="6665BE29">
      <w:pPr>
        <w:spacing w:line="360" w:lineRule="auto"/>
        <w:rPr>
          <w:rFonts w:ascii="宋体" w:hAnsi="宋体" w:eastAsia="宋体" w:cs="宋体"/>
          <w:lang w:eastAsia="zh-CN"/>
        </w:rPr>
      </w:pPr>
      <w:r>
        <w:rPr>
          <w:rFonts w:hint="eastAsia" w:ascii="宋体" w:hAnsi="宋体" w:eastAsia="宋体" w:cs="宋体"/>
          <w:lang w:eastAsia="zh-CN"/>
        </w:rPr>
        <w:t xml:space="preserve">17.4.3  在第1.1.4.5目约定的缺陷责任期满时，承包人没有完成缺陷责任的，发包人有权扣留与未履行责任剩余工作所需金额相应的质量保证金余额或依据其保函担保约定追究责任，并有权根据第19.3款约定要求延长缺陷责任期，直至完成剩余工作为止。 </w:t>
      </w:r>
    </w:p>
    <w:p w14:paraId="683D2A58">
      <w:pPr>
        <w:spacing w:line="360" w:lineRule="auto"/>
        <w:rPr>
          <w:rFonts w:ascii="宋体" w:hAnsi="宋体" w:eastAsia="宋体" w:cs="宋体"/>
          <w:lang w:eastAsia="zh-CN"/>
        </w:rPr>
      </w:pPr>
      <w:bookmarkStart w:id="924" w:name="_Toc511293920"/>
      <w:bookmarkStart w:id="925" w:name="_Toc511294191"/>
      <w:r>
        <w:rPr>
          <w:rFonts w:hint="eastAsia" w:ascii="宋体" w:hAnsi="宋体" w:eastAsia="宋体" w:cs="宋体"/>
          <w:lang w:eastAsia="zh-CN"/>
        </w:rPr>
        <w:t>17.5  竣工结算</w:t>
      </w:r>
      <w:bookmarkEnd w:id="924"/>
      <w:bookmarkEnd w:id="925"/>
      <w:r>
        <w:rPr>
          <w:rFonts w:hint="eastAsia" w:ascii="宋体" w:hAnsi="宋体" w:eastAsia="宋体" w:cs="宋体"/>
          <w:lang w:eastAsia="zh-CN"/>
        </w:rPr>
        <w:t xml:space="preserve"> </w:t>
      </w:r>
    </w:p>
    <w:p w14:paraId="0D8E710D">
      <w:pPr>
        <w:spacing w:line="360" w:lineRule="auto"/>
        <w:rPr>
          <w:rFonts w:ascii="宋体" w:hAnsi="宋体" w:eastAsia="宋体" w:cs="宋体"/>
          <w:lang w:eastAsia="zh-CN"/>
        </w:rPr>
      </w:pPr>
      <w:r>
        <w:rPr>
          <w:rFonts w:hint="eastAsia" w:ascii="宋体" w:hAnsi="宋体" w:eastAsia="宋体" w:cs="宋体"/>
          <w:lang w:eastAsia="zh-CN"/>
        </w:rPr>
        <w:t xml:space="preserve">17.5.1  竣工付款申请单 </w:t>
      </w:r>
    </w:p>
    <w:p w14:paraId="2C93B599">
      <w:pPr>
        <w:spacing w:line="360" w:lineRule="auto"/>
        <w:rPr>
          <w:rFonts w:ascii="宋体" w:hAnsi="宋体" w:eastAsia="宋体" w:cs="宋体"/>
          <w:lang w:eastAsia="zh-CN"/>
        </w:rPr>
      </w:pPr>
      <w:r>
        <w:rPr>
          <w:rFonts w:hint="eastAsia" w:ascii="宋体" w:hAnsi="宋体" w:eastAsia="宋体" w:cs="宋体"/>
          <w:lang w:eastAsia="zh-CN"/>
        </w:rPr>
        <w:t xml:space="preserve">（1）工程接收证书颁发后，承包人应按合同约定的份数和期限向监理人提交竣工付款申请单，并提供相关证明材料。承包人提交竣工付款申请单份数和期限见合同条款专用部分。 </w:t>
      </w:r>
    </w:p>
    <w:p w14:paraId="39AA7910">
      <w:pPr>
        <w:spacing w:line="360" w:lineRule="auto"/>
        <w:rPr>
          <w:rFonts w:ascii="宋体" w:hAnsi="宋体" w:eastAsia="宋体" w:cs="宋体"/>
          <w:lang w:eastAsia="zh-CN"/>
        </w:rPr>
      </w:pPr>
      <w:r>
        <w:rPr>
          <w:rFonts w:hint="eastAsia" w:ascii="宋体" w:hAnsi="宋体" w:eastAsia="宋体" w:cs="宋体"/>
          <w:lang w:eastAsia="zh-CN"/>
        </w:rPr>
        <w:t xml:space="preserve">（2）竣工付款申请单应包括下列内容：竣工结算合同总价、发包人已支付承包人的工程价款、应扣留的质量保证金、应支付的竣工付款金额和应支付或扣减的其他内容金额。竣工付款申请单的其他内容见合同条款专用部分。 </w:t>
      </w:r>
    </w:p>
    <w:p w14:paraId="5BF3236B">
      <w:pPr>
        <w:spacing w:line="360" w:lineRule="auto"/>
        <w:rPr>
          <w:rFonts w:ascii="宋体" w:hAnsi="宋体" w:eastAsia="宋体" w:cs="宋体"/>
          <w:lang w:eastAsia="zh-CN"/>
        </w:rPr>
      </w:pPr>
      <w:r>
        <w:rPr>
          <w:rFonts w:hint="eastAsia" w:ascii="宋体" w:hAnsi="宋体" w:eastAsia="宋体" w:cs="宋体"/>
          <w:lang w:eastAsia="zh-CN"/>
        </w:rPr>
        <w:t xml:space="preserve">（3）监理人对竣工付款申请单有异议的，有权要求承包人进行修正和提供补充资料。经监理人和承包人协商后，由承包人向监理人提交修正后的竣工付款申请单。 </w:t>
      </w:r>
    </w:p>
    <w:p w14:paraId="19A29A16">
      <w:pPr>
        <w:spacing w:line="360" w:lineRule="auto"/>
        <w:rPr>
          <w:rFonts w:ascii="宋体" w:hAnsi="宋体" w:eastAsia="宋体" w:cs="宋体"/>
          <w:lang w:eastAsia="zh-CN"/>
        </w:rPr>
      </w:pPr>
      <w:r>
        <w:rPr>
          <w:rFonts w:hint="eastAsia" w:ascii="宋体" w:hAnsi="宋体" w:eastAsia="宋体" w:cs="宋体"/>
          <w:lang w:eastAsia="zh-CN"/>
        </w:rPr>
        <w:t xml:space="preserve">（4）承包人未按本项约定的期限和内容提交竣工付款申请单或者未按第17.5.1（3)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 </w:t>
      </w:r>
    </w:p>
    <w:p w14:paraId="0DFE0C25">
      <w:pPr>
        <w:spacing w:line="360" w:lineRule="auto"/>
        <w:rPr>
          <w:rFonts w:ascii="宋体" w:hAnsi="宋体" w:eastAsia="宋体" w:cs="宋体"/>
          <w:lang w:eastAsia="zh-CN"/>
        </w:rPr>
      </w:pPr>
      <w:r>
        <w:rPr>
          <w:rFonts w:hint="eastAsia" w:ascii="宋体" w:hAnsi="宋体" w:eastAsia="宋体" w:cs="宋体"/>
          <w:lang w:eastAsia="zh-CN"/>
        </w:rPr>
        <w:t xml:space="preserve">17.5.2  竣工付款证书及支付时间 </w:t>
      </w:r>
    </w:p>
    <w:p w14:paraId="6624AC39">
      <w:pPr>
        <w:spacing w:line="360" w:lineRule="auto"/>
        <w:rPr>
          <w:rFonts w:ascii="宋体" w:hAnsi="宋体" w:eastAsia="宋体" w:cs="宋体"/>
          <w:lang w:eastAsia="zh-CN"/>
        </w:rPr>
      </w:pPr>
      <w:r>
        <w:rPr>
          <w:rFonts w:hint="eastAsia" w:ascii="宋体" w:hAnsi="宋体" w:eastAsia="宋体" w:cs="宋体"/>
          <w:lang w:eastAsia="zh-CN"/>
        </w:rPr>
        <w:t xml:space="preserve">（1）监理人在收到承包人提交的竣工付款申请单后的14天内完成审核，并提出发包人到期应支付给承包人的价款等审核意见，报送发包人审核。发包人应在收到后14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 </w:t>
      </w:r>
    </w:p>
    <w:p w14:paraId="27EFFD2C">
      <w:pPr>
        <w:spacing w:line="360" w:lineRule="auto"/>
        <w:rPr>
          <w:rFonts w:ascii="宋体" w:hAnsi="宋体" w:eastAsia="宋体" w:cs="宋体"/>
          <w:lang w:eastAsia="zh-CN"/>
        </w:rPr>
      </w:pPr>
      <w:r>
        <w:rPr>
          <w:rFonts w:hint="eastAsia" w:ascii="宋体" w:hAnsi="宋体" w:eastAsia="宋体" w:cs="宋体"/>
          <w:lang w:eastAsia="zh-CN"/>
        </w:rPr>
        <w:t xml:space="preserve">（2）发包人应在监理人出具竣工付款证书后的14天内，将应支付款支付给承包人。发包人不按期支付的，按第17.3.3（2）目的约定，将逾期付款违约金支付给承包人。 </w:t>
      </w:r>
    </w:p>
    <w:p w14:paraId="3CD03B21">
      <w:pPr>
        <w:spacing w:line="360" w:lineRule="auto"/>
        <w:rPr>
          <w:rFonts w:ascii="宋体" w:hAnsi="宋体" w:eastAsia="宋体" w:cs="宋体"/>
          <w:lang w:eastAsia="zh-CN"/>
        </w:rPr>
      </w:pPr>
      <w:r>
        <w:rPr>
          <w:rFonts w:hint="eastAsia" w:ascii="宋体" w:hAnsi="宋体" w:eastAsia="宋体" w:cs="宋体"/>
          <w:lang w:eastAsia="zh-CN"/>
        </w:rPr>
        <w:t xml:space="preserve">（3）承包人对发包人签认的竣工付款证书有异议的，发包人可出具竣工付款申请单中与承包人达成一致意见部分的临时付款证书。存在争议的部分，按第24条“争议的解决” 的约定办理。 </w:t>
      </w:r>
    </w:p>
    <w:p w14:paraId="1B793908">
      <w:pPr>
        <w:spacing w:line="360" w:lineRule="auto"/>
        <w:rPr>
          <w:rFonts w:ascii="宋体" w:hAnsi="宋体" w:eastAsia="宋体" w:cs="宋体"/>
          <w:lang w:eastAsia="zh-CN"/>
        </w:rPr>
      </w:pPr>
      <w:r>
        <w:rPr>
          <w:rFonts w:hint="eastAsia" w:ascii="宋体" w:hAnsi="宋体" w:eastAsia="宋体" w:cs="宋体"/>
          <w:lang w:eastAsia="zh-CN"/>
        </w:rPr>
        <w:t xml:space="preserve">（4）竣工付款涉及政府投资资金的，按第17.3.3（4）目的约定办理。 </w:t>
      </w:r>
    </w:p>
    <w:p w14:paraId="148DABCB">
      <w:pPr>
        <w:spacing w:line="360" w:lineRule="auto"/>
        <w:rPr>
          <w:rFonts w:ascii="宋体" w:hAnsi="宋体" w:eastAsia="宋体" w:cs="宋体"/>
          <w:lang w:eastAsia="zh-CN"/>
        </w:rPr>
      </w:pPr>
      <w:r>
        <w:rPr>
          <w:rFonts w:hint="eastAsia" w:ascii="宋体" w:hAnsi="宋体" w:eastAsia="宋体" w:cs="宋体"/>
          <w:lang w:eastAsia="zh-CN"/>
        </w:rPr>
        <w:t xml:space="preserve">17.5.3  除第17.5.4项约定的情况外，发包人和承包人应当在监理人颁发（出具）工程接收证书后56天内办清竣工结算和竣工付款。 </w:t>
      </w:r>
    </w:p>
    <w:p w14:paraId="1A0453F4">
      <w:pPr>
        <w:spacing w:line="360" w:lineRule="auto"/>
        <w:rPr>
          <w:rFonts w:ascii="宋体" w:hAnsi="宋体" w:eastAsia="宋体" w:cs="宋体"/>
          <w:lang w:eastAsia="zh-CN"/>
        </w:rPr>
      </w:pPr>
      <w:r>
        <w:rPr>
          <w:rFonts w:hint="eastAsia" w:ascii="宋体" w:hAnsi="宋体" w:eastAsia="宋体" w:cs="宋体"/>
          <w:lang w:eastAsia="zh-CN"/>
        </w:rPr>
        <w:t xml:space="preserve">17.5.4  政府投资或者以政府投资为主的建设项目纳入审计项目计划的，发包人和承包人均负有配合、接受审计机关审计的义务，竣工结算应当依据审计结论，办清竣工结算和竣工付款的时间按照相关规定执行。 </w:t>
      </w:r>
    </w:p>
    <w:p w14:paraId="33157CE0">
      <w:pPr>
        <w:spacing w:line="360" w:lineRule="auto"/>
        <w:rPr>
          <w:rFonts w:ascii="宋体" w:hAnsi="宋体" w:eastAsia="宋体" w:cs="宋体"/>
          <w:lang w:eastAsia="zh-CN"/>
        </w:rPr>
      </w:pPr>
      <w:bookmarkStart w:id="926" w:name="_Toc511293921"/>
      <w:bookmarkStart w:id="927" w:name="_Toc511294192"/>
      <w:r>
        <w:rPr>
          <w:rFonts w:hint="eastAsia" w:ascii="宋体" w:hAnsi="宋体" w:eastAsia="宋体" w:cs="宋体"/>
          <w:lang w:eastAsia="zh-CN"/>
        </w:rPr>
        <w:t>17.6  最终结清</w:t>
      </w:r>
      <w:bookmarkEnd w:id="926"/>
      <w:bookmarkEnd w:id="927"/>
      <w:r>
        <w:rPr>
          <w:rFonts w:hint="eastAsia" w:ascii="宋体" w:hAnsi="宋体" w:eastAsia="宋体" w:cs="宋体"/>
          <w:lang w:eastAsia="zh-CN"/>
        </w:rPr>
        <w:t xml:space="preserve"> </w:t>
      </w:r>
    </w:p>
    <w:p w14:paraId="5A6470EB">
      <w:pPr>
        <w:spacing w:line="360" w:lineRule="auto"/>
        <w:rPr>
          <w:rFonts w:ascii="宋体" w:hAnsi="宋体" w:eastAsia="宋体" w:cs="宋体"/>
          <w:lang w:eastAsia="zh-CN"/>
        </w:rPr>
      </w:pPr>
      <w:r>
        <w:rPr>
          <w:rFonts w:hint="eastAsia" w:ascii="宋体" w:hAnsi="宋体" w:eastAsia="宋体" w:cs="宋体"/>
          <w:lang w:eastAsia="zh-CN"/>
        </w:rPr>
        <w:t xml:space="preserve">17.6.1  最终结清申请单 </w:t>
      </w:r>
    </w:p>
    <w:p w14:paraId="5A4CD584">
      <w:pPr>
        <w:spacing w:line="360" w:lineRule="auto"/>
        <w:rPr>
          <w:rFonts w:ascii="宋体" w:hAnsi="宋体" w:eastAsia="宋体" w:cs="宋体"/>
          <w:lang w:eastAsia="zh-CN"/>
        </w:rPr>
      </w:pPr>
      <w:r>
        <w:rPr>
          <w:rFonts w:hint="eastAsia" w:ascii="宋体" w:hAnsi="宋体" w:eastAsia="宋体" w:cs="宋体"/>
          <w:lang w:eastAsia="zh-CN"/>
        </w:rPr>
        <w:t xml:space="preserve">（1）缺陷责任期终止证书签发后，承包人可按合同约定的份数和期限向监理人提交最终结清申请单，并提供相关证明材料。承包人提交最终结清申请单的份数和期限见合同条款专用部分。 </w:t>
      </w:r>
    </w:p>
    <w:p w14:paraId="50A8033E">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发包人向承包人支付质量保证金利息的，承包人应按照约定的利息计算方法计算利息，并列入最终结清申请单中。是否支付质量保证金利息及利息计算方法见合同条款专用部分。 </w:t>
      </w:r>
    </w:p>
    <w:p w14:paraId="589136A4">
      <w:pPr>
        <w:spacing w:line="360" w:lineRule="auto"/>
        <w:rPr>
          <w:rFonts w:ascii="宋体" w:hAnsi="宋体" w:eastAsia="宋体" w:cs="宋体"/>
          <w:lang w:eastAsia="zh-CN"/>
        </w:rPr>
      </w:pPr>
      <w:r>
        <w:rPr>
          <w:rFonts w:hint="eastAsia" w:ascii="宋体" w:hAnsi="宋体" w:eastAsia="宋体" w:cs="宋体"/>
          <w:lang w:eastAsia="zh-CN"/>
        </w:rPr>
        <w:t xml:space="preserve">（2）发包人对最终结清申请单内容有异议的，有权要求承包人进行修正和提供补充资料，由承包人向监理人提交修正后的最终结清申请单。 </w:t>
      </w:r>
    </w:p>
    <w:p w14:paraId="55EA189A">
      <w:pPr>
        <w:spacing w:line="360" w:lineRule="auto"/>
        <w:rPr>
          <w:rFonts w:ascii="宋体" w:hAnsi="宋体" w:eastAsia="宋体" w:cs="宋体"/>
          <w:lang w:eastAsia="zh-CN"/>
        </w:rPr>
      </w:pPr>
      <w:r>
        <w:rPr>
          <w:rFonts w:hint="eastAsia" w:ascii="宋体" w:hAnsi="宋体" w:eastAsia="宋体" w:cs="宋体"/>
          <w:lang w:eastAsia="zh-CN"/>
        </w:rPr>
        <w:t xml:space="preserve">17.6.2  最终结清证书和支付时间 </w:t>
      </w:r>
    </w:p>
    <w:p w14:paraId="10BEC2C9">
      <w:pPr>
        <w:spacing w:line="360" w:lineRule="auto"/>
        <w:rPr>
          <w:rFonts w:ascii="宋体" w:hAnsi="宋体" w:eastAsia="宋体" w:cs="宋体"/>
          <w:lang w:eastAsia="zh-CN"/>
        </w:rPr>
      </w:pPr>
      <w:r>
        <w:rPr>
          <w:rFonts w:hint="eastAsia" w:ascii="宋体" w:hAnsi="宋体" w:eastAsia="宋体" w:cs="宋体"/>
          <w:lang w:eastAsia="zh-CN"/>
        </w:rPr>
        <w:t xml:space="preserve">（1）监理人收到承包人提交的最终结清申请单后的14天内，提出发包人应支付给承包人的价款等审核意见，并报送发包人审核。发包人应在收到后14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 </w:t>
      </w:r>
    </w:p>
    <w:p w14:paraId="01434FA5">
      <w:pPr>
        <w:spacing w:line="360" w:lineRule="auto"/>
        <w:rPr>
          <w:rFonts w:ascii="宋体" w:hAnsi="宋体" w:eastAsia="宋体" w:cs="宋体"/>
          <w:lang w:eastAsia="zh-CN"/>
        </w:rPr>
      </w:pPr>
      <w:r>
        <w:rPr>
          <w:rFonts w:hint="eastAsia" w:ascii="宋体" w:hAnsi="宋体" w:eastAsia="宋体" w:cs="宋体"/>
          <w:lang w:eastAsia="zh-CN"/>
        </w:rPr>
        <w:t xml:space="preserve">（2）发包人应在监理人出具最终结清证书后的14天内，将应支付款支付给承包人。发包人不按期支付的，按第17.3.3（2）目的约定，将逾期付款违约金支付给承包人。 </w:t>
      </w:r>
    </w:p>
    <w:p w14:paraId="0E533061">
      <w:pPr>
        <w:spacing w:line="360" w:lineRule="auto"/>
        <w:rPr>
          <w:rFonts w:ascii="宋体" w:hAnsi="宋体" w:eastAsia="宋体" w:cs="宋体"/>
          <w:lang w:eastAsia="zh-CN"/>
        </w:rPr>
      </w:pPr>
      <w:r>
        <w:rPr>
          <w:rFonts w:hint="eastAsia" w:ascii="宋体" w:hAnsi="宋体" w:eastAsia="宋体" w:cs="宋体"/>
          <w:lang w:eastAsia="zh-CN"/>
        </w:rPr>
        <w:t xml:space="preserve">（3）承包人对发包人签认的最终结清证书有异议的，按第24条“争议的解决”的约定办理。 </w:t>
      </w:r>
    </w:p>
    <w:p w14:paraId="2873BF00">
      <w:pPr>
        <w:spacing w:line="360" w:lineRule="auto"/>
        <w:rPr>
          <w:rFonts w:ascii="宋体" w:hAnsi="宋体" w:eastAsia="宋体" w:cs="宋体"/>
          <w:lang w:eastAsia="zh-CN"/>
        </w:rPr>
      </w:pPr>
      <w:r>
        <w:rPr>
          <w:rFonts w:hint="eastAsia" w:ascii="宋体" w:hAnsi="宋体" w:eastAsia="宋体" w:cs="宋体"/>
          <w:lang w:eastAsia="zh-CN"/>
        </w:rPr>
        <w:t xml:space="preserve">（4）最终结清付款涉及政府投资资金的，按第17.3.3（4）目的约定办理。 </w:t>
      </w:r>
    </w:p>
    <w:p w14:paraId="7B732618">
      <w:pPr>
        <w:spacing w:line="360" w:lineRule="auto"/>
        <w:rPr>
          <w:rFonts w:ascii="宋体" w:hAnsi="宋体" w:eastAsia="宋体" w:cs="宋体"/>
          <w:lang w:eastAsia="zh-CN"/>
        </w:rPr>
      </w:pPr>
      <w:r>
        <w:rPr>
          <w:rFonts w:hint="eastAsia" w:ascii="宋体" w:hAnsi="宋体" w:eastAsia="宋体" w:cs="宋体"/>
          <w:lang w:eastAsia="zh-CN"/>
        </w:rPr>
        <w:t xml:space="preserve">18.竣工验收 </w:t>
      </w:r>
    </w:p>
    <w:p w14:paraId="0B896D08">
      <w:pPr>
        <w:spacing w:line="360" w:lineRule="auto"/>
        <w:rPr>
          <w:rFonts w:ascii="宋体" w:hAnsi="宋体" w:eastAsia="宋体" w:cs="宋体"/>
          <w:lang w:eastAsia="zh-CN"/>
        </w:rPr>
      </w:pPr>
      <w:bookmarkStart w:id="928" w:name="_Toc511294193"/>
      <w:bookmarkStart w:id="929" w:name="_Toc511293922"/>
      <w:r>
        <w:rPr>
          <w:rFonts w:hint="eastAsia" w:ascii="宋体" w:hAnsi="宋体" w:eastAsia="宋体" w:cs="宋体"/>
          <w:lang w:eastAsia="zh-CN"/>
        </w:rPr>
        <w:t>18.1  竣工验收的含义</w:t>
      </w:r>
      <w:bookmarkEnd w:id="928"/>
      <w:bookmarkEnd w:id="929"/>
      <w:r>
        <w:rPr>
          <w:rFonts w:hint="eastAsia" w:ascii="宋体" w:hAnsi="宋体" w:eastAsia="宋体" w:cs="宋体"/>
          <w:lang w:eastAsia="zh-CN"/>
        </w:rPr>
        <w:t xml:space="preserve"> </w:t>
      </w:r>
    </w:p>
    <w:p w14:paraId="322882FB">
      <w:pPr>
        <w:spacing w:line="360" w:lineRule="auto"/>
        <w:rPr>
          <w:rFonts w:ascii="宋体" w:hAnsi="宋体" w:eastAsia="宋体" w:cs="宋体"/>
          <w:lang w:eastAsia="zh-CN"/>
        </w:rPr>
      </w:pPr>
      <w:r>
        <w:rPr>
          <w:rFonts w:hint="eastAsia" w:ascii="宋体" w:hAnsi="宋体" w:eastAsia="宋体" w:cs="宋体"/>
          <w:lang w:eastAsia="zh-CN"/>
        </w:rPr>
        <w:t xml:space="preserve">18.1.1  竣工验收指承包人完成了全部合同工作后，发包人按合同要求进行的验收。 </w:t>
      </w:r>
    </w:p>
    <w:p w14:paraId="57359E11">
      <w:pPr>
        <w:spacing w:line="360" w:lineRule="auto"/>
        <w:rPr>
          <w:rFonts w:ascii="宋体" w:hAnsi="宋体" w:eastAsia="宋体" w:cs="宋体"/>
          <w:lang w:eastAsia="zh-CN"/>
        </w:rPr>
      </w:pPr>
      <w:r>
        <w:rPr>
          <w:rFonts w:hint="eastAsia" w:ascii="宋体" w:hAnsi="宋体" w:eastAsia="宋体" w:cs="宋体"/>
          <w:lang w:eastAsia="zh-CN"/>
        </w:rPr>
        <w:t xml:space="preserve">18.1.2  国家验收是政府有关部门根据法律、规范、规程和政策要求，针对发包人全面组织实施的整个工程正式交付投运前的验收。 </w:t>
      </w:r>
    </w:p>
    <w:p w14:paraId="3EFDC592">
      <w:pPr>
        <w:spacing w:line="360" w:lineRule="auto"/>
        <w:rPr>
          <w:rFonts w:ascii="宋体" w:hAnsi="宋体" w:eastAsia="宋体" w:cs="宋体"/>
          <w:lang w:eastAsia="zh-CN"/>
        </w:rPr>
      </w:pPr>
      <w:r>
        <w:rPr>
          <w:rFonts w:hint="eastAsia" w:ascii="宋体" w:hAnsi="宋体" w:eastAsia="宋体" w:cs="宋体"/>
          <w:lang w:eastAsia="zh-CN"/>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28915240">
      <w:pPr>
        <w:spacing w:line="360" w:lineRule="auto"/>
        <w:rPr>
          <w:rFonts w:ascii="宋体" w:hAnsi="宋体" w:eastAsia="宋体" w:cs="宋体"/>
          <w:lang w:eastAsia="zh-CN"/>
        </w:rPr>
      </w:pPr>
      <w:bookmarkStart w:id="930" w:name="_Toc511293923"/>
      <w:bookmarkStart w:id="931" w:name="_Toc511294194"/>
      <w:r>
        <w:rPr>
          <w:rFonts w:hint="eastAsia" w:ascii="宋体" w:hAnsi="宋体" w:eastAsia="宋体" w:cs="宋体"/>
          <w:lang w:eastAsia="zh-CN"/>
        </w:rPr>
        <w:t>18.2  竣工验收申请报告</w:t>
      </w:r>
      <w:bookmarkEnd w:id="930"/>
      <w:bookmarkEnd w:id="931"/>
      <w:r>
        <w:rPr>
          <w:rFonts w:hint="eastAsia" w:ascii="宋体" w:hAnsi="宋体" w:eastAsia="宋体" w:cs="宋体"/>
          <w:lang w:eastAsia="zh-CN"/>
        </w:rPr>
        <w:t xml:space="preserve"> </w:t>
      </w:r>
    </w:p>
    <w:p w14:paraId="6A0D1D6A">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当工程具备以下条件时，承包人即可向监理人报送竣工验收申请报告： </w:t>
      </w:r>
    </w:p>
    <w:p w14:paraId="142E663E">
      <w:pPr>
        <w:spacing w:line="360" w:lineRule="auto"/>
        <w:rPr>
          <w:rFonts w:ascii="宋体" w:hAnsi="宋体" w:eastAsia="宋体" w:cs="宋体"/>
          <w:lang w:eastAsia="zh-CN"/>
        </w:rPr>
      </w:pPr>
      <w:r>
        <w:rPr>
          <w:rFonts w:hint="eastAsia" w:ascii="宋体" w:hAnsi="宋体" w:eastAsia="宋体" w:cs="宋体"/>
          <w:lang w:eastAsia="zh-CN"/>
        </w:rPr>
        <w:t xml:space="preserve">（1）除监理人同意列入缺陷责任期内完成的尾工（甩项）工程和缺陷修补工作外，合同范围内的全部单位工程以及有关工作，包括合同要求的试验、试运行以及检验和验收均已完成，并符合合同要求； </w:t>
      </w:r>
    </w:p>
    <w:p w14:paraId="5315203B">
      <w:pPr>
        <w:spacing w:line="360" w:lineRule="auto"/>
        <w:rPr>
          <w:rFonts w:ascii="宋体" w:hAnsi="宋体" w:eastAsia="宋体" w:cs="宋体"/>
          <w:lang w:eastAsia="zh-CN"/>
        </w:rPr>
      </w:pPr>
      <w:r>
        <w:rPr>
          <w:rFonts w:hint="eastAsia" w:ascii="宋体" w:hAnsi="宋体" w:eastAsia="宋体" w:cs="宋体"/>
          <w:lang w:eastAsia="zh-CN"/>
        </w:rPr>
        <w:t>（2）承包人负责整理和提交的竣工验收资料应当符合工程所在地建设行政主管部门和</w:t>
      </w:r>
    </w:p>
    <w:p w14:paraId="6C824AC0">
      <w:pPr>
        <w:spacing w:line="360" w:lineRule="auto"/>
        <w:rPr>
          <w:rFonts w:ascii="宋体" w:hAnsi="宋体" w:eastAsia="宋体" w:cs="宋体"/>
          <w:lang w:eastAsia="zh-CN"/>
        </w:rPr>
      </w:pPr>
      <w:r>
        <w:rPr>
          <w:rFonts w:hint="eastAsia" w:ascii="宋体" w:hAnsi="宋体" w:eastAsia="宋体" w:cs="宋体"/>
          <w:lang w:eastAsia="zh-CN"/>
        </w:rPr>
        <w:t xml:space="preserve">（或）城市建设档案管理机构有关施工资料的要求，同时已按合同条款专用部分约定备齐了符合要求的竣工资料。竣工验收资料的内容和份数以及费用支付方式见合同条款专用部分。 </w:t>
      </w:r>
    </w:p>
    <w:p w14:paraId="5D7AA75A">
      <w:pPr>
        <w:spacing w:line="360" w:lineRule="auto"/>
        <w:rPr>
          <w:rFonts w:ascii="宋体" w:hAnsi="宋体" w:eastAsia="宋体" w:cs="宋体"/>
          <w:lang w:eastAsia="zh-CN"/>
        </w:rPr>
      </w:pPr>
      <w:r>
        <w:rPr>
          <w:rFonts w:hint="eastAsia" w:ascii="宋体" w:hAnsi="宋体" w:eastAsia="宋体" w:cs="宋体"/>
          <w:lang w:eastAsia="zh-CN"/>
        </w:rPr>
        <w:t xml:space="preserve">（3）已按监理人的要求编制了在缺陷责任期内需完成的尾工（甩项）工程，和缺陷修补工作清单等相应施工计划； </w:t>
      </w:r>
    </w:p>
    <w:p w14:paraId="45730E6C">
      <w:pPr>
        <w:spacing w:line="360" w:lineRule="auto"/>
        <w:rPr>
          <w:rFonts w:ascii="宋体" w:hAnsi="宋体" w:eastAsia="宋体" w:cs="宋体"/>
          <w:lang w:eastAsia="zh-CN"/>
        </w:rPr>
      </w:pPr>
      <w:r>
        <w:rPr>
          <w:rFonts w:hint="eastAsia" w:ascii="宋体" w:hAnsi="宋体" w:eastAsia="宋体" w:cs="宋体"/>
          <w:lang w:eastAsia="zh-CN"/>
        </w:rPr>
        <w:t xml:space="preserve">（4）监理人要求在竣工验收前应完成的其他工作； </w:t>
      </w:r>
    </w:p>
    <w:p w14:paraId="69FD2032">
      <w:pPr>
        <w:spacing w:line="360" w:lineRule="auto"/>
        <w:rPr>
          <w:rFonts w:ascii="宋体" w:hAnsi="宋体" w:eastAsia="宋体" w:cs="宋体"/>
          <w:lang w:eastAsia="zh-CN"/>
        </w:rPr>
      </w:pPr>
      <w:r>
        <w:rPr>
          <w:rFonts w:hint="eastAsia" w:ascii="宋体" w:hAnsi="宋体" w:eastAsia="宋体" w:cs="宋体"/>
          <w:lang w:eastAsia="zh-CN"/>
        </w:rPr>
        <w:t xml:space="preserve">（5）监理人要求提交的竣工验收资料清单。 </w:t>
      </w:r>
    </w:p>
    <w:p w14:paraId="2EC90BA3">
      <w:pPr>
        <w:spacing w:line="360" w:lineRule="auto"/>
        <w:rPr>
          <w:rFonts w:ascii="宋体" w:hAnsi="宋体" w:eastAsia="宋体" w:cs="宋体"/>
          <w:lang w:eastAsia="zh-CN"/>
        </w:rPr>
      </w:pPr>
      <w:bookmarkStart w:id="932" w:name="_Toc511294195"/>
      <w:bookmarkStart w:id="933" w:name="_Toc511293924"/>
      <w:r>
        <w:rPr>
          <w:rFonts w:hint="eastAsia" w:ascii="宋体" w:hAnsi="宋体" w:eastAsia="宋体" w:cs="宋体"/>
          <w:lang w:eastAsia="zh-CN"/>
        </w:rPr>
        <w:t>18.3  验收</w:t>
      </w:r>
      <w:bookmarkEnd w:id="932"/>
      <w:bookmarkEnd w:id="933"/>
      <w:r>
        <w:rPr>
          <w:rFonts w:hint="eastAsia" w:ascii="宋体" w:hAnsi="宋体" w:eastAsia="宋体" w:cs="宋体"/>
          <w:lang w:eastAsia="zh-CN"/>
        </w:rPr>
        <w:t xml:space="preserve"> </w:t>
      </w:r>
    </w:p>
    <w:p w14:paraId="71D02E26">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监理人收到承包人按第18.2款约定提交的竣工验收申请报告后，应审查申请报告的各项内容，并按以下不同情况进行处理。 </w:t>
      </w:r>
    </w:p>
    <w:p w14:paraId="5A876203">
      <w:pPr>
        <w:spacing w:line="360" w:lineRule="auto"/>
        <w:rPr>
          <w:rFonts w:ascii="宋体" w:hAnsi="宋体" w:eastAsia="宋体" w:cs="宋体"/>
          <w:lang w:eastAsia="zh-CN"/>
        </w:rPr>
      </w:pPr>
      <w:r>
        <w:rPr>
          <w:rFonts w:hint="eastAsia" w:ascii="宋体" w:hAnsi="宋体" w:eastAsia="宋体" w:cs="宋体"/>
          <w:lang w:eastAsia="zh-CN"/>
        </w:rPr>
        <w:t>18.3.1  监理人审查后认为尚不具备竣工验收条件的，应在收到竣工验收申请报告后的</w:t>
      </w:r>
    </w:p>
    <w:p w14:paraId="16C7F0D2">
      <w:pPr>
        <w:spacing w:line="360" w:lineRule="auto"/>
        <w:rPr>
          <w:rFonts w:ascii="宋体" w:hAnsi="宋体" w:eastAsia="宋体" w:cs="宋体"/>
          <w:lang w:eastAsia="zh-CN"/>
        </w:rPr>
      </w:pPr>
      <w:r>
        <w:rPr>
          <w:rFonts w:hint="eastAsia" w:ascii="宋体" w:hAnsi="宋体" w:eastAsia="宋体" w:cs="宋体"/>
          <w:lang w:eastAsia="zh-CN"/>
        </w:rPr>
        <w:t xml:space="preserve">28 天内通知承包人，并指出在颁发接收证书前承包人需进行的工作内容。承包人完成监理人通知的全部工作内容后，应再次提交竣工验收申请报告，直至监理人同意为止。 </w:t>
      </w:r>
    </w:p>
    <w:p w14:paraId="0F6E7911">
      <w:pPr>
        <w:spacing w:line="360" w:lineRule="auto"/>
        <w:rPr>
          <w:rFonts w:ascii="宋体" w:hAnsi="宋体" w:eastAsia="宋体" w:cs="宋体"/>
          <w:lang w:eastAsia="zh-CN"/>
        </w:rPr>
      </w:pPr>
      <w:r>
        <w:rPr>
          <w:rFonts w:hint="eastAsia" w:ascii="宋体" w:hAnsi="宋体" w:eastAsia="宋体" w:cs="宋体"/>
          <w:lang w:eastAsia="zh-CN"/>
        </w:rPr>
        <w:t>18.3.2  监理人审查后认为已具备竣工验收条件的，应在收到竣工验收申请报告后的</w:t>
      </w:r>
    </w:p>
    <w:p w14:paraId="1C272D50">
      <w:pPr>
        <w:spacing w:line="360" w:lineRule="auto"/>
        <w:rPr>
          <w:rFonts w:ascii="宋体" w:hAnsi="宋体" w:eastAsia="宋体" w:cs="宋体"/>
          <w:lang w:eastAsia="zh-CN"/>
        </w:rPr>
      </w:pPr>
      <w:r>
        <w:rPr>
          <w:rFonts w:hint="eastAsia" w:ascii="宋体" w:hAnsi="宋体" w:eastAsia="宋体" w:cs="宋体"/>
          <w:lang w:eastAsia="zh-CN"/>
        </w:rPr>
        <w:t xml:space="preserve">28天内提请发包人进行工程验收。 </w:t>
      </w:r>
    </w:p>
    <w:p w14:paraId="26020904">
      <w:pPr>
        <w:spacing w:line="360" w:lineRule="auto"/>
        <w:rPr>
          <w:rFonts w:ascii="宋体" w:hAnsi="宋体" w:eastAsia="宋体" w:cs="宋体"/>
          <w:lang w:eastAsia="zh-CN"/>
        </w:rPr>
      </w:pPr>
      <w:r>
        <w:rPr>
          <w:rFonts w:hint="eastAsia" w:ascii="宋体" w:hAnsi="宋体" w:eastAsia="宋体" w:cs="宋体"/>
          <w:lang w:eastAsia="zh-CN"/>
        </w:rPr>
        <w:t xml:space="preserve">18.3.3  发包人经过验收后同意接受工程的，应在监理人收到竣工验收申请报告后的56 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 </w:t>
      </w:r>
    </w:p>
    <w:p w14:paraId="3720A5B6">
      <w:pPr>
        <w:spacing w:line="360" w:lineRule="auto"/>
        <w:rPr>
          <w:rFonts w:ascii="宋体" w:hAnsi="宋体" w:eastAsia="宋体" w:cs="宋体"/>
          <w:lang w:eastAsia="zh-CN"/>
        </w:rPr>
      </w:pPr>
      <w:r>
        <w:rPr>
          <w:rFonts w:hint="eastAsia" w:ascii="宋体" w:hAnsi="宋体" w:eastAsia="宋体" w:cs="宋体"/>
          <w:lang w:eastAsia="zh-CN"/>
        </w:rPr>
        <w:t>18.3.4  发包人验收后不同意接收工程的，监理人应按照发包人的验收意见发出指示，</w:t>
      </w:r>
    </w:p>
    <w:p w14:paraId="7A8206FD">
      <w:pPr>
        <w:spacing w:line="360" w:lineRule="auto"/>
        <w:rPr>
          <w:rFonts w:ascii="宋体" w:hAnsi="宋体" w:eastAsia="宋体" w:cs="宋体"/>
          <w:lang w:eastAsia="zh-CN"/>
        </w:rPr>
      </w:pPr>
      <w:r>
        <w:rPr>
          <w:rFonts w:hint="eastAsia" w:ascii="宋体" w:hAnsi="宋体" w:eastAsia="宋体" w:cs="宋体"/>
          <w:lang w:eastAsia="zh-CN"/>
        </w:rPr>
        <w:t xml:space="preserve">要求承包人对不合格工程认真返工重作或进行补救处理，并承担由此产生的费用。承包人在完成不合格工程的返工重作或补救工作后，应重新提交竣工验收申请报告，按第18.3.1项、第18.3.2项和第18.3.3项的约定进行。 </w:t>
      </w:r>
    </w:p>
    <w:p w14:paraId="695309E0">
      <w:pPr>
        <w:spacing w:line="360" w:lineRule="auto"/>
        <w:rPr>
          <w:rFonts w:ascii="宋体" w:hAnsi="宋体" w:eastAsia="宋体" w:cs="宋体"/>
          <w:lang w:eastAsia="zh-CN"/>
        </w:rPr>
      </w:pPr>
      <w:r>
        <w:rPr>
          <w:rFonts w:hint="eastAsia" w:ascii="宋体" w:hAnsi="宋体" w:eastAsia="宋体" w:cs="宋体"/>
          <w:lang w:eastAsia="zh-CN"/>
        </w:rPr>
        <w:t xml:space="preserve">18.3.5  经验收合格的工程, 实际竣工日期为承包人按照第18.2款提交竣工验收申请报告或按照本款重新提交竣工验收申请报告的日期（以两者中时间在后者为准）。 </w:t>
      </w:r>
    </w:p>
    <w:p w14:paraId="31AEBADB">
      <w:pPr>
        <w:spacing w:line="360" w:lineRule="auto"/>
        <w:rPr>
          <w:rFonts w:ascii="宋体" w:hAnsi="宋体" w:eastAsia="宋体" w:cs="宋体"/>
          <w:lang w:eastAsia="zh-CN"/>
        </w:rPr>
      </w:pPr>
      <w:r>
        <w:rPr>
          <w:rFonts w:hint="eastAsia" w:ascii="宋体" w:hAnsi="宋体" w:eastAsia="宋体" w:cs="宋体"/>
          <w:lang w:eastAsia="zh-CN"/>
        </w:rPr>
        <w:t>18.3.6  发包人在收到承包人竣工验收申请报告56天后未进行验收的，视为验收合格，</w:t>
      </w:r>
    </w:p>
    <w:p w14:paraId="17432D4A">
      <w:pPr>
        <w:spacing w:line="360" w:lineRule="auto"/>
        <w:rPr>
          <w:rFonts w:ascii="宋体" w:hAnsi="宋体" w:eastAsia="宋体" w:cs="宋体"/>
          <w:lang w:eastAsia="zh-CN"/>
        </w:rPr>
      </w:pPr>
      <w:r>
        <w:rPr>
          <w:rFonts w:hint="eastAsia" w:ascii="宋体" w:hAnsi="宋体" w:eastAsia="宋体" w:cs="宋体"/>
          <w:lang w:eastAsia="zh-CN"/>
        </w:rPr>
        <w:t xml:space="preserve">实际竣工日期以提交竣工验收申请报告的日期为准，但发包人由于不可抗力不能进行验收的除外。 </w:t>
      </w:r>
    </w:p>
    <w:p w14:paraId="072D3F89">
      <w:pPr>
        <w:spacing w:line="360" w:lineRule="auto"/>
        <w:rPr>
          <w:rFonts w:ascii="宋体" w:hAnsi="宋体" w:eastAsia="宋体" w:cs="宋体"/>
          <w:lang w:eastAsia="zh-CN"/>
        </w:rPr>
      </w:pPr>
      <w:bookmarkStart w:id="934" w:name="_Toc511293925"/>
      <w:bookmarkStart w:id="935" w:name="_Toc511294196"/>
      <w:r>
        <w:rPr>
          <w:rFonts w:hint="eastAsia" w:ascii="宋体" w:hAnsi="宋体" w:eastAsia="宋体" w:cs="宋体"/>
          <w:lang w:eastAsia="zh-CN"/>
        </w:rPr>
        <w:t>18.4  单位工程验收</w:t>
      </w:r>
      <w:bookmarkEnd w:id="934"/>
      <w:bookmarkEnd w:id="935"/>
      <w:r>
        <w:rPr>
          <w:rFonts w:hint="eastAsia" w:ascii="宋体" w:hAnsi="宋体" w:eastAsia="宋体" w:cs="宋体"/>
          <w:lang w:eastAsia="zh-CN"/>
        </w:rPr>
        <w:t xml:space="preserve"> </w:t>
      </w:r>
    </w:p>
    <w:p w14:paraId="6DEB2177">
      <w:pPr>
        <w:spacing w:line="360" w:lineRule="auto"/>
        <w:rPr>
          <w:rFonts w:ascii="宋体" w:hAnsi="宋体" w:eastAsia="宋体" w:cs="宋体"/>
          <w:lang w:eastAsia="zh-CN"/>
        </w:rPr>
      </w:pPr>
      <w:r>
        <w:rPr>
          <w:rFonts w:hint="eastAsia" w:ascii="宋体" w:hAnsi="宋体" w:eastAsia="宋体" w:cs="宋体"/>
          <w:lang w:eastAsia="zh-CN"/>
        </w:rPr>
        <w:t xml:space="preserve">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 </w:t>
      </w:r>
    </w:p>
    <w:p w14:paraId="706FC2FF">
      <w:pPr>
        <w:spacing w:line="360" w:lineRule="auto"/>
        <w:rPr>
          <w:rFonts w:ascii="宋体" w:hAnsi="宋体" w:eastAsia="宋体" w:cs="宋体"/>
          <w:lang w:eastAsia="zh-CN"/>
        </w:rPr>
      </w:pPr>
      <w:r>
        <w:rPr>
          <w:rFonts w:hint="eastAsia" w:ascii="宋体" w:hAnsi="宋体" w:eastAsia="宋体" w:cs="宋体"/>
          <w:lang w:eastAsia="zh-CN"/>
        </w:rPr>
        <w:t xml:space="preserve">18.4.2  发包人在全部工程竣工前，使用已接收的单位工程导致承包人费用增加的，发包人应承担由此增加的费用和（或）工期延误，并支付承包人合理利润。 </w:t>
      </w:r>
    </w:p>
    <w:p w14:paraId="0A9898B7">
      <w:pPr>
        <w:spacing w:line="360" w:lineRule="auto"/>
        <w:rPr>
          <w:rFonts w:ascii="宋体" w:hAnsi="宋体" w:eastAsia="宋体" w:cs="宋体"/>
          <w:lang w:eastAsia="zh-CN"/>
        </w:rPr>
      </w:pPr>
      <w:bookmarkStart w:id="936" w:name="_Toc511293926"/>
      <w:bookmarkStart w:id="937" w:name="_Toc511294197"/>
      <w:r>
        <w:rPr>
          <w:rFonts w:hint="eastAsia" w:ascii="宋体" w:hAnsi="宋体" w:eastAsia="宋体" w:cs="宋体"/>
          <w:lang w:eastAsia="zh-CN"/>
        </w:rPr>
        <w:t>18.5  施工期运行</w:t>
      </w:r>
      <w:bookmarkEnd w:id="936"/>
      <w:bookmarkEnd w:id="937"/>
      <w:r>
        <w:rPr>
          <w:rFonts w:hint="eastAsia" w:ascii="宋体" w:hAnsi="宋体" w:eastAsia="宋体" w:cs="宋体"/>
          <w:lang w:eastAsia="zh-CN"/>
        </w:rPr>
        <w:t xml:space="preserve"> </w:t>
      </w:r>
    </w:p>
    <w:p w14:paraId="1B27637F">
      <w:pPr>
        <w:spacing w:line="360" w:lineRule="auto"/>
        <w:rPr>
          <w:rFonts w:ascii="宋体" w:hAnsi="宋体" w:eastAsia="宋体" w:cs="宋体"/>
          <w:lang w:eastAsia="zh-CN"/>
        </w:rPr>
      </w:pPr>
      <w:r>
        <w:rPr>
          <w:rFonts w:hint="eastAsia" w:ascii="宋体" w:hAnsi="宋体" w:eastAsia="宋体" w:cs="宋体"/>
          <w:lang w:eastAsia="zh-CN"/>
        </w:rPr>
        <w:t xml:space="preserve">18.5.1  施工期运行是指合同工程尚未全部竣工，其中某项或某几项单位工程或工程设备安装已竣工，根据合同条款专用部分约定，需要投入施工期运行的，经发包人按第 18.4 款的约定验收合格，证明能确保安全后，才能在施工期投入运行。 </w:t>
      </w:r>
    </w:p>
    <w:p w14:paraId="5120CFC2">
      <w:pPr>
        <w:spacing w:line="360" w:lineRule="auto"/>
        <w:rPr>
          <w:rFonts w:ascii="宋体" w:hAnsi="宋体" w:eastAsia="宋体" w:cs="宋体"/>
          <w:lang w:eastAsia="zh-CN"/>
        </w:rPr>
      </w:pPr>
      <w:r>
        <w:rPr>
          <w:rFonts w:hint="eastAsia" w:ascii="宋体" w:hAnsi="宋体" w:eastAsia="宋体" w:cs="宋体"/>
          <w:lang w:eastAsia="zh-CN"/>
        </w:rPr>
        <w:t xml:space="preserve">18.5.2  在施工期运行中发现工程或工程设备损坏或存在缺陷的，由承包人按第 19.2 款约定进行修复。 </w:t>
      </w:r>
    </w:p>
    <w:p w14:paraId="72CF3065">
      <w:pPr>
        <w:spacing w:line="360" w:lineRule="auto"/>
        <w:rPr>
          <w:rFonts w:ascii="宋体" w:hAnsi="宋体" w:eastAsia="宋体" w:cs="宋体"/>
          <w:lang w:eastAsia="zh-CN"/>
        </w:rPr>
      </w:pPr>
      <w:bookmarkStart w:id="938" w:name="_Toc511293927"/>
      <w:bookmarkStart w:id="939" w:name="_Toc511294198"/>
      <w:r>
        <w:rPr>
          <w:rFonts w:hint="eastAsia" w:ascii="宋体" w:hAnsi="宋体" w:eastAsia="宋体" w:cs="宋体"/>
          <w:lang w:eastAsia="zh-CN"/>
        </w:rPr>
        <w:t>18.6  试运行</w:t>
      </w:r>
      <w:bookmarkEnd w:id="938"/>
      <w:bookmarkEnd w:id="939"/>
      <w:r>
        <w:rPr>
          <w:rFonts w:hint="eastAsia" w:ascii="宋体" w:hAnsi="宋体" w:eastAsia="宋体" w:cs="宋体"/>
          <w:lang w:eastAsia="zh-CN"/>
        </w:rPr>
        <w:t xml:space="preserve"> </w:t>
      </w:r>
    </w:p>
    <w:p w14:paraId="11809A9D">
      <w:pPr>
        <w:spacing w:line="360" w:lineRule="auto"/>
        <w:rPr>
          <w:rFonts w:ascii="宋体" w:hAnsi="宋体" w:eastAsia="宋体" w:cs="宋体"/>
          <w:lang w:eastAsia="zh-CN"/>
        </w:rPr>
      </w:pPr>
      <w:r>
        <w:rPr>
          <w:rFonts w:hint="eastAsia" w:ascii="宋体" w:hAnsi="宋体" w:eastAsia="宋体" w:cs="宋体"/>
          <w:lang w:eastAsia="zh-CN"/>
        </w:rPr>
        <w:t xml:space="preserve">18.6.1  工程及工程设备试运行的组织与费用承担 </w:t>
      </w:r>
    </w:p>
    <w:p w14:paraId="0DB83FB2">
      <w:pPr>
        <w:spacing w:line="360" w:lineRule="auto"/>
        <w:rPr>
          <w:rFonts w:ascii="宋体" w:hAnsi="宋体" w:eastAsia="宋体" w:cs="宋体"/>
          <w:lang w:eastAsia="zh-CN"/>
        </w:rPr>
      </w:pPr>
      <w:r>
        <w:rPr>
          <w:rFonts w:hint="eastAsia" w:ascii="宋体" w:hAnsi="宋体" w:eastAsia="宋体" w:cs="宋体"/>
          <w:lang w:eastAsia="zh-CN"/>
        </w:rPr>
        <w:t xml:space="preserve">（1）工程设备安装具备单机无负荷试运行条件，由承包人组织试运行，费用由承包人承担。 </w:t>
      </w:r>
    </w:p>
    <w:p w14:paraId="70704E27">
      <w:pPr>
        <w:spacing w:line="360" w:lineRule="auto"/>
        <w:rPr>
          <w:rFonts w:ascii="宋体" w:hAnsi="宋体" w:eastAsia="宋体" w:cs="宋体"/>
          <w:lang w:eastAsia="zh-CN"/>
        </w:rPr>
      </w:pPr>
      <w:r>
        <w:rPr>
          <w:rFonts w:hint="eastAsia" w:ascii="宋体" w:hAnsi="宋体" w:eastAsia="宋体" w:cs="宋体"/>
          <w:lang w:eastAsia="zh-CN"/>
        </w:rPr>
        <w:t xml:space="preserve">（2）工程设备安装具备无负荷联动试运行条件，由发包人组织试运行，费用由发包人承担。 </w:t>
      </w:r>
    </w:p>
    <w:p w14:paraId="1F731ABE">
      <w:pPr>
        <w:spacing w:line="360" w:lineRule="auto"/>
        <w:rPr>
          <w:rFonts w:ascii="宋体" w:hAnsi="宋体" w:eastAsia="宋体" w:cs="宋体"/>
          <w:lang w:eastAsia="zh-CN"/>
        </w:rPr>
      </w:pPr>
      <w:r>
        <w:rPr>
          <w:rFonts w:hint="eastAsia" w:ascii="宋体" w:hAnsi="宋体" w:eastAsia="宋体" w:cs="宋体"/>
          <w:lang w:eastAsia="zh-CN"/>
        </w:rPr>
        <w:t xml:space="preserve">（3）投料试运行应在工程竣工验收后由发包人负责，如发包人要求在工程竣工验收前进行或需要承包人配合时，应征得承包人同意，另行签订补充协议。 </w:t>
      </w:r>
    </w:p>
    <w:p w14:paraId="1DD5A625">
      <w:pPr>
        <w:spacing w:line="360" w:lineRule="auto"/>
        <w:rPr>
          <w:rFonts w:ascii="宋体" w:hAnsi="宋体" w:eastAsia="宋体" w:cs="宋体"/>
          <w:lang w:eastAsia="zh-CN"/>
        </w:rPr>
      </w:pPr>
      <w:r>
        <w:rPr>
          <w:rFonts w:hint="eastAsia" w:ascii="宋体" w:hAnsi="宋体" w:eastAsia="宋体" w:cs="宋体"/>
          <w:lang w:eastAsia="zh-CN"/>
        </w:rPr>
        <w:t>18.6.2  由于承包人的原因导致试运行失败的，承包人应采取措施保证试运行合格，并</w:t>
      </w:r>
    </w:p>
    <w:p w14:paraId="285398FB">
      <w:pPr>
        <w:spacing w:line="360" w:lineRule="auto"/>
        <w:rPr>
          <w:rFonts w:ascii="宋体" w:hAnsi="宋体" w:eastAsia="宋体" w:cs="宋体"/>
          <w:lang w:eastAsia="zh-CN"/>
        </w:rPr>
      </w:pPr>
      <w:r>
        <w:rPr>
          <w:rFonts w:hint="eastAsia" w:ascii="宋体" w:hAnsi="宋体" w:eastAsia="宋体" w:cs="宋体"/>
          <w:lang w:eastAsia="zh-CN"/>
        </w:rPr>
        <w:t xml:space="preserve">承担相应费用。由于发包人的原因导致试运行失败的，承包人应当采取措施保证试运行合格，发包人应承担由此产生的费用，并支付承包人合理利润。 </w:t>
      </w:r>
    </w:p>
    <w:p w14:paraId="2A20B039">
      <w:pPr>
        <w:spacing w:line="360" w:lineRule="auto"/>
        <w:rPr>
          <w:rFonts w:ascii="宋体" w:hAnsi="宋体" w:eastAsia="宋体" w:cs="宋体"/>
          <w:lang w:eastAsia="zh-CN"/>
        </w:rPr>
      </w:pPr>
      <w:bookmarkStart w:id="940" w:name="_Toc511294199"/>
      <w:bookmarkStart w:id="941" w:name="_Toc511293928"/>
      <w:r>
        <w:rPr>
          <w:rFonts w:hint="eastAsia" w:ascii="宋体" w:hAnsi="宋体" w:eastAsia="宋体" w:cs="宋体"/>
          <w:lang w:eastAsia="zh-CN"/>
        </w:rPr>
        <w:t>18.7  竣工清场</w:t>
      </w:r>
      <w:bookmarkEnd w:id="940"/>
      <w:bookmarkEnd w:id="941"/>
      <w:r>
        <w:rPr>
          <w:rFonts w:hint="eastAsia" w:ascii="宋体" w:hAnsi="宋体" w:eastAsia="宋体" w:cs="宋体"/>
          <w:lang w:eastAsia="zh-CN"/>
        </w:rPr>
        <w:t xml:space="preserve"> </w:t>
      </w:r>
    </w:p>
    <w:p w14:paraId="431548C8">
      <w:pPr>
        <w:spacing w:line="360" w:lineRule="auto"/>
        <w:rPr>
          <w:rFonts w:ascii="宋体" w:hAnsi="宋体" w:eastAsia="宋体" w:cs="宋体"/>
          <w:lang w:eastAsia="zh-CN"/>
        </w:rPr>
      </w:pPr>
      <w:r>
        <w:rPr>
          <w:rFonts w:hint="eastAsia" w:ascii="宋体" w:hAnsi="宋体" w:eastAsia="宋体" w:cs="宋体"/>
          <w:lang w:eastAsia="zh-CN"/>
        </w:rPr>
        <w:t xml:space="preserve">18.7.1  监理人颁发（出具）工程接收证书后，承包人负责按照以下要求对施工场地进行清理，直至监理人检验合格为止。竣工清场费用由承包人承担。 </w:t>
      </w:r>
    </w:p>
    <w:p w14:paraId="229604D6">
      <w:pPr>
        <w:spacing w:line="360" w:lineRule="auto"/>
        <w:rPr>
          <w:rFonts w:ascii="宋体" w:hAnsi="宋体" w:eastAsia="宋体" w:cs="宋体"/>
          <w:lang w:eastAsia="zh-CN"/>
        </w:rPr>
      </w:pPr>
      <w:r>
        <w:rPr>
          <w:rFonts w:hint="eastAsia" w:ascii="宋体" w:hAnsi="宋体" w:eastAsia="宋体" w:cs="宋体"/>
          <w:lang w:eastAsia="zh-CN"/>
        </w:rPr>
        <w:t xml:space="preserve">（1）施工场地内残留的垃圾已全部清除出场； </w:t>
      </w:r>
    </w:p>
    <w:p w14:paraId="704459F5">
      <w:pPr>
        <w:spacing w:line="360" w:lineRule="auto"/>
        <w:rPr>
          <w:rFonts w:ascii="宋体" w:hAnsi="宋体" w:eastAsia="宋体" w:cs="宋体"/>
          <w:lang w:eastAsia="zh-CN"/>
        </w:rPr>
      </w:pPr>
      <w:r>
        <w:rPr>
          <w:rFonts w:hint="eastAsia" w:ascii="宋体" w:hAnsi="宋体" w:eastAsia="宋体" w:cs="宋体"/>
          <w:lang w:eastAsia="zh-CN"/>
        </w:rPr>
        <w:t xml:space="preserve">（2）临时工程已拆除，场地已按合同要求进行清理、平整或复原； </w:t>
      </w:r>
    </w:p>
    <w:p w14:paraId="093C1281">
      <w:pPr>
        <w:spacing w:line="360" w:lineRule="auto"/>
        <w:rPr>
          <w:rFonts w:ascii="宋体" w:hAnsi="宋体" w:eastAsia="宋体" w:cs="宋体"/>
          <w:lang w:eastAsia="zh-CN"/>
        </w:rPr>
      </w:pPr>
      <w:r>
        <w:rPr>
          <w:rFonts w:hint="eastAsia" w:ascii="宋体" w:hAnsi="宋体" w:eastAsia="宋体" w:cs="宋体"/>
          <w:lang w:eastAsia="zh-CN"/>
        </w:rPr>
        <w:t xml:space="preserve">（3）按合同约定应撤离的承包人设备和剩余的材料，包括废弃的施工设备和材料，已按计划撤离施工场地； </w:t>
      </w:r>
    </w:p>
    <w:p w14:paraId="609E9423">
      <w:pPr>
        <w:spacing w:line="360" w:lineRule="auto"/>
        <w:rPr>
          <w:rFonts w:ascii="宋体" w:hAnsi="宋体" w:eastAsia="宋体" w:cs="宋体"/>
          <w:lang w:eastAsia="zh-CN"/>
        </w:rPr>
      </w:pPr>
      <w:r>
        <w:rPr>
          <w:rFonts w:hint="eastAsia" w:ascii="宋体" w:hAnsi="宋体" w:eastAsia="宋体" w:cs="宋体"/>
          <w:lang w:eastAsia="zh-CN"/>
        </w:rPr>
        <w:t xml:space="preserve">（4）工程建筑物周边及其附近道路、河道的施工堆积物，已按监理人指示全部清理； </w:t>
      </w:r>
    </w:p>
    <w:p w14:paraId="3EA5E22D">
      <w:pPr>
        <w:spacing w:line="360" w:lineRule="auto"/>
        <w:rPr>
          <w:rFonts w:ascii="宋体" w:hAnsi="宋体" w:eastAsia="宋体" w:cs="宋体"/>
          <w:lang w:eastAsia="zh-CN"/>
        </w:rPr>
      </w:pPr>
      <w:r>
        <w:rPr>
          <w:rFonts w:hint="eastAsia" w:ascii="宋体" w:hAnsi="宋体" w:eastAsia="宋体" w:cs="宋体"/>
          <w:lang w:eastAsia="zh-CN"/>
        </w:rPr>
        <w:t xml:space="preserve">（5）监理人指示的其他场地清理工作已全部完成。 </w:t>
      </w:r>
    </w:p>
    <w:p w14:paraId="7CE29B8E">
      <w:pPr>
        <w:spacing w:line="360" w:lineRule="auto"/>
        <w:rPr>
          <w:rFonts w:ascii="宋体" w:hAnsi="宋体" w:eastAsia="宋体" w:cs="宋体"/>
          <w:lang w:eastAsia="zh-CN"/>
        </w:rPr>
      </w:pPr>
      <w:r>
        <w:rPr>
          <w:rFonts w:hint="eastAsia" w:ascii="宋体" w:hAnsi="宋体" w:eastAsia="宋体" w:cs="宋体"/>
          <w:lang w:eastAsia="zh-CN"/>
        </w:rPr>
        <w:t xml:space="preserve">18.7.2  承包人未按监理人的要求恢复临时占地，或者场地清理未达到合同约定的，发包人有权委托其他人恢复或清理，所发生的金额从拟支付给承包人的款项中扣除。 </w:t>
      </w:r>
    </w:p>
    <w:p w14:paraId="1C76942B">
      <w:pPr>
        <w:spacing w:line="360" w:lineRule="auto"/>
        <w:rPr>
          <w:rFonts w:ascii="宋体" w:hAnsi="宋体" w:eastAsia="宋体" w:cs="宋体"/>
          <w:lang w:eastAsia="zh-CN"/>
        </w:rPr>
      </w:pPr>
      <w:bookmarkStart w:id="942" w:name="_Toc511293929"/>
      <w:bookmarkStart w:id="943" w:name="_Toc511294200"/>
      <w:r>
        <w:rPr>
          <w:rFonts w:hint="eastAsia" w:ascii="宋体" w:hAnsi="宋体" w:eastAsia="宋体" w:cs="宋体"/>
          <w:lang w:eastAsia="zh-CN"/>
        </w:rPr>
        <w:t>18.8  施工队伍的撤离</w:t>
      </w:r>
      <w:bookmarkEnd w:id="942"/>
      <w:bookmarkEnd w:id="943"/>
      <w:r>
        <w:rPr>
          <w:rFonts w:hint="eastAsia" w:ascii="宋体" w:hAnsi="宋体" w:eastAsia="宋体" w:cs="宋体"/>
          <w:lang w:eastAsia="zh-CN"/>
        </w:rPr>
        <w:t xml:space="preserve"> </w:t>
      </w:r>
    </w:p>
    <w:p w14:paraId="0C1EF996">
      <w:pPr>
        <w:spacing w:line="360" w:lineRule="auto"/>
        <w:rPr>
          <w:rFonts w:ascii="宋体" w:hAnsi="宋体" w:eastAsia="宋体" w:cs="宋体"/>
          <w:lang w:eastAsia="zh-CN"/>
        </w:rPr>
      </w:pPr>
      <w:r>
        <w:rPr>
          <w:rFonts w:hint="eastAsia" w:ascii="宋体" w:hAnsi="宋体" w:eastAsia="宋体" w:cs="宋体"/>
          <w:lang w:eastAsia="zh-CN"/>
        </w:rPr>
        <w:t xml:space="preserve">18.8.1  工程接收证书颁发后的56天内，除了经监理人同意需在缺陷责任期内继续工作和使用的人员、施工设备和临时工程外，其余的人员、施工设备和临时工程均应撤离施工场地或拆除。 </w:t>
      </w:r>
    </w:p>
    <w:p w14:paraId="1B59994E">
      <w:pPr>
        <w:spacing w:line="360" w:lineRule="auto"/>
        <w:rPr>
          <w:rFonts w:ascii="宋体" w:hAnsi="宋体" w:eastAsia="宋体" w:cs="宋体"/>
          <w:lang w:eastAsia="zh-CN"/>
        </w:rPr>
      </w:pPr>
      <w:r>
        <w:rPr>
          <w:rFonts w:hint="eastAsia" w:ascii="宋体" w:hAnsi="宋体" w:eastAsia="宋体" w:cs="宋体"/>
          <w:lang w:eastAsia="zh-CN"/>
        </w:rPr>
        <w:t>18.8.2  承包人撤离施工场地（现场）时，监理人和承包人应当办理永久工程和施工场</w:t>
      </w:r>
    </w:p>
    <w:p w14:paraId="575B0673">
      <w:pPr>
        <w:spacing w:line="360" w:lineRule="auto"/>
        <w:rPr>
          <w:rFonts w:ascii="宋体" w:hAnsi="宋体" w:eastAsia="宋体" w:cs="宋体"/>
          <w:lang w:eastAsia="zh-CN"/>
        </w:rPr>
      </w:pPr>
      <w:r>
        <w:rPr>
          <w:rFonts w:hint="eastAsia" w:ascii="宋体" w:hAnsi="宋体" w:eastAsia="宋体" w:cs="宋体"/>
          <w:lang w:eastAsia="zh-CN"/>
        </w:rPr>
        <w:t xml:space="preserve">地移交手续，移交手续以书面方式出具，并分别经过发包人、监理人和承包人的签认。但是，监理人和发包人未按第17.5.1项约定的期限办清竣工结算和竣工付款的，本工程不得交付使用，发包人和监理人也无权要求承包人按合同约定的期限撤离施工场地（现场）和办理工程移交手续。 </w:t>
      </w:r>
    </w:p>
    <w:p w14:paraId="5A133DB2">
      <w:pPr>
        <w:spacing w:line="360" w:lineRule="auto"/>
        <w:rPr>
          <w:rFonts w:ascii="宋体" w:hAnsi="宋体" w:eastAsia="宋体" w:cs="宋体"/>
          <w:lang w:eastAsia="zh-CN"/>
        </w:rPr>
      </w:pPr>
      <w:r>
        <w:rPr>
          <w:rFonts w:hint="eastAsia" w:ascii="宋体" w:hAnsi="宋体" w:eastAsia="宋体" w:cs="宋体"/>
          <w:lang w:eastAsia="zh-CN"/>
        </w:rPr>
        <w:t xml:space="preserve">18.8.3  缺陷责任期满时，承包人的人员和施工设备应在合同约定期限内全部撤离施工场地。撤离施工场地的期限要求见合同条款专用部分。 </w:t>
      </w:r>
    </w:p>
    <w:p w14:paraId="2F32C04A">
      <w:pPr>
        <w:spacing w:line="360" w:lineRule="auto"/>
        <w:rPr>
          <w:rFonts w:ascii="宋体" w:hAnsi="宋体" w:eastAsia="宋体" w:cs="宋体"/>
          <w:lang w:eastAsia="zh-CN"/>
        </w:rPr>
      </w:pPr>
      <w:bookmarkStart w:id="944" w:name="_Toc511293930"/>
      <w:bookmarkStart w:id="945" w:name="_Toc511294201"/>
      <w:r>
        <w:rPr>
          <w:rFonts w:hint="eastAsia" w:ascii="宋体" w:hAnsi="宋体" w:eastAsia="宋体" w:cs="宋体"/>
          <w:lang w:eastAsia="zh-CN"/>
        </w:rPr>
        <w:t>18.9  中间验收</w:t>
      </w:r>
      <w:bookmarkEnd w:id="944"/>
      <w:bookmarkEnd w:id="945"/>
      <w:r>
        <w:rPr>
          <w:rFonts w:hint="eastAsia" w:ascii="宋体" w:hAnsi="宋体" w:eastAsia="宋体" w:cs="宋体"/>
          <w:lang w:eastAsia="zh-CN"/>
        </w:rPr>
        <w:t xml:space="preserve"> </w:t>
      </w:r>
    </w:p>
    <w:p w14:paraId="49079C91">
      <w:pPr>
        <w:spacing w:line="360" w:lineRule="auto"/>
        <w:rPr>
          <w:rFonts w:ascii="宋体" w:hAnsi="宋体" w:eastAsia="宋体" w:cs="宋体"/>
          <w:lang w:eastAsia="zh-CN"/>
        </w:rPr>
      </w:pPr>
      <w:r>
        <w:rPr>
          <w:rFonts w:hint="eastAsia" w:ascii="宋体" w:hAnsi="宋体" w:eastAsia="宋体" w:cs="宋体"/>
          <w:lang w:eastAsia="zh-CN"/>
        </w:rPr>
        <w:t xml:space="preserve">18.9.1  本工程需要按照合同约定进行中间验收。进行中间验收的部位见合同条款专用部分。 </w:t>
      </w:r>
    </w:p>
    <w:p w14:paraId="440E3DAB">
      <w:pPr>
        <w:spacing w:line="360" w:lineRule="auto"/>
        <w:rPr>
          <w:rFonts w:ascii="宋体" w:hAnsi="宋体" w:eastAsia="宋体" w:cs="宋体"/>
          <w:lang w:eastAsia="zh-CN"/>
        </w:rPr>
      </w:pPr>
      <w:r>
        <w:rPr>
          <w:rFonts w:hint="eastAsia" w:ascii="宋体" w:hAnsi="宋体" w:eastAsia="宋体" w:cs="宋体"/>
          <w:lang w:eastAsia="zh-CN"/>
        </w:rPr>
        <w:t xml:space="preserve">18.9.2  当工程进度达到第18.9.1项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见合同条款专用部分。 </w:t>
      </w:r>
    </w:p>
    <w:p w14:paraId="71609E89">
      <w:pPr>
        <w:spacing w:line="360" w:lineRule="auto"/>
        <w:rPr>
          <w:rFonts w:ascii="宋体" w:hAnsi="宋体" w:eastAsia="宋体" w:cs="宋体"/>
          <w:lang w:eastAsia="zh-CN"/>
        </w:rPr>
      </w:pPr>
      <w:r>
        <w:rPr>
          <w:rFonts w:hint="eastAsia" w:ascii="宋体" w:hAnsi="宋体" w:eastAsia="宋体" w:cs="宋体"/>
          <w:lang w:eastAsia="zh-CN"/>
        </w:rPr>
        <w:t xml:space="preserve">18.9.3  监理人不能按时进行验收的，应在验收前至少24小时以书面形式向承包人提出延期要求，但延期不能超过48小时。监理人未能按本款约定的时限提出延期要求，又未按期进行验收的，承包人可自行组织验收，监理人必须认同验收记录。 </w:t>
      </w:r>
    </w:p>
    <w:p w14:paraId="22AEF0AC">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经监理人验收后工程质量符合约定的验收标准，但验收24小时后监理人仍不在验收记录上签字的，视为监理人已经认可验收记录，承包人可继续施工。 </w:t>
      </w:r>
    </w:p>
    <w:p w14:paraId="2C53B68D">
      <w:pPr>
        <w:spacing w:line="360" w:lineRule="auto"/>
        <w:rPr>
          <w:rFonts w:ascii="宋体" w:hAnsi="宋体" w:eastAsia="宋体" w:cs="宋体"/>
          <w:lang w:eastAsia="zh-CN"/>
        </w:rPr>
      </w:pPr>
      <w:r>
        <w:rPr>
          <w:rFonts w:hint="eastAsia" w:ascii="宋体" w:hAnsi="宋体" w:eastAsia="宋体" w:cs="宋体"/>
          <w:lang w:eastAsia="zh-CN"/>
        </w:rPr>
        <w:t xml:space="preserve">19.缺陷责任与保修责任 </w:t>
      </w:r>
    </w:p>
    <w:p w14:paraId="228EFE50">
      <w:pPr>
        <w:spacing w:line="360" w:lineRule="auto"/>
        <w:rPr>
          <w:rFonts w:ascii="宋体" w:hAnsi="宋体" w:eastAsia="宋体" w:cs="宋体"/>
          <w:lang w:eastAsia="zh-CN"/>
        </w:rPr>
      </w:pPr>
      <w:bookmarkStart w:id="946" w:name="_Toc511294202"/>
      <w:bookmarkStart w:id="947" w:name="_Toc511293931"/>
      <w:r>
        <w:rPr>
          <w:rFonts w:hint="eastAsia" w:ascii="宋体" w:hAnsi="宋体" w:eastAsia="宋体" w:cs="宋体"/>
          <w:lang w:eastAsia="zh-CN"/>
        </w:rPr>
        <w:t>19.1  缺陷责任期的起算时间</w:t>
      </w:r>
      <w:bookmarkEnd w:id="946"/>
      <w:bookmarkEnd w:id="947"/>
      <w:r>
        <w:rPr>
          <w:rFonts w:hint="eastAsia" w:ascii="宋体" w:hAnsi="宋体" w:eastAsia="宋体" w:cs="宋体"/>
          <w:lang w:eastAsia="zh-CN"/>
        </w:rPr>
        <w:t xml:space="preserve"> </w:t>
      </w:r>
    </w:p>
    <w:p w14:paraId="62BF1AA7">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缺陷责任期自实际竣工日期起计算。在全部工程竣工验收前，已经发包人提前验收的单位工程，其缺陷责任期的起算日期相应提前。 </w:t>
      </w:r>
    </w:p>
    <w:p w14:paraId="586E5F78">
      <w:pPr>
        <w:spacing w:line="360" w:lineRule="auto"/>
        <w:rPr>
          <w:rFonts w:ascii="宋体" w:hAnsi="宋体" w:eastAsia="宋体" w:cs="宋体"/>
          <w:lang w:eastAsia="zh-CN"/>
        </w:rPr>
      </w:pPr>
      <w:bookmarkStart w:id="948" w:name="_Toc511293932"/>
      <w:bookmarkStart w:id="949" w:name="_Toc511294203"/>
      <w:r>
        <w:rPr>
          <w:rFonts w:hint="eastAsia" w:ascii="宋体" w:hAnsi="宋体" w:eastAsia="宋体" w:cs="宋体"/>
          <w:lang w:eastAsia="zh-CN"/>
        </w:rPr>
        <w:t>19.2  缺陷责任</w:t>
      </w:r>
      <w:bookmarkEnd w:id="948"/>
      <w:bookmarkEnd w:id="949"/>
      <w:r>
        <w:rPr>
          <w:rFonts w:hint="eastAsia" w:ascii="宋体" w:hAnsi="宋体" w:eastAsia="宋体" w:cs="宋体"/>
          <w:lang w:eastAsia="zh-CN"/>
        </w:rPr>
        <w:t xml:space="preserve"> </w:t>
      </w:r>
    </w:p>
    <w:p w14:paraId="1D516087">
      <w:pPr>
        <w:spacing w:line="360" w:lineRule="auto"/>
        <w:rPr>
          <w:rFonts w:ascii="宋体" w:hAnsi="宋体" w:eastAsia="宋体" w:cs="宋体"/>
          <w:lang w:eastAsia="zh-CN"/>
        </w:rPr>
      </w:pPr>
      <w:r>
        <w:rPr>
          <w:rFonts w:hint="eastAsia" w:ascii="宋体" w:hAnsi="宋体" w:eastAsia="宋体" w:cs="宋体"/>
          <w:lang w:eastAsia="zh-CN"/>
        </w:rPr>
        <w:t xml:space="preserve">19.2.1  承包人应在缺陷责任期内对已交付使用的工程承担缺陷责任。 </w:t>
      </w:r>
    </w:p>
    <w:p w14:paraId="55F0DE07">
      <w:pPr>
        <w:spacing w:line="360" w:lineRule="auto"/>
        <w:rPr>
          <w:rFonts w:ascii="宋体" w:hAnsi="宋体" w:eastAsia="宋体" w:cs="宋体"/>
          <w:lang w:eastAsia="zh-CN"/>
        </w:rPr>
      </w:pPr>
      <w:r>
        <w:rPr>
          <w:rFonts w:hint="eastAsia" w:ascii="宋体" w:hAnsi="宋体" w:eastAsia="宋体" w:cs="宋体"/>
          <w:lang w:eastAsia="zh-CN"/>
        </w:rPr>
        <w:t xml:space="preserve">19.2.2  缺陷责任期内，发包人对已接收使用的工程负责日常维护工作。发包人在使用过程中，发现已接收的工程存在新的缺陷或已修复的缺陷部位或部件又遭损坏的，承包人应负责修复，直至检验合格为止。 </w:t>
      </w:r>
    </w:p>
    <w:p w14:paraId="14829B39">
      <w:pPr>
        <w:spacing w:line="360" w:lineRule="auto"/>
        <w:rPr>
          <w:rFonts w:ascii="宋体" w:hAnsi="宋体" w:eastAsia="宋体" w:cs="宋体"/>
          <w:lang w:eastAsia="zh-CN"/>
        </w:rPr>
      </w:pPr>
      <w:r>
        <w:rPr>
          <w:rFonts w:hint="eastAsia" w:ascii="宋体" w:hAnsi="宋体" w:eastAsia="宋体" w:cs="宋体"/>
          <w:lang w:eastAsia="zh-CN"/>
        </w:rPr>
        <w:t xml:space="preserve">19.2.3  监理人和承包人应共同查清缺陷和（或）损坏的原因。经查明属承包人原因造成的，应由承包人承担修复和查验的费用。经查验属发包人原因造成的，发包人应承担修复和查验的费用，并支付承包人合理利润。 </w:t>
      </w:r>
    </w:p>
    <w:p w14:paraId="718983AA">
      <w:pPr>
        <w:spacing w:line="360" w:lineRule="auto"/>
        <w:rPr>
          <w:rFonts w:ascii="宋体" w:hAnsi="宋体" w:eastAsia="宋体" w:cs="宋体"/>
          <w:lang w:eastAsia="zh-CN"/>
        </w:rPr>
      </w:pPr>
      <w:r>
        <w:rPr>
          <w:rFonts w:hint="eastAsia" w:ascii="宋体" w:hAnsi="宋体" w:eastAsia="宋体" w:cs="宋体"/>
          <w:lang w:eastAsia="zh-CN"/>
        </w:rPr>
        <w:t xml:space="preserve">19.2.4  承包人不能在合理时间内修复缺陷的，发包人可自行修复或委托其他人修复，所需费用和利润的承担，按第19.2.3项约定办理。 </w:t>
      </w:r>
    </w:p>
    <w:p w14:paraId="438D062C">
      <w:pPr>
        <w:spacing w:line="360" w:lineRule="auto"/>
        <w:rPr>
          <w:rFonts w:ascii="宋体" w:hAnsi="宋体" w:eastAsia="宋体" w:cs="宋体"/>
          <w:lang w:eastAsia="zh-CN"/>
        </w:rPr>
      </w:pPr>
      <w:bookmarkStart w:id="950" w:name="_Toc511293933"/>
      <w:bookmarkStart w:id="951" w:name="_Toc511294204"/>
      <w:r>
        <w:rPr>
          <w:rFonts w:hint="eastAsia" w:ascii="宋体" w:hAnsi="宋体" w:eastAsia="宋体" w:cs="宋体"/>
          <w:lang w:eastAsia="zh-CN"/>
        </w:rPr>
        <w:t>19.3  缺陷责任期的延长</w:t>
      </w:r>
      <w:bookmarkEnd w:id="950"/>
      <w:bookmarkEnd w:id="951"/>
      <w:r>
        <w:rPr>
          <w:rFonts w:hint="eastAsia" w:ascii="宋体" w:hAnsi="宋体" w:eastAsia="宋体" w:cs="宋体"/>
          <w:lang w:eastAsia="zh-CN"/>
        </w:rPr>
        <w:t xml:space="preserve"> </w:t>
      </w:r>
    </w:p>
    <w:p w14:paraId="143291BD">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由于承包人原因造成某项缺陷或损坏，使某项工程或工程设备不能按原定目标使用，需要再次检查、检验和修复的，发包人有权要求承包人相应延长缺陷责任期，但缺陷责任期最长不超过2年。 </w:t>
      </w:r>
    </w:p>
    <w:p w14:paraId="730DCBA2">
      <w:pPr>
        <w:spacing w:line="360" w:lineRule="auto"/>
        <w:rPr>
          <w:rFonts w:ascii="宋体" w:hAnsi="宋体" w:eastAsia="宋体" w:cs="宋体"/>
          <w:lang w:eastAsia="zh-CN"/>
        </w:rPr>
      </w:pPr>
      <w:bookmarkStart w:id="952" w:name="_Toc511294205"/>
      <w:bookmarkStart w:id="953" w:name="_Toc511293934"/>
      <w:r>
        <w:rPr>
          <w:rFonts w:hint="eastAsia" w:ascii="宋体" w:hAnsi="宋体" w:eastAsia="宋体" w:cs="宋体"/>
          <w:lang w:eastAsia="zh-CN"/>
        </w:rPr>
        <w:t>19.4  进一步试验和试运行</w:t>
      </w:r>
      <w:bookmarkEnd w:id="952"/>
      <w:bookmarkEnd w:id="953"/>
      <w:r>
        <w:rPr>
          <w:rFonts w:hint="eastAsia" w:ascii="宋体" w:hAnsi="宋体" w:eastAsia="宋体" w:cs="宋体"/>
          <w:lang w:eastAsia="zh-CN"/>
        </w:rPr>
        <w:t xml:space="preserve"> </w:t>
      </w:r>
    </w:p>
    <w:p w14:paraId="734A0D18">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任何一项缺陷或损坏修复后，经检查证明其影响了工程或工程设备的使用性能，承包人应重新进行合同约定的试验和试运行，试验和试运行的全部费用应由责任方承担。 </w:t>
      </w:r>
    </w:p>
    <w:p w14:paraId="7AE54CAC">
      <w:pPr>
        <w:spacing w:line="360" w:lineRule="auto"/>
        <w:rPr>
          <w:rFonts w:ascii="宋体" w:hAnsi="宋体" w:eastAsia="宋体" w:cs="宋体"/>
          <w:lang w:eastAsia="zh-CN"/>
        </w:rPr>
      </w:pPr>
      <w:bookmarkStart w:id="954" w:name="_Toc511293935"/>
      <w:bookmarkStart w:id="955" w:name="_Toc511294206"/>
      <w:r>
        <w:rPr>
          <w:rFonts w:hint="eastAsia" w:ascii="宋体" w:hAnsi="宋体" w:eastAsia="宋体" w:cs="宋体"/>
          <w:lang w:eastAsia="zh-CN"/>
        </w:rPr>
        <w:t>19.5  承包人的进入权</w:t>
      </w:r>
      <w:bookmarkEnd w:id="954"/>
      <w:bookmarkEnd w:id="955"/>
      <w:r>
        <w:rPr>
          <w:rFonts w:hint="eastAsia" w:ascii="宋体" w:hAnsi="宋体" w:eastAsia="宋体" w:cs="宋体"/>
          <w:lang w:eastAsia="zh-CN"/>
        </w:rPr>
        <w:t xml:space="preserve"> </w:t>
      </w:r>
    </w:p>
    <w:p w14:paraId="49BB6589">
      <w:pPr>
        <w:spacing w:line="360" w:lineRule="auto"/>
        <w:rPr>
          <w:rFonts w:ascii="宋体" w:hAnsi="宋体" w:eastAsia="宋体" w:cs="宋体"/>
          <w:lang w:eastAsia="zh-CN"/>
        </w:rPr>
      </w:pPr>
      <w:r>
        <w:rPr>
          <w:rFonts w:hint="eastAsia" w:ascii="宋体" w:hAnsi="宋体" w:eastAsia="宋体" w:cs="宋体"/>
          <w:lang w:eastAsia="zh-CN"/>
        </w:rPr>
        <w:t xml:space="preserve">缺陷责任期内承包人为缺陷修复工作需要，有权进入工程现场，但应遵守发包人的保安和保密规定。 </w:t>
      </w:r>
    </w:p>
    <w:p w14:paraId="353306C5">
      <w:pPr>
        <w:spacing w:line="360" w:lineRule="auto"/>
        <w:rPr>
          <w:rFonts w:ascii="宋体" w:hAnsi="宋体" w:eastAsia="宋体" w:cs="宋体"/>
          <w:lang w:eastAsia="zh-CN"/>
        </w:rPr>
      </w:pPr>
      <w:bookmarkStart w:id="956" w:name="_Toc511294207"/>
      <w:bookmarkStart w:id="957" w:name="_Toc511293936"/>
      <w:r>
        <w:rPr>
          <w:rFonts w:hint="eastAsia" w:ascii="宋体" w:hAnsi="宋体" w:eastAsia="宋体" w:cs="宋体"/>
          <w:lang w:eastAsia="zh-CN"/>
        </w:rPr>
        <w:t>19.6  缺陷责任期终止证书</w:t>
      </w:r>
      <w:bookmarkEnd w:id="956"/>
      <w:bookmarkEnd w:id="957"/>
      <w:r>
        <w:rPr>
          <w:rFonts w:hint="eastAsia" w:ascii="宋体" w:hAnsi="宋体" w:eastAsia="宋体" w:cs="宋体"/>
          <w:lang w:eastAsia="zh-CN"/>
        </w:rPr>
        <w:t xml:space="preserve"> </w:t>
      </w:r>
    </w:p>
    <w:p w14:paraId="019790C8">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在第1.1.4.5目约定的缺陷责任期，包括根据第19.3款延长的期限终止后14天内，由监理人向承包人出具经发包人签认的缺陷责任期终止证书，并退还剩余的质量保证金或退还保函。 </w:t>
      </w:r>
    </w:p>
    <w:p w14:paraId="2E99FAA3">
      <w:pPr>
        <w:spacing w:line="360" w:lineRule="auto"/>
        <w:rPr>
          <w:rFonts w:ascii="宋体" w:hAnsi="宋体" w:eastAsia="宋体" w:cs="宋体"/>
          <w:lang w:eastAsia="zh-CN"/>
        </w:rPr>
      </w:pPr>
      <w:bookmarkStart w:id="958" w:name="_Toc511293937"/>
      <w:bookmarkStart w:id="959" w:name="_Toc511294208"/>
      <w:r>
        <w:rPr>
          <w:rFonts w:hint="eastAsia" w:ascii="宋体" w:hAnsi="宋体" w:eastAsia="宋体" w:cs="宋体"/>
          <w:lang w:eastAsia="zh-CN"/>
        </w:rPr>
        <w:t>19.7  保修责任</w:t>
      </w:r>
      <w:bookmarkEnd w:id="958"/>
      <w:bookmarkEnd w:id="959"/>
      <w:r>
        <w:rPr>
          <w:rFonts w:hint="eastAsia" w:ascii="宋体" w:hAnsi="宋体" w:eastAsia="宋体" w:cs="宋体"/>
          <w:lang w:eastAsia="zh-CN"/>
        </w:rPr>
        <w:t xml:space="preserve"> </w:t>
      </w:r>
    </w:p>
    <w:p w14:paraId="6430F89C">
      <w:pPr>
        <w:spacing w:line="360" w:lineRule="auto"/>
        <w:rPr>
          <w:rFonts w:ascii="宋体" w:hAnsi="宋体" w:eastAsia="宋体" w:cs="宋体"/>
          <w:lang w:eastAsia="zh-CN"/>
        </w:rPr>
      </w:pPr>
      <w:r>
        <w:rPr>
          <w:rFonts w:hint="eastAsia" w:ascii="宋体" w:hAnsi="宋体" w:eastAsia="宋体" w:cs="宋体"/>
          <w:lang w:eastAsia="zh-CN"/>
        </w:rPr>
        <w:t xml:space="preserve">19.7.1  合同当事人根据有关法律法规规定明确工程质量保修范围、期限和责任。保修期自实际竣工日期起计算。在全部工程竣工验收前，已经发包人提前验收的单位工程，其保修期的起算日期相应提前。工程质量保修范围、期限和责任见合同条款专用部分。 </w:t>
      </w:r>
    </w:p>
    <w:p w14:paraId="45BE6342">
      <w:pPr>
        <w:spacing w:line="360" w:lineRule="auto"/>
        <w:rPr>
          <w:rFonts w:ascii="宋体" w:hAnsi="宋体" w:eastAsia="宋体" w:cs="宋体"/>
          <w:lang w:eastAsia="zh-CN"/>
        </w:rPr>
      </w:pPr>
      <w:r>
        <w:rPr>
          <w:rFonts w:hint="eastAsia" w:ascii="宋体" w:hAnsi="宋体" w:eastAsia="宋体" w:cs="宋体"/>
          <w:lang w:eastAsia="zh-CN"/>
        </w:rPr>
        <w:t xml:space="preserve">19.7.2  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 </w:t>
      </w:r>
    </w:p>
    <w:p w14:paraId="33F2B065">
      <w:pPr>
        <w:spacing w:line="360" w:lineRule="auto"/>
        <w:rPr>
          <w:rFonts w:ascii="宋体" w:hAnsi="宋体" w:eastAsia="宋体" w:cs="宋体"/>
          <w:lang w:eastAsia="zh-CN"/>
        </w:rPr>
      </w:pPr>
      <w:r>
        <w:rPr>
          <w:rFonts w:hint="eastAsia" w:ascii="宋体" w:hAnsi="宋体" w:eastAsia="宋体" w:cs="宋体"/>
          <w:lang w:eastAsia="zh-CN"/>
        </w:rPr>
        <w:t xml:space="preserve">20.保险 </w:t>
      </w:r>
    </w:p>
    <w:p w14:paraId="0065EF3B">
      <w:pPr>
        <w:spacing w:line="360" w:lineRule="auto"/>
        <w:rPr>
          <w:rFonts w:ascii="宋体" w:hAnsi="宋体" w:eastAsia="宋体" w:cs="宋体"/>
          <w:lang w:eastAsia="zh-CN"/>
        </w:rPr>
      </w:pPr>
      <w:bookmarkStart w:id="960" w:name="_Toc511294209"/>
      <w:bookmarkStart w:id="961" w:name="_Toc511293938"/>
      <w:r>
        <w:rPr>
          <w:rFonts w:hint="eastAsia" w:ascii="宋体" w:hAnsi="宋体" w:eastAsia="宋体" w:cs="宋体"/>
          <w:lang w:eastAsia="zh-CN"/>
        </w:rPr>
        <w:t>20.1  工程保险</w:t>
      </w:r>
      <w:bookmarkEnd w:id="960"/>
      <w:bookmarkEnd w:id="961"/>
      <w:r>
        <w:rPr>
          <w:rFonts w:hint="eastAsia" w:ascii="宋体" w:hAnsi="宋体" w:eastAsia="宋体" w:cs="宋体"/>
          <w:lang w:eastAsia="zh-CN"/>
        </w:rPr>
        <w:t xml:space="preserve"> </w:t>
      </w:r>
    </w:p>
    <w:p w14:paraId="61976A6C">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承包人应以发包人和承包人的共同名义向双方同意的保险人投保建筑工程一切险、安装工程一切险。其具体的投保内容、保险金额、保险费率、保险期限等有关内容见合同条款专用部分。 </w:t>
      </w:r>
    </w:p>
    <w:p w14:paraId="08DA8FB9">
      <w:pPr>
        <w:spacing w:line="360" w:lineRule="auto"/>
        <w:rPr>
          <w:rFonts w:ascii="宋体" w:hAnsi="宋体" w:eastAsia="宋体" w:cs="宋体"/>
          <w:lang w:eastAsia="zh-CN"/>
        </w:rPr>
      </w:pPr>
      <w:bookmarkStart w:id="962" w:name="_Toc511294210"/>
      <w:bookmarkStart w:id="963" w:name="_Toc511293939"/>
      <w:r>
        <w:rPr>
          <w:rFonts w:hint="eastAsia" w:ascii="宋体" w:hAnsi="宋体" w:eastAsia="宋体" w:cs="宋体"/>
          <w:lang w:eastAsia="zh-CN"/>
        </w:rPr>
        <w:t>20.2  人员工伤事故的保险</w:t>
      </w:r>
      <w:bookmarkEnd w:id="962"/>
      <w:bookmarkEnd w:id="963"/>
      <w:r>
        <w:rPr>
          <w:rFonts w:hint="eastAsia" w:ascii="宋体" w:hAnsi="宋体" w:eastAsia="宋体" w:cs="宋体"/>
          <w:lang w:eastAsia="zh-CN"/>
        </w:rPr>
        <w:t xml:space="preserve"> </w:t>
      </w:r>
    </w:p>
    <w:p w14:paraId="43C86FF1">
      <w:pPr>
        <w:spacing w:line="360" w:lineRule="auto"/>
        <w:rPr>
          <w:rFonts w:ascii="宋体" w:hAnsi="宋体" w:eastAsia="宋体" w:cs="宋体"/>
          <w:lang w:eastAsia="zh-CN"/>
        </w:rPr>
      </w:pPr>
      <w:r>
        <w:rPr>
          <w:rFonts w:hint="eastAsia" w:ascii="宋体" w:hAnsi="宋体" w:eastAsia="宋体" w:cs="宋体"/>
          <w:lang w:eastAsia="zh-CN"/>
        </w:rPr>
        <w:t xml:space="preserve">20.2.1  承包人员工伤事故的保险 </w:t>
      </w:r>
    </w:p>
    <w:p w14:paraId="7B7B522E">
      <w:pPr>
        <w:spacing w:line="360" w:lineRule="auto"/>
        <w:rPr>
          <w:rFonts w:ascii="宋体" w:hAnsi="宋体" w:eastAsia="宋体" w:cs="宋体"/>
          <w:lang w:eastAsia="zh-CN"/>
        </w:rPr>
      </w:pPr>
      <w:r>
        <w:rPr>
          <w:rFonts w:hint="eastAsia" w:ascii="宋体" w:hAnsi="宋体" w:eastAsia="宋体" w:cs="宋体"/>
          <w:lang w:eastAsia="zh-CN"/>
        </w:rPr>
        <w:t xml:space="preserve">（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 </w:t>
      </w:r>
    </w:p>
    <w:p w14:paraId="450CA28D">
      <w:pPr>
        <w:spacing w:line="360" w:lineRule="auto"/>
        <w:rPr>
          <w:rFonts w:ascii="宋体" w:hAnsi="宋体" w:eastAsia="宋体" w:cs="宋体"/>
          <w:lang w:eastAsia="zh-CN"/>
        </w:rPr>
      </w:pPr>
      <w:r>
        <w:rPr>
          <w:rFonts w:hint="eastAsia" w:ascii="宋体" w:hAnsi="宋体" w:eastAsia="宋体" w:cs="宋体"/>
          <w:lang w:eastAsia="zh-CN"/>
        </w:rPr>
        <w:t xml:space="preserve">（2）承包人工伤事故保险期限自合同工程开工之日起至合同终止之日止。 </w:t>
      </w:r>
    </w:p>
    <w:p w14:paraId="10C4CE2C">
      <w:pPr>
        <w:spacing w:line="360" w:lineRule="auto"/>
        <w:rPr>
          <w:rFonts w:ascii="宋体" w:hAnsi="宋体" w:eastAsia="宋体" w:cs="宋体"/>
          <w:lang w:eastAsia="zh-CN"/>
        </w:rPr>
      </w:pPr>
      <w:r>
        <w:rPr>
          <w:rFonts w:hint="eastAsia" w:ascii="宋体" w:hAnsi="宋体" w:eastAsia="宋体" w:cs="宋体"/>
          <w:lang w:eastAsia="zh-CN"/>
        </w:rPr>
        <w:t xml:space="preserve">20.2.2  发包人员工伤事故的保险 </w:t>
      </w:r>
    </w:p>
    <w:p w14:paraId="69262461">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发包人应依照有关法律法规规定参加工伤保险，为其现场机构雇佣的全部人员，缴纳工伤保险费，并要求其监理人也进行此项保险。 </w:t>
      </w:r>
    </w:p>
    <w:p w14:paraId="774E987E">
      <w:pPr>
        <w:spacing w:line="360" w:lineRule="auto"/>
        <w:rPr>
          <w:rFonts w:ascii="宋体" w:hAnsi="宋体" w:eastAsia="宋体" w:cs="宋体"/>
          <w:lang w:eastAsia="zh-CN"/>
        </w:rPr>
      </w:pPr>
      <w:bookmarkStart w:id="964" w:name="_Toc511293940"/>
      <w:bookmarkStart w:id="965" w:name="_Toc511294211"/>
      <w:r>
        <w:rPr>
          <w:rFonts w:hint="eastAsia" w:ascii="宋体" w:hAnsi="宋体" w:eastAsia="宋体" w:cs="宋体"/>
          <w:lang w:eastAsia="zh-CN"/>
        </w:rPr>
        <w:t>20.3  人身意外伤害险</w:t>
      </w:r>
      <w:bookmarkEnd w:id="964"/>
      <w:bookmarkEnd w:id="965"/>
      <w:r>
        <w:rPr>
          <w:rFonts w:hint="eastAsia" w:ascii="宋体" w:hAnsi="宋体" w:eastAsia="宋体" w:cs="宋体"/>
          <w:lang w:eastAsia="zh-CN"/>
        </w:rPr>
        <w:t xml:space="preserve"> </w:t>
      </w:r>
    </w:p>
    <w:p w14:paraId="1D3D1243">
      <w:pPr>
        <w:spacing w:line="360" w:lineRule="auto"/>
        <w:rPr>
          <w:rFonts w:ascii="宋体" w:hAnsi="宋体" w:eastAsia="宋体" w:cs="宋体"/>
          <w:lang w:eastAsia="zh-CN"/>
        </w:rPr>
      </w:pPr>
      <w:r>
        <w:rPr>
          <w:rFonts w:hint="eastAsia" w:ascii="宋体" w:hAnsi="宋体" w:eastAsia="宋体" w:cs="宋体"/>
          <w:lang w:eastAsia="zh-CN"/>
        </w:rPr>
        <w:t xml:space="preserve">20.3.1  发包人应在整个施工期间为其现场机构雇用的全部人员，投保人身意外伤害险，缴纳保险费，并要求其监理人也进行此项保险。 </w:t>
      </w:r>
    </w:p>
    <w:p w14:paraId="4AF24AD0">
      <w:pPr>
        <w:spacing w:line="360" w:lineRule="auto"/>
        <w:rPr>
          <w:rFonts w:ascii="宋体" w:hAnsi="宋体" w:eastAsia="宋体" w:cs="宋体"/>
          <w:lang w:eastAsia="zh-CN"/>
        </w:rPr>
      </w:pPr>
      <w:r>
        <w:rPr>
          <w:rFonts w:hint="eastAsia" w:ascii="宋体" w:hAnsi="宋体" w:eastAsia="宋体" w:cs="宋体"/>
          <w:lang w:eastAsia="zh-CN"/>
        </w:rPr>
        <w:t xml:space="preserve">20.3.2  承包人应在整个施工期间为其现场机构雇用的全部人员，投保人身意外伤害险，缴纳保险费，并要求其分包人也进行此项保险。 </w:t>
      </w:r>
    </w:p>
    <w:p w14:paraId="4C2CE96D">
      <w:pPr>
        <w:spacing w:line="360" w:lineRule="auto"/>
        <w:rPr>
          <w:rFonts w:ascii="宋体" w:hAnsi="宋体" w:eastAsia="宋体" w:cs="宋体"/>
          <w:lang w:eastAsia="zh-CN"/>
        </w:rPr>
      </w:pPr>
      <w:bookmarkStart w:id="966" w:name="_Toc511293941"/>
      <w:bookmarkStart w:id="967" w:name="_Toc511294212"/>
      <w:r>
        <w:rPr>
          <w:rFonts w:hint="eastAsia" w:ascii="宋体" w:hAnsi="宋体" w:eastAsia="宋体" w:cs="宋体"/>
          <w:lang w:eastAsia="zh-CN"/>
        </w:rPr>
        <w:t>20.4  第三者责任险</w:t>
      </w:r>
      <w:bookmarkEnd w:id="966"/>
      <w:bookmarkEnd w:id="967"/>
      <w:r>
        <w:rPr>
          <w:rFonts w:hint="eastAsia" w:ascii="宋体" w:hAnsi="宋体" w:eastAsia="宋体" w:cs="宋体"/>
          <w:lang w:eastAsia="zh-CN"/>
        </w:rPr>
        <w:t xml:space="preserve"> </w:t>
      </w:r>
    </w:p>
    <w:p w14:paraId="7203C898">
      <w:pPr>
        <w:spacing w:line="360" w:lineRule="auto"/>
        <w:rPr>
          <w:rFonts w:ascii="宋体" w:hAnsi="宋体" w:eastAsia="宋体" w:cs="宋体"/>
          <w:lang w:eastAsia="zh-CN"/>
        </w:rPr>
      </w:pPr>
      <w:r>
        <w:rPr>
          <w:rFonts w:hint="eastAsia" w:ascii="宋体" w:hAnsi="宋体" w:eastAsia="宋体" w:cs="宋体"/>
          <w:lang w:eastAsia="zh-CN"/>
        </w:rPr>
        <w:t xml:space="preserve">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 </w:t>
      </w:r>
    </w:p>
    <w:p w14:paraId="163372CC">
      <w:pPr>
        <w:spacing w:line="360" w:lineRule="auto"/>
        <w:rPr>
          <w:rFonts w:ascii="宋体" w:hAnsi="宋体" w:eastAsia="宋体" w:cs="宋体"/>
          <w:lang w:eastAsia="zh-CN"/>
        </w:rPr>
      </w:pPr>
      <w:r>
        <w:rPr>
          <w:rFonts w:hint="eastAsia" w:ascii="宋体" w:hAnsi="宋体" w:eastAsia="宋体" w:cs="宋体"/>
          <w:lang w:eastAsia="zh-CN"/>
        </w:rPr>
        <w:t xml:space="preserve">20.4.2  在缺陷责任期终止证书颁发前，承包人应以承包人和发包人的共同名义，投保第20.4.1项约定的第三者责任险，其保险费率、保险金额、保险费承担人等有关内容见合同条款专用部分。 </w:t>
      </w:r>
    </w:p>
    <w:p w14:paraId="4EC7AE16">
      <w:pPr>
        <w:spacing w:line="360" w:lineRule="auto"/>
        <w:rPr>
          <w:rFonts w:ascii="宋体" w:hAnsi="宋体" w:eastAsia="宋体" w:cs="宋体"/>
          <w:lang w:eastAsia="zh-CN"/>
        </w:rPr>
      </w:pPr>
      <w:bookmarkStart w:id="968" w:name="_Toc511294213"/>
      <w:bookmarkStart w:id="969" w:name="_Toc511293942"/>
      <w:r>
        <w:rPr>
          <w:rFonts w:hint="eastAsia" w:ascii="宋体" w:hAnsi="宋体" w:eastAsia="宋体" w:cs="宋体"/>
          <w:lang w:eastAsia="zh-CN"/>
        </w:rPr>
        <w:t>20.5  其他保险</w:t>
      </w:r>
      <w:bookmarkEnd w:id="968"/>
      <w:bookmarkEnd w:id="969"/>
      <w:r>
        <w:rPr>
          <w:rFonts w:hint="eastAsia" w:ascii="宋体" w:hAnsi="宋体" w:eastAsia="宋体" w:cs="宋体"/>
          <w:lang w:eastAsia="zh-CN"/>
        </w:rPr>
        <w:t xml:space="preserve"> </w:t>
      </w:r>
    </w:p>
    <w:p w14:paraId="5D6E61C0">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承包人应为其施工设备、进场的材料和工程设备等办理保险。办理保险的险种见合同条款专用部分。 </w:t>
      </w:r>
    </w:p>
    <w:p w14:paraId="6EA8E1D5">
      <w:pPr>
        <w:spacing w:line="360" w:lineRule="auto"/>
        <w:rPr>
          <w:rFonts w:ascii="宋体" w:hAnsi="宋体" w:eastAsia="宋体" w:cs="宋体"/>
          <w:lang w:eastAsia="zh-CN"/>
        </w:rPr>
      </w:pPr>
      <w:bookmarkStart w:id="970" w:name="_Toc511294214"/>
      <w:bookmarkStart w:id="971" w:name="_Toc511293943"/>
      <w:r>
        <w:rPr>
          <w:rFonts w:hint="eastAsia" w:ascii="宋体" w:hAnsi="宋体" w:eastAsia="宋体" w:cs="宋体"/>
          <w:lang w:eastAsia="zh-CN"/>
        </w:rPr>
        <w:t>20.6  对各项保险的一般要求</w:t>
      </w:r>
      <w:bookmarkEnd w:id="970"/>
      <w:bookmarkEnd w:id="971"/>
      <w:r>
        <w:rPr>
          <w:rFonts w:hint="eastAsia" w:ascii="宋体" w:hAnsi="宋体" w:eastAsia="宋体" w:cs="宋体"/>
          <w:lang w:eastAsia="zh-CN"/>
        </w:rPr>
        <w:t xml:space="preserve"> </w:t>
      </w:r>
    </w:p>
    <w:p w14:paraId="5FEC9579">
      <w:pPr>
        <w:spacing w:line="360" w:lineRule="auto"/>
        <w:rPr>
          <w:rFonts w:ascii="宋体" w:hAnsi="宋体" w:eastAsia="宋体" w:cs="宋体"/>
          <w:lang w:eastAsia="zh-CN"/>
        </w:rPr>
      </w:pPr>
      <w:r>
        <w:rPr>
          <w:rFonts w:hint="eastAsia" w:ascii="宋体" w:hAnsi="宋体" w:eastAsia="宋体" w:cs="宋体"/>
          <w:lang w:eastAsia="zh-CN"/>
        </w:rPr>
        <w:t xml:space="preserve">20.6.1  保险凭证 </w:t>
      </w:r>
    </w:p>
    <w:p w14:paraId="122F2EC8">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承包人应在合同约定的期限内向发包人提交各项保险生效的证据和保险单副本，保险单必须与合同约定的条件保持一致。各项保险生效的证据和保险单副本的期限见合同条款专用部分。 </w:t>
      </w:r>
    </w:p>
    <w:p w14:paraId="372270BE">
      <w:pPr>
        <w:spacing w:line="360" w:lineRule="auto"/>
        <w:rPr>
          <w:rFonts w:ascii="宋体" w:hAnsi="宋体" w:eastAsia="宋体" w:cs="宋体"/>
          <w:lang w:eastAsia="zh-CN"/>
        </w:rPr>
      </w:pPr>
      <w:r>
        <w:rPr>
          <w:rFonts w:hint="eastAsia" w:ascii="宋体" w:hAnsi="宋体" w:eastAsia="宋体" w:cs="宋体"/>
          <w:lang w:eastAsia="zh-CN"/>
        </w:rPr>
        <w:t xml:space="preserve">20.6.2  保险合同条款的变动 </w:t>
      </w:r>
    </w:p>
    <w:p w14:paraId="3F4C0ACE">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承包人需要变动保险合同条款时，应事先征得发包人同意，并通知监理人。保险人作出变动的，承包人应在收到保险人通知后立即通知发包人和监理人。 </w:t>
      </w:r>
    </w:p>
    <w:p w14:paraId="63475C3F">
      <w:pPr>
        <w:spacing w:line="360" w:lineRule="auto"/>
        <w:rPr>
          <w:rFonts w:ascii="宋体" w:hAnsi="宋体" w:eastAsia="宋体" w:cs="宋体"/>
          <w:lang w:eastAsia="zh-CN"/>
        </w:rPr>
      </w:pPr>
      <w:r>
        <w:rPr>
          <w:rFonts w:hint="eastAsia" w:ascii="宋体" w:hAnsi="宋体" w:eastAsia="宋体" w:cs="宋体"/>
          <w:lang w:eastAsia="zh-CN"/>
        </w:rPr>
        <w:t xml:space="preserve">20.6.3  持续保险承包人应与保险人保持联系，使保险人能够随时了解工程实施中的变动，并确保按保险合同条款要求持续保险。 </w:t>
      </w:r>
    </w:p>
    <w:p w14:paraId="43AACDCE">
      <w:pPr>
        <w:spacing w:line="360" w:lineRule="auto"/>
        <w:rPr>
          <w:rFonts w:ascii="宋体" w:hAnsi="宋体" w:eastAsia="宋体" w:cs="宋体"/>
          <w:lang w:eastAsia="zh-CN"/>
        </w:rPr>
      </w:pPr>
      <w:r>
        <w:rPr>
          <w:rFonts w:hint="eastAsia" w:ascii="宋体" w:hAnsi="宋体" w:eastAsia="宋体" w:cs="宋体"/>
          <w:lang w:eastAsia="zh-CN"/>
        </w:rPr>
        <w:t xml:space="preserve">20.6.4  保险金不足的补偿 </w:t>
      </w:r>
    </w:p>
    <w:p w14:paraId="0AA6276A">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保险金不足以补偿损失的，应由承包人和（或）发包人按合同约定负责补偿。保险金不足的补偿原则见合同条款专用部分。 </w:t>
      </w:r>
    </w:p>
    <w:p w14:paraId="2342BD3D">
      <w:pPr>
        <w:spacing w:line="360" w:lineRule="auto"/>
        <w:rPr>
          <w:rFonts w:ascii="宋体" w:hAnsi="宋体" w:eastAsia="宋体" w:cs="宋体"/>
          <w:lang w:eastAsia="zh-CN"/>
        </w:rPr>
      </w:pPr>
      <w:r>
        <w:rPr>
          <w:rFonts w:hint="eastAsia" w:ascii="宋体" w:hAnsi="宋体" w:eastAsia="宋体" w:cs="宋体"/>
          <w:lang w:eastAsia="zh-CN"/>
        </w:rPr>
        <w:t xml:space="preserve">20.6.5  未按约定投保的补救 </w:t>
      </w:r>
    </w:p>
    <w:p w14:paraId="52629BAF">
      <w:pPr>
        <w:spacing w:line="360" w:lineRule="auto"/>
        <w:rPr>
          <w:rFonts w:ascii="宋体" w:hAnsi="宋体" w:eastAsia="宋体" w:cs="宋体"/>
          <w:lang w:eastAsia="zh-CN"/>
        </w:rPr>
      </w:pPr>
      <w:r>
        <w:rPr>
          <w:rFonts w:hint="eastAsia" w:ascii="宋体" w:hAnsi="宋体" w:eastAsia="宋体" w:cs="宋体"/>
          <w:lang w:eastAsia="zh-CN"/>
        </w:rPr>
        <w:t xml:space="preserve">（1）由于负有投保义务的一方当事人未按合同约定办理保险，或未能使保险持续有效的，另一方当事人可代为办理，所需费用由对方当事人承担。 </w:t>
      </w:r>
    </w:p>
    <w:p w14:paraId="2BFB7034">
      <w:pPr>
        <w:spacing w:line="360" w:lineRule="auto"/>
        <w:rPr>
          <w:rFonts w:ascii="宋体" w:hAnsi="宋体" w:eastAsia="宋体" w:cs="宋体"/>
          <w:lang w:eastAsia="zh-CN"/>
        </w:rPr>
      </w:pPr>
      <w:r>
        <w:rPr>
          <w:rFonts w:hint="eastAsia" w:ascii="宋体" w:hAnsi="宋体" w:eastAsia="宋体" w:cs="宋体"/>
          <w:lang w:eastAsia="zh-CN"/>
        </w:rPr>
        <w:t xml:space="preserve">（2）由于负有投保义务的一方当事人未按合同约定办理某项保险，导致受益人未能得到保险人的赔偿，原应从该项保险得到的保险金应由负有投保义务的一方当事人支付。 </w:t>
      </w:r>
    </w:p>
    <w:p w14:paraId="680C3662">
      <w:pPr>
        <w:spacing w:line="360" w:lineRule="auto"/>
        <w:rPr>
          <w:rFonts w:ascii="宋体" w:hAnsi="宋体" w:eastAsia="宋体" w:cs="宋体"/>
          <w:lang w:eastAsia="zh-CN"/>
        </w:rPr>
      </w:pPr>
      <w:r>
        <w:rPr>
          <w:rFonts w:hint="eastAsia" w:ascii="宋体" w:hAnsi="宋体" w:eastAsia="宋体" w:cs="宋体"/>
          <w:lang w:eastAsia="zh-CN"/>
        </w:rPr>
        <w:t xml:space="preserve">20.6.6  报告义务 </w:t>
      </w:r>
    </w:p>
    <w:p w14:paraId="378F2FFC">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当保险事故发生时，投保人应按照保险单规定的条件和期限及时向保险人报告。 </w:t>
      </w:r>
    </w:p>
    <w:p w14:paraId="0B309CFC">
      <w:pPr>
        <w:spacing w:line="360" w:lineRule="auto"/>
        <w:rPr>
          <w:rFonts w:ascii="宋体" w:hAnsi="宋体" w:eastAsia="宋体" w:cs="宋体"/>
          <w:lang w:eastAsia="zh-CN"/>
        </w:rPr>
      </w:pPr>
      <w:r>
        <w:rPr>
          <w:rFonts w:hint="eastAsia" w:ascii="宋体" w:hAnsi="宋体" w:eastAsia="宋体" w:cs="宋体"/>
          <w:lang w:eastAsia="zh-CN"/>
        </w:rPr>
        <w:t xml:space="preserve">21.不可抗力 </w:t>
      </w:r>
    </w:p>
    <w:p w14:paraId="63031921">
      <w:pPr>
        <w:spacing w:line="360" w:lineRule="auto"/>
        <w:rPr>
          <w:rFonts w:ascii="宋体" w:hAnsi="宋体" w:eastAsia="宋体" w:cs="宋体"/>
          <w:lang w:eastAsia="zh-CN"/>
        </w:rPr>
      </w:pPr>
      <w:bookmarkStart w:id="972" w:name="_Toc511293944"/>
      <w:bookmarkStart w:id="973" w:name="_Toc511294215"/>
      <w:r>
        <w:rPr>
          <w:rFonts w:hint="eastAsia" w:ascii="宋体" w:hAnsi="宋体" w:eastAsia="宋体" w:cs="宋体"/>
          <w:lang w:eastAsia="zh-CN"/>
        </w:rPr>
        <w:t>21.1  不可抗力的确认</w:t>
      </w:r>
      <w:bookmarkEnd w:id="972"/>
      <w:bookmarkEnd w:id="973"/>
      <w:r>
        <w:rPr>
          <w:rFonts w:hint="eastAsia" w:ascii="宋体" w:hAnsi="宋体" w:eastAsia="宋体" w:cs="宋体"/>
          <w:lang w:eastAsia="zh-CN"/>
        </w:rPr>
        <w:t xml:space="preserve"> </w:t>
      </w:r>
    </w:p>
    <w:p w14:paraId="08E7FFED">
      <w:pPr>
        <w:spacing w:line="360" w:lineRule="auto"/>
        <w:rPr>
          <w:rFonts w:ascii="宋体" w:hAnsi="宋体" w:eastAsia="宋体" w:cs="宋体"/>
          <w:lang w:eastAsia="zh-CN"/>
        </w:rPr>
      </w:pPr>
      <w:r>
        <w:rPr>
          <w:rFonts w:hint="eastAsia" w:ascii="宋体" w:hAnsi="宋体" w:eastAsia="宋体" w:cs="宋体"/>
          <w:lang w:eastAsia="zh-CN"/>
        </w:rPr>
        <w:t xml:space="preserve">21.1.1  不可抗力是指承包人和发包人在订立合同时不可预见，在工程施工过程中不可避免发生并不能克服的自然灾害和社会性突发事件，如地震、海啸、瘟疫、水灾、骚乱、暴动、战争和合同约定的其他情形。其他情形见合同条款专用部分。 </w:t>
      </w:r>
    </w:p>
    <w:p w14:paraId="4751E104">
      <w:pPr>
        <w:spacing w:line="360" w:lineRule="auto"/>
        <w:rPr>
          <w:rFonts w:ascii="宋体" w:hAnsi="宋体" w:eastAsia="宋体" w:cs="宋体"/>
          <w:lang w:eastAsia="zh-CN"/>
        </w:rPr>
      </w:pPr>
      <w:r>
        <w:rPr>
          <w:rFonts w:hint="eastAsia" w:ascii="宋体" w:hAnsi="宋体" w:eastAsia="宋体" w:cs="宋体"/>
          <w:lang w:eastAsia="zh-CN"/>
        </w:rPr>
        <w:t xml:space="preserve">21.1.2  不可抗力发生后，发包人和承包人应及时认真统计所造成的损失，收集不可抗力造成损失的证据。合同双方对是否属于不可抗力或其损失的意见不一致的，由监理人按第3.5款商定或确定。发生争议时，按第24条的约定办理。 </w:t>
      </w:r>
    </w:p>
    <w:p w14:paraId="2B323FF4">
      <w:pPr>
        <w:spacing w:line="360" w:lineRule="auto"/>
        <w:rPr>
          <w:rFonts w:ascii="宋体" w:hAnsi="宋体" w:eastAsia="宋体" w:cs="宋体"/>
          <w:lang w:eastAsia="zh-CN"/>
        </w:rPr>
      </w:pPr>
      <w:bookmarkStart w:id="974" w:name="_Toc511294216"/>
      <w:bookmarkStart w:id="975" w:name="_Toc511293945"/>
      <w:r>
        <w:rPr>
          <w:rFonts w:hint="eastAsia" w:ascii="宋体" w:hAnsi="宋体" w:eastAsia="宋体" w:cs="宋体"/>
          <w:lang w:eastAsia="zh-CN"/>
        </w:rPr>
        <w:t>21.2  不可抗力的通知</w:t>
      </w:r>
      <w:bookmarkEnd w:id="974"/>
      <w:bookmarkEnd w:id="975"/>
      <w:r>
        <w:rPr>
          <w:rFonts w:hint="eastAsia" w:ascii="宋体" w:hAnsi="宋体" w:eastAsia="宋体" w:cs="宋体"/>
          <w:lang w:eastAsia="zh-CN"/>
        </w:rPr>
        <w:t xml:space="preserve"> </w:t>
      </w:r>
    </w:p>
    <w:p w14:paraId="41CC43E4">
      <w:pPr>
        <w:spacing w:line="360" w:lineRule="auto"/>
        <w:rPr>
          <w:rFonts w:ascii="宋体" w:hAnsi="宋体" w:eastAsia="宋体" w:cs="宋体"/>
          <w:lang w:eastAsia="zh-CN"/>
        </w:rPr>
      </w:pPr>
      <w:r>
        <w:rPr>
          <w:rFonts w:hint="eastAsia" w:ascii="宋体" w:hAnsi="宋体" w:eastAsia="宋体" w:cs="宋体"/>
          <w:lang w:eastAsia="zh-CN"/>
        </w:rPr>
        <w:t xml:space="preserve">21.2.1  合同一方当事人遇到不可抗力事件，使其履行合同义务受到阻碍时，应立即通知合同另一方当事人和监理人，书面说明不可抗力和受阻碍的详细情况，并提供必要的证明。 </w:t>
      </w:r>
    </w:p>
    <w:p w14:paraId="545549E9">
      <w:pPr>
        <w:spacing w:line="360" w:lineRule="auto"/>
        <w:rPr>
          <w:rFonts w:ascii="宋体" w:hAnsi="宋体" w:eastAsia="宋体" w:cs="宋体"/>
          <w:lang w:eastAsia="zh-CN"/>
        </w:rPr>
        <w:sectPr>
          <w:headerReference r:id="rId18" w:type="first"/>
          <w:footerReference r:id="rId21" w:type="first"/>
          <w:headerReference r:id="rId16" w:type="default"/>
          <w:footerReference r:id="rId19" w:type="default"/>
          <w:headerReference r:id="rId17" w:type="even"/>
          <w:footerReference r:id="rId20" w:type="even"/>
          <w:pgSz w:w="11906" w:h="16838"/>
          <w:pgMar w:top="1480" w:right="1685" w:bottom="1485" w:left="1798" w:header="874" w:footer="720" w:gutter="0"/>
          <w:pgNumType w:fmt="decimal"/>
          <w:cols w:space="720" w:num="1"/>
        </w:sectPr>
      </w:pPr>
      <w:r>
        <w:rPr>
          <w:rFonts w:hint="eastAsia" w:ascii="宋体" w:hAnsi="宋体" w:eastAsia="宋体" w:cs="宋体"/>
          <w:lang w:eastAsia="zh-CN"/>
        </w:rPr>
        <w:t xml:space="preserve">21.2.2  如不可抗力持续发生，合同一方当事人应及时向合同另一方当事人和监理人提交中间报告，说明不可抗力和履行合同受阻的情况，并于不可抗力事件结束后28天内提交最终报告及有关资料。 </w:t>
      </w:r>
    </w:p>
    <w:p w14:paraId="67013F71">
      <w:pPr>
        <w:spacing w:line="360" w:lineRule="auto"/>
        <w:rPr>
          <w:rFonts w:ascii="宋体" w:hAnsi="宋体" w:eastAsia="宋体" w:cs="宋体"/>
          <w:lang w:eastAsia="zh-CN"/>
        </w:rPr>
      </w:pPr>
      <w:bookmarkStart w:id="976" w:name="_Toc511294217"/>
      <w:bookmarkStart w:id="977" w:name="_Toc511293946"/>
      <w:r>
        <w:rPr>
          <w:rFonts w:hint="eastAsia" w:ascii="宋体" w:hAnsi="宋体" w:eastAsia="宋体" w:cs="宋体"/>
          <w:lang w:eastAsia="zh-CN"/>
        </w:rPr>
        <w:t>21.3  不可抗力后果及其处理</w:t>
      </w:r>
      <w:bookmarkEnd w:id="976"/>
      <w:bookmarkEnd w:id="977"/>
      <w:r>
        <w:rPr>
          <w:rFonts w:hint="eastAsia" w:ascii="宋体" w:hAnsi="宋体" w:eastAsia="宋体" w:cs="宋体"/>
          <w:lang w:eastAsia="zh-CN"/>
        </w:rPr>
        <w:t xml:space="preserve"> </w:t>
      </w:r>
    </w:p>
    <w:p w14:paraId="35EBBD0D">
      <w:pPr>
        <w:spacing w:line="360" w:lineRule="auto"/>
        <w:rPr>
          <w:rFonts w:ascii="宋体" w:hAnsi="宋体" w:eastAsia="宋体" w:cs="宋体"/>
          <w:lang w:eastAsia="zh-CN"/>
        </w:rPr>
      </w:pPr>
      <w:r>
        <w:rPr>
          <w:rFonts w:hint="eastAsia" w:ascii="宋体" w:hAnsi="宋体" w:eastAsia="宋体" w:cs="宋体"/>
          <w:lang w:eastAsia="zh-CN"/>
        </w:rPr>
        <w:t xml:space="preserve">21.3.1  不可抗力造成损害的责任 </w:t>
      </w:r>
    </w:p>
    <w:p w14:paraId="2FC05DE3">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不可抗力导致的人员伤亡、财产损失、费用增加和（或）工期延误等后果，由合同双方按以下原则承担：  </w:t>
      </w:r>
    </w:p>
    <w:p w14:paraId="01DE8FDB">
      <w:pPr>
        <w:spacing w:line="360" w:lineRule="auto"/>
        <w:rPr>
          <w:rFonts w:ascii="宋体" w:hAnsi="宋体" w:eastAsia="宋体" w:cs="宋体"/>
          <w:lang w:eastAsia="zh-CN"/>
        </w:rPr>
      </w:pPr>
      <w:r>
        <w:rPr>
          <w:rFonts w:hint="eastAsia" w:ascii="宋体" w:hAnsi="宋体" w:eastAsia="宋体" w:cs="宋体"/>
          <w:lang w:eastAsia="zh-CN"/>
        </w:rPr>
        <w:t xml:space="preserve">（1）永久工程，包括已运至施工场地的材料和工程设备的损害，以及因工程损害造成的第三者人员伤亡和财产损失由发包人承担； </w:t>
      </w:r>
    </w:p>
    <w:p w14:paraId="5241757C">
      <w:pPr>
        <w:spacing w:line="360" w:lineRule="auto"/>
        <w:rPr>
          <w:rFonts w:ascii="宋体" w:hAnsi="宋体" w:eastAsia="宋体" w:cs="宋体"/>
          <w:lang w:eastAsia="zh-CN"/>
        </w:rPr>
      </w:pPr>
      <w:r>
        <w:rPr>
          <w:rFonts w:hint="eastAsia" w:ascii="宋体" w:hAnsi="宋体" w:eastAsia="宋体" w:cs="宋体"/>
          <w:lang w:eastAsia="zh-CN"/>
        </w:rPr>
        <w:t xml:space="preserve">（2）承包人设备的损坏由承包人承担； </w:t>
      </w:r>
    </w:p>
    <w:p w14:paraId="34450758">
      <w:pPr>
        <w:spacing w:line="360" w:lineRule="auto"/>
        <w:rPr>
          <w:rFonts w:ascii="宋体" w:hAnsi="宋体" w:eastAsia="宋体" w:cs="宋体"/>
          <w:lang w:eastAsia="zh-CN"/>
        </w:rPr>
      </w:pPr>
      <w:r>
        <w:rPr>
          <w:rFonts w:hint="eastAsia" w:ascii="宋体" w:hAnsi="宋体" w:eastAsia="宋体" w:cs="宋体"/>
          <w:lang w:eastAsia="zh-CN"/>
        </w:rPr>
        <w:t xml:space="preserve">（3）发包人和承包人各自承担其人员伤亡和其他财产损失及其相关费用； </w:t>
      </w:r>
    </w:p>
    <w:p w14:paraId="573777A9">
      <w:pPr>
        <w:spacing w:line="360" w:lineRule="auto"/>
        <w:rPr>
          <w:rFonts w:ascii="宋体" w:hAnsi="宋体" w:eastAsia="宋体" w:cs="宋体"/>
          <w:lang w:eastAsia="zh-CN"/>
        </w:rPr>
      </w:pPr>
      <w:r>
        <w:rPr>
          <w:rFonts w:hint="eastAsia" w:ascii="宋体" w:hAnsi="宋体" w:eastAsia="宋体" w:cs="宋体"/>
          <w:lang w:eastAsia="zh-CN"/>
        </w:rPr>
        <w:t xml:space="preserve">（4）承包人的停工损失由承包人承担，但停工期间应监理人要求照管工程和清理、修复工程的金额由发包人承担； </w:t>
      </w:r>
    </w:p>
    <w:p w14:paraId="05F66D2F">
      <w:pPr>
        <w:spacing w:line="360" w:lineRule="auto"/>
        <w:rPr>
          <w:rFonts w:ascii="宋体" w:hAnsi="宋体" w:eastAsia="宋体" w:cs="宋体"/>
          <w:lang w:eastAsia="zh-CN"/>
        </w:rPr>
      </w:pPr>
      <w:r>
        <w:rPr>
          <w:rFonts w:hint="eastAsia" w:ascii="宋体" w:hAnsi="宋体" w:eastAsia="宋体" w:cs="宋体"/>
          <w:lang w:eastAsia="zh-CN"/>
        </w:rPr>
        <w:t xml:space="preserve">（5）不能按期竣工的，应合理延长工期，承包人不需支付逾期竣工违约金。发包人要求赶工的，承包人应采取赶工措施，赶工费用由发包人承担。 </w:t>
      </w:r>
    </w:p>
    <w:p w14:paraId="59C74EEF">
      <w:pPr>
        <w:spacing w:line="360" w:lineRule="auto"/>
        <w:rPr>
          <w:rFonts w:ascii="宋体" w:hAnsi="宋体" w:eastAsia="宋体" w:cs="宋体"/>
          <w:lang w:eastAsia="zh-CN"/>
        </w:rPr>
      </w:pPr>
      <w:r>
        <w:rPr>
          <w:rFonts w:hint="eastAsia" w:ascii="宋体" w:hAnsi="宋体" w:eastAsia="宋体" w:cs="宋体"/>
          <w:lang w:eastAsia="zh-CN"/>
        </w:rPr>
        <w:t xml:space="preserve">21.3.2  延迟履行期间发生的不可抗力合同一方当事人延迟履行，在延迟履行期间发生不可抗力的，不免除其责任。 </w:t>
      </w:r>
    </w:p>
    <w:p w14:paraId="4E2BFCC4">
      <w:pPr>
        <w:spacing w:line="360" w:lineRule="auto"/>
        <w:rPr>
          <w:rFonts w:ascii="宋体" w:hAnsi="宋体" w:eastAsia="宋体" w:cs="宋体"/>
          <w:lang w:eastAsia="zh-CN"/>
        </w:rPr>
      </w:pPr>
      <w:r>
        <w:rPr>
          <w:rFonts w:hint="eastAsia" w:ascii="宋体" w:hAnsi="宋体" w:eastAsia="宋体" w:cs="宋体"/>
          <w:lang w:eastAsia="zh-CN"/>
        </w:rPr>
        <w:t xml:space="preserve">21.3.3  避免和减少不可抗力损失 </w:t>
      </w:r>
    </w:p>
    <w:p w14:paraId="088CD229">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不可抗力发生后，发包人和承包人均应采取措施尽量避免和减少损失的扩大，任何一方没有采取有效措施导致损失扩大的，应对扩大的损失承担责任。 </w:t>
      </w:r>
    </w:p>
    <w:p w14:paraId="1D67120A">
      <w:pPr>
        <w:spacing w:line="360" w:lineRule="auto"/>
        <w:rPr>
          <w:rFonts w:ascii="宋体" w:hAnsi="宋体" w:eastAsia="宋体" w:cs="宋体"/>
          <w:lang w:eastAsia="zh-CN"/>
        </w:rPr>
      </w:pPr>
      <w:r>
        <w:rPr>
          <w:rFonts w:hint="eastAsia" w:ascii="宋体" w:hAnsi="宋体" w:eastAsia="宋体" w:cs="宋体"/>
          <w:lang w:eastAsia="zh-CN"/>
        </w:rPr>
        <w:t xml:space="preserve">21.3.4  因不可抗力解除合同 </w:t>
      </w:r>
    </w:p>
    <w:p w14:paraId="162BC461">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 </w:t>
      </w:r>
    </w:p>
    <w:p w14:paraId="2819804D">
      <w:pPr>
        <w:spacing w:line="360" w:lineRule="auto"/>
        <w:rPr>
          <w:rFonts w:ascii="宋体" w:hAnsi="宋体" w:eastAsia="宋体" w:cs="宋体"/>
          <w:lang w:eastAsia="zh-CN"/>
        </w:rPr>
      </w:pPr>
      <w:r>
        <w:rPr>
          <w:rFonts w:hint="eastAsia" w:ascii="宋体" w:hAnsi="宋体" w:eastAsia="宋体" w:cs="宋体"/>
          <w:lang w:eastAsia="zh-CN"/>
        </w:rPr>
        <w:t xml:space="preserve">22.违约 </w:t>
      </w:r>
    </w:p>
    <w:p w14:paraId="755BD340">
      <w:pPr>
        <w:spacing w:line="360" w:lineRule="auto"/>
        <w:rPr>
          <w:rFonts w:ascii="宋体" w:hAnsi="宋体" w:eastAsia="宋体" w:cs="宋体"/>
          <w:lang w:eastAsia="zh-CN"/>
        </w:rPr>
      </w:pPr>
      <w:bookmarkStart w:id="978" w:name="_Toc511293947"/>
      <w:bookmarkStart w:id="979" w:name="_Toc511294218"/>
      <w:r>
        <w:rPr>
          <w:rFonts w:hint="eastAsia" w:ascii="宋体" w:hAnsi="宋体" w:eastAsia="宋体" w:cs="宋体"/>
          <w:lang w:eastAsia="zh-CN"/>
        </w:rPr>
        <w:t>22.1  承包人违约</w:t>
      </w:r>
      <w:bookmarkEnd w:id="978"/>
      <w:bookmarkEnd w:id="979"/>
      <w:r>
        <w:rPr>
          <w:rFonts w:hint="eastAsia" w:ascii="宋体" w:hAnsi="宋体" w:eastAsia="宋体" w:cs="宋体"/>
          <w:lang w:eastAsia="zh-CN"/>
        </w:rPr>
        <w:t xml:space="preserve"> </w:t>
      </w:r>
    </w:p>
    <w:p w14:paraId="5EC430D0">
      <w:pPr>
        <w:spacing w:line="360" w:lineRule="auto"/>
        <w:rPr>
          <w:rFonts w:ascii="宋体" w:hAnsi="宋体" w:eastAsia="宋体" w:cs="宋体"/>
          <w:lang w:eastAsia="zh-CN"/>
        </w:rPr>
      </w:pPr>
      <w:r>
        <w:rPr>
          <w:rFonts w:hint="eastAsia" w:ascii="宋体" w:hAnsi="宋体" w:eastAsia="宋体" w:cs="宋体"/>
          <w:lang w:eastAsia="zh-CN"/>
        </w:rPr>
        <w:t xml:space="preserve">22.1.1  承包人违约的情形 </w:t>
      </w:r>
    </w:p>
    <w:p w14:paraId="2791916D">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在履行合同过程中发生的下列情况属承包人违约： </w:t>
      </w:r>
    </w:p>
    <w:p w14:paraId="1684D1BA">
      <w:pPr>
        <w:spacing w:line="360" w:lineRule="auto"/>
        <w:rPr>
          <w:rFonts w:ascii="宋体" w:hAnsi="宋体" w:eastAsia="宋体" w:cs="宋体"/>
          <w:lang w:eastAsia="zh-CN"/>
        </w:rPr>
      </w:pPr>
      <w:r>
        <w:rPr>
          <w:rFonts w:hint="eastAsia" w:ascii="宋体" w:hAnsi="宋体" w:eastAsia="宋体" w:cs="宋体"/>
          <w:lang w:eastAsia="zh-CN"/>
        </w:rPr>
        <w:t xml:space="preserve">（1）承包人违反第1.8款或第4.3款的约定，私自将合同的全部或部分权利转让给其他人，或私自将合同的全部或部分义务转移给其他人； </w:t>
      </w:r>
    </w:p>
    <w:p w14:paraId="006E78DB">
      <w:pPr>
        <w:spacing w:line="360" w:lineRule="auto"/>
        <w:rPr>
          <w:rFonts w:ascii="宋体" w:hAnsi="宋体" w:eastAsia="宋体" w:cs="宋体"/>
          <w:lang w:eastAsia="zh-CN"/>
        </w:rPr>
      </w:pPr>
      <w:r>
        <w:rPr>
          <w:rFonts w:hint="eastAsia" w:ascii="宋体" w:hAnsi="宋体" w:eastAsia="宋体" w:cs="宋体"/>
          <w:lang w:eastAsia="zh-CN"/>
        </w:rPr>
        <w:t xml:space="preserve">（2）承包人违反第5.3款或第6.4款的约定，未经监理人批准，私自将已按合同约定进入施工场地的施工设备、临时设施或材料撤离施工场地； </w:t>
      </w:r>
    </w:p>
    <w:p w14:paraId="291F2A73">
      <w:pPr>
        <w:spacing w:line="360" w:lineRule="auto"/>
        <w:rPr>
          <w:rFonts w:ascii="宋体" w:hAnsi="宋体" w:eastAsia="宋体" w:cs="宋体"/>
          <w:lang w:eastAsia="zh-CN"/>
        </w:rPr>
      </w:pPr>
      <w:r>
        <w:rPr>
          <w:rFonts w:hint="eastAsia" w:ascii="宋体" w:hAnsi="宋体" w:eastAsia="宋体" w:cs="宋体"/>
          <w:lang w:eastAsia="zh-CN"/>
        </w:rPr>
        <w:t xml:space="preserve">（3）承包人违反第5.4款的约定使用了不合格材料或工程设备，工程质量达不到标准要求，又拒绝清除不合格工程； </w:t>
      </w:r>
    </w:p>
    <w:p w14:paraId="2BAC3CCB">
      <w:pPr>
        <w:spacing w:line="360" w:lineRule="auto"/>
        <w:rPr>
          <w:rFonts w:ascii="宋体" w:hAnsi="宋体" w:eastAsia="宋体" w:cs="宋体"/>
          <w:lang w:eastAsia="zh-CN"/>
        </w:rPr>
      </w:pPr>
      <w:r>
        <w:rPr>
          <w:rFonts w:hint="eastAsia" w:ascii="宋体" w:hAnsi="宋体" w:eastAsia="宋体" w:cs="宋体"/>
          <w:lang w:eastAsia="zh-CN"/>
        </w:rPr>
        <w:t xml:space="preserve">（4）承包人未能按合同进度计划及时完成合同约定的工作，已造成或预期造成工期延误； </w:t>
      </w:r>
    </w:p>
    <w:p w14:paraId="09A513E0">
      <w:pPr>
        <w:spacing w:line="360" w:lineRule="auto"/>
        <w:rPr>
          <w:rFonts w:ascii="宋体" w:hAnsi="宋体" w:eastAsia="宋体" w:cs="宋体"/>
          <w:lang w:eastAsia="zh-CN"/>
        </w:rPr>
      </w:pPr>
      <w:r>
        <w:rPr>
          <w:rFonts w:hint="eastAsia" w:ascii="宋体" w:hAnsi="宋体" w:eastAsia="宋体" w:cs="宋体"/>
          <w:lang w:eastAsia="zh-CN"/>
        </w:rPr>
        <w:t xml:space="preserve">（5）承包人在缺陷责任期内，未能对工程接收证书所列的缺陷清单的内容或缺陷责任期内发生的缺陷进行修复，而又拒绝按监理人指示再进行修补； </w:t>
      </w:r>
    </w:p>
    <w:p w14:paraId="1CF82539">
      <w:pPr>
        <w:spacing w:line="360" w:lineRule="auto"/>
        <w:rPr>
          <w:rFonts w:ascii="宋体" w:hAnsi="宋体" w:eastAsia="宋体" w:cs="宋体"/>
          <w:lang w:eastAsia="zh-CN"/>
        </w:rPr>
      </w:pPr>
      <w:r>
        <w:rPr>
          <w:rFonts w:hint="eastAsia" w:ascii="宋体" w:hAnsi="宋体" w:eastAsia="宋体" w:cs="宋体"/>
          <w:lang w:eastAsia="zh-CN"/>
        </w:rPr>
        <w:t xml:space="preserve">（6）承包人无法继续履行或明确表示不履行或实质上已停止履行合同； </w:t>
      </w:r>
    </w:p>
    <w:p w14:paraId="76B8B74F">
      <w:pPr>
        <w:spacing w:line="360" w:lineRule="auto"/>
        <w:rPr>
          <w:rFonts w:ascii="宋体" w:hAnsi="宋体" w:eastAsia="宋体" w:cs="宋体"/>
          <w:lang w:eastAsia="zh-CN"/>
        </w:rPr>
      </w:pPr>
      <w:r>
        <w:rPr>
          <w:rFonts w:hint="eastAsia" w:ascii="宋体" w:hAnsi="宋体" w:eastAsia="宋体" w:cs="宋体"/>
          <w:lang w:eastAsia="zh-CN"/>
        </w:rPr>
        <w:t xml:space="preserve">（7）承包人不按合同约定履行义务的其他情况。 </w:t>
      </w:r>
    </w:p>
    <w:p w14:paraId="275D51B7">
      <w:pPr>
        <w:spacing w:line="360" w:lineRule="auto"/>
        <w:rPr>
          <w:rFonts w:ascii="宋体" w:hAnsi="宋体" w:eastAsia="宋体" w:cs="宋体"/>
          <w:lang w:eastAsia="zh-CN"/>
        </w:rPr>
      </w:pPr>
      <w:r>
        <w:rPr>
          <w:rFonts w:hint="eastAsia" w:ascii="宋体" w:hAnsi="宋体" w:eastAsia="宋体" w:cs="宋体"/>
          <w:lang w:eastAsia="zh-CN"/>
        </w:rPr>
        <w:t xml:space="preserve">22.1.2  对承包人违约的处理 </w:t>
      </w:r>
    </w:p>
    <w:p w14:paraId="4214AD07">
      <w:pPr>
        <w:spacing w:line="360" w:lineRule="auto"/>
        <w:rPr>
          <w:rFonts w:ascii="宋体" w:hAnsi="宋体" w:eastAsia="宋体" w:cs="宋体"/>
          <w:lang w:eastAsia="zh-CN"/>
        </w:rPr>
      </w:pPr>
      <w:r>
        <w:rPr>
          <w:rFonts w:hint="eastAsia" w:ascii="宋体" w:hAnsi="宋体" w:eastAsia="宋体" w:cs="宋体"/>
          <w:lang w:eastAsia="zh-CN"/>
        </w:rPr>
        <w:t xml:space="preserve">（1）承包人发生第 22.1.1（6）目约定的违约情况时，发包人可通知承包人立即解除合同，并按有关法律处理。 </w:t>
      </w:r>
    </w:p>
    <w:p w14:paraId="2E3EAD53">
      <w:pPr>
        <w:spacing w:line="360" w:lineRule="auto"/>
        <w:rPr>
          <w:rFonts w:ascii="宋体" w:hAnsi="宋体" w:eastAsia="宋体" w:cs="宋体"/>
          <w:lang w:eastAsia="zh-CN"/>
        </w:rPr>
      </w:pPr>
      <w:r>
        <w:rPr>
          <w:rFonts w:hint="eastAsia" w:ascii="宋体" w:hAnsi="宋体" w:eastAsia="宋体" w:cs="宋体"/>
          <w:lang w:eastAsia="zh-CN"/>
        </w:rPr>
        <w:t>（2）承包人发生除第 22.1.1（6）目约定以外的其他违约情况时，监理人可向承包人</w:t>
      </w:r>
    </w:p>
    <w:p w14:paraId="358C2371">
      <w:pPr>
        <w:spacing w:line="360" w:lineRule="auto"/>
        <w:rPr>
          <w:rFonts w:ascii="宋体" w:hAnsi="宋体" w:eastAsia="宋体" w:cs="宋体"/>
          <w:lang w:eastAsia="zh-CN"/>
        </w:rPr>
      </w:pPr>
      <w:r>
        <w:rPr>
          <w:rFonts w:hint="eastAsia" w:ascii="宋体" w:hAnsi="宋体" w:eastAsia="宋体" w:cs="宋体"/>
          <w:lang w:eastAsia="zh-CN"/>
        </w:rPr>
        <w:t xml:space="preserve">发出整改通知，要求其在指定的期限内改正。承包人应承担其违约所引起的费用增加和（或）工期延误。 </w:t>
      </w:r>
    </w:p>
    <w:p w14:paraId="5C387B2B">
      <w:pPr>
        <w:spacing w:line="360" w:lineRule="auto"/>
        <w:rPr>
          <w:rFonts w:ascii="宋体" w:hAnsi="宋体" w:eastAsia="宋体" w:cs="宋体"/>
          <w:lang w:eastAsia="zh-CN"/>
        </w:rPr>
      </w:pPr>
      <w:r>
        <w:rPr>
          <w:rFonts w:hint="eastAsia" w:ascii="宋体" w:hAnsi="宋体" w:eastAsia="宋体" w:cs="宋体"/>
          <w:lang w:eastAsia="zh-CN"/>
        </w:rPr>
        <w:t xml:space="preserve">（3）经检查证明承包人已采取了有效措施纠正违约行为，具备复工条件的，可由监理人签发复工通知复工。 </w:t>
      </w:r>
    </w:p>
    <w:p w14:paraId="7DDA07A5">
      <w:pPr>
        <w:spacing w:line="360" w:lineRule="auto"/>
        <w:rPr>
          <w:rFonts w:ascii="宋体" w:hAnsi="宋体" w:eastAsia="宋体" w:cs="宋体"/>
          <w:lang w:eastAsia="zh-CN"/>
        </w:rPr>
      </w:pPr>
      <w:r>
        <w:rPr>
          <w:rFonts w:hint="eastAsia" w:ascii="宋体" w:hAnsi="宋体" w:eastAsia="宋体" w:cs="宋体"/>
          <w:lang w:eastAsia="zh-CN"/>
        </w:rPr>
        <w:t xml:space="preserve">22.1.3  承包人违约解除合同 </w:t>
      </w:r>
    </w:p>
    <w:p w14:paraId="30643BC7">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 </w:t>
      </w:r>
    </w:p>
    <w:p w14:paraId="10561E6F">
      <w:pPr>
        <w:spacing w:line="360" w:lineRule="auto"/>
        <w:rPr>
          <w:rFonts w:ascii="宋体" w:hAnsi="宋体" w:eastAsia="宋体" w:cs="宋体"/>
          <w:lang w:eastAsia="zh-CN"/>
        </w:rPr>
      </w:pPr>
      <w:r>
        <w:rPr>
          <w:rFonts w:hint="eastAsia" w:ascii="宋体" w:hAnsi="宋体" w:eastAsia="宋体" w:cs="宋体"/>
          <w:lang w:eastAsia="zh-CN"/>
        </w:rPr>
        <w:t xml:space="preserve">22.1.4  合同解除后的估价、付款和结清 </w:t>
      </w:r>
    </w:p>
    <w:p w14:paraId="52DA3355">
      <w:pPr>
        <w:spacing w:line="360" w:lineRule="auto"/>
        <w:rPr>
          <w:rFonts w:ascii="宋体" w:hAnsi="宋体" w:eastAsia="宋体" w:cs="宋体"/>
          <w:lang w:eastAsia="zh-CN"/>
        </w:rPr>
      </w:pPr>
      <w:r>
        <w:rPr>
          <w:rFonts w:hint="eastAsia" w:ascii="宋体" w:hAnsi="宋体" w:eastAsia="宋体" w:cs="宋体"/>
          <w:lang w:eastAsia="zh-CN"/>
        </w:rPr>
        <w:t xml:space="preserve">（1）合同解除后，监理人按第3.5款商定或确定承包人实际完成工作的价值，以及承包人已提供的材料、施工设备、工程设备和临时工程等的价值。  </w:t>
      </w:r>
    </w:p>
    <w:p w14:paraId="17F027C3">
      <w:pPr>
        <w:spacing w:line="360" w:lineRule="auto"/>
        <w:rPr>
          <w:rFonts w:ascii="宋体" w:hAnsi="宋体" w:eastAsia="宋体" w:cs="宋体"/>
          <w:lang w:eastAsia="zh-CN"/>
        </w:rPr>
      </w:pPr>
      <w:r>
        <w:rPr>
          <w:rFonts w:hint="eastAsia" w:ascii="宋体" w:hAnsi="宋体" w:eastAsia="宋体" w:cs="宋体"/>
          <w:lang w:eastAsia="zh-CN"/>
        </w:rPr>
        <w:t xml:space="preserve">（2）合同解除后，发包人应暂停对承包人的一切付款，查清各项付款和已扣款金额，包括承包人应支付的违约金。  </w:t>
      </w:r>
    </w:p>
    <w:p w14:paraId="73321C2F">
      <w:pPr>
        <w:spacing w:line="360" w:lineRule="auto"/>
        <w:rPr>
          <w:rFonts w:ascii="宋体" w:hAnsi="宋体" w:eastAsia="宋体" w:cs="宋体"/>
          <w:lang w:eastAsia="zh-CN"/>
        </w:rPr>
      </w:pPr>
      <w:r>
        <w:rPr>
          <w:rFonts w:hint="eastAsia" w:ascii="宋体" w:hAnsi="宋体" w:eastAsia="宋体" w:cs="宋体"/>
          <w:lang w:eastAsia="zh-CN"/>
        </w:rPr>
        <w:t xml:space="preserve">（3）合同解除后，发包人应按第23.4款的约定向承包人索赔由于解除合同给发包人造成的损失。 </w:t>
      </w:r>
    </w:p>
    <w:p w14:paraId="647027B1">
      <w:pPr>
        <w:spacing w:line="360" w:lineRule="auto"/>
        <w:rPr>
          <w:rFonts w:ascii="宋体" w:hAnsi="宋体" w:eastAsia="宋体" w:cs="宋体"/>
          <w:lang w:eastAsia="zh-CN"/>
        </w:rPr>
      </w:pPr>
      <w:r>
        <w:rPr>
          <w:rFonts w:hint="eastAsia" w:ascii="宋体" w:hAnsi="宋体" w:eastAsia="宋体" w:cs="宋体"/>
          <w:lang w:eastAsia="zh-CN"/>
        </w:rPr>
        <w:t xml:space="preserve">（4）合同双方确认上述往来款项后，出具最终结清付款证书，结清全部合同款项。 </w:t>
      </w:r>
    </w:p>
    <w:p w14:paraId="3DAF8B71">
      <w:pPr>
        <w:spacing w:line="360" w:lineRule="auto"/>
        <w:rPr>
          <w:rFonts w:ascii="宋体" w:hAnsi="宋体" w:eastAsia="宋体" w:cs="宋体"/>
          <w:lang w:eastAsia="zh-CN"/>
        </w:rPr>
      </w:pPr>
      <w:r>
        <w:rPr>
          <w:rFonts w:hint="eastAsia" w:ascii="宋体" w:hAnsi="宋体" w:eastAsia="宋体" w:cs="宋体"/>
          <w:lang w:eastAsia="zh-CN"/>
        </w:rPr>
        <w:t xml:space="preserve">（5）发包人和承包人未能就解除合同后的结清达成一致而形成争议的，按第24条的约定办理。 </w:t>
      </w:r>
    </w:p>
    <w:p w14:paraId="1285353C">
      <w:pPr>
        <w:spacing w:line="360" w:lineRule="auto"/>
        <w:rPr>
          <w:rFonts w:ascii="宋体" w:hAnsi="宋体" w:eastAsia="宋体" w:cs="宋体"/>
          <w:lang w:eastAsia="zh-CN"/>
        </w:rPr>
      </w:pPr>
      <w:r>
        <w:rPr>
          <w:rFonts w:hint="eastAsia" w:ascii="宋体" w:hAnsi="宋体" w:eastAsia="宋体" w:cs="宋体"/>
          <w:lang w:eastAsia="zh-CN"/>
        </w:rPr>
        <w:t xml:space="preserve">22.1.5  协议利益的转让 </w:t>
      </w:r>
    </w:p>
    <w:p w14:paraId="1B5807B4">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因承包人违约解除合同的，发包人有权要求承包人将其为实施合同而签订的材料和设备的订货协议或任何服务协议利益转让给发包人，并在解除合同后的14天内，依法办理转让手续。  </w:t>
      </w:r>
    </w:p>
    <w:p w14:paraId="1B2C541E">
      <w:pPr>
        <w:spacing w:line="360" w:lineRule="auto"/>
        <w:rPr>
          <w:rFonts w:ascii="宋体" w:hAnsi="宋体" w:eastAsia="宋体" w:cs="宋体"/>
          <w:lang w:eastAsia="zh-CN"/>
        </w:rPr>
      </w:pPr>
      <w:r>
        <w:rPr>
          <w:rFonts w:hint="eastAsia" w:ascii="宋体" w:hAnsi="宋体" w:eastAsia="宋体" w:cs="宋体"/>
          <w:lang w:eastAsia="zh-CN"/>
        </w:rPr>
        <w:t xml:space="preserve">22.1.6  紧急情况下无能力或不愿进行抢救 </w:t>
      </w:r>
    </w:p>
    <w:p w14:paraId="0EA3C091">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 </w:t>
      </w:r>
    </w:p>
    <w:p w14:paraId="3B1F40F6">
      <w:pPr>
        <w:spacing w:line="360" w:lineRule="auto"/>
        <w:rPr>
          <w:rFonts w:ascii="宋体" w:hAnsi="宋体" w:eastAsia="宋体" w:cs="宋体"/>
          <w:lang w:eastAsia="zh-CN"/>
        </w:rPr>
      </w:pPr>
      <w:bookmarkStart w:id="980" w:name="_Toc511293948"/>
      <w:bookmarkStart w:id="981" w:name="_Toc511294219"/>
      <w:r>
        <w:rPr>
          <w:rFonts w:hint="eastAsia" w:ascii="宋体" w:hAnsi="宋体" w:eastAsia="宋体" w:cs="宋体"/>
          <w:lang w:eastAsia="zh-CN"/>
        </w:rPr>
        <w:t>22.2  发包人违约</w:t>
      </w:r>
      <w:bookmarkEnd w:id="980"/>
      <w:bookmarkEnd w:id="981"/>
      <w:r>
        <w:rPr>
          <w:rFonts w:hint="eastAsia" w:ascii="宋体" w:hAnsi="宋体" w:eastAsia="宋体" w:cs="宋体"/>
          <w:lang w:eastAsia="zh-CN"/>
        </w:rPr>
        <w:t xml:space="preserve"> </w:t>
      </w:r>
    </w:p>
    <w:p w14:paraId="390BDF61">
      <w:pPr>
        <w:spacing w:line="360" w:lineRule="auto"/>
        <w:rPr>
          <w:rFonts w:ascii="宋体" w:hAnsi="宋体" w:eastAsia="宋体" w:cs="宋体"/>
          <w:lang w:eastAsia="zh-CN"/>
        </w:rPr>
      </w:pPr>
      <w:r>
        <w:rPr>
          <w:rFonts w:hint="eastAsia" w:ascii="宋体" w:hAnsi="宋体" w:eastAsia="宋体" w:cs="宋体"/>
          <w:lang w:eastAsia="zh-CN"/>
        </w:rPr>
        <w:t xml:space="preserve">22.2.1  发包人违约的情形 </w:t>
      </w:r>
    </w:p>
    <w:p w14:paraId="1785670E">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在履行合同过程中发生的下列情形，属发包人违约： </w:t>
      </w:r>
    </w:p>
    <w:p w14:paraId="73CF3D41">
      <w:pPr>
        <w:spacing w:line="360" w:lineRule="auto"/>
        <w:rPr>
          <w:rFonts w:ascii="宋体" w:hAnsi="宋体" w:eastAsia="宋体" w:cs="宋体"/>
          <w:lang w:eastAsia="zh-CN"/>
        </w:rPr>
      </w:pPr>
      <w:r>
        <w:rPr>
          <w:rFonts w:hint="eastAsia" w:ascii="宋体" w:hAnsi="宋体" w:eastAsia="宋体" w:cs="宋体"/>
          <w:lang w:eastAsia="zh-CN"/>
        </w:rPr>
        <w:t xml:space="preserve">（1）发包人未能按合同约定支付预付款或合同价款，或拖延、拒绝批准付款申请和支付凭证，导致付款延误的； </w:t>
      </w:r>
    </w:p>
    <w:p w14:paraId="706DD727">
      <w:pPr>
        <w:spacing w:line="360" w:lineRule="auto"/>
        <w:rPr>
          <w:rFonts w:ascii="宋体" w:hAnsi="宋体" w:eastAsia="宋体" w:cs="宋体"/>
          <w:lang w:eastAsia="zh-CN"/>
        </w:rPr>
      </w:pPr>
      <w:r>
        <w:rPr>
          <w:rFonts w:hint="eastAsia" w:ascii="宋体" w:hAnsi="宋体" w:eastAsia="宋体" w:cs="宋体"/>
          <w:lang w:eastAsia="zh-CN"/>
        </w:rPr>
        <w:t xml:space="preserve">（2）发包人原因造成停工的； </w:t>
      </w:r>
    </w:p>
    <w:p w14:paraId="40E3ECC7">
      <w:pPr>
        <w:spacing w:line="360" w:lineRule="auto"/>
        <w:rPr>
          <w:rFonts w:ascii="宋体" w:hAnsi="宋体" w:eastAsia="宋体" w:cs="宋体"/>
          <w:lang w:eastAsia="zh-CN"/>
        </w:rPr>
      </w:pPr>
      <w:r>
        <w:rPr>
          <w:rFonts w:hint="eastAsia" w:ascii="宋体" w:hAnsi="宋体" w:eastAsia="宋体" w:cs="宋体"/>
          <w:lang w:eastAsia="zh-CN"/>
        </w:rPr>
        <w:t xml:space="preserve">（3）监理人无正当理由没有在约定期限内发出复工指示，导致承包人无法复工的； </w:t>
      </w:r>
    </w:p>
    <w:p w14:paraId="02FF60A5">
      <w:pPr>
        <w:spacing w:line="360" w:lineRule="auto"/>
        <w:rPr>
          <w:rFonts w:ascii="宋体" w:hAnsi="宋体" w:eastAsia="宋体" w:cs="宋体"/>
          <w:lang w:eastAsia="zh-CN"/>
        </w:rPr>
      </w:pPr>
      <w:r>
        <w:rPr>
          <w:rFonts w:hint="eastAsia" w:ascii="宋体" w:hAnsi="宋体" w:eastAsia="宋体" w:cs="宋体"/>
          <w:lang w:eastAsia="zh-CN"/>
        </w:rPr>
        <w:t xml:space="preserve">（4）发包人无法继续履行或明确表示不履行或实质上已停止履行合同的； </w:t>
      </w:r>
    </w:p>
    <w:p w14:paraId="1A2B3EF5">
      <w:pPr>
        <w:spacing w:line="360" w:lineRule="auto"/>
        <w:rPr>
          <w:rFonts w:ascii="宋体" w:hAnsi="宋体" w:eastAsia="宋体" w:cs="宋体"/>
          <w:lang w:eastAsia="zh-CN"/>
        </w:rPr>
      </w:pPr>
      <w:r>
        <w:rPr>
          <w:rFonts w:hint="eastAsia" w:ascii="宋体" w:hAnsi="宋体" w:eastAsia="宋体" w:cs="宋体"/>
          <w:lang w:eastAsia="zh-CN"/>
        </w:rPr>
        <w:t xml:space="preserve">（5）发包人不履行合同约定其他义务的。 </w:t>
      </w:r>
    </w:p>
    <w:p w14:paraId="081B0C82">
      <w:pPr>
        <w:spacing w:line="360" w:lineRule="auto"/>
        <w:rPr>
          <w:rFonts w:ascii="宋体" w:hAnsi="宋体" w:eastAsia="宋体" w:cs="宋体"/>
          <w:lang w:eastAsia="zh-CN"/>
        </w:rPr>
      </w:pPr>
      <w:r>
        <w:rPr>
          <w:rFonts w:hint="eastAsia" w:ascii="宋体" w:hAnsi="宋体" w:eastAsia="宋体" w:cs="宋体"/>
          <w:lang w:eastAsia="zh-CN"/>
        </w:rPr>
        <w:t xml:space="preserve">22.2.2  承包人有权暂停施工 </w:t>
      </w:r>
    </w:p>
    <w:p w14:paraId="10BB96FE">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 </w:t>
      </w:r>
    </w:p>
    <w:p w14:paraId="079C57DB">
      <w:pPr>
        <w:spacing w:line="360" w:lineRule="auto"/>
        <w:rPr>
          <w:rFonts w:ascii="宋体" w:hAnsi="宋体" w:eastAsia="宋体" w:cs="宋体"/>
          <w:lang w:eastAsia="zh-CN"/>
        </w:rPr>
      </w:pPr>
      <w:r>
        <w:rPr>
          <w:rFonts w:hint="eastAsia" w:ascii="宋体" w:hAnsi="宋体" w:eastAsia="宋体" w:cs="宋体"/>
          <w:lang w:eastAsia="zh-CN"/>
        </w:rPr>
        <w:t xml:space="preserve">22.2.3  发包人违约解除合同  </w:t>
      </w:r>
    </w:p>
    <w:p w14:paraId="13E32E46">
      <w:pPr>
        <w:spacing w:line="360" w:lineRule="auto"/>
        <w:rPr>
          <w:rFonts w:ascii="宋体" w:hAnsi="宋体" w:eastAsia="宋体" w:cs="宋体"/>
          <w:lang w:eastAsia="zh-CN"/>
        </w:rPr>
      </w:pPr>
      <w:r>
        <w:rPr>
          <w:rFonts w:hint="eastAsia" w:ascii="宋体" w:hAnsi="宋体" w:eastAsia="宋体" w:cs="宋体"/>
          <w:lang w:eastAsia="zh-CN"/>
        </w:rPr>
        <w:t xml:space="preserve">（1）发生第22.2.1（4）目的违约情况时，承包人可书面通知发包人解除合同。    </w:t>
      </w:r>
    </w:p>
    <w:p w14:paraId="0D72F25F">
      <w:pPr>
        <w:spacing w:line="360" w:lineRule="auto"/>
        <w:rPr>
          <w:rFonts w:ascii="宋体" w:hAnsi="宋体" w:eastAsia="宋体" w:cs="宋体"/>
          <w:lang w:eastAsia="zh-CN"/>
        </w:rPr>
      </w:pPr>
      <w:r>
        <w:rPr>
          <w:rFonts w:hint="eastAsia" w:ascii="宋体" w:hAnsi="宋体" w:eastAsia="宋体" w:cs="宋体"/>
          <w:lang w:eastAsia="zh-CN"/>
        </w:rPr>
        <w:t xml:space="preserve">（2）承包人按第22.2.2项暂停施工28天后，发包人仍不纠正违约行为的，承包人可向发包人发出解除合同通知。但承包人的这一行动不免除发包人承担的违约责任，也不影响承包人根据合同约定享有的索赔权利。 </w:t>
      </w:r>
    </w:p>
    <w:p w14:paraId="0DC8F02B">
      <w:pPr>
        <w:spacing w:line="360" w:lineRule="auto"/>
        <w:rPr>
          <w:rFonts w:ascii="宋体" w:hAnsi="宋体" w:eastAsia="宋体" w:cs="宋体"/>
          <w:lang w:eastAsia="zh-CN"/>
        </w:rPr>
      </w:pPr>
      <w:r>
        <w:rPr>
          <w:rFonts w:hint="eastAsia" w:ascii="宋体" w:hAnsi="宋体" w:eastAsia="宋体" w:cs="宋体"/>
          <w:lang w:eastAsia="zh-CN"/>
        </w:rPr>
        <w:t xml:space="preserve">22.2.4  解除合同后的付款 </w:t>
      </w:r>
    </w:p>
    <w:p w14:paraId="70B26A4D">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因发包人违约解除合同的，发包人应在解除合同后28天内向承包人支付下列金额，承包人应在此期限内及时向发包人提交要求支付下列金额的有关资料和凭证： </w:t>
      </w:r>
    </w:p>
    <w:p w14:paraId="07A4ED29">
      <w:pPr>
        <w:spacing w:line="360" w:lineRule="auto"/>
        <w:rPr>
          <w:rFonts w:ascii="宋体" w:hAnsi="宋体" w:eastAsia="宋体" w:cs="宋体"/>
          <w:lang w:eastAsia="zh-CN"/>
        </w:rPr>
      </w:pPr>
      <w:r>
        <w:rPr>
          <w:rFonts w:hint="eastAsia" w:ascii="宋体" w:hAnsi="宋体" w:eastAsia="宋体" w:cs="宋体"/>
          <w:lang w:eastAsia="zh-CN"/>
        </w:rPr>
        <w:t xml:space="preserve">（1）合同解除日以前所完成工作的价款； </w:t>
      </w:r>
    </w:p>
    <w:p w14:paraId="5D2AE1A2">
      <w:pPr>
        <w:spacing w:line="360" w:lineRule="auto"/>
        <w:rPr>
          <w:rFonts w:ascii="宋体" w:hAnsi="宋体" w:eastAsia="宋体" w:cs="宋体"/>
          <w:lang w:eastAsia="zh-CN"/>
        </w:rPr>
      </w:pPr>
      <w:r>
        <w:rPr>
          <w:rFonts w:hint="eastAsia" w:ascii="宋体" w:hAnsi="宋体" w:eastAsia="宋体" w:cs="宋体"/>
          <w:lang w:eastAsia="zh-CN"/>
        </w:rPr>
        <w:t xml:space="preserve">（2）承包人为该工程施工订购并已付款的材料、工程设备和其他物品的金额。发包人付还后，该材料、工程设备和其他物品归发包人所有； </w:t>
      </w:r>
    </w:p>
    <w:p w14:paraId="511EF657">
      <w:pPr>
        <w:spacing w:line="360" w:lineRule="auto"/>
        <w:rPr>
          <w:rFonts w:ascii="宋体" w:hAnsi="宋体" w:eastAsia="宋体" w:cs="宋体"/>
          <w:lang w:eastAsia="zh-CN"/>
        </w:rPr>
      </w:pPr>
      <w:r>
        <w:rPr>
          <w:rFonts w:hint="eastAsia" w:ascii="宋体" w:hAnsi="宋体" w:eastAsia="宋体" w:cs="宋体"/>
          <w:lang w:eastAsia="zh-CN"/>
        </w:rPr>
        <w:t xml:space="preserve">（3）承包人为完成工程所发生的，而发包人未支付的金额； </w:t>
      </w:r>
    </w:p>
    <w:p w14:paraId="2BDD566D">
      <w:pPr>
        <w:spacing w:line="360" w:lineRule="auto"/>
        <w:rPr>
          <w:rFonts w:ascii="宋体" w:hAnsi="宋体" w:eastAsia="宋体" w:cs="宋体"/>
          <w:lang w:eastAsia="zh-CN"/>
        </w:rPr>
      </w:pPr>
      <w:r>
        <w:rPr>
          <w:rFonts w:hint="eastAsia" w:ascii="宋体" w:hAnsi="宋体" w:eastAsia="宋体" w:cs="宋体"/>
          <w:lang w:eastAsia="zh-CN"/>
        </w:rPr>
        <w:t xml:space="preserve">（4）承包人撤离施工场地以及遣散承包人人员的金额； </w:t>
      </w:r>
    </w:p>
    <w:p w14:paraId="65495FDF">
      <w:pPr>
        <w:spacing w:line="360" w:lineRule="auto"/>
        <w:rPr>
          <w:rFonts w:ascii="宋体" w:hAnsi="宋体" w:eastAsia="宋体" w:cs="宋体"/>
          <w:lang w:eastAsia="zh-CN"/>
        </w:rPr>
      </w:pPr>
      <w:r>
        <w:rPr>
          <w:rFonts w:hint="eastAsia" w:ascii="宋体" w:hAnsi="宋体" w:eastAsia="宋体" w:cs="宋体"/>
          <w:lang w:eastAsia="zh-CN"/>
        </w:rPr>
        <w:t xml:space="preserve">（5）由于解除合同应赔偿的承包人损失； </w:t>
      </w:r>
    </w:p>
    <w:p w14:paraId="4AEFEAC4">
      <w:pPr>
        <w:spacing w:line="360" w:lineRule="auto"/>
        <w:rPr>
          <w:rFonts w:ascii="宋体" w:hAnsi="宋体" w:eastAsia="宋体" w:cs="宋体"/>
          <w:lang w:eastAsia="zh-CN"/>
        </w:rPr>
      </w:pPr>
      <w:r>
        <w:rPr>
          <w:rFonts w:hint="eastAsia" w:ascii="宋体" w:hAnsi="宋体" w:eastAsia="宋体" w:cs="宋体"/>
          <w:lang w:eastAsia="zh-CN"/>
        </w:rPr>
        <w:t xml:space="preserve">（6）按合同约定在合同解除日前应支付给承包人的其他金额。 </w:t>
      </w:r>
    </w:p>
    <w:p w14:paraId="710E4B99">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发包人应按本项约定支付上述金额并退还质量保证金或退还质量保证金保函和履约担保，但有权要求承包人支付应偿还给发包人的各项金额。 </w:t>
      </w:r>
    </w:p>
    <w:p w14:paraId="4C772A16">
      <w:pPr>
        <w:spacing w:line="360" w:lineRule="auto"/>
        <w:rPr>
          <w:rFonts w:ascii="宋体" w:hAnsi="宋体" w:eastAsia="宋体" w:cs="宋体"/>
          <w:lang w:eastAsia="zh-CN"/>
        </w:rPr>
      </w:pPr>
      <w:r>
        <w:rPr>
          <w:rFonts w:hint="eastAsia" w:ascii="宋体" w:hAnsi="宋体" w:eastAsia="宋体" w:cs="宋体"/>
          <w:lang w:eastAsia="zh-CN"/>
        </w:rPr>
        <w:t xml:space="preserve">22.2.5  解除合同后的承包人撤离 </w:t>
      </w:r>
    </w:p>
    <w:p w14:paraId="1296716D">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 </w:t>
      </w:r>
    </w:p>
    <w:p w14:paraId="308A1780">
      <w:pPr>
        <w:spacing w:line="360" w:lineRule="auto"/>
        <w:rPr>
          <w:rFonts w:ascii="宋体" w:hAnsi="宋体" w:eastAsia="宋体" w:cs="宋体"/>
          <w:lang w:eastAsia="zh-CN"/>
        </w:rPr>
      </w:pPr>
      <w:bookmarkStart w:id="982" w:name="_Toc511294220"/>
      <w:bookmarkStart w:id="983" w:name="_Toc511293949"/>
      <w:r>
        <w:rPr>
          <w:rFonts w:hint="eastAsia" w:ascii="宋体" w:hAnsi="宋体" w:eastAsia="宋体" w:cs="宋体"/>
          <w:lang w:eastAsia="zh-CN"/>
        </w:rPr>
        <w:t>22.3  第三人造成的违约</w:t>
      </w:r>
      <w:bookmarkEnd w:id="982"/>
      <w:bookmarkEnd w:id="983"/>
      <w:r>
        <w:rPr>
          <w:rFonts w:hint="eastAsia" w:ascii="宋体" w:hAnsi="宋体" w:eastAsia="宋体" w:cs="宋体"/>
          <w:lang w:eastAsia="zh-CN"/>
        </w:rPr>
        <w:t xml:space="preserve"> </w:t>
      </w:r>
    </w:p>
    <w:p w14:paraId="3CB4461E">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在履行合同过程中，一方当事人因第三人的原因造成违约的，应当向对方当事人承担违约责任。一方当事人和第三人之间的纠纷，依照法律规定或者按照约定解决。 </w:t>
      </w:r>
    </w:p>
    <w:p w14:paraId="6AF2C4B6">
      <w:pPr>
        <w:spacing w:line="360" w:lineRule="auto"/>
        <w:rPr>
          <w:rFonts w:ascii="宋体" w:hAnsi="宋体" w:eastAsia="宋体" w:cs="宋体"/>
          <w:lang w:eastAsia="zh-CN"/>
        </w:rPr>
      </w:pPr>
      <w:r>
        <w:rPr>
          <w:rFonts w:hint="eastAsia" w:ascii="宋体" w:hAnsi="宋体" w:eastAsia="宋体" w:cs="宋体"/>
          <w:lang w:eastAsia="zh-CN"/>
        </w:rPr>
        <w:t xml:space="preserve">23.索赔 </w:t>
      </w:r>
    </w:p>
    <w:p w14:paraId="7E7175D2">
      <w:pPr>
        <w:spacing w:line="360" w:lineRule="auto"/>
        <w:rPr>
          <w:rFonts w:ascii="宋体" w:hAnsi="宋体" w:eastAsia="宋体" w:cs="宋体"/>
          <w:lang w:eastAsia="zh-CN"/>
        </w:rPr>
      </w:pPr>
      <w:bookmarkStart w:id="984" w:name="_Toc511293950"/>
      <w:bookmarkStart w:id="985" w:name="_Toc511294221"/>
      <w:r>
        <w:rPr>
          <w:rFonts w:hint="eastAsia" w:ascii="宋体" w:hAnsi="宋体" w:eastAsia="宋体" w:cs="宋体"/>
          <w:lang w:eastAsia="zh-CN"/>
        </w:rPr>
        <w:t>23.1  承包人索赔的提出</w:t>
      </w:r>
      <w:bookmarkEnd w:id="984"/>
      <w:bookmarkEnd w:id="985"/>
      <w:r>
        <w:rPr>
          <w:rFonts w:hint="eastAsia" w:ascii="宋体" w:hAnsi="宋体" w:eastAsia="宋体" w:cs="宋体"/>
          <w:lang w:eastAsia="zh-CN"/>
        </w:rPr>
        <w:t xml:space="preserve"> </w:t>
      </w:r>
    </w:p>
    <w:p w14:paraId="61C1F54B">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根据合同约定，承包人认为有权得到追加付款和（或）延长工期的，应按以下程序向发包人提出索赔： </w:t>
      </w:r>
    </w:p>
    <w:p w14:paraId="68EC2FC3">
      <w:pPr>
        <w:spacing w:line="360" w:lineRule="auto"/>
        <w:rPr>
          <w:rFonts w:ascii="宋体" w:hAnsi="宋体" w:eastAsia="宋体" w:cs="宋体"/>
          <w:lang w:eastAsia="zh-CN"/>
        </w:rPr>
      </w:pPr>
      <w:r>
        <w:rPr>
          <w:rFonts w:hint="eastAsia" w:ascii="宋体" w:hAnsi="宋体" w:eastAsia="宋体" w:cs="宋体"/>
          <w:lang w:eastAsia="zh-CN"/>
        </w:rPr>
        <w:t xml:space="preserve">（1）承包人应在知道或应当知道索赔事件发生后28天内，向监理人递交索赔意向通知书，并说明发生索赔事件的事由。承包人未在前述28天内发出索赔意向通知书的，丧失要求追加付款和（或）延长工期的权利； </w:t>
      </w:r>
    </w:p>
    <w:p w14:paraId="47F12CCC">
      <w:pPr>
        <w:spacing w:line="360" w:lineRule="auto"/>
        <w:rPr>
          <w:rFonts w:ascii="宋体" w:hAnsi="宋体" w:eastAsia="宋体" w:cs="宋体"/>
          <w:lang w:eastAsia="zh-CN"/>
        </w:rPr>
      </w:pPr>
      <w:r>
        <w:rPr>
          <w:rFonts w:hint="eastAsia" w:ascii="宋体" w:hAnsi="宋体" w:eastAsia="宋体" w:cs="宋体"/>
          <w:lang w:eastAsia="zh-CN"/>
        </w:rPr>
        <w:t xml:space="preserve">（2）承包人应在发出索赔意向通知书后28天内，向监理人正式递交索赔通知书。索赔通知书应详细说明索赔理由以及要求追加的付款金额和（或）延长的工期，并附必要的记录和证明材料； </w:t>
      </w:r>
    </w:p>
    <w:p w14:paraId="0A50699A">
      <w:pPr>
        <w:spacing w:line="360" w:lineRule="auto"/>
        <w:rPr>
          <w:rFonts w:ascii="宋体" w:hAnsi="宋体" w:eastAsia="宋体" w:cs="宋体"/>
          <w:lang w:eastAsia="zh-CN"/>
        </w:rPr>
      </w:pPr>
      <w:r>
        <w:rPr>
          <w:rFonts w:hint="eastAsia" w:ascii="宋体" w:hAnsi="宋体" w:eastAsia="宋体" w:cs="宋体"/>
          <w:lang w:eastAsia="zh-CN"/>
        </w:rPr>
        <w:t xml:space="preserve">（3）索赔事件具有连续影响的，承包人应按合理时间间隔继续递交延续索赔通知，说明连续影响的实际情况和记录，列出累计的追加付款金额和（或）工期延长天数； </w:t>
      </w:r>
    </w:p>
    <w:p w14:paraId="49EFE41B">
      <w:pPr>
        <w:spacing w:line="360" w:lineRule="auto"/>
        <w:rPr>
          <w:rFonts w:ascii="宋体" w:hAnsi="宋体" w:eastAsia="宋体" w:cs="宋体"/>
          <w:lang w:eastAsia="zh-CN"/>
        </w:rPr>
      </w:pPr>
      <w:r>
        <w:rPr>
          <w:rFonts w:hint="eastAsia" w:ascii="宋体" w:hAnsi="宋体" w:eastAsia="宋体" w:cs="宋体"/>
          <w:lang w:eastAsia="zh-CN"/>
        </w:rPr>
        <w:t xml:space="preserve">（4）在索赔事件影响结束后的28天内，承包人应向监理人递交最终索赔通知书，说明最终要求索赔的追加付款金额和延长的工期，并附必要的记录和证明材料。 </w:t>
      </w:r>
    </w:p>
    <w:p w14:paraId="130EAB44">
      <w:pPr>
        <w:spacing w:line="360" w:lineRule="auto"/>
        <w:rPr>
          <w:rFonts w:ascii="宋体" w:hAnsi="宋体" w:eastAsia="宋体" w:cs="宋体"/>
          <w:lang w:eastAsia="zh-CN"/>
        </w:rPr>
      </w:pPr>
      <w:bookmarkStart w:id="986" w:name="_Toc511294222"/>
      <w:bookmarkStart w:id="987" w:name="_Toc511293951"/>
      <w:r>
        <w:rPr>
          <w:rFonts w:hint="eastAsia" w:ascii="宋体" w:hAnsi="宋体" w:eastAsia="宋体" w:cs="宋体"/>
          <w:lang w:eastAsia="zh-CN"/>
        </w:rPr>
        <w:t>23.2  承包人索赔处理程序</w:t>
      </w:r>
      <w:bookmarkEnd w:id="986"/>
      <w:bookmarkEnd w:id="987"/>
      <w:r>
        <w:rPr>
          <w:rFonts w:hint="eastAsia" w:ascii="宋体" w:hAnsi="宋体" w:eastAsia="宋体" w:cs="宋体"/>
          <w:lang w:eastAsia="zh-CN"/>
        </w:rPr>
        <w:t xml:space="preserve"> </w:t>
      </w:r>
    </w:p>
    <w:p w14:paraId="34CCFFCF">
      <w:pPr>
        <w:spacing w:line="360" w:lineRule="auto"/>
        <w:rPr>
          <w:rFonts w:ascii="宋体" w:hAnsi="宋体" w:eastAsia="宋体" w:cs="宋体"/>
          <w:lang w:eastAsia="zh-CN"/>
        </w:rPr>
      </w:pPr>
      <w:r>
        <w:rPr>
          <w:rFonts w:hint="eastAsia" w:ascii="宋体" w:hAnsi="宋体" w:eastAsia="宋体" w:cs="宋体"/>
          <w:lang w:eastAsia="zh-CN"/>
        </w:rPr>
        <w:t xml:space="preserve">（1）监理人收到承包人提交的索赔通知书后，应及时审查索赔通知书的内容、查验承包人的记录和证明材料，必要时监理人可要求承包人提交全部原始记录副本。 </w:t>
      </w:r>
    </w:p>
    <w:p w14:paraId="377E7334">
      <w:pPr>
        <w:spacing w:line="360" w:lineRule="auto"/>
        <w:rPr>
          <w:rFonts w:ascii="宋体" w:hAnsi="宋体" w:eastAsia="宋体" w:cs="宋体"/>
          <w:lang w:eastAsia="zh-CN"/>
        </w:rPr>
      </w:pPr>
      <w:r>
        <w:rPr>
          <w:rFonts w:hint="eastAsia" w:ascii="宋体" w:hAnsi="宋体" w:eastAsia="宋体" w:cs="宋体"/>
          <w:lang w:eastAsia="zh-CN"/>
        </w:rPr>
        <w:t xml:space="preserve">（2）监理人应按第3.5款商定或确定追加的付款和（或）延长的工期，并在收到上述索赔通知书或有关索赔的进一步证明材料后的42天内，将索赔处理结果答复承包人。 </w:t>
      </w:r>
    </w:p>
    <w:p w14:paraId="091664EA">
      <w:pPr>
        <w:spacing w:line="360" w:lineRule="auto"/>
        <w:rPr>
          <w:rFonts w:ascii="宋体" w:hAnsi="宋体" w:eastAsia="宋体" w:cs="宋体"/>
          <w:lang w:eastAsia="zh-CN"/>
        </w:rPr>
      </w:pPr>
      <w:r>
        <w:rPr>
          <w:rFonts w:hint="eastAsia" w:ascii="宋体" w:hAnsi="宋体" w:eastAsia="宋体" w:cs="宋体"/>
          <w:lang w:eastAsia="zh-CN"/>
        </w:rPr>
        <w:t xml:space="preserve">（3）承包人接受索赔处理结果的，发包人应在作出索赔处理结果答复后28天内完成赔付。承包人不接受索赔处理结果的，按第24条的约定办理。 </w:t>
      </w:r>
    </w:p>
    <w:p w14:paraId="3B2A2260">
      <w:pPr>
        <w:spacing w:line="360" w:lineRule="auto"/>
        <w:rPr>
          <w:rFonts w:ascii="宋体" w:hAnsi="宋体" w:eastAsia="宋体" w:cs="宋体"/>
          <w:lang w:eastAsia="zh-CN"/>
        </w:rPr>
      </w:pPr>
      <w:bookmarkStart w:id="988" w:name="_Toc511294223"/>
      <w:bookmarkStart w:id="989" w:name="_Toc511293952"/>
      <w:r>
        <w:rPr>
          <w:rFonts w:hint="eastAsia" w:ascii="宋体" w:hAnsi="宋体" w:eastAsia="宋体" w:cs="宋体"/>
          <w:lang w:eastAsia="zh-CN"/>
        </w:rPr>
        <w:t>23.3  承包人提出索赔的期限</w:t>
      </w:r>
      <w:bookmarkEnd w:id="988"/>
      <w:bookmarkEnd w:id="989"/>
      <w:r>
        <w:rPr>
          <w:rFonts w:hint="eastAsia" w:ascii="宋体" w:hAnsi="宋体" w:eastAsia="宋体" w:cs="宋体"/>
          <w:lang w:eastAsia="zh-CN"/>
        </w:rPr>
        <w:t xml:space="preserve"> </w:t>
      </w:r>
    </w:p>
    <w:p w14:paraId="5A758DA5">
      <w:pPr>
        <w:spacing w:line="360" w:lineRule="auto"/>
        <w:rPr>
          <w:rFonts w:ascii="宋体" w:hAnsi="宋体" w:eastAsia="宋体" w:cs="宋体"/>
          <w:lang w:eastAsia="zh-CN"/>
        </w:rPr>
      </w:pPr>
      <w:r>
        <w:rPr>
          <w:rFonts w:hint="eastAsia" w:ascii="宋体" w:hAnsi="宋体" w:eastAsia="宋体" w:cs="宋体"/>
          <w:lang w:eastAsia="zh-CN"/>
        </w:rPr>
        <w:t xml:space="preserve">23.3.1  承包人按第17.5款的约定接受了竣工付款证书后，应被认为已无权再提出在合同工程接收证书颁发前所发生的任何索赔。 </w:t>
      </w:r>
    </w:p>
    <w:p w14:paraId="6AC7EBCC">
      <w:pPr>
        <w:spacing w:line="360" w:lineRule="auto"/>
        <w:rPr>
          <w:rFonts w:ascii="宋体" w:hAnsi="宋体" w:eastAsia="宋体" w:cs="宋体"/>
          <w:lang w:eastAsia="zh-CN"/>
        </w:rPr>
      </w:pPr>
      <w:r>
        <w:rPr>
          <w:rFonts w:hint="eastAsia" w:ascii="宋体" w:hAnsi="宋体" w:eastAsia="宋体" w:cs="宋体"/>
          <w:lang w:eastAsia="zh-CN"/>
        </w:rPr>
        <w:t xml:space="preserve">23.3.2  承包人按第17.6款的约定提交的最终结清申请单中，只限于提出工程接收证书颁发后发生的索赔。提出索赔的期限自接受最终结清证书时终止。  </w:t>
      </w:r>
    </w:p>
    <w:p w14:paraId="12ADF0CA">
      <w:pPr>
        <w:spacing w:line="360" w:lineRule="auto"/>
        <w:rPr>
          <w:rFonts w:ascii="宋体" w:hAnsi="宋体" w:eastAsia="宋体" w:cs="宋体"/>
          <w:lang w:eastAsia="zh-CN"/>
        </w:rPr>
      </w:pPr>
      <w:bookmarkStart w:id="990" w:name="_Toc511293953"/>
      <w:bookmarkStart w:id="991" w:name="_Toc511294224"/>
      <w:r>
        <w:rPr>
          <w:rFonts w:hint="eastAsia" w:ascii="宋体" w:hAnsi="宋体" w:eastAsia="宋体" w:cs="宋体"/>
          <w:lang w:eastAsia="zh-CN"/>
        </w:rPr>
        <w:t>23.4  发包人的索赔</w:t>
      </w:r>
      <w:bookmarkEnd w:id="990"/>
      <w:bookmarkEnd w:id="991"/>
      <w:r>
        <w:rPr>
          <w:rFonts w:hint="eastAsia" w:ascii="宋体" w:hAnsi="宋体" w:eastAsia="宋体" w:cs="宋体"/>
          <w:lang w:eastAsia="zh-CN"/>
        </w:rPr>
        <w:t xml:space="preserve"> </w:t>
      </w:r>
    </w:p>
    <w:p w14:paraId="35FB3CA4">
      <w:pPr>
        <w:spacing w:line="360" w:lineRule="auto"/>
        <w:rPr>
          <w:rFonts w:ascii="宋体" w:hAnsi="宋体" w:eastAsia="宋体" w:cs="宋体"/>
          <w:lang w:eastAsia="zh-CN"/>
        </w:rPr>
      </w:pPr>
      <w:r>
        <w:rPr>
          <w:rFonts w:hint="eastAsia" w:ascii="宋体" w:hAnsi="宋体" w:eastAsia="宋体" w:cs="宋体"/>
          <w:lang w:eastAsia="zh-CN"/>
        </w:rPr>
        <w:t xml:space="preserve">23.4.1  发生索赔事件后，监理人应及时书面通知承包人，详细说明发包人有权得到的索赔金额和（或）延长缺陷责任期的细节和依据。发包人提出索赔的期限和要求与第 23.3 款的约定相同，延长缺陷责任期的通知应在缺陷责任期届满前发出。 </w:t>
      </w:r>
    </w:p>
    <w:p w14:paraId="02522F75">
      <w:pPr>
        <w:spacing w:line="360" w:lineRule="auto"/>
        <w:rPr>
          <w:rFonts w:ascii="宋体" w:hAnsi="宋体" w:eastAsia="宋体" w:cs="宋体"/>
          <w:lang w:eastAsia="zh-CN"/>
        </w:rPr>
      </w:pPr>
      <w:r>
        <w:rPr>
          <w:rFonts w:hint="eastAsia" w:ascii="宋体" w:hAnsi="宋体" w:eastAsia="宋体" w:cs="宋体"/>
          <w:lang w:eastAsia="zh-CN"/>
        </w:rPr>
        <w:t xml:space="preserve">23.4.2  监理人按第3.5款商定或确定发包人从承包人处得到赔付的金额和（或）缺陷责任期的延长期。承包人应付给发包人的金额可从拟支付给承包人的合同价款中扣除，或由承包人以其他方式支付给发包人。 </w:t>
      </w:r>
    </w:p>
    <w:p w14:paraId="25F340BF">
      <w:pPr>
        <w:spacing w:line="360" w:lineRule="auto"/>
        <w:rPr>
          <w:rFonts w:ascii="宋体" w:hAnsi="宋体" w:eastAsia="宋体" w:cs="宋体"/>
          <w:lang w:eastAsia="zh-CN"/>
        </w:rPr>
      </w:pPr>
      <w:r>
        <w:rPr>
          <w:rFonts w:hint="eastAsia" w:ascii="宋体" w:hAnsi="宋体" w:eastAsia="宋体" w:cs="宋体"/>
          <w:lang w:eastAsia="zh-CN"/>
        </w:rPr>
        <w:t xml:space="preserve">24.争议的解决 </w:t>
      </w:r>
    </w:p>
    <w:p w14:paraId="00079D6F">
      <w:pPr>
        <w:spacing w:line="360" w:lineRule="auto"/>
        <w:rPr>
          <w:rFonts w:ascii="宋体" w:hAnsi="宋体" w:eastAsia="宋体" w:cs="宋体"/>
          <w:lang w:eastAsia="zh-CN"/>
        </w:rPr>
      </w:pPr>
      <w:bookmarkStart w:id="992" w:name="_Toc511293954"/>
      <w:bookmarkStart w:id="993" w:name="_Toc511294225"/>
      <w:r>
        <w:rPr>
          <w:rFonts w:hint="eastAsia" w:ascii="宋体" w:hAnsi="宋体" w:eastAsia="宋体" w:cs="宋体"/>
          <w:lang w:eastAsia="zh-CN"/>
        </w:rPr>
        <w:t>24.1  争议的解决方式</w:t>
      </w:r>
      <w:bookmarkEnd w:id="992"/>
      <w:bookmarkEnd w:id="993"/>
      <w:r>
        <w:rPr>
          <w:rFonts w:hint="eastAsia" w:ascii="宋体" w:hAnsi="宋体" w:eastAsia="宋体" w:cs="宋体"/>
          <w:lang w:eastAsia="zh-CN"/>
        </w:rPr>
        <w:t xml:space="preserve"> </w:t>
      </w:r>
      <w:r>
        <w:rPr>
          <w:rFonts w:hint="eastAsia" w:ascii="宋体" w:hAnsi="宋体" w:eastAsia="宋体" w:cs="宋体"/>
          <w:lang w:eastAsia="zh-CN"/>
        </w:rPr>
        <w:tab/>
      </w:r>
    </w:p>
    <w:p w14:paraId="3F2F5EBA">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发包人和承包人在履行合同中发生争议的，可以友好协商解决或者提请争议评审组评审。合同当事人友好协商解决不成、不愿提请争议评审或者不接受争议评审组意见的，可在合同条款专用部分中约定下列一种方式解决。 </w:t>
      </w:r>
    </w:p>
    <w:p w14:paraId="1751D047">
      <w:pPr>
        <w:spacing w:line="360" w:lineRule="auto"/>
        <w:rPr>
          <w:rFonts w:ascii="宋体" w:hAnsi="宋体" w:eastAsia="宋体" w:cs="宋体"/>
          <w:lang w:eastAsia="zh-CN"/>
        </w:rPr>
      </w:pPr>
      <w:r>
        <w:rPr>
          <w:rFonts w:hint="eastAsia" w:ascii="宋体" w:hAnsi="宋体" w:eastAsia="宋体" w:cs="宋体"/>
          <w:lang w:eastAsia="zh-CN"/>
        </w:rPr>
        <w:t xml:space="preserve">（1）向约定的仲裁委员会申请仲裁； </w:t>
      </w:r>
    </w:p>
    <w:p w14:paraId="38AFF894">
      <w:pPr>
        <w:spacing w:line="360" w:lineRule="auto"/>
        <w:rPr>
          <w:rFonts w:ascii="宋体" w:hAnsi="宋体" w:eastAsia="宋体" w:cs="宋体"/>
          <w:lang w:eastAsia="zh-CN"/>
        </w:rPr>
      </w:pPr>
      <w:r>
        <w:rPr>
          <w:rFonts w:hint="eastAsia" w:ascii="宋体" w:hAnsi="宋体" w:eastAsia="宋体" w:cs="宋体"/>
          <w:lang w:eastAsia="zh-CN"/>
        </w:rPr>
        <w:t xml:space="preserve">（2）向有管辖权的人民法院提起诉讼。 </w:t>
      </w:r>
    </w:p>
    <w:p w14:paraId="51E015DD">
      <w:pPr>
        <w:spacing w:line="360" w:lineRule="auto"/>
        <w:rPr>
          <w:rFonts w:ascii="宋体" w:hAnsi="宋体" w:eastAsia="宋体" w:cs="宋体"/>
          <w:lang w:eastAsia="zh-CN"/>
        </w:rPr>
      </w:pPr>
      <w:bookmarkStart w:id="994" w:name="_Toc511293955"/>
      <w:bookmarkStart w:id="995" w:name="_Toc511294226"/>
      <w:r>
        <w:rPr>
          <w:rFonts w:hint="eastAsia" w:ascii="宋体" w:hAnsi="宋体" w:eastAsia="宋体" w:cs="宋体"/>
          <w:lang w:eastAsia="zh-CN"/>
        </w:rPr>
        <w:t>24.2  友好解决</w:t>
      </w:r>
      <w:bookmarkEnd w:id="994"/>
      <w:bookmarkEnd w:id="995"/>
      <w:r>
        <w:rPr>
          <w:rFonts w:hint="eastAsia" w:ascii="宋体" w:hAnsi="宋体" w:eastAsia="宋体" w:cs="宋体"/>
          <w:lang w:eastAsia="zh-CN"/>
        </w:rPr>
        <w:t xml:space="preserve"> </w:t>
      </w:r>
    </w:p>
    <w:p w14:paraId="1CB39FCC">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在提请争议评审、仲裁或者诉讼前，以及在争议评审、仲裁或诉讼过程中，发包人和承包人均可共同努力友好协商解决争议。 </w:t>
      </w:r>
    </w:p>
    <w:p w14:paraId="320606CA">
      <w:pPr>
        <w:spacing w:line="360" w:lineRule="auto"/>
        <w:rPr>
          <w:rFonts w:ascii="宋体" w:hAnsi="宋体" w:eastAsia="宋体" w:cs="宋体"/>
          <w:lang w:eastAsia="zh-CN"/>
        </w:rPr>
      </w:pPr>
      <w:bookmarkStart w:id="996" w:name="_Toc511293956"/>
      <w:bookmarkStart w:id="997" w:name="_Toc511294227"/>
      <w:r>
        <w:rPr>
          <w:rFonts w:hint="eastAsia" w:ascii="宋体" w:hAnsi="宋体" w:eastAsia="宋体" w:cs="宋体"/>
          <w:lang w:eastAsia="zh-CN"/>
        </w:rPr>
        <w:t>24.3  争议评审</w:t>
      </w:r>
      <w:bookmarkEnd w:id="996"/>
      <w:bookmarkEnd w:id="997"/>
      <w:r>
        <w:rPr>
          <w:rFonts w:hint="eastAsia" w:ascii="宋体" w:hAnsi="宋体" w:eastAsia="宋体" w:cs="宋体"/>
          <w:lang w:eastAsia="zh-CN"/>
        </w:rPr>
        <w:t xml:space="preserve"> </w:t>
      </w:r>
    </w:p>
    <w:p w14:paraId="2C3F3745">
      <w:pPr>
        <w:spacing w:line="360" w:lineRule="auto"/>
        <w:rPr>
          <w:rFonts w:ascii="宋体" w:hAnsi="宋体" w:eastAsia="宋体" w:cs="宋体"/>
          <w:lang w:eastAsia="zh-CN"/>
        </w:rPr>
      </w:pPr>
      <w:r>
        <w:rPr>
          <w:rFonts w:hint="eastAsia" w:ascii="宋体" w:hAnsi="宋体" w:eastAsia="宋体" w:cs="宋体"/>
          <w:lang w:eastAsia="zh-CN"/>
        </w:rPr>
        <w:t xml:space="preserve">24.3.1  采用争议评审的，发包人和承包人应在开工日后的28天内或在争议发生后，协商成立争议评审组。争议评审组由有合同管理和工程实践经验的专家组成。 </w:t>
      </w:r>
    </w:p>
    <w:p w14:paraId="10381B46">
      <w:pPr>
        <w:spacing w:line="360" w:lineRule="auto"/>
        <w:rPr>
          <w:rFonts w:ascii="宋体" w:hAnsi="宋体" w:eastAsia="宋体" w:cs="宋体"/>
          <w:lang w:eastAsia="zh-CN"/>
        </w:rPr>
      </w:pPr>
      <w:r>
        <w:rPr>
          <w:rFonts w:hint="eastAsia" w:ascii="宋体" w:hAnsi="宋体" w:eastAsia="宋体" w:cs="宋体"/>
          <w:lang w:eastAsia="zh-CN"/>
        </w:rPr>
        <w:t xml:space="preserve">24.3.2  合同双方的争议，应首先由申请人向争议评审组提交一份详细的评审申请报告，并附必要的文件、图纸和证明材料，申请人还应将上述报告的副本同时提交给被申请人和监理人。 </w:t>
      </w:r>
    </w:p>
    <w:p w14:paraId="537B11AA">
      <w:pPr>
        <w:spacing w:line="360" w:lineRule="auto"/>
        <w:rPr>
          <w:rFonts w:ascii="宋体" w:hAnsi="宋体" w:eastAsia="宋体" w:cs="宋体"/>
          <w:lang w:eastAsia="zh-CN"/>
        </w:rPr>
      </w:pPr>
      <w:r>
        <w:rPr>
          <w:rFonts w:hint="eastAsia" w:ascii="宋体" w:hAnsi="宋体" w:eastAsia="宋体" w:cs="宋体"/>
          <w:lang w:eastAsia="zh-CN"/>
        </w:rPr>
        <w:t xml:space="preserve">24.3.3  被申请人在收到申请人评审申请报告副本后的28天内，向争议评审组提交一份答辩报告，并附证明材料。被申请人应将答辩报告的副本同时提交给申请人和监理人。 </w:t>
      </w:r>
    </w:p>
    <w:p w14:paraId="33617A4E">
      <w:pPr>
        <w:spacing w:line="360" w:lineRule="auto"/>
        <w:rPr>
          <w:rFonts w:ascii="宋体" w:hAnsi="宋体" w:eastAsia="宋体" w:cs="宋体"/>
          <w:lang w:eastAsia="zh-CN"/>
        </w:rPr>
      </w:pPr>
      <w:r>
        <w:rPr>
          <w:rFonts w:hint="eastAsia" w:ascii="宋体" w:hAnsi="宋体" w:eastAsia="宋体" w:cs="宋体"/>
          <w:lang w:eastAsia="zh-CN"/>
        </w:rPr>
        <w:t xml:space="preserve">24.3.4  争议评审组在收到合同双方报告后的14天内，邀请双方代表和有关人员在合同约定的期限内举行调查会，向双方调查争议细节；必要时争议评审组可要求双方进一步提供补充材料。举行调查会的期限见合同条款专用部分。 </w:t>
      </w:r>
    </w:p>
    <w:p w14:paraId="3D9DCA1E">
      <w:pPr>
        <w:spacing w:line="360" w:lineRule="auto"/>
        <w:rPr>
          <w:rFonts w:ascii="宋体" w:hAnsi="宋体" w:eastAsia="宋体" w:cs="宋体"/>
          <w:lang w:eastAsia="zh-CN"/>
        </w:rPr>
      </w:pPr>
      <w:r>
        <w:rPr>
          <w:rFonts w:hint="eastAsia" w:ascii="宋体" w:hAnsi="宋体" w:eastAsia="宋体" w:cs="宋体"/>
          <w:lang w:eastAsia="zh-CN"/>
        </w:rPr>
        <w:t xml:space="preserve">24.3.5  在调查会结束后的14天内，争议评审组应在不受任何干扰的情况下进行独立、公正的评审，在合同约定的期限内作出书面评审意见，并说明理由。在争议评审期间，争议双方暂按总监理工程师的确定执行。争议评审组作出争议评审意见的期限见合同条款专用部分。 </w:t>
      </w:r>
    </w:p>
    <w:p w14:paraId="695FBB2F">
      <w:pPr>
        <w:spacing w:line="360" w:lineRule="auto"/>
        <w:rPr>
          <w:rFonts w:ascii="宋体" w:hAnsi="宋体" w:eastAsia="宋体" w:cs="宋体"/>
          <w:lang w:eastAsia="zh-CN"/>
        </w:rPr>
      </w:pPr>
      <w:r>
        <w:rPr>
          <w:rFonts w:hint="eastAsia" w:ascii="宋体" w:hAnsi="宋体" w:eastAsia="宋体" w:cs="宋体"/>
          <w:lang w:eastAsia="zh-CN"/>
        </w:rPr>
        <w:t xml:space="preserve">24.3.6  发包人和承包人接受评审意见的，由监理人根据评审意见拟定执行协议，经争议双方签字后作为合同的补充文件，并遵照执行。 </w:t>
      </w:r>
    </w:p>
    <w:p w14:paraId="189CF58F">
      <w:pPr>
        <w:spacing w:line="360" w:lineRule="auto"/>
        <w:rPr>
          <w:rFonts w:ascii="宋体" w:hAnsi="宋体" w:eastAsia="宋体" w:cs="宋体"/>
          <w:lang w:eastAsia="zh-CN"/>
        </w:rPr>
      </w:pPr>
      <w:r>
        <w:rPr>
          <w:rFonts w:hint="eastAsia" w:ascii="宋体" w:hAnsi="宋体" w:eastAsia="宋体" w:cs="宋体"/>
          <w:lang w:eastAsia="zh-CN"/>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58852F9C">
      <w:pPr>
        <w:spacing w:before="5" w:after="0" w:line="360" w:lineRule="auto"/>
        <w:rPr>
          <w:rFonts w:ascii="宋体" w:hAnsi="宋体" w:eastAsia="宋体" w:cs="宋体"/>
          <w:sz w:val="24"/>
          <w:szCs w:val="24"/>
          <w:lang w:eastAsia="zh-CN"/>
        </w:rPr>
      </w:pPr>
    </w:p>
    <w:p w14:paraId="08806A83">
      <w:pPr>
        <w:spacing w:before="5" w:after="0" w:line="360" w:lineRule="auto"/>
        <w:rPr>
          <w:rFonts w:ascii="宋体" w:hAnsi="宋体" w:eastAsia="宋体" w:cs="宋体"/>
          <w:sz w:val="24"/>
          <w:szCs w:val="24"/>
          <w:lang w:eastAsia="zh-CN"/>
        </w:rPr>
      </w:pPr>
    </w:p>
    <w:p w14:paraId="4182DA36">
      <w:pPr>
        <w:spacing w:before="5" w:after="0" w:line="360" w:lineRule="auto"/>
        <w:rPr>
          <w:rFonts w:ascii="宋体" w:hAnsi="宋体" w:eastAsia="宋体" w:cs="宋体"/>
          <w:sz w:val="24"/>
          <w:szCs w:val="24"/>
          <w:lang w:eastAsia="zh-CN"/>
        </w:rPr>
      </w:pPr>
    </w:p>
    <w:p w14:paraId="53FA336A">
      <w:pPr>
        <w:spacing w:before="5" w:after="0" w:line="360" w:lineRule="auto"/>
        <w:rPr>
          <w:rFonts w:ascii="宋体" w:hAnsi="宋体" w:eastAsia="宋体" w:cs="宋体"/>
          <w:sz w:val="24"/>
          <w:szCs w:val="24"/>
          <w:lang w:eastAsia="zh-CN"/>
        </w:rPr>
      </w:pPr>
    </w:p>
    <w:p w14:paraId="409355A1">
      <w:pPr>
        <w:spacing w:before="5" w:after="0" w:line="360" w:lineRule="auto"/>
        <w:rPr>
          <w:rFonts w:ascii="宋体" w:hAnsi="宋体" w:eastAsia="宋体" w:cs="宋体"/>
          <w:sz w:val="24"/>
          <w:szCs w:val="24"/>
          <w:lang w:eastAsia="zh-CN"/>
        </w:rPr>
      </w:pPr>
    </w:p>
    <w:p w14:paraId="1A62D977">
      <w:pPr>
        <w:spacing w:before="5" w:after="0" w:line="360" w:lineRule="auto"/>
        <w:rPr>
          <w:rFonts w:ascii="宋体" w:hAnsi="宋体" w:eastAsia="宋体" w:cs="宋体"/>
          <w:sz w:val="24"/>
          <w:szCs w:val="24"/>
          <w:lang w:eastAsia="zh-CN"/>
        </w:rPr>
      </w:pPr>
    </w:p>
    <w:p w14:paraId="5D3D61D3">
      <w:pPr>
        <w:pStyle w:val="5"/>
        <w:spacing w:line="360" w:lineRule="auto"/>
        <w:jc w:val="center"/>
        <w:rPr>
          <w:rFonts w:ascii="宋体" w:hAnsi="宋体" w:eastAsia="宋体" w:cs="宋体"/>
          <w:lang w:eastAsia="zh-CN"/>
        </w:rPr>
      </w:pPr>
      <w:bookmarkStart w:id="998" w:name="_Toc486580373"/>
      <w:bookmarkStart w:id="999" w:name="_Toc490331664"/>
      <w:r>
        <w:rPr>
          <w:rFonts w:hint="eastAsia" w:ascii="宋体" w:hAnsi="宋体" w:eastAsia="宋体" w:cs="宋体"/>
          <w:lang w:eastAsia="zh-CN"/>
        </w:rPr>
        <w:t>三、  合同条款专用部分</w:t>
      </w:r>
      <w:bookmarkEnd w:id="998"/>
      <w:bookmarkEnd w:id="999"/>
    </w:p>
    <w:p w14:paraId="16DED351">
      <w:pPr>
        <w:keepNext/>
        <w:keepLines/>
        <w:spacing w:before="120" w:beforeLines="50" w:after="120" w:afterLines="50" w:line="360" w:lineRule="auto"/>
        <w:jc w:val="both"/>
        <w:outlineLvl w:val="1"/>
        <w:rPr>
          <w:rFonts w:ascii="宋体" w:hAnsi="宋体" w:eastAsia="宋体" w:cs="宋体"/>
          <w:kern w:val="2"/>
          <w:sz w:val="28"/>
          <w:szCs w:val="20"/>
          <w:lang w:eastAsia="zh-CN"/>
        </w:rPr>
      </w:pPr>
      <w:bookmarkStart w:id="1000" w:name="_Toc15910"/>
      <w:bookmarkStart w:id="1001" w:name="_Toc16264572"/>
      <w:bookmarkStart w:id="1002" w:name="_Toc490331665"/>
      <w:bookmarkStart w:id="1003" w:name="_Toc47947487"/>
      <w:bookmarkStart w:id="1004" w:name="_Toc10872"/>
      <w:bookmarkStart w:id="1005" w:name="_Toc485323148"/>
      <w:bookmarkStart w:id="1006" w:name="_Toc497584034"/>
      <w:bookmarkStart w:id="1007" w:name="_Toc486580374"/>
      <w:bookmarkStart w:id="1008" w:name="_Toc497214043"/>
      <w:bookmarkStart w:id="1009" w:name="_Toc489280180"/>
      <w:bookmarkStart w:id="1010" w:name="_Toc5365"/>
      <w:r>
        <w:rPr>
          <w:rFonts w:hint="eastAsia" w:ascii="宋体" w:hAnsi="宋体" w:eastAsia="宋体" w:cs="宋体"/>
          <w:kern w:val="2"/>
          <w:sz w:val="28"/>
          <w:szCs w:val="20"/>
          <w:lang w:eastAsia="zh-CN"/>
        </w:rPr>
        <w:t>1.一般约定</w:t>
      </w:r>
      <w:bookmarkEnd w:id="1000"/>
      <w:bookmarkEnd w:id="1001"/>
      <w:bookmarkEnd w:id="1002"/>
      <w:bookmarkEnd w:id="1003"/>
      <w:bookmarkEnd w:id="1004"/>
      <w:bookmarkEnd w:id="1005"/>
      <w:bookmarkEnd w:id="1006"/>
      <w:bookmarkEnd w:id="1007"/>
      <w:bookmarkEnd w:id="1008"/>
      <w:bookmarkEnd w:id="1009"/>
      <w:bookmarkEnd w:id="1010"/>
    </w:p>
    <w:p w14:paraId="7D5D80F8">
      <w:pPr>
        <w:keepNext/>
        <w:keepLines/>
        <w:spacing w:before="120" w:beforeLines="50" w:after="120" w:afterLines="50" w:line="360" w:lineRule="auto"/>
        <w:jc w:val="both"/>
        <w:outlineLvl w:val="2"/>
        <w:rPr>
          <w:rFonts w:ascii="宋体" w:hAnsi="宋体" w:eastAsia="宋体" w:cs="宋体"/>
          <w:sz w:val="24"/>
          <w:szCs w:val="20"/>
          <w:lang w:eastAsia="zh-CN"/>
        </w:rPr>
      </w:pPr>
      <w:bookmarkStart w:id="1011" w:name="_Toc490331666"/>
      <w:bookmarkStart w:id="1012" w:name="_Toc16264573"/>
      <w:bookmarkStart w:id="1013" w:name="_Toc497584035"/>
      <w:bookmarkStart w:id="1014" w:name="_Toc485323149"/>
      <w:bookmarkStart w:id="1015" w:name="_Toc489280181"/>
      <w:bookmarkStart w:id="1016" w:name="_Toc497214044"/>
      <w:bookmarkStart w:id="1017" w:name="_Toc47947488"/>
      <w:bookmarkStart w:id="1018" w:name="_Toc486580375"/>
      <w:r>
        <w:rPr>
          <w:rFonts w:hint="eastAsia" w:ascii="宋体" w:hAnsi="宋体" w:eastAsia="宋体" w:cs="宋体"/>
          <w:sz w:val="24"/>
          <w:szCs w:val="20"/>
          <w:lang w:eastAsia="zh-CN"/>
        </w:rPr>
        <w:t>1.1  词语定义</w:t>
      </w:r>
      <w:bookmarkEnd w:id="1011"/>
      <w:bookmarkEnd w:id="1012"/>
      <w:bookmarkEnd w:id="1013"/>
      <w:bookmarkEnd w:id="1014"/>
      <w:bookmarkEnd w:id="1015"/>
      <w:bookmarkEnd w:id="1016"/>
      <w:bookmarkEnd w:id="1017"/>
      <w:bookmarkEnd w:id="1018"/>
    </w:p>
    <w:p w14:paraId="0729B34B">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1.1.2  合同当事人和人员</w:t>
      </w:r>
    </w:p>
    <w:p w14:paraId="65CFE7D6">
      <w:pPr>
        <w:spacing w:after="0" w:line="360" w:lineRule="auto"/>
        <w:ind w:firstLine="630" w:firstLineChars="300"/>
        <w:rPr>
          <w:rFonts w:ascii="宋体" w:hAnsi="宋体" w:eastAsia="宋体" w:cs="宋体"/>
          <w:kern w:val="2"/>
          <w:sz w:val="21"/>
          <w:szCs w:val="21"/>
          <w:lang w:eastAsia="zh-CN"/>
        </w:rPr>
      </w:pPr>
      <w:r>
        <w:rPr>
          <w:rFonts w:hint="eastAsia" w:ascii="宋体" w:hAnsi="宋体" w:eastAsia="宋体" w:cs="宋体"/>
          <w:kern w:val="2"/>
          <w:sz w:val="21"/>
          <w:szCs w:val="21"/>
          <w:lang w:eastAsia="zh-CN"/>
        </w:rPr>
        <w:t>1.1.2.2  发包人：</w:t>
      </w:r>
      <w:r>
        <w:rPr>
          <w:rFonts w:hint="eastAsia" w:ascii="宋体" w:hAnsi="宋体" w:eastAsia="宋体" w:cs="宋体"/>
          <w:kern w:val="2"/>
          <w:sz w:val="21"/>
          <w:szCs w:val="21"/>
          <w:u w:val="single"/>
          <w:lang w:eastAsia="zh-CN"/>
        </w:rPr>
        <w:t xml:space="preserve">    北京市密云区太师屯镇人民政府               </w:t>
      </w:r>
    </w:p>
    <w:p w14:paraId="73FDE14B">
      <w:pPr>
        <w:spacing w:after="0" w:line="360" w:lineRule="auto"/>
        <w:ind w:firstLine="630" w:firstLineChars="300"/>
        <w:rPr>
          <w:rFonts w:ascii="宋体" w:hAnsi="宋体" w:eastAsia="宋体" w:cs="宋体"/>
          <w:kern w:val="2"/>
          <w:sz w:val="21"/>
          <w:szCs w:val="21"/>
          <w:lang w:eastAsia="zh-CN"/>
        </w:rPr>
      </w:pPr>
      <w:r>
        <w:rPr>
          <w:rFonts w:hint="eastAsia" w:ascii="宋体" w:hAnsi="宋体" w:eastAsia="宋体" w:cs="宋体"/>
          <w:kern w:val="2"/>
          <w:sz w:val="21"/>
          <w:szCs w:val="21"/>
          <w:lang w:eastAsia="zh-CN"/>
        </w:rPr>
        <w:t>1.1.2.3  承包人：</w:t>
      </w:r>
      <w:r>
        <w:rPr>
          <w:rFonts w:hint="eastAsia" w:ascii="宋体" w:hAnsi="宋体" w:eastAsia="宋体" w:cs="宋体"/>
          <w:kern w:val="2"/>
          <w:sz w:val="21"/>
          <w:szCs w:val="21"/>
          <w:u w:val="single"/>
          <w:lang w:eastAsia="zh-CN"/>
        </w:rPr>
        <w:t xml:space="preserve">          （待定）                                     </w:t>
      </w:r>
    </w:p>
    <w:p w14:paraId="6DB8F14E">
      <w:pPr>
        <w:spacing w:after="0" w:line="360" w:lineRule="auto"/>
        <w:ind w:firstLine="630" w:firstLineChars="300"/>
        <w:rPr>
          <w:rFonts w:ascii="宋体" w:hAnsi="宋体" w:eastAsia="宋体" w:cs="宋体"/>
          <w:kern w:val="2"/>
          <w:sz w:val="21"/>
          <w:szCs w:val="21"/>
          <w:lang w:eastAsia="zh-CN"/>
        </w:rPr>
      </w:pPr>
      <w:r>
        <w:rPr>
          <w:rFonts w:hint="eastAsia" w:ascii="宋体" w:hAnsi="宋体" w:eastAsia="宋体" w:cs="宋体"/>
          <w:kern w:val="2"/>
          <w:sz w:val="21"/>
          <w:szCs w:val="21"/>
          <w:lang w:eastAsia="zh-CN"/>
        </w:rPr>
        <w:t>1.1.2.6  监理人：</w:t>
      </w:r>
      <w:r>
        <w:rPr>
          <w:rFonts w:hint="eastAsia" w:ascii="宋体" w:hAnsi="宋体" w:eastAsia="宋体" w:cs="宋体"/>
          <w:kern w:val="2"/>
          <w:sz w:val="21"/>
          <w:szCs w:val="21"/>
          <w:u w:val="single"/>
          <w:lang w:eastAsia="zh-CN"/>
        </w:rPr>
        <w:t xml:space="preserve">          （待定）                                        </w:t>
      </w:r>
    </w:p>
    <w:p w14:paraId="6B0E2F4D">
      <w:pPr>
        <w:spacing w:after="0" w:line="360" w:lineRule="auto"/>
        <w:ind w:firstLine="630" w:firstLineChars="300"/>
        <w:rPr>
          <w:rFonts w:ascii="宋体" w:hAnsi="宋体" w:eastAsia="宋体" w:cs="宋体"/>
          <w:kern w:val="2"/>
          <w:sz w:val="21"/>
          <w:szCs w:val="21"/>
          <w:lang w:eastAsia="zh-CN"/>
        </w:rPr>
      </w:pPr>
      <w:r>
        <w:rPr>
          <w:rFonts w:hint="eastAsia" w:ascii="宋体" w:hAnsi="宋体" w:eastAsia="宋体" w:cs="宋体"/>
          <w:kern w:val="2"/>
          <w:sz w:val="21"/>
          <w:szCs w:val="21"/>
          <w:lang w:eastAsia="zh-CN"/>
        </w:rPr>
        <w:t>1.1.2.8  发包人代表：</w:t>
      </w:r>
    </w:p>
    <w:p w14:paraId="1A398174">
      <w:pPr>
        <w:spacing w:after="0" w:line="360" w:lineRule="auto"/>
        <w:ind w:firstLine="1575" w:firstLineChars="750"/>
        <w:rPr>
          <w:rFonts w:ascii="宋体" w:hAnsi="宋体" w:eastAsia="宋体" w:cs="宋体"/>
          <w:kern w:val="2"/>
          <w:sz w:val="21"/>
          <w:szCs w:val="21"/>
          <w:lang w:eastAsia="zh-CN"/>
        </w:rPr>
      </w:pPr>
      <w:r>
        <w:rPr>
          <w:rFonts w:hint="eastAsia" w:ascii="宋体" w:hAnsi="宋体" w:eastAsia="宋体" w:cs="宋体"/>
          <w:kern w:val="2"/>
          <w:sz w:val="21"/>
          <w:szCs w:val="21"/>
          <w:lang w:eastAsia="zh-CN"/>
        </w:rPr>
        <w:t>姓    名：</w:t>
      </w:r>
      <w:r>
        <w:rPr>
          <w:rFonts w:hint="eastAsia" w:ascii="宋体" w:hAnsi="宋体" w:eastAsia="宋体" w:cs="宋体"/>
          <w:kern w:val="2"/>
          <w:sz w:val="21"/>
          <w:szCs w:val="21"/>
          <w:u w:val="single"/>
          <w:lang w:eastAsia="zh-CN"/>
        </w:rPr>
        <w:t xml:space="preserve">         （签订合同时确定）                                </w:t>
      </w:r>
    </w:p>
    <w:p w14:paraId="2B2808F2">
      <w:pPr>
        <w:spacing w:after="0" w:line="360" w:lineRule="auto"/>
        <w:ind w:firstLine="1575" w:firstLineChars="750"/>
        <w:rPr>
          <w:rFonts w:ascii="宋体" w:hAnsi="宋体" w:eastAsia="宋体" w:cs="宋体"/>
          <w:kern w:val="2"/>
          <w:sz w:val="21"/>
          <w:szCs w:val="21"/>
          <w:lang w:eastAsia="zh-CN"/>
        </w:rPr>
      </w:pPr>
      <w:r>
        <w:rPr>
          <w:rFonts w:hint="eastAsia" w:ascii="宋体" w:hAnsi="宋体" w:eastAsia="宋体" w:cs="宋体"/>
          <w:kern w:val="2"/>
          <w:sz w:val="21"/>
          <w:szCs w:val="21"/>
          <w:lang w:eastAsia="zh-CN"/>
        </w:rPr>
        <w:t>职    称：</w:t>
      </w:r>
      <w:r>
        <w:rPr>
          <w:rFonts w:hint="eastAsia" w:ascii="宋体" w:hAnsi="宋体" w:eastAsia="宋体" w:cs="宋体"/>
          <w:kern w:val="2"/>
          <w:sz w:val="21"/>
          <w:szCs w:val="21"/>
          <w:u w:val="single"/>
          <w:lang w:eastAsia="zh-CN"/>
        </w:rPr>
        <w:t xml:space="preserve">                                                      </w:t>
      </w:r>
    </w:p>
    <w:p w14:paraId="39EC0288">
      <w:pPr>
        <w:spacing w:after="0" w:line="360" w:lineRule="auto"/>
        <w:ind w:firstLine="1575" w:firstLineChars="750"/>
        <w:rPr>
          <w:rFonts w:ascii="宋体" w:hAnsi="宋体" w:eastAsia="宋体" w:cs="宋体"/>
          <w:kern w:val="2"/>
          <w:sz w:val="21"/>
          <w:szCs w:val="21"/>
          <w:lang w:eastAsia="zh-CN"/>
        </w:rPr>
      </w:pPr>
      <w:r>
        <w:rPr>
          <w:rFonts w:hint="eastAsia" w:ascii="宋体" w:hAnsi="宋体" w:eastAsia="宋体" w:cs="宋体"/>
          <w:kern w:val="2"/>
          <w:sz w:val="21"/>
          <w:szCs w:val="21"/>
          <w:lang w:eastAsia="zh-CN"/>
        </w:rPr>
        <w:t>联系电话：</w:t>
      </w:r>
      <w:r>
        <w:rPr>
          <w:rFonts w:hint="eastAsia" w:ascii="宋体" w:hAnsi="宋体" w:eastAsia="宋体" w:cs="宋体"/>
          <w:kern w:val="2"/>
          <w:sz w:val="21"/>
          <w:szCs w:val="21"/>
          <w:u w:val="single"/>
          <w:lang w:eastAsia="zh-CN"/>
        </w:rPr>
        <w:t xml:space="preserve">                                                      </w:t>
      </w:r>
    </w:p>
    <w:p w14:paraId="2E29F459">
      <w:pPr>
        <w:spacing w:after="0" w:line="360" w:lineRule="auto"/>
        <w:ind w:firstLine="1575" w:firstLineChars="750"/>
        <w:rPr>
          <w:rFonts w:ascii="宋体" w:hAnsi="宋体" w:eastAsia="宋体" w:cs="宋体"/>
          <w:kern w:val="2"/>
          <w:sz w:val="21"/>
          <w:szCs w:val="21"/>
          <w:lang w:eastAsia="zh-CN"/>
        </w:rPr>
      </w:pPr>
      <w:r>
        <w:rPr>
          <w:rFonts w:hint="eastAsia" w:ascii="宋体" w:hAnsi="宋体" w:eastAsia="宋体" w:cs="宋体"/>
          <w:kern w:val="2"/>
          <w:sz w:val="21"/>
          <w:szCs w:val="21"/>
          <w:lang w:eastAsia="zh-CN"/>
        </w:rPr>
        <w:t>电子信箱：</w:t>
      </w:r>
      <w:r>
        <w:rPr>
          <w:rFonts w:hint="eastAsia" w:ascii="宋体" w:hAnsi="宋体" w:eastAsia="宋体" w:cs="宋体"/>
          <w:kern w:val="2"/>
          <w:sz w:val="21"/>
          <w:szCs w:val="21"/>
          <w:u w:val="single"/>
          <w:lang w:eastAsia="zh-CN"/>
        </w:rPr>
        <w:t xml:space="preserve">                                                      </w:t>
      </w:r>
    </w:p>
    <w:p w14:paraId="1A8FC51D">
      <w:pPr>
        <w:spacing w:after="0" w:line="360" w:lineRule="auto"/>
        <w:ind w:firstLine="1575" w:firstLineChars="750"/>
        <w:rPr>
          <w:rFonts w:ascii="宋体" w:hAnsi="宋体" w:eastAsia="宋体" w:cs="宋体"/>
          <w:kern w:val="2"/>
          <w:sz w:val="21"/>
          <w:szCs w:val="21"/>
          <w:lang w:eastAsia="zh-CN"/>
        </w:rPr>
      </w:pPr>
      <w:r>
        <w:rPr>
          <w:rFonts w:hint="eastAsia" w:ascii="宋体" w:hAnsi="宋体" w:eastAsia="宋体" w:cs="宋体"/>
          <w:kern w:val="2"/>
          <w:sz w:val="21"/>
          <w:szCs w:val="21"/>
          <w:lang w:eastAsia="zh-CN"/>
        </w:rPr>
        <w:t>通信地址：</w:t>
      </w:r>
      <w:r>
        <w:rPr>
          <w:rFonts w:hint="eastAsia" w:ascii="宋体" w:hAnsi="宋体" w:eastAsia="宋体" w:cs="宋体"/>
          <w:kern w:val="2"/>
          <w:sz w:val="21"/>
          <w:szCs w:val="21"/>
          <w:u w:val="single"/>
          <w:lang w:eastAsia="zh-CN"/>
        </w:rPr>
        <w:t xml:space="preserve">                                                      </w:t>
      </w:r>
    </w:p>
    <w:p w14:paraId="1889A7A7">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1.1.3  工程和设备</w:t>
      </w:r>
    </w:p>
    <w:p w14:paraId="73F17B65">
      <w:pPr>
        <w:spacing w:after="0" w:line="360" w:lineRule="auto"/>
        <w:ind w:firstLine="630" w:firstLineChars="300"/>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1.1.3.2  永久工程：</w:t>
      </w:r>
      <w:r>
        <w:rPr>
          <w:rFonts w:hint="eastAsia" w:ascii="宋体" w:hAnsi="宋体" w:eastAsia="宋体" w:cs="宋体"/>
          <w:kern w:val="2"/>
          <w:sz w:val="21"/>
          <w:szCs w:val="21"/>
          <w:u w:val="single"/>
          <w:lang w:eastAsia="zh-CN"/>
        </w:rPr>
        <w:t xml:space="preserve">                                                      </w:t>
      </w:r>
    </w:p>
    <w:p w14:paraId="1217C7B5">
      <w:pPr>
        <w:spacing w:after="0" w:line="360" w:lineRule="auto"/>
        <w:ind w:firstLine="630" w:firstLineChars="300"/>
        <w:rPr>
          <w:rFonts w:ascii="宋体" w:hAnsi="宋体" w:eastAsia="宋体" w:cs="宋体"/>
          <w:kern w:val="2"/>
          <w:sz w:val="21"/>
          <w:szCs w:val="21"/>
          <w:lang w:eastAsia="zh-CN"/>
        </w:rPr>
      </w:pPr>
      <w:r>
        <w:rPr>
          <w:rFonts w:hint="eastAsia" w:ascii="宋体" w:hAnsi="宋体" w:eastAsia="宋体" w:cs="宋体"/>
          <w:kern w:val="2"/>
          <w:sz w:val="21"/>
          <w:szCs w:val="21"/>
          <w:lang w:eastAsia="zh-CN"/>
        </w:rPr>
        <w:t>1.1.3.3  临时工程：</w:t>
      </w:r>
      <w:r>
        <w:rPr>
          <w:rFonts w:hint="eastAsia" w:ascii="宋体" w:hAnsi="宋体" w:eastAsia="宋体" w:cs="宋体"/>
          <w:kern w:val="2"/>
          <w:sz w:val="21"/>
          <w:szCs w:val="21"/>
          <w:u w:val="single"/>
          <w:lang w:eastAsia="zh-CN"/>
        </w:rPr>
        <w:t xml:space="preserve">  临时性道路、办公区、加工区、生活区、施工供水、供电等               </w:t>
      </w:r>
    </w:p>
    <w:p w14:paraId="35552187">
      <w:pPr>
        <w:spacing w:after="0" w:line="360" w:lineRule="auto"/>
        <w:ind w:firstLine="630" w:firstLineChars="300"/>
        <w:rPr>
          <w:rFonts w:ascii="宋体" w:hAnsi="宋体" w:eastAsia="宋体" w:cs="宋体"/>
          <w:kern w:val="2"/>
          <w:sz w:val="21"/>
          <w:szCs w:val="21"/>
          <w:lang w:eastAsia="zh-CN"/>
        </w:rPr>
      </w:pPr>
      <w:r>
        <w:rPr>
          <w:rFonts w:hint="eastAsia" w:ascii="宋体" w:hAnsi="宋体" w:eastAsia="宋体" w:cs="宋体"/>
          <w:kern w:val="2"/>
          <w:sz w:val="21"/>
          <w:szCs w:val="21"/>
          <w:lang w:eastAsia="zh-CN"/>
        </w:rPr>
        <w:t>1.1.3.10  永久占地：</w:t>
      </w:r>
      <w:r>
        <w:rPr>
          <w:rFonts w:hint="eastAsia" w:ascii="宋体" w:hAnsi="宋体" w:eastAsia="宋体" w:cs="宋体"/>
          <w:kern w:val="2"/>
          <w:sz w:val="21"/>
          <w:szCs w:val="21"/>
          <w:u w:val="single"/>
          <w:lang w:eastAsia="zh-CN"/>
        </w:rPr>
        <w:t xml:space="preserve">                                                     </w:t>
      </w:r>
    </w:p>
    <w:p w14:paraId="1DF4096B">
      <w:pPr>
        <w:spacing w:after="0" w:line="360" w:lineRule="auto"/>
        <w:ind w:firstLine="630" w:firstLineChars="300"/>
        <w:rPr>
          <w:rFonts w:ascii="宋体" w:hAnsi="宋体" w:eastAsia="宋体" w:cs="宋体"/>
          <w:kern w:val="2"/>
          <w:sz w:val="21"/>
          <w:szCs w:val="21"/>
          <w:lang w:eastAsia="zh-CN"/>
        </w:rPr>
      </w:pPr>
      <w:r>
        <w:rPr>
          <w:rFonts w:hint="eastAsia" w:ascii="宋体" w:hAnsi="宋体" w:eastAsia="宋体" w:cs="宋体"/>
          <w:kern w:val="2"/>
          <w:sz w:val="21"/>
          <w:szCs w:val="21"/>
          <w:lang w:eastAsia="zh-CN"/>
        </w:rPr>
        <w:t>1.1.3.11  临时占地：</w:t>
      </w:r>
      <w:r>
        <w:rPr>
          <w:rFonts w:hint="eastAsia" w:ascii="宋体" w:hAnsi="宋体" w:eastAsia="宋体" w:cs="宋体"/>
          <w:kern w:val="2"/>
          <w:sz w:val="21"/>
          <w:szCs w:val="21"/>
          <w:u w:val="single"/>
          <w:lang w:eastAsia="zh-CN"/>
        </w:rPr>
        <w:t xml:space="preserve">                                                     </w:t>
      </w:r>
    </w:p>
    <w:p w14:paraId="361A0B63">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1.1.4  日期</w:t>
      </w:r>
    </w:p>
    <w:p w14:paraId="2033B3AD">
      <w:pPr>
        <w:spacing w:after="0" w:line="360" w:lineRule="auto"/>
        <w:ind w:firstLine="630" w:firstLineChars="300"/>
        <w:rPr>
          <w:rFonts w:ascii="宋体" w:hAnsi="宋体" w:eastAsia="宋体" w:cs="宋体"/>
          <w:kern w:val="2"/>
          <w:sz w:val="21"/>
          <w:szCs w:val="21"/>
          <w:lang w:eastAsia="zh-CN"/>
        </w:rPr>
      </w:pPr>
      <w:r>
        <w:rPr>
          <w:rFonts w:hint="eastAsia" w:ascii="宋体" w:hAnsi="宋体" w:eastAsia="宋体" w:cs="宋体"/>
          <w:kern w:val="2"/>
          <w:sz w:val="21"/>
          <w:szCs w:val="21"/>
          <w:lang w:eastAsia="zh-CN"/>
        </w:rPr>
        <w:t>1.1.4.5  缺陷责任期期限：</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eastAsia="zh-CN"/>
        </w:rPr>
        <w:t>12</w:t>
      </w:r>
      <w:r>
        <w:rPr>
          <w:rFonts w:hint="eastAsia" w:ascii="宋体" w:hAnsi="宋体" w:eastAsia="宋体" w:cs="宋体"/>
          <w:kern w:val="2"/>
          <w:sz w:val="21"/>
          <w:szCs w:val="21"/>
          <w:u w:val="single"/>
          <w:lang w:eastAsia="zh-CN"/>
        </w:rPr>
        <w:t xml:space="preserve">个   </w:t>
      </w:r>
      <w:r>
        <w:rPr>
          <w:rFonts w:hint="eastAsia" w:ascii="宋体" w:hAnsi="宋体" w:eastAsia="宋体" w:cs="宋体"/>
          <w:kern w:val="2"/>
          <w:sz w:val="21"/>
          <w:szCs w:val="21"/>
          <w:lang w:eastAsia="zh-CN"/>
        </w:rPr>
        <w:t>月。</w:t>
      </w:r>
    </w:p>
    <w:p w14:paraId="7A80BE19">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1.1.8  其他需要补充的内容</w:t>
      </w:r>
    </w:p>
    <w:p w14:paraId="3809C583">
      <w:pPr>
        <w:spacing w:after="0" w:line="360" w:lineRule="auto"/>
        <w:ind w:left="315" w:leftChars="150" w:firstLine="109" w:firstLineChars="52"/>
        <w:jc w:val="both"/>
        <w:rPr>
          <w:rFonts w:ascii="宋体" w:hAnsi="宋体" w:eastAsia="宋体" w:cs="宋体"/>
          <w:kern w:val="2"/>
          <w:sz w:val="21"/>
          <w:szCs w:val="21"/>
          <w:lang w:eastAsia="zh-CN"/>
        </w:rPr>
      </w:pPr>
      <w:r>
        <w:rPr>
          <w:rFonts w:hint="eastAsia" w:ascii="宋体" w:hAnsi="宋体" w:eastAsia="宋体" w:cs="宋体"/>
          <w:kern w:val="2"/>
          <w:sz w:val="21"/>
          <w:szCs w:val="21"/>
          <w:u w:val="single"/>
          <w:lang w:eastAsia="zh-CN"/>
        </w:rPr>
        <w:t xml:space="preserve">                     /                                                </w:t>
      </w:r>
    </w:p>
    <w:p w14:paraId="69EAF2F3">
      <w:pPr>
        <w:keepNext/>
        <w:keepLines/>
        <w:spacing w:before="120" w:beforeLines="50" w:after="120" w:afterLines="50" w:line="360" w:lineRule="auto"/>
        <w:jc w:val="both"/>
        <w:outlineLvl w:val="2"/>
        <w:rPr>
          <w:rFonts w:ascii="宋体" w:hAnsi="宋体" w:eastAsia="宋体" w:cs="宋体"/>
          <w:sz w:val="24"/>
          <w:szCs w:val="20"/>
          <w:lang w:eastAsia="zh-CN"/>
        </w:rPr>
      </w:pPr>
      <w:bookmarkStart w:id="1019" w:name="_Toc490331667"/>
      <w:bookmarkStart w:id="1020" w:name="_Toc485323150"/>
      <w:bookmarkStart w:id="1021" w:name="_Toc47947489"/>
      <w:bookmarkStart w:id="1022" w:name="_Toc497214045"/>
      <w:bookmarkStart w:id="1023" w:name="_Toc16264574"/>
      <w:bookmarkStart w:id="1024" w:name="_Toc486580376"/>
      <w:bookmarkStart w:id="1025" w:name="_Toc497584036"/>
      <w:bookmarkStart w:id="1026" w:name="_Toc489280182"/>
      <w:r>
        <w:rPr>
          <w:rFonts w:hint="eastAsia" w:ascii="宋体" w:hAnsi="宋体" w:eastAsia="宋体" w:cs="宋体"/>
          <w:sz w:val="24"/>
          <w:szCs w:val="20"/>
          <w:lang w:eastAsia="zh-CN"/>
        </w:rPr>
        <w:t>1.4  合同文件的优先顺序</w:t>
      </w:r>
      <w:bookmarkEnd w:id="1019"/>
      <w:bookmarkEnd w:id="1020"/>
      <w:bookmarkEnd w:id="1021"/>
      <w:bookmarkEnd w:id="1022"/>
      <w:bookmarkEnd w:id="1023"/>
      <w:bookmarkEnd w:id="1024"/>
      <w:bookmarkEnd w:id="1025"/>
      <w:bookmarkEnd w:id="1026"/>
    </w:p>
    <w:p w14:paraId="7577559A">
      <w:pPr>
        <w:spacing w:after="0" w:line="360" w:lineRule="auto"/>
        <w:ind w:firstLine="482"/>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合同文件的优先解释顺序如下：</w:t>
      </w:r>
    </w:p>
    <w:p w14:paraId="7E1BE269">
      <w:pPr>
        <w:spacing w:after="0" w:line="360" w:lineRule="auto"/>
        <w:ind w:firstLine="482"/>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（1）合同协议书；</w:t>
      </w:r>
    </w:p>
    <w:p w14:paraId="0EC9E4E3">
      <w:pPr>
        <w:spacing w:after="0" w:line="360" w:lineRule="auto"/>
        <w:ind w:firstLine="482"/>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（2）中标通知书；</w:t>
      </w:r>
    </w:p>
    <w:p w14:paraId="725E8CFD">
      <w:pPr>
        <w:spacing w:after="0" w:line="360" w:lineRule="auto"/>
        <w:ind w:firstLine="482"/>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（3）投标函及投标函附录；</w:t>
      </w:r>
    </w:p>
    <w:p w14:paraId="3053AC6A">
      <w:pPr>
        <w:spacing w:after="0" w:line="360" w:lineRule="auto"/>
        <w:ind w:firstLine="482"/>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（4）合同条款专用部分；</w:t>
      </w:r>
    </w:p>
    <w:p w14:paraId="150A2492">
      <w:pPr>
        <w:spacing w:after="0" w:line="360" w:lineRule="auto"/>
        <w:ind w:firstLine="482"/>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（5）合同条款通用部分；</w:t>
      </w:r>
    </w:p>
    <w:p w14:paraId="4129A225">
      <w:pPr>
        <w:spacing w:after="0" w:line="360" w:lineRule="auto"/>
        <w:ind w:firstLine="482"/>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w:t>
      </w:r>
      <w:r>
        <w:rPr>
          <w:rFonts w:hint="eastAsia" w:ascii="宋体" w:hAnsi="宋体" w:eastAsia="宋体" w:cs="宋体"/>
          <w:kern w:val="2"/>
          <w:sz w:val="21"/>
          <w:szCs w:val="24"/>
          <w:u w:val="single"/>
          <w:lang w:eastAsia="zh-CN"/>
        </w:rPr>
        <w:t xml:space="preserve">已标价工程量清单 ； </w:t>
      </w:r>
    </w:p>
    <w:p w14:paraId="753E4C9D">
      <w:pPr>
        <w:spacing w:after="0" w:line="360" w:lineRule="auto"/>
        <w:ind w:firstLine="482"/>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w:t>
      </w:r>
      <w:r>
        <w:rPr>
          <w:rFonts w:hint="eastAsia" w:ascii="宋体" w:hAnsi="宋体" w:eastAsia="宋体" w:cs="宋体"/>
          <w:kern w:val="2"/>
          <w:sz w:val="21"/>
          <w:szCs w:val="24"/>
          <w:u w:val="single"/>
          <w:lang w:eastAsia="zh-CN"/>
        </w:rPr>
        <w:t xml:space="preserve">  技术标准和要求 ；             </w:t>
      </w:r>
      <w:r>
        <w:rPr>
          <w:rFonts w:hint="eastAsia" w:ascii="宋体" w:hAnsi="宋体" w:eastAsia="宋体" w:cs="宋体"/>
          <w:kern w:val="2"/>
          <w:sz w:val="21"/>
          <w:szCs w:val="24"/>
          <w:lang w:eastAsia="zh-CN"/>
        </w:rPr>
        <w:t xml:space="preserve"> </w:t>
      </w:r>
    </w:p>
    <w:p w14:paraId="720E27CE">
      <w:pPr>
        <w:spacing w:after="0" w:line="360" w:lineRule="auto"/>
        <w:ind w:firstLine="482"/>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（8）</w:t>
      </w:r>
      <w:r>
        <w:rPr>
          <w:rFonts w:hint="eastAsia" w:ascii="宋体" w:hAnsi="宋体" w:eastAsia="宋体" w:cs="宋体"/>
          <w:kern w:val="2"/>
          <w:sz w:val="21"/>
          <w:szCs w:val="24"/>
          <w:u w:val="single"/>
          <w:lang w:eastAsia="zh-CN"/>
        </w:rPr>
        <w:t xml:space="preserve">  图纸；                         </w:t>
      </w:r>
      <w:r>
        <w:rPr>
          <w:rFonts w:hint="eastAsia" w:ascii="宋体" w:hAnsi="宋体" w:eastAsia="宋体" w:cs="宋体"/>
          <w:kern w:val="2"/>
          <w:sz w:val="21"/>
          <w:szCs w:val="24"/>
          <w:lang w:eastAsia="zh-CN"/>
        </w:rPr>
        <w:t xml:space="preserve"> </w:t>
      </w:r>
    </w:p>
    <w:p w14:paraId="241A04F2">
      <w:pPr>
        <w:spacing w:after="0" w:line="360" w:lineRule="auto"/>
        <w:ind w:firstLine="48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（9）</w:t>
      </w:r>
      <w:r>
        <w:rPr>
          <w:rFonts w:hint="eastAsia" w:ascii="宋体" w:hAnsi="宋体" w:eastAsia="宋体" w:cs="宋体"/>
          <w:kern w:val="2"/>
          <w:sz w:val="21"/>
          <w:szCs w:val="24"/>
          <w:u w:val="single"/>
          <w:lang w:eastAsia="zh-CN"/>
        </w:rPr>
        <w:t xml:space="preserve"> 施工组织设计。                  </w:t>
      </w:r>
      <w:r>
        <w:rPr>
          <w:rFonts w:hint="eastAsia" w:ascii="宋体" w:hAnsi="宋体" w:eastAsia="宋体" w:cs="宋体"/>
          <w:kern w:val="2"/>
          <w:sz w:val="21"/>
          <w:szCs w:val="24"/>
          <w:lang w:eastAsia="zh-CN"/>
        </w:rPr>
        <w:t xml:space="preserve"> </w:t>
      </w:r>
    </w:p>
    <w:p w14:paraId="153C7C2D">
      <w:pPr>
        <w:spacing w:after="0" w:line="360" w:lineRule="auto"/>
        <w:ind w:firstLine="48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（说明：（6）、（7）、（8）填空内容分别限于技术标准和要求、图纸、已标价工程量清单三者之一。）</w:t>
      </w:r>
    </w:p>
    <w:p w14:paraId="4C749008">
      <w:pPr>
        <w:keepNext/>
        <w:keepLines/>
        <w:spacing w:before="120" w:beforeLines="50" w:after="120" w:afterLines="50" w:line="360" w:lineRule="auto"/>
        <w:jc w:val="both"/>
        <w:outlineLvl w:val="2"/>
        <w:rPr>
          <w:rFonts w:ascii="宋体" w:hAnsi="宋体" w:eastAsia="宋体" w:cs="宋体"/>
          <w:sz w:val="24"/>
          <w:szCs w:val="20"/>
          <w:lang w:eastAsia="zh-CN"/>
        </w:rPr>
      </w:pPr>
      <w:bookmarkStart w:id="1027" w:name="_Toc497214046"/>
      <w:bookmarkStart w:id="1028" w:name="_Toc497584037"/>
      <w:bookmarkStart w:id="1029" w:name="_Toc490331668"/>
      <w:bookmarkStart w:id="1030" w:name="_Toc489280183"/>
      <w:bookmarkStart w:id="1031" w:name="_Toc485323151"/>
      <w:bookmarkStart w:id="1032" w:name="_Toc16264575"/>
      <w:bookmarkStart w:id="1033" w:name="_Toc486580377"/>
      <w:bookmarkStart w:id="1034" w:name="_Toc47947490"/>
      <w:r>
        <w:rPr>
          <w:rFonts w:hint="eastAsia" w:ascii="宋体" w:hAnsi="宋体" w:eastAsia="宋体" w:cs="宋体"/>
          <w:sz w:val="24"/>
          <w:szCs w:val="20"/>
          <w:lang w:eastAsia="zh-CN"/>
        </w:rPr>
        <w:t>1.5  合同协议书</w:t>
      </w:r>
      <w:bookmarkEnd w:id="1027"/>
      <w:bookmarkEnd w:id="1028"/>
      <w:bookmarkEnd w:id="1029"/>
      <w:bookmarkEnd w:id="1030"/>
      <w:bookmarkEnd w:id="1031"/>
      <w:bookmarkEnd w:id="1032"/>
      <w:bookmarkEnd w:id="1033"/>
      <w:bookmarkEnd w:id="1034"/>
    </w:p>
    <w:p w14:paraId="2EC659E6">
      <w:pPr>
        <w:spacing w:after="0" w:line="360" w:lineRule="auto"/>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合同生效的条件：</w:t>
      </w:r>
      <w:r>
        <w:rPr>
          <w:rFonts w:hint="eastAsia" w:ascii="宋体" w:hAnsi="宋体" w:eastAsia="宋体" w:cs="宋体"/>
          <w:kern w:val="2"/>
          <w:sz w:val="21"/>
          <w:szCs w:val="21"/>
          <w:u w:val="single"/>
          <w:lang w:eastAsia="zh-CN"/>
        </w:rPr>
        <w:t xml:space="preserve"> 经双方加盖公章或合同专用章并经法定代表人签字后立即生效 。               </w:t>
      </w:r>
    </w:p>
    <w:p w14:paraId="0A73A1FA">
      <w:pPr>
        <w:keepNext/>
        <w:keepLines/>
        <w:spacing w:before="120" w:beforeLines="50" w:after="120" w:afterLines="50" w:line="360" w:lineRule="auto"/>
        <w:jc w:val="both"/>
        <w:outlineLvl w:val="2"/>
        <w:rPr>
          <w:rFonts w:ascii="宋体" w:hAnsi="宋体" w:eastAsia="宋体" w:cs="宋体"/>
          <w:sz w:val="24"/>
          <w:szCs w:val="20"/>
          <w:lang w:eastAsia="zh-CN"/>
        </w:rPr>
      </w:pPr>
      <w:bookmarkStart w:id="1035" w:name="_Toc490331669"/>
      <w:bookmarkStart w:id="1036" w:name="_Toc486580378"/>
      <w:bookmarkStart w:id="1037" w:name="_Toc16264576"/>
      <w:bookmarkStart w:id="1038" w:name="_Toc497584038"/>
      <w:bookmarkStart w:id="1039" w:name="_Toc47947491"/>
      <w:bookmarkStart w:id="1040" w:name="_Toc489280184"/>
      <w:bookmarkStart w:id="1041" w:name="_Toc485323152"/>
      <w:bookmarkStart w:id="1042" w:name="_Toc497214047"/>
      <w:r>
        <w:rPr>
          <w:rFonts w:hint="eastAsia" w:ascii="宋体" w:hAnsi="宋体" w:eastAsia="宋体" w:cs="宋体"/>
          <w:sz w:val="24"/>
          <w:szCs w:val="20"/>
          <w:lang w:eastAsia="zh-CN"/>
        </w:rPr>
        <w:t>1.6  图纸和承包人文件</w:t>
      </w:r>
      <w:bookmarkEnd w:id="1035"/>
      <w:bookmarkEnd w:id="1036"/>
      <w:bookmarkEnd w:id="1037"/>
      <w:bookmarkEnd w:id="1038"/>
      <w:bookmarkEnd w:id="1039"/>
      <w:bookmarkEnd w:id="1040"/>
      <w:bookmarkEnd w:id="1041"/>
      <w:bookmarkEnd w:id="1042"/>
    </w:p>
    <w:p w14:paraId="1119A9FF">
      <w:pPr>
        <w:spacing w:after="0" w:line="360" w:lineRule="auto"/>
        <w:ind w:firstLine="420" w:firstLineChars="200"/>
        <w:rPr>
          <w:rFonts w:ascii="宋体" w:hAnsi="宋体" w:eastAsia="宋体" w:cs="宋体"/>
          <w:kern w:val="2"/>
          <w:sz w:val="21"/>
          <w:szCs w:val="21"/>
          <w:lang w:eastAsia="zh-CN"/>
        </w:rPr>
      </w:pPr>
      <w:r>
        <w:rPr>
          <w:rFonts w:hint="eastAsia" w:ascii="宋体" w:hAnsi="宋体" w:eastAsia="宋体" w:cs="宋体"/>
          <w:kern w:val="2"/>
          <w:sz w:val="21"/>
          <w:szCs w:val="21"/>
          <w:lang w:eastAsia="zh-CN"/>
        </w:rPr>
        <w:t>1.6.1  图纸的提供</w:t>
      </w:r>
    </w:p>
    <w:p w14:paraId="209B5BA1">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（5）发包人提供图纸的期限：</w:t>
      </w:r>
      <w:r>
        <w:rPr>
          <w:rFonts w:hint="eastAsia" w:ascii="宋体" w:hAnsi="宋体" w:eastAsia="宋体" w:cs="宋体"/>
          <w:kern w:val="2"/>
          <w:sz w:val="21"/>
          <w:szCs w:val="21"/>
          <w:u w:val="single"/>
          <w:lang w:eastAsia="zh-CN"/>
        </w:rPr>
        <w:t xml:space="preserve">    签订合同后7个工作日内。      </w:t>
      </w:r>
    </w:p>
    <w:p w14:paraId="0316E79D">
      <w:pPr>
        <w:spacing w:after="0" w:line="360" w:lineRule="auto"/>
        <w:ind w:firstLine="945" w:firstLineChars="45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发包人提供图纸的数量：</w:t>
      </w:r>
      <w:r>
        <w:rPr>
          <w:rFonts w:hint="eastAsia" w:ascii="宋体" w:hAnsi="宋体" w:eastAsia="宋体" w:cs="宋体"/>
          <w:kern w:val="2"/>
          <w:sz w:val="21"/>
          <w:szCs w:val="21"/>
          <w:u w:val="single"/>
          <w:lang w:eastAsia="zh-CN"/>
        </w:rPr>
        <w:t xml:space="preserve">       无偿提供3套               </w:t>
      </w:r>
    </w:p>
    <w:p w14:paraId="20C02763">
      <w:pPr>
        <w:spacing w:after="0" w:line="360" w:lineRule="auto"/>
        <w:ind w:firstLine="945" w:firstLineChars="45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其他约定：</w:t>
      </w:r>
      <w:r>
        <w:rPr>
          <w:rFonts w:hint="eastAsia" w:ascii="宋体" w:hAnsi="宋体" w:eastAsia="宋体" w:cs="宋体"/>
          <w:kern w:val="2"/>
          <w:sz w:val="21"/>
          <w:szCs w:val="21"/>
          <w:u w:val="single"/>
          <w:lang w:eastAsia="zh-CN"/>
        </w:rPr>
        <w:t xml:space="preserve">        /                                     </w:t>
      </w:r>
    </w:p>
    <w:p w14:paraId="06B3C109">
      <w:pPr>
        <w:spacing w:after="0" w:line="360" w:lineRule="auto"/>
        <w:ind w:firstLine="420" w:firstLineChars="200"/>
        <w:rPr>
          <w:rFonts w:ascii="宋体" w:hAnsi="宋体" w:eastAsia="宋体" w:cs="宋体"/>
          <w:kern w:val="2"/>
          <w:sz w:val="21"/>
          <w:szCs w:val="21"/>
          <w:lang w:eastAsia="zh-CN"/>
        </w:rPr>
      </w:pPr>
      <w:r>
        <w:rPr>
          <w:rFonts w:hint="eastAsia" w:ascii="宋体" w:hAnsi="宋体" w:eastAsia="宋体" w:cs="宋体"/>
          <w:kern w:val="2"/>
          <w:sz w:val="21"/>
          <w:szCs w:val="21"/>
          <w:lang w:eastAsia="zh-CN"/>
        </w:rPr>
        <w:t>1.6.2  承包人提供的文件</w:t>
      </w:r>
    </w:p>
    <w:p w14:paraId="39012600">
      <w:pPr>
        <w:spacing w:after="0" w:line="360" w:lineRule="auto"/>
        <w:ind w:firstLine="315" w:firstLineChars="15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（1）由承包人提供的文件范围：</w:t>
      </w:r>
      <w:r>
        <w:rPr>
          <w:rFonts w:hint="eastAsia" w:ascii="宋体" w:hAnsi="宋体" w:eastAsia="宋体" w:cs="宋体"/>
          <w:kern w:val="2"/>
          <w:sz w:val="21"/>
          <w:szCs w:val="21"/>
          <w:u w:val="single"/>
          <w:lang w:eastAsia="zh-CN"/>
        </w:rPr>
        <w:t xml:space="preserve"> 按工程技术规范的相关要求需要制作加工图、大样图、安装图、协调配合图等图纸的，承包人应当制作且全部相关费用已包含在合同价款中。                                     </w:t>
      </w:r>
    </w:p>
    <w:p w14:paraId="7C1B9C86">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承包人提供文件的期限：</w:t>
      </w:r>
      <w:r>
        <w:rPr>
          <w:rFonts w:hint="eastAsia" w:ascii="宋体" w:hAnsi="宋体" w:eastAsia="宋体" w:cs="宋体"/>
          <w:kern w:val="2"/>
          <w:sz w:val="21"/>
          <w:szCs w:val="21"/>
          <w:u w:val="single"/>
          <w:lang w:eastAsia="zh-CN"/>
        </w:rPr>
        <w:t xml:space="preserve">开始施工前7天报监理人审批，在获得监理人批准后按图施工。  </w:t>
      </w:r>
    </w:p>
    <w:p w14:paraId="4A50A84E">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承包人提供文件的数量：</w:t>
      </w:r>
      <w:r>
        <w:rPr>
          <w:rFonts w:hint="eastAsia" w:ascii="宋体" w:hAnsi="宋体" w:eastAsia="宋体" w:cs="宋体"/>
          <w:kern w:val="2"/>
          <w:sz w:val="21"/>
          <w:szCs w:val="21"/>
          <w:u w:val="single"/>
          <w:lang w:eastAsia="zh-CN"/>
        </w:rPr>
        <w:t xml:space="preserve"> 承包人应在现场保留一套完整图纸，供发包人、监理人及有关人员进行工程检查时使用。 </w:t>
      </w:r>
    </w:p>
    <w:p w14:paraId="13559A45">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监理人批复承包人提供文件的期限：</w:t>
      </w:r>
      <w:r>
        <w:rPr>
          <w:rFonts w:hint="eastAsia" w:ascii="宋体" w:hAnsi="宋体" w:eastAsia="宋体" w:cs="宋体"/>
          <w:kern w:val="2"/>
          <w:sz w:val="21"/>
          <w:szCs w:val="21"/>
          <w:u w:val="single"/>
          <w:lang w:eastAsia="zh-CN"/>
        </w:rPr>
        <w:t xml:space="preserve">    收到承包人提供的文件后7天。                     </w:t>
      </w:r>
    </w:p>
    <w:p w14:paraId="560C0C0D">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其他约定：</w:t>
      </w:r>
      <w:r>
        <w:rPr>
          <w:rFonts w:hint="eastAsia" w:ascii="宋体" w:hAnsi="宋体" w:eastAsia="宋体" w:cs="宋体"/>
          <w:kern w:val="2"/>
          <w:sz w:val="21"/>
          <w:szCs w:val="21"/>
          <w:u w:val="single"/>
          <w:lang w:eastAsia="zh-CN"/>
        </w:rPr>
        <w:t xml:space="preserve">          /                        </w:t>
      </w:r>
    </w:p>
    <w:p w14:paraId="27373766">
      <w:pPr>
        <w:keepNext/>
        <w:keepLines/>
        <w:spacing w:before="120" w:beforeLines="50" w:after="120" w:afterLines="50" w:line="360" w:lineRule="auto"/>
        <w:jc w:val="both"/>
        <w:outlineLvl w:val="2"/>
        <w:rPr>
          <w:rFonts w:ascii="宋体" w:hAnsi="宋体" w:eastAsia="宋体" w:cs="宋体"/>
          <w:sz w:val="24"/>
          <w:szCs w:val="20"/>
          <w:lang w:eastAsia="zh-CN"/>
        </w:rPr>
      </w:pPr>
      <w:bookmarkStart w:id="1043" w:name="_Toc486580379"/>
      <w:bookmarkStart w:id="1044" w:name="_Toc47947492"/>
      <w:bookmarkStart w:id="1045" w:name="_Toc485323153"/>
      <w:bookmarkStart w:id="1046" w:name="_Toc16264577"/>
      <w:bookmarkStart w:id="1047" w:name="_Toc497584039"/>
      <w:bookmarkStart w:id="1048" w:name="_Toc489280185"/>
      <w:bookmarkStart w:id="1049" w:name="_Toc490331670"/>
      <w:bookmarkStart w:id="1050" w:name="_Toc497214048"/>
      <w:r>
        <w:rPr>
          <w:rFonts w:hint="eastAsia" w:ascii="宋体" w:hAnsi="宋体" w:eastAsia="宋体" w:cs="宋体"/>
          <w:sz w:val="24"/>
          <w:szCs w:val="20"/>
          <w:lang w:eastAsia="zh-CN"/>
        </w:rPr>
        <w:t>1.7  联 络</w:t>
      </w:r>
      <w:bookmarkEnd w:id="1043"/>
      <w:bookmarkEnd w:id="1044"/>
      <w:bookmarkEnd w:id="1045"/>
      <w:bookmarkEnd w:id="1046"/>
      <w:bookmarkEnd w:id="1047"/>
      <w:bookmarkEnd w:id="1048"/>
      <w:bookmarkEnd w:id="1049"/>
      <w:bookmarkEnd w:id="1050"/>
    </w:p>
    <w:p w14:paraId="0C551462">
      <w:pPr>
        <w:spacing w:after="0" w:line="360" w:lineRule="auto"/>
        <w:ind w:firstLine="420" w:firstLineChars="200"/>
        <w:rPr>
          <w:rFonts w:ascii="宋体" w:hAnsi="宋体" w:eastAsia="宋体" w:cs="宋体"/>
          <w:kern w:val="2"/>
          <w:sz w:val="21"/>
          <w:szCs w:val="21"/>
          <w:lang w:eastAsia="zh-CN"/>
        </w:rPr>
      </w:pPr>
      <w:r>
        <w:rPr>
          <w:rFonts w:hint="eastAsia" w:ascii="宋体" w:hAnsi="宋体" w:eastAsia="宋体" w:cs="宋体"/>
          <w:kern w:val="2"/>
          <w:sz w:val="21"/>
          <w:szCs w:val="21"/>
          <w:lang w:eastAsia="zh-CN"/>
        </w:rPr>
        <w:t>1.7.2  联络来往函件的送达和接收</w:t>
      </w:r>
    </w:p>
    <w:p w14:paraId="36FB9C4A">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（2）发包人指定的接收地点：</w:t>
      </w:r>
      <w:r>
        <w:rPr>
          <w:rFonts w:hint="eastAsia" w:ascii="宋体" w:hAnsi="宋体" w:eastAsia="宋体" w:cs="宋体"/>
          <w:kern w:val="2"/>
          <w:sz w:val="21"/>
          <w:szCs w:val="21"/>
          <w:u w:val="single"/>
          <w:lang w:eastAsia="zh-CN"/>
        </w:rPr>
        <w:t xml:space="preserve">      待定                                </w:t>
      </w:r>
    </w:p>
    <w:p w14:paraId="6DA78E8F">
      <w:pPr>
        <w:spacing w:after="0" w:line="360" w:lineRule="auto"/>
        <w:ind w:firstLine="567" w:firstLineChars="270"/>
        <w:rPr>
          <w:rFonts w:ascii="宋体" w:hAnsi="宋体" w:eastAsia="宋体" w:cs="宋体"/>
          <w:kern w:val="2"/>
          <w:sz w:val="21"/>
          <w:szCs w:val="21"/>
          <w:lang w:eastAsia="zh-CN"/>
        </w:rPr>
      </w:pPr>
      <w:r>
        <w:rPr>
          <w:rFonts w:hint="eastAsia" w:ascii="宋体" w:hAnsi="宋体" w:eastAsia="宋体" w:cs="宋体"/>
          <w:kern w:val="2"/>
          <w:sz w:val="21"/>
          <w:szCs w:val="21"/>
          <w:lang w:eastAsia="zh-CN"/>
        </w:rPr>
        <w:t>发包人指定的接收人为：</w:t>
      </w:r>
      <w:r>
        <w:rPr>
          <w:rFonts w:hint="eastAsia" w:ascii="宋体" w:hAnsi="宋体" w:eastAsia="宋体" w:cs="宋体"/>
          <w:kern w:val="2"/>
          <w:sz w:val="21"/>
          <w:szCs w:val="21"/>
          <w:u w:val="single"/>
          <w:lang w:eastAsia="zh-CN"/>
        </w:rPr>
        <w:t xml:space="preserve">          待定                                </w:t>
      </w:r>
    </w:p>
    <w:p w14:paraId="5014EF52">
      <w:pPr>
        <w:spacing w:after="0" w:line="360" w:lineRule="auto"/>
        <w:ind w:firstLine="420" w:firstLineChars="200"/>
        <w:rPr>
          <w:rFonts w:ascii="宋体" w:hAnsi="宋体" w:eastAsia="宋体" w:cs="宋体"/>
          <w:kern w:val="2"/>
          <w:sz w:val="21"/>
          <w:szCs w:val="21"/>
          <w:lang w:eastAsia="zh-CN"/>
        </w:rPr>
      </w:pPr>
      <w:r>
        <w:rPr>
          <w:rFonts w:hint="eastAsia" w:ascii="宋体" w:hAnsi="宋体" w:eastAsia="宋体" w:cs="宋体"/>
          <w:kern w:val="2"/>
          <w:sz w:val="21"/>
          <w:szCs w:val="21"/>
          <w:lang w:eastAsia="zh-CN"/>
        </w:rPr>
        <w:t>（3）监理人指定的接收地点：</w:t>
      </w:r>
      <w:r>
        <w:rPr>
          <w:rFonts w:hint="eastAsia" w:ascii="宋体" w:hAnsi="宋体" w:eastAsia="宋体" w:cs="宋体"/>
          <w:kern w:val="2"/>
          <w:sz w:val="21"/>
          <w:szCs w:val="21"/>
          <w:u w:val="single"/>
          <w:lang w:eastAsia="zh-CN"/>
        </w:rPr>
        <w:t xml:space="preserve">      待定                                </w:t>
      </w:r>
    </w:p>
    <w:p w14:paraId="4E2E01DE">
      <w:pPr>
        <w:spacing w:after="0" w:line="360" w:lineRule="auto"/>
        <w:ind w:firstLine="567" w:firstLineChars="27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监理人指定的接收人为：</w:t>
      </w:r>
      <w:r>
        <w:rPr>
          <w:rFonts w:hint="eastAsia" w:ascii="宋体" w:hAnsi="宋体" w:eastAsia="宋体" w:cs="宋体"/>
          <w:kern w:val="2"/>
          <w:sz w:val="21"/>
          <w:szCs w:val="21"/>
          <w:u w:val="single"/>
          <w:lang w:eastAsia="zh-CN"/>
        </w:rPr>
        <w:t xml:space="preserve">         待定                                 </w:t>
      </w:r>
    </w:p>
    <w:p w14:paraId="560A7CC3">
      <w:pPr>
        <w:numPr>
          <w:ilvl w:val="0"/>
          <w:numId w:val="16"/>
        </w:numPr>
        <w:spacing w:after="0" w:line="360" w:lineRule="auto"/>
        <w:ind w:firstLine="420" w:firstLineChars="200"/>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承包人指定的接收地点：</w:t>
      </w:r>
      <w:r>
        <w:rPr>
          <w:rFonts w:hint="eastAsia" w:ascii="宋体" w:hAnsi="宋体" w:eastAsia="宋体" w:cs="宋体"/>
          <w:kern w:val="2"/>
          <w:sz w:val="21"/>
          <w:szCs w:val="21"/>
          <w:u w:val="single"/>
          <w:lang w:eastAsia="zh-CN"/>
        </w:rPr>
        <w:t xml:space="preserve">    签定合同时约定                        </w:t>
      </w:r>
      <w:bookmarkStart w:id="1051" w:name="_Toc1588"/>
      <w:bookmarkStart w:id="1052" w:name="_Toc16264578"/>
      <w:bookmarkStart w:id="1053" w:name="_Toc497584040"/>
      <w:bookmarkStart w:id="1054" w:name="_Toc485323154"/>
      <w:bookmarkStart w:id="1055" w:name="_Toc486580380"/>
      <w:bookmarkStart w:id="1056" w:name="_Toc47947493"/>
      <w:bookmarkStart w:id="1057" w:name="_Toc490331671"/>
      <w:bookmarkStart w:id="1058" w:name="_Toc497214049"/>
      <w:bookmarkStart w:id="1059" w:name="_Toc489280186"/>
    </w:p>
    <w:p w14:paraId="6B6119E2">
      <w:pPr>
        <w:numPr>
          <w:ilvl w:val="0"/>
          <w:numId w:val="17"/>
        </w:numPr>
        <w:spacing w:after="0" w:line="360" w:lineRule="auto"/>
        <w:rPr>
          <w:rFonts w:ascii="宋体" w:hAnsi="宋体" w:eastAsia="宋体" w:cs="宋体"/>
          <w:kern w:val="2"/>
          <w:sz w:val="24"/>
          <w:szCs w:val="24"/>
          <w:lang w:eastAsia="zh-CN"/>
        </w:rPr>
      </w:pPr>
      <w:r>
        <w:rPr>
          <w:rFonts w:hint="eastAsia" w:ascii="宋体" w:hAnsi="宋体" w:eastAsia="宋体" w:cs="宋体"/>
          <w:kern w:val="2"/>
          <w:sz w:val="24"/>
          <w:szCs w:val="24"/>
          <w:lang w:eastAsia="zh-CN"/>
        </w:rPr>
        <w:t>发包人义务</w:t>
      </w:r>
      <w:bookmarkEnd w:id="1051"/>
      <w:bookmarkEnd w:id="1052"/>
      <w:bookmarkEnd w:id="1053"/>
      <w:bookmarkEnd w:id="1054"/>
      <w:bookmarkEnd w:id="1055"/>
      <w:bookmarkEnd w:id="1056"/>
      <w:bookmarkEnd w:id="1057"/>
      <w:bookmarkEnd w:id="1058"/>
      <w:bookmarkEnd w:id="1059"/>
      <w:bookmarkStart w:id="1060" w:name="_Toc486580381"/>
      <w:bookmarkStart w:id="1061" w:name="_Toc490331672"/>
      <w:bookmarkStart w:id="1062" w:name="_Toc497584041"/>
      <w:bookmarkStart w:id="1063" w:name="_Toc485323155"/>
      <w:bookmarkStart w:id="1064" w:name="_Toc489280187"/>
      <w:bookmarkStart w:id="1065" w:name="_Toc497214050"/>
      <w:bookmarkStart w:id="1066" w:name="_Toc47947494"/>
      <w:bookmarkStart w:id="1067" w:name="_Toc16264579"/>
    </w:p>
    <w:p w14:paraId="072AD32A">
      <w:pPr>
        <w:spacing w:after="0" w:line="360" w:lineRule="auto"/>
        <w:rPr>
          <w:rFonts w:ascii="宋体" w:hAnsi="宋体" w:eastAsia="宋体" w:cs="宋体"/>
          <w:sz w:val="24"/>
          <w:szCs w:val="20"/>
          <w:lang w:eastAsia="zh-CN"/>
        </w:rPr>
      </w:pPr>
      <w:r>
        <w:rPr>
          <w:rFonts w:hint="eastAsia" w:ascii="宋体" w:hAnsi="宋体" w:eastAsia="宋体" w:cs="宋体"/>
          <w:sz w:val="24"/>
          <w:szCs w:val="20"/>
          <w:lang w:eastAsia="zh-CN"/>
        </w:rPr>
        <w:t>2.3  提供施工场地</w:t>
      </w:r>
      <w:bookmarkEnd w:id="1060"/>
      <w:bookmarkEnd w:id="1061"/>
      <w:bookmarkEnd w:id="1062"/>
      <w:bookmarkEnd w:id="1063"/>
      <w:bookmarkEnd w:id="1064"/>
      <w:bookmarkEnd w:id="1065"/>
      <w:bookmarkEnd w:id="1066"/>
      <w:bookmarkEnd w:id="1067"/>
    </w:p>
    <w:p w14:paraId="10F3A0A4">
      <w:pPr>
        <w:spacing w:after="0" w:line="360" w:lineRule="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发包人移交施工场地的期限：发包人应当将具备施工条件的施工场地，在监理人发出开工通知中载明的开工日期</w:t>
      </w:r>
      <w:r>
        <w:rPr>
          <w:rFonts w:hint="eastAsia" w:ascii="宋体" w:hAnsi="宋体" w:eastAsia="宋体" w:cs="宋体"/>
          <w:kern w:val="2"/>
          <w:sz w:val="21"/>
          <w:szCs w:val="21"/>
          <w:u w:val="single"/>
          <w:lang w:eastAsia="zh-CN"/>
        </w:rPr>
        <w:t xml:space="preserve">  7  </w:t>
      </w:r>
      <w:r>
        <w:rPr>
          <w:rFonts w:hint="eastAsia" w:ascii="宋体" w:hAnsi="宋体" w:eastAsia="宋体" w:cs="宋体"/>
          <w:kern w:val="2"/>
          <w:sz w:val="21"/>
          <w:szCs w:val="21"/>
          <w:lang w:eastAsia="zh-CN"/>
        </w:rPr>
        <w:t>天前移交给承包人。</w:t>
      </w:r>
    </w:p>
    <w:p w14:paraId="6D6677C3">
      <w:pPr>
        <w:keepNext/>
        <w:keepLines/>
        <w:spacing w:before="120" w:beforeLines="50" w:after="120" w:afterLines="50" w:line="360" w:lineRule="auto"/>
        <w:jc w:val="both"/>
        <w:outlineLvl w:val="2"/>
        <w:rPr>
          <w:rFonts w:ascii="宋体" w:hAnsi="宋体" w:eastAsia="宋体" w:cs="宋体"/>
          <w:sz w:val="24"/>
          <w:szCs w:val="20"/>
          <w:lang w:eastAsia="zh-CN"/>
        </w:rPr>
      </w:pPr>
      <w:bookmarkStart w:id="1068" w:name="_Toc490331673"/>
      <w:bookmarkStart w:id="1069" w:name="_Toc497214051"/>
      <w:bookmarkStart w:id="1070" w:name="_Toc497584042"/>
      <w:bookmarkStart w:id="1071" w:name="_Toc486580382"/>
      <w:bookmarkStart w:id="1072" w:name="_Toc489280188"/>
      <w:bookmarkStart w:id="1073" w:name="_Toc47947495"/>
      <w:bookmarkStart w:id="1074" w:name="_Toc485323156"/>
      <w:bookmarkStart w:id="1075" w:name="_Toc16264580"/>
      <w:r>
        <w:rPr>
          <w:rFonts w:hint="eastAsia" w:ascii="宋体" w:hAnsi="宋体" w:eastAsia="宋体" w:cs="宋体"/>
          <w:sz w:val="24"/>
          <w:szCs w:val="20"/>
          <w:lang w:eastAsia="zh-CN"/>
        </w:rPr>
        <w:t>2.8  向承包人提交支付担保</w:t>
      </w:r>
      <w:bookmarkEnd w:id="1068"/>
      <w:bookmarkEnd w:id="1069"/>
      <w:bookmarkEnd w:id="1070"/>
      <w:bookmarkEnd w:id="1071"/>
      <w:bookmarkEnd w:id="1072"/>
      <w:bookmarkEnd w:id="1073"/>
      <w:bookmarkEnd w:id="1074"/>
      <w:bookmarkEnd w:id="1075"/>
    </w:p>
    <w:p w14:paraId="0F0D58EC">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（1）发包人向承包人提交支付担保的金额：</w:t>
      </w:r>
      <w:r>
        <w:rPr>
          <w:rFonts w:hint="eastAsia" w:ascii="宋体" w:hAnsi="宋体" w:eastAsia="宋体" w:cs="宋体"/>
          <w:kern w:val="2"/>
          <w:sz w:val="21"/>
          <w:szCs w:val="21"/>
          <w:u w:val="single"/>
          <w:lang w:eastAsia="zh-CN"/>
        </w:rPr>
        <w:t xml:space="preserve">    /                </w:t>
      </w:r>
    </w:p>
    <w:p w14:paraId="0E190A90">
      <w:pPr>
        <w:keepNext/>
        <w:keepLines/>
        <w:spacing w:before="120" w:beforeLines="50" w:after="120" w:afterLines="50" w:line="360" w:lineRule="auto"/>
        <w:jc w:val="both"/>
        <w:outlineLvl w:val="2"/>
        <w:rPr>
          <w:rFonts w:ascii="宋体" w:hAnsi="宋体" w:eastAsia="宋体" w:cs="宋体"/>
          <w:sz w:val="24"/>
          <w:szCs w:val="20"/>
          <w:lang w:eastAsia="zh-CN"/>
        </w:rPr>
      </w:pPr>
      <w:bookmarkStart w:id="1076" w:name="_Toc497214052"/>
      <w:bookmarkStart w:id="1077" w:name="_Toc497584043"/>
      <w:bookmarkStart w:id="1078" w:name="_Toc16264581"/>
      <w:bookmarkStart w:id="1079" w:name="_Toc47947496"/>
      <w:bookmarkStart w:id="1080" w:name="_Toc485323157"/>
      <w:bookmarkStart w:id="1081" w:name="_Toc490331674"/>
      <w:bookmarkStart w:id="1082" w:name="_Toc489280189"/>
      <w:bookmarkStart w:id="1083" w:name="_Toc486580383"/>
      <w:r>
        <w:rPr>
          <w:rFonts w:hint="eastAsia" w:ascii="宋体" w:hAnsi="宋体" w:eastAsia="宋体" w:cs="宋体"/>
          <w:sz w:val="24"/>
          <w:szCs w:val="20"/>
          <w:lang w:eastAsia="zh-CN"/>
        </w:rPr>
        <w:t>2.13  其他义务</w:t>
      </w:r>
      <w:bookmarkEnd w:id="1076"/>
      <w:bookmarkEnd w:id="1077"/>
      <w:bookmarkEnd w:id="1078"/>
      <w:bookmarkEnd w:id="1079"/>
      <w:bookmarkEnd w:id="1080"/>
      <w:bookmarkEnd w:id="1081"/>
      <w:bookmarkEnd w:id="1082"/>
      <w:bookmarkEnd w:id="1083"/>
    </w:p>
    <w:p w14:paraId="71B6EBF5">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发包人应当履行的其他义务</w:t>
      </w:r>
      <w:r>
        <w:rPr>
          <w:rFonts w:hint="eastAsia" w:ascii="宋体" w:hAnsi="宋体" w:eastAsia="宋体" w:cs="宋体"/>
          <w:kern w:val="2"/>
          <w:sz w:val="21"/>
          <w:szCs w:val="24"/>
          <w:lang w:eastAsia="zh-CN"/>
        </w:rPr>
        <w:t>：</w:t>
      </w:r>
      <w:r>
        <w:rPr>
          <w:rFonts w:hint="eastAsia" w:ascii="宋体" w:hAnsi="宋体" w:eastAsia="宋体" w:cs="宋体"/>
          <w:kern w:val="2"/>
          <w:sz w:val="21"/>
          <w:szCs w:val="24"/>
          <w:u w:val="single"/>
          <w:lang w:eastAsia="zh-CN"/>
        </w:rPr>
        <w:t xml:space="preserve">                /</w:t>
      </w:r>
      <w:r>
        <w:rPr>
          <w:rFonts w:hint="eastAsia" w:ascii="宋体" w:hAnsi="宋体" w:eastAsia="宋体" w:cs="宋体"/>
          <w:kern w:val="2"/>
          <w:sz w:val="21"/>
          <w:szCs w:val="21"/>
          <w:u w:val="single"/>
          <w:lang w:eastAsia="zh-CN"/>
        </w:rPr>
        <w:t xml:space="preserve">                  </w:t>
      </w:r>
    </w:p>
    <w:p w14:paraId="1187184F">
      <w:pPr>
        <w:keepNext/>
        <w:keepLines/>
        <w:spacing w:before="120" w:beforeLines="50" w:after="120" w:afterLines="50" w:line="360" w:lineRule="auto"/>
        <w:jc w:val="both"/>
        <w:outlineLvl w:val="1"/>
        <w:rPr>
          <w:rFonts w:ascii="宋体" w:hAnsi="宋体" w:eastAsia="宋体" w:cs="宋体"/>
          <w:kern w:val="2"/>
          <w:sz w:val="28"/>
          <w:szCs w:val="20"/>
          <w:lang w:eastAsia="zh-CN"/>
        </w:rPr>
      </w:pPr>
      <w:bookmarkStart w:id="1084" w:name="_Toc5721"/>
      <w:bookmarkStart w:id="1085" w:name="_Toc16264582"/>
      <w:bookmarkStart w:id="1086" w:name="_Toc497214053"/>
      <w:bookmarkStart w:id="1087" w:name="_Toc486580384"/>
      <w:bookmarkStart w:id="1088" w:name="_Toc47947497"/>
      <w:bookmarkStart w:id="1089" w:name="_Toc489280190"/>
      <w:bookmarkStart w:id="1090" w:name="_Toc30000"/>
      <w:bookmarkStart w:id="1091" w:name="_Toc485323158"/>
      <w:bookmarkStart w:id="1092" w:name="_Toc497584044"/>
      <w:bookmarkStart w:id="1093" w:name="_Toc490331675"/>
      <w:bookmarkStart w:id="1094" w:name="_Toc18491"/>
      <w:r>
        <w:rPr>
          <w:rFonts w:hint="eastAsia" w:ascii="宋体" w:hAnsi="宋体" w:eastAsia="宋体" w:cs="宋体"/>
          <w:kern w:val="2"/>
          <w:sz w:val="28"/>
          <w:szCs w:val="20"/>
          <w:lang w:eastAsia="zh-CN"/>
        </w:rPr>
        <w:t>3.监理人</w:t>
      </w:r>
      <w:bookmarkEnd w:id="1084"/>
      <w:bookmarkEnd w:id="1085"/>
      <w:bookmarkEnd w:id="1086"/>
      <w:bookmarkEnd w:id="1087"/>
      <w:bookmarkEnd w:id="1088"/>
      <w:bookmarkEnd w:id="1089"/>
      <w:bookmarkEnd w:id="1090"/>
      <w:bookmarkEnd w:id="1091"/>
      <w:bookmarkEnd w:id="1092"/>
      <w:bookmarkEnd w:id="1093"/>
      <w:bookmarkEnd w:id="1094"/>
    </w:p>
    <w:p w14:paraId="06BC3D62">
      <w:pPr>
        <w:keepNext/>
        <w:keepLines/>
        <w:spacing w:before="120" w:beforeLines="50" w:after="120" w:afterLines="50" w:line="360" w:lineRule="auto"/>
        <w:jc w:val="both"/>
        <w:outlineLvl w:val="2"/>
        <w:rPr>
          <w:rFonts w:ascii="宋体" w:hAnsi="宋体" w:eastAsia="宋体" w:cs="宋体"/>
          <w:sz w:val="24"/>
          <w:szCs w:val="20"/>
          <w:lang w:eastAsia="zh-CN"/>
        </w:rPr>
      </w:pPr>
      <w:bookmarkStart w:id="1095" w:name="_Toc497214054"/>
      <w:bookmarkStart w:id="1096" w:name="_Toc486580385"/>
      <w:bookmarkStart w:id="1097" w:name="_Toc16264583"/>
      <w:bookmarkStart w:id="1098" w:name="_Toc489280191"/>
      <w:bookmarkStart w:id="1099" w:name="_Toc47947498"/>
      <w:bookmarkStart w:id="1100" w:name="_Toc490331676"/>
      <w:bookmarkStart w:id="1101" w:name="_Toc485323159"/>
      <w:bookmarkStart w:id="1102" w:name="_Toc497584045"/>
      <w:r>
        <w:rPr>
          <w:rFonts w:hint="eastAsia" w:ascii="宋体" w:hAnsi="宋体" w:eastAsia="宋体" w:cs="宋体"/>
          <w:sz w:val="24"/>
          <w:szCs w:val="20"/>
          <w:lang w:eastAsia="zh-CN"/>
        </w:rPr>
        <w:t>3.1  监理人的职责和权力</w:t>
      </w:r>
      <w:bookmarkEnd w:id="1095"/>
      <w:bookmarkEnd w:id="1096"/>
      <w:bookmarkEnd w:id="1097"/>
      <w:bookmarkEnd w:id="1098"/>
      <w:bookmarkEnd w:id="1099"/>
      <w:bookmarkEnd w:id="1100"/>
      <w:bookmarkEnd w:id="1101"/>
      <w:bookmarkEnd w:id="1102"/>
    </w:p>
    <w:p w14:paraId="7E8B924B">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3.1.1  发包人需批准明确行使的权力：</w:t>
      </w:r>
      <w:r>
        <w:rPr>
          <w:rFonts w:hint="eastAsia" w:ascii="宋体" w:hAnsi="宋体" w:eastAsia="宋体" w:cs="宋体"/>
          <w:kern w:val="2"/>
          <w:sz w:val="21"/>
          <w:szCs w:val="21"/>
          <w:u w:val="single"/>
          <w:lang w:eastAsia="zh-CN"/>
        </w:rPr>
        <w:t xml:space="preserve"> 监理人须依照《北京市市建设工程安全监理规程》及委托监理合同执行、凡涉及工程造价的增加，工期的延长及重大技术变更等，均须报发包人批准。 </w:t>
      </w:r>
    </w:p>
    <w:p w14:paraId="4B784234">
      <w:pPr>
        <w:keepNext/>
        <w:keepLines/>
        <w:spacing w:before="120" w:beforeLines="50" w:after="120" w:afterLines="50" w:line="360" w:lineRule="auto"/>
        <w:jc w:val="both"/>
        <w:outlineLvl w:val="1"/>
        <w:rPr>
          <w:rFonts w:ascii="宋体" w:hAnsi="宋体" w:eastAsia="宋体" w:cs="宋体"/>
          <w:kern w:val="2"/>
          <w:sz w:val="28"/>
          <w:szCs w:val="20"/>
          <w:lang w:eastAsia="zh-CN"/>
        </w:rPr>
      </w:pPr>
      <w:bookmarkStart w:id="1103" w:name="_Toc26542"/>
      <w:bookmarkStart w:id="1104" w:name="_Toc486580386"/>
      <w:bookmarkStart w:id="1105" w:name="_Toc485323160"/>
      <w:bookmarkStart w:id="1106" w:name="_Toc489280192"/>
      <w:bookmarkStart w:id="1107" w:name="_Toc497214055"/>
      <w:bookmarkStart w:id="1108" w:name="_Toc497584046"/>
      <w:bookmarkStart w:id="1109" w:name="_Toc27396"/>
      <w:bookmarkStart w:id="1110" w:name="_Toc16264584"/>
      <w:bookmarkStart w:id="1111" w:name="_Toc47947499"/>
      <w:bookmarkStart w:id="1112" w:name="_Toc490331677"/>
      <w:bookmarkStart w:id="1113" w:name="_Toc13014"/>
      <w:r>
        <w:rPr>
          <w:rFonts w:hint="eastAsia" w:ascii="宋体" w:hAnsi="宋体" w:eastAsia="宋体" w:cs="宋体"/>
          <w:kern w:val="2"/>
          <w:sz w:val="28"/>
          <w:szCs w:val="20"/>
          <w:lang w:eastAsia="zh-CN"/>
        </w:rPr>
        <w:t>4.承包人</w:t>
      </w:r>
      <w:bookmarkEnd w:id="1103"/>
      <w:bookmarkEnd w:id="1104"/>
      <w:bookmarkEnd w:id="1105"/>
      <w:bookmarkEnd w:id="1106"/>
      <w:bookmarkEnd w:id="1107"/>
      <w:bookmarkEnd w:id="1108"/>
      <w:bookmarkEnd w:id="1109"/>
      <w:bookmarkEnd w:id="1110"/>
      <w:bookmarkEnd w:id="1111"/>
      <w:bookmarkEnd w:id="1112"/>
      <w:bookmarkEnd w:id="1113"/>
    </w:p>
    <w:p w14:paraId="5F90A193">
      <w:pPr>
        <w:keepNext/>
        <w:keepLines/>
        <w:spacing w:before="120" w:beforeLines="50" w:after="120" w:afterLines="50" w:line="360" w:lineRule="auto"/>
        <w:jc w:val="both"/>
        <w:outlineLvl w:val="2"/>
        <w:rPr>
          <w:rFonts w:ascii="宋体" w:hAnsi="宋体" w:eastAsia="宋体" w:cs="宋体"/>
          <w:sz w:val="24"/>
          <w:szCs w:val="20"/>
          <w:lang w:eastAsia="zh-CN"/>
        </w:rPr>
      </w:pPr>
      <w:bookmarkStart w:id="1114" w:name="_Toc497584047"/>
      <w:bookmarkStart w:id="1115" w:name="_Toc47947500"/>
      <w:bookmarkStart w:id="1116" w:name="_Toc490331678"/>
      <w:bookmarkStart w:id="1117" w:name="_Toc489280193"/>
      <w:bookmarkStart w:id="1118" w:name="_Toc485323161"/>
      <w:bookmarkStart w:id="1119" w:name="_Toc16264585"/>
      <w:bookmarkStart w:id="1120" w:name="_Toc486580387"/>
      <w:bookmarkStart w:id="1121" w:name="_Toc497214056"/>
      <w:r>
        <w:rPr>
          <w:rFonts w:hint="eastAsia" w:ascii="宋体" w:hAnsi="宋体" w:eastAsia="宋体" w:cs="宋体"/>
          <w:sz w:val="24"/>
          <w:szCs w:val="20"/>
          <w:lang w:eastAsia="zh-CN"/>
        </w:rPr>
        <w:t>4.1  承包人的一般义务</w:t>
      </w:r>
      <w:bookmarkEnd w:id="1114"/>
      <w:bookmarkEnd w:id="1115"/>
      <w:bookmarkEnd w:id="1116"/>
      <w:bookmarkEnd w:id="1117"/>
      <w:bookmarkEnd w:id="1118"/>
      <w:bookmarkEnd w:id="1119"/>
      <w:bookmarkEnd w:id="1120"/>
      <w:bookmarkEnd w:id="1121"/>
    </w:p>
    <w:p w14:paraId="4A9378B1">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4.1.8  为他人提供方便</w:t>
      </w:r>
    </w:p>
    <w:p w14:paraId="1689F48C">
      <w:pPr>
        <w:spacing w:after="0" w:line="360" w:lineRule="auto"/>
        <w:ind w:firstLine="315" w:firstLineChars="15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（1）承包人应当对在施工场地或者附近实施与合同工程有关的其他工作的独立承包人履行管理、协调、配合、照管和服务义务的具体工作内容和要求：</w:t>
      </w:r>
      <w:r>
        <w:rPr>
          <w:rFonts w:hint="eastAsia" w:ascii="宋体" w:hAnsi="宋体" w:eastAsia="宋体" w:cs="宋体"/>
          <w:kern w:val="2"/>
          <w:sz w:val="21"/>
          <w:szCs w:val="21"/>
          <w:u w:val="single"/>
          <w:lang w:eastAsia="zh-CN"/>
        </w:rPr>
        <w:t xml:space="preserve">为其他独立承包人在使用施工用地、道路和其他公用设施等方面提供方便。 </w:t>
      </w:r>
    </w:p>
    <w:p w14:paraId="457754F5">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4.1.10  承包人的设计工作 </w:t>
      </w:r>
    </w:p>
    <w:p w14:paraId="0E031A64">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承包人承担的施工图设计或与工程配套的设计工作内容：</w:t>
      </w:r>
      <w:r>
        <w:rPr>
          <w:rFonts w:hint="eastAsia" w:ascii="宋体" w:hAnsi="宋体" w:eastAsia="宋体" w:cs="宋体"/>
          <w:kern w:val="2"/>
          <w:sz w:val="21"/>
          <w:szCs w:val="21"/>
          <w:u w:val="single"/>
          <w:lang w:eastAsia="zh-CN"/>
        </w:rPr>
        <w:t xml:space="preserve">      /                </w:t>
      </w:r>
    </w:p>
    <w:p w14:paraId="28182A92">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4.1.12  其他义务  </w:t>
      </w:r>
    </w:p>
    <w:p w14:paraId="4225FE60">
      <w:pPr>
        <w:spacing w:after="0" w:line="360" w:lineRule="auto"/>
        <w:ind w:firstLine="420" w:firstLineChars="200"/>
        <w:jc w:val="both"/>
        <w:rPr>
          <w:rFonts w:ascii="宋体" w:hAnsi="宋体" w:eastAsia="宋体" w:cs="宋体"/>
          <w:kern w:val="2"/>
          <w:sz w:val="21"/>
          <w:szCs w:val="21"/>
          <w:lang w:eastAsia="zh-CN"/>
        </w:rPr>
      </w:pPr>
      <w:bookmarkStart w:id="1122" w:name="_Hlk8723501"/>
      <w:r>
        <w:rPr>
          <w:rFonts w:hint="eastAsia" w:ascii="宋体" w:hAnsi="宋体" w:eastAsia="宋体" w:cs="宋体"/>
          <w:kern w:val="2"/>
          <w:sz w:val="21"/>
          <w:szCs w:val="21"/>
          <w:lang w:eastAsia="zh-CN"/>
        </w:rPr>
        <w:t>（1）安全文明施工费由承包人统一管理，承包人对工程安全文明施工负总责。承包人不按分包合同约定支付安全文明施工费，造成分包人不能及时落实安全防护措施导致发生事故的，由承包人负主要责任。</w:t>
      </w:r>
    </w:p>
    <w:p w14:paraId="469C92D3">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（2）对于超过一定规模的危大工程（如有），承包人应当组织召开专家论证会对专项施工方案进行论证，并根据专家论证意见对专项方案进行调整，发包人原因造成的专项方案调整，其费用变化由发包人承担。</w:t>
      </w:r>
    </w:p>
    <w:p w14:paraId="7FB97C58">
      <w:pPr>
        <w:spacing w:after="0" w:line="360" w:lineRule="auto"/>
        <w:ind w:firstLine="525" w:firstLineChars="250"/>
        <w:jc w:val="both"/>
        <w:rPr>
          <w:rFonts w:ascii="宋体" w:hAnsi="宋体" w:eastAsia="宋体" w:cs="宋体"/>
          <w:kern w:val="2"/>
          <w:sz w:val="21"/>
          <w:szCs w:val="24"/>
          <w:lang w:eastAsia="zh-CN"/>
        </w:rPr>
      </w:pPr>
      <w:r>
        <w:rPr>
          <w:rFonts w:hint="eastAsia" w:ascii="宋体" w:hAnsi="宋体" w:eastAsia="宋体" w:cs="宋体"/>
          <w:kern w:val="2"/>
          <w:sz w:val="21"/>
          <w:szCs w:val="21"/>
          <w:lang w:eastAsia="zh-CN"/>
        </w:rPr>
        <w:t>（3）承包人应履行的其他义务</w:t>
      </w:r>
      <w:r>
        <w:rPr>
          <w:rFonts w:hint="eastAsia" w:ascii="宋体" w:hAnsi="宋体" w:eastAsia="宋体" w:cs="宋体"/>
          <w:kern w:val="2"/>
          <w:sz w:val="21"/>
          <w:szCs w:val="24"/>
          <w:lang w:eastAsia="zh-CN"/>
        </w:rPr>
        <w:t>：</w:t>
      </w:r>
    </w:p>
    <w:p w14:paraId="09E4380E">
      <w:pPr>
        <w:spacing w:after="0" w:line="360" w:lineRule="auto"/>
        <w:ind w:firstLine="420" w:firstLineChars="200"/>
        <w:jc w:val="both"/>
        <w:rPr>
          <w:rFonts w:ascii="宋体" w:hAnsi="宋体" w:eastAsia="宋体" w:cs="宋体"/>
          <w:kern w:val="2"/>
          <w:sz w:val="21"/>
          <w:szCs w:val="24"/>
          <w:u w:val="single"/>
          <w:lang w:eastAsia="zh-CN"/>
        </w:rPr>
      </w:pPr>
      <w:r>
        <w:rPr>
          <w:rFonts w:hint="eastAsia" w:ascii="宋体" w:hAnsi="宋体" w:eastAsia="宋体" w:cs="宋体"/>
          <w:kern w:val="2"/>
          <w:sz w:val="21"/>
          <w:szCs w:val="21"/>
          <w:lang w:eastAsia="zh-CN"/>
        </w:rPr>
        <w:t xml:space="preserve"> </w:t>
      </w:r>
      <w:r>
        <w:rPr>
          <w:rFonts w:hint="eastAsia" w:ascii="宋体" w:hAnsi="宋体" w:eastAsia="宋体" w:cs="宋体"/>
          <w:kern w:val="2"/>
          <w:sz w:val="21"/>
          <w:szCs w:val="24"/>
          <w:lang w:eastAsia="zh-CN"/>
        </w:rPr>
        <w:fldChar w:fldCharType="begin"/>
      </w:r>
      <w:r>
        <w:rPr>
          <w:rFonts w:hint="eastAsia" w:ascii="宋体" w:hAnsi="宋体" w:eastAsia="宋体" w:cs="宋体"/>
          <w:kern w:val="2"/>
          <w:sz w:val="21"/>
          <w:szCs w:val="24"/>
          <w:lang w:eastAsia="zh-CN"/>
        </w:rPr>
        <w:instrText xml:space="preserve"> eq \o\ac(○,</w:instrText>
      </w:r>
      <w:r>
        <w:rPr>
          <w:rFonts w:hint="eastAsia" w:ascii="宋体" w:hAnsi="宋体" w:eastAsia="宋体" w:cs="宋体"/>
          <w:kern w:val="2"/>
          <w:position w:val="2"/>
          <w:sz w:val="14"/>
          <w:szCs w:val="24"/>
          <w:lang w:eastAsia="zh-CN"/>
        </w:rPr>
        <w:instrText xml:space="preserve">1</w:instrText>
      </w:r>
      <w:r>
        <w:rPr>
          <w:rFonts w:hint="eastAsia" w:ascii="宋体" w:hAnsi="宋体" w:eastAsia="宋体" w:cs="宋体"/>
          <w:kern w:val="2"/>
          <w:sz w:val="21"/>
          <w:szCs w:val="24"/>
          <w:lang w:eastAsia="zh-CN"/>
        </w:rPr>
        <w:instrText xml:space="preserve">)</w:instrText>
      </w:r>
      <w:r>
        <w:rPr>
          <w:rFonts w:hint="eastAsia" w:ascii="宋体" w:hAnsi="宋体" w:eastAsia="宋体" w:cs="宋体"/>
          <w:kern w:val="2"/>
          <w:sz w:val="21"/>
          <w:szCs w:val="24"/>
          <w:lang w:eastAsia="zh-CN"/>
        </w:rPr>
        <w:fldChar w:fldCharType="end"/>
      </w:r>
      <w:r>
        <w:rPr>
          <w:rFonts w:hint="eastAsia" w:ascii="宋体" w:hAnsi="宋体" w:eastAsia="宋体" w:cs="宋体"/>
          <w:kern w:val="2"/>
          <w:sz w:val="21"/>
          <w:szCs w:val="24"/>
          <w:lang w:eastAsia="zh-CN"/>
        </w:rPr>
        <w:t xml:space="preserve"> </w:t>
      </w:r>
      <w:r>
        <w:rPr>
          <w:rFonts w:hint="eastAsia" w:ascii="宋体" w:hAnsi="宋体" w:eastAsia="宋体" w:cs="宋体"/>
          <w:kern w:val="2"/>
          <w:sz w:val="21"/>
          <w:szCs w:val="24"/>
          <w:u w:val="single"/>
          <w:lang w:eastAsia="zh-CN"/>
        </w:rPr>
        <w:t xml:space="preserve">根据工程需要，提供和维修施工使用的照明、围栏设施，并负责安全保卫。  </w:t>
      </w:r>
    </w:p>
    <w:p w14:paraId="13471CC6">
      <w:pPr>
        <w:spacing w:after="0" w:line="360" w:lineRule="auto"/>
        <w:ind w:firstLine="525" w:firstLineChars="250"/>
        <w:jc w:val="both"/>
        <w:rPr>
          <w:rFonts w:ascii="宋体" w:hAnsi="宋体" w:eastAsia="宋体" w:cs="宋体"/>
          <w:kern w:val="2"/>
          <w:sz w:val="21"/>
          <w:szCs w:val="24"/>
          <w:u w:val="single"/>
          <w:lang w:eastAsia="zh-CN"/>
        </w:rPr>
      </w:pPr>
      <w:r>
        <w:rPr>
          <w:rFonts w:hint="eastAsia" w:ascii="宋体" w:hAnsi="宋体" w:eastAsia="宋体" w:cs="宋体"/>
          <w:bCs/>
          <w:kern w:val="2"/>
          <w:sz w:val="21"/>
          <w:szCs w:val="24"/>
          <w:lang w:eastAsia="zh-CN"/>
        </w:rPr>
        <w:t xml:space="preserve">② </w:t>
      </w:r>
      <w:r>
        <w:rPr>
          <w:rFonts w:hint="eastAsia" w:ascii="宋体" w:hAnsi="宋体" w:eastAsia="宋体" w:cs="宋体"/>
          <w:kern w:val="2"/>
          <w:sz w:val="21"/>
          <w:szCs w:val="24"/>
          <w:u w:val="single"/>
          <w:lang w:eastAsia="zh-CN"/>
        </w:rPr>
        <w:t>承包人有义务采取恰当措施，最大程度避免在施工过程中产生的扰民问题，因正常施工引起的扰民问题由承包人负责处理，发生的费用由承包人承担。由于扰民及民扰导致工期的延误，发包人不予顺延工期。</w:t>
      </w:r>
    </w:p>
    <w:p w14:paraId="2A278770">
      <w:pPr>
        <w:spacing w:after="0" w:line="360" w:lineRule="auto"/>
        <w:ind w:firstLine="525" w:firstLineChars="250"/>
        <w:jc w:val="both"/>
        <w:rPr>
          <w:rFonts w:ascii="宋体" w:hAnsi="宋体" w:eastAsia="宋体" w:cs="宋体"/>
          <w:kern w:val="2"/>
          <w:sz w:val="21"/>
          <w:szCs w:val="24"/>
          <w:u w:val="single"/>
          <w:lang w:eastAsia="zh-CN"/>
        </w:rPr>
      </w:pPr>
      <w:r>
        <w:rPr>
          <w:rFonts w:hint="eastAsia" w:ascii="宋体" w:hAnsi="宋体" w:eastAsia="宋体" w:cs="宋体"/>
          <w:kern w:val="2"/>
          <w:sz w:val="21"/>
          <w:szCs w:val="24"/>
          <w:u w:val="single"/>
          <w:lang w:eastAsia="zh-CN"/>
        </w:rPr>
        <w:fldChar w:fldCharType="begin"/>
      </w:r>
      <w:r>
        <w:rPr>
          <w:rFonts w:hint="eastAsia" w:ascii="宋体" w:hAnsi="宋体" w:eastAsia="宋体" w:cs="宋体"/>
          <w:kern w:val="2"/>
          <w:sz w:val="21"/>
          <w:szCs w:val="24"/>
          <w:u w:val="single"/>
          <w:lang w:eastAsia="zh-CN"/>
        </w:rPr>
        <w:instrText xml:space="preserve"> eq \o\ac(○,</w:instrText>
      </w:r>
      <w:r>
        <w:rPr>
          <w:rFonts w:hint="eastAsia" w:ascii="宋体" w:hAnsi="宋体" w:eastAsia="宋体" w:cs="宋体"/>
          <w:kern w:val="2"/>
          <w:position w:val="2"/>
          <w:sz w:val="14"/>
          <w:szCs w:val="24"/>
          <w:lang w:eastAsia="zh-CN"/>
        </w:rPr>
        <w:instrText xml:space="preserve">3</w:instrText>
      </w:r>
      <w:r>
        <w:rPr>
          <w:rFonts w:hint="eastAsia" w:ascii="宋体" w:hAnsi="宋体" w:eastAsia="宋体" w:cs="宋体"/>
          <w:kern w:val="2"/>
          <w:sz w:val="21"/>
          <w:szCs w:val="24"/>
          <w:u w:val="single"/>
          <w:lang w:eastAsia="zh-CN"/>
        </w:rPr>
        <w:instrText xml:space="preserve">)</w:instrText>
      </w:r>
      <w:r>
        <w:rPr>
          <w:rFonts w:hint="eastAsia" w:ascii="宋体" w:hAnsi="宋体" w:eastAsia="宋体" w:cs="宋体"/>
          <w:kern w:val="2"/>
          <w:sz w:val="21"/>
          <w:szCs w:val="24"/>
          <w:u w:val="single"/>
          <w:lang w:eastAsia="zh-CN"/>
        </w:rPr>
        <w:fldChar w:fldCharType="end"/>
      </w:r>
      <w:r>
        <w:rPr>
          <w:rFonts w:hint="eastAsia" w:ascii="宋体" w:hAnsi="宋体" w:eastAsia="宋体" w:cs="宋体"/>
          <w:kern w:val="2"/>
          <w:sz w:val="21"/>
          <w:szCs w:val="24"/>
          <w:u w:val="single"/>
          <w:lang w:eastAsia="zh-CN"/>
        </w:rPr>
        <w:t>总承包人对工程安全文明施工负总责，应按分包合同约定支付安全文明施工费用。</w:t>
      </w:r>
    </w:p>
    <w:p w14:paraId="49838D4F">
      <w:pPr>
        <w:spacing w:after="0" w:line="360" w:lineRule="auto"/>
        <w:ind w:firstLine="525" w:firstLineChars="250"/>
        <w:jc w:val="both"/>
        <w:rPr>
          <w:rFonts w:ascii="宋体" w:hAnsi="宋体" w:eastAsia="宋体" w:cs="宋体"/>
          <w:kern w:val="2"/>
          <w:sz w:val="21"/>
          <w:szCs w:val="24"/>
          <w:u w:val="single"/>
          <w:lang w:eastAsia="zh-CN"/>
        </w:rPr>
      </w:pPr>
      <w:r>
        <w:rPr>
          <w:rFonts w:hint="eastAsia" w:ascii="宋体" w:hAnsi="宋体" w:eastAsia="宋体" w:cs="宋体"/>
          <w:kern w:val="2"/>
          <w:sz w:val="21"/>
          <w:szCs w:val="24"/>
          <w:u w:val="single"/>
          <w:lang w:eastAsia="zh-CN"/>
        </w:rPr>
        <w:fldChar w:fldCharType="begin"/>
      </w:r>
      <w:r>
        <w:rPr>
          <w:rFonts w:hint="eastAsia" w:ascii="宋体" w:hAnsi="宋体" w:eastAsia="宋体" w:cs="宋体"/>
          <w:kern w:val="2"/>
          <w:sz w:val="21"/>
          <w:szCs w:val="24"/>
          <w:u w:val="single"/>
          <w:lang w:eastAsia="zh-CN"/>
        </w:rPr>
        <w:instrText xml:space="preserve"> eq \o\ac(○,</w:instrText>
      </w:r>
      <w:r>
        <w:rPr>
          <w:rFonts w:hint="eastAsia" w:ascii="宋体" w:hAnsi="宋体" w:eastAsia="宋体" w:cs="宋体"/>
          <w:kern w:val="2"/>
          <w:position w:val="2"/>
          <w:sz w:val="14"/>
          <w:szCs w:val="24"/>
          <w:lang w:eastAsia="zh-CN"/>
        </w:rPr>
        <w:instrText xml:space="preserve">4</w:instrText>
      </w:r>
      <w:r>
        <w:rPr>
          <w:rFonts w:hint="eastAsia" w:ascii="宋体" w:hAnsi="宋体" w:eastAsia="宋体" w:cs="宋体"/>
          <w:kern w:val="2"/>
          <w:sz w:val="21"/>
          <w:szCs w:val="24"/>
          <w:u w:val="single"/>
          <w:lang w:eastAsia="zh-CN"/>
        </w:rPr>
        <w:instrText xml:space="preserve">)</w:instrText>
      </w:r>
      <w:r>
        <w:rPr>
          <w:rFonts w:hint="eastAsia" w:ascii="宋体" w:hAnsi="宋体" w:eastAsia="宋体" w:cs="宋体"/>
          <w:kern w:val="2"/>
          <w:sz w:val="21"/>
          <w:szCs w:val="24"/>
          <w:u w:val="single"/>
          <w:lang w:eastAsia="zh-CN"/>
        </w:rPr>
        <w:fldChar w:fldCharType="end"/>
      </w:r>
      <w:r>
        <w:rPr>
          <w:rFonts w:hint="eastAsia" w:ascii="宋体" w:hAnsi="宋体" w:eastAsia="宋体" w:cs="宋体"/>
          <w:kern w:val="2"/>
          <w:sz w:val="21"/>
          <w:szCs w:val="24"/>
          <w:u w:val="single"/>
          <w:lang w:eastAsia="zh-CN"/>
        </w:rPr>
        <w:t xml:space="preserve">对于超过一定规模的危大工程（如有），承包人应当组织召开专家论证会对专项施工方案进行论证。   </w:t>
      </w:r>
    </w:p>
    <w:bookmarkEnd w:id="1122"/>
    <w:p w14:paraId="56D0DD53">
      <w:pPr>
        <w:keepNext/>
        <w:keepLines/>
        <w:spacing w:before="120" w:beforeLines="50" w:after="120" w:afterLines="50" w:line="360" w:lineRule="auto"/>
        <w:jc w:val="both"/>
        <w:outlineLvl w:val="2"/>
        <w:rPr>
          <w:rFonts w:ascii="宋体" w:hAnsi="宋体" w:eastAsia="宋体" w:cs="宋体"/>
          <w:sz w:val="24"/>
          <w:szCs w:val="20"/>
          <w:lang w:eastAsia="zh-CN"/>
        </w:rPr>
      </w:pPr>
      <w:bookmarkStart w:id="1123" w:name="_Toc489280194"/>
      <w:bookmarkStart w:id="1124" w:name="_Toc497584048"/>
      <w:bookmarkStart w:id="1125" w:name="_Toc16264586"/>
      <w:bookmarkStart w:id="1126" w:name="_Toc485323162"/>
      <w:bookmarkStart w:id="1127" w:name="_Toc490331679"/>
      <w:bookmarkStart w:id="1128" w:name="_Toc486580388"/>
      <w:bookmarkStart w:id="1129" w:name="_Toc47947501"/>
      <w:bookmarkStart w:id="1130" w:name="_Toc497214057"/>
      <w:r>
        <w:rPr>
          <w:rFonts w:hint="eastAsia" w:ascii="宋体" w:hAnsi="宋体" w:eastAsia="宋体" w:cs="宋体"/>
          <w:sz w:val="24"/>
          <w:szCs w:val="20"/>
          <w:lang w:eastAsia="zh-CN"/>
        </w:rPr>
        <w:t>4.2  履约担保</w:t>
      </w:r>
      <w:bookmarkEnd w:id="1123"/>
      <w:bookmarkEnd w:id="1124"/>
      <w:bookmarkEnd w:id="1125"/>
      <w:bookmarkEnd w:id="1126"/>
      <w:bookmarkEnd w:id="1127"/>
      <w:bookmarkEnd w:id="1128"/>
      <w:bookmarkEnd w:id="1129"/>
      <w:bookmarkEnd w:id="1130"/>
      <w:r>
        <w:rPr>
          <w:rFonts w:hint="eastAsia" w:ascii="宋体" w:hAnsi="宋体" w:eastAsia="宋体" w:cs="宋体"/>
          <w:sz w:val="24"/>
          <w:szCs w:val="20"/>
          <w:lang w:eastAsia="zh-CN"/>
        </w:rPr>
        <w:t xml:space="preserve"> </w:t>
      </w:r>
    </w:p>
    <w:p w14:paraId="25C799E3">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4.2.1  承包人履约担保的格式和金额</w:t>
      </w:r>
    </w:p>
    <w:p w14:paraId="7567600B">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发包人</w:t>
      </w:r>
      <w:r>
        <w:rPr>
          <w:rFonts w:hint="eastAsia" w:ascii="宋体" w:hAnsi="宋体" w:eastAsia="宋体" w:cs="宋体"/>
          <w:kern w:val="2"/>
          <w:sz w:val="21"/>
          <w:szCs w:val="21"/>
          <w:u w:val="single"/>
          <w:lang w:eastAsia="zh-CN"/>
        </w:rPr>
        <w:t xml:space="preserve"> 不要求 </w:t>
      </w:r>
      <w:r>
        <w:rPr>
          <w:rFonts w:hint="eastAsia" w:ascii="宋体" w:hAnsi="宋体" w:eastAsia="宋体" w:cs="宋体"/>
          <w:kern w:val="2"/>
          <w:sz w:val="21"/>
          <w:szCs w:val="21"/>
          <w:lang w:eastAsia="zh-CN"/>
        </w:rPr>
        <w:t>（要求/不要求）承包人提供承包人履约担保。</w:t>
      </w:r>
    </w:p>
    <w:p w14:paraId="19DC8A3F">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承包人履约担保的金额为</w:t>
      </w:r>
      <w:r>
        <w:rPr>
          <w:rFonts w:hint="eastAsia" w:ascii="宋体" w:hAnsi="宋体" w:eastAsia="宋体" w:cs="宋体"/>
          <w:kern w:val="2"/>
          <w:sz w:val="21"/>
          <w:szCs w:val="21"/>
          <w:u w:val="single"/>
          <w:lang w:eastAsia="zh-CN"/>
        </w:rPr>
        <w:t xml:space="preserve">         /                             </w:t>
      </w:r>
    </w:p>
    <w:p w14:paraId="3CB05D4B">
      <w:pPr>
        <w:keepNext/>
        <w:keepLines/>
        <w:spacing w:before="120" w:beforeLines="50" w:after="120" w:afterLines="50" w:line="360" w:lineRule="auto"/>
        <w:jc w:val="both"/>
        <w:outlineLvl w:val="2"/>
        <w:rPr>
          <w:rFonts w:ascii="宋体" w:hAnsi="宋体" w:eastAsia="宋体" w:cs="宋体"/>
          <w:sz w:val="24"/>
          <w:szCs w:val="20"/>
          <w:lang w:eastAsia="zh-CN"/>
        </w:rPr>
      </w:pPr>
      <w:bookmarkStart w:id="1131" w:name="_Toc16264587"/>
      <w:bookmarkStart w:id="1132" w:name="_Toc497214058"/>
      <w:bookmarkStart w:id="1133" w:name="_Toc497584049"/>
      <w:bookmarkStart w:id="1134" w:name="_Toc47947502"/>
      <w:bookmarkStart w:id="1135" w:name="_Toc490331680"/>
      <w:bookmarkStart w:id="1136" w:name="_Toc485323163"/>
      <w:bookmarkStart w:id="1137" w:name="_Toc489280195"/>
      <w:bookmarkStart w:id="1138" w:name="_Toc486580389"/>
      <w:r>
        <w:rPr>
          <w:rFonts w:hint="eastAsia" w:ascii="宋体" w:hAnsi="宋体" w:eastAsia="宋体" w:cs="宋体"/>
          <w:sz w:val="24"/>
          <w:szCs w:val="20"/>
          <w:lang w:eastAsia="zh-CN"/>
        </w:rPr>
        <w:t>4.11  不利物质条件</w:t>
      </w:r>
      <w:bookmarkEnd w:id="1131"/>
      <w:bookmarkEnd w:id="1132"/>
      <w:bookmarkEnd w:id="1133"/>
      <w:bookmarkEnd w:id="1134"/>
      <w:bookmarkEnd w:id="1135"/>
      <w:bookmarkEnd w:id="1136"/>
      <w:bookmarkEnd w:id="1137"/>
      <w:bookmarkEnd w:id="1138"/>
    </w:p>
    <w:p w14:paraId="54F7C7E2">
      <w:pPr>
        <w:spacing w:after="0" w:line="360" w:lineRule="auto"/>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4.11.1  不利物质条件的范围：</w:t>
      </w:r>
      <w:r>
        <w:rPr>
          <w:rFonts w:hint="eastAsia" w:ascii="宋体" w:hAnsi="宋体" w:eastAsia="宋体" w:cs="宋体"/>
          <w:kern w:val="2"/>
          <w:sz w:val="21"/>
          <w:szCs w:val="21"/>
          <w:u w:val="single"/>
          <w:lang w:eastAsia="zh-CN"/>
        </w:rPr>
        <w:t xml:space="preserve"> 地下已存在的但未探明的非自然物质障碍和污染物等。              </w:t>
      </w:r>
    </w:p>
    <w:p w14:paraId="40BC0770">
      <w:pPr>
        <w:keepNext/>
        <w:keepLines/>
        <w:spacing w:before="120" w:beforeLines="50" w:after="120" w:afterLines="50" w:line="360" w:lineRule="auto"/>
        <w:jc w:val="both"/>
        <w:outlineLvl w:val="1"/>
        <w:rPr>
          <w:rFonts w:ascii="宋体" w:hAnsi="宋体" w:eastAsia="宋体" w:cs="宋体"/>
          <w:kern w:val="2"/>
          <w:sz w:val="28"/>
          <w:szCs w:val="20"/>
          <w:lang w:eastAsia="zh-CN"/>
        </w:rPr>
      </w:pPr>
      <w:bookmarkStart w:id="1139" w:name="_Toc2226"/>
      <w:bookmarkStart w:id="1140" w:name="_Toc486580390"/>
      <w:bookmarkStart w:id="1141" w:name="_Toc489280196"/>
      <w:bookmarkStart w:id="1142" w:name="_Toc497584050"/>
      <w:bookmarkStart w:id="1143" w:name="_Toc490331681"/>
      <w:bookmarkStart w:id="1144" w:name="_Toc47947503"/>
      <w:bookmarkStart w:id="1145" w:name="_Toc3201"/>
      <w:bookmarkStart w:id="1146" w:name="_Toc16264588"/>
      <w:bookmarkStart w:id="1147" w:name="_Toc485323164"/>
      <w:bookmarkStart w:id="1148" w:name="_Toc497214059"/>
      <w:bookmarkStart w:id="1149" w:name="_Toc32341"/>
      <w:r>
        <w:rPr>
          <w:rFonts w:hint="eastAsia" w:ascii="宋体" w:hAnsi="宋体" w:eastAsia="宋体" w:cs="宋体"/>
          <w:kern w:val="2"/>
          <w:sz w:val="28"/>
          <w:szCs w:val="20"/>
          <w:lang w:eastAsia="zh-CN"/>
        </w:rPr>
        <w:t>5.材料和工程设备</w:t>
      </w:r>
      <w:bookmarkEnd w:id="1139"/>
      <w:bookmarkEnd w:id="1140"/>
      <w:bookmarkEnd w:id="1141"/>
      <w:bookmarkEnd w:id="1142"/>
      <w:bookmarkEnd w:id="1143"/>
      <w:bookmarkEnd w:id="1144"/>
      <w:bookmarkEnd w:id="1145"/>
      <w:bookmarkEnd w:id="1146"/>
      <w:bookmarkEnd w:id="1147"/>
      <w:bookmarkEnd w:id="1148"/>
      <w:bookmarkEnd w:id="1149"/>
    </w:p>
    <w:p w14:paraId="08762177">
      <w:pPr>
        <w:keepNext/>
        <w:keepLines/>
        <w:spacing w:before="120" w:beforeLines="50" w:after="120" w:afterLines="50" w:line="360" w:lineRule="auto"/>
        <w:jc w:val="both"/>
        <w:outlineLvl w:val="2"/>
        <w:rPr>
          <w:rFonts w:ascii="宋体" w:hAnsi="宋体" w:eastAsia="宋体" w:cs="宋体"/>
          <w:sz w:val="24"/>
          <w:szCs w:val="20"/>
          <w:lang w:eastAsia="zh-CN"/>
        </w:rPr>
      </w:pPr>
      <w:bookmarkStart w:id="1150" w:name="_Toc497214060"/>
      <w:bookmarkStart w:id="1151" w:name="_Toc490331682"/>
      <w:bookmarkStart w:id="1152" w:name="_Toc16264589"/>
      <w:bookmarkStart w:id="1153" w:name="_Toc497584051"/>
      <w:bookmarkStart w:id="1154" w:name="_Toc47947504"/>
      <w:bookmarkStart w:id="1155" w:name="_Toc486580391"/>
      <w:bookmarkStart w:id="1156" w:name="_Toc489280197"/>
      <w:bookmarkStart w:id="1157" w:name="_Toc485323165"/>
      <w:r>
        <w:rPr>
          <w:rFonts w:hint="eastAsia" w:ascii="宋体" w:hAnsi="宋体" w:eastAsia="宋体" w:cs="宋体"/>
          <w:sz w:val="24"/>
          <w:szCs w:val="20"/>
          <w:lang w:eastAsia="zh-CN"/>
        </w:rPr>
        <w:t>5.1  承包人提供的材料和工程设备</w:t>
      </w:r>
      <w:bookmarkEnd w:id="1150"/>
      <w:bookmarkEnd w:id="1151"/>
      <w:bookmarkEnd w:id="1152"/>
      <w:bookmarkEnd w:id="1153"/>
      <w:bookmarkEnd w:id="1154"/>
      <w:bookmarkEnd w:id="1155"/>
      <w:bookmarkEnd w:id="1156"/>
      <w:bookmarkEnd w:id="1157"/>
    </w:p>
    <w:p w14:paraId="36EE9A8A">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1"/>
          <w:lang w:eastAsia="zh-CN"/>
        </w:rPr>
        <w:t>5.1.2 承包人将由其提供的材料和工程设备的供货人和品种、规格、数量及供货时间等报送监理人审批的期限：</w:t>
      </w:r>
      <w:r>
        <w:rPr>
          <w:rFonts w:hint="eastAsia" w:ascii="宋体" w:hAnsi="宋体" w:eastAsia="宋体" w:cs="宋体"/>
          <w:kern w:val="2"/>
          <w:sz w:val="21"/>
          <w:szCs w:val="21"/>
          <w:u w:val="single"/>
          <w:lang w:eastAsia="zh-CN"/>
        </w:rPr>
        <w:t xml:space="preserve"> 承包人应在招标前14日内报监理审批。   </w:t>
      </w:r>
    </w:p>
    <w:p w14:paraId="7AAB5E78">
      <w:pPr>
        <w:keepNext/>
        <w:keepLines/>
        <w:spacing w:before="120" w:beforeLines="50" w:after="120" w:afterLines="50" w:line="360" w:lineRule="auto"/>
        <w:jc w:val="both"/>
        <w:outlineLvl w:val="1"/>
        <w:rPr>
          <w:rFonts w:ascii="宋体" w:hAnsi="宋体" w:eastAsia="宋体" w:cs="宋体"/>
          <w:kern w:val="2"/>
          <w:sz w:val="28"/>
          <w:szCs w:val="20"/>
          <w:lang w:eastAsia="zh-CN"/>
        </w:rPr>
      </w:pPr>
      <w:bookmarkStart w:id="1158" w:name="_Toc489280198"/>
      <w:bookmarkStart w:id="1159" w:name="_Toc490331683"/>
      <w:bookmarkStart w:id="1160" w:name="_Toc486580392"/>
      <w:bookmarkStart w:id="1161" w:name="_Toc20555"/>
      <w:bookmarkStart w:id="1162" w:name="_Toc10908"/>
      <w:bookmarkStart w:id="1163" w:name="_Toc497214061"/>
      <w:bookmarkStart w:id="1164" w:name="_Toc16264590"/>
      <w:bookmarkStart w:id="1165" w:name="_Toc485323166"/>
      <w:bookmarkStart w:id="1166" w:name="_Toc47947505"/>
      <w:bookmarkStart w:id="1167" w:name="_Toc497584052"/>
      <w:bookmarkStart w:id="1168" w:name="_Toc7496"/>
      <w:r>
        <w:rPr>
          <w:rFonts w:hint="eastAsia" w:ascii="宋体" w:hAnsi="宋体" w:eastAsia="宋体" w:cs="宋体"/>
          <w:kern w:val="2"/>
          <w:sz w:val="28"/>
          <w:szCs w:val="20"/>
          <w:lang w:eastAsia="zh-CN"/>
        </w:rPr>
        <w:t>6.施工设备和临时设施</w:t>
      </w:r>
      <w:bookmarkEnd w:id="1158"/>
      <w:bookmarkEnd w:id="1159"/>
      <w:bookmarkEnd w:id="1160"/>
      <w:bookmarkEnd w:id="1161"/>
      <w:bookmarkEnd w:id="1162"/>
      <w:bookmarkEnd w:id="1163"/>
      <w:bookmarkEnd w:id="1164"/>
      <w:bookmarkEnd w:id="1165"/>
      <w:bookmarkEnd w:id="1166"/>
      <w:bookmarkEnd w:id="1167"/>
      <w:bookmarkEnd w:id="1168"/>
    </w:p>
    <w:p w14:paraId="1B542698">
      <w:pPr>
        <w:keepNext/>
        <w:keepLines/>
        <w:spacing w:before="120" w:beforeLines="50" w:after="120" w:afterLines="50" w:line="360" w:lineRule="auto"/>
        <w:jc w:val="both"/>
        <w:outlineLvl w:val="2"/>
        <w:rPr>
          <w:rFonts w:ascii="宋体" w:hAnsi="宋体" w:eastAsia="宋体" w:cs="宋体"/>
          <w:sz w:val="24"/>
          <w:szCs w:val="20"/>
          <w:lang w:eastAsia="zh-CN"/>
        </w:rPr>
      </w:pPr>
      <w:bookmarkStart w:id="1169" w:name="_Toc489280199"/>
      <w:bookmarkStart w:id="1170" w:name="_Toc497214062"/>
      <w:bookmarkStart w:id="1171" w:name="_Toc490331684"/>
      <w:bookmarkStart w:id="1172" w:name="_Toc486580393"/>
      <w:bookmarkStart w:id="1173" w:name="_Toc485323167"/>
      <w:bookmarkStart w:id="1174" w:name="_Toc497584053"/>
      <w:bookmarkStart w:id="1175" w:name="_Toc16264591"/>
      <w:bookmarkStart w:id="1176" w:name="_Toc47947506"/>
      <w:r>
        <w:rPr>
          <w:rFonts w:hint="eastAsia" w:ascii="宋体" w:hAnsi="宋体" w:eastAsia="宋体" w:cs="宋体"/>
          <w:sz w:val="24"/>
          <w:szCs w:val="20"/>
          <w:lang w:eastAsia="zh-CN"/>
        </w:rPr>
        <w:t>6.1  承包人提供的施工设备和临时设施</w:t>
      </w:r>
      <w:bookmarkEnd w:id="1169"/>
      <w:bookmarkEnd w:id="1170"/>
      <w:bookmarkEnd w:id="1171"/>
      <w:bookmarkEnd w:id="1172"/>
      <w:bookmarkEnd w:id="1173"/>
      <w:bookmarkEnd w:id="1174"/>
      <w:bookmarkEnd w:id="1175"/>
      <w:bookmarkEnd w:id="1176"/>
    </w:p>
    <w:p w14:paraId="06595895">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6.1.2  承包人承担自行修建临时设施费用的范围：</w:t>
      </w:r>
      <w:r>
        <w:rPr>
          <w:rFonts w:hint="eastAsia" w:ascii="宋体" w:hAnsi="宋体" w:eastAsia="宋体" w:cs="宋体"/>
          <w:kern w:val="2"/>
          <w:sz w:val="21"/>
          <w:szCs w:val="21"/>
          <w:u w:val="single"/>
          <w:lang w:eastAsia="zh-CN"/>
        </w:rPr>
        <w:t xml:space="preserve">        /              </w:t>
      </w:r>
    </w:p>
    <w:p w14:paraId="2CA80AEC">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发包人办理申请手续并承担相关费用的临时占地：</w:t>
      </w:r>
      <w:r>
        <w:rPr>
          <w:rFonts w:hint="eastAsia" w:ascii="宋体" w:hAnsi="宋体" w:eastAsia="宋体" w:cs="宋体"/>
          <w:kern w:val="2"/>
          <w:sz w:val="21"/>
          <w:szCs w:val="24"/>
          <w:u w:val="single"/>
          <w:lang w:eastAsia="zh-CN"/>
        </w:rPr>
        <w:t xml:space="preserve">     /</w:t>
      </w:r>
      <w:r>
        <w:rPr>
          <w:rFonts w:hint="eastAsia" w:ascii="宋体" w:hAnsi="宋体" w:eastAsia="宋体" w:cs="宋体"/>
          <w:kern w:val="2"/>
          <w:sz w:val="21"/>
          <w:szCs w:val="21"/>
          <w:u w:val="single"/>
          <w:lang w:eastAsia="zh-CN"/>
        </w:rPr>
        <w:t xml:space="preserve">                  </w:t>
      </w:r>
    </w:p>
    <w:p w14:paraId="45B7BB74">
      <w:pPr>
        <w:keepNext/>
        <w:keepLines/>
        <w:spacing w:before="120" w:beforeLines="50" w:after="120" w:afterLines="50" w:line="360" w:lineRule="auto"/>
        <w:jc w:val="both"/>
        <w:outlineLvl w:val="2"/>
        <w:rPr>
          <w:rFonts w:ascii="宋体" w:hAnsi="宋体" w:eastAsia="宋体" w:cs="宋体"/>
          <w:sz w:val="24"/>
          <w:szCs w:val="20"/>
          <w:lang w:eastAsia="zh-CN"/>
        </w:rPr>
      </w:pPr>
      <w:bookmarkStart w:id="1177" w:name="_Toc490331685"/>
      <w:bookmarkStart w:id="1178" w:name="_Toc497214063"/>
      <w:bookmarkStart w:id="1179" w:name="_Toc497584054"/>
      <w:bookmarkStart w:id="1180" w:name="_Toc486580394"/>
      <w:bookmarkStart w:id="1181" w:name="_Toc47947507"/>
      <w:bookmarkStart w:id="1182" w:name="_Toc16264592"/>
      <w:bookmarkStart w:id="1183" w:name="_Toc489280200"/>
      <w:bookmarkStart w:id="1184" w:name="_Toc485323168"/>
      <w:r>
        <w:rPr>
          <w:rFonts w:hint="eastAsia" w:ascii="宋体" w:hAnsi="宋体" w:eastAsia="宋体" w:cs="宋体"/>
          <w:sz w:val="24"/>
          <w:szCs w:val="20"/>
          <w:lang w:eastAsia="zh-CN"/>
        </w:rPr>
        <w:t>6.2  发包人提供的施工设备和临时设施</w:t>
      </w:r>
      <w:bookmarkEnd w:id="1177"/>
      <w:bookmarkEnd w:id="1178"/>
      <w:bookmarkEnd w:id="1179"/>
      <w:bookmarkEnd w:id="1180"/>
      <w:bookmarkEnd w:id="1181"/>
      <w:bookmarkEnd w:id="1182"/>
      <w:bookmarkEnd w:id="1183"/>
      <w:bookmarkEnd w:id="1184"/>
    </w:p>
    <w:p w14:paraId="349F2210">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发包人提供的施工设备和临时设施：</w:t>
      </w:r>
      <w:r>
        <w:rPr>
          <w:rFonts w:hint="eastAsia" w:ascii="宋体" w:hAnsi="宋体" w:eastAsia="宋体" w:cs="宋体"/>
          <w:kern w:val="2"/>
          <w:sz w:val="21"/>
          <w:szCs w:val="21"/>
          <w:u w:val="single"/>
          <w:lang w:eastAsia="zh-CN"/>
        </w:rPr>
        <w:t xml:space="preserve">         /                     </w:t>
      </w:r>
    </w:p>
    <w:p w14:paraId="57EAA03E">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发包人提供的施工设备和临时设施的运行、维护、拆除、清运费用的承担人：</w:t>
      </w:r>
      <w:r>
        <w:rPr>
          <w:rFonts w:hint="eastAsia" w:ascii="宋体" w:hAnsi="宋体" w:eastAsia="宋体" w:cs="宋体"/>
          <w:kern w:val="2"/>
          <w:sz w:val="21"/>
          <w:szCs w:val="21"/>
          <w:u w:val="single"/>
          <w:lang w:eastAsia="zh-CN"/>
        </w:rPr>
        <w:t xml:space="preserve">   /   </w:t>
      </w:r>
    </w:p>
    <w:p w14:paraId="5F1261F5">
      <w:pPr>
        <w:keepNext/>
        <w:keepLines/>
        <w:spacing w:before="120" w:beforeLines="50" w:after="120" w:afterLines="50" w:line="360" w:lineRule="auto"/>
        <w:jc w:val="both"/>
        <w:outlineLvl w:val="1"/>
        <w:rPr>
          <w:rFonts w:ascii="宋体" w:hAnsi="宋体" w:eastAsia="宋体" w:cs="宋体"/>
          <w:kern w:val="2"/>
          <w:sz w:val="28"/>
          <w:szCs w:val="20"/>
          <w:lang w:eastAsia="zh-CN"/>
        </w:rPr>
      </w:pPr>
      <w:bookmarkStart w:id="1185" w:name="_Toc497584055"/>
      <w:bookmarkStart w:id="1186" w:name="_Toc497214064"/>
      <w:bookmarkStart w:id="1187" w:name="_Toc25728"/>
      <w:bookmarkStart w:id="1188" w:name="_Toc489280201"/>
      <w:bookmarkStart w:id="1189" w:name="_Toc47947508"/>
      <w:bookmarkStart w:id="1190" w:name="_Toc486580395"/>
      <w:bookmarkStart w:id="1191" w:name="_Toc16264593"/>
      <w:bookmarkStart w:id="1192" w:name="_Toc14493"/>
      <w:bookmarkStart w:id="1193" w:name="_Toc485323169"/>
      <w:bookmarkStart w:id="1194" w:name="_Toc490331686"/>
      <w:bookmarkStart w:id="1195" w:name="_Toc22386"/>
      <w:r>
        <w:rPr>
          <w:rFonts w:hint="eastAsia" w:ascii="宋体" w:hAnsi="宋体" w:eastAsia="宋体" w:cs="宋体"/>
          <w:kern w:val="2"/>
          <w:sz w:val="28"/>
          <w:szCs w:val="20"/>
          <w:lang w:eastAsia="zh-CN"/>
        </w:rPr>
        <w:t>7.交通运输</w:t>
      </w:r>
      <w:bookmarkEnd w:id="1185"/>
      <w:bookmarkEnd w:id="1186"/>
      <w:bookmarkEnd w:id="1187"/>
      <w:bookmarkEnd w:id="1188"/>
      <w:bookmarkEnd w:id="1189"/>
      <w:bookmarkEnd w:id="1190"/>
      <w:bookmarkEnd w:id="1191"/>
      <w:bookmarkEnd w:id="1192"/>
      <w:bookmarkEnd w:id="1193"/>
      <w:bookmarkEnd w:id="1194"/>
      <w:bookmarkEnd w:id="1195"/>
    </w:p>
    <w:p w14:paraId="5F44E25F">
      <w:pPr>
        <w:keepNext/>
        <w:keepLines/>
        <w:spacing w:before="120" w:beforeLines="50" w:after="120" w:afterLines="50" w:line="360" w:lineRule="auto"/>
        <w:jc w:val="both"/>
        <w:outlineLvl w:val="2"/>
        <w:rPr>
          <w:rFonts w:ascii="宋体" w:hAnsi="宋体" w:eastAsia="宋体" w:cs="宋体"/>
          <w:sz w:val="24"/>
          <w:szCs w:val="20"/>
          <w:lang w:eastAsia="zh-CN"/>
        </w:rPr>
      </w:pPr>
      <w:bookmarkStart w:id="1196" w:name="_Toc489280202"/>
      <w:bookmarkStart w:id="1197" w:name="_Toc490331687"/>
      <w:bookmarkStart w:id="1198" w:name="_Toc16264594"/>
      <w:bookmarkStart w:id="1199" w:name="_Toc485323170"/>
      <w:bookmarkStart w:id="1200" w:name="_Toc497584056"/>
      <w:bookmarkStart w:id="1201" w:name="_Toc486580396"/>
      <w:bookmarkStart w:id="1202" w:name="_Toc47947509"/>
      <w:bookmarkStart w:id="1203" w:name="_Toc497214065"/>
      <w:r>
        <w:rPr>
          <w:rFonts w:hint="eastAsia" w:ascii="宋体" w:hAnsi="宋体" w:eastAsia="宋体" w:cs="宋体"/>
          <w:sz w:val="24"/>
          <w:szCs w:val="20"/>
          <w:lang w:eastAsia="zh-CN"/>
        </w:rPr>
        <w:t>7.1  道路通行权和场外设施</w:t>
      </w:r>
      <w:bookmarkEnd w:id="1196"/>
      <w:bookmarkEnd w:id="1197"/>
      <w:bookmarkEnd w:id="1198"/>
      <w:bookmarkEnd w:id="1199"/>
      <w:bookmarkEnd w:id="1200"/>
      <w:bookmarkEnd w:id="1201"/>
      <w:bookmarkEnd w:id="1202"/>
      <w:bookmarkEnd w:id="1203"/>
    </w:p>
    <w:p w14:paraId="70AD45B4">
      <w:pPr>
        <w:spacing w:after="0" w:line="360" w:lineRule="auto"/>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负责取得道路通行权、场外设施修建权的办理人:</w:t>
      </w:r>
      <w:r>
        <w:rPr>
          <w:rFonts w:hint="eastAsia" w:ascii="宋体" w:hAnsi="宋体" w:eastAsia="宋体" w:cs="宋体"/>
          <w:kern w:val="2"/>
          <w:sz w:val="21"/>
          <w:szCs w:val="21"/>
          <w:u w:val="single"/>
          <w:lang w:eastAsia="zh-CN"/>
        </w:rPr>
        <w:t xml:space="preserve"> 承包人</w:t>
      </w:r>
      <w:r>
        <w:rPr>
          <w:rFonts w:hint="eastAsia" w:ascii="宋体" w:hAnsi="宋体" w:eastAsia="宋体" w:cs="宋体"/>
          <w:kern w:val="2"/>
          <w:sz w:val="21"/>
          <w:szCs w:val="21"/>
          <w:lang w:eastAsia="zh-CN"/>
        </w:rPr>
        <w:t xml:space="preserve"> ，其相关费用由发包人承担。                       </w:t>
      </w:r>
    </w:p>
    <w:p w14:paraId="4257F982">
      <w:pPr>
        <w:keepNext/>
        <w:keepLines/>
        <w:spacing w:before="120" w:beforeLines="50" w:after="120" w:afterLines="50" w:line="360" w:lineRule="auto"/>
        <w:jc w:val="both"/>
        <w:outlineLvl w:val="2"/>
        <w:rPr>
          <w:rFonts w:ascii="宋体" w:hAnsi="宋体" w:eastAsia="宋体" w:cs="宋体"/>
          <w:sz w:val="24"/>
          <w:szCs w:val="20"/>
          <w:lang w:eastAsia="zh-CN"/>
        </w:rPr>
      </w:pPr>
      <w:bookmarkStart w:id="1204" w:name="_Toc47947510"/>
      <w:bookmarkStart w:id="1205" w:name="_Toc489280203"/>
      <w:bookmarkStart w:id="1206" w:name="_Toc16264595"/>
      <w:bookmarkStart w:id="1207" w:name="_Toc497214066"/>
      <w:bookmarkStart w:id="1208" w:name="_Toc485323171"/>
      <w:bookmarkStart w:id="1209" w:name="_Toc486580397"/>
      <w:bookmarkStart w:id="1210" w:name="_Toc497584057"/>
      <w:bookmarkStart w:id="1211" w:name="_Toc490331688"/>
      <w:r>
        <w:rPr>
          <w:rFonts w:hint="eastAsia" w:ascii="宋体" w:hAnsi="宋体" w:eastAsia="宋体" w:cs="宋体"/>
          <w:sz w:val="24"/>
          <w:szCs w:val="20"/>
          <w:lang w:eastAsia="zh-CN"/>
        </w:rPr>
        <w:t>7.2  场内施工道路</w:t>
      </w:r>
      <w:bookmarkEnd w:id="1204"/>
      <w:bookmarkEnd w:id="1205"/>
      <w:bookmarkEnd w:id="1206"/>
      <w:bookmarkEnd w:id="1207"/>
      <w:bookmarkEnd w:id="1208"/>
      <w:bookmarkEnd w:id="1209"/>
      <w:bookmarkEnd w:id="1210"/>
      <w:bookmarkEnd w:id="1211"/>
    </w:p>
    <w:p w14:paraId="440BD874">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7.2.1  施工所需的场内临时道路和交通设施的修建、维护、养护和管理人：</w:t>
      </w:r>
      <w:r>
        <w:rPr>
          <w:rFonts w:hint="eastAsia" w:ascii="宋体" w:hAnsi="宋体" w:eastAsia="宋体" w:cs="宋体"/>
          <w:kern w:val="2"/>
          <w:sz w:val="21"/>
          <w:szCs w:val="21"/>
          <w:u w:val="single"/>
          <w:lang w:eastAsia="zh-CN"/>
        </w:rPr>
        <w:t xml:space="preserve"> 承包人  </w:t>
      </w:r>
      <w:r>
        <w:rPr>
          <w:rFonts w:hint="eastAsia" w:ascii="宋体" w:hAnsi="宋体" w:eastAsia="宋体" w:cs="宋体"/>
          <w:kern w:val="2"/>
          <w:sz w:val="21"/>
          <w:szCs w:val="21"/>
          <w:lang w:eastAsia="zh-CN"/>
        </w:rPr>
        <w:t>，相关费用由</w:t>
      </w:r>
      <w:r>
        <w:rPr>
          <w:rFonts w:hint="eastAsia" w:ascii="宋体" w:hAnsi="宋体" w:eastAsia="宋体" w:cs="宋体"/>
          <w:kern w:val="2"/>
          <w:sz w:val="21"/>
          <w:szCs w:val="21"/>
          <w:u w:val="single"/>
          <w:lang w:eastAsia="zh-CN"/>
        </w:rPr>
        <w:t xml:space="preserve">  承包人 </w:t>
      </w:r>
      <w:r>
        <w:rPr>
          <w:rFonts w:hint="eastAsia" w:ascii="宋体" w:hAnsi="宋体" w:eastAsia="宋体" w:cs="宋体"/>
          <w:kern w:val="2"/>
          <w:sz w:val="21"/>
          <w:szCs w:val="21"/>
          <w:lang w:eastAsia="zh-CN"/>
        </w:rPr>
        <w:t>承担。</w:t>
      </w:r>
    </w:p>
    <w:p w14:paraId="157BA705">
      <w:pPr>
        <w:keepNext/>
        <w:keepLines/>
        <w:spacing w:before="120" w:beforeLines="50" w:after="120" w:afterLines="50" w:line="360" w:lineRule="auto"/>
        <w:jc w:val="both"/>
        <w:outlineLvl w:val="2"/>
        <w:rPr>
          <w:rFonts w:ascii="宋体" w:hAnsi="宋体" w:eastAsia="宋体" w:cs="宋体"/>
          <w:sz w:val="24"/>
          <w:szCs w:val="20"/>
          <w:lang w:eastAsia="zh-CN"/>
        </w:rPr>
      </w:pPr>
      <w:bookmarkStart w:id="1212" w:name="_Toc486580398"/>
      <w:bookmarkStart w:id="1213" w:name="_Toc47947511"/>
      <w:bookmarkStart w:id="1214" w:name="_Toc485323172"/>
      <w:bookmarkStart w:id="1215" w:name="_Toc497214067"/>
      <w:bookmarkStart w:id="1216" w:name="_Toc497584058"/>
      <w:bookmarkStart w:id="1217" w:name="_Toc490331689"/>
      <w:bookmarkStart w:id="1218" w:name="_Toc489280204"/>
      <w:bookmarkStart w:id="1219" w:name="_Toc16264596"/>
      <w:r>
        <w:rPr>
          <w:rFonts w:hint="eastAsia" w:ascii="宋体" w:hAnsi="宋体" w:eastAsia="宋体" w:cs="宋体"/>
          <w:sz w:val="24"/>
          <w:szCs w:val="20"/>
          <w:lang w:eastAsia="zh-CN"/>
        </w:rPr>
        <w:t>7.4  超大件和超重件的运输</w:t>
      </w:r>
      <w:bookmarkEnd w:id="1212"/>
      <w:bookmarkEnd w:id="1213"/>
      <w:bookmarkEnd w:id="1214"/>
      <w:bookmarkEnd w:id="1215"/>
      <w:bookmarkEnd w:id="1216"/>
      <w:bookmarkEnd w:id="1217"/>
      <w:bookmarkEnd w:id="1218"/>
      <w:bookmarkEnd w:id="1219"/>
    </w:p>
    <w:p w14:paraId="43C32C3B">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运输超大件或超重件所需的道路和桥梁临时加固改造等费用的承担人：</w:t>
      </w:r>
      <w:r>
        <w:rPr>
          <w:rFonts w:hint="eastAsia" w:ascii="宋体" w:hAnsi="宋体" w:eastAsia="宋体" w:cs="宋体"/>
          <w:kern w:val="2"/>
          <w:sz w:val="21"/>
          <w:szCs w:val="21"/>
          <w:u w:val="single"/>
          <w:lang w:eastAsia="zh-CN"/>
        </w:rPr>
        <w:t xml:space="preserve">  承包人，该费用计入投标报价 。   </w:t>
      </w:r>
    </w:p>
    <w:p w14:paraId="31849CDD">
      <w:pPr>
        <w:keepNext/>
        <w:keepLines/>
        <w:spacing w:before="120" w:beforeLines="50" w:after="120" w:afterLines="50" w:line="360" w:lineRule="auto"/>
        <w:jc w:val="both"/>
        <w:outlineLvl w:val="1"/>
        <w:rPr>
          <w:rFonts w:ascii="宋体" w:hAnsi="宋体" w:eastAsia="宋体" w:cs="宋体"/>
          <w:kern w:val="2"/>
          <w:sz w:val="28"/>
          <w:szCs w:val="20"/>
          <w:lang w:eastAsia="zh-CN"/>
        </w:rPr>
      </w:pPr>
      <w:bookmarkStart w:id="1220" w:name="_Toc20960"/>
      <w:bookmarkStart w:id="1221" w:name="_Toc16264597"/>
      <w:bookmarkStart w:id="1222" w:name="_Toc3164"/>
      <w:bookmarkStart w:id="1223" w:name="_Toc497584059"/>
      <w:bookmarkStart w:id="1224" w:name="_Toc47947512"/>
      <w:bookmarkStart w:id="1225" w:name="_Toc486580399"/>
      <w:bookmarkStart w:id="1226" w:name="_Toc490331690"/>
      <w:bookmarkStart w:id="1227" w:name="_Toc489280205"/>
      <w:bookmarkStart w:id="1228" w:name="_Toc8008"/>
      <w:bookmarkStart w:id="1229" w:name="_Toc497214068"/>
      <w:bookmarkStart w:id="1230" w:name="_Toc485323173"/>
      <w:r>
        <w:rPr>
          <w:rFonts w:hint="eastAsia" w:ascii="宋体" w:hAnsi="宋体" w:eastAsia="宋体" w:cs="宋体"/>
          <w:kern w:val="2"/>
          <w:sz w:val="28"/>
          <w:szCs w:val="20"/>
          <w:lang w:eastAsia="zh-CN"/>
        </w:rPr>
        <w:t>8.测量放线</w:t>
      </w:r>
      <w:bookmarkEnd w:id="1220"/>
      <w:bookmarkEnd w:id="1221"/>
      <w:bookmarkEnd w:id="1222"/>
      <w:bookmarkEnd w:id="1223"/>
      <w:bookmarkEnd w:id="1224"/>
      <w:bookmarkEnd w:id="1225"/>
      <w:bookmarkEnd w:id="1226"/>
      <w:bookmarkEnd w:id="1227"/>
      <w:bookmarkEnd w:id="1228"/>
      <w:bookmarkEnd w:id="1229"/>
      <w:bookmarkEnd w:id="1230"/>
    </w:p>
    <w:p w14:paraId="4782A46C">
      <w:pPr>
        <w:keepNext/>
        <w:keepLines/>
        <w:spacing w:before="120" w:beforeLines="50" w:after="120" w:afterLines="50" w:line="360" w:lineRule="auto"/>
        <w:jc w:val="both"/>
        <w:outlineLvl w:val="2"/>
        <w:rPr>
          <w:rFonts w:ascii="宋体" w:hAnsi="宋体" w:eastAsia="宋体" w:cs="宋体"/>
          <w:sz w:val="24"/>
          <w:szCs w:val="20"/>
          <w:lang w:eastAsia="zh-CN"/>
        </w:rPr>
      </w:pPr>
      <w:bookmarkStart w:id="1231" w:name="_Toc497584060"/>
      <w:bookmarkStart w:id="1232" w:name="_Toc490331691"/>
      <w:bookmarkStart w:id="1233" w:name="_Toc497214069"/>
      <w:bookmarkStart w:id="1234" w:name="_Toc47947513"/>
      <w:bookmarkStart w:id="1235" w:name="_Toc486580400"/>
      <w:bookmarkStart w:id="1236" w:name="_Toc16264598"/>
      <w:bookmarkStart w:id="1237" w:name="_Toc485323174"/>
      <w:bookmarkStart w:id="1238" w:name="_Toc489280206"/>
      <w:r>
        <w:rPr>
          <w:rFonts w:hint="eastAsia" w:ascii="宋体" w:hAnsi="宋体" w:eastAsia="宋体" w:cs="宋体"/>
          <w:sz w:val="24"/>
          <w:szCs w:val="20"/>
          <w:lang w:eastAsia="zh-CN"/>
        </w:rPr>
        <w:t>8.1  施工控制网</w:t>
      </w:r>
      <w:bookmarkEnd w:id="1231"/>
      <w:bookmarkEnd w:id="1232"/>
      <w:bookmarkEnd w:id="1233"/>
      <w:bookmarkEnd w:id="1234"/>
      <w:bookmarkEnd w:id="1235"/>
      <w:bookmarkEnd w:id="1236"/>
      <w:bookmarkEnd w:id="1237"/>
      <w:bookmarkEnd w:id="1238"/>
    </w:p>
    <w:p w14:paraId="79EAB0C7">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8.1.1  发包人通过监理人提供测量基准点、基准线和水准点及其书面资料的期限：</w:t>
      </w:r>
      <w:r>
        <w:rPr>
          <w:rFonts w:hint="eastAsia" w:ascii="宋体" w:hAnsi="宋体" w:eastAsia="宋体" w:cs="宋体"/>
          <w:kern w:val="2"/>
          <w:sz w:val="21"/>
          <w:szCs w:val="21"/>
          <w:u w:val="single"/>
          <w:lang w:eastAsia="zh-CN"/>
        </w:rPr>
        <w:t xml:space="preserve">开工前14天内。 </w:t>
      </w:r>
    </w:p>
    <w:p w14:paraId="3B8CB190">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8.1.2  承包人测设施工控制网的其他要求：</w:t>
      </w:r>
      <w:r>
        <w:rPr>
          <w:rFonts w:hint="eastAsia" w:ascii="宋体" w:hAnsi="宋体" w:eastAsia="宋体" w:cs="宋体"/>
          <w:kern w:val="2"/>
          <w:sz w:val="21"/>
          <w:szCs w:val="21"/>
          <w:u w:val="single"/>
          <w:lang w:eastAsia="zh-CN"/>
        </w:rPr>
        <w:t xml:space="preserve">   由承包人依据监理人提供的测量基准点、基准线和水准点以及国家的工程测量技术规范和合同要求的工程精度，测设自己的施工控制网。  </w:t>
      </w:r>
    </w:p>
    <w:p w14:paraId="1F84B11D">
      <w:pPr>
        <w:spacing w:after="0" w:line="360" w:lineRule="auto"/>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承包人将施工控制网资料报送监理人审批的期限：</w:t>
      </w:r>
      <w:r>
        <w:rPr>
          <w:rFonts w:hint="eastAsia" w:ascii="宋体" w:hAnsi="宋体" w:eastAsia="宋体" w:cs="宋体"/>
          <w:kern w:val="2"/>
          <w:sz w:val="21"/>
          <w:szCs w:val="21"/>
          <w:u w:val="single"/>
          <w:lang w:eastAsia="zh-CN"/>
        </w:rPr>
        <w:t xml:space="preserve">  在收到监理人按照通用合同条款第11.1.1项发出的开工通知后7天内。 </w:t>
      </w:r>
    </w:p>
    <w:p w14:paraId="408B6A2B">
      <w:pPr>
        <w:keepNext/>
        <w:keepLines/>
        <w:spacing w:before="120" w:beforeLines="50" w:after="120" w:afterLines="50" w:line="360" w:lineRule="auto"/>
        <w:jc w:val="both"/>
        <w:outlineLvl w:val="1"/>
        <w:rPr>
          <w:rFonts w:ascii="宋体" w:hAnsi="宋体" w:eastAsia="宋体" w:cs="宋体"/>
          <w:kern w:val="2"/>
          <w:sz w:val="28"/>
          <w:szCs w:val="20"/>
          <w:lang w:eastAsia="zh-CN"/>
        </w:rPr>
      </w:pPr>
      <w:bookmarkStart w:id="1239" w:name="_Toc16264599"/>
      <w:bookmarkStart w:id="1240" w:name="_Toc489280207"/>
      <w:bookmarkStart w:id="1241" w:name="_Toc47947514"/>
      <w:bookmarkStart w:id="1242" w:name="_Toc490331692"/>
      <w:bookmarkStart w:id="1243" w:name="_Toc497214070"/>
      <w:bookmarkStart w:id="1244" w:name="_Toc7245"/>
      <w:bookmarkStart w:id="1245" w:name="_Toc485323175"/>
      <w:bookmarkStart w:id="1246" w:name="_Toc7974"/>
      <w:bookmarkStart w:id="1247" w:name="_Toc486580401"/>
      <w:bookmarkStart w:id="1248" w:name="_Toc497584061"/>
      <w:bookmarkStart w:id="1249" w:name="_Toc30148"/>
      <w:r>
        <w:rPr>
          <w:rFonts w:hint="eastAsia" w:ascii="宋体" w:hAnsi="宋体" w:eastAsia="宋体" w:cs="宋体"/>
          <w:kern w:val="2"/>
          <w:sz w:val="28"/>
          <w:szCs w:val="20"/>
          <w:lang w:eastAsia="zh-CN"/>
        </w:rPr>
        <w:t>9.施工安全、治安保卫和环境保护</w:t>
      </w:r>
      <w:bookmarkEnd w:id="1239"/>
      <w:bookmarkEnd w:id="1240"/>
      <w:bookmarkEnd w:id="1241"/>
      <w:bookmarkEnd w:id="1242"/>
      <w:bookmarkEnd w:id="1243"/>
      <w:bookmarkEnd w:id="1244"/>
      <w:bookmarkEnd w:id="1245"/>
      <w:bookmarkEnd w:id="1246"/>
      <w:bookmarkEnd w:id="1247"/>
      <w:bookmarkEnd w:id="1248"/>
      <w:bookmarkEnd w:id="1249"/>
    </w:p>
    <w:p w14:paraId="3F74DC25">
      <w:pPr>
        <w:keepNext/>
        <w:keepLines/>
        <w:spacing w:before="120" w:beforeLines="50" w:after="120" w:afterLines="50" w:line="360" w:lineRule="auto"/>
        <w:jc w:val="both"/>
        <w:outlineLvl w:val="2"/>
        <w:rPr>
          <w:rFonts w:ascii="宋体" w:hAnsi="宋体" w:eastAsia="宋体" w:cs="宋体"/>
          <w:sz w:val="24"/>
          <w:szCs w:val="20"/>
          <w:lang w:eastAsia="zh-CN"/>
        </w:rPr>
      </w:pPr>
      <w:bookmarkStart w:id="1250" w:name="_Toc486580402"/>
      <w:bookmarkStart w:id="1251" w:name="_Toc497214071"/>
      <w:bookmarkStart w:id="1252" w:name="_Toc489280208"/>
      <w:bookmarkStart w:id="1253" w:name="_Toc490331693"/>
      <w:bookmarkStart w:id="1254" w:name="_Toc16264600"/>
      <w:bookmarkStart w:id="1255" w:name="_Toc485323176"/>
      <w:bookmarkStart w:id="1256" w:name="_Toc497584062"/>
      <w:bookmarkStart w:id="1257" w:name="_Toc47947515"/>
      <w:r>
        <w:rPr>
          <w:rFonts w:hint="eastAsia" w:ascii="宋体" w:hAnsi="宋体" w:eastAsia="宋体" w:cs="宋体"/>
          <w:sz w:val="24"/>
          <w:szCs w:val="20"/>
          <w:lang w:eastAsia="zh-CN"/>
        </w:rPr>
        <w:t>9.2  承包人的施工安全责任</w:t>
      </w:r>
      <w:bookmarkEnd w:id="1250"/>
      <w:bookmarkEnd w:id="1251"/>
      <w:bookmarkEnd w:id="1252"/>
      <w:bookmarkEnd w:id="1253"/>
      <w:bookmarkEnd w:id="1254"/>
      <w:bookmarkEnd w:id="1255"/>
      <w:bookmarkEnd w:id="1256"/>
      <w:bookmarkEnd w:id="1257"/>
    </w:p>
    <w:p w14:paraId="012E6032">
      <w:pPr>
        <w:spacing w:after="0" w:line="360" w:lineRule="auto"/>
        <w:ind w:left="420" w:leftChars="200"/>
        <w:jc w:val="both"/>
        <w:rPr>
          <w:rFonts w:ascii="宋体" w:hAnsi="宋体" w:eastAsia="宋体" w:cs="宋体"/>
          <w:sz w:val="21"/>
          <w:szCs w:val="21"/>
          <w:u w:val="single"/>
          <w:lang w:eastAsia="zh-CN"/>
        </w:rPr>
      </w:pPr>
      <w:bookmarkStart w:id="1258" w:name="_Toc485323177"/>
      <w:bookmarkStart w:id="1259" w:name="_Toc486580403"/>
      <w:bookmarkStart w:id="1260" w:name="_Toc489280209"/>
      <w:r>
        <w:rPr>
          <w:rFonts w:hint="eastAsia" w:ascii="宋体" w:hAnsi="宋体" w:eastAsia="宋体" w:cs="宋体"/>
          <w:sz w:val="21"/>
          <w:szCs w:val="21"/>
          <w:lang w:eastAsia="zh-CN"/>
        </w:rPr>
        <w:t>9.2.1  承包人向监理人报送施工安全措施计划的期限：</w:t>
      </w:r>
      <w:r>
        <w:rPr>
          <w:rFonts w:hint="eastAsia" w:ascii="宋体" w:hAnsi="宋体" w:eastAsia="宋体" w:cs="宋体"/>
          <w:sz w:val="21"/>
          <w:szCs w:val="21"/>
          <w:u w:val="single"/>
          <w:lang w:eastAsia="zh-CN"/>
        </w:rPr>
        <w:t xml:space="preserve"> 在收到监理人按照通用合同</w:t>
      </w:r>
    </w:p>
    <w:p w14:paraId="6B2D0F17">
      <w:pPr>
        <w:spacing w:after="0" w:line="360" w:lineRule="auto"/>
        <w:jc w:val="both"/>
        <w:rPr>
          <w:rFonts w:ascii="宋体" w:hAnsi="宋体" w:eastAsia="宋体" w:cs="宋体"/>
          <w:sz w:val="21"/>
          <w:szCs w:val="21"/>
          <w:lang w:eastAsia="zh-CN"/>
        </w:rPr>
      </w:pPr>
      <w:r>
        <w:rPr>
          <w:rFonts w:hint="eastAsia" w:ascii="宋体" w:hAnsi="宋体" w:eastAsia="宋体" w:cs="宋体"/>
          <w:sz w:val="21"/>
          <w:szCs w:val="21"/>
          <w:u w:val="single"/>
          <w:lang w:eastAsia="zh-CN"/>
        </w:rPr>
        <w:t xml:space="preserve">条款第11.1.1项发出的开工通知后7天内。 </w:t>
      </w:r>
    </w:p>
    <w:p w14:paraId="3AA8D6A6">
      <w:pPr>
        <w:spacing w:after="0" w:line="360" w:lineRule="auto"/>
        <w:ind w:left="420" w:leftChars="200"/>
        <w:jc w:val="both"/>
        <w:rPr>
          <w:rFonts w:ascii="宋体" w:hAnsi="宋体" w:eastAsia="宋体" w:cs="宋体"/>
          <w:sz w:val="21"/>
          <w:szCs w:val="21"/>
          <w:lang w:eastAsia="zh-CN"/>
        </w:rPr>
      </w:pPr>
      <w:r>
        <w:rPr>
          <w:rFonts w:hint="eastAsia" w:ascii="宋体" w:hAnsi="宋体" w:eastAsia="宋体" w:cs="宋体"/>
          <w:sz w:val="21"/>
          <w:szCs w:val="21"/>
          <w:lang w:eastAsia="zh-CN"/>
        </w:rPr>
        <w:t>监理人收到承包人报送的施工安全措施计划后应当在</w:t>
      </w:r>
      <w:r>
        <w:rPr>
          <w:rFonts w:hint="eastAsia" w:ascii="宋体" w:hAnsi="宋体" w:eastAsia="宋体" w:cs="宋体"/>
          <w:sz w:val="21"/>
          <w:szCs w:val="21"/>
          <w:u w:val="single"/>
          <w:lang w:eastAsia="zh-CN"/>
        </w:rPr>
        <w:t xml:space="preserve">   7     </w:t>
      </w:r>
      <w:r>
        <w:rPr>
          <w:rFonts w:hint="eastAsia" w:ascii="宋体" w:hAnsi="宋体" w:eastAsia="宋体" w:cs="宋体"/>
          <w:sz w:val="21"/>
          <w:szCs w:val="21"/>
          <w:lang w:eastAsia="zh-CN"/>
        </w:rPr>
        <w:t>天内给予批复。</w:t>
      </w:r>
    </w:p>
    <w:p w14:paraId="7A3F75E5">
      <w:pPr>
        <w:keepNext/>
        <w:keepLines/>
        <w:spacing w:before="120" w:beforeLines="50" w:after="120" w:afterLines="50" w:line="360" w:lineRule="auto"/>
        <w:jc w:val="both"/>
        <w:outlineLvl w:val="2"/>
        <w:rPr>
          <w:rFonts w:ascii="宋体" w:hAnsi="宋体" w:eastAsia="宋体" w:cs="宋体"/>
          <w:sz w:val="24"/>
          <w:szCs w:val="20"/>
          <w:lang w:eastAsia="zh-CN"/>
        </w:rPr>
      </w:pPr>
      <w:bookmarkStart w:id="1261" w:name="_Toc47947516"/>
      <w:bookmarkStart w:id="1262" w:name="_Toc16264601"/>
      <w:bookmarkStart w:id="1263" w:name="_Toc497214072"/>
      <w:bookmarkStart w:id="1264" w:name="_Toc490331694"/>
      <w:bookmarkStart w:id="1265" w:name="_Toc497584063"/>
      <w:r>
        <w:rPr>
          <w:rFonts w:hint="eastAsia" w:ascii="宋体" w:hAnsi="宋体" w:eastAsia="宋体" w:cs="宋体"/>
          <w:sz w:val="24"/>
          <w:szCs w:val="20"/>
          <w:lang w:eastAsia="zh-CN"/>
        </w:rPr>
        <w:t>9.3  治安保卫</w:t>
      </w:r>
      <w:bookmarkEnd w:id="1258"/>
      <w:bookmarkEnd w:id="1259"/>
      <w:bookmarkEnd w:id="1260"/>
      <w:bookmarkEnd w:id="1261"/>
      <w:bookmarkEnd w:id="1262"/>
      <w:bookmarkEnd w:id="1263"/>
      <w:bookmarkEnd w:id="1264"/>
      <w:bookmarkEnd w:id="1265"/>
    </w:p>
    <w:p w14:paraId="6F9AB8FE">
      <w:pPr>
        <w:spacing w:after="0" w:line="360" w:lineRule="auto"/>
        <w:ind w:left="420" w:leftChars="200"/>
        <w:jc w:val="both"/>
        <w:rPr>
          <w:rFonts w:ascii="宋体" w:hAnsi="宋体" w:eastAsia="宋体" w:cs="宋体"/>
          <w:sz w:val="21"/>
          <w:szCs w:val="21"/>
          <w:lang w:eastAsia="zh-CN"/>
        </w:rPr>
      </w:pPr>
      <w:bookmarkStart w:id="1266" w:name="_Toc485323178"/>
      <w:bookmarkStart w:id="1267" w:name="_Toc486580404"/>
      <w:bookmarkStart w:id="1268" w:name="_Toc489280210"/>
      <w:r>
        <w:rPr>
          <w:rFonts w:hint="eastAsia" w:ascii="宋体" w:hAnsi="宋体" w:eastAsia="宋体" w:cs="宋体"/>
          <w:sz w:val="21"/>
          <w:szCs w:val="21"/>
          <w:lang w:eastAsia="zh-CN"/>
        </w:rPr>
        <w:t>9.3.3 制定施工场地治安管理计划和突发治安事件紧急预案的责任人</w:t>
      </w:r>
      <w:r>
        <w:rPr>
          <w:rFonts w:hint="eastAsia" w:ascii="宋体" w:hAnsi="宋体" w:eastAsia="宋体" w:cs="宋体"/>
          <w:kern w:val="2"/>
          <w:sz w:val="21"/>
          <w:szCs w:val="21"/>
          <w:lang w:eastAsia="zh-CN"/>
        </w:rPr>
        <w:t>：</w:t>
      </w:r>
      <w:r>
        <w:rPr>
          <w:rFonts w:hint="eastAsia" w:ascii="宋体" w:hAnsi="宋体" w:eastAsia="宋体" w:cs="宋体"/>
          <w:kern w:val="2"/>
          <w:sz w:val="21"/>
          <w:szCs w:val="21"/>
          <w:u w:val="single"/>
          <w:lang w:eastAsia="zh-CN"/>
        </w:rPr>
        <w:t xml:space="preserve">   承包人    </w:t>
      </w:r>
    </w:p>
    <w:p w14:paraId="1DB7CA35">
      <w:pPr>
        <w:keepNext/>
        <w:keepLines/>
        <w:spacing w:before="120" w:beforeLines="50" w:after="120" w:afterLines="50" w:line="360" w:lineRule="auto"/>
        <w:jc w:val="both"/>
        <w:outlineLvl w:val="2"/>
        <w:rPr>
          <w:rFonts w:ascii="宋体" w:hAnsi="宋体" w:eastAsia="宋体" w:cs="宋体"/>
          <w:sz w:val="24"/>
          <w:szCs w:val="20"/>
          <w:lang w:eastAsia="zh-CN"/>
        </w:rPr>
      </w:pPr>
      <w:bookmarkStart w:id="1269" w:name="_Toc490331695"/>
      <w:bookmarkStart w:id="1270" w:name="_Toc47947517"/>
      <w:bookmarkStart w:id="1271" w:name="_Toc16264602"/>
      <w:bookmarkStart w:id="1272" w:name="_Toc497584064"/>
      <w:bookmarkStart w:id="1273" w:name="_Toc497214073"/>
      <w:r>
        <w:rPr>
          <w:rFonts w:hint="eastAsia" w:ascii="宋体" w:hAnsi="宋体" w:eastAsia="宋体" w:cs="宋体"/>
          <w:sz w:val="24"/>
          <w:szCs w:val="20"/>
          <w:lang w:eastAsia="zh-CN"/>
        </w:rPr>
        <w:t>9.4  环境保护</w:t>
      </w:r>
      <w:bookmarkEnd w:id="1266"/>
      <w:bookmarkEnd w:id="1267"/>
      <w:bookmarkEnd w:id="1268"/>
      <w:bookmarkEnd w:id="1269"/>
      <w:bookmarkEnd w:id="1270"/>
      <w:bookmarkEnd w:id="1271"/>
      <w:bookmarkEnd w:id="1272"/>
      <w:bookmarkEnd w:id="1273"/>
    </w:p>
    <w:p w14:paraId="2ED51651">
      <w:pPr>
        <w:spacing w:after="0" w:line="360" w:lineRule="auto"/>
        <w:ind w:left="420" w:leftChars="200"/>
        <w:jc w:val="both"/>
        <w:rPr>
          <w:rFonts w:ascii="宋体" w:hAnsi="宋体" w:eastAsia="宋体" w:cs="宋体"/>
          <w:kern w:val="2"/>
          <w:sz w:val="21"/>
          <w:szCs w:val="21"/>
          <w:u w:val="single"/>
          <w:lang w:eastAsia="zh-CN"/>
        </w:rPr>
      </w:pPr>
      <w:bookmarkStart w:id="1274" w:name="_Toc489280211"/>
      <w:bookmarkStart w:id="1275" w:name="_Toc486580405"/>
      <w:bookmarkStart w:id="1276" w:name="_Toc485323179"/>
      <w:r>
        <w:rPr>
          <w:rFonts w:hint="eastAsia" w:ascii="宋体" w:hAnsi="宋体" w:eastAsia="宋体" w:cs="宋体"/>
          <w:sz w:val="21"/>
          <w:szCs w:val="21"/>
          <w:lang w:eastAsia="zh-CN"/>
        </w:rPr>
        <w:t>9.4.3  施工环保措施计划报送监理人审批的时间</w:t>
      </w:r>
      <w:r>
        <w:rPr>
          <w:rFonts w:hint="eastAsia" w:ascii="宋体" w:hAnsi="宋体" w:eastAsia="宋体" w:cs="宋体"/>
          <w:kern w:val="2"/>
          <w:sz w:val="21"/>
          <w:szCs w:val="21"/>
          <w:lang w:eastAsia="zh-CN"/>
        </w:rPr>
        <w:t>：</w:t>
      </w:r>
      <w:r>
        <w:rPr>
          <w:rFonts w:hint="eastAsia" w:ascii="宋体" w:hAnsi="宋体" w:eastAsia="宋体" w:cs="宋体"/>
          <w:kern w:val="2"/>
          <w:sz w:val="21"/>
          <w:szCs w:val="21"/>
          <w:u w:val="single"/>
          <w:lang w:eastAsia="zh-CN"/>
        </w:rPr>
        <w:t xml:space="preserve">   在收到监理人按照通用合同条</w:t>
      </w:r>
    </w:p>
    <w:p w14:paraId="3FC5EAB5">
      <w:pPr>
        <w:spacing w:after="0" w:line="360" w:lineRule="auto"/>
        <w:jc w:val="both"/>
        <w:rPr>
          <w:rFonts w:ascii="宋体" w:hAnsi="宋体" w:eastAsia="宋体" w:cs="宋体"/>
          <w:kern w:val="2"/>
          <w:sz w:val="21"/>
          <w:szCs w:val="21"/>
          <w:u w:val="single"/>
          <w:lang w:eastAsia="zh-CN"/>
        </w:rPr>
      </w:pPr>
      <w:r>
        <w:rPr>
          <w:rFonts w:hint="eastAsia" w:ascii="宋体" w:hAnsi="宋体" w:eastAsia="宋体" w:cs="宋体"/>
          <w:kern w:val="2"/>
          <w:sz w:val="21"/>
          <w:szCs w:val="21"/>
          <w:u w:val="single"/>
          <w:lang w:eastAsia="zh-CN"/>
        </w:rPr>
        <w:t xml:space="preserve">款第11.1.1项发出的开工通知后7天内。  </w:t>
      </w:r>
    </w:p>
    <w:p w14:paraId="26C9EDF5">
      <w:pPr>
        <w:spacing w:after="0" w:line="360" w:lineRule="auto"/>
        <w:ind w:left="420" w:leftChars="200"/>
        <w:jc w:val="both"/>
        <w:rPr>
          <w:rFonts w:ascii="宋体" w:hAnsi="宋体" w:eastAsia="宋体" w:cs="宋体"/>
          <w:sz w:val="21"/>
          <w:szCs w:val="21"/>
          <w:lang w:eastAsia="zh-CN"/>
        </w:rPr>
      </w:pPr>
      <w:r>
        <w:rPr>
          <w:rFonts w:hint="eastAsia" w:ascii="宋体" w:hAnsi="宋体" w:eastAsia="宋体" w:cs="宋体"/>
          <w:sz w:val="21"/>
          <w:szCs w:val="21"/>
          <w:lang w:eastAsia="zh-CN"/>
        </w:rPr>
        <w:t>监理人收到承包人报送的施工环保措施计划后应当在</w:t>
      </w:r>
      <w:r>
        <w:rPr>
          <w:rFonts w:hint="eastAsia" w:ascii="宋体" w:hAnsi="宋体" w:eastAsia="宋体" w:cs="宋体"/>
          <w:sz w:val="21"/>
          <w:szCs w:val="21"/>
          <w:u w:val="single"/>
          <w:lang w:eastAsia="zh-CN"/>
        </w:rPr>
        <w:t xml:space="preserve">   7  </w:t>
      </w:r>
      <w:r>
        <w:rPr>
          <w:rFonts w:hint="eastAsia" w:ascii="宋体" w:hAnsi="宋体" w:eastAsia="宋体" w:cs="宋体"/>
          <w:sz w:val="21"/>
          <w:szCs w:val="21"/>
          <w:lang w:eastAsia="zh-CN"/>
        </w:rPr>
        <w:t>天内给予批复。</w:t>
      </w:r>
    </w:p>
    <w:p w14:paraId="2BBA9F6E">
      <w:pPr>
        <w:keepNext/>
        <w:keepLines/>
        <w:tabs>
          <w:tab w:val="left" w:pos="567"/>
          <w:tab w:val="left" w:pos="851"/>
        </w:tabs>
        <w:spacing w:before="120" w:beforeLines="50" w:after="120" w:afterLines="50" w:line="360" w:lineRule="auto"/>
        <w:jc w:val="both"/>
        <w:outlineLvl w:val="2"/>
        <w:rPr>
          <w:rFonts w:ascii="宋体" w:hAnsi="宋体" w:eastAsia="宋体" w:cs="宋体"/>
          <w:sz w:val="24"/>
          <w:szCs w:val="20"/>
          <w:lang w:eastAsia="zh-CN"/>
        </w:rPr>
      </w:pPr>
      <w:bookmarkStart w:id="1277" w:name="_Toc16264603"/>
      <w:bookmarkStart w:id="1278" w:name="_Toc47947518"/>
      <w:bookmarkStart w:id="1279" w:name="_Hlk8723534"/>
      <w:r>
        <w:rPr>
          <w:rFonts w:hint="eastAsia" w:ascii="宋体" w:hAnsi="宋体" w:eastAsia="宋体" w:cs="宋体"/>
          <w:sz w:val="24"/>
          <w:szCs w:val="20"/>
          <w:lang w:eastAsia="zh-CN"/>
        </w:rPr>
        <w:t>9.6  施工现场安全生产标准化管理目标</w:t>
      </w:r>
      <w:bookmarkEnd w:id="1277"/>
      <w:bookmarkEnd w:id="1278"/>
    </w:p>
    <w:p w14:paraId="3183071E">
      <w:pPr>
        <w:tabs>
          <w:tab w:val="left" w:pos="1134"/>
        </w:tabs>
        <w:spacing w:after="120" w:line="360" w:lineRule="auto"/>
        <w:ind w:left="420" w:leftChars="200"/>
        <w:jc w:val="both"/>
        <w:rPr>
          <w:rFonts w:ascii="宋体" w:hAnsi="宋体" w:eastAsia="宋体" w:cs="宋体"/>
          <w:sz w:val="21"/>
          <w:szCs w:val="21"/>
          <w:lang w:eastAsia="zh-CN"/>
        </w:rPr>
      </w:pPr>
      <w:r>
        <w:rPr>
          <w:rFonts w:hint="eastAsia" w:ascii="宋体" w:hAnsi="宋体" w:eastAsia="宋体" w:cs="宋体"/>
          <w:sz w:val="21"/>
          <w:szCs w:val="21"/>
          <w:lang w:eastAsia="zh-CN"/>
        </w:rPr>
        <w:t>9.6.1  未达到合同协议书中约定的安全生产标准化管理目标等级的违约金或损失赔</w:t>
      </w:r>
    </w:p>
    <w:p w14:paraId="0AB4E0AB">
      <w:pPr>
        <w:tabs>
          <w:tab w:val="left" w:pos="1134"/>
        </w:tabs>
        <w:spacing w:after="120" w:line="360" w:lineRule="auto"/>
        <w:jc w:val="both"/>
        <w:rPr>
          <w:rFonts w:ascii="宋体" w:hAnsi="宋体" w:eastAsia="宋体" w:cs="宋体"/>
          <w:sz w:val="21"/>
          <w:szCs w:val="21"/>
          <w:u w:val="single"/>
          <w:lang w:eastAsia="zh-CN"/>
        </w:rPr>
      </w:pPr>
      <w:r>
        <w:rPr>
          <w:rFonts w:hint="eastAsia" w:ascii="宋体" w:hAnsi="宋体" w:eastAsia="宋体" w:cs="宋体"/>
          <w:sz w:val="21"/>
          <w:szCs w:val="21"/>
          <w:lang w:eastAsia="zh-CN"/>
        </w:rPr>
        <w:t>偿金的金额或者计算方法：</w:t>
      </w:r>
      <w:r>
        <w:rPr>
          <w:rFonts w:hint="eastAsia" w:ascii="宋体" w:hAnsi="宋体" w:eastAsia="宋体" w:cs="宋体"/>
          <w:sz w:val="21"/>
          <w:szCs w:val="21"/>
          <w:u w:val="single"/>
          <w:lang w:eastAsia="zh-CN"/>
        </w:rPr>
        <w:t xml:space="preserve"> A=（1-K1÷K2）*F；其中：A—按本办法规定计算的违约损失赔偿金；K1—标准化考评认定等级对应本办法规定的标准费率；K2—合同约定的管理目标等级对应本办法规定的标准费率；F—合同中载明的安全文明施工费总额。      </w:t>
      </w:r>
    </w:p>
    <w:p w14:paraId="581BC0A2">
      <w:pPr>
        <w:spacing w:after="120" w:line="360" w:lineRule="auto"/>
        <w:ind w:left="420" w:leftChars="200"/>
        <w:jc w:val="both"/>
        <w:rPr>
          <w:rFonts w:ascii="宋体" w:hAnsi="宋体" w:eastAsia="宋体" w:cs="宋体"/>
          <w:sz w:val="21"/>
          <w:szCs w:val="21"/>
          <w:lang w:eastAsia="zh-CN"/>
        </w:rPr>
      </w:pPr>
      <w:r>
        <w:rPr>
          <w:rFonts w:hint="eastAsia" w:ascii="宋体" w:hAnsi="宋体" w:eastAsia="宋体" w:cs="宋体"/>
          <w:sz w:val="21"/>
          <w:szCs w:val="21"/>
          <w:lang w:eastAsia="zh-CN"/>
        </w:rPr>
        <w:t>9.6.2  发包人</w:t>
      </w:r>
      <w:r>
        <w:rPr>
          <w:rFonts w:hint="eastAsia" w:ascii="宋体" w:hAnsi="宋体" w:eastAsia="宋体" w:cs="宋体"/>
          <w:sz w:val="20"/>
          <w:szCs w:val="24"/>
          <w:u w:val="single"/>
          <w:lang w:eastAsia="zh-CN"/>
        </w:rPr>
        <w:t xml:space="preserve">  不给予    </w:t>
      </w:r>
      <w:r>
        <w:rPr>
          <w:rFonts w:hint="eastAsia" w:ascii="宋体" w:hAnsi="宋体" w:eastAsia="宋体" w:cs="宋体"/>
          <w:sz w:val="21"/>
          <w:szCs w:val="21"/>
          <w:lang w:eastAsia="zh-CN"/>
        </w:rPr>
        <w:t>（给予/不给予）承包人创优奖励。发包人给予承包人创</w:t>
      </w:r>
    </w:p>
    <w:p w14:paraId="3BB9EFC0">
      <w:pPr>
        <w:spacing w:after="120" w:line="360" w:lineRule="auto"/>
        <w:jc w:val="both"/>
        <w:rPr>
          <w:rFonts w:ascii="宋体" w:hAnsi="宋体" w:eastAsia="宋体" w:cs="宋体"/>
          <w:sz w:val="21"/>
          <w:szCs w:val="21"/>
          <w:u w:val="single"/>
          <w:lang w:eastAsia="zh-CN"/>
        </w:rPr>
      </w:pPr>
      <w:r>
        <w:rPr>
          <w:rFonts w:hint="eastAsia" w:ascii="宋体" w:hAnsi="宋体" w:eastAsia="宋体" w:cs="宋体"/>
          <w:sz w:val="21"/>
          <w:szCs w:val="21"/>
          <w:lang w:eastAsia="zh-CN"/>
        </w:rPr>
        <w:t>优奖励的，创优奖励金额或者计算方法：</w:t>
      </w:r>
      <w:r>
        <w:rPr>
          <w:rFonts w:hint="eastAsia" w:ascii="宋体" w:hAnsi="宋体" w:eastAsia="宋体" w:cs="宋体"/>
          <w:sz w:val="21"/>
          <w:szCs w:val="21"/>
          <w:u w:val="single"/>
          <w:lang w:eastAsia="zh-CN"/>
        </w:rPr>
        <w:t xml:space="preserve">       /                     </w:t>
      </w:r>
    </w:p>
    <w:p w14:paraId="672F7DFA">
      <w:pPr>
        <w:keepNext/>
        <w:keepLines/>
        <w:tabs>
          <w:tab w:val="left" w:pos="567"/>
        </w:tabs>
        <w:spacing w:before="120" w:beforeLines="50" w:after="120" w:afterLines="50" w:line="360" w:lineRule="auto"/>
        <w:jc w:val="both"/>
        <w:outlineLvl w:val="2"/>
        <w:rPr>
          <w:rFonts w:ascii="宋体" w:hAnsi="宋体" w:eastAsia="宋体" w:cs="宋体"/>
          <w:sz w:val="24"/>
          <w:szCs w:val="20"/>
          <w:lang w:eastAsia="zh-CN"/>
        </w:rPr>
      </w:pPr>
      <w:bookmarkStart w:id="1280" w:name="_Toc16264604"/>
      <w:bookmarkStart w:id="1281" w:name="_Toc47947519"/>
      <w:r>
        <w:rPr>
          <w:rFonts w:hint="eastAsia" w:ascii="宋体" w:hAnsi="宋体" w:eastAsia="宋体" w:cs="宋体"/>
          <w:sz w:val="24"/>
          <w:szCs w:val="20"/>
          <w:lang w:eastAsia="zh-CN"/>
        </w:rPr>
        <w:t>9.7  特殊安全文明施工</w:t>
      </w:r>
      <w:bookmarkEnd w:id="1280"/>
      <w:bookmarkEnd w:id="1281"/>
    </w:p>
    <w:p w14:paraId="2400C8DF">
      <w:pPr>
        <w:tabs>
          <w:tab w:val="left" w:pos="1134"/>
        </w:tabs>
        <w:spacing w:after="120" w:line="360" w:lineRule="auto"/>
        <w:ind w:left="420" w:leftChars="200"/>
        <w:jc w:val="both"/>
        <w:rPr>
          <w:rFonts w:ascii="宋体" w:hAnsi="宋体" w:eastAsia="宋体" w:cs="宋体"/>
          <w:sz w:val="21"/>
          <w:szCs w:val="21"/>
          <w:lang w:eastAsia="zh-CN"/>
        </w:rPr>
      </w:pPr>
      <w:r>
        <w:rPr>
          <w:rFonts w:hint="eastAsia" w:ascii="宋体" w:hAnsi="宋体" w:eastAsia="宋体" w:cs="宋体"/>
          <w:sz w:val="21"/>
          <w:szCs w:val="21"/>
          <w:lang w:eastAsia="zh-CN"/>
        </w:rPr>
        <w:t>9.7.1  未达到合同约定的特殊安全文明施工要求的违约金或损失赔偿金的金额或者</w:t>
      </w:r>
    </w:p>
    <w:p w14:paraId="4D26DFD0">
      <w:pPr>
        <w:tabs>
          <w:tab w:val="left" w:pos="1134"/>
        </w:tabs>
        <w:spacing w:after="120" w:line="360" w:lineRule="auto"/>
        <w:jc w:val="both"/>
        <w:rPr>
          <w:rFonts w:ascii="宋体" w:hAnsi="宋体" w:eastAsia="宋体" w:cs="宋体"/>
          <w:sz w:val="21"/>
          <w:szCs w:val="21"/>
          <w:u w:val="single"/>
          <w:lang w:eastAsia="zh-CN"/>
        </w:rPr>
      </w:pPr>
      <w:r>
        <w:rPr>
          <w:rFonts w:hint="eastAsia" w:ascii="宋体" w:hAnsi="宋体" w:eastAsia="宋体" w:cs="宋体"/>
          <w:sz w:val="21"/>
          <w:szCs w:val="21"/>
          <w:lang w:eastAsia="zh-CN"/>
        </w:rPr>
        <w:t>计算方法：</w:t>
      </w:r>
      <w:r>
        <w:rPr>
          <w:rFonts w:hint="eastAsia" w:ascii="宋体" w:hAnsi="宋体" w:eastAsia="宋体" w:cs="宋体"/>
          <w:sz w:val="21"/>
          <w:szCs w:val="21"/>
          <w:u w:val="single"/>
          <w:lang w:eastAsia="zh-CN"/>
        </w:rPr>
        <w:t xml:space="preserve">          /                       </w:t>
      </w:r>
    </w:p>
    <w:p w14:paraId="67650F5E">
      <w:pPr>
        <w:spacing w:after="120" w:line="360" w:lineRule="auto"/>
        <w:ind w:left="420" w:leftChars="200"/>
        <w:jc w:val="both"/>
        <w:rPr>
          <w:rFonts w:ascii="宋体" w:hAnsi="宋体" w:eastAsia="宋体" w:cs="宋体"/>
          <w:sz w:val="21"/>
          <w:szCs w:val="21"/>
          <w:lang w:eastAsia="zh-CN"/>
        </w:rPr>
      </w:pPr>
      <w:r>
        <w:rPr>
          <w:rFonts w:hint="eastAsia" w:ascii="宋体" w:hAnsi="宋体" w:eastAsia="宋体" w:cs="宋体"/>
          <w:sz w:val="21"/>
          <w:szCs w:val="21"/>
          <w:lang w:eastAsia="zh-CN"/>
        </w:rPr>
        <w:t>9.7.2  发包人</w:t>
      </w:r>
      <w:r>
        <w:rPr>
          <w:rFonts w:hint="eastAsia" w:ascii="宋体" w:hAnsi="宋体" w:eastAsia="宋体" w:cs="宋体"/>
          <w:sz w:val="20"/>
          <w:szCs w:val="24"/>
          <w:u w:val="single"/>
          <w:lang w:eastAsia="zh-CN"/>
        </w:rPr>
        <w:t xml:space="preserve">    /    </w:t>
      </w:r>
      <w:r>
        <w:rPr>
          <w:rFonts w:hint="eastAsia" w:ascii="宋体" w:hAnsi="宋体" w:eastAsia="宋体" w:cs="宋体"/>
          <w:sz w:val="21"/>
          <w:szCs w:val="21"/>
          <w:lang w:eastAsia="zh-CN"/>
        </w:rPr>
        <w:t>（给予/不给予）承包人创优奖励。发包人给予承包人创优</w:t>
      </w:r>
    </w:p>
    <w:p w14:paraId="2B0B7D10">
      <w:pPr>
        <w:spacing w:after="120" w:line="360" w:lineRule="auto"/>
        <w:jc w:val="both"/>
        <w:rPr>
          <w:rFonts w:ascii="宋体" w:hAnsi="宋体" w:eastAsia="宋体" w:cs="宋体"/>
          <w:sz w:val="20"/>
          <w:szCs w:val="21"/>
          <w:u w:val="single"/>
          <w:lang w:eastAsia="zh-CN"/>
        </w:rPr>
      </w:pPr>
      <w:r>
        <w:rPr>
          <w:rFonts w:hint="eastAsia" w:ascii="宋体" w:hAnsi="宋体" w:eastAsia="宋体" w:cs="宋体"/>
          <w:sz w:val="21"/>
          <w:szCs w:val="21"/>
          <w:lang w:eastAsia="zh-CN"/>
        </w:rPr>
        <w:t>奖励的，创优奖励金额或者计算方法：</w:t>
      </w:r>
      <w:r>
        <w:rPr>
          <w:rFonts w:hint="eastAsia" w:ascii="宋体" w:hAnsi="宋体" w:eastAsia="宋体" w:cs="宋体"/>
          <w:sz w:val="21"/>
          <w:szCs w:val="21"/>
          <w:u w:val="single"/>
          <w:lang w:eastAsia="zh-CN"/>
        </w:rPr>
        <w:t xml:space="preserve">        /                                </w:t>
      </w:r>
      <w:bookmarkEnd w:id="1279"/>
    </w:p>
    <w:p w14:paraId="72C9A893">
      <w:pPr>
        <w:keepNext/>
        <w:keepLines/>
        <w:spacing w:before="120" w:beforeLines="50" w:after="120" w:afterLines="50" w:line="360" w:lineRule="auto"/>
        <w:jc w:val="both"/>
        <w:outlineLvl w:val="1"/>
        <w:rPr>
          <w:rFonts w:ascii="宋体" w:hAnsi="宋体" w:eastAsia="宋体" w:cs="宋体"/>
          <w:kern w:val="2"/>
          <w:sz w:val="28"/>
          <w:szCs w:val="20"/>
          <w:lang w:eastAsia="zh-CN"/>
        </w:rPr>
      </w:pPr>
      <w:bookmarkStart w:id="1282" w:name="_Toc8795"/>
      <w:bookmarkStart w:id="1283" w:name="_Toc26334"/>
      <w:bookmarkStart w:id="1284" w:name="_Toc47947520"/>
      <w:bookmarkStart w:id="1285" w:name="_Toc490331696"/>
      <w:bookmarkStart w:id="1286" w:name="_Toc497214074"/>
      <w:bookmarkStart w:id="1287" w:name="_Toc497584065"/>
      <w:bookmarkStart w:id="1288" w:name="_Toc26297"/>
      <w:bookmarkStart w:id="1289" w:name="_Toc16264605"/>
      <w:r>
        <w:rPr>
          <w:rFonts w:hint="eastAsia" w:ascii="宋体" w:hAnsi="宋体" w:eastAsia="宋体" w:cs="宋体"/>
          <w:kern w:val="2"/>
          <w:sz w:val="28"/>
          <w:szCs w:val="20"/>
          <w:lang w:eastAsia="zh-CN"/>
        </w:rPr>
        <w:t>10.进度计划</w:t>
      </w:r>
      <w:bookmarkEnd w:id="1274"/>
      <w:bookmarkEnd w:id="1275"/>
      <w:bookmarkEnd w:id="1276"/>
      <w:bookmarkEnd w:id="1282"/>
      <w:bookmarkEnd w:id="1283"/>
      <w:bookmarkEnd w:id="1284"/>
      <w:bookmarkEnd w:id="1285"/>
      <w:bookmarkEnd w:id="1286"/>
      <w:bookmarkEnd w:id="1287"/>
      <w:bookmarkEnd w:id="1288"/>
      <w:bookmarkEnd w:id="1289"/>
    </w:p>
    <w:p w14:paraId="3D550078">
      <w:pPr>
        <w:keepNext/>
        <w:keepLines/>
        <w:spacing w:before="120" w:beforeLines="50" w:after="120" w:afterLines="50" w:line="360" w:lineRule="auto"/>
        <w:jc w:val="both"/>
        <w:outlineLvl w:val="2"/>
        <w:rPr>
          <w:rFonts w:ascii="宋体" w:hAnsi="宋体" w:eastAsia="宋体" w:cs="宋体"/>
          <w:sz w:val="24"/>
          <w:szCs w:val="20"/>
          <w:lang w:eastAsia="zh-CN"/>
        </w:rPr>
      </w:pPr>
      <w:bookmarkStart w:id="1290" w:name="_Toc497584066"/>
      <w:bookmarkStart w:id="1291" w:name="_Toc47947521"/>
      <w:bookmarkStart w:id="1292" w:name="_Toc497214075"/>
      <w:bookmarkStart w:id="1293" w:name="_Toc489280212"/>
      <w:bookmarkStart w:id="1294" w:name="_Toc485323180"/>
      <w:bookmarkStart w:id="1295" w:name="_Toc16264606"/>
      <w:bookmarkStart w:id="1296" w:name="_Toc490331697"/>
      <w:bookmarkStart w:id="1297" w:name="_Toc486580406"/>
      <w:r>
        <w:rPr>
          <w:rFonts w:hint="eastAsia" w:ascii="宋体" w:hAnsi="宋体" w:eastAsia="宋体" w:cs="宋体"/>
          <w:sz w:val="24"/>
          <w:szCs w:val="20"/>
          <w:lang w:eastAsia="zh-CN"/>
        </w:rPr>
        <w:t>10.1  合同进度计划</w:t>
      </w:r>
      <w:bookmarkEnd w:id="1290"/>
      <w:bookmarkEnd w:id="1291"/>
      <w:bookmarkEnd w:id="1292"/>
      <w:bookmarkEnd w:id="1293"/>
      <w:bookmarkEnd w:id="1294"/>
      <w:bookmarkEnd w:id="1295"/>
      <w:bookmarkEnd w:id="1296"/>
      <w:bookmarkEnd w:id="1297"/>
    </w:p>
    <w:p w14:paraId="00FFD92F">
      <w:pPr>
        <w:wordWrap w:val="0"/>
        <w:spacing w:after="0" w:line="360" w:lineRule="auto"/>
        <w:ind w:left="420" w:leftChars="200"/>
        <w:jc w:val="both"/>
        <w:rPr>
          <w:rFonts w:ascii="宋体" w:hAnsi="宋体" w:eastAsia="宋体" w:cs="宋体"/>
          <w:kern w:val="2"/>
          <w:sz w:val="21"/>
          <w:szCs w:val="21"/>
          <w:u w:val="single"/>
          <w:lang w:eastAsia="zh-CN"/>
        </w:rPr>
      </w:pPr>
      <w:bookmarkStart w:id="1298" w:name="_Toc485323181"/>
      <w:bookmarkStart w:id="1299" w:name="_Toc489280213"/>
      <w:bookmarkStart w:id="1300" w:name="_Toc486580407"/>
      <w:r>
        <w:rPr>
          <w:rFonts w:hint="eastAsia" w:ascii="宋体" w:hAnsi="宋体" w:eastAsia="宋体" w:cs="宋体"/>
          <w:sz w:val="21"/>
          <w:szCs w:val="21"/>
          <w:lang w:eastAsia="zh-CN"/>
        </w:rPr>
        <w:t>10.1.1  承包人编制施工进度计划和施工方案说明的内容</w:t>
      </w:r>
      <w:r>
        <w:rPr>
          <w:rFonts w:hint="eastAsia" w:ascii="宋体" w:hAnsi="宋体" w:eastAsia="宋体" w:cs="宋体"/>
          <w:kern w:val="2"/>
          <w:sz w:val="21"/>
          <w:szCs w:val="21"/>
          <w:lang w:eastAsia="zh-CN"/>
        </w:rPr>
        <w:t>：</w:t>
      </w:r>
      <w:r>
        <w:rPr>
          <w:rFonts w:hint="eastAsia" w:ascii="宋体" w:hAnsi="宋体" w:eastAsia="宋体" w:cs="宋体"/>
          <w:kern w:val="2"/>
          <w:sz w:val="21"/>
          <w:szCs w:val="21"/>
          <w:u w:val="single"/>
          <w:lang w:eastAsia="zh-CN"/>
        </w:rPr>
        <w:t>施工总体进度计划及保</w:t>
      </w:r>
    </w:p>
    <w:p w14:paraId="723B8E87">
      <w:pPr>
        <w:wordWrap w:val="0"/>
        <w:spacing w:after="0" w:line="360" w:lineRule="auto"/>
        <w:jc w:val="both"/>
        <w:rPr>
          <w:rFonts w:ascii="宋体" w:hAnsi="宋体" w:eastAsia="宋体" w:cs="宋体"/>
          <w:sz w:val="21"/>
          <w:szCs w:val="21"/>
          <w:lang w:eastAsia="zh-CN"/>
        </w:rPr>
      </w:pPr>
      <w:r>
        <w:rPr>
          <w:rFonts w:hint="eastAsia" w:ascii="宋体" w:hAnsi="宋体" w:eastAsia="宋体" w:cs="宋体"/>
          <w:kern w:val="2"/>
          <w:sz w:val="21"/>
          <w:szCs w:val="21"/>
          <w:u w:val="single"/>
          <w:lang w:eastAsia="zh-CN"/>
        </w:rPr>
        <w:t xml:space="preserve">障措施、质量目标和质量保证措施、安全防护及绿色文明施工措施、主要分部分项工程施工方案和技术措施、突发事件的应急预案、成品保护措施等内容 。  </w:t>
      </w:r>
    </w:p>
    <w:p w14:paraId="71D7C28F">
      <w:pPr>
        <w:wordWrap w:val="0"/>
        <w:spacing w:after="0" w:line="360" w:lineRule="auto"/>
        <w:ind w:left="420" w:leftChars="200"/>
        <w:jc w:val="both"/>
        <w:rPr>
          <w:rFonts w:ascii="宋体" w:hAnsi="宋体" w:eastAsia="宋体" w:cs="宋体"/>
          <w:kern w:val="2"/>
          <w:sz w:val="21"/>
          <w:szCs w:val="21"/>
          <w:lang w:eastAsia="zh-CN"/>
        </w:rPr>
      </w:pPr>
      <w:r>
        <w:rPr>
          <w:rFonts w:hint="eastAsia" w:ascii="宋体" w:hAnsi="宋体" w:eastAsia="宋体" w:cs="宋体"/>
          <w:sz w:val="21"/>
          <w:szCs w:val="21"/>
          <w:lang w:eastAsia="zh-CN"/>
        </w:rPr>
        <w:t>10.1.2  承包人编制分阶段或分项施工进度计划和施工方案说明的内容及时限要求</w:t>
      </w:r>
      <w:r>
        <w:rPr>
          <w:rFonts w:hint="eastAsia" w:ascii="宋体" w:hAnsi="宋体" w:eastAsia="宋体" w:cs="宋体"/>
          <w:kern w:val="2"/>
          <w:sz w:val="21"/>
          <w:szCs w:val="21"/>
          <w:lang w:eastAsia="zh-CN"/>
        </w:rPr>
        <w:t>：</w:t>
      </w:r>
    </w:p>
    <w:p w14:paraId="7D4FD484">
      <w:pPr>
        <w:wordWrap w:val="0"/>
        <w:spacing w:after="0" w:line="360" w:lineRule="auto"/>
        <w:jc w:val="both"/>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 xml:space="preserve">     /            </w:t>
      </w:r>
    </w:p>
    <w:p w14:paraId="7A98D3CB">
      <w:pPr>
        <w:spacing w:after="0" w:line="360" w:lineRule="auto"/>
        <w:ind w:left="420" w:leftChars="200"/>
        <w:jc w:val="both"/>
        <w:rPr>
          <w:rFonts w:ascii="宋体" w:hAnsi="宋体" w:eastAsia="宋体" w:cs="宋体"/>
          <w:sz w:val="21"/>
          <w:szCs w:val="21"/>
          <w:lang w:eastAsia="zh-CN"/>
        </w:rPr>
      </w:pPr>
      <w:r>
        <w:rPr>
          <w:rFonts w:hint="eastAsia" w:ascii="宋体" w:hAnsi="宋体" w:eastAsia="宋体" w:cs="宋体"/>
          <w:sz w:val="21"/>
          <w:szCs w:val="21"/>
          <w:lang w:eastAsia="zh-CN"/>
        </w:rPr>
        <w:t>10.1.3  群体工程中有关编制进度计划和施工方案说明的要求</w:t>
      </w:r>
      <w:r>
        <w:rPr>
          <w:rFonts w:hint="eastAsia" w:ascii="宋体" w:hAnsi="宋体" w:eastAsia="宋体" w:cs="宋体"/>
          <w:kern w:val="2"/>
          <w:sz w:val="21"/>
          <w:szCs w:val="21"/>
          <w:lang w:eastAsia="zh-CN"/>
        </w:rPr>
        <w:t>：</w:t>
      </w:r>
      <w:r>
        <w:rPr>
          <w:rFonts w:hint="eastAsia" w:ascii="宋体" w:hAnsi="宋体" w:eastAsia="宋体" w:cs="宋体"/>
          <w:kern w:val="2"/>
          <w:sz w:val="21"/>
          <w:szCs w:val="21"/>
          <w:u w:val="single"/>
          <w:lang w:eastAsia="zh-CN"/>
        </w:rPr>
        <w:t xml:space="preserve">     /       </w:t>
      </w:r>
    </w:p>
    <w:p w14:paraId="54021F16">
      <w:pPr>
        <w:keepNext/>
        <w:keepLines/>
        <w:spacing w:before="120" w:beforeLines="50" w:after="120" w:afterLines="50" w:line="360" w:lineRule="auto"/>
        <w:jc w:val="both"/>
        <w:outlineLvl w:val="2"/>
        <w:rPr>
          <w:rFonts w:ascii="宋体" w:hAnsi="宋体" w:eastAsia="宋体" w:cs="宋体"/>
          <w:sz w:val="24"/>
          <w:szCs w:val="20"/>
          <w:lang w:eastAsia="zh-CN"/>
        </w:rPr>
      </w:pPr>
      <w:bookmarkStart w:id="1301" w:name="_Toc490331698"/>
      <w:bookmarkStart w:id="1302" w:name="_Toc47947522"/>
      <w:bookmarkStart w:id="1303" w:name="_Toc16264607"/>
      <w:bookmarkStart w:id="1304" w:name="_Toc497584067"/>
      <w:bookmarkStart w:id="1305" w:name="_Toc497214076"/>
      <w:r>
        <w:rPr>
          <w:rFonts w:hint="eastAsia" w:ascii="宋体" w:hAnsi="宋体" w:eastAsia="宋体" w:cs="宋体"/>
          <w:sz w:val="24"/>
          <w:szCs w:val="20"/>
          <w:lang w:eastAsia="zh-CN"/>
        </w:rPr>
        <w:t>10.2  合同进度计划的修订</w:t>
      </w:r>
      <w:bookmarkEnd w:id="1298"/>
      <w:bookmarkEnd w:id="1299"/>
      <w:bookmarkEnd w:id="1300"/>
      <w:bookmarkEnd w:id="1301"/>
      <w:bookmarkEnd w:id="1302"/>
      <w:bookmarkEnd w:id="1303"/>
      <w:bookmarkEnd w:id="1304"/>
      <w:bookmarkEnd w:id="1305"/>
    </w:p>
    <w:p w14:paraId="706F7112">
      <w:pPr>
        <w:spacing w:after="0" w:line="360" w:lineRule="auto"/>
        <w:ind w:left="420" w:leftChars="200"/>
        <w:jc w:val="both"/>
        <w:rPr>
          <w:rFonts w:ascii="宋体" w:hAnsi="宋体" w:eastAsia="宋体" w:cs="宋体"/>
          <w:kern w:val="2"/>
          <w:sz w:val="21"/>
          <w:szCs w:val="21"/>
          <w:u w:val="single"/>
          <w:lang w:eastAsia="zh-CN"/>
        </w:rPr>
      </w:pPr>
      <w:bookmarkStart w:id="1306" w:name="_Toc485323182"/>
      <w:bookmarkStart w:id="1307" w:name="_Toc486580408"/>
      <w:bookmarkStart w:id="1308" w:name="_Toc489280214"/>
      <w:r>
        <w:rPr>
          <w:rFonts w:hint="eastAsia" w:ascii="宋体" w:hAnsi="宋体" w:eastAsia="宋体" w:cs="宋体"/>
          <w:sz w:val="21"/>
          <w:szCs w:val="21"/>
          <w:lang w:eastAsia="zh-CN"/>
        </w:rPr>
        <w:t>10.2.1  承包人报送修订合同进度计划申请报告和相关资料的期限</w:t>
      </w:r>
      <w:r>
        <w:rPr>
          <w:rFonts w:hint="eastAsia" w:ascii="宋体" w:hAnsi="宋体" w:eastAsia="宋体" w:cs="宋体"/>
          <w:kern w:val="2"/>
          <w:sz w:val="21"/>
          <w:szCs w:val="21"/>
          <w:lang w:eastAsia="zh-CN"/>
        </w:rPr>
        <w:t>：</w:t>
      </w:r>
      <w:r>
        <w:rPr>
          <w:rFonts w:hint="eastAsia" w:ascii="宋体" w:hAnsi="宋体" w:eastAsia="宋体" w:cs="宋体"/>
          <w:kern w:val="2"/>
          <w:sz w:val="21"/>
          <w:szCs w:val="21"/>
          <w:u w:val="single"/>
          <w:lang w:eastAsia="zh-CN"/>
        </w:rPr>
        <w:t xml:space="preserve"> 需要修订计划</w:t>
      </w:r>
    </w:p>
    <w:p w14:paraId="7E51B6D2">
      <w:pPr>
        <w:spacing w:after="0" w:line="360" w:lineRule="auto"/>
        <w:jc w:val="both"/>
        <w:rPr>
          <w:rFonts w:ascii="宋体" w:hAnsi="宋体" w:eastAsia="宋体" w:cs="宋体"/>
          <w:sz w:val="21"/>
          <w:szCs w:val="21"/>
          <w:lang w:eastAsia="zh-CN"/>
        </w:rPr>
      </w:pPr>
      <w:r>
        <w:rPr>
          <w:rFonts w:hint="eastAsia" w:ascii="宋体" w:hAnsi="宋体" w:eastAsia="宋体" w:cs="宋体"/>
          <w:kern w:val="2"/>
          <w:sz w:val="21"/>
          <w:szCs w:val="21"/>
          <w:u w:val="single"/>
          <w:lang w:eastAsia="zh-CN"/>
        </w:rPr>
        <w:t xml:space="preserve">前7天内 。  </w:t>
      </w:r>
    </w:p>
    <w:p w14:paraId="1FDF9D16">
      <w:pPr>
        <w:spacing w:after="0" w:line="360" w:lineRule="auto"/>
        <w:ind w:left="420" w:leftChars="200"/>
        <w:jc w:val="both"/>
        <w:rPr>
          <w:rFonts w:ascii="宋体" w:hAnsi="宋体" w:eastAsia="宋体" w:cs="宋体"/>
          <w:kern w:val="2"/>
          <w:sz w:val="21"/>
          <w:szCs w:val="21"/>
          <w:u w:val="single"/>
          <w:lang w:eastAsia="zh-CN"/>
        </w:rPr>
      </w:pPr>
      <w:r>
        <w:rPr>
          <w:rFonts w:hint="eastAsia" w:ascii="宋体" w:hAnsi="宋体" w:eastAsia="宋体" w:cs="宋体"/>
          <w:sz w:val="21"/>
          <w:szCs w:val="21"/>
          <w:lang w:eastAsia="zh-CN"/>
        </w:rPr>
        <w:t>监理人批复修订合同进度计划申请报告的期限</w:t>
      </w:r>
      <w:r>
        <w:rPr>
          <w:rFonts w:hint="eastAsia" w:ascii="宋体" w:hAnsi="宋体" w:eastAsia="宋体" w:cs="宋体"/>
          <w:kern w:val="2"/>
          <w:sz w:val="21"/>
          <w:szCs w:val="21"/>
          <w:lang w:eastAsia="zh-CN"/>
        </w:rPr>
        <w:t>：</w:t>
      </w:r>
      <w:r>
        <w:rPr>
          <w:rFonts w:hint="eastAsia" w:ascii="宋体" w:hAnsi="宋体" w:eastAsia="宋体" w:cs="宋体"/>
          <w:kern w:val="2"/>
          <w:sz w:val="21"/>
          <w:szCs w:val="21"/>
          <w:u w:val="single"/>
          <w:lang w:eastAsia="zh-CN"/>
        </w:rPr>
        <w:t xml:space="preserve">  收到承包人报送的修订合同进度计</w:t>
      </w:r>
    </w:p>
    <w:p w14:paraId="609A2623">
      <w:pPr>
        <w:spacing w:after="0" w:line="360" w:lineRule="auto"/>
        <w:jc w:val="both"/>
        <w:rPr>
          <w:rFonts w:ascii="宋体" w:hAnsi="宋体" w:eastAsia="宋体" w:cs="宋体"/>
          <w:sz w:val="21"/>
          <w:szCs w:val="21"/>
          <w:lang w:eastAsia="zh-CN"/>
        </w:rPr>
      </w:pPr>
      <w:r>
        <w:rPr>
          <w:rFonts w:hint="eastAsia" w:ascii="宋体" w:hAnsi="宋体" w:eastAsia="宋体" w:cs="宋体"/>
          <w:kern w:val="2"/>
          <w:sz w:val="21"/>
          <w:szCs w:val="21"/>
          <w:u w:val="single"/>
          <w:lang w:eastAsia="zh-CN"/>
        </w:rPr>
        <w:t xml:space="preserve">划申请报告和相关资料后7 天内。 </w:t>
      </w:r>
    </w:p>
    <w:p w14:paraId="14B6020E">
      <w:pPr>
        <w:spacing w:after="0" w:line="360" w:lineRule="auto"/>
        <w:ind w:left="420" w:leftChars="200"/>
        <w:jc w:val="both"/>
        <w:rPr>
          <w:rFonts w:ascii="宋体" w:hAnsi="宋体" w:eastAsia="宋体" w:cs="宋体"/>
          <w:kern w:val="2"/>
          <w:sz w:val="21"/>
          <w:szCs w:val="21"/>
          <w:u w:val="single"/>
          <w:lang w:eastAsia="zh-CN"/>
        </w:rPr>
      </w:pPr>
      <w:r>
        <w:rPr>
          <w:rFonts w:hint="eastAsia" w:ascii="宋体" w:hAnsi="宋体" w:eastAsia="宋体" w:cs="宋体"/>
          <w:sz w:val="21"/>
          <w:szCs w:val="21"/>
          <w:lang w:eastAsia="zh-CN"/>
        </w:rPr>
        <w:t>10.2.2  监理人批复修订合同进度计划的期限</w:t>
      </w:r>
      <w:r>
        <w:rPr>
          <w:rFonts w:hint="eastAsia" w:ascii="宋体" w:hAnsi="宋体" w:eastAsia="宋体" w:cs="宋体"/>
          <w:kern w:val="2"/>
          <w:sz w:val="21"/>
          <w:szCs w:val="21"/>
          <w:lang w:eastAsia="zh-CN"/>
        </w:rPr>
        <w:t>：</w:t>
      </w:r>
      <w:r>
        <w:rPr>
          <w:rFonts w:hint="eastAsia" w:ascii="宋体" w:hAnsi="宋体" w:eastAsia="宋体" w:cs="宋体"/>
          <w:kern w:val="2"/>
          <w:sz w:val="21"/>
          <w:szCs w:val="21"/>
          <w:u w:val="single"/>
          <w:lang w:eastAsia="zh-CN"/>
        </w:rPr>
        <w:t xml:space="preserve"> 收到承包人报送的修订合同进度</w:t>
      </w:r>
    </w:p>
    <w:p w14:paraId="257997CC">
      <w:pPr>
        <w:spacing w:after="0" w:line="360" w:lineRule="auto"/>
        <w:jc w:val="both"/>
        <w:rPr>
          <w:rFonts w:ascii="宋体" w:hAnsi="宋体" w:eastAsia="宋体" w:cs="宋体"/>
          <w:sz w:val="21"/>
          <w:szCs w:val="21"/>
          <w:lang w:eastAsia="zh-CN"/>
        </w:rPr>
      </w:pPr>
      <w:r>
        <w:rPr>
          <w:rFonts w:hint="eastAsia" w:ascii="宋体" w:hAnsi="宋体" w:eastAsia="宋体" w:cs="宋体"/>
          <w:kern w:val="2"/>
          <w:sz w:val="21"/>
          <w:szCs w:val="21"/>
          <w:u w:val="single"/>
          <w:lang w:eastAsia="zh-CN"/>
        </w:rPr>
        <w:t xml:space="preserve">计划和相关资料后7 天内。    </w:t>
      </w:r>
    </w:p>
    <w:p w14:paraId="44C1363D">
      <w:pPr>
        <w:keepNext/>
        <w:keepLines/>
        <w:spacing w:before="120" w:beforeLines="50" w:after="120" w:afterLines="50" w:line="360" w:lineRule="auto"/>
        <w:jc w:val="both"/>
        <w:outlineLvl w:val="1"/>
        <w:rPr>
          <w:rFonts w:ascii="宋体" w:hAnsi="宋体" w:eastAsia="宋体" w:cs="宋体"/>
          <w:kern w:val="2"/>
          <w:sz w:val="28"/>
          <w:szCs w:val="20"/>
          <w:lang w:eastAsia="zh-CN"/>
        </w:rPr>
      </w:pPr>
      <w:bookmarkStart w:id="1309" w:name="_Toc490331699"/>
      <w:bookmarkStart w:id="1310" w:name="_Toc16264608"/>
      <w:bookmarkStart w:id="1311" w:name="_Toc31594"/>
      <w:bookmarkStart w:id="1312" w:name="_Toc29156"/>
      <w:bookmarkStart w:id="1313" w:name="_Toc497584068"/>
      <w:bookmarkStart w:id="1314" w:name="_Toc47947523"/>
      <w:bookmarkStart w:id="1315" w:name="_Toc10314"/>
      <w:bookmarkStart w:id="1316" w:name="_Toc497214077"/>
      <w:r>
        <w:rPr>
          <w:rFonts w:hint="eastAsia" w:ascii="宋体" w:hAnsi="宋体" w:eastAsia="宋体" w:cs="宋体"/>
          <w:kern w:val="2"/>
          <w:sz w:val="28"/>
          <w:szCs w:val="20"/>
          <w:lang w:eastAsia="zh-CN"/>
        </w:rPr>
        <w:t>11.开工和竣工</w:t>
      </w:r>
      <w:bookmarkEnd w:id="1306"/>
      <w:bookmarkEnd w:id="1307"/>
      <w:bookmarkEnd w:id="1308"/>
      <w:bookmarkEnd w:id="1309"/>
      <w:bookmarkEnd w:id="1310"/>
      <w:bookmarkEnd w:id="1311"/>
      <w:bookmarkEnd w:id="1312"/>
      <w:bookmarkEnd w:id="1313"/>
      <w:bookmarkEnd w:id="1314"/>
      <w:bookmarkEnd w:id="1315"/>
      <w:bookmarkEnd w:id="1316"/>
    </w:p>
    <w:p w14:paraId="434AA6CA">
      <w:pPr>
        <w:keepNext/>
        <w:keepLines/>
        <w:spacing w:before="120" w:beforeLines="50" w:after="120" w:afterLines="50" w:line="360" w:lineRule="auto"/>
        <w:jc w:val="both"/>
        <w:outlineLvl w:val="2"/>
        <w:rPr>
          <w:rFonts w:ascii="宋体" w:hAnsi="宋体" w:eastAsia="宋体" w:cs="宋体"/>
          <w:sz w:val="24"/>
          <w:szCs w:val="20"/>
          <w:lang w:eastAsia="zh-CN"/>
        </w:rPr>
      </w:pPr>
      <w:bookmarkStart w:id="1317" w:name="_Toc489280215"/>
      <w:bookmarkStart w:id="1318" w:name="_Toc490331700"/>
      <w:bookmarkStart w:id="1319" w:name="_Toc485323183"/>
      <w:bookmarkStart w:id="1320" w:name="_Toc47947524"/>
      <w:bookmarkStart w:id="1321" w:name="_Toc497584069"/>
      <w:bookmarkStart w:id="1322" w:name="_Toc486580409"/>
      <w:bookmarkStart w:id="1323" w:name="_Toc16264609"/>
      <w:bookmarkStart w:id="1324" w:name="_Toc497214078"/>
      <w:r>
        <w:rPr>
          <w:rFonts w:hint="eastAsia" w:ascii="宋体" w:hAnsi="宋体" w:eastAsia="宋体" w:cs="宋体"/>
          <w:sz w:val="24"/>
          <w:szCs w:val="20"/>
          <w:lang w:eastAsia="zh-CN"/>
        </w:rPr>
        <w:t>11.3  发包人的工期延误</w:t>
      </w:r>
      <w:bookmarkEnd w:id="1317"/>
      <w:bookmarkEnd w:id="1318"/>
      <w:bookmarkEnd w:id="1319"/>
      <w:bookmarkEnd w:id="1320"/>
      <w:bookmarkEnd w:id="1321"/>
      <w:bookmarkEnd w:id="1322"/>
      <w:bookmarkEnd w:id="1323"/>
      <w:bookmarkEnd w:id="1324"/>
    </w:p>
    <w:p w14:paraId="21ED6B0D">
      <w:pPr>
        <w:wordWrap w:val="0"/>
        <w:spacing w:after="0" w:line="360" w:lineRule="auto"/>
        <w:ind w:left="420" w:leftChars="200"/>
        <w:jc w:val="both"/>
        <w:rPr>
          <w:rFonts w:ascii="宋体" w:hAnsi="宋体" w:eastAsia="宋体" w:cs="宋体"/>
          <w:kern w:val="2"/>
          <w:sz w:val="21"/>
          <w:szCs w:val="21"/>
          <w:u w:val="single"/>
          <w:lang w:eastAsia="zh-CN"/>
        </w:rPr>
      </w:pPr>
      <w:bookmarkStart w:id="1325" w:name="_Toc485323184"/>
      <w:bookmarkStart w:id="1326" w:name="_Toc489280216"/>
      <w:bookmarkStart w:id="1327" w:name="_Toc486580410"/>
      <w:r>
        <w:rPr>
          <w:rFonts w:hint="eastAsia" w:ascii="宋体" w:hAnsi="宋体" w:eastAsia="宋体" w:cs="宋体"/>
          <w:sz w:val="21"/>
          <w:szCs w:val="21"/>
          <w:lang w:eastAsia="zh-CN"/>
        </w:rPr>
        <w:t>（8）发包人造成工期延误的其他原因</w:t>
      </w:r>
      <w:r>
        <w:rPr>
          <w:rFonts w:hint="eastAsia" w:ascii="宋体" w:hAnsi="宋体" w:eastAsia="宋体" w:cs="宋体"/>
          <w:kern w:val="2"/>
          <w:sz w:val="21"/>
          <w:szCs w:val="21"/>
          <w:lang w:eastAsia="zh-CN"/>
        </w:rPr>
        <w:t>：</w:t>
      </w:r>
      <w:r>
        <w:rPr>
          <w:rFonts w:hint="eastAsia" w:ascii="宋体" w:hAnsi="宋体" w:eastAsia="宋体" w:cs="宋体"/>
          <w:kern w:val="2"/>
          <w:sz w:val="21"/>
          <w:szCs w:val="21"/>
          <w:u w:val="single"/>
          <w:lang w:eastAsia="zh-CN"/>
        </w:rPr>
        <w:t>重大设计变更、不可抗力、其他非承包人原</w:t>
      </w:r>
    </w:p>
    <w:p w14:paraId="2C309921">
      <w:pPr>
        <w:wordWrap w:val="0"/>
        <w:spacing w:after="0" w:line="360" w:lineRule="auto"/>
        <w:jc w:val="both"/>
        <w:rPr>
          <w:rFonts w:ascii="宋体" w:hAnsi="宋体" w:eastAsia="宋体" w:cs="宋体"/>
          <w:kern w:val="2"/>
          <w:sz w:val="21"/>
          <w:szCs w:val="21"/>
          <w:u w:val="single"/>
          <w:lang w:eastAsia="zh-CN"/>
        </w:rPr>
      </w:pPr>
      <w:r>
        <w:rPr>
          <w:rFonts w:hint="eastAsia" w:ascii="宋体" w:hAnsi="宋体" w:eastAsia="宋体" w:cs="宋体"/>
          <w:kern w:val="2"/>
          <w:sz w:val="21"/>
          <w:szCs w:val="21"/>
          <w:u w:val="single"/>
          <w:lang w:eastAsia="zh-CN"/>
        </w:rPr>
        <w:t xml:space="preserve">因可能出现的特殊情况等延误承包人关键线路工作的情况。    </w:t>
      </w:r>
    </w:p>
    <w:p w14:paraId="5F6F64CC">
      <w:pPr>
        <w:keepNext/>
        <w:keepLines/>
        <w:spacing w:before="120" w:beforeLines="50" w:after="120" w:afterLines="50" w:line="360" w:lineRule="auto"/>
        <w:jc w:val="both"/>
        <w:outlineLvl w:val="2"/>
        <w:rPr>
          <w:rFonts w:ascii="宋体" w:hAnsi="宋体" w:eastAsia="宋体" w:cs="宋体"/>
          <w:sz w:val="24"/>
          <w:szCs w:val="20"/>
          <w:lang w:eastAsia="zh-CN"/>
        </w:rPr>
      </w:pPr>
      <w:bookmarkStart w:id="1328" w:name="_Toc16264610"/>
      <w:bookmarkStart w:id="1329" w:name="_Toc47947525"/>
      <w:bookmarkStart w:id="1330" w:name="_Toc497214079"/>
      <w:bookmarkStart w:id="1331" w:name="_Toc497584070"/>
      <w:bookmarkStart w:id="1332" w:name="_Toc490331701"/>
      <w:r>
        <w:rPr>
          <w:rFonts w:hint="eastAsia" w:ascii="宋体" w:hAnsi="宋体" w:eastAsia="宋体" w:cs="宋体"/>
          <w:sz w:val="24"/>
          <w:szCs w:val="20"/>
          <w:lang w:eastAsia="zh-CN"/>
        </w:rPr>
        <w:t>11.4  异常恶劣的气候条件</w:t>
      </w:r>
      <w:bookmarkEnd w:id="1325"/>
      <w:bookmarkEnd w:id="1326"/>
      <w:bookmarkEnd w:id="1327"/>
      <w:bookmarkEnd w:id="1328"/>
      <w:bookmarkEnd w:id="1329"/>
      <w:bookmarkEnd w:id="1330"/>
      <w:bookmarkEnd w:id="1331"/>
      <w:bookmarkEnd w:id="1332"/>
    </w:p>
    <w:p w14:paraId="4F7ACFD5">
      <w:pPr>
        <w:wordWrap w:val="0"/>
        <w:spacing w:after="0" w:line="360" w:lineRule="auto"/>
        <w:ind w:left="420" w:leftChars="200"/>
        <w:jc w:val="both"/>
        <w:rPr>
          <w:rFonts w:ascii="宋体" w:hAnsi="宋体" w:eastAsia="宋体" w:cs="宋体"/>
          <w:kern w:val="2"/>
          <w:sz w:val="21"/>
          <w:szCs w:val="21"/>
          <w:u w:val="single"/>
          <w:lang w:eastAsia="zh-CN"/>
        </w:rPr>
      </w:pPr>
      <w:bookmarkStart w:id="1333" w:name="_Toc489280217"/>
      <w:bookmarkStart w:id="1334" w:name="_Toc485323185"/>
      <w:bookmarkStart w:id="1335" w:name="_Toc486580411"/>
      <w:r>
        <w:rPr>
          <w:rFonts w:hint="eastAsia" w:ascii="宋体" w:hAnsi="宋体" w:eastAsia="宋体" w:cs="宋体"/>
          <w:sz w:val="21"/>
          <w:szCs w:val="21"/>
          <w:lang w:eastAsia="zh-CN"/>
        </w:rPr>
        <w:t>异常恶劣的气候条件的范围和标准</w:t>
      </w:r>
      <w:r>
        <w:rPr>
          <w:rFonts w:hint="eastAsia" w:ascii="宋体" w:hAnsi="宋体" w:eastAsia="宋体" w:cs="宋体"/>
          <w:kern w:val="2"/>
          <w:sz w:val="21"/>
          <w:szCs w:val="21"/>
          <w:lang w:eastAsia="zh-CN"/>
        </w:rPr>
        <w:t>：</w:t>
      </w:r>
      <w:r>
        <w:rPr>
          <w:rFonts w:hint="eastAsia" w:ascii="宋体" w:hAnsi="宋体" w:eastAsia="宋体" w:cs="宋体"/>
          <w:kern w:val="2"/>
          <w:sz w:val="21"/>
          <w:szCs w:val="21"/>
          <w:u w:val="single"/>
          <w:lang w:eastAsia="zh-CN"/>
        </w:rPr>
        <w:t xml:space="preserve">  20年一遇的最大降水（雪）量、最高（低）温</w:t>
      </w:r>
    </w:p>
    <w:p w14:paraId="35840388">
      <w:pPr>
        <w:wordWrap w:val="0"/>
        <w:spacing w:after="0" w:line="360" w:lineRule="auto"/>
        <w:jc w:val="both"/>
        <w:rPr>
          <w:rFonts w:ascii="宋体" w:hAnsi="宋体" w:eastAsia="宋体" w:cs="宋体"/>
          <w:sz w:val="21"/>
          <w:szCs w:val="21"/>
          <w:lang w:eastAsia="zh-CN"/>
        </w:rPr>
      </w:pPr>
      <w:r>
        <w:rPr>
          <w:rFonts w:hint="eastAsia" w:ascii="宋体" w:hAnsi="宋体" w:eastAsia="宋体" w:cs="宋体"/>
          <w:kern w:val="2"/>
          <w:sz w:val="21"/>
          <w:szCs w:val="21"/>
          <w:u w:val="single"/>
          <w:lang w:eastAsia="zh-CN"/>
        </w:rPr>
        <w:t xml:space="preserve">度等极端天气 。 </w:t>
      </w:r>
    </w:p>
    <w:p w14:paraId="24885A7D">
      <w:pPr>
        <w:keepNext/>
        <w:keepLines/>
        <w:spacing w:before="120" w:beforeLines="50" w:after="120" w:afterLines="50" w:line="360" w:lineRule="auto"/>
        <w:jc w:val="both"/>
        <w:outlineLvl w:val="2"/>
        <w:rPr>
          <w:rFonts w:ascii="宋体" w:hAnsi="宋体" w:eastAsia="宋体" w:cs="宋体"/>
          <w:sz w:val="24"/>
          <w:szCs w:val="20"/>
          <w:lang w:eastAsia="zh-CN"/>
        </w:rPr>
      </w:pPr>
      <w:bookmarkStart w:id="1336" w:name="_Toc490331702"/>
      <w:bookmarkStart w:id="1337" w:name="_Toc16264611"/>
      <w:bookmarkStart w:id="1338" w:name="_Toc497584071"/>
      <w:bookmarkStart w:id="1339" w:name="_Toc47947526"/>
      <w:bookmarkStart w:id="1340" w:name="_Toc497214080"/>
      <w:r>
        <w:rPr>
          <w:rFonts w:hint="eastAsia" w:ascii="宋体" w:hAnsi="宋体" w:eastAsia="宋体" w:cs="宋体"/>
          <w:sz w:val="24"/>
          <w:szCs w:val="20"/>
          <w:lang w:eastAsia="zh-CN"/>
        </w:rPr>
        <w:t>11.5  承包人的工期延误</w:t>
      </w:r>
      <w:bookmarkEnd w:id="1333"/>
      <w:bookmarkEnd w:id="1334"/>
      <w:bookmarkEnd w:id="1335"/>
      <w:bookmarkEnd w:id="1336"/>
      <w:bookmarkEnd w:id="1337"/>
      <w:bookmarkEnd w:id="1338"/>
      <w:bookmarkEnd w:id="1339"/>
      <w:bookmarkEnd w:id="1340"/>
    </w:p>
    <w:p w14:paraId="1E043E56">
      <w:pPr>
        <w:wordWrap w:val="0"/>
        <w:spacing w:after="0" w:line="360" w:lineRule="auto"/>
        <w:ind w:left="420" w:leftChars="200"/>
        <w:jc w:val="both"/>
        <w:rPr>
          <w:rFonts w:ascii="宋体" w:hAnsi="宋体" w:eastAsia="宋体" w:cs="宋体"/>
          <w:kern w:val="2"/>
          <w:sz w:val="21"/>
          <w:szCs w:val="21"/>
          <w:u w:val="single"/>
          <w:lang w:eastAsia="zh-CN"/>
        </w:rPr>
      </w:pPr>
      <w:bookmarkStart w:id="1341" w:name="_Toc489280218"/>
      <w:bookmarkStart w:id="1342" w:name="_Toc485323186"/>
      <w:bookmarkStart w:id="1343" w:name="_Toc486580412"/>
      <w:r>
        <w:rPr>
          <w:rFonts w:hint="eastAsia" w:ascii="宋体" w:hAnsi="宋体" w:eastAsia="宋体" w:cs="宋体"/>
          <w:kern w:val="2"/>
          <w:sz w:val="21"/>
          <w:szCs w:val="21"/>
          <w:lang w:eastAsia="zh-CN"/>
        </w:rPr>
        <w:t>11.5.2</w:t>
      </w:r>
      <w:r>
        <w:rPr>
          <w:rFonts w:hint="eastAsia" w:ascii="宋体" w:hAnsi="宋体" w:eastAsia="宋体" w:cs="宋体"/>
          <w:sz w:val="21"/>
          <w:szCs w:val="21"/>
          <w:lang w:eastAsia="zh-CN"/>
        </w:rPr>
        <w:t xml:space="preserve">  逾期竣工违约金的计算标准和计算方法</w:t>
      </w:r>
      <w:r>
        <w:rPr>
          <w:rFonts w:hint="eastAsia" w:ascii="宋体" w:hAnsi="宋体" w:eastAsia="宋体" w:cs="宋体"/>
          <w:kern w:val="2"/>
          <w:sz w:val="21"/>
          <w:szCs w:val="21"/>
          <w:lang w:eastAsia="zh-CN"/>
        </w:rPr>
        <w:t>：</w:t>
      </w:r>
      <w:r>
        <w:rPr>
          <w:rFonts w:hint="eastAsia" w:ascii="宋体" w:hAnsi="宋体" w:eastAsia="宋体" w:cs="宋体"/>
          <w:kern w:val="2"/>
          <w:sz w:val="21"/>
          <w:szCs w:val="21"/>
          <w:u w:val="single"/>
          <w:lang w:eastAsia="zh-CN"/>
        </w:rPr>
        <w:t xml:space="preserve"> 按日历天计算，每延误一天，承</w:t>
      </w:r>
    </w:p>
    <w:p w14:paraId="23D82350">
      <w:pPr>
        <w:wordWrap w:val="0"/>
        <w:spacing w:after="0" w:line="360" w:lineRule="auto"/>
        <w:jc w:val="both"/>
        <w:rPr>
          <w:rFonts w:ascii="宋体" w:hAnsi="宋体" w:eastAsia="宋体" w:cs="宋体"/>
          <w:kern w:val="2"/>
          <w:sz w:val="21"/>
          <w:szCs w:val="21"/>
          <w:u w:val="single"/>
          <w:lang w:eastAsia="zh-CN"/>
        </w:rPr>
      </w:pPr>
      <w:r>
        <w:rPr>
          <w:rFonts w:hint="eastAsia" w:ascii="宋体" w:hAnsi="宋体" w:eastAsia="宋体" w:cs="宋体"/>
          <w:kern w:val="2"/>
          <w:sz w:val="21"/>
          <w:szCs w:val="21"/>
          <w:u w:val="single"/>
          <w:lang w:eastAsia="zh-CN"/>
        </w:rPr>
        <w:t xml:space="preserve">包人应向发包人赔偿签约合同总价的万分之二，不足一天按一天计。     </w:t>
      </w:r>
    </w:p>
    <w:p w14:paraId="35CF8523">
      <w:pPr>
        <w:wordWrap w:val="0"/>
        <w:spacing w:after="0" w:line="360" w:lineRule="auto"/>
        <w:ind w:left="420" w:leftChars="200"/>
        <w:jc w:val="both"/>
        <w:rPr>
          <w:rFonts w:ascii="宋体" w:hAnsi="宋体" w:eastAsia="宋体" w:cs="宋体"/>
          <w:sz w:val="21"/>
          <w:szCs w:val="21"/>
          <w:lang w:eastAsia="zh-CN"/>
        </w:rPr>
      </w:pPr>
      <w:r>
        <w:rPr>
          <w:rFonts w:hint="eastAsia" w:ascii="宋体" w:hAnsi="宋体" w:eastAsia="宋体" w:cs="宋体"/>
          <w:sz w:val="21"/>
          <w:szCs w:val="21"/>
          <w:lang w:eastAsia="zh-CN"/>
        </w:rPr>
        <w:t>逾期竣工违约金最高限额</w:t>
      </w:r>
      <w:r>
        <w:rPr>
          <w:rFonts w:hint="eastAsia" w:ascii="宋体" w:hAnsi="宋体" w:eastAsia="宋体" w:cs="宋体"/>
          <w:kern w:val="2"/>
          <w:sz w:val="21"/>
          <w:szCs w:val="21"/>
          <w:lang w:eastAsia="zh-CN"/>
        </w:rPr>
        <w:t>：</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不超过合同价的3%     </w:t>
      </w:r>
      <w:r>
        <w:rPr>
          <w:rFonts w:hint="eastAsia" w:ascii="宋体" w:hAnsi="宋体" w:eastAsia="宋体" w:cs="宋体"/>
          <w:kern w:val="2"/>
          <w:sz w:val="21"/>
          <w:szCs w:val="21"/>
          <w:u w:val="single"/>
          <w:lang w:eastAsia="zh-CN"/>
        </w:rPr>
        <w:t xml:space="preserve">                </w:t>
      </w:r>
    </w:p>
    <w:p w14:paraId="753357B8">
      <w:pPr>
        <w:keepNext/>
        <w:keepLines/>
        <w:spacing w:before="120" w:beforeLines="50" w:after="120" w:afterLines="50" w:line="360" w:lineRule="auto"/>
        <w:jc w:val="both"/>
        <w:outlineLvl w:val="2"/>
        <w:rPr>
          <w:rFonts w:ascii="宋体" w:hAnsi="宋体" w:eastAsia="宋体" w:cs="宋体"/>
          <w:sz w:val="24"/>
          <w:szCs w:val="20"/>
          <w:lang w:eastAsia="zh-CN"/>
        </w:rPr>
      </w:pPr>
      <w:bookmarkStart w:id="1344" w:name="_Toc497214081"/>
      <w:bookmarkStart w:id="1345" w:name="_Toc497584072"/>
      <w:bookmarkStart w:id="1346" w:name="_Toc16264612"/>
      <w:bookmarkStart w:id="1347" w:name="_Toc47947527"/>
      <w:bookmarkStart w:id="1348" w:name="_Toc490331703"/>
      <w:r>
        <w:rPr>
          <w:rFonts w:hint="eastAsia" w:ascii="宋体" w:hAnsi="宋体" w:eastAsia="宋体" w:cs="宋体"/>
          <w:sz w:val="24"/>
          <w:szCs w:val="20"/>
          <w:lang w:eastAsia="zh-CN"/>
        </w:rPr>
        <w:t>11.6  工期提前</w:t>
      </w:r>
      <w:bookmarkEnd w:id="1341"/>
      <w:bookmarkEnd w:id="1342"/>
      <w:bookmarkEnd w:id="1343"/>
      <w:bookmarkEnd w:id="1344"/>
      <w:bookmarkEnd w:id="1345"/>
      <w:bookmarkEnd w:id="1346"/>
      <w:bookmarkEnd w:id="1347"/>
      <w:bookmarkEnd w:id="1348"/>
    </w:p>
    <w:p w14:paraId="4DB91D09">
      <w:pPr>
        <w:wordWrap w:val="0"/>
        <w:spacing w:after="0" w:line="360" w:lineRule="auto"/>
        <w:ind w:left="420" w:leftChars="200"/>
        <w:jc w:val="both"/>
        <w:rPr>
          <w:rFonts w:ascii="宋体" w:hAnsi="宋体" w:eastAsia="宋体" w:cs="宋体"/>
          <w:color w:val="000000"/>
          <w:kern w:val="2"/>
          <w:sz w:val="21"/>
          <w:szCs w:val="21"/>
          <w:u w:val="single"/>
          <w:lang w:eastAsia="zh-CN"/>
        </w:rPr>
      </w:pPr>
      <w:bookmarkStart w:id="1349" w:name="_Toc485323187"/>
      <w:bookmarkStart w:id="1350" w:name="_Toc489280219"/>
      <w:bookmarkStart w:id="1351" w:name="_Toc486580413"/>
      <w:r>
        <w:rPr>
          <w:rFonts w:hint="eastAsia" w:ascii="宋体" w:hAnsi="宋体" w:eastAsia="宋体" w:cs="宋体"/>
          <w:sz w:val="21"/>
          <w:szCs w:val="21"/>
          <w:lang w:eastAsia="zh-CN"/>
        </w:rPr>
        <w:t>提前竣工的奖励办法</w:t>
      </w:r>
      <w:r>
        <w:rPr>
          <w:rFonts w:hint="eastAsia" w:ascii="宋体" w:hAnsi="宋体" w:eastAsia="宋体" w:cs="宋体"/>
          <w:kern w:val="2"/>
          <w:sz w:val="21"/>
          <w:szCs w:val="21"/>
          <w:lang w:eastAsia="zh-CN"/>
        </w:rPr>
        <w:t>：</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按日历天计算 ，每提前一天奖励合同总价的万分之二，不足</w:t>
      </w:r>
    </w:p>
    <w:p w14:paraId="519BD163">
      <w:pPr>
        <w:wordWrap w:val="0"/>
        <w:spacing w:after="0" w:line="360" w:lineRule="auto"/>
        <w:jc w:val="both"/>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一天不计，最高限额不超过合同价的3%。</w:t>
      </w:r>
      <w:r>
        <w:rPr>
          <w:rFonts w:hint="eastAsia" w:ascii="宋体" w:hAnsi="宋体" w:eastAsia="宋体" w:cs="宋体"/>
          <w:kern w:val="2"/>
          <w:sz w:val="21"/>
          <w:szCs w:val="21"/>
          <w:u w:val="single"/>
          <w:lang w:eastAsia="zh-CN"/>
        </w:rPr>
        <w:t xml:space="preserve">  </w:t>
      </w:r>
    </w:p>
    <w:p w14:paraId="61BCAB1D">
      <w:pPr>
        <w:keepNext/>
        <w:keepLines/>
        <w:spacing w:before="120" w:beforeLines="50" w:after="120" w:afterLines="50" w:line="360" w:lineRule="auto"/>
        <w:jc w:val="both"/>
        <w:outlineLvl w:val="1"/>
        <w:rPr>
          <w:rFonts w:ascii="宋体" w:hAnsi="宋体" w:eastAsia="宋体" w:cs="宋体"/>
          <w:kern w:val="2"/>
          <w:sz w:val="28"/>
          <w:szCs w:val="20"/>
          <w:lang w:eastAsia="zh-CN"/>
        </w:rPr>
      </w:pPr>
      <w:bookmarkStart w:id="1352" w:name="_Toc497214082"/>
      <w:bookmarkStart w:id="1353" w:name="_Toc497584073"/>
      <w:bookmarkStart w:id="1354" w:name="_Toc20060"/>
      <w:bookmarkStart w:id="1355" w:name="_Toc490331704"/>
      <w:bookmarkStart w:id="1356" w:name="_Toc24548"/>
      <w:bookmarkStart w:id="1357" w:name="_Toc17141"/>
      <w:bookmarkStart w:id="1358" w:name="_Toc16264613"/>
      <w:bookmarkStart w:id="1359" w:name="_Toc47947528"/>
      <w:r>
        <w:rPr>
          <w:rFonts w:hint="eastAsia" w:ascii="宋体" w:hAnsi="宋体" w:eastAsia="宋体" w:cs="宋体"/>
          <w:kern w:val="2"/>
          <w:sz w:val="28"/>
          <w:szCs w:val="20"/>
          <w:lang w:eastAsia="zh-CN"/>
        </w:rPr>
        <w:t>12.暂停施工</w:t>
      </w:r>
      <w:bookmarkEnd w:id="1349"/>
      <w:bookmarkEnd w:id="1350"/>
      <w:bookmarkEnd w:id="1351"/>
      <w:bookmarkEnd w:id="1352"/>
      <w:bookmarkEnd w:id="1353"/>
      <w:bookmarkEnd w:id="1354"/>
      <w:bookmarkEnd w:id="1355"/>
      <w:bookmarkEnd w:id="1356"/>
      <w:bookmarkEnd w:id="1357"/>
      <w:bookmarkEnd w:id="1358"/>
      <w:bookmarkEnd w:id="1359"/>
    </w:p>
    <w:p w14:paraId="1DFD63CF">
      <w:pPr>
        <w:keepNext/>
        <w:keepLines/>
        <w:spacing w:before="120" w:beforeLines="50" w:after="120" w:afterLines="50" w:line="360" w:lineRule="auto"/>
        <w:jc w:val="both"/>
        <w:outlineLvl w:val="2"/>
        <w:rPr>
          <w:rFonts w:ascii="宋体" w:hAnsi="宋体" w:eastAsia="宋体" w:cs="宋体"/>
          <w:sz w:val="24"/>
          <w:szCs w:val="20"/>
          <w:lang w:eastAsia="zh-CN"/>
        </w:rPr>
      </w:pPr>
      <w:bookmarkStart w:id="1360" w:name="_Toc485323188"/>
      <w:bookmarkStart w:id="1361" w:name="_Toc16264614"/>
      <w:bookmarkStart w:id="1362" w:name="_Toc486580414"/>
      <w:bookmarkStart w:id="1363" w:name="_Toc490331705"/>
      <w:bookmarkStart w:id="1364" w:name="_Toc497584074"/>
      <w:bookmarkStart w:id="1365" w:name="_Toc47947529"/>
      <w:bookmarkStart w:id="1366" w:name="_Toc489280220"/>
      <w:bookmarkStart w:id="1367" w:name="_Toc497214083"/>
      <w:r>
        <w:rPr>
          <w:rFonts w:hint="eastAsia" w:ascii="宋体" w:hAnsi="宋体" w:eastAsia="宋体" w:cs="宋体"/>
          <w:sz w:val="24"/>
          <w:szCs w:val="20"/>
          <w:lang w:eastAsia="zh-CN"/>
        </w:rPr>
        <w:t>12.1  承包人暂停施工的责任</w:t>
      </w:r>
      <w:bookmarkEnd w:id="1360"/>
      <w:bookmarkEnd w:id="1361"/>
      <w:bookmarkEnd w:id="1362"/>
      <w:bookmarkEnd w:id="1363"/>
      <w:bookmarkEnd w:id="1364"/>
      <w:bookmarkEnd w:id="1365"/>
      <w:bookmarkEnd w:id="1366"/>
      <w:bookmarkEnd w:id="1367"/>
    </w:p>
    <w:p w14:paraId="1CEAC1BC">
      <w:pPr>
        <w:wordWrap w:val="0"/>
        <w:spacing w:after="0" w:line="360" w:lineRule="auto"/>
        <w:ind w:left="420" w:leftChars="200"/>
        <w:jc w:val="both"/>
        <w:rPr>
          <w:rFonts w:ascii="宋体" w:hAnsi="宋体" w:eastAsia="宋体" w:cs="宋体"/>
          <w:color w:val="000000"/>
          <w:kern w:val="2"/>
          <w:sz w:val="21"/>
          <w:szCs w:val="21"/>
          <w:u w:val="single"/>
          <w:lang w:eastAsia="zh-CN"/>
        </w:rPr>
      </w:pPr>
      <w:bookmarkStart w:id="1368" w:name="_Toc489280221"/>
      <w:bookmarkStart w:id="1369" w:name="_Toc485323189"/>
      <w:bookmarkStart w:id="1370" w:name="_Toc486580415"/>
      <w:r>
        <w:rPr>
          <w:rFonts w:hint="eastAsia" w:ascii="宋体" w:hAnsi="宋体" w:eastAsia="宋体" w:cs="宋体"/>
          <w:sz w:val="21"/>
          <w:szCs w:val="21"/>
          <w:lang w:eastAsia="zh-CN"/>
        </w:rPr>
        <w:t>（4）承包人承担暂停施工责任的其他情形</w:t>
      </w:r>
      <w:r>
        <w:rPr>
          <w:rFonts w:hint="eastAsia" w:ascii="宋体" w:hAnsi="宋体" w:eastAsia="宋体" w:cs="宋体"/>
          <w:kern w:val="2"/>
          <w:sz w:val="21"/>
          <w:szCs w:val="21"/>
          <w:lang w:eastAsia="zh-CN"/>
        </w:rPr>
        <w:t>：</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现场气候条件引起的必要停工 (11.4 </w:t>
      </w:r>
    </w:p>
    <w:p w14:paraId="75171259">
      <w:pPr>
        <w:wordWrap w:val="0"/>
        <w:spacing w:after="0" w:line="360" w:lineRule="auto"/>
        <w:jc w:val="both"/>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款规定的异常恶劣气候条件除外)、受第三方干扰或扰乱造成的停工、政府要求的短期停工等。</w:t>
      </w:r>
    </w:p>
    <w:p w14:paraId="1127E45C">
      <w:pPr>
        <w:keepNext/>
        <w:keepLines/>
        <w:spacing w:before="120" w:beforeLines="50" w:after="120" w:afterLines="50" w:line="360" w:lineRule="auto"/>
        <w:jc w:val="both"/>
        <w:outlineLvl w:val="1"/>
        <w:rPr>
          <w:rFonts w:ascii="宋体" w:hAnsi="宋体" w:eastAsia="宋体" w:cs="宋体"/>
          <w:kern w:val="2"/>
          <w:sz w:val="28"/>
          <w:szCs w:val="20"/>
          <w:lang w:eastAsia="zh-CN"/>
        </w:rPr>
      </w:pPr>
      <w:bookmarkStart w:id="1371" w:name="_Toc28483"/>
      <w:bookmarkStart w:id="1372" w:name="_Toc16264615"/>
      <w:bookmarkStart w:id="1373" w:name="_Toc2918"/>
      <w:bookmarkStart w:id="1374" w:name="_Toc47947530"/>
      <w:bookmarkStart w:id="1375" w:name="_Toc26581"/>
      <w:bookmarkStart w:id="1376" w:name="_Toc490331706"/>
      <w:bookmarkStart w:id="1377" w:name="_Toc497214084"/>
      <w:bookmarkStart w:id="1378" w:name="_Toc497584075"/>
      <w:r>
        <w:rPr>
          <w:rFonts w:hint="eastAsia" w:ascii="宋体" w:hAnsi="宋体" w:eastAsia="宋体" w:cs="宋体"/>
          <w:kern w:val="2"/>
          <w:sz w:val="28"/>
          <w:szCs w:val="20"/>
          <w:lang w:eastAsia="zh-CN"/>
        </w:rPr>
        <w:t>13.工程质量</w:t>
      </w:r>
      <w:bookmarkEnd w:id="1368"/>
      <w:bookmarkEnd w:id="1369"/>
      <w:bookmarkEnd w:id="1370"/>
      <w:bookmarkEnd w:id="1371"/>
      <w:bookmarkEnd w:id="1372"/>
      <w:bookmarkEnd w:id="1373"/>
      <w:bookmarkEnd w:id="1374"/>
      <w:bookmarkEnd w:id="1375"/>
      <w:bookmarkEnd w:id="1376"/>
      <w:bookmarkEnd w:id="1377"/>
      <w:bookmarkEnd w:id="1378"/>
    </w:p>
    <w:p w14:paraId="427052FF">
      <w:pPr>
        <w:keepNext/>
        <w:keepLines/>
        <w:spacing w:before="120" w:beforeLines="50" w:after="120" w:afterLines="50" w:line="360" w:lineRule="auto"/>
        <w:jc w:val="both"/>
        <w:outlineLvl w:val="2"/>
        <w:rPr>
          <w:rFonts w:ascii="宋体" w:hAnsi="宋体" w:eastAsia="宋体" w:cs="宋体"/>
          <w:sz w:val="24"/>
          <w:szCs w:val="20"/>
          <w:lang w:eastAsia="zh-CN"/>
        </w:rPr>
      </w:pPr>
      <w:bookmarkStart w:id="1379" w:name="_Toc497584076"/>
      <w:bookmarkStart w:id="1380" w:name="_Toc47947531"/>
      <w:bookmarkStart w:id="1381" w:name="_Toc485323190"/>
      <w:bookmarkStart w:id="1382" w:name="_Toc497214085"/>
      <w:bookmarkStart w:id="1383" w:name="_Toc490331707"/>
      <w:bookmarkStart w:id="1384" w:name="_Toc16264616"/>
      <w:bookmarkStart w:id="1385" w:name="_Toc489280222"/>
      <w:bookmarkStart w:id="1386" w:name="_Toc486580416"/>
      <w:r>
        <w:rPr>
          <w:rFonts w:hint="eastAsia" w:ascii="宋体" w:hAnsi="宋体" w:eastAsia="宋体" w:cs="宋体"/>
          <w:sz w:val="24"/>
          <w:szCs w:val="20"/>
          <w:lang w:eastAsia="zh-CN"/>
        </w:rPr>
        <w:t>13.2  承包人的质量管理</w:t>
      </w:r>
      <w:bookmarkEnd w:id="1379"/>
      <w:bookmarkEnd w:id="1380"/>
      <w:bookmarkEnd w:id="1381"/>
      <w:bookmarkEnd w:id="1382"/>
      <w:bookmarkEnd w:id="1383"/>
      <w:bookmarkEnd w:id="1384"/>
      <w:bookmarkEnd w:id="1385"/>
      <w:bookmarkEnd w:id="1386"/>
    </w:p>
    <w:p w14:paraId="6A2CD59A">
      <w:pPr>
        <w:spacing w:after="0" w:line="360" w:lineRule="auto"/>
        <w:ind w:left="630" w:leftChars="200" w:hanging="210" w:hangingChars="100"/>
        <w:jc w:val="both"/>
        <w:rPr>
          <w:rFonts w:ascii="宋体" w:hAnsi="宋体" w:eastAsia="宋体" w:cs="宋体"/>
          <w:color w:val="000000"/>
          <w:kern w:val="2"/>
          <w:sz w:val="21"/>
          <w:szCs w:val="21"/>
          <w:u w:val="single"/>
          <w:lang w:eastAsia="zh-CN"/>
        </w:rPr>
      </w:pPr>
      <w:r>
        <w:rPr>
          <w:rFonts w:hint="eastAsia" w:ascii="宋体" w:hAnsi="宋体" w:eastAsia="宋体" w:cs="宋体"/>
          <w:kern w:val="2"/>
          <w:sz w:val="21"/>
          <w:szCs w:val="21"/>
          <w:lang w:eastAsia="zh-CN"/>
        </w:rPr>
        <w:t>13.2.1  承包人向监理人提交工程质量保证措施文件的期限：</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收到监理人按照通用</w:t>
      </w:r>
    </w:p>
    <w:p w14:paraId="550B7466">
      <w:pPr>
        <w:spacing w:after="0" w:line="360" w:lineRule="auto"/>
        <w:jc w:val="both"/>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合同条款第11.1.1项发出的开工通知后7天内。</w:t>
      </w:r>
    </w:p>
    <w:p w14:paraId="337D45C5">
      <w:pPr>
        <w:spacing w:after="0" w:line="360" w:lineRule="auto"/>
        <w:ind w:left="420" w:leftChars="200"/>
        <w:jc w:val="both"/>
        <w:rPr>
          <w:rFonts w:ascii="宋体" w:hAnsi="宋体" w:eastAsia="宋体" w:cs="宋体"/>
          <w:color w:val="000000"/>
          <w:kern w:val="2"/>
          <w:sz w:val="21"/>
          <w:szCs w:val="21"/>
          <w:u w:val="single"/>
          <w:lang w:eastAsia="zh-CN"/>
        </w:rPr>
      </w:pPr>
      <w:r>
        <w:rPr>
          <w:rFonts w:hint="eastAsia" w:ascii="宋体" w:hAnsi="宋体" w:eastAsia="宋体" w:cs="宋体"/>
          <w:kern w:val="2"/>
          <w:sz w:val="21"/>
          <w:szCs w:val="21"/>
          <w:lang w:eastAsia="zh-CN"/>
        </w:rPr>
        <w:t>监理人审批工程质量保证措施文件的期限：</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收到承包人提交工程质量保证措施文</w:t>
      </w:r>
    </w:p>
    <w:p w14:paraId="67EA72CD">
      <w:pPr>
        <w:spacing w:after="0" w:line="360" w:lineRule="auto"/>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u w:val="single"/>
          <w:lang w:eastAsia="zh-CN"/>
        </w:rPr>
        <w:t>件后7天内。</w:t>
      </w:r>
      <w:r>
        <w:rPr>
          <w:rFonts w:hint="eastAsia" w:ascii="宋体" w:hAnsi="宋体" w:eastAsia="宋体" w:cs="宋体"/>
          <w:kern w:val="2"/>
          <w:sz w:val="21"/>
          <w:szCs w:val="21"/>
          <w:u w:val="single"/>
          <w:lang w:eastAsia="zh-CN"/>
        </w:rPr>
        <w:t xml:space="preserve">    </w:t>
      </w:r>
    </w:p>
    <w:p w14:paraId="28431351">
      <w:pPr>
        <w:keepNext/>
        <w:keepLines/>
        <w:spacing w:before="120" w:beforeLines="50" w:after="120" w:afterLines="50" w:line="360" w:lineRule="auto"/>
        <w:jc w:val="both"/>
        <w:outlineLvl w:val="2"/>
        <w:rPr>
          <w:rFonts w:ascii="宋体" w:hAnsi="宋体" w:eastAsia="宋体" w:cs="宋体"/>
          <w:sz w:val="24"/>
          <w:szCs w:val="20"/>
          <w:lang w:eastAsia="zh-CN"/>
        </w:rPr>
      </w:pPr>
      <w:bookmarkStart w:id="1387" w:name="_Toc497214086"/>
      <w:bookmarkStart w:id="1388" w:name="_Toc497584077"/>
      <w:bookmarkStart w:id="1389" w:name="_Toc47947532"/>
      <w:bookmarkStart w:id="1390" w:name="_Toc490331708"/>
      <w:bookmarkStart w:id="1391" w:name="_Toc486580417"/>
      <w:bookmarkStart w:id="1392" w:name="_Toc489280223"/>
      <w:bookmarkStart w:id="1393" w:name="_Toc16264617"/>
      <w:bookmarkStart w:id="1394" w:name="_Toc485323191"/>
      <w:r>
        <w:rPr>
          <w:rFonts w:hint="eastAsia" w:ascii="宋体" w:hAnsi="宋体" w:eastAsia="宋体" w:cs="宋体"/>
          <w:sz w:val="24"/>
          <w:szCs w:val="20"/>
          <w:lang w:eastAsia="zh-CN"/>
        </w:rPr>
        <w:t>13.3  承包人的质量检查</w:t>
      </w:r>
      <w:bookmarkEnd w:id="1387"/>
      <w:bookmarkEnd w:id="1388"/>
      <w:bookmarkEnd w:id="1389"/>
      <w:bookmarkEnd w:id="1390"/>
      <w:bookmarkEnd w:id="1391"/>
      <w:bookmarkEnd w:id="1392"/>
      <w:bookmarkEnd w:id="1393"/>
      <w:bookmarkEnd w:id="1394"/>
    </w:p>
    <w:p w14:paraId="3048D308">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1"/>
          <w:lang w:eastAsia="zh-CN"/>
        </w:rPr>
        <w:t>承包人向监理人报送工程质量报表的期限：</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 每月5日前    </w:t>
      </w:r>
      <w:r>
        <w:rPr>
          <w:rFonts w:hint="eastAsia" w:ascii="宋体" w:hAnsi="宋体" w:eastAsia="宋体" w:cs="宋体"/>
          <w:kern w:val="2"/>
          <w:sz w:val="21"/>
          <w:szCs w:val="21"/>
          <w:u w:val="single"/>
          <w:lang w:eastAsia="zh-CN"/>
        </w:rPr>
        <w:t xml:space="preserve">     </w:t>
      </w:r>
    </w:p>
    <w:p w14:paraId="74D4B41E">
      <w:pPr>
        <w:spacing w:after="0" w:line="360" w:lineRule="auto"/>
        <w:ind w:left="420" w:left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承包人向监理人报送工程质量报表的要求：</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应包含上月已完成的及下月准备进行的对材料、工程设备以及工程的所有部位及其施工工艺的质量检查和检验工作内容。</w:t>
      </w:r>
      <w:r>
        <w:rPr>
          <w:rFonts w:hint="eastAsia" w:ascii="宋体" w:hAnsi="宋体" w:eastAsia="宋体" w:cs="宋体"/>
          <w:kern w:val="2"/>
          <w:sz w:val="21"/>
          <w:szCs w:val="21"/>
          <w:u w:val="single"/>
          <w:lang w:eastAsia="zh-CN"/>
        </w:rPr>
        <w:t xml:space="preserve">      </w:t>
      </w:r>
    </w:p>
    <w:p w14:paraId="1F0ED76A">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监理人审查工程质量报表的期限：</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收到报表后7日内。     </w:t>
      </w:r>
      <w:r>
        <w:rPr>
          <w:rFonts w:hint="eastAsia" w:ascii="宋体" w:hAnsi="宋体" w:eastAsia="宋体" w:cs="宋体"/>
          <w:kern w:val="2"/>
          <w:sz w:val="21"/>
          <w:szCs w:val="21"/>
          <w:u w:val="single"/>
          <w:lang w:eastAsia="zh-CN"/>
        </w:rPr>
        <w:t xml:space="preserve">               </w:t>
      </w:r>
    </w:p>
    <w:p w14:paraId="176AC25F">
      <w:pPr>
        <w:keepNext/>
        <w:keepLines/>
        <w:spacing w:before="120" w:beforeLines="50" w:after="120" w:afterLines="50" w:line="360" w:lineRule="auto"/>
        <w:jc w:val="both"/>
        <w:outlineLvl w:val="2"/>
        <w:rPr>
          <w:rFonts w:ascii="宋体" w:hAnsi="宋体" w:eastAsia="宋体" w:cs="宋体"/>
          <w:sz w:val="24"/>
          <w:szCs w:val="20"/>
          <w:lang w:eastAsia="zh-CN"/>
        </w:rPr>
      </w:pPr>
      <w:bookmarkStart w:id="1395" w:name="_Toc486580418"/>
      <w:bookmarkStart w:id="1396" w:name="_Toc497214087"/>
      <w:bookmarkStart w:id="1397" w:name="_Toc47947533"/>
      <w:bookmarkStart w:id="1398" w:name="_Toc16264618"/>
      <w:bookmarkStart w:id="1399" w:name="_Toc497584078"/>
      <w:bookmarkStart w:id="1400" w:name="_Toc490331709"/>
      <w:bookmarkStart w:id="1401" w:name="_Toc489280224"/>
      <w:bookmarkStart w:id="1402" w:name="_Toc485323192"/>
      <w:r>
        <w:rPr>
          <w:rFonts w:hint="eastAsia" w:ascii="宋体" w:hAnsi="宋体" w:eastAsia="宋体" w:cs="宋体"/>
          <w:sz w:val="24"/>
          <w:szCs w:val="20"/>
          <w:lang w:eastAsia="zh-CN"/>
        </w:rPr>
        <w:t>13.4  监理人的质量检查</w:t>
      </w:r>
      <w:bookmarkEnd w:id="1395"/>
      <w:bookmarkEnd w:id="1396"/>
      <w:bookmarkEnd w:id="1397"/>
      <w:bookmarkEnd w:id="1398"/>
      <w:bookmarkEnd w:id="1399"/>
      <w:bookmarkEnd w:id="1400"/>
      <w:bookmarkEnd w:id="1401"/>
      <w:bookmarkEnd w:id="1402"/>
    </w:p>
    <w:p w14:paraId="75AF6736">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承包人应当为监理人的检查和检验提供方便，监理人可以进行察看和查阅施工原始记录的其他地方包括：</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监理人认为有必要的任何地方。</w:t>
      </w:r>
      <w:r>
        <w:rPr>
          <w:rFonts w:hint="eastAsia" w:ascii="宋体" w:hAnsi="宋体" w:eastAsia="宋体" w:cs="宋体"/>
          <w:kern w:val="2"/>
          <w:sz w:val="21"/>
          <w:szCs w:val="21"/>
          <w:u w:val="single"/>
          <w:lang w:eastAsia="zh-CN"/>
        </w:rPr>
        <w:t xml:space="preserve"> </w:t>
      </w:r>
    </w:p>
    <w:p w14:paraId="6517855D">
      <w:pPr>
        <w:keepNext/>
        <w:keepLines/>
        <w:spacing w:before="120" w:beforeLines="50" w:after="120" w:afterLines="50" w:line="360" w:lineRule="auto"/>
        <w:jc w:val="both"/>
        <w:outlineLvl w:val="2"/>
        <w:rPr>
          <w:rFonts w:ascii="宋体" w:hAnsi="宋体" w:eastAsia="宋体" w:cs="宋体"/>
          <w:sz w:val="24"/>
          <w:szCs w:val="20"/>
          <w:lang w:eastAsia="zh-CN"/>
        </w:rPr>
      </w:pPr>
      <w:bookmarkStart w:id="1403" w:name="_Toc497214088"/>
      <w:bookmarkStart w:id="1404" w:name="_Toc16264619"/>
      <w:bookmarkStart w:id="1405" w:name="_Toc489280225"/>
      <w:bookmarkStart w:id="1406" w:name="_Toc47947534"/>
      <w:bookmarkStart w:id="1407" w:name="_Toc486580419"/>
      <w:bookmarkStart w:id="1408" w:name="_Toc497584079"/>
      <w:bookmarkStart w:id="1409" w:name="_Toc490331710"/>
      <w:bookmarkStart w:id="1410" w:name="_Toc485323193"/>
      <w:r>
        <w:rPr>
          <w:rFonts w:hint="eastAsia" w:ascii="宋体" w:hAnsi="宋体" w:eastAsia="宋体" w:cs="宋体"/>
          <w:sz w:val="24"/>
          <w:szCs w:val="20"/>
          <w:lang w:eastAsia="zh-CN"/>
        </w:rPr>
        <w:t>13.5  工程隐蔽部位覆盖前的检查</w:t>
      </w:r>
      <w:bookmarkEnd w:id="1403"/>
      <w:bookmarkEnd w:id="1404"/>
      <w:bookmarkEnd w:id="1405"/>
      <w:bookmarkEnd w:id="1406"/>
      <w:bookmarkEnd w:id="1407"/>
      <w:bookmarkEnd w:id="1408"/>
      <w:bookmarkEnd w:id="1409"/>
      <w:bookmarkEnd w:id="1410"/>
    </w:p>
    <w:p w14:paraId="52643FA3">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1"/>
          <w:lang w:eastAsia="zh-CN"/>
        </w:rPr>
        <w:t>13.5.1  监理人对工程隐蔽部位进行检查的期限：</w:t>
      </w:r>
      <w:r>
        <w:rPr>
          <w:rFonts w:hint="eastAsia" w:ascii="宋体" w:hAnsi="宋体" w:eastAsia="宋体" w:cs="宋体"/>
          <w:color w:val="000000"/>
          <w:kern w:val="2"/>
          <w:sz w:val="21"/>
          <w:szCs w:val="21"/>
          <w:u w:val="single"/>
          <w:lang w:eastAsia="zh-CN"/>
        </w:rPr>
        <w:t xml:space="preserve">收到承包人的检查通知后12小时内。 </w:t>
      </w:r>
      <w:r>
        <w:rPr>
          <w:rFonts w:hint="eastAsia" w:ascii="宋体" w:hAnsi="宋体" w:eastAsia="宋体" w:cs="宋体"/>
          <w:kern w:val="2"/>
          <w:sz w:val="21"/>
          <w:szCs w:val="21"/>
          <w:u w:val="single"/>
          <w:lang w:eastAsia="zh-CN"/>
        </w:rPr>
        <w:t xml:space="preserve">       </w:t>
      </w:r>
    </w:p>
    <w:p w14:paraId="6AEA3DE8">
      <w:pPr>
        <w:keepNext/>
        <w:keepLines/>
        <w:spacing w:before="120" w:beforeLines="50" w:after="120" w:afterLines="50" w:line="360" w:lineRule="auto"/>
        <w:jc w:val="both"/>
        <w:outlineLvl w:val="1"/>
        <w:rPr>
          <w:rFonts w:ascii="宋体" w:hAnsi="宋体" w:eastAsia="宋体" w:cs="宋体"/>
          <w:kern w:val="2"/>
          <w:sz w:val="28"/>
          <w:szCs w:val="20"/>
          <w:lang w:eastAsia="zh-CN"/>
        </w:rPr>
      </w:pPr>
      <w:bookmarkStart w:id="1411" w:name="_Toc14298"/>
      <w:bookmarkStart w:id="1412" w:name="_Toc16264620"/>
      <w:bookmarkStart w:id="1413" w:name="_Toc47947535"/>
      <w:bookmarkStart w:id="1414" w:name="_Toc490331711"/>
      <w:bookmarkStart w:id="1415" w:name="_Toc497214089"/>
      <w:bookmarkStart w:id="1416" w:name="_Toc489280226"/>
      <w:bookmarkStart w:id="1417" w:name="_Toc497584080"/>
      <w:bookmarkStart w:id="1418" w:name="_Toc485323194"/>
      <w:bookmarkStart w:id="1419" w:name="_Toc27141"/>
      <w:bookmarkStart w:id="1420" w:name="_Toc486580420"/>
      <w:bookmarkStart w:id="1421" w:name="_Toc25335"/>
      <w:r>
        <w:rPr>
          <w:rFonts w:hint="eastAsia" w:ascii="宋体" w:hAnsi="宋体" w:eastAsia="宋体" w:cs="宋体"/>
          <w:kern w:val="2"/>
          <w:sz w:val="28"/>
          <w:szCs w:val="20"/>
          <w:lang w:eastAsia="zh-CN"/>
        </w:rPr>
        <w:t>15.变更</w:t>
      </w:r>
      <w:bookmarkEnd w:id="1411"/>
      <w:bookmarkEnd w:id="1412"/>
      <w:bookmarkEnd w:id="1413"/>
      <w:bookmarkEnd w:id="1414"/>
      <w:bookmarkEnd w:id="1415"/>
      <w:bookmarkEnd w:id="1416"/>
      <w:bookmarkEnd w:id="1417"/>
      <w:bookmarkEnd w:id="1418"/>
      <w:bookmarkEnd w:id="1419"/>
      <w:bookmarkEnd w:id="1420"/>
      <w:bookmarkEnd w:id="1421"/>
    </w:p>
    <w:p w14:paraId="3755EA7D">
      <w:pPr>
        <w:keepNext/>
        <w:keepLines/>
        <w:spacing w:before="120" w:beforeLines="50" w:after="120" w:afterLines="50" w:line="360" w:lineRule="auto"/>
        <w:jc w:val="both"/>
        <w:outlineLvl w:val="2"/>
        <w:rPr>
          <w:rFonts w:ascii="宋体" w:hAnsi="宋体" w:eastAsia="宋体" w:cs="宋体"/>
          <w:sz w:val="24"/>
          <w:szCs w:val="20"/>
          <w:lang w:eastAsia="zh-CN"/>
        </w:rPr>
      </w:pPr>
      <w:bookmarkStart w:id="1422" w:name="_Toc16264621"/>
      <w:bookmarkStart w:id="1423" w:name="_Toc485323195"/>
      <w:bookmarkStart w:id="1424" w:name="_Toc497584081"/>
      <w:bookmarkStart w:id="1425" w:name="_Toc47947536"/>
      <w:bookmarkStart w:id="1426" w:name="_Toc489280227"/>
      <w:bookmarkStart w:id="1427" w:name="_Toc490331712"/>
      <w:bookmarkStart w:id="1428" w:name="_Toc497214090"/>
      <w:bookmarkStart w:id="1429" w:name="_Toc486580421"/>
      <w:r>
        <w:rPr>
          <w:rFonts w:hint="eastAsia" w:ascii="宋体" w:hAnsi="宋体" w:eastAsia="宋体" w:cs="宋体"/>
          <w:sz w:val="24"/>
          <w:szCs w:val="20"/>
          <w:lang w:eastAsia="zh-CN"/>
        </w:rPr>
        <w:t>15.1  变更的范围和内容</w:t>
      </w:r>
      <w:bookmarkEnd w:id="1422"/>
      <w:bookmarkEnd w:id="1423"/>
      <w:bookmarkEnd w:id="1424"/>
      <w:bookmarkEnd w:id="1425"/>
      <w:bookmarkEnd w:id="1426"/>
      <w:bookmarkEnd w:id="1427"/>
      <w:bookmarkEnd w:id="1428"/>
      <w:bookmarkEnd w:id="1429"/>
    </w:p>
    <w:p w14:paraId="761184F7">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1"/>
          <w:lang w:eastAsia="zh-CN"/>
        </w:rPr>
        <w:t>15.1.1</w:t>
      </w:r>
      <w:r>
        <w:rPr>
          <w:rFonts w:hint="eastAsia" w:ascii="宋体" w:hAnsi="宋体" w:eastAsia="宋体" w:cs="宋体"/>
          <w:kern w:val="2"/>
          <w:sz w:val="21"/>
          <w:szCs w:val="24"/>
          <w:lang w:eastAsia="zh-CN"/>
        </w:rPr>
        <w:t>在履行合同中发生以下情形之一，应按照本条规定进行变更。</w:t>
      </w:r>
    </w:p>
    <w:p w14:paraId="1926E37B">
      <w:pPr>
        <w:spacing w:after="0" w:line="360" w:lineRule="auto"/>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（6）变更的其他情形：</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经发包人同意的设计变更及现场签证。</w:t>
      </w:r>
      <w:r>
        <w:rPr>
          <w:rFonts w:hint="eastAsia" w:ascii="宋体" w:hAnsi="宋体" w:eastAsia="宋体" w:cs="宋体"/>
          <w:kern w:val="2"/>
          <w:sz w:val="21"/>
          <w:szCs w:val="21"/>
          <w:u w:val="single"/>
          <w:lang w:eastAsia="zh-CN"/>
        </w:rPr>
        <w:t xml:space="preserve">        </w:t>
      </w:r>
    </w:p>
    <w:p w14:paraId="03F1A0F5">
      <w:pPr>
        <w:keepNext/>
        <w:keepLines/>
        <w:spacing w:before="120" w:beforeLines="50" w:after="120" w:afterLines="50" w:line="360" w:lineRule="auto"/>
        <w:jc w:val="both"/>
        <w:outlineLvl w:val="2"/>
        <w:rPr>
          <w:rFonts w:ascii="宋体" w:hAnsi="宋体" w:eastAsia="宋体" w:cs="宋体"/>
          <w:sz w:val="24"/>
          <w:szCs w:val="20"/>
          <w:lang w:eastAsia="zh-CN"/>
        </w:rPr>
      </w:pPr>
      <w:bookmarkStart w:id="1430" w:name="_Toc489280228"/>
      <w:bookmarkStart w:id="1431" w:name="_Toc16264622"/>
      <w:bookmarkStart w:id="1432" w:name="_Toc490331713"/>
      <w:bookmarkStart w:id="1433" w:name="_Toc497214091"/>
      <w:bookmarkStart w:id="1434" w:name="_Toc47947537"/>
      <w:bookmarkStart w:id="1435" w:name="_Toc485323196"/>
      <w:bookmarkStart w:id="1436" w:name="_Toc497584082"/>
      <w:bookmarkStart w:id="1437" w:name="_Toc486580422"/>
      <w:r>
        <w:rPr>
          <w:rFonts w:hint="eastAsia" w:ascii="宋体" w:hAnsi="宋体" w:eastAsia="宋体" w:cs="宋体"/>
          <w:sz w:val="24"/>
          <w:szCs w:val="20"/>
          <w:lang w:eastAsia="zh-CN"/>
        </w:rPr>
        <w:t>15.3  变更程序</w:t>
      </w:r>
      <w:bookmarkEnd w:id="1430"/>
      <w:bookmarkEnd w:id="1431"/>
      <w:bookmarkEnd w:id="1432"/>
      <w:bookmarkEnd w:id="1433"/>
      <w:bookmarkEnd w:id="1434"/>
      <w:bookmarkEnd w:id="1435"/>
      <w:bookmarkEnd w:id="1436"/>
      <w:bookmarkEnd w:id="1437"/>
    </w:p>
    <w:p w14:paraId="67B87E1D">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15.3.2  变更估价</w:t>
      </w:r>
    </w:p>
    <w:p w14:paraId="2BCB17B2">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（1）承包人提交变更报价书的期限：</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承包人收到变更指示或变更意向书后的14天内。  </w:t>
      </w:r>
    </w:p>
    <w:p w14:paraId="2958D67E">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（3）监理人商定或确定变更价格的期限：</w:t>
      </w:r>
      <w:r>
        <w:rPr>
          <w:rFonts w:hint="eastAsia" w:ascii="宋体" w:hAnsi="宋体" w:eastAsia="宋体" w:cs="宋体"/>
          <w:color w:val="000000"/>
          <w:kern w:val="2"/>
          <w:sz w:val="21"/>
          <w:szCs w:val="21"/>
          <w:u w:val="single"/>
          <w:lang w:eastAsia="zh-CN"/>
        </w:rPr>
        <w:t xml:space="preserve">监理人收到承包人变更报价书后的14天内，并经发包人认可。 </w:t>
      </w:r>
      <w:r>
        <w:rPr>
          <w:rFonts w:hint="eastAsia" w:ascii="宋体" w:hAnsi="宋体" w:eastAsia="宋体" w:cs="宋体"/>
          <w:kern w:val="2"/>
          <w:sz w:val="21"/>
          <w:szCs w:val="21"/>
          <w:u w:val="single"/>
          <w:lang w:eastAsia="zh-CN"/>
        </w:rPr>
        <w:t xml:space="preserve"> </w:t>
      </w:r>
    </w:p>
    <w:p w14:paraId="5029568C">
      <w:pPr>
        <w:keepNext/>
        <w:keepLines/>
        <w:spacing w:before="120" w:beforeLines="50" w:after="120" w:afterLines="50" w:line="360" w:lineRule="auto"/>
        <w:jc w:val="both"/>
        <w:outlineLvl w:val="2"/>
        <w:rPr>
          <w:rFonts w:ascii="宋体" w:hAnsi="宋体" w:eastAsia="宋体" w:cs="宋体"/>
          <w:sz w:val="24"/>
          <w:szCs w:val="20"/>
          <w:lang w:eastAsia="zh-CN"/>
        </w:rPr>
      </w:pPr>
      <w:bookmarkStart w:id="1438" w:name="_Toc490331714"/>
      <w:bookmarkStart w:id="1439" w:name="_Toc497214092"/>
      <w:bookmarkStart w:id="1440" w:name="_Toc16264623"/>
      <w:bookmarkStart w:id="1441" w:name="_Toc485323197"/>
      <w:bookmarkStart w:id="1442" w:name="_Toc489280229"/>
      <w:bookmarkStart w:id="1443" w:name="_Toc486580423"/>
      <w:bookmarkStart w:id="1444" w:name="_Toc47947538"/>
      <w:bookmarkStart w:id="1445" w:name="_Toc497584083"/>
      <w:r>
        <w:rPr>
          <w:rFonts w:hint="eastAsia" w:ascii="宋体" w:hAnsi="宋体" w:eastAsia="宋体" w:cs="宋体"/>
          <w:sz w:val="24"/>
          <w:szCs w:val="20"/>
          <w:lang w:eastAsia="zh-CN"/>
        </w:rPr>
        <w:t>15.4  变更的估价原则</w:t>
      </w:r>
      <w:bookmarkEnd w:id="1438"/>
      <w:bookmarkEnd w:id="1439"/>
      <w:bookmarkEnd w:id="1440"/>
      <w:bookmarkEnd w:id="1441"/>
      <w:bookmarkEnd w:id="1442"/>
      <w:bookmarkEnd w:id="1443"/>
      <w:bookmarkEnd w:id="1444"/>
      <w:bookmarkEnd w:id="1445"/>
    </w:p>
    <w:p w14:paraId="5CEA0A3B">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15.4.5  合同协议书约定采用单价合同形式时，因非承包人原因引起已标价工程量清单中列明的工程量发生增减，且单个子目工程量变化幅度在</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 15 </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%以内（含）时，应执行已标价工程量清单中列明的该子目的单价；单个子目工程量变化幅度在</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 15 </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%以外（不含），且导致分部分项工程费总额变化幅度超过</w:t>
      </w:r>
      <w:r>
        <w:rPr>
          <w:rFonts w:hint="eastAsia" w:ascii="宋体" w:hAnsi="宋体" w:eastAsia="宋体" w:cs="宋体"/>
          <w:kern w:val="2"/>
          <w:sz w:val="21"/>
          <w:szCs w:val="21"/>
          <w:u w:val="single"/>
          <w:lang w:eastAsia="zh-CN"/>
        </w:rPr>
        <w:t xml:space="preserve">   6  </w:t>
      </w:r>
      <w:r>
        <w:rPr>
          <w:rFonts w:hint="eastAsia" w:ascii="宋体" w:hAnsi="宋体" w:eastAsia="宋体" w:cs="宋体"/>
          <w:kern w:val="2"/>
          <w:sz w:val="21"/>
          <w:szCs w:val="21"/>
          <w:lang w:eastAsia="zh-CN"/>
        </w:rPr>
        <w:t>%时，由承包人提出并由监理人按第3.5款商定或确定新的单价，该子目按修正后的新的单价计价。</w:t>
      </w:r>
    </w:p>
    <w:p w14:paraId="19975D51">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15.4.6  因变更引起价格调整的其他处理方式：</w:t>
      </w:r>
      <w:r>
        <w:rPr>
          <w:rFonts w:hint="eastAsia" w:ascii="宋体" w:hAnsi="宋体" w:eastAsia="宋体" w:cs="宋体"/>
          <w:kern w:val="2"/>
          <w:sz w:val="21"/>
          <w:szCs w:val="21"/>
          <w:u w:val="single"/>
          <w:lang w:eastAsia="zh-CN"/>
        </w:rPr>
        <w:t xml:space="preserve">      /                        </w:t>
      </w:r>
    </w:p>
    <w:p w14:paraId="5EE3A4C5">
      <w:pPr>
        <w:keepNext/>
        <w:keepLines/>
        <w:spacing w:before="120" w:beforeLines="50" w:after="120" w:afterLines="50" w:line="360" w:lineRule="auto"/>
        <w:jc w:val="both"/>
        <w:outlineLvl w:val="2"/>
        <w:rPr>
          <w:rFonts w:ascii="宋体" w:hAnsi="宋体" w:eastAsia="宋体" w:cs="宋体"/>
          <w:sz w:val="24"/>
          <w:szCs w:val="20"/>
          <w:lang w:eastAsia="zh-CN"/>
        </w:rPr>
      </w:pPr>
      <w:bookmarkStart w:id="1446" w:name="_Toc485323198"/>
      <w:bookmarkStart w:id="1447" w:name="_Toc497214093"/>
      <w:bookmarkStart w:id="1448" w:name="_Toc47947539"/>
      <w:bookmarkStart w:id="1449" w:name="_Toc497584084"/>
      <w:bookmarkStart w:id="1450" w:name="_Toc489280230"/>
      <w:bookmarkStart w:id="1451" w:name="_Toc486580424"/>
      <w:bookmarkStart w:id="1452" w:name="_Toc490331715"/>
      <w:bookmarkStart w:id="1453" w:name="_Toc16264624"/>
      <w:r>
        <w:rPr>
          <w:rFonts w:hint="eastAsia" w:ascii="宋体" w:hAnsi="宋体" w:eastAsia="宋体" w:cs="宋体"/>
          <w:sz w:val="24"/>
          <w:szCs w:val="20"/>
          <w:lang w:eastAsia="zh-CN"/>
        </w:rPr>
        <w:t>15.5  承包人的合理化建议</w:t>
      </w:r>
      <w:bookmarkEnd w:id="1446"/>
      <w:bookmarkEnd w:id="1447"/>
      <w:bookmarkEnd w:id="1448"/>
      <w:bookmarkEnd w:id="1449"/>
      <w:bookmarkEnd w:id="1450"/>
      <w:bookmarkEnd w:id="1451"/>
      <w:bookmarkEnd w:id="1452"/>
      <w:bookmarkEnd w:id="1453"/>
    </w:p>
    <w:p w14:paraId="5E350A2F">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15.5.2  对承包人提出合理化建议的奖励方法：</w:t>
      </w:r>
      <w:r>
        <w:rPr>
          <w:rFonts w:hint="eastAsia" w:ascii="宋体" w:hAnsi="宋体" w:eastAsia="宋体" w:cs="宋体"/>
          <w:kern w:val="2"/>
          <w:sz w:val="21"/>
          <w:szCs w:val="21"/>
          <w:u w:val="single"/>
          <w:lang w:eastAsia="zh-CN"/>
        </w:rPr>
        <w:t xml:space="preserve">         /                    </w:t>
      </w:r>
    </w:p>
    <w:p w14:paraId="33D48724">
      <w:pPr>
        <w:keepNext/>
        <w:keepLines/>
        <w:spacing w:before="120" w:beforeLines="50" w:after="120" w:afterLines="50" w:line="360" w:lineRule="auto"/>
        <w:jc w:val="both"/>
        <w:outlineLvl w:val="2"/>
        <w:rPr>
          <w:rFonts w:ascii="宋体" w:hAnsi="宋体" w:eastAsia="宋体" w:cs="宋体"/>
          <w:sz w:val="24"/>
          <w:szCs w:val="20"/>
          <w:lang w:eastAsia="zh-CN"/>
        </w:rPr>
      </w:pPr>
      <w:bookmarkStart w:id="1454" w:name="_Toc47947540"/>
      <w:bookmarkStart w:id="1455" w:name="_Toc16264625"/>
      <w:bookmarkStart w:id="1456" w:name="_Toc489280231"/>
      <w:bookmarkStart w:id="1457" w:name="_Toc485323199"/>
      <w:bookmarkStart w:id="1458" w:name="_Toc497214094"/>
      <w:bookmarkStart w:id="1459" w:name="_Toc490331716"/>
      <w:bookmarkStart w:id="1460" w:name="_Toc497584085"/>
      <w:bookmarkStart w:id="1461" w:name="_Toc486580425"/>
      <w:r>
        <w:rPr>
          <w:rFonts w:hint="eastAsia" w:ascii="宋体" w:hAnsi="宋体" w:eastAsia="宋体" w:cs="宋体"/>
          <w:sz w:val="24"/>
          <w:szCs w:val="20"/>
          <w:lang w:eastAsia="zh-CN"/>
        </w:rPr>
        <w:t>15.8  暂估价</w:t>
      </w:r>
      <w:bookmarkEnd w:id="1454"/>
      <w:bookmarkEnd w:id="1455"/>
      <w:bookmarkEnd w:id="1456"/>
      <w:bookmarkEnd w:id="1457"/>
      <w:bookmarkEnd w:id="1458"/>
      <w:bookmarkEnd w:id="1459"/>
      <w:bookmarkEnd w:id="1460"/>
      <w:bookmarkEnd w:id="1461"/>
    </w:p>
    <w:p w14:paraId="7B51304A">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15.8.1  按合同约定应当由发包人和承包人采用招标方式选择专项投标人或专业分包人的：</w:t>
      </w:r>
    </w:p>
    <w:p w14:paraId="74B67A45">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（4）承包人报送招标计划期限：</w:t>
      </w:r>
      <w:r>
        <w:rPr>
          <w:rFonts w:hint="eastAsia" w:ascii="宋体" w:hAnsi="宋体" w:eastAsia="宋体" w:cs="宋体"/>
          <w:kern w:val="2"/>
          <w:sz w:val="21"/>
          <w:szCs w:val="21"/>
          <w:u w:val="single"/>
          <w:lang w:eastAsia="zh-CN"/>
        </w:rPr>
        <w:t xml:space="preserve">           /                  </w:t>
      </w:r>
    </w:p>
    <w:p w14:paraId="177D9EC8">
      <w:pPr>
        <w:spacing w:after="0" w:line="360" w:lineRule="auto"/>
        <w:ind w:firstLine="424" w:firstLineChars="202"/>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发包人审批招标工作计划时限：</w:t>
      </w:r>
      <w:r>
        <w:rPr>
          <w:rFonts w:hint="eastAsia" w:ascii="宋体" w:hAnsi="宋体" w:eastAsia="宋体" w:cs="宋体"/>
          <w:kern w:val="2"/>
          <w:sz w:val="21"/>
          <w:szCs w:val="21"/>
          <w:u w:val="single"/>
          <w:lang w:eastAsia="zh-CN"/>
        </w:rPr>
        <w:t xml:space="preserve">         /                     </w:t>
      </w:r>
    </w:p>
    <w:p w14:paraId="49411FEB">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（5）承包人报送相关文件时限：</w:t>
      </w:r>
      <w:r>
        <w:rPr>
          <w:rFonts w:hint="eastAsia" w:ascii="宋体" w:hAnsi="宋体" w:eastAsia="宋体" w:cs="宋体"/>
          <w:kern w:val="2"/>
          <w:sz w:val="21"/>
          <w:szCs w:val="21"/>
          <w:u w:val="single"/>
          <w:lang w:eastAsia="zh-CN"/>
        </w:rPr>
        <w:t xml:space="preserve">       /                      </w:t>
      </w:r>
    </w:p>
    <w:p w14:paraId="62725C3A">
      <w:pPr>
        <w:spacing w:after="0" w:line="360" w:lineRule="auto"/>
        <w:ind w:firstLine="424" w:firstLineChars="202"/>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发包人审批相关文件时限：</w:t>
      </w:r>
      <w:r>
        <w:rPr>
          <w:rFonts w:hint="eastAsia" w:ascii="宋体" w:hAnsi="宋体" w:eastAsia="宋体" w:cs="宋体"/>
          <w:kern w:val="2"/>
          <w:sz w:val="21"/>
          <w:szCs w:val="21"/>
          <w:u w:val="single"/>
          <w:lang w:eastAsia="zh-CN"/>
        </w:rPr>
        <w:t xml:space="preserve">         /                         </w:t>
      </w:r>
    </w:p>
    <w:p w14:paraId="5848FF73">
      <w:pPr>
        <w:spacing w:after="0" w:line="360" w:lineRule="auto"/>
        <w:ind w:left="420" w:leftChars="200"/>
        <w:jc w:val="both"/>
        <w:rPr>
          <w:rFonts w:ascii="宋体" w:hAnsi="宋体" w:eastAsia="宋体" w:cs="宋体"/>
          <w:sz w:val="21"/>
          <w:szCs w:val="21"/>
          <w:lang w:eastAsia="zh-CN"/>
        </w:rPr>
      </w:pPr>
      <w:r>
        <w:rPr>
          <w:rFonts w:hint="eastAsia" w:ascii="宋体" w:hAnsi="宋体" w:eastAsia="宋体" w:cs="宋体"/>
          <w:sz w:val="21"/>
          <w:szCs w:val="21"/>
          <w:lang w:eastAsia="zh-CN"/>
        </w:rPr>
        <w:t>（10）承包人申报合同文件时限：</w:t>
      </w:r>
      <w:r>
        <w:rPr>
          <w:rFonts w:hint="eastAsia" w:ascii="宋体" w:hAnsi="宋体" w:eastAsia="宋体" w:cs="宋体"/>
          <w:sz w:val="21"/>
          <w:szCs w:val="21"/>
          <w:u w:val="single"/>
          <w:lang w:eastAsia="zh-CN"/>
        </w:rPr>
        <w:t xml:space="preserve">    /                        </w:t>
      </w:r>
    </w:p>
    <w:p w14:paraId="037CCB94">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发包人审批合同文件时限：</w:t>
      </w:r>
      <w:r>
        <w:rPr>
          <w:rFonts w:hint="eastAsia" w:ascii="宋体" w:hAnsi="宋体" w:eastAsia="宋体" w:cs="宋体"/>
          <w:kern w:val="2"/>
          <w:sz w:val="21"/>
          <w:szCs w:val="21"/>
          <w:u w:val="single"/>
          <w:lang w:eastAsia="zh-CN"/>
        </w:rPr>
        <w:t xml:space="preserve">            /                      </w:t>
      </w:r>
    </w:p>
    <w:p w14:paraId="659A9659">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承包人报送正式签订合同副本时限：</w:t>
      </w:r>
      <w:r>
        <w:rPr>
          <w:rFonts w:hint="eastAsia" w:ascii="宋体" w:hAnsi="宋体" w:eastAsia="宋体" w:cs="宋体"/>
          <w:kern w:val="2"/>
          <w:sz w:val="21"/>
          <w:szCs w:val="21"/>
          <w:u w:val="single"/>
          <w:lang w:eastAsia="zh-CN"/>
        </w:rPr>
        <w:t xml:space="preserve">       /                   </w:t>
      </w:r>
    </w:p>
    <w:p w14:paraId="7686CD43">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15.8.3  发包人在工程量清单中给定暂估价的专业工程不属于依法必须招标的范围或者未达到依法必须招标的规模标准的，其最终价格的估价人为：</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发包人 </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或者按照下列约定：</w:t>
      </w:r>
      <w:r>
        <w:rPr>
          <w:rFonts w:hint="eastAsia" w:ascii="宋体" w:hAnsi="宋体" w:eastAsia="宋体" w:cs="宋体"/>
          <w:kern w:val="2"/>
          <w:sz w:val="21"/>
          <w:szCs w:val="21"/>
          <w:u w:val="single"/>
          <w:lang w:eastAsia="zh-CN"/>
        </w:rPr>
        <w:t xml:space="preserve">        /                                         </w:t>
      </w:r>
    </w:p>
    <w:p w14:paraId="2C7D89FD">
      <w:pPr>
        <w:keepNext/>
        <w:keepLines/>
        <w:spacing w:before="120" w:beforeLines="50" w:after="120" w:afterLines="50" w:line="360" w:lineRule="auto"/>
        <w:jc w:val="both"/>
        <w:outlineLvl w:val="1"/>
        <w:rPr>
          <w:rFonts w:ascii="宋体" w:hAnsi="宋体" w:eastAsia="宋体" w:cs="宋体"/>
          <w:kern w:val="2"/>
          <w:sz w:val="28"/>
          <w:szCs w:val="20"/>
          <w:lang w:eastAsia="zh-CN"/>
        </w:rPr>
      </w:pPr>
      <w:bookmarkStart w:id="1462" w:name="_Toc497584086"/>
      <w:bookmarkStart w:id="1463" w:name="_Toc16264626"/>
      <w:bookmarkStart w:id="1464" w:name="_Toc14392"/>
      <w:bookmarkStart w:id="1465" w:name="_Toc8238"/>
      <w:bookmarkStart w:id="1466" w:name="_Toc489280232"/>
      <w:bookmarkStart w:id="1467" w:name="_Toc486580426"/>
      <w:bookmarkStart w:id="1468" w:name="_Toc485323200"/>
      <w:bookmarkStart w:id="1469" w:name="_Toc6943"/>
      <w:bookmarkStart w:id="1470" w:name="_Toc497214095"/>
      <w:bookmarkStart w:id="1471" w:name="_Toc47947541"/>
      <w:bookmarkStart w:id="1472" w:name="_Toc490331717"/>
      <w:r>
        <w:rPr>
          <w:rFonts w:hint="eastAsia" w:ascii="宋体" w:hAnsi="宋体" w:eastAsia="宋体" w:cs="宋体"/>
          <w:kern w:val="2"/>
          <w:sz w:val="28"/>
          <w:szCs w:val="20"/>
          <w:lang w:eastAsia="zh-CN"/>
        </w:rPr>
        <w:t>16.价格调整</w:t>
      </w:r>
      <w:bookmarkEnd w:id="1462"/>
      <w:bookmarkEnd w:id="1463"/>
      <w:bookmarkEnd w:id="1464"/>
      <w:bookmarkEnd w:id="1465"/>
      <w:bookmarkEnd w:id="1466"/>
      <w:bookmarkEnd w:id="1467"/>
      <w:bookmarkEnd w:id="1468"/>
      <w:bookmarkEnd w:id="1469"/>
      <w:bookmarkEnd w:id="1470"/>
      <w:bookmarkEnd w:id="1471"/>
      <w:bookmarkEnd w:id="1472"/>
    </w:p>
    <w:p w14:paraId="6723721E">
      <w:pPr>
        <w:keepNext/>
        <w:keepLines/>
        <w:spacing w:before="120" w:beforeLines="50" w:after="120" w:afterLines="50" w:line="360" w:lineRule="auto"/>
        <w:jc w:val="both"/>
        <w:outlineLvl w:val="2"/>
        <w:rPr>
          <w:rFonts w:ascii="宋体" w:hAnsi="宋体" w:eastAsia="宋体" w:cs="宋体"/>
          <w:sz w:val="24"/>
          <w:szCs w:val="20"/>
          <w:lang w:eastAsia="zh-CN"/>
        </w:rPr>
      </w:pPr>
      <w:bookmarkStart w:id="1473" w:name="_Toc486580427"/>
      <w:bookmarkStart w:id="1474" w:name="_Toc490331718"/>
      <w:bookmarkStart w:id="1475" w:name="_Toc489280233"/>
      <w:bookmarkStart w:id="1476" w:name="_Toc497584087"/>
      <w:bookmarkStart w:id="1477" w:name="_Toc497214096"/>
      <w:bookmarkStart w:id="1478" w:name="_Toc485323201"/>
      <w:bookmarkStart w:id="1479" w:name="_Toc47947542"/>
      <w:bookmarkStart w:id="1480" w:name="_Toc16264627"/>
      <w:r>
        <w:rPr>
          <w:rFonts w:hint="eastAsia" w:ascii="宋体" w:hAnsi="宋体" w:eastAsia="宋体" w:cs="宋体"/>
          <w:sz w:val="24"/>
          <w:szCs w:val="20"/>
          <w:lang w:eastAsia="zh-CN"/>
        </w:rPr>
        <w:t>16.1  物价波动引起的价格调整</w:t>
      </w:r>
      <w:bookmarkEnd w:id="1473"/>
      <w:bookmarkEnd w:id="1474"/>
      <w:bookmarkEnd w:id="1475"/>
      <w:bookmarkEnd w:id="1476"/>
      <w:bookmarkEnd w:id="1477"/>
      <w:bookmarkEnd w:id="1478"/>
      <w:bookmarkEnd w:id="1479"/>
      <w:bookmarkEnd w:id="1480"/>
    </w:p>
    <w:p w14:paraId="55DDE67A">
      <w:pPr>
        <w:spacing w:after="0" w:line="360" w:lineRule="auto"/>
        <w:jc w:val="both"/>
        <w:rPr>
          <w:rFonts w:ascii="宋体" w:hAnsi="宋体" w:eastAsia="宋体" w:cs="宋体"/>
          <w:kern w:val="2"/>
          <w:sz w:val="21"/>
          <w:szCs w:val="21"/>
          <w:u w:val="single"/>
          <w:lang w:eastAsia="zh-CN"/>
        </w:rPr>
      </w:pPr>
      <w:bookmarkStart w:id="1481" w:name="_Toc485323203"/>
      <w:bookmarkStart w:id="1482" w:name="_Toc16264629"/>
      <w:bookmarkStart w:id="1483" w:name="_Toc497214098"/>
      <w:bookmarkStart w:id="1484" w:name="_Toc486580429"/>
      <w:bookmarkStart w:id="1485" w:name="_Toc497584089"/>
      <w:bookmarkStart w:id="1486" w:name="_Toc489280235"/>
      <w:bookmarkStart w:id="1487" w:name="_Toc490331720"/>
      <w:r>
        <w:rPr>
          <w:rFonts w:hint="eastAsia" w:ascii="宋体" w:hAnsi="宋体" w:eastAsia="宋体" w:cs="宋体"/>
          <w:kern w:val="2"/>
          <w:sz w:val="21"/>
          <w:szCs w:val="21"/>
          <w:lang w:eastAsia="zh-CN"/>
        </w:rPr>
        <w:t>物价波动引起价格调整方法：</w:t>
      </w:r>
      <w:r>
        <w:rPr>
          <w:rFonts w:hint="eastAsia" w:ascii="宋体" w:hAnsi="宋体" w:eastAsia="宋体" w:cs="宋体"/>
          <w:kern w:val="2"/>
          <w:sz w:val="21"/>
          <w:szCs w:val="21"/>
          <w:u w:val="single"/>
          <w:lang w:eastAsia="zh-CN"/>
        </w:rPr>
        <w:t>采用造价信息调整价格差额</w:t>
      </w:r>
    </w:p>
    <w:p w14:paraId="3CDFC0A5">
      <w:pPr>
        <w:spacing w:after="0" w:line="360" w:lineRule="auto"/>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16.1.2.1引起价格调整的物价波动风险范围及幅度</w:t>
      </w:r>
    </w:p>
    <w:p w14:paraId="6EEE4A1D">
      <w:pPr>
        <w:spacing w:after="0" w:line="360" w:lineRule="auto"/>
        <w:ind w:firstLine="630" w:firstLineChars="3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引起</w:t>
      </w:r>
      <w:r>
        <w:rPr>
          <w:rFonts w:hint="eastAsia" w:ascii="宋体" w:hAnsi="宋体" w:eastAsia="宋体" w:cs="宋体"/>
          <w:kern w:val="2"/>
          <w:sz w:val="21"/>
          <w:szCs w:val="24"/>
          <w:lang w:eastAsia="zh-CN"/>
        </w:rPr>
        <w:t>价格调整的</w:t>
      </w:r>
      <w:r>
        <w:rPr>
          <w:rFonts w:hint="eastAsia" w:ascii="宋体" w:hAnsi="宋体" w:eastAsia="宋体" w:cs="宋体"/>
          <w:kern w:val="2"/>
          <w:sz w:val="21"/>
          <w:szCs w:val="21"/>
          <w:lang w:eastAsia="zh-CN"/>
        </w:rPr>
        <w:t>物价波动</w:t>
      </w:r>
      <w:r>
        <w:rPr>
          <w:rFonts w:hint="eastAsia" w:ascii="宋体" w:hAnsi="宋体" w:eastAsia="宋体" w:cs="宋体"/>
          <w:kern w:val="2"/>
          <w:sz w:val="21"/>
          <w:szCs w:val="24"/>
          <w:lang w:eastAsia="zh-CN"/>
        </w:rPr>
        <w:t>风险范围</w:t>
      </w:r>
      <w:r>
        <w:rPr>
          <w:rFonts w:hint="eastAsia" w:ascii="宋体" w:hAnsi="宋体" w:eastAsia="宋体" w:cs="宋体"/>
          <w:kern w:val="2"/>
          <w:sz w:val="21"/>
          <w:szCs w:val="21"/>
          <w:lang w:eastAsia="zh-CN"/>
        </w:rPr>
        <w:t>：</w:t>
      </w:r>
      <w:r>
        <w:rPr>
          <w:rFonts w:hint="eastAsia" w:ascii="宋体" w:hAnsi="宋体" w:eastAsia="宋体" w:cs="宋体"/>
          <w:kern w:val="2"/>
          <w:sz w:val="21"/>
          <w:szCs w:val="21"/>
          <w:u w:val="single"/>
          <w:lang w:eastAsia="zh-CN"/>
        </w:rPr>
        <w:t xml:space="preserve">  人工、材料、机械。               </w:t>
      </w:r>
    </w:p>
    <w:p w14:paraId="469E2203">
      <w:pPr>
        <w:spacing w:after="0" w:line="360" w:lineRule="auto"/>
        <w:ind w:firstLine="630" w:firstLineChars="3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引起</w:t>
      </w:r>
      <w:r>
        <w:rPr>
          <w:rFonts w:hint="eastAsia" w:ascii="宋体" w:hAnsi="宋体" w:eastAsia="宋体" w:cs="宋体"/>
          <w:kern w:val="2"/>
          <w:sz w:val="21"/>
          <w:szCs w:val="24"/>
          <w:lang w:eastAsia="zh-CN"/>
        </w:rPr>
        <w:t>价格调整的</w:t>
      </w:r>
      <w:r>
        <w:rPr>
          <w:rFonts w:hint="eastAsia" w:ascii="宋体" w:hAnsi="宋体" w:eastAsia="宋体" w:cs="宋体"/>
          <w:kern w:val="2"/>
          <w:sz w:val="21"/>
          <w:szCs w:val="21"/>
          <w:lang w:eastAsia="zh-CN"/>
        </w:rPr>
        <w:t>物价波动</w:t>
      </w:r>
      <w:r>
        <w:rPr>
          <w:rFonts w:hint="eastAsia" w:ascii="宋体" w:hAnsi="宋体" w:eastAsia="宋体" w:cs="宋体"/>
          <w:kern w:val="2"/>
          <w:sz w:val="21"/>
          <w:szCs w:val="24"/>
          <w:lang w:eastAsia="zh-CN"/>
        </w:rPr>
        <w:t>风险幅度：</w:t>
      </w:r>
      <w:r>
        <w:rPr>
          <w:rFonts w:hint="eastAsia" w:ascii="宋体" w:hAnsi="宋体" w:eastAsia="宋体" w:cs="宋体"/>
          <w:kern w:val="2"/>
          <w:sz w:val="21"/>
          <w:szCs w:val="21"/>
          <w:u w:val="single"/>
          <w:lang w:eastAsia="zh-CN"/>
        </w:rPr>
        <w:t xml:space="preserve"> ±6   </w:t>
      </w:r>
      <w:r>
        <w:rPr>
          <w:rFonts w:hint="eastAsia" w:ascii="宋体" w:hAnsi="宋体" w:eastAsia="宋体" w:cs="宋体"/>
          <w:kern w:val="2"/>
          <w:sz w:val="21"/>
          <w:szCs w:val="21"/>
          <w:lang w:eastAsia="zh-CN"/>
        </w:rPr>
        <w:t xml:space="preserve"> %</w:t>
      </w:r>
    </w:p>
    <w:p w14:paraId="3B8BA116">
      <w:pPr>
        <w:spacing w:after="0" w:line="360" w:lineRule="auto"/>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16.1.2.2   物价波动引起价格调整的风险幅度的计算方法</w:t>
      </w:r>
    </w:p>
    <w:p w14:paraId="76AF9438">
      <w:pPr>
        <w:spacing w:after="0" w:line="360" w:lineRule="auto"/>
        <w:ind w:firstLine="630" w:firstLineChars="3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（1）投标报价基准期：</w:t>
      </w:r>
      <w:r>
        <w:rPr>
          <w:rFonts w:hint="eastAsia" w:ascii="宋体" w:hAnsi="宋体" w:eastAsia="宋体" w:cs="宋体"/>
          <w:kern w:val="2"/>
          <w:sz w:val="21"/>
          <w:szCs w:val="21"/>
          <w:u w:val="single"/>
          <w:lang w:eastAsia="zh-CN"/>
        </w:rPr>
        <w:t xml:space="preserve"> 202</w:t>
      </w:r>
      <w:r>
        <w:rPr>
          <w:rFonts w:hint="eastAsia" w:ascii="宋体" w:hAnsi="宋体" w:eastAsia="宋体" w:cs="宋体"/>
          <w:kern w:val="2"/>
          <w:sz w:val="21"/>
          <w:szCs w:val="21"/>
          <w:u w:val="single"/>
          <w:lang w:val="en-US" w:eastAsia="zh-CN"/>
        </w:rPr>
        <w:t>6</w:t>
      </w:r>
      <w:r>
        <w:rPr>
          <w:rFonts w:hint="eastAsia" w:ascii="宋体" w:hAnsi="宋体" w:eastAsia="宋体" w:cs="宋体"/>
          <w:kern w:val="2"/>
          <w:sz w:val="21"/>
          <w:szCs w:val="21"/>
          <w:u w:val="single"/>
          <w:lang w:eastAsia="zh-CN"/>
        </w:rPr>
        <w:t xml:space="preserve">年 </w:t>
      </w:r>
      <w:r>
        <w:rPr>
          <w:rFonts w:hint="eastAsia" w:ascii="宋体" w:hAnsi="宋体" w:eastAsia="宋体" w:cs="宋体"/>
          <w:kern w:val="2"/>
          <w:sz w:val="21"/>
          <w:szCs w:val="21"/>
          <w:u w:val="single"/>
          <w:lang w:val="en-US" w:eastAsia="zh-CN"/>
        </w:rPr>
        <w:t>0</w:t>
      </w:r>
      <w:r>
        <w:rPr>
          <w:rFonts w:hint="eastAsia" w:ascii="宋体" w:hAnsi="宋体" w:cs="宋体"/>
          <w:kern w:val="2"/>
          <w:sz w:val="21"/>
          <w:szCs w:val="21"/>
          <w:u w:val="single"/>
          <w:lang w:val="en-US" w:eastAsia="zh-CN"/>
        </w:rPr>
        <w:t>4</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《北京工程造价信息》中的信息价格（以下简称信息价格）为依据。</w:t>
      </w:r>
    </w:p>
    <w:p w14:paraId="48D61045">
      <w:pPr>
        <w:spacing w:after="0" w:line="360" w:lineRule="auto"/>
        <w:ind w:firstLine="630" w:firstLineChars="3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（2）</w:t>
      </w:r>
      <w:r>
        <w:rPr>
          <w:rFonts w:hint="eastAsia" w:ascii="宋体" w:hAnsi="宋体" w:eastAsia="宋体" w:cs="宋体"/>
          <w:kern w:val="2"/>
          <w:sz w:val="21"/>
          <w:szCs w:val="24"/>
          <w:lang w:eastAsia="zh-CN"/>
        </w:rPr>
        <w:t>《北京工程造价信息》市场价格</w:t>
      </w:r>
      <w:r>
        <w:rPr>
          <w:rFonts w:hint="eastAsia" w:ascii="宋体" w:hAnsi="宋体" w:eastAsia="宋体" w:cs="宋体"/>
          <w:kern w:val="2"/>
          <w:sz w:val="21"/>
          <w:szCs w:val="21"/>
          <w:lang w:eastAsia="zh-CN"/>
        </w:rPr>
        <w:t xml:space="preserve">信息中没有的，基准价的确定方法： </w:t>
      </w:r>
      <w:r>
        <w:rPr>
          <w:rFonts w:hint="eastAsia" w:ascii="宋体" w:hAnsi="宋体" w:eastAsia="宋体" w:cs="宋体"/>
          <w:kern w:val="2"/>
          <w:sz w:val="21"/>
          <w:szCs w:val="21"/>
          <w:u w:val="single"/>
          <w:lang w:eastAsia="zh-CN"/>
        </w:rPr>
        <w:t xml:space="preserve">  发包人、承包人共同确认的市场价格为准。 </w:t>
      </w:r>
    </w:p>
    <w:p w14:paraId="573AFE82">
      <w:pPr>
        <w:spacing w:after="0" w:line="360" w:lineRule="auto"/>
        <w:ind w:firstLine="630" w:firstLineChars="3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（3）合同施工期市场价格的确定方法：</w:t>
      </w:r>
      <w:r>
        <w:rPr>
          <w:rFonts w:hint="eastAsia" w:ascii="宋体" w:hAnsi="宋体" w:eastAsia="宋体" w:cs="宋体"/>
          <w:kern w:val="2"/>
          <w:sz w:val="21"/>
          <w:szCs w:val="21"/>
          <w:u w:val="single"/>
          <w:lang w:eastAsia="zh-CN"/>
        </w:rPr>
        <w:t xml:space="preserve">  以发包人、监理人、承包人共同确认的价格为准。若发包人、监理人、承包人未能就施工期市场价格达成一致，可以参考施工期的造价信息价格，信息价格中有上、下限的，按平均价格考虑。          </w:t>
      </w:r>
    </w:p>
    <w:p w14:paraId="0D429A18">
      <w:pPr>
        <w:spacing w:after="0" w:line="360" w:lineRule="auto"/>
        <w:ind w:firstLine="630" w:firstLineChars="3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16.1.2.3  物价波动引起价格调整的方法</w:t>
      </w:r>
    </w:p>
    <w:p w14:paraId="4F1E4E87">
      <w:pPr>
        <w:spacing w:after="0" w:line="360" w:lineRule="auto"/>
        <w:ind w:firstLine="630" w:firstLineChars="3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（1）本工程单价调整方法采用</w:t>
      </w:r>
      <w:r>
        <w:rPr>
          <w:rFonts w:hint="eastAsia" w:ascii="宋体" w:hAnsi="宋体" w:eastAsia="宋体" w:cs="宋体"/>
          <w:kern w:val="2"/>
          <w:sz w:val="21"/>
          <w:szCs w:val="21"/>
          <w:u w:val="single"/>
          <w:lang w:eastAsia="zh-CN"/>
        </w:rPr>
        <w:t xml:space="preserve">   加权平均法   </w:t>
      </w:r>
      <w:r>
        <w:rPr>
          <w:rFonts w:hint="eastAsia" w:ascii="宋体" w:hAnsi="宋体" w:eastAsia="宋体" w:cs="宋体"/>
          <w:kern w:val="2"/>
          <w:sz w:val="21"/>
          <w:szCs w:val="21"/>
          <w:lang w:eastAsia="zh-CN"/>
        </w:rPr>
        <w:t>（加权平均法/算数平均法/其他计算方法）。</w:t>
      </w:r>
    </w:p>
    <w:p w14:paraId="58B779A4">
      <w:pPr>
        <w:spacing w:after="0" w:line="360" w:lineRule="auto"/>
        <w:ind w:firstLine="630" w:firstLineChars="3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采用加权平均法：</w:t>
      </w:r>
      <w:r>
        <w:rPr>
          <w:rFonts w:hint="eastAsia" w:ascii="宋体" w:hAnsi="宋体" w:eastAsia="宋体" w:cs="宋体"/>
          <w:kern w:val="2"/>
          <w:sz w:val="21"/>
          <w:szCs w:val="21"/>
          <w:u w:val="single"/>
          <w:lang w:eastAsia="zh-CN"/>
        </w:rPr>
        <w:t xml:space="preserve"> 以施工每月实际完成的工程量及当月市场价为基础，计算出已完工程的总成本，除以本工程已实际完成的工程量总量，计算出已完成本工程的加权平均单价。  </w:t>
      </w:r>
    </w:p>
    <w:p w14:paraId="11C2784D">
      <w:pPr>
        <w:spacing w:after="0" w:line="360" w:lineRule="auto"/>
        <w:ind w:firstLine="630" w:firstLineChars="3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16.1.2.4  其他约定：</w:t>
      </w:r>
      <w:r>
        <w:rPr>
          <w:rFonts w:hint="eastAsia" w:ascii="宋体" w:hAnsi="宋体" w:eastAsia="宋体" w:cs="宋体"/>
          <w:kern w:val="2"/>
          <w:sz w:val="21"/>
          <w:szCs w:val="21"/>
          <w:u w:val="single"/>
          <w:lang w:eastAsia="zh-CN"/>
        </w:rPr>
        <w:t xml:space="preserve"> （1）合同文件约定的措施项目费、其他项目清单中的总承包服务务费风险范围：</w:t>
      </w:r>
    </w:p>
    <w:p w14:paraId="6C8DCEC7">
      <w:pPr>
        <w:spacing w:after="0" w:line="360" w:lineRule="auto"/>
        <w:ind w:firstLine="630" w:firstLineChars="3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u w:val="single"/>
          <w:lang w:eastAsia="zh-CN"/>
        </w:rPr>
        <w:t>A）可以计算工程量的以综合单价形式计价的措施项目的风险范围；工程量按照第17款的约定重新予以计量和调整；由承包人提出，发包人确认。</w:t>
      </w:r>
    </w:p>
    <w:p w14:paraId="174299F6">
      <w:pPr>
        <w:spacing w:after="0" w:line="360" w:lineRule="auto"/>
        <w:ind w:firstLine="630" w:firstLineChars="3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u w:val="single"/>
          <w:lang w:eastAsia="zh-CN"/>
        </w:rPr>
        <w:t>B)以项为计量单位计价的措施项目费用固定包死。</w:t>
      </w:r>
    </w:p>
    <w:p w14:paraId="71193AF8">
      <w:pPr>
        <w:spacing w:after="0" w:line="360" w:lineRule="auto"/>
        <w:ind w:firstLine="630" w:firstLineChars="3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u w:val="single"/>
          <w:lang w:eastAsia="zh-CN"/>
        </w:rPr>
        <w:t>C)由于承包人报价进失误或未能准确理解合同（招标）文件而需要承担的措施项目费。</w:t>
      </w:r>
    </w:p>
    <w:p w14:paraId="6FF83CAB">
      <w:pPr>
        <w:spacing w:after="0" w:line="360" w:lineRule="auto"/>
        <w:ind w:firstLine="630" w:firstLineChars="3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u w:val="single"/>
          <w:lang w:eastAsia="zh-CN"/>
        </w:rPr>
        <w:t>D)总承包服务费费率固定不变。</w:t>
      </w:r>
    </w:p>
    <w:p w14:paraId="213C60A3">
      <w:pPr>
        <w:spacing w:after="0" w:line="360" w:lineRule="auto"/>
        <w:ind w:firstLine="630" w:firstLineChars="3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u w:val="single"/>
          <w:lang w:eastAsia="zh-CN"/>
        </w:rPr>
        <w:t>（2）在发、承包双方履行合同过珵中，当国家的法律、法规、规章及政策发生变化，国家或省级、行业建设主管部门或其授权的工程造价管理机构据此发布工程造价调整文件，工程价款应当进行调整。</w:t>
      </w:r>
    </w:p>
    <w:p w14:paraId="24541213">
      <w:pPr>
        <w:spacing w:after="0" w:line="360" w:lineRule="auto"/>
        <w:ind w:firstLine="630" w:firstLineChars="3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u w:val="single"/>
          <w:lang w:eastAsia="zh-CN"/>
        </w:rPr>
        <w:t>（3）当施工中施工图纸（含设计变更）与工程量清单项目特征描述不一致时，发、承包双方按实际施工的项目特征重新确定综合单价。</w:t>
      </w:r>
    </w:p>
    <w:p w14:paraId="484639F8">
      <w:pPr>
        <w:spacing w:after="0" w:line="360" w:lineRule="auto"/>
        <w:ind w:firstLine="630" w:firstLineChars="300"/>
        <w:jc w:val="both"/>
        <w:rPr>
          <w:rFonts w:ascii="宋体" w:hAnsi="宋体" w:eastAsia="宋体" w:cs="宋体"/>
          <w:color w:val="FF0000"/>
          <w:kern w:val="2"/>
          <w:sz w:val="21"/>
          <w:szCs w:val="21"/>
          <w:u w:val="single"/>
          <w:lang w:eastAsia="zh-CN"/>
        </w:rPr>
      </w:pPr>
      <w:r>
        <w:rPr>
          <w:rFonts w:hint="eastAsia" w:ascii="宋体" w:hAnsi="宋体" w:eastAsia="宋体" w:cs="宋体"/>
          <w:kern w:val="2"/>
          <w:sz w:val="21"/>
          <w:szCs w:val="21"/>
          <w:u w:val="single"/>
          <w:lang w:eastAsia="zh-CN"/>
        </w:rPr>
        <w:t>（4）工程结算价金额最终以评审部门审定金额为准。</w:t>
      </w:r>
    </w:p>
    <w:p w14:paraId="492ABB7B">
      <w:pPr>
        <w:widowControl/>
        <w:spacing w:after="0" w:line="360" w:lineRule="auto"/>
        <w:ind w:firstLine="420" w:firstLineChars="200"/>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16.1.3  其他价格调整方法</w:t>
      </w:r>
    </w:p>
    <w:p w14:paraId="0767361A">
      <w:pPr>
        <w:widowControl/>
        <w:spacing w:after="0" w:line="360" w:lineRule="auto"/>
        <w:ind w:firstLine="420" w:firstLineChars="200"/>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 xml:space="preserve">  超过风险幅度的调整原则</w:t>
      </w:r>
    </w:p>
    <w:p w14:paraId="1D9343D0">
      <w:pPr>
        <w:widowControl/>
        <w:spacing w:after="0" w:line="360" w:lineRule="auto"/>
        <w:ind w:firstLine="420" w:firstLineChars="200"/>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（1）价格变化幅度超过合同约定幅度的价格调整，按通用合同条款16.1.2采用造价信息调整价格差额法进行调整。</w:t>
      </w:r>
    </w:p>
    <w:p w14:paraId="359D372A">
      <w:pPr>
        <w:widowControl/>
        <w:spacing w:after="0" w:line="360" w:lineRule="auto"/>
        <w:ind w:firstLine="420" w:firstLineChars="200"/>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（2）主要材料和机械市场价格的变化幅度小于或等于合同中约定的价格变化幅度时，不做调整；变化幅度大于合同中约定的价格变化幅度时，应当计算超过部分的价格差额，其价格差额由发包人承担或受益。</w:t>
      </w:r>
    </w:p>
    <w:p w14:paraId="6B5A0D5D">
      <w:pPr>
        <w:widowControl/>
        <w:spacing w:after="0" w:line="360" w:lineRule="auto"/>
        <w:ind w:firstLine="420" w:firstLineChars="200"/>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（3）人工价格的变化幅度小于或等于合同中约定的价格变化幅度时，不做调整；变化幅度大于合同中约定的价格变化幅度时，应当计算全部价格差额，其价格差额由发包人承担或受益。</w:t>
      </w:r>
    </w:p>
    <w:p w14:paraId="78BF9115">
      <w:pPr>
        <w:widowControl/>
        <w:spacing w:after="0" w:line="360" w:lineRule="auto"/>
        <w:ind w:firstLine="420" w:firstLineChars="200"/>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（4）人工价格差额不计取规费；人工、材料、机械计算后的价格差额只计取税金。</w:t>
      </w:r>
    </w:p>
    <w:p w14:paraId="682DCCD6">
      <w:pPr>
        <w:widowControl/>
        <w:spacing w:after="0" w:line="360" w:lineRule="auto"/>
        <w:ind w:firstLine="420" w:firstLineChars="200"/>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（5）主要材料、机械、人工等价格调整均需经发包人及监理工程师签字认可。</w:t>
      </w:r>
    </w:p>
    <w:p w14:paraId="40181179">
      <w:pPr>
        <w:widowControl/>
        <w:spacing w:after="0" w:line="360" w:lineRule="auto"/>
        <w:ind w:firstLine="420" w:firstLineChars="200"/>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 xml:space="preserve">（6）合同价格调整： </w:t>
      </w:r>
    </w:p>
    <w:p w14:paraId="76631FBA">
      <w:pPr>
        <w:widowControl/>
        <w:spacing w:after="0" w:line="360" w:lineRule="auto"/>
        <w:ind w:firstLine="420" w:firstLineChars="200"/>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① 承包人应当在合同规定的调整合同价格的情况发生后14天内，将调整原因、金额以书面形式通知发包人，发包人确认金额后将其作为追加合同价款，与工程进度款同期支付；发包人收到承包人通知后14天内未予确认也未提出异议的，视为已经同意该项调整。</w:t>
      </w:r>
    </w:p>
    <w:p w14:paraId="53C51B6E">
      <w:pPr>
        <w:widowControl/>
        <w:spacing w:after="0" w:line="360" w:lineRule="auto"/>
        <w:ind w:firstLine="420" w:firstLineChars="200"/>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 xml:space="preserve"> ② 当合同规定的调整合同价格的情况发生后，承包人未在规定的时间内通知发包人，或者未在规定的时间内提出调整报告，发包人可以根据有关材料，决定是否调整和调整金额，并书面通知承包人。</w:t>
      </w:r>
    </w:p>
    <w:p w14:paraId="4BBA245A">
      <w:pPr>
        <w:keepNext/>
        <w:keepLines/>
        <w:spacing w:before="120" w:beforeLines="50" w:after="120" w:afterLines="50" w:line="360" w:lineRule="auto"/>
        <w:jc w:val="both"/>
        <w:outlineLvl w:val="2"/>
        <w:rPr>
          <w:rFonts w:ascii="宋体" w:hAnsi="宋体" w:eastAsia="宋体" w:cs="宋体"/>
          <w:sz w:val="24"/>
          <w:szCs w:val="20"/>
          <w:lang w:eastAsia="zh-CN"/>
        </w:rPr>
      </w:pPr>
      <w:bookmarkStart w:id="1488" w:name="_Toc47947543"/>
      <w:r>
        <w:rPr>
          <w:rFonts w:hint="eastAsia" w:ascii="宋体" w:hAnsi="宋体" w:eastAsia="宋体" w:cs="宋体"/>
          <w:sz w:val="24"/>
          <w:szCs w:val="20"/>
          <w:lang w:eastAsia="zh-CN"/>
        </w:rPr>
        <w:t>17.1  计量</w:t>
      </w:r>
      <w:bookmarkEnd w:id="1481"/>
      <w:bookmarkEnd w:id="1482"/>
      <w:bookmarkEnd w:id="1483"/>
      <w:bookmarkEnd w:id="1484"/>
      <w:bookmarkEnd w:id="1485"/>
      <w:bookmarkEnd w:id="1486"/>
      <w:bookmarkEnd w:id="1487"/>
      <w:bookmarkEnd w:id="1488"/>
    </w:p>
    <w:p w14:paraId="3F115EEC">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17.1.3  计量周期</w:t>
      </w:r>
    </w:p>
    <w:p w14:paraId="18734F7D">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（1）每月</w:t>
      </w:r>
      <w:r>
        <w:rPr>
          <w:rFonts w:hint="eastAsia" w:ascii="宋体" w:hAnsi="宋体" w:eastAsia="宋体" w:cs="宋体"/>
          <w:kern w:val="2"/>
          <w:sz w:val="21"/>
          <w:szCs w:val="21"/>
          <w:u w:val="single"/>
          <w:lang w:eastAsia="zh-CN"/>
        </w:rPr>
        <w:t xml:space="preserve">   25 </w:t>
      </w:r>
      <w:r>
        <w:rPr>
          <w:rFonts w:hint="eastAsia" w:ascii="宋体" w:hAnsi="宋体" w:eastAsia="宋体" w:cs="宋体"/>
          <w:kern w:val="2"/>
          <w:sz w:val="21"/>
          <w:szCs w:val="21"/>
          <w:lang w:eastAsia="zh-CN"/>
        </w:rPr>
        <w:t>日为当月计量截止日期（不含当日）和下月计量起始日期（含当日）。</w:t>
      </w:r>
    </w:p>
    <w:p w14:paraId="1ABD3A64">
      <w:pPr>
        <w:spacing w:after="0" w:line="360" w:lineRule="auto"/>
        <w:ind w:left="105" w:leftChars="50" w:firstLine="315" w:firstLineChars="15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（2）本合同</w:t>
      </w:r>
      <w:r>
        <w:rPr>
          <w:rFonts w:hint="eastAsia" w:ascii="宋体" w:hAnsi="宋体" w:eastAsia="宋体" w:cs="宋体"/>
          <w:kern w:val="2"/>
          <w:sz w:val="21"/>
          <w:szCs w:val="24"/>
          <w:u w:val="single"/>
          <w:lang w:eastAsia="zh-CN"/>
        </w:rPr>
        <w:t xml:space="preserve">  </w:t>
      </w:r>
      <w:r>
        <w:rPr>
          <w:rFonts w:hint="eastAsia" w:ascii="宋体" w:hAnsi="宋体" w:eastAsia="宋体" w:cs="宋体"/>
          <w:color w:val="000000"/>
          <w:kern w:val="2"/>
          <w:sz w:val="21"/>
          <w:szCs w:val="24"/>
          <w:u w:val="single"/>
          <w:lang w:eastAsia="zh-CN"/>
        </w:rPr>
        <w:t xml:space="preserve">执行单价合同形式时    </w:t>
      </w:r>
      <w:r>
        <w:rPr>
          <w:rFonts w:hint="eastAsia" w:ascii="宋体" w:hAnsi="宋体" w:eastAsia="宋体" w:cs="宋体"/>
          <w:kern w:val="2"/>
          <w:sz w:val="21"/>
          <w:szCs w:val="24"/>
          <w:u w:val="single"/>
          <w:lang w:eastAsia="zh-CN"/>
        </w:rPr>
        <w:t xml:space="preserve">  </w:t>
      </w:r>
      <w:r>
        <w:rPr>
          <w:rFonts w:hint="eastAsia" w:ascii="宋体" w:hAnsi="宋体" w:eastAsia="宋体" w:cs="宋体"/>
          <w:kern w:val="2"/>
          <w:sz w:val="21"/>
          <w:szCs w:val="24"/>
          <w:lang w:eastAsia="zh-CN"/>
        </w:rPr>
        <w:t>（执行（采用单价合同形式时）/不执行（采用总价合同形式时））单价子目已完成工程量按月计量。</w:t>
      </w:r>
    </w:p>
    <w:p w14:paraId="6875C8D8">
      <w:pPr>
        <w:spacing w:after="0" w:line="360" w:lineRule="auto"/>
        <w:ind w:left="105" w:leftChars="50" w:firstLine="315" w:firstLineChars="15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（3）</w:t>
      </w:r>
      <w:r>
        <w:rPr>
          <w:rFonts w:hint="eastAsia" w:ascii="宋体" w:hAnsi="宋体" w:eastAsia="宋体" w:cs="宋体"/>
          <w:kern w:val="2"/>
          <w:sz w:val="21"/>
          <w:szCs w:val="21"/>
          <w:lang w:eastAsia="zh-CN"/>
        </w:rPr>
        <w:t>总价子目计量方式采用</w:t>
      </w:r>
      <w:r>
        <w:rPr>
          <w:rFonts w:hint="eastAsia" w:ascii="宋体" w:hAnsi="宋体" w:eastAsia="宋体" w:cs="宋体"/>
          <w:kern w:val="2"/>
          <w:sz w:val="21"/>
          <w:szCs w:val="21"/>
          <w:u w:val="single"/>
          <w:lang w:eastAsia="zh-CN"/>
        </w:rPr>
        <w:t xml:space="preserve">  按实际完成工程量计量 </w:t>
      </w:r>
      <w:r>
        <w:rPr>
          <w:rFonts w:hint="eastAsia" w:ascii="宋体" w:hAnsi="宋体" w:eastAsia="宋体" w:cs="宋体"/>
          <w:kern w:val="2"/>
          <w:sz w:val="21"/>
          <w:szCs w:val="21"/>
          <w:lang w:eastAsia="zh-CN"/>
        </w:rPr>
        <w:t>（支付分解报告/按实际完成工程量计量）</w:t>
      </w:r>
      <w:r>
        <w:rPr>
          <w:rFonts w:hint="eastAsia" w:ascii="宋体" w:hAnsi="宋体" w:eastAsia="宋体" w:cs="宋体"/>
          <w:kern w:val="2"/>
          <w:sz w:val="21"/>
          <w:szCs w:val="24"/>
          <w:lang w:eastAsia="zh-CN"/>
        </w:rPr>
        <w:t>。</w:t>
      </w:r>
    </w:p>
    <w:p w14:paraId="09A7015B">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17.1.5  总价子目的计量（适用于采用支付分解报告）</w:t>
      </w:r>
    </w:p>
    <w:p w14:paraId="66EBAF56">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（1）采用支付分解报告计量方式的，总价</w:t>
      </w:r>
      <w:r>
        <w:rPr>
          <w:rFonts w:hint="eastAsia" w:ascii="宋体" w:hAnsi="宋体" w:eastAsia="宋体" w:cs="宋体"/>
          <w:kern w:val="2"/>
          <w:sz w:val="21"/>
          <w:szCs w:val="21"/>
          <w:lang w:eastAsia="zh-CN"/>
        </w:rPr>
        <w:t>子目</w:t>
      </w:r>
      <w:r>
        <w:rPr>
          <w:rFonts w:hint="eastAsia" w:ascii="宋体" w:hAnsi="宋体" w:eastAsia="宋体" w:cs="宋体"/>
          <w:kern w:val="2"/>
          <w:sz w:val="21"/>
          <w:szCs w:val="24"/>
          <w:lang w:eastAsia="zh-CN"/>
        </w:rPr>
        <w:t>的价格调整方法：</w:t>
      </w:r>
      <w:r>
        <w:rPr>
          <w:rFonts w:hint="eastAsia" w:ascii="宋体" w:hAnsi="宋体" w:eastAsia="宋体" w:cs="宋体"/>
          <w:kern w:val="2"/>
          <w:sz w:val="21"/>
          <w:szCs w:val="24"/>
          <w:u w:val="single"/>
          <w:lang w:eastAsia="zh-CN"/>
        </w:rPr>
        <w:t xml:space="preserve">   /       </w:t>
      </w:r>
    </w:p>
    <w:p w14:paraId="7AB267AE">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17.1.5  总价</w:t>
      </w:r>
      <w:r>
        <w:rPr>
          <w:rFonts w:hint="eastAsia" w:ascii="宋体" w:hAnsi="宋体" w:eastAsia="宋体" w:cs="宋体"/>
          <w:kern w:val="2"/>
          <w:sz w:val="21"/>
          <w:szCs w:val="21"/>
          <w:lang w:eastAsia="zh-CN"/>
        </w:rPr>
        <w:t>子目</w:t>
      </w:r>
      <w:r>
        <w:rPr>
          <w:rFonts w:hint="eastAsia" w:ascii="宋体" w:hAnsi="宋体" w:eastAsia="宋体" w:cs="宋体"/>
          <w:kern w:val="2"/>
          <w:sz w:val="21"/>
          <w:szCs w:val="24"/>
          <w:lang w:eastAsia="zh-CN"/>
        </w:rPr>
        <w:t>的计量（适用于采用按实际完成工程量计量）</w:t>
      </w:r>
    </w:p>
    <w:p w14:paraId="29407E91">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（1）采用按实际完成工程量计量方式的,总价</w:t>
      </w:r>
      <w:r>
        <w:rPr>
          <w:rFonts w:hint="eastAsia" w:ascii="宋体" w:hAnsi="宋体" w:eastAsia="宋体" w:cs="宋体"/>
          <w:kern w:val="2"/>
          <w:sz w:val="21"/>
          <w:szCs w:val="21"/>
          <w:lang w:eastAsia="zh-CN"/>
        </w:rPr>
        <w:t>子目</w:t>
      </w:r>
      <w:r>
        <w:rPr>
          <w:rFonts w:hint="eastAsia" w:ascii="宋体" w:hAnsi="宋体" w:eastAsia="宋体" w:cs="宋体"/>
          <w:kern w:val="2"/>
          <w:sz w:val="21"/>
          <w:szCs w:val="24"/>
          <w:lang w:eastAsia="zh-CN"/>
        </w:rPr>
        <w:t>的价格调整方法：</w:t>
      </w:r>
      <w:r>
        <w:rPr>
          <w:rFonts w:hint="eastAsia" w:ascii="宋体" w:hAnsi="宋体" w:eastAsia="宋体" w:cs="宋体"/>
          <w:kern w:val="2"/>
          <w:sz w:val="21"/>
          <w:szCs w:val="24"/>
          <w:u w:val="single"/>
          <w:lang w:eastAsia="zh-CN"/>
        </w:rPr>
        <w:t xml:space="preserve">  </w:t>
      </w:r>
      <w:r>
        <w:rPr>
          <w:rFonts w:hint="eastAsia" w:ascii="宋体" w:hAnsi="宋体" w:eastAsia="宋体" w:cs="宋体"/>
          <w:color w:val="000000"/>
          <w:kern w:val="2"/>
          <w:sz w:val="21"/>
          <w:szCs w:val="24"/>
          <w:u w:val="single"/>
          <w:lang w:eastAsia="zh-CN"/>
        </w:rPr>
        <w:t>非承包人原因引起已标价工程量清单中某个子目工程量变化幅度超出±15%（不含），且发包人或监理人认可该变化引起相关措施项目发生变化的，发包人或监理人要求承包人针对措施项目的变化提交施工调整方案及价格调整报告，监理人报发包人批准后按照发包人书面文件确定需调整的措施项目价款。</w:t>
      </w:r>
      <w:r>
        <w:rPr>
          <w:rFonts w:hint="eastAsia" w:ascii="宋体" w:hAnsi="宋体" w:eastAsia="宋体" w:cs="宋体"/>
          <w:kern w:val="2"/>
          <w:sz w:val="21"/>
          <w:szCs w:val="24"/>
          <w:u w:val="single"/>
          <w:lang w:eastAsia="zh-CN"/>
        </w:rPr>
        <w:t xml:space="preserve"> </w:t>
      </w:r>
    </w:p>
    <w:p w14:paraId="2A4439FF">
      <w:pPr>
        <w:keepNext/>
        <w:keepLines/>
        <w:spacing w:before="120" w:beforeLines="50" w:after="120" w:afterLines="50" w:line="360" w:lineRule="auto"/>
        <w:jc w:val="both"/>
        <w:outlineLvl w:val="2"/>
        <w:rPr>
          <w:rFonts w:ascii="宋体" w:hAnsi="宋体" w:eastAsia="宋体" w:cs="宋体"/>
          <w:sz w:val="24"/>
          <w:szCs w:val="20"/>
          <w:lang w:eastAsia="zh-CN"/>
        </w:rPr>
      </w:pPr>
      <w:bookmarkStart w:id="1489" w:name="_Toc486580430"/>
      <w:bookmarkStart w:id="1490" w:name="_Toc16264630"/>
      <w:bookmarkStart w:id="1491" w:name="_Toc485323204"/>
      <w:bookmarkStart w:id="1492" w:name="_Toc497214099"/>
      <w:bookmarkStart w:id="1493" w:name="_Toc497584090"/>
      <w:bookmarkStart w:id="1494" w:name="_Toc47947544"/>
      <w:bookmarkStart w:id="1495" w:name="_Toc490331721"/>
      <w:bookmarkStart w:id="1496" w:name="_Toc489280236"/>
      <w:r>
        <w:rPr>
          <w:rFonts w:hint="eastAsia" w:ascii="宋体" w:hAnsi="宋体" w:eastAsia="宋体" w:cs="宋体"/>
          <w:sz w:val="24"/>
          <w:szCs w:val="20"/>
          <w:lang w:eastAsia="zh-CN"/>
        </w:rPr>
        <w:t>17.2  预付款</w:t>
      </w:r>
      <w:bookmarkEnd w:id="1489"/>
      <w:bookmarkEnd w:id="1490"/>
      <w:bookmarkEnd w:id="1491"/>
      <w:bookmarkEnd w:id="1492"/>
      <w:bookmarkEnd w:id="1493"/>
      <w:bookmarkEnd w:id="1494"/>
      <w:bookmarkEnd w:id="1495"/>
      <w:bookmarkEnd w:id="1496"/>
    </w:p>
    <w:p w14:paraId="1671C3C1">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17.2.1  预付款</w:t>
      </w:r>
    </w:p>
    <w:p w14:paraId="256F8DF8">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（1）预付款额度</w:t>
      </w:r>
    </w:p>
    <w:p w14:paraId="43A6282E">
      <w:pPr>
        <w:spacing w:line="360" w:lineRule="exact"/>
        <w:ind w:left="382"/>
        <w:jc w:val="both"/>
        <w:rPr>
          <w:rFonts w:cs="宋体" w:asciiTheme="minorEastAsia" w:hAnsiTheme="minorEastAsia"/>
          <w:sz w:val="21"/>
          <w:szCs w:val="21"/>
          <w:lang w:eastAsia="zh-CN"/>
        </w:rPr>
      </w:pPr>
      <w:r>
        <w:rPr>
          <w:rFonts w:cs="宋体" w:asciiTheme="minorEastAsia" w:hAnsiTheme="minorEastAsia"/>
          <w:spacing w:val="23"/>
          <w:sz w:val="21"/>
          <w:szCs w:val="21"/>
          <w:lang w:eastAsia="zh-CN"/>
        </w:rPr>
        <w:t>(1)预付款额度</w:t>
      </w:r>
    </w:p>
    <w:p w14:paraId="58603251">
      <w:pPr>
        <w:spacing w:line="360" w:lineRule="exact"/>
        <w:ind w:left="560"/>
        <w:jc w:val="both"/>
        <w:rPr>
          <w:rFonts w:asciiTheme="minorEastAsia" w:hAnsiTheme="minorEastAsia"/>
          <w:sz w:val="21"/>
          <w:szCs w:val="21"/>
          <w:u w:val="single"/>
          <w:lang w:eastAsia="zh-CN"/>
        </w:rPr>
      </w:pPr>
      <w:r>
        <w:rPr>
          <w:rFonts w:cs="宋体" w:asciiTheme="minorEastAsia" w:hAnsiTheme="minorEastAsia"/>
          <w:spacing w:val="16"/>
          <w:sz w:val="21"/>
          <w:szCs w:val="21"/>
          <w:lang w:eastAsia="zh-CN"/>
        </w:rPr>
        <w:t>预</w:t>
      </w:r>
      <w:r>
        <w:rPr>
          <w:rFonts w:cs="宋体" w:asciiTheme="minorEastAsia" w:hAnsiTheme="minorEastAsia"/>
          <w:spacing w:val="11"/>
          <w:sz w:val="21"/>
          <w:szCs w:val="21"/>
          <w:lang w:eastAsia="zh-CN"/>
        </w:rPr>
        <w:t>付</w:t>
      </w:r>
      <w:r>
        <w:rPr>
          <w:rFonts w:cs="宋体" w:asciiTheme="minorEastAsia" w:hAnsiTheme="minorEastAsia"/>
          <w:spacing w:val="8"/>
          <w:sz w:val="21"/>
          <w:szCs w:val="21"/>
          <w:lang w:eastAsia="zh-CN"/>
        </w:rPr>
        <w:t>款额度</w:t>
      </w:r>
      <w:r>
        <w:rPr>
          <w:rFonts w:hint="eastAsia" w:asciiTheme="minorEastAsia" w:hAnsiTheme="minorEastAsia"/>
          <w:sz w:val="21"/>
          <w:szCs w:val="21"/>
          <w:u w:val="single"/>
          <w:lang w:eastAsia="zh-CN"/>
        </w:rPr>
        <w:t>:合同总价(不含暂列金)的</w:t>
      </w:r>
      <w:r>
        <w:rPr>
          <w:rFonts w:asciiTheme="minorEastAsia" w:hAnsiTheme="minorEastAsia"/>
          <w:sz w:val="21"/>
          <w:szCs w:val="21"/>
          <w:u w:val="single"/>
          <w:lang w:eastAsia="zh-CN"/>
        </w:rPr>
        <w:t>3</w:t>
      </w:r>
      <w:r>
        <w:rPr>
          <w:rFonts w:hint="eastAsia" w:asciiTheme="minorEastAsia" w:hAnsiTheme="minorEastAsia"/>
          <w:sz w:val="21"/>
          <w:szCs w:val="21"/>
          <w:u w:val="single"/>
          <w:lang w:eastAsia="zh-CN"/>
        </w:rPr>
        <w:t xml:space="preserve">0%。 </w:t>
      </w:r>
    </w:p>
    <w:p w14:paraId="7D7743CF">
      <w:pPr>
        <w:spacing w:line="360" w:lineRule="exact"/>
        <w:ind w:left="12" w:right="144" w:firstLine="547"/>
        <w:jc w:val="both"/>
        <w:rPr>
          <w:rFonts w:asciiTheme="minorEastAsia" w:hAnsiTheme="minorEastAsia"/>
          <w:sz w:val="21"/>
          <w:szCs w:val="21"/>
          <w:u w:val="single"/>
          <w:lang w:eastAsia="zh-CN"/>
        </w:rPr>
      </w:pPr>
      <w:r>
        <w:rPr>
          <w:rFonts w:cs="宋体" w:asciiTheme="minorEastAsia" w:hAnsiTheme="minorEastAsia"/>
          <w:spacing w:val="9"/>
          <w:sz w:val="21"/>
          <w:szCs w:val="21"/>
          <w:lang w:eastAsia="zh-CN"/>
        </w:rPr>
        <w:t>其中:</w:t>
      </w:r>
      <w:r>
        <w:rPr>
          <w:rFonts w:hint="eastAsia" w:asciiTheme="minorEastAsia" w:hAnsiTheme="minorEastAsia"/>
          <w:sz w:val="21"/>
          <w:szCs w:val="21"/>
          <w:u w:val="single"/>
          <w:lang w:eastAsia="zh-CN"/>
        </w:rPr>
        <w:t xml:space="preserve">  包括：1）安全文明施工费总额的100%；2）农民工工伤保险费:100%</w:t>
      </w:r>
    </w:p>
    <w:p w14:paraId="63715C1A">
      <w:pPr>
        <w:spacing w:line="360" w:lineRule="exact"/>
        <w:ind w:left="382"/>
        <w:jc w:val="both"/>
        <w:rPr>
          <w:rFonts w:cs="宋体" w:asciiTheme="minorEastAsia" w:hAnsiTheme="minorEastAsia"/>
          <w:sz w:val="21"/>
          <w:szCs w:val="21"/>
          <w:lang w:eastAsia="zh-CN"/>
        </w:rPr>
      </w:pPr>
      <w:r>
        <w:rPr>
          <w:rFonts w:cs="宋体" w:asciiTheme="minorEastAsia" w:hAnsiTheme="minorEastAsia"/>
          <w:spacing w:val="25"/>
          <w:sz w:val="21"/>
          <w:szCs w:val="21"/>
          <w:lang w:eastAsia="zh-CN"/>
        </w:rPr>
        <w:t>(2)预付办法</w:t>
      </w:r>
    </w:p>
    <w:p w14:paraId="0EE72DAF">
      <w:pPr>
        <w:spacing w:line="360" w:lineRule="exact"/>
        <w:ind w:left="560" w:right="883"/>
        <w:jc w:val="both"/>
        <w:rPr>
          <w:rFonts w:asciiTheme="minorEastAsia" w:hAnsiTheme="minorEastAsia"/>
          <w:sz w:val="21"/>
          <w:szCs w:val="21"/>
          <w:u w:val="single"/>
          <w:lang w:eastAsia="zh-CN"/>
        </w:rPr>
      </w:pPr>
      <w:r>
        <w:rPr>
          <w:rFonts w:cs="宋体" w:asciiTheme="minorEastAsia" w:hAnsiTheme="minorEastAsia"/>
          <w:spacing w:val="18"/>
          <w:sz w:val="21"/>
          <w:szCs w:val="21"/>
          <w:lang w:eastAsia="zh-CN"/>
        </w:rPr>
        <w:t>预</w:t>
      </w:r>
      <w:r>
        <w:rPr>
          <w:rFonts w:cs="宋体" w:asciiTheme="minorEastAsia" w:hAnsiTheme="minorEastAsia"/>
          <w:spacing w:val="11"/>
          <w:sz w:val="21"/>
          <w:szCs w:val="21"/>
          <w:lang w:eastAsia="zh-CN"/>
        </w:rPr>
        <w:t>付</w:t>
      </w:r>
      <w:r>
        <w:rPr>
          <w:rFonts w:cs="宋体" w:asciiTheme="minorEastAsia" w:hAnsiTheme="minorEastAsia"/>
          <w:spacing w:val="9"/>
          <w:sz w:val="21"/>
          <w:szCs w:val="21"/>
          <w:lang w:eastAsia="zh-CN"/>
        </w:rPr>
        <w:t>款预付办法:</w:t>
      </w:r>
      <w:r>
        <w:rPr>
          <w:rFonts w:hint="eastAsia" w:asciiTheme="minorEastAsia" w:hAnsiTheme="minorEastAsia"/>
          <w:sz w:val="21"/>
          <w:szCs w:val="21"/>
          <w:u w:val="single"/>
          <w:lang w:eastAsia="zh-CN"/>
        </w:rPr>
        <w:t>在收到承包人正式发票后,发包人一次向承包人支付预付款。</w:t>
      </w:r>
      <w:r>
        <w:rPr>
          <w:rFonts w:cs="宋体" w:asciiTheme="minorEastAsia" w:hAnsiTheme="minorEastAsia"/>
          <w:color w:val="0000FF"/>
          <w:spacing w:val="9"/>
          <w:sz w:val="21"/>
          <w:szCs w:val="21"/>
          <w:u w:val="single" w:color="000000"/>
          <w:lang w:eastAsia="zh-CN"/>
        </w:rPr>
        <w:t xml:space="preserve"> </w:t>
      </w:r>
      <w:r>
        <w:rPr>
          <w:rFonts w:cs="宋体" w:asciiTheme="minorEastAsia" w:hAnsiTheme="minorEastAsia"/>
          <w:color w:val="0000FF"/>
          <w:sz w:val="21"/>
          <w:szCs w:val="21"/>
          <w:lang w:eastAsia="zh-CN"/>
        </w:rPr>
        <w:t xml:space="preserve"> </w:t>
      </w:r>
      <w:r>
        <w:rPr>
          <w:rFonts w:cs="宋体" w:asciiTheme="minorEastAsia" w:hAnsiTheme="minorEastAsia"/>
          <w:spacing w:val="16"/>
          <w:sz w:val="21"/>
          <w:szCs w:val="21"/>
          <w:lang w:eastAsia="zh-CN"/>
        </w:rPr>
        <w:t>预</w:t>
      </w:r>
      <w:r>
        <w:rPr>
          <w:rFonts w:cs="宋体" w:asciiTheme="minorEastAsia" w:hAnsiTheme="minorEastAsia"/>
          <w:spacing w:val="9"/>
          <w:sz w:val="21"/>
          <w:szCs w:val="21"/>
          <w:lang w:eastAsia="zh-CN"/>
        </w:rPr>
        <w:t>付款的支付时间:</w:t>
      </w:r>
      <w:r>
        <w:rPr>
          <w:rFonts w:hint="eastAsia" w:asciiTheme="minorEastAsia" w:hAnsiTheme="minorEastAsia"/>
          <w:sz w:val="21"/>
          <w:szCs w:val="21"/>
          <w:u w:val="single"/>
          <w:lang w:eastAsia="zh-CN"/>
        </w:rPr>
        <w:t>合同签订且在资金到位后。</w:t>
      </w:r>
    </w:p>
    <w:p w14:paraId="55D05D0D">
      <w:pPr>
        <w:spacing w:line="360" w:lineRule="exact"/>
        <w:ind w:left="560" w:right="883"/>
        <w:jc w:val="both"/>
        <w:rPr>
          <w:rFonts w:asciiTheme="minorEastAsia" w:hAnsiTheme="minorEastAsia"/>
          <w:sz w:val="21"/>
          <w:szCs w:val="21"/>
          <w:lang w:eastAsia="zh-CN"/>
        </w:rPr>
      </w:pPr>
      <w:r>
        <w:rPr>
          <w:rFonts w:hint="eastAsia" w:asciiTheme="minorEastAsia" w:hAnsiTheme="minorEastAsia"/>
          <w:sz w:val="21"/>
          <w:szCs w:val="21"/>
          <w:lang w:eastAsia="zh-CN"/>
        </w:rPr>
        <w:t>关于进度款支付详细约定如下:</w:t>
      </w:r>
    </w:p>
    <w:p w14:paraId="358EAAB1">
      <w:pPr>
        <w:spacing w:line="360" w:lineRule="exact"/>
        <w:ind w:left="560" w:right="883"/>
        <w:jc w:val="both"/>
        <w:rPr>
          <w:rFonts w:asciiTheme="minorEastAsia" w:hAnsiTheme="minorEastAsia"/>
          <w:sz w:val="21"/>
          <w:szCs w:val="21"/>
          <w:u w:val="single"/>
          <w:lang w:eastAsia="zh-CN"/>
        </w:rPr>
      </w:pPr>
      <w:r>
        <w:rPr>
          <w:rFonts w:hint="eastAsia" w:asciiTheme="minorEastAsia" w:hAnsiTheme="minorEastAsia"/>
          <w:sz w:val="21"/>
          <w:szCs w:val="21"/>
          <w:u w:val="single"/>
          <w:lang w:eastAsia="zh-CN"/>
        </w:rPr>
        <w:t>(1) 承包人应按监理人同意的格式,在提交月度报告的相同时间,向监理人提交请款报告,监理人审核后向发包人提交一式六份的进度款支付月报,说明承包人在该月度内应得到 的款额。</w:t>
      </w:r>
    </w:p>
    <w:p w14:paraId="3D372284">
      <w:pPr>
        <w:spacing w:line="360" w:lineRule="exact"/>
        <w:ind w:left="630" w:leftChars="300" w:right="883"/>
        <w:jc w:val="both"/>
        <w:rPr>
          <w:rFonts w:asciiTheme="minorEastAsia" w:hAnsiTheme="minorEastAsia"/>
          <w:sz w:val="21"/>
          <w:szCs w:val="21"/>
          <w:u w:val="single"/>
          <w:lang w:eastAsia="zh-CN"/>
        </w:rPr>
      </w:pPr>
      <w:r>
        <w:rPr>
          <w:rFonts w:hint="eastAsia" w:asciiTheme="minorEastAsia" w:hAnsiTheme="minorEastAsia"/>
          <w:sz w:val="21"/>
          <w:szCs w:val="21"/>
          <w:u w:val="single"/>
          <w:lang w:eastAsia="zh-CN"/>
        </w:rPr>
        <w:t>(2)发包人以银行转账支付或转账支票的方式支付各类款项,在发包人向承包人支付任何 款项之前,承包人应向发包人开具正式的发票。</w:t>
      </w:r>
    </w:p>
    <w:p w14:paraId="0733F01B">
      <w:pPr>
        <w:spacing w:line="360" w:lineRule="exact"/>
        <w:ind w:left="560" w:right="883"/>
        <w:jc w:val="both"/>
        <w:rPr>
          <w:rFonts w:asciiTheme="minorEastAsia" w:hAnsiTheme="minorEastAsia"/>
          <w:sz w:val="21"/>
          <w:szCs w:val="21"/>
          <w:u w:val="single"/>
          <w:lang w:eastAsia="zh-CN"/>
        </w:rPr>
      </w:pPr>
      <w:r>
        <w:rPr>
          <w:rFonts w:hint="eastAsia" w:asciiTheme="minorEastAsia" w:hAnsiTheme="minorEastAsia"/>
          <w:sz w:val="21"/>
          <w:szCs w:val="21"/>
          <w:u w:val="single"/>
          <w:lang w:eastAsia="zh-CN"/>
        </w:rPr>
        <w:t xml:space="preserve">(3) 对于发包人按照本款扣留的质量保证金,发包人不必向承包人支付任何利息或者收益。 </w:t>
      </w:r>
    </w:p>
    <w:p w14:paraId="6E8F0097">
      <w:pPr>
        <w:spacing w:line="360" w:lineRule="exact"/>
        <w:jc w:val="both"/>
        <w:rPr>
          <w:lang w:eastAsia="zh-CN"/>
        </w:rPr>
      </w:pPr>
      <w:r>
        <w:rPr>
          <w:rFonts w:hint="eastAsia"/>
          <w:lang w:eastAsia="zh-CN"/>
        </w:rPr>
        <w:t>17.3  工程进度付款</w:t>
      </w:r>
    </w:p>
    <w:p w14:paraId="7F169750">
      <w:pPr>
        <w:spacing w:line="360" w:lineRule="exact"/>
        <w:jc w:val="both"/>
        <w:rPr>
          <w:lang w:eastAsia="zh-CN"/>
        </w:rPr>
      </w:pPr>
      <w:r>
        <w:rPr>
          <w:rFonts w:hint="eastAsia"/>
          <w:lang w:eastAsia="zh-CN"/>
        </w:rPr>
        <w:t>17.3.2  进度付款申请单</w:t>
      </w:r>
    </w:p>
    <w:p w14:paraId="20B7DF03">
      <w:pPr>
        <w:spacing w:line="360" w:lineRule="exact"/>
        <w:jc w:val="both"/>
        <w:rPr>
          <w:lang w:eastAsia="zh-CN"/>
        </w:rPr>
      </w:pPr>
      <w:r>
        <w:rPr>
          <w:rFonts w:hint="eastAsia"/>
          <w:lang w:eastAsia="zh-CN"/>
        </w:rPr>
        <w:t>进度付款申请单的份数：</w:t>
      </w:r>
      <w:r>
        <w:rPr>
          <w:rFonts w:hint="eastAsia"/>
          <w:u w:val="single"/>
          <w:lang w:eastAsia="zh-CN"/>
        </w:rPr>
        <w:t>四份</w:t>
      </w:r>
    </w:p>
    <w:p w14:paraId="48F32ECF">
      <w:pPr>
        <w:spacing w:line="360" w:lineRule="exact"/>
        <w:jc w:val="both"/>
        <w:rPr>
          <w:lang w:eastAsia="zh-CN"/>
        </w:rPr>
      </w:pPr>
      <w:r>
        <w:rPr>
          <w:rFonts w:hint="eastAsia"/>
          <w:lang w:eastAsia="zh-CN"/>
        </w:rPr>
        <w:t>承包人报送监理人的进度付款申请单应包括下列内容：</w:t>
      </w:r>
    </w:p>
    <w:p w14:paraId="3457A84C">
      <w:pPr>
        <w:spacing w:line="360" w:lineRule="exact"/>
        <w:jc w:val="both"/>
        <w:rPr>
          <w:lang w:eastAsia="zh-CN"/>
        </w:rPr>
      </w:pPr>
      <w:r>
        <w:rPr>
          <w:rFonts w:hint="eastAsia"/>
          <w:lang w:eastAsia="zh-CN"/>
        </w:rPr>
        <w:t>根据合同应增加和（或）扣减的其他内容金额：</w:t>
      </w:r>
      <w:r>
        <w:rPr>
          <w:rFonts w:hint="eastAsia"/>
          <w:u w:val="single"/>
          <w:lang w:eastAsia="zh-CN"/>
        </w:rPr>
        <w:t>（1）付款次数或编号；（2）截止本次付款周期末已实施工程的价款；（3）变更金额；（4）索赔金额；（5）本次应支付的预付款和（或）应扣减的返还预付款；（6）本次扣减的质量保修金；（7）根据合同应增加和扣减的其他金额。</w:t>
      </w:r>
    </w:p>
    <w:p w14:paraId="21E03112">
      <w:pPr>
        <w:spacing w:line="360" w:lineRule="exact"/>
        <w:jc w:val="both"/>
        <w:rPr>
          <w:lang w:eastAsia="zh-CN"/>
        </w:rPr>
      </w:pPr>
      <w:r>
        <w:rPr>
          <w:rFonts w:hint="eastAsia"/>
          <w:lang w:eastAsia="zh-CN"/>
        </w:rPr>
        <w:t>17.3.3  进度付款证书和支付时间</w:t>
      </w:r>
    </w:p>
    <w:p w14:paraId="30C741A1">
      <w:pPr>
        <w:spacing w:line="360" w:lineRule="exact"/>
        <w:jc w:val="both"/>
        <w:rPr>
          <w:lang w:eastAsia="zh-CN"/>
        </w:rPr>
      </w:pPr>
      <w:r>
        <w:rPr>
          <w:rFonts w:hint="eastAsia"/>
          <w:lang w:eastAsia="zh-CN"/>
        </w:rPr>
        <w:t>（1）</w:t>
      </w:r>
      <w:r>
        <w:rPr>
          <w:rFonts w:hint="eastAsia"/>
          <w:u w:val="single"/>
          <w:lang w:eastAsia="zh-CN"/>
        </w:rPr>
        <w:t>发包人应在监理人收到进度付款申请单且资金到位后，向承包人支付经确认的计量款的100%。</w:t>
      </w:r>
      <w:r>
        <w:rPr>
          <w:rFonts w:hint="eastAsia"/>
          <w:lang w:eastAsia="zh-CN"/>
        </w:rPr>
        <w:t>逾期付款违约金的计算标准：</w:t>
      </w:r>
      <w:r>
        <w:rPr>
          <w:rFonts w:hint="eastAsia"/>
          <w:u w:val="single"/>
          <w:lang w:eastAsia="zh-CN"/>
        </w:rPr>
        <w:t>按照中国人民银行发布的同期同类贷款利率计算；</w:t>
      </w:r>
      <w:r>
        <w:rPr>
          <w:rFonts w:hint="eastAsia"/>
          <w:lang w:eastAsia="zh-CN"/>
        </w:rPr>
        <w:t xml:space="preserve"> 逾期付款违约金的计算方法：</w:t>
      </w:r>
      <w:r>
        <w:rPr>
          <w:rFonts w:hint="eastAsia"/>
          <w:u w:val="single"/>
          <w:lang w:eastAsia="zh-CN"/>
        </w:rPr>
        <w:t>按照中国人民银行发布的同期同类贷款利率计算；</w:t>
      </w:r>
    </w:p>
    <w:p w14:paraId="672D78E8">
      <w:pPr>
        <w:spacing w:line="360" w:lineRule="exact"/>
        <w:jc w:val="both"/>
        <w:rPr>
          <w:u w:val="single"/>
          <w:lang w:eastAsia="zh-CN"/>
        </w:rPr>
      </w:pPr>
      <w:r>
        <w:rPr>
          <w:rFonts w:hint="eastAsia"/>
          <w:lang w:eastAsia="zh-CN"/>
        </w:rPr>
        <w:t>（2）进度付款涉及政府性资金的支付方法</w:t>
      </w:r>
      <w:r>
        <w:rPr>
          <w:rFonts w:hint="eastAsia"/>
          <w:u w:val="single"/>
          <w:lang w:eastAsia="zh-CN"/>
        </w:rPr>
        <w:t>：项目竣工验收合格，发包人在收到监理人出具完工付款证书且资金到位后，向承包人支付至签约合同价的80%（含预付款）；待结算评审完成后，按审定金额支付至合同结算价的97%，剩余3%作为质保金，质保期满后支付。</w:t>
      </w:r>
    </w:p>
    <w:p w14:paraId="568437B1">
      <w:pPr>
        <w:spacing w:line="360" w:lineRule="auto"/>
        <w:ind w:firstLine="630" w:firstLineChars="300"/>
        <w:rPr>
          <w:rFonts w:ascii="宋体" w:hAnsi="宋体" w:eastAsia="宋体" w:cs="宋体"/>
          <w:kern w:val="2"/>
          <w:sz w:val="21"/>
          <w:szCs w:val="21"/>
          <w:lang w:eastAsia="zh-CN"/>
        </w:rPr>
      </w:pPr>
      <w:r>
        <w:rPr>
          <w:rFonts w:hint="eastAsia"/>
          <w:lang w:eastAsia="zh-CN"/>
        </w:rPr>
        <w:t>结算价款以结算评审结论为依据拨付资金。</w:t>
      </w:r>
    </w:p>
    <w:p w14:paraId="29597238">
      <w:pPr>
        <w:keepNext/>
        <w:keepLines/>
        <w:spacing w:before="120" w:beforeLines="50" w:after="120" w:afterLines="50" w:line="360" w:lineRule="auto"/>
        <w:jc w:val="both"/>
        <w:outlineLvl w:val="2"/>
        <w:rPr>
          <w:rFonts w:ascii="宋体" w:hAnsi="宋体" w:eastAsia="宋体" w:cs="宋体"/>
          <w:sz w:val="24"/>
          <w:szCs w:val="20"/>
          <w:lang w:eastAsia="zh-CN"/>
        </w:rPr>
      </w:pPr>
      <w:bookmarkStart w:id="1497" w:name="_Toc486580432"/>
      <w:bookmarkStart w:id="1498" w:name="_Toc497584092"/>
      <w:bookmarkStart w:id="1499" w:name="_Toc485323206"/>
      <w:bookmarkStart w:id="1500" w:name="_Toc497214101"/>
      <w:bookmarkStart w:id="1501" w:name="_Toc47947545"/>
      <w:bookmarkStart w:id="1502" w:name="_Toc16264632"/>
      <w:bookmarkStart w:id="1503" w:name="_Toc489280238"/>
      <w:bookmarkStart w:id="1504" w:name="_Toc490331723"/>
      <w:r>
        <w:rPr>
          <w:rFonts w:hint="eastAsia" w:ascii="宋体" w:hAnsi="宋体" w:eastAsia="宋体" w:cs="宋体"/>
          <w:sz w:val="24"/>
          <w:szCs w:val="20"/>
          <w:lang w:eastAsia="zh-CN"/>
        </w:rPr>
        <w:t>17.4  质量保证金</w:t>
      </w:r>
      <w:bookmarkEnd w:id="1497"/>
      <w:bookmarkEnd w:id="1498"/>
      <w:bookmarkEnd w:id="1499"/>
      <w:bookmarkEnd w:id="1500"/>
      <w:bookmarkEnd w:id="1501"/>
      <w:bookmarkEnd w:id="1502"/>
      <w:bookmarkEnd w:id="1503"/>
      <w:bookmarkEnd w:id="1504"/>
    </w:p>
    <w:p w14:paraId="677F9DEA">
      <w:pPr>
        <w:spacing w:after="0" w:line="360" w:lineRule="auto"/>
        <w:ind w:firstLine="420" w:firstLineChars="200"/>
        <w:jc w:val="both"/>
        <w:rPr>
          <w:rFonts w:ascii="宋体" w:hAnsi="宋体" w:eastAsia="宋体" w:cs="宋体"/>
          <w:kern w:val="2"/>
          <w:sz w:val="21"/>
          <w:szCs w:val="21"/>
          <w:lang w:eastAsia="zh-CN"/>
        </w:rPr>
      </w:pPr>
      <w:bookmarkStart w:id="1505" w:name="_Toc490331724"/>
      <w:bookmarkStart w:id="1506" w:name="_Toc486580433"/>
      <w:bookmarkStart w:id="1507" w:name="_Toc485323207"/>
      <w:bookmarkStart w:id="1508" w:name="_Toc489280239"/>
      <w:r>
        <w:rPr>
          <w:rFonts w:hint="eastAsia" w:ascii="宋体" w:hAnsi="宋体" w:eastAsia="宋体" w:cs="宋体"/>
          <w:kern w:val="2"/>
          <w:sz w:val="21"/>
          <w:szCs w:val="21"/>
          <w:lang w:eastAsia="zh-CN"/>
        </w:rPr>
        <w:t>17.4.1  质量保证金处理</w:t>
      </w:r>
    </w:p>
    <w:p w14:paraId="25DA1677">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（3）质量保证金形式：</w:t>
      </w:r>
      <w:r>
        <w:rPr>
          <w:rFonts w:hint="eastAsia" w:ascii="宋体" w:hAnsi="宋体" w:eastAsia="宋体" w:cs="宋体"/>
          <w:kern w:val="2"/>
          <w:sz w:val="21"/>
          <w:szCs w:val="21"/>
          <w:u w:val="single"/>
          <w:lang w:val="en-US" w:eastAsia="zh-CN"/>
        </w:rPr>
        <w:t>递交至甲方指定账户</w:t>
      </w:r>
      <w:r>
        <w:rPr>
          <w:rFonts w:hint="eastAsia" w:ascii="宋体" w:hAnsi="宋体" w:eastAsia="宋体" w:cs="宋体"/>
          <w:kern w:val="2"/>
          <w:sz w:val="21"/>
          <w:szCs w:val="21"/>
          <w:lang w:eastAsia="zh-CN"/>
        </w:rPr>
        <w:t>。</w:t>
      </w:r>
    </w:p>
    <w:p w14:paraId="3A9CA1C2">
      <w:pPr>
        <w:spacing w:after="0" w:line="360" w:lineRule="auto"/>
        <w:ind w:firstLine="945" w:firstLineChars="45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质量保证金约定比例：</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eastAsia="zh-CN"/>
        </w:rPr>
        <w:t>3</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25F650BE">
      <w:pPr>
        <w:keepNext/>
        <w:keepLines/>
        <w:spacing w:before="120" w:beforeLines="50" w:after="120" w:afterLines="50" w:line="360" w:lineRule="auto"/>
        <w:jc w:val="both"/>
        <w:outlineLvl w:val="2"/>
        <w:rPr>
          <w:rFonts w:ascii="宋体" w:hAnsi="宋体" w:eastAsia="宋体" w:cs="宋体"/>
          <w:sz w:val="24"/>
          <w:szCs w:val="20"/>
          <w:lang w:eastAsia="zh-CN"/>
        </w:rPr>
      </w:pPr>
      <w:bookmarkStart w:id="1509" w:name="_Toc47947546"/>
      <w:bookmarkStart w:id="1510" w:name="_Toc16264633"/>
      <w:bookmarkStart w:id="1511" w:name="_Toc497214102"/>
      <w:bookmarkStart w:id="1512" w:name="_Toc497584093"/>
      <w:r>
        <w:rPr>
          <w:rFonts w:hint="eastAsia" w:ascii="宋体" w:hAnsi="宋体" w:eastAsia="宋体" w:cs="宋体"/>
          <w:sz w:val="24"/>
          <w:szCs w:val="20"/>
          <w:lang w:eastAsia="zh-CN"/>
        </w:rPr>
        <w:t>17.5  竣工结算</w:t>
      </w:r>
      <w:bookmarkEnd w:id="1505"/>
      <w:bookmarkEnd w:id="1506"/>
      <w:bookmarkEnd w:id="1507"/>
      <w:bookmarkEnd w:id="1508"/>
      <w:bookmarkEnd w:id="1509"/>
      <w:bookmarkEnd w:id="1510"/>
      <w:bookmarkEnd w:id="1511"/>
      <w:bookmarkEnd w:id="1512"/>
    </w:p>
    <w:p w14:paraId="75844483">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17.5.1  竣工付款申请单</w:t>
      </w:r>
    </w:p>
    <w:p w14:paraId="6E455E55">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（1）承包人提交竣工付款申请单的份数：</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   提交5份竣工付款申请单   </w:t>
      </w:r>
      <w:r>
        <w:rPr>
          <w:rFonts w:hint="eastAsia" w:ascii="宋体" w:hAnsi="宋体" w:eastAsia="宋体" w:cs="宋体"/>
          <w:kern w:val="2"/>
          <w:sz w:val="21"/>
          <w:szCs w:val="21"/>
          <w:u w:val="single"/>
          <w:lang w:eastAsia="zh-CN"/>
        </w:rPr>
        <w:t xml:space="preserve">           </w:t>
      </w:r>
    </w:p>
    <w:p w14:paraId="7640CFBF">
      <w:pPr>
        <w:spacing w:after="0" w:line="360" w:lineRule="auto"/>
        <w:ind w:firstLine="840" w:firstLineChars="4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承包人提交竣工付款申请单的期限：</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在工程接收证书颁发后14天内  </w:t>
      </w:r>
      <w:r>
        <w:rPr>
          <w:rFonts w:hint="eastAsia" w:ascii="宋体" w:hAnsi="宋体" w:eastAsia="宋体" w:cs="宋体"/>
          <w:kern w:val="2"/>
          <w:sz w:val="21"/>
          <w:szCs w:val="21"/>
          <w:u w:val="single"/>
          <w:lang w:eastAsia="zh-CN"/>
        </w:rPr>
        <w:t xml:space="preserve">                  </w:t>
      </w:r>
    </w:p>
    <w:p w14:paraId="2F6ECFBE">
      <w:pPr>
        <w:spacing w:after="0" w:line="360" w:lineRule="auto"/>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（2）竣工付款申请单的其他内容：</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竣工结算合同总价、已支付的工程价款、票据凭证、应扣留的质量保证金、应支付的竣工付款金额等。</w:t>
      </w:r>
      <w:r>
        <w:rPr>
          <w:rFonts w:hint="eastAsia" w:ascii="宋体" w:hAnsi="宋体" w:eastAsia="宋体" w:cs="宋体"/>
          <w:kern w:val="2"/>
          <w:sz w:val="21"/>
          <w:szCs w:val="21"/>
          <w:u w:val="single"/>
          <w:lang w:eastAsia="zh-CN"/>
        </w:rPr>
        <w:t xml:space="preserve"> </w:t>
      </w:r>
    </w:p>
    <w:p w14:paraId="49248184">
      <w:pPr>
        <w:keepNext/>
        <w:keepLines/>
        <w:spacing w:before="120" w:beforeLines="50" w:after="120" w:afterLines="50" w:line="360" w:lineRule="auto"/>
        <w:jc w:val="both"/>
        <w:outlineLvl w:val="2"/>
        <w:rPr>
          <w:rFonts w:ascii="宋体" w:hAnsi="宋体" w:eastAsia="宋体" w:cs="宋体"/>
          <w:sz w:val="24"/>
          <w:szCs w:val="20"/>
          <w:lang w:eastAsia="zh-CN"/>
        </w:rPr>
      </w:pPr>
      <w:bookmarkStart w:id="1513" w:name="_Toc486580434"/>
      <w:bookmarkStart w:id="1514" w:name="_Toc485323208"/>
      <w:bookmarkStart w:id="1515" w:name="_Toc497584094"/>
      <w:bookmarkStart w:id="1516" w:name="_Toc497214103"/>
      <w:bookmarkStart w:id="1517" w:name="_Toc490331725"/>
      <w:bookmarkStart w:id="1518" w:name="_Toc47947547"/>
      <w:bookmarkStart w:id="1519" w:name="_Toc16264634"/>
      <w:bookmarkStart w:id="1520" w:name="_Toc489280240"/>
      <w:r>
        <w:rPr>
          <w:rFonts w:hint="eastAsia" w:ascii="宋体" w:hAnsi="宋体" w:eastAsia="宋体" w:cs="宋体"/>
          <w:sz w:val="24"/>
          <w:szCs w:val="20"/>
          <w:lang w:eastAsia="zh-CN"/>
        </w:rPr>
        <w:t>17.6  最终结清</w:t>
      </w:r>
      <w:bookmarkEnd w:id="1513"/>
      <w:bookmarkEnd w:id="1514"/>
      <w:bookmarkEnd w:id="1515"/>
      <w:bookmarkEnd w:id="1516"/>
      <w:bookmarkEnd w:id="1517"/>
      <w:bookmarkEnd w:id="1518"/>
      <w:bookmarkEnd w:id="1519"/>
      <w:bookmarkEnd w:id="1520"/>
    </w:p>
    <w:p w14:paraId="18898876">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17.6.1  最终结清申请单</w:t>
      </w:r>
    </w:p>
    <w:p w14:paraId="6F44D2BB">
      <w:pPr>
        <w:spacing w:after="0" w:line="360" w:lineRule="auto"/>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（1）承包人提交最终结清申请单的份数：</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提交5份最终结清申请单 </w:t>
      </w:r>
      <w:r>
        <w:rPr>
          <w:rFonts w:hint="eastAsia" w:ascii="宋体" w:hAnsi="宋体" w:eastAsia="宋体" w:cs="宋体"/>
          <w:kern w:val="2"/>
          <w:sz w:val="21"/>
          <w:szCs w:val="21"/>
          <w:u w:val="single"/>
          <w:lang w:eastAsia="zh-CN"/>
        </w:rPr>
        <w:t xml:space="preserve">         </w:t>
      </w:r>
    </w:p>
    <w:p w14:paraId="3E555528">
      <w:pPr>
        <w:spacing w:after="0" w:line="360" w:lineRule="auto"/>
        <w:ind w:firstLine="945" w:firstLineChars="45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承包人提交最终结清申请单的期限：</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在缺陷责任期终止证书颁发后28天内 </w:t>
      </w:r>
      <w:r>
        <w:rPr>
          <w:rFonts w:hint="eastAsia" w:ascii="宋体" w:hAnsi="宋体" w:eastAsia="宋体" w:cs="宋体"/>
          <w:kern w:val="2"/>
          <w:sz w:val="21"/>
          <w:szCs w:val="21"/>
          <w:u w:val="single"/>
          <w:lang w:eastAsia="zh-CN"/>
        </w:rPr>
        <w:t xml:space="preserve">                </w:t>
      </w:r>
    </w:p>
    <w:p w14:paraId="6AB0B7DF">
      <w:pPr>
        <w:spacing w:after="0" w:line="360" w:lineRule="auto"/>
        <w:ind w:firstLine="949" w:firstLineChars="452"/>
        <w:jc w:val="both"/>
        <w:rPr>
          <w:rFonts w:ascii="宋体" w:hAnsi="宋体" w:eastAsia="宋体" w:cs="宋体"/>
          <w:kern w:val="2"/>
          <w:sz w:val="21"/>
          <w:szCs w:val="24"/>
          <w:lang w:eastAsia="zh-CN"/>
        </w:rPr>
      </w:pPr>
      <w:r>
        <w:rPr>
          <w:rFonts w:hint="eastAsia" w:ascii="宋体" w:hAnsi="宋体" w:eastAsia="宋体" w:cs="宋体"/>
          <w:kern w:val="2"/>
          <w:sz w:val="21"/>
          <w:szCs w:val="24"/>
          <w:lang w:eastAsia="zh-CN"/>
        </w:rPr>
        <w:t>发包人向承包人</w:t>
      </w:r>
      <w:r>
        <w:rPr>
          <w:rFonts w:hint="eastAsia" w:ascii="宋体" w:hAnsi="宋体" w:eastAsia="宋体" w:cs="宋体"/>
          <w:kern w:val="2"/>
          <w:sz w:val="21"/>
          <w:szCs w:val="24"/>
          <w:u w:val="single"/>
          <w:lang w:eastAsia="zh-CN"/>
        </w:rPr>
        <w:t xml:space="preserve">不支付  </w:t>
      </w:r>
      <w:r>
        <w:rPr>
          <w:rFonts w:hint="eastAsia" w:ascii="宋体" w:hAnsi="宋体" w:eastAsia="宋体" w:cs="宋体"/>
          <w:kern w:val="2"/>
          <w:sz w:val="21"/>
          <w:szCs w:val="24"/>
          <w:lang w:eastAsia="zh-CN"/>
        </w:rPr>
        <w:t>（支付 / 不支付）质量保证金利息。</w:t>
      </w:r>
    </w:p>
    <w:p w14:paraId="188AC5C6">
      <w:pPr>
        <w:spacing w:after="0" w:line="360" w:lineRule="auto"/>
        <w:ind w:firstLine="949" w:firstLineChars="452"/>
        <w:jc w:val="both"/>
        <w:rPr>
          <w:rFonts w:ascii="宋体" w:hAnsi="宋体" w:eastAsia="宋体" w:cs="宋体"/>
          <w:kern w:val="2"/>
          <w:sz w:val="21"/>
          <w:szCs w:val="21"/>
          <w:lang w:eastAsia="zh-CN"/>
        </w:rPr>
      </w:pPr>
      <w:r>
        <w:rPr>
          <w:rFonts w:hint="eastAsia" w:ascii="宋体" w:hAnsi="宋体" w:eastAsia="宋体" w:cs="宋体"/>
          <w:kern w:val="2"/>
          <w:sz w:val="21"/>
          <w:szCs w:val="24"/>
          <w:lang w:eastAsia="zh-CN"/>
        </w:rPr>
        <w:t>发包人向承包人支付质量保证金利息的，利息计算方法：</w:t>
      </w:r>
      <w:r>
        <w:rPr>
          <w:rFonts w:hint="eastAsia" w:ascii="宋体" w:hAnsi="宋体" w:eastAsia="宋体" w:cs="宋体"/>
          <w:kern w:val="2"/>
          <w:sz w:val="21"/>
          <w:szCs w:val="24"/>
          <w:u w:val="single"/>
          <w:lang w:eastAsia="zh-CN"/>
        </w:rPr>
        <w:t xml:space="preserve">     /           </w:t>
      </w:r>
    </w:p>
    <w:p w14:paraId="1ED1F5A7">
      <w:pPr>
        <w:keepNext/>
        <w:keepLines/>
        <w:spacing w:before="120" w:beforeLines="50" w:after="120" w:afterLines="50" w:line="360" w:lineRule="auto"/>
        <w:jc w:val="both"/>
        <w:outlineLvl w:val="1"/>
        <w:rPr>
          <w:rFonts w:ascii="宋体" w:hAnsi="宋体" w:eastAsia="宋体" w:cs="宋体"/>
          <w:kern w:val="2"/>
          <w:sz w:val="28"/>
          <w:szCs w:val="20"/>
          <w:lang w:eastAsia="zh-CN"/>
        </w:rPr>
      </w:pPr>
      <w:bookmarkStart w:id="1521" w:name="_Toc23060"/>
      <w:bookmarkStart w:id="1522" w:name="_Toc497584095"/>
      <w:bookmarkStart w:id="1523" w:name="_Toc3757"/>
      <w:bookmarkStart w:id="1524" w:name="_Toc485323209"/>
      <w:bookmarkStart w:id="1525" w:name="_Toc47947548"/>
      <w:bookmarkStart w:id="1526" w:name="_Toc16264635"/>
      <w:bookmarkStart w:id="1527" w:name="_Toc497214104"/>
      <w:bookmarkStart w:id="1528" w:name="_Toc489280241"/>
      <w:bookmarkStart w:id="1529" w:name="_Toc490331726"/>
      <w:bookmarkStart w:id="1530" w:name="_Toc486580435"/>
      <w:bookmarkStart w:id="1531" w:name="_Toc21658"/>
      <w:r>
        <w:rPr>
          <w:rFonts w:hint="eastAsia" w:ascii="宋体" w:hAnsi="宋体" w:eastAsia="宋体" w:cs="宋体"/>
          <w:kern w:val="2"/>
          <w:sz w:val="28"/>
          <w:szCs w:val="20"/>
          <w:lang w:eastAsia="zh-CN"/>
        </w:rPr>
        <w:t>18.竣工验收</w:t>
      </w:r>
      <w:bookmarkEnd w:id="1521"/>
      <w:bookmarkEnd w:id="1522"/>
      <w:bookmarkEnd w:id="1523"/>
      <w:bookmarkEnd w:id="1524"/>
      <w:bookmarkEnd w:id="1525"/>
      <w:bookmarkEnd w:id="1526"/>
      <w:bookmarkEnd w:id="1527"/>
      <w:bookmarkEnd w:id="1528"/>
      <w:bookmarkEnd w:id="1529"/>
      <w:bookmarkEnd w:id="1530"/>
      <w:bookmarkEnd w:id="1531"/>
    </w:p>
    <w:p w14:paraId="77C9CE66">
      <w:pPr>
        <w:keepNext/>
        <w:keepLines/>
        <w:spacing w:before="120" w:beforeLines="50" w:after="120" w:afterLines="50" w:line="360" w:lineRule="auto"/>
        <w:jc w:val="both"/>
        <w:outlineLvl w:val="2"/>
        <w:rPr>
          <w:rFonts w:ascii="宋体" w:hAnsi="宋体" w:eastAsia="宋体" w:cs="宋体"/>
          <w:sz w:val="24"/>
          <w:szCs w:val="20"/>
          <w:lang w:eastAsia="zh-CN"/>
        </w:rPr>
      </w:pPr>
      <w:bookmarkStart w:id="1532" w:name="_Toc490331727"/>
      <w:bookmarkStart w:id="1533" w:name="_Toc16264636"/>
      <w:bookmarkStart w:id="1534" w:name="_Toc497214105"/>
      <w:bookmarkStart w:id="1535" w:name="_Toc489280242"/>
      <w:bookmarkStart w:id="1536" w:name="_Toc497584096"/>
      <w:bookmarkStart w:id="1537" w:name="_Toc486580436"/>
      <w:bookmarkStart w:id="1538" w:name="_Toc485323210"/>
      <w:bookmarkStart w:id="1539" w:name="_Toc47947549"/>
      <w:r>
        <w:rPr>
          <w:rFonts w:hint="eastAsia" w:ascii="宋体" w:hAnsi="宋体" w:eastAsia="宋体" w:cs="宋体"/>
          <w:sz w:val="24"/>
          <w:szCs w:val="20"/>
          <w:lang w:eastAsia="zh-CN"/>
        </w:rPr>
        <w:t>18.2  竣工验收申请报告</w:t>
      </w:r>
      <w:bookmarkEnd w:id="1532"/>
      <w:bookmarkEnd w:id="1533"/>
      <w:bookmarkEnd w:id="1534"/>
      <w:bookmarkEnd w:id="1535"/>
      <w:bookmarkEnd w:id="1536"/>
      <w:bookmarkEnd w:id="1537"/>
      <w:bookmarkEnd w:id="1538"/>
      <w:bookmarkEnd w:id="1539"/>
    </w:p>
    <w:p w14:paraId="14000AE1">
      <w:pPr>
        <w:spacing w:after="0" w:line="360" w:lineRule="auto"/>
        <w:ind w:firstLine="420" w:firstLineChars="200"/>
        <w:jc w:val="both"/>
        <w:rPr>
          <w:rFonts w:ascii="宋体" w:hAnsi="宋体" w:eastAsia="宋体" w:cs="宋体"/>
          <w:color w:val="000000"/>
          <w:kern w:val="2"/>
          <w:sz w:val="21"/>
          <w:szCs w:val="21"/>
          <w:u w:val="single"/>
          <w:lang w:eastAsia="zh-CN"/>
        </w:rPr>
      </w:pPr>
      <w:r>
        <w:rPr>
          <w:rFonts w:hint="eastAsia" w:ascii="宋体" w:hAnsi="宋体" w:eastAsia="宋体" w:cs="宋体"/>
          <w:kern w:val="2"/>
          <w:sz w:val="21"/>
          <w:szCs w:val="21"/>
          <w:lang w:eastAsia="zh-CN"/>
        </w:rPr>
        <w:t>（2）承包人负责整理和提交的竣工验收资料具体内容：</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（一）文件封面应具有工程名称、开竣工日期、编制单位、卷册编号、单位技术负责人和法人代表或法人委托人签字并加盖单位公章   。</w:t>
      </w:r>
    </w:p>
    <w:p w14:paraId="60AE1BE6">
      <w:pPr>
        <w:spacing w:after="0" w:line="360" w:lineRule="auto"/>
        <w:ind w:firstLine="420" w:firstLineChars="200"/>
        <w:jc w:val="both"/>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（二）文件材料部分排列宜按以下顺序（不限于以下资料，仅供参考）</w:t>
      </w:r>
    </w:p>
    <w:p w14:paraId="12712F4F">
      <w:pPr>
        <w:spacing w:after="0" w:line="360" w:lineRule="auto"/>
        <w:ind w:firstLine="420" w:firstLineChars="200"/>
        <w:jc w:val="both"/>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1、施工组织设计</w:t>
      </w:r>
    </w:p>
    <w:p w14:paraId="1B309AA1">
      <w:pPr>
        <w:spacing w:after="0" w:line="360" w:lineRule="auto"/>
        <w:ind w:firstLine="420" w:firstLineChars="200"/>
        <w:jc w:val="both"/>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2、施工图设计文件会审、技术交底记录</w:t>
      </w:r>
    </w:p>
    <w:p w14:paraId="32A8DD6B">
      <w:pPr>
        <w:spacing w:after="0" w:line="360" w:lineRule="auto"/>
        <w:ind w:firstLine="420" w:firstLineChars="200"/>
        <w:jc w:val="both"/>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3、设计变更通知单、洽商记录</w:t>
      </w:r>
    </w:p>
    <w:p w14:paraId="13431DED">
      <w:pPr>
        <w:spacing w:after="0" w:line="360" w:lineRule="auto"/>
        <w:ind w:firstLine="420" w:firstLineChars="200"/>
        <w:jc w:val="both"/>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4、原材料、成品、半成品、构配件、设备出厂质量合格证书、出厂检（试）验报告和复试报告（须一一对应）</w:t>
      </w:r>
    </w:p>
    <w:p w14:paraId="10DFCE97">
      <w:pPr>
        <w:spacing w:after="0" w:line="360" w:lineRule="auto"/>
        <w:ind w:firstLine="420" w:firstLineChars="200"/>
        <w:jc w:val="both"/>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5、施工试验资料</w:t>
      </w:r>
    </w:p>
    <w:p w14:paraId="750520E3">
      <w:pPr>
        <w:spacing w:after="0" w:line="360" w:lineRule="auto"/>
        <w:ind w:firstLine="420" w:firstLineChars="200"/>
        <w:jc w:val="both"/>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6、施工记录</w:t>
      </w:r>
    </w:p>
    <w:p w14:paraId="60CBA0D8">
      <w:pPr>
        <w:spacing w:after="0" w:line="360" w:lineRule="auto"/>
        <w:ind w:firstLine="420" w:firstLineChars="200"/>
        <w:jc w:val="both"/>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7、测量复核及预检记录</w:t>
      </w:r>
    </w:p>
    <w:p w14:paraId="7EE66C63">
      <w:pPr>
        <w:spacing w:after="0" w:line="360" w:lineRule="auto"/>
        <w:ind w:firstLine="420" w:firstLineChars="200"/>
        <w:jc w:val="both"/>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8、隐蔽工程检查验收记录</w:t>
      </w:r>
    </w:p>
    <w:p w14:paraId="68D8FDB6">
      <w:pPr>
        <w:spacing w:after="0" w:line="360" w:lineRule="auto"/>
        <w:ind w:firstLine="420" w:firstLineChars="200"/>
        <w:jc w:val="both"/>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9、工程质量检验评定资料</w:t>
      </w:r>
    </w:p>
    <w:p w14:paraId="678A10BF">
      <w:pPr>
        <w:spacing w:after="0" w:line="360" w:lineRule="auto"/>
        <w:ind w:firstLine="420" w:firstLineChars="200"/>
        <w:jc w:val="both"/>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10、使用功能试验记录</w:t>
      </w:r>
    </w:p>
    <w:p w14:paraId="36B1633A">
      <w:pPr>
        <w:spacing w:after="0" w:line="360" w:lineRule="auto"/>
        <w:ind w:firstLine="420" w:firstLineChars="200"/>
        <w:jc w:val="both"/>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11、事故报告</w:t>
      </w:r>
    </w:p>
    <w:p w14:paraId="4E387ADE">
      <w:pPr>
        <w:spacing w:after="0" w:line="360" w:lineRule="auto"/>
        <w:ind w:firstLine="420" w:firstLineChars="200"/>
        <w:jc w:val="both"/>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12、竣工测量资料</w:t>
      </w:r>
    </w:p>
    <w:p w14:paraId="67CE6579">
      <w:pPr>
        <w:spacing w:after="0" w:line="360" w:lineRule="auto"/>
        <w:ind w:firstLine="420" w:firstLineChars="200"/>
        <w:jc w:val="both"/>
        <w:rPr>
          <w:rFonts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u w:val="single"/>
          <w:lang w:eastAsia="zh-CN"/>
        </w:rPr>
        <w:t>13、竣工图</w:t>
      </w:r>
    </w:p>
    <w:p w14:paraId="7417B017">
      <w:pPr>
        <w:spacing w:after="0" w:line="360" w:lineRule="auto"/>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u w:val="single"/>
          <w:lang w:eastAsia="zh-CN"/>
        </w:rPr>
        <w:t>14、工程竣工验收文件</w:t>
      </w:r>
      <w:r>
        <w:rPr>
          <w:rFonts w:hint="eastAsia" w:ascii="宋体" w:hAnsi="宋体" w:eastAsia="宋体" w:cs="宋体"/>
          <w:kern w:val="2"/>
          <w:sz w:val="21"/>
          <w:szCs w:val="21"/>
          <w:u w:val="single"/>
          <w:lang w:eastAsia="zh-CN"/>
        </w:rPr>
        <w:t xml:space="preserve">           </w:t>
      </w:r>
    </w:p>
    <w:p w14:paraId="4BCB5A17">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竣工验收资料的份数：</w:t>
      </w:r>
      <w:r>
        <w:rPr>
          <w:rFonts w:hint="eastAsia" w:ascii="宋体" w:hAnsi="宋体" w:eastAsia="宋体" w:cs="宋体"/>
          <w:kern w:val="2"/>
          <w:sz w:val="21"/>
          <w:szCs w:val="21"/>
          <w:u w:val="single"/>
          <w:lang w:eastAsia="zh-CN"/>
        </w:rPr>
        <w:t xml:space="preserve">  4套竣工图及工程档案资料                                  </w:t>
      </w:r>
    </w:p>
    <w:p w14:paraId="534C0862">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竣工验收资料的费用支付方式：</w:t>
      </w:r>
      <w:r>
        <w:rPr>
          <w:rFonts w:hint="eastAsia" w:ascii="宋体" w:hAnsi="宋体" w:eastAsia="宋体" w:cs="宋体"/>
          <w:kern w:val="2"/>
          <w:sz w:val="21"/>
          <w:szCs w:val="21"/>
          <w:u w:val="single"/>
          <w:lang w:eastAsia="zh-CN"/>
        </w:rPr>
        <w:t xml:space="preserve">承包人承担 ，费用已包含在合同价格中            </w:t>
      </w:r>
    </w:p>
    <w:p w14:paraId="26EA8440">
      <w:pPr>
        <w:keepNext/>
        <w:keepLines/>
        <w:spacing w:before="120" w:beforeLines="50" w:after="120" w:afterLines="50" w:line="360" w:lineRule="auto"/>
        <w:jc w:val="both"/>
        <w:outlineLvl w:val="2"/>
        <w:rPr>
          <w:rFonts w:ascii="宋体" w:hAnsi="宋体" w:eastAsia="宋体" w:cs="宋体"/>
          <w:sz w:val="24"/>
          <w:szCs w:val="20"/>
          <w:lang w:eastAsia="zh-CN"/>
        </w:rPr>
      </w:pPr>
      <w:bookmarkStart w:id="1540" w:name="_Toc16264637"/>
      <w:bookmarkStart w:id="1541" w:name="_Toc486580437"/>
      <w:bookmarkStart w:id="1542" w:name="_Toc490331728"/>
      <w:bookmarkStart w:id="1543" w:name="_Toc47947550"/>
      <w:bookmarkStart w:id="1544" w:name="_Toc489280243"/>
      <w:bookmarkStart w:id="1545" w:name="_Toc497214106"/>
      <w:bookmarkStart w:id="1546" w:name="_Toc485323211"/>
      <w:bookmarkStart w:id="1547" w:name="_Toc497584097"/>
      <w:r>
        <w:rPr>
          <w:rFonts w:hint="eastAsia" w:ascii="宋体" w:hAnsi="宋体" w:eastAsia="宋体" w:cs="宋体"/>
          <w:sz w:val="24"/>
          <w:szCs w:val="20"/>
          <w:lang w:eastAsia="zh-CN"/>
        </w:rPr>
        <w:t>18.5  施工期运行</w:t>
      </w:r>
      <w:bookmarkEnd w:id="1540"/>
      <w:bookmarkEnd w:id="1541"/>
      <w:bookmarkEnd w:id="1542"/>
      <w:bookmarkEnd w:id="1543"/>
      <w:bookmarkEnd w:id="1544"/>
      <w:bookmarkEnd w:id="1545"/>
      <w:bookmarkEnd w:id="1546"/>
      <w:bookmarkEnd w:id="1547"/>
    </w:p>
    <w:p w14:paraId="0DE04D44">
      <w:pPr>
        <w:spacing w:after="0" w:line="360" w:lineRule="auto"/>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18.5.1  需要施工期运行的单位工程或设备安装工程：</w:t>
      </w:r>
      <w:r>
        <w:rPr>
          <w:rFonts w:hint="eastAsia" w:ascii="宋体" w:hAnsi="宋体" w:eastAsia="宋体" w:cs="宋体"/>
          <w:kern w:val="2"/>
          <w:sz w:val="21"/>
          <w:szCs w:val="21"/>
          <w:u w:val="single"/>
          <w:lang w:eastAsia="zh-CN"/>
        </w:rPr>
        <w:t xml:space="preserve">                           </w:t>
      </w:r>
    </w:p>
    <w:p w14:paraId="7100DE26">
      <w:pPr>
        <w:keepNext/>
        <w:keepLines/>
        <w:spacing w:before="120" w:beforeLines="50" w:after="120" w:afterLines="50" w:line="360" w:lineRule="auto"/>
        <w:jc w:val="both"/>
        <w:outlineLvl w:val="2"/>
        <w:rPr>
          <w:rFonts w:ascii="宋体" w:hAnsi="宋体" w:eastAsia="宋体" w:cs="宋体"/>
          <w:sz w:val="24"/>
          <w:szCs w:val="20"/>
          <w:lang w:eastAsia="zh-CN"/>
        </w:rPr>
      </w:pPr>
      <w:bookmarkStart w:id="1548" w:name="_Toc47947551"/>
      <w:bookmarkStart w:id="1549" w:name="_Toc497584098"/>
      <w:bookmarkStart w:id="1550" w:name="_Toc486580438"/>
      <w:bookmarkStart w:id="1551" w:name="_Toc497214107"/>
      <w:bookmarkStart w:id="1552" w:name="_Toc16264638"/>
      <w:bookmarkStart w:id="1553" w:name="_Toc490331729"/>
      <w:bookmarkStart w:id="1554" w:name="_Toc485323212"/>
      <w:bookmarkStart w:id="1555" w:name="_Toc489280244"/>
      <w:r>
        <w:rPr>
          <w:rFonts w:hint="eastAsia" w:ascii="宋体" w:hAnsi="宋体" w:eastAsia="宋体" w:cs="宋体"/>
          <w:sz w:val="24"/>
          <w:szCs w:val="20"/>
          <w:lang w:eastAsia="zh-CN"/>
        </w:rPr>
        <w:t>18.8  施工队伍的撤离</w:t>
      </w:r>
      <w:bookmarkEnd w:id="1548"/>
      <w:bookmarkEnd w:id="1549"/>
      <w:bookmarkEnd w:id="1550"/>
      <w:bookmarkEnd w:id="1551"/>
      <w:bookmarkEnd w:id="1552"/>
      <w:bookmarkEnd w:id="1553"/>
      <w:bookmarkEnd w:id="1554"/>
      <w:bookmarkEnd w:id="1555"/>
    </w:p>
    <w:p w14:paraId="49575DB4">
      <w:pPr>
        <w:spacing w:after="0" w:line="360" w:lineRule="auto"/>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18.8.3  缺陷责任期满时，承包人在施工场地保留的人员和施工设备最终撤离的期限：</w:t>
      </w:r>
      <w:r>
        <w:rPr>
          <w:rFonts w:hint="eastAsia" w:ascii="宋体" w:hAnsi="宋体" w:eastAsia="宋体" w:cs="宋体"/>
          <w:kern w:val="2"/>
          <w:sz w:val="21"/>
          <w:szCs w:val="21"/>
          <w:u w:val="single"/>
          <w:lang w:eastAsia="zh-CN"/>
        </w:rPr>
        <w:t xml:space="preserve">                                                                          </w:t>
      </w:r>
    </w:p>
    <w:p w14:paraId="37B28CA5">
      <w:pPr>
        <w:spacing w:after="0" w:line="360" w:lineRule="auto"/>
        <w:jc w:val="both"/>
        <w:rPr>
          <w:rFonts w:ascii="宋体" w:hAnsi="宋体" w:eastAsia="宋体" w:cs="宋体"/>
          <w:kern w:val="2"/>
          <w:sz w:val="21"/>
          <w:szCs w:val="21"/>
          <w:lang w:eastAsia="zh-CN"/>
        </w:rPr>
      </w:pPr>
      <w:r>
        <w:rPr>
          <w:rFonts w:hint="eastAsia" w:ascii="宋体" w:hAnsi="宋体" w:eastAsia="宋体" w:cs="宋体"/>
          <w:kern w:val="2"/>
          <w:sz w:val="21"/>
          <w:szCs w:val="21"/>
          <w:u w:val="single"/>
          <w:lang w:eastAsia="zh-CN"/>
        </w:rPr>
        <w:t xml:space="preserve"> 28天。承包人在缺陷责任期满后，要求部分人员和施工设备仍留在场内的，承包人应提交其留场人员和设备的明细表及最后撤离时间。延后撤离造成发包人增加的费用，由承包人承担。     </w:t>
      </w:r>
      <w:r>
        <w:rPr>
          <w:rFonts w:hint="eastAsia" w:ascii="宋体" w:hAnsi="宋体" w:eastAsia="宋体" w:cs="宋体"/>
          <w:kern w:val="2"/>
          <w:sz w:val="21"/>
          <w:szCs w:val="21"/>
          <w:lang w:eastAsia="zh-CN"/>
        </w:rPr>
        <w:t xml:space="preserve">  </w:t>
      </w:r>
    </w:p>
    <w:p w14:paraId="57CA7001">
      <w:pPr>
        <w:keepNext/>
        <w:keepLines/>
        <w:spacing w:before="120" w:beforeLines="50" w:after="120" w:afterLines="50" w:line="360" w:lineRule="auto"/>
        <w:jc w:val="both"/>
        <w:outlineLvl w:val="2"/>
        <w:rPr>
          <w:rFonts w:ascii="宋体" w:hAnsi="宋体" w:eastAsia="宋体" w:cs="宋体"/>
          <w:sz w:val="24"/>
          <w:szCs w:val="20"/>
          <w:lang w:eastAsia="zh-CN"/>
        </w:rPr>
      </w:pPr>
      <w:bookmarkStart w:id="1556" w:name="_Toc485323213"/>
      <w:bookmarkStart w:id="1557" w:name="_Toc486580439"/>
      <w:bookmarkStart w:id="1558" w:name="_Toc497584099"/>
      <w:bookmarkStart w:id="1559" w:name="_Toc47947552"/>
      <w:bookmarkStart w:id="1560" w:name="_Toc16264639"/>
      <w:bookmarkStart w:id="1561" w:name="_Toc497214108"/>
      <w:bookmarkStart w:id="1562" w:name="_Toc490331730"/>
      <w:bookmarkStart w:id="1563" w:name="_Toc489280245"/>
      <w:r>
        <w:rPr>
          <w:rFonts w:hint="eastAsia" w:ascii="宋体" w:hAnsi="宋体" w:eastAsia="宋体" w:cs="宋体"/>
          <w:sz w:val="24"/>
          <w:szCs w:val="20"/>
          <w:lang w:eastAsia="zh-CN"/>
        </w:rPr>
        <w:t>18.9  中间验收</w:t>
      </w:r>
      <w:bookmarkEnd w:id="1556"/>
      <w:bookmarkEnd w:id="1557"/>
      <w:bookmarkEnd w:id="1558"/>
      <w:bookmarkEnd w:id="1559"/>
      <w:bookmarkEnd w:id="1560"/>
      <w:bookmarkEnd w:id="1561"/>
      <w:bookmarkEnd w:id="1562"/>
      <w:bookmarkEnd w:id="1563"/>
    </w:p>
    <w:p w14:paraId="0C37BCF2">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18.9.1  本工程需要进行中间验收的部位：</w:t>
      </w:r>
      <w:r>
        <w:rPr>
          <w:rFonts w:hint="eastAsia" w:ascii="宋体" w:hAnsi="宋体" w:eastAsia="宋体" w:cs="宋体"/>
          <w:kern w:val="2"/>
          <w:sz w:val="21"/>
          <w:szCs w:val="21"/>
          <w:u w:val="single"/>
          <w:lang w:eastAsia="zh-CN"/>
        </w:rPr>
        <w:t xml:space="preserve">        按照有关验收规定执行                         </w:t>
      </w:r>
    </w:p>
    <w:p w14:paraId="51583694">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18.9.2  验收不合格的，承包人在</w:t>
      </w:r>
      <w:r>
        <w:rPr>
          <w:rFonts w:hint="eastAsia" w:ascii="宋体" w:hAnsi="宋体" w:eastAsia="宋体" w:cs="宋体"/>
          <w:kern w:val="2"/>
          <w:sz w:val="21"/>
          <w:szCs w:val="21"/>
          <w:u w:val="single"/>
          <w:lang w:eastAsia="zh-CN"/>
        </w:rPr>
        <w:t xml:space="preserve"> 10天   </w:t>
      </w:r>
      <w:r>
        <w:rPr>
          <w:rFonts w:hint="eastAsia" w:ascii="宋体" w:hAnsi="宋体" w:eastAsia="宋体" w:cs="宋体"/>
          <w:kern w:val="2"/>
          <w:sz w:val="21"/>
          <w:szCs w:val="21"/>
          <w:lang w:eastAsia="zh-CN"/>
        </w:rPr>
        <w:t>期限内进行修改后重新验收。</w:t>
      </w:r>
    </w:p>
    <w:p w14:paraId="40329B1D">
      <w:pPr>
        <w:keepNext/>
        <w:keepLines/>
        <w:spacing w:before="120" w:beforeLines="50" w:after="120" w:afterLines="50" w:line="360" w:lineRule="auto"/>
        <w:jc w:val="both"/>
        <w:outlineLvl w:val="1"/>
        <w:rPr>
          <w:rFonts w:ascii="宋体" w:hAnsi="宋体" w:eastAsia="宋体" w:cs="宋体"/>
          <w:kern w:val="2"/>
          <w:sz w:val="28"/>
          <w:szCs w:val="20"/>
          <w:lang w:eastAsia="zh-CN"/>
        </w:rPr>
      </w:pPr>
      <w:bookmarkStart w:id="1564" w:name="_Toc485323214"/>
      <w:bookmarkStart w:id="1565" w:name="_Toc489280246"/>
      <w:bookmarkStart w:id="1566" w:name="_Toc47947553"/>
      <w:bookmarkStart w:id="1567" w:name="_Toc497584100"/>
      <w:bookmarkStart w:id="1568" w:name="_Toc497214109"/>
      <w:bookmarkStart w:id="1569" w:name="_Toc21987"/>
      <w:bookmarkStart w:id="1570" w:name="_Toc26674"/>
      <w:bookmarkStart w:id="1571" w:name="_Toc490331731"/>
      <w:bookmarkStart w:id="1572" w:name="_Toc23281"/>
      <w:bookmarkStart w:id="1573" w:name="_Toc486580440"/>
      <w:bookmarkStart w:id="1574" w:name="_Toc16264640"/>
      <w:r>
        <w:rPr>
          <w:rFonts w:hint="eastAsia" w:ascii="宋体" w:hAnsi="宋体" w:eastAsia="宋体" w:cs="宋体"/>
          <w:kern w:val="2"/>
          <w:sz w:val="28"/>
          <w:szCs w:val="20"/>
          <w:lang w:eastAsia="zh-CN"/>
        </w:rPr>
        <w:t>19.缺陷责任与保修责任</w:t>
      </w:r>
      <w:bookmarkEnd w:id="1564"/>
      <w:bookmarkEnd w:id="1565"/>
      <w:bookmarkEnd w:id="1566"/>
      <w:bookmarkEnd w:id="1567"/>
      <w:bookmarkEnd w:id="1568"/>
      <w:bookmarkEnd w:id="1569"/>
      <w:bookmarkEnd w:id="1570"/>
      <w:bookmarkEnd w:id="1571"/>
      <w:bookmarkEnd w:id="1572"/>
      <w:bookmarkEnd w:id="1573"/>
      <w:bookmarkEnd w:id="1574"/>
    </w:p>
    <w:p w14:paraId="70758F15">
      <w:pPr>
        <w:keepNext/>
        <w:keepLines/>
        <w:spacing w:before="120" w:beforeLines="50" w:after="120" w:afterLines="50" w:line="360" w:lineRule="auto"/>
        <w:jc w:val="both"/>
        <w:outlineLvl w:val="2"/>
        <w:rPr>
          <w:rFonts w:ascii="宋体" w:hAnsi="宋体" w:eastAsia="宋体" w:cs="宋体"/>
          <w:sz w:val="24"/>
          <w:szCs w:val="20"/>
          <w:lang w:eastAsia="zh-CN"/>
        </w:rPr>
      </w:pPr>
      <w:bookmarkStart w:id="1575" w:name="_Toc485323215"/>
      <w:bookmarkStart w:id="1576" w:name="_Toc489280247"/>
      <w:bookmarkStart w:id="1577" w:name="_Toc497584101"/>
      <w:bookmarkStart w:id="1578" w:name="_Toc497214110"/>
      <w:bookmarkStart w:id="1579" w:name="_Toc490331732"/>
      <w:bookmarkStart w:id="1580" w:name="_Toc47947554"/>
      <w:bookmarkStart w:id="1581" w:name="_Toc486580441"/>
      <w:bookmarkStart w:id="1582" w:name="_Toc16264641"/>
      <w:r>
        <w:rPr>
          <w:rFonts w:hint="eastAsia" w:ascii="宋体" w:hAnsi="宋体" w:eastAsia="宋体" w:cs="宋体"/>
          <w:sz w:val="24"/>
          <w:szCs w:val="20"/>
          <w:lang w:eastAsia="zh-CN"/>
        </w:rPr>
        <w:t>19.7  保修责任</w:t>
      </w:r>
      <w:bookmarkEnd w:id="1575"/>
      <w:bookmarkEnd w:id="1576"/>
      <w:bookmarkEnd w:id="1577"/>
      <w:bookmarkEnd w:id="1578"/>
      <w:bookmarkEnd w:id="1579"/>
      <w:bookmarkEnd w:id="1580"/>
      <w:bookmarkEnd w:id="1581"/>
      <w:bookmarkEnd w:id="1582"/>
    </w:p>
    <w:p w14:paraId="68FF19E1">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19.7.1  工程质量保修范围：</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承包人承包范围内的全部工程         </w:t>
      </w:r>
      <w:r>
        <w:rPr>
          <w:rFonts w:hint="eastAsia" w:ascii="宋体" w:hAnsi="宋体" w:eastAsia="宋体" w:cs="宋体"/>
          <w:kern w:val="2"/>
          <w:sz w:val="21"/>
          <w:szCs w:val="21"/>
          <w:u w:val="single"/>
          <w:lang w:eastAsia="zh-CN"/>
        </w:rPr>
        <w:t xml:space="preserve">                     </w:t>
      </w:r>
    </w:p>
    <w:p w14:paraId="1D90B351">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工程质量保修期限：</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执行《建设工程质量管理条例》 及相关法律法规的规定    </w:t>
      </w:r>
      <w:r>
        <w:rPr>
          <w:rFonts w:hint="eastAsia" w:ascii="宋体" w:hAnsi="宋体" w:eastAsia="宋体" w:cs="宋体"/>
          <w:kern w:val="2"/>
          <w:sz w:val="21"/>
          <w:szCs w:val="21"/>
          <w:u w:val="single"/>
          <w:lang w:eastAsia="zh-CN"/>
        </w:rPr>
        <w:t xml:space="preserve">                    </w:t>
      </w:r>
    </w:p>
    <w:p w14:paraId="533BF774">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工程质量保修责任：</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执行《建设工程质量管理条例》 及相关法律法规的规定    </w:t>
      </w:r>
      <w:r>
        <w:rPr>
          <w:rFonts w:hint="eastAsia" w:ascii="宋体" w:hAnsi="宋体" w:eastAsia="宋体" w:cs="宋体"/>
          <w:kern w:val="2"/>
          <w:sz w:val="21"/>
          <w:szCs w:val="21"/>
          <w:u w:val="single"/>
          <w:lang w:eastAsia="zh-CN"/>
        </w:rPr>
        <w:t xml:space="preserve">    </w:t>
      </w:r>
    </w:p>
    <w:p w14:paraId="3E90EC7D">
      <w:pPr>
        <w:keepNext/>
        <w:keepLines/>
        <w:spacing w:before="120" w:beforeLines="50" w:after="120" w:afterLines="50" w:line="360" w:lineRule="auto"/>
        <w:jc w:val="both"/>
        <w:outlineLvl w:val="1"/>
        <w:rPr>
          <w:rFonts w:ascii="宋体" w:hAnsi="宋体" w:eastAsia="宋体" w:cs="宋体"/>
          <w:kern w:val="2"/>
          <w:sz w:val="28"/>
          <w:szCs w:val="20"/>
          <w:lang w:eastAsia="zh-CN"/>
        </w:rPr>
      </w:pPr>
      <w:bookmarkStart w:id="1583" w:name="_Toc490331733"/>
      <w:bookmarkStart w:id="1584" w:name="_Toc489280248"/>
      <w:bookmarkStart w:id="1585" w:name="_Toc16264642"/>
      <w:bookmarkStart w:id="1586" w:name="_Toc22952"/>
      <w:bookmarkStart w:id="1587" w:name="_Toc22422"/>
      <w:bookmarkStart w:id="1588" w:name="_Toc497584102"/>
      <w:bookmarkStart w:id="1589" w:name="_Toc47947555"/>
      <w:bookmarkStart w:id="1590" w:name="_Toc497214111"/>
      <w:bookmarkStart w:id="1591" w:name="_Toc486580442"/>
      <w:bookmarkStart w:id="1592" w:name="_Toc30924"/>
      <w:bookmarkStart w:id="1593" w:name="_Toc485323216"/>
      <w:r>
        <w:rPr>
          <w:rFonts w:hint="eastAsia" w:ascii="宋体" w:hAnsi="宋体" w:eastAsia="宋体" w:cs="宋体"/>
          <w:kern w:val="2"/>
          <w:sz w:val="28"/>
          <w:szCs w:val="20"/>
          <w:lang w:eastAsia="zh-CN"/>
        </w:rPr>
        <w:t>20.保险</w:t>
      </w:r>
      <w:bookmarkEnd w:id="1583"/>
      <w:bookmarkEnd w:id="1584"/>
      <w:bookmarkEnd w:id="1585"/>
      <w:bookmarkEnd w:id="1586"/>
      <w:bookmarkEnd w:id="1587"/>
      <w:bookmarkEnd w:id="1588"/>
      <w:bookmarkEnd w:id="1589"/>
      <w:bookmarkEnd w:id="1590"/>
      <w:bookmarkEnd w:id="1591"/>
      <w:bookmarkEnd w:id="1592"/>
      <w:bookmarkEnd w:id="1593"/>
    </w:p>
    <w:p w14:paraId="58CD5EF6">
      <w:pPr>
        <w:keepNext/>
        <w:keepLines/>
        <w:spacing w:before="120" w:beforeLines="50" w:after="120" w:afterLines="50" w:line="360" w:lineRule="auto"/>
        <w:jc w:val="both"/>
        <w:outlineLvl w:val="2"/>
        <w:rPr>
          <w:rFonts w:ascii="宋体" w:hAnsi="宋体" w:eastAsia="宋体" w:cs="宋体"/>
          <w:sz w:val="24"/>
          <w:szCs w:val="20"/>
          <w:lang w:eastAsia="zh-CN"/>
        </w:rPr>
      </w:pPr>
      <w:bookmarkStart w:id="1594" w:name="_Toc16264643"/>
      <w:bookmarkStart w:id="1595" w:name="_Toc47947556"/>
      <w:bookmarkStart w:id="1596" w:name="_Toc497584103"/>
      <w:bookmarkStart w:id="1597" w:name="_Toc485323217"/>
      <w:bookmarkStart w:id="1598" w:name="_Toc486580443"/>
      <w:bookmarkStart w:id="1599" w:name="_Toc490331734"/>
      <w:bookmarkStart w:id="1600" w:name="_Toc489280249"/>
      <w:bookmarkStart w:id="1601" w:name="_Toc497214112"/>
      <w:r>
        <w:rPr>
          <w:rFonts w:hint="eastAsia" w:ascii="宋体" w:hAnsi="宋体" w:eastAsia="宋体" w:cs="宋体"/>
          <w:sz w:val="24"/>
          <w:szCs w:val="20"/>
          <w:lang w:eastAsia="zh-CN"/>
        </w:rPr>
        <w:t>20.1  工程保险</w:t>
      </w:r>
      <w:bookmarkEnd w:id="1594"/>
      <w:bookmarkEnd w:id="1595"/>
      <w:bookmarkEnd w:id="1596"/>
      <w:bookmarkEnd w:id="1597"/>
      <w:bookmarkEnd w:id="1598"/>
      <w:bookmarkEnd w:id="1599"/>
      <w:bookmarkEnd w:id="1600"/>
      <w:bookmarkEnd w:id="1601"/>
    </w:p>
    <w:p w14:paraId="59C0DE41">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本工程</w:t>
      </w:r>
      <w:r>
        <w:rPr>
          <w:rFonts w:hint="eastAsia" w:ascii="宋体" w:hAnsi="宋体" w:eastAsia="宋体" w:cs="宋体"/>
          <w:color w:val="000000"/>
          <w:kern w:val="2"/>
          <w:sz w:val="21"/>
          <w:szCs w:val="21"/>
          <w:u w:val="single"/>
          <w:lang w:eastAsia="zh-CN"/>
        </w:rPr>
        <w:t>不投保</w:t>
      </w:r>
      <w:r>
        <w:rPr>
          <w:rFonts w:hint="eastAsia" w:ascii="宋体" w:hAnsi="宋体" w:eastAsia="宋体" w:cs="宋体"/>
          <w:kern w:val="2"/>
          <w:sz w:val="21"/>
          <w:szCs w:val="21"/>
          <w:lang w:eastAsia="zh-CN"/>
        </w:rPr>
        <w:t>(投保/不投保)工程保险。投保工程保险时，险种为：</w:t>
      </w:r>
      <w:r>
        <w:rPr>
          <w:rFonts w:hint="eastAsia" w:ascii="宋体" w:hAnsi="宋体" w:eastAsia="宋体" w:cs="宋体"/>
          <w:kern w:val="2"/>
          <w:sz w:val="21"/>
          <w:szCs w:val="21"/>
          <w:u w:val="single"/>
          <w:lang w:eastAsia="zh-CN"/>
        </w:rPr>
        <w:t xml:space="preserve">    /  </w:t>
      </w:r>
      <w:r>
        <w:rPr>
          <w:rFonts w:hint="eastAsia" w:ascii="宋体" w:hAnsi="宋体" w:eastAsia="宋体" w:cs="宋体"/>
          <w:kern w:val="2"/>
          <w:sz w:val="21"/>
          <w:szCs w:val="21"/>
          <w:lang w:eastAsia="zh-CN"/>
        </w:rPr>
        <w:t>，并符合以下约定：</w:t>
      </w:r>
    </w:p>
    <w:p w14:paraId="571B4A1D">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（1）投保人：</w:t>
      </w:r>
      <w:r>
        <w:rPr>
          <w:rFonts w:hint="eastAsia" w:ascii="宋体" w:hAnsi="宋体" w:eastAsia="宋体" w:cs="宋体"/>
          <w:kern w:val="2"/>
          <w:sz w:val="21"/>
          <w:szCs w:val="21"/>
          <w:u w:val="single"/>
          <w:lang w:eastAsia="zh-CN"/>
        </w:rPr>
        <w:t xml:space="preserve">                   /                           </w:t>
      </w:r>
    </w:p>
    <w:p w14:paraId="4CF726F5">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（2）投保内容：</w:t>
      </w:r>
      <w:r>
        <w:rPr>
          <w:rFonts w:hint="eastAsia" w:ascii="宋体" w:hAnsi="宋体" w:eastAsia="宋体" w:cs="宋体"/>
          <w:kern w:val="2"/>
          <w:sz w:val="21"/>
          <w:szCs w:val="21"/>
          <w:u w:val="single"/>
          <w:lang w:eastAsia="zh-CN"/>
        </w:rPr>
        <w:t xml:space="preserve">                  /                         </w:t>
      </w:r>
    </w:p>
    <w:p w14:paraId="409E5879">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1"/>
          <w:lang w:eastAsia="zh-CN"/>
        </w:rPr>
        <w:t>（3）保险费率：由投保人与合同双方同意的保险人商定</w:t>
      </w:r>
      <w:r>
        <w:rPr>
          <w:rFonts w:hint="eastAsia" w:ascii="宋体" w:hAnsi="宋体" w:eastAsia="宋体" w:cs="宋体"/>
          <w:kern w:val="2"/>
          <w:sz w:val="21"/>
          <w:szCs w:val="24"/>
          <w:lang w:eastAsia="zh-CN"/>
        </w:rPr>
        <w:t>。</w:t>
      </w:r>
    </w:p>
    <w:p w14:paraId="15B50123">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（4）保险金额：</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4"/>
          <w:u w:val="single"/>
          <w:lang w:eastAsia="zh-CN"/>
        </w:rPr>
        <w:t xml:space="preserve">           /                             </w:t>
      </w:r>
    </w:p>
    <w:p w14:paraId="5BF953C3">
      <w:pPr>
        <w:spacing w:after="0" w:line="360" w:lineRule="auto"/>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（5）保险期限：</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4"/>
          <w:u w:val="single"/>
          <w:lang w:eastAsia="zh-CN"/>
        </w:rPr>
        <w:t xml:space="preserve">             /                           </w:t>
      </w:r>
    </w:p>
    <w:p w14:paraId="070F3496">
      <w:pPr>
        <w:keepNext/>
        <w:keepLines/>
        <w:spacing w:before="120" w:beforeLines="50" w:after="120" w:afterLines="50" w:line="360" w:lineRule="auto"/>
        <w:jc w:val="both"/>
        <w:outlineLvl w:val="2"/>
        <w:rPr>
          <w:rFonts w:ascii="宋体" w:hAnsi="宋体" w:eastAsia="宋体" w:cs="宋体"/>
          <w:sz w:val="24"/>
          <w:szCs w:val="20"/>
          <w:lang w:eastAsia="zh-CN"/>
        </w:rPr>
      </w:pPr>
      <w:bookmarkStart w:id="1602" w:name="_Toc490331735"/>
      <w:bookmarkStart w:id="1603" w:name="_Toc47947557"/>
      <w:bookmarkStart w:id="1604" w:name="_Toc485323218"/>
      <w:bookmarkStart w:id="1605" w:name="_Toc489280250"/>
      <w:bookmarkStart w:id="1606" w:name="_Toc497214113"/>
      <w:bookmarkStart w:id="1607" w:name="_Toc16264644"/>
      <w:bookmarkStart w:id="1608" w:name="_Toc486580444"/>
      <w:bookmarkStart w:id="1609" w:name="_Toc497584104"/>
      <w:r>
        <w:rPr>
          <w:rFonts w:hint="eastAsia" w:ascii="宋体" w:hAnsi="宋体" w:eastAsia="宋体" w:cs="宋体"/>
          <w:sz w:val="24"/>
          <w:szCs w:val="20"/>
          <w:lang w:eastAsia="zh-CN"/>
        </w:rPr>
        <w:t>20.4  第三者责任险</w:t>
      </w:r>
      <w:bookmarkEnd w:id="1602"/>
      <w:bookmarkEnd w:id="1603"/>
      <w:bookmarkEnd w:id="1604"/>
      <w:bookmarkEnd w:id="1605"/>
      <w:bookmarkEnd w:id="1606"/>
      <w:bookmarkEnd w:id="1607"/>
      <w:bookmarkEnd w:id="1608"/>
      <w:bookmarkEnd w:id="1609"/>
    </w:p>
    <w:p w14:paraId="6D6122AD">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1"/>
          <w:lang w:eastAsia="zh-CN"/>
        </w:rPr>
        <w:t>20.4.2  保险金额：</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4"/>
          <w:u w:val="single"/>
          <w:lang w:eastAsia="zh-CN"/>
        </w:rPr>
        <w:t xml:space="preserve">  /        </w:t>
      </w:r>
      <w:r>
        <w:rPr>
          <w:rFonts w:hint="eastAsia" w:ascii="宋体" w:hAnsi="宋体" w:eastAsia="宋体" w:cs="宋体"/>
          <w:kern w:val="2"/>
          <w:sz w:val="21"/>
          <w:szCs w:val="24"/>
          <w:lang w:eastAsia="zh-CN"/>
        </w:rPr>
        <w:t>，</w:t>
      </w:r>
      <w:r>
        <w:rPr>
          <w:rFonts w:hint="eastAsia" w:ascii="宋体" w:hAnsi="宋体" w:eastAsia="宋体" w:cs="宋体"/>
          <w:kern w:val="2"/>
          <w:sz w:val="21"/>
          <w:szCs w:val="21"/>
          <w:lang w:eastAsia="zh-CN"/>
        </w:rPr>
        <w:t>保险费率由承包人与发包人同意的保险人商定，相关保险费由</w:t>
      </w:r>
      <w:r>
        <w:rPr>
          <w:rFonts w:hint="eastAsia" w:ascii="宋体" w:hAnsi="宋体" w:eastAsia="宋体" w:cs="宋体"/>
          <w:kern w:val="2"/>
          <w:sz w:val="21"/>
          <w:szCs w:val="21"/>
          <w:u w:val="single"/>
          <w:lang w:eastAsia="zh-CN"/>
        </w:rPr>
        <w:t xml:space="preserve">   /      </w:t>
      </w:r>
      <w:r>
        <w:rPr>
          <w:rFonts w:hint="eastAsia" w:ascii="宋体" w:hAnsi="宋体" w:eastAsia="宋体" w:cs="宋体"/>
          <w:kern w:val="2"/>
          <w:sz w:val="21"/>
          <w:szCs w:val="21"/>
          <w:lang w:eastAsia="zh-CN"/>
        </w:rPr>
        <w:t>承担</w:t>
      </w:r>
      <w:r>
        <w:rPr>
          <w:rFonts w:hint="eastAsia" w:ascii="宋体" w:hAnsi="宋体" w:eastAsia="宋体" w:cs="宋体"/>
          <w:kern w:val="2"/>
          <w:sz w:val="21"/>
          <w:szCs w:val="24"/>
          <w:lang w:eastAsia="zh-CN"/>
        </w:rPr>
        <w:t xml:space="preserve">。                               </w:t>
      </w:r>
    </w:p>
    <w:p w14:paraId="427C2BED">
      <w:pPr>
        <w:keepNext/>
        <w:keepLines/>
        <w:spacing w:before="120" w:beforeLines="50" w:after="120" w:afterLines="50" w:line="360" w:lineRule="auto"/>
        <w:jc w:val="both"/>
        <w:outlineLvl w:val="2"/>
        <w:rPr>
          <w:rFonts w:ascii="宋体" w:hAnsi="宋体" w:eastAsia="宋体" w:cs="宋体"/>
          <w:sz w:val="24"/>
          <w:szCs w:val="20"/>
          <w:lang w:eastAsia="zh-CN"/>
        </w:rPr>
      </w:pPr>
      <w:bookmarkStart w:id="1610" w:name="_Toc16264645"/>
      <w:bookmarkStart w:id="1611" w:name="_Toc489280251"/>
      <w:bookmarkStart w:id="1612" w:name="_Toc497584105"/>
      <w:bookmarkStart w:id="1613" w:name="_Toc485323219"/>
      <w:bookmarkStart w:id="1614" w:name="_Toc490331736"/>
      <w:bookmarkStart w:id="1615" w:name="_Toc47947558"/>
      <w:bookmarkStart w:id="1616" w:name="_Toc497214114"/>
      <w:bookmarkStart w:id="1617" w:name="_Toc486580445"/>
      <w:r>
        <w:rPr>
          <w:rFonts w:hint="eastAsia" w:ascii="宋体" w:hAnsi="宋体" w:eastAsia="宋体" w:cs="宋体"/>
          <w:sz w:val="24"/>
          <w:szCs w:val="20"/>
          <w:lang w:eastAsia="zh-CN"/>
        </w:rPr>
        <w:t>20.5  其他保险</w:t>
      </w:r>
      <w:bookmarkEnd w:id="1610"/>
      <w:bookmarkEnd w:id="1611"/>
      <w:bookmarkEnd w:id="1612"/>
      <w:bookmarkEnd w:id="1613"/>
      <w:bookmarkEnd w:id="1614"/>
      <w:bookmarkEnd w:id="1615"/>
      <w:bookmarkEnd w:id="1616"/>
      <w:bookmarkEnd w:id="1617"/>
    </w:p>
    <w:p w14:paraId="30ADFE49">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1"/>
          <w:lang w:eastAsia="zh-CN"/>
        </w:rPr>
        <w:t>承包人应为其施工设备、进场材料和工程设备等办理的保险：</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4"/>
          <w:u w:val="single"/>
          <w:lang w:eastAsia="zh-CN"/>
        </w:rPr>
        <w:t xml:space="preserve">            </w:t>
      </w:r>
    </w:p>
    <w:p w14:paraId="1E011289">
      <w:pPr>
        <w:keepNext/>
        <w:keepLines/>
        <w:spacing w:before="120" w:beforeLines="50" w:after="120" w:afterLines="50" w:line="360" w:lineRule="auto"/>
        <w:jc w:val="both"/>
        <w:outlineLvl w:val="2"/>
        <w:rPr>
          <w:rFonts w:ascii="宋体" w:hAnsi="宋体" w:eastAsia="宋体" w:cs="宋体"/>
          <w:sz w:val="24"/>
          <w:szCs w:val="20"/>
          <w:lang w:eastAsia="zh-CN"/>
        </w:rPr>
      </w:pPr>
      <w:bookmarkStart w:id="1618" w:name="_Toc490331737"/>
      <w:bookmarkStart w:id="1619" w:name="_Toc16264646"/>
      <w:bookmarkStart w:id="1620" w:name="_Toc497214115"/>
      <w:bookmarkStart w:id="1621" w:name="_Toc489280252"/>
      <w:bookmarkStart w:id="1622" w:name="_Toc485323220"/>
      <w:bookmarkStart w:id="1623" w:name="_Toc486580446"/>
      <w:bookmarkStart w:id="1624" w:name="_Toc497584106"/>
      <w:bookmarkStart w:id="1625" w:name="_Toc47947559"/>
      <w:r>
        <w:rPr>
          <w:rFonts w:hint="eastAsia" w:ascii="宋体" w:hAnsi="宋体" w:eastAsia="宋体" w:cs="宋体"/>
          <w:sz w:val="24"/>
          <w:szCs w:val="20"/>
          <w:lang w:eastAsia="zh-CN"/>
        </w:rPr>
        <w:t>20.6  对各项保险的一般要求</w:t>
      </w:r>
      <w:bookmarkEnd w:id="1618"/>
      <w:bookmarkEnd w:id="1619"/>
      <w:bookmarkEnd w:id="1620"/>
      <w:bookmarkEnd w:id="1621"/>
      <w:bookmarkEnd w:id="1622"/>
      <w:bookmarkEnd w:id="1623"/>
      <w:bookmarkEnd w:id="1624"/>
      <w:bookmarkEnd w:id="1625"/>
    </w:p>
    <w:p w14:paraId="2A30C758">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20.6.1  保险凭证</w:t>
      </w:r>
    </w:p>
    <w:p w14:paraId="2C5C4FF0">
      <w:pPr>
        <w:spacing w:after="0" w:line="360" w:lineRule="auto"/>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承包人向发包人提交各项保险生效的证据和保险单副本的期限：</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4"/>
          <w:u w:val="single"/>
          <w:lang w:eastAsia="zh-CN"/>
        </w:rPr>
        <w:t xml:space="preserve">          </w:t>
      </w:r>
    </w:p>
    <w:p w14:paraId="6C738346">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20.6.4  保险金不足的补偿</w:t>
      </w:r>
    </w:p>
    <w:p w14:paraId="26801383">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1"/>
          <w:lang w:eastAsia="zh-CN"/>
        </w:rPr>
        <w:t>保险金不足以补偿损失时，承包人和发包人负责补偿的责任分摊：</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4"/>
          <w:u w:val="single"/>
          <w:lang w:eastAsia="zh-CN"/>
        </w:rPr>
        <w:t xml:space="preserve">          </w:t>
      </w:r>
    </w:p>
    <w:p w14:paraId="1A793E77">
      <w:pPr>
        <w:keepNext/>
        <w:keepLines/>
        <w:spacing w:before="120" w:beforeLines="50" w:after="120" w:afterLines="50" w:line="360" w:lineRule="auto"/>
        <w:jc w:val="both"/>
        <w:outlineLvl w:val="1"/>
        <w:rPr>
          <w:rFonts w:ascii="宋体" w:hAnsi="宋体" w:eastAsia="宋体" w:cs="宋体"/>
          <w:kern w:val="2"/>
          <w:sz w:val="28"/>
          <w:szCs w:val="20"/>
          <w:lang w:eastAsia="zh-CN"/>
        </w:rPr>
      </w:pPr>
      <w:bookmarkStart w:id="1626" w:name="_Toc16264647"/>
      <w:bookmarkStart w:id="1627" w:name="_Toc486580447"/>
      <w:bookmarkStart w:id="1628" w:name="_Toc497214116"/>
      <w:bookmarkStart w:id="1629" w:name="_Toc489280253"/>
      <w:bookmarkStart w:id="1630" w:name="_Toc47947560"/>
      <w:bookmarkStart w:id="1631" w:name="_Toc5288"/>
      <w:bookmarkStart w:id="1632" w:name="_Toc490331738"/>
      <w:bookmarkStart w:id="1633" w:name="_Toc497584107"/>
      <w:bookmarkStart w:id="1634" w:name="_Toc19427"/>
      <w:bookmarkStart w:id="1635" w:name="_Toc485323221"/>
      <w:bookmarkStart w:id="1636" w:name="_Toc31673"/>
      <w:r>
        <w:rPr>
          <w:rFonts w:hint="eastAsia" w:ascii="宋体" w:hAnsi="宋体" w:eastAsia="宋体" w:cs="宋体"/>
          <w:kern w:val="2"/>
          <w:sz w:val="28"/>
          <w:szCs w:val="20"/>
          <w:lang w:eastAsia="zh-CN"/>
        </w:rPr>
        <w:t>21.不可抗力</w:t>
      </w:r>
      <w:bookmarkEnd w:id="1626"/>
      <w:bookmarkEnd w:id="1627"/>
      <w:bookmarkEnd w:id="1628"/>
      <w:bookmarkEnd w:id="1629"/>
      <w:bookmarkEnd w:id="1630"/>
      <w:bookmarkEnd w:id="1631"/>
      <w:bookmarkEnd w:id="1632"/>
      <w:bookmarkEnd w:id="1633"/>
      <w:bookmarkEnd w:id="1634"/>
      <w:bookmarkEnd w:id="1635"/>
      <w:bookmarkEnd w:id="1636"/>
    </w:p>
    <w:p w14:paraId="385E25B6">
      <w:pPr>
        <w:keepNext/>
        <w:keepLines/>
        <w:spacing w:before="120" w:beforeLines="50" w:after="120" w:afterLines="50" w:line="360" w:lineRule="auto"/>
        <w:jc w:val="both"/>
        <w:outlineLvl w:val="2"/>
        <w:rPr>
          <w:rFonts w:ascii="宋体" w:hAnsi="宋体" w:eastAsia="宋体" w:cs="宋体"/>
          <w:sz w:val="24"/>
          <w:szCs w:val="20"/>
          <w:lang w:eastAsia="zh-CN"/>
        </w:rPr>
      </w:pPr>
      <w:bookmarkStart w:id="1637" w:name="_Toc47947561"/>
      <w:bookmarkStart w:id="1638" w:name="_Toc16264648"/>
      <w:bookmarkStart w:id="1639" w:name="_Toc489280254"/>
      <w:bookmarkStart w:id="1640" w:name="_Toc485323222"/>
      <w:bookmarkStart w:id="1641" w:name="_Toc486580448"/>
      <w:bookmarkStart w:id="1642" w:name="_Toc490331739"/>
      <w:bookmarkStart w:id="1643" w:name="_Toc497584108"/>
      <w:bookmarkStart w:id="1644" w:name="_Toc497214117"/>
      <w:r>
        <w:rPr>
          <w:rFonts w:hint="eastAsia" w:ascii="宋体" w:hAnsi="宋体" w:eastAsia="宋体" w:cs="宋体"/>
          <w:sz w:val="24"/>
          <w:szCs w:val="20"/>
          <w:lang w:eastAsia="zh-CN"/>
        </w:rPr>
        <w:t>21.1  不可抗力的确认</w:t>
      </w:r>
      <w:bookmarkEnd w:id="1637"/>
      <w:bookmarkEnd w:id="1638"/>
      <w:bookmarkEnd w:id="1639"/>
      <w:bookmarkEnd w:id="1640"/>
      <w:bookmarkEnd w:id="1641"/>
      <w:bookmarkEnd w:id="1642"/>
      <w:bookmarkEnd w:id="1643"/>
      <w:bookmarkEnd w:id="1644"/>
    </w:p>
    <w:p w14:paraId="0ED97FBA">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21.1.1  合同条款通用部分第21.1.1项约定的不可抗力以外的其他情形：</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4"/>
          <w:u w:val="single"/>
          <w:lang w:eastAsia="zh-CN"/>
        </w:rPr>
        <w:t xml:space="preserve">     </w:t>
      </w:r>
    </w:p>
    <w:p w14:paraId="4905B66C">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1"/>
          <w:lang w:eastAsia="zh-CN"/>
        </w:rPr>
        <w:t>不可抗力的等级范围约定：</w:t>
      </w:r>
      <w:r>
        <w:rPr>
          <w:rFonts w:hint="eastAsia" w:ascii="宋体" w:hAnsi="宋体" w:eastAsia="宋体" w:cs="宋体"/>
          <w:kern w:val="2"/>
          <w:sz w:val="21"/>
          <w:szCs w:val="21"/>
          <w:u w:val="single"/>
          <w:lang w:eastAsia="zh-CN"/>
        </w:rPr>
        <w:t xml:space="preserve">  烈度7度（不含7度）以上地震，10级以上（不含10级）台风，日雨量60mm以上暴雨（以国家区、县（市）级以上气象局（台）、地震局（台）等专门机构公布为准，以及县市级以上政府公告不允许在本场地施工的时段。</w:t>
      </w:r>
      <w:r>
        <w:rPr>
          <w:rFonts w:hint="eastAsia" w:ascii="宋体" w:hAnsi="宋体" w:eastAsia="宋体" w:cs="宋体"/>
          <w:kern w:val="2"/>
          <w:sz w:val="21"/>
          <w:szCs w:val="24"/>
          <w:u w:val="single"/>
          <w:lang w:eastAsia="zh-CN"/>
        </w:rPr>
        <w:t xml:space="preserve">       </w:t>
      </w:r>
    </w:p>
    <w:p w14:paraId="7B341B62">
      <w:pPr>
        <w:keepNext/>
        <w:keepLines/>
        <w:spacing w:before="120" w:beforeLines="50" w:after="120" w:afterLines="50" w:line="360" w:lineRule="auto"/>
        <w:jc w:val="both"/>
        <w:outlineLvl w:val="1"/>
        <w:rPr>
          <w:rFonts w:ascii="宋体" w:hAnsi="宋体" w:eastAsia="宋体" w:cs="宋体"/>
          <w:kern w:val="2"/>
          <w:sz w:val="28"/>
          <w:szCs w:val="20"/>
          <w:lang w:eastAsia="zh-CN"/>
        </w:rPr>
      </w:pPr>
      <w:bookmarkStart w:id="1645" w:name="_Toc486580450"/>
      <w:bookmarkStart w:id="1646" w:name="_Toc485323224"/>
      <w:bookmarkStart w:id="1647" w:name="_Toc29288"/>
      <w:bookmarkStart w:id="1648" w:name="_Toc497584109"/>
      <w:bookmarkStart w:id="1649" w:name="_Toc489280256"/>
      <w:bookmarkStart w:id="1650" w:name="_Toc16264649"/>
      <w:bookmarkStart w:id="1651" w:name="_Toc490331741"/>
      <w:bookmarkStart w:id="1652" w:name="_Toc149"/>
      <w:bookmarkStart w:id="1653" w:name="_Toc28382"/>
      <w:bookmarkStart w:id="1654" w:name="_Toc47947562"/>
      <w:bookmarkStart w:id="1655" w:name="_Toc497214118"/>
      <w:r>
        <w:rPr>
          <w:rFonts w:hint="eastAsia" w:ascii="宋体" w:hAnsi="宋体" w:eastAsia="宋体" w:cs="宋体"/>
          <w:kern w:val="2"/>
          <w:sz w:val="28"/>
          <w:szCs w:val="20"/>
          <w:lang w:eastAsia="zh-CN"/>
        </w:rPr>
        <w:t>24.争议的解决</w:t>
      </w:r>
      <w:bookmarkEnd w:id="1645"/>
      <w:bookmarkEnd w:id="1646"/>
      <w:bookmarkEnd w:id="1647"/>
      <w:bookmarkEnd w:id="1648"/>
      <w:bookmarkEnd w:id="1649"/>
      <w:bookmarkEnd w:id="1650"/>
      <w:bookmarkEnd w:id="1651"/>
      <w:bookmarkEnd w:id="1652"/>
      <w:bookmarkEnd w:id="1653"/>
      <w:bookmarkEnd w:id="1654"/>
      <w:bookmarkEnd w:id="1655"/>
    </w:p>
    <w:p w14:paraId="190B69C0">
      <w:pPr>
        <w:keepNext/>
        <w:keepLines/>
        <w:spacing w:before="120" w:beforeLines="50" w:after="120" w:afterLines="50" w:line="360" w:lineRule="auto"/>
        <w:jc w:val="both"/>
        <w:outlineLvl w:val="2"/>
        <w:rPr>
          <w:rFonts w:ascii="宋体" w:hAnsi="宋体" w:eastAsia="宋体" w:cs="宋体"/>
          <w:sz w:val="24"/>
          <w:szCs w:val="20"/>
          <w:lang w:eastAsia="zh-CN"/>
        </w:rPr>
      </w:pPr>
      <w:bookmarkStart w:id="1656" w:name="_Toc497584110"/>
      <w:bookmarkStart w:id="1657" w:name="_Toc47947563"/>
      <w:bookmarkStart w:id="1658" w:name="_Toc490331742"/>
      <w:bookmarkStart w:id="1659" w:name="_Toc497214119"/>
      <w:bookmarkStart w:id="1660" w:name="_Toc489280257"/>
      <w:bookmarkStart w:id="1661" w:name="_Toc486580451"/>
      <w:bookmarkStart w:id="1662" w:name="_Toc485323225"/>
      <w:bookmarkStart w:id="1663" w:name="_Toc16264650"/>
      <w:r>
        <w:rPr>
          <w:rFonts w:hint="eastAsia" w:ascii="宋体" w:hAnsi="宋体" w:eastAsia="宋体" w:cs="宋体"/>
          <w:sz w:val="24"/>
          <w:szCs w:val="20"/>
          <w:lang w:eastAsia="zh-CN"/>
        </w:rPr>
        <w:t>24.1  争议的解决方式</w:t>
      </w:r>
      <w:bookmarkEnd w:id="1656"/>
      <w:bookmarkEnd w:id="1657"/>
      <w:bookmarkEnd w:id="1658"/>
      <w:bookmarkEnd w:id="1659"/>
      <w:bookmarkEnd w:id="1660"/>
      <w:bookmarkEnd w:id="1661"/>
      <w:bookmarkEnd w:id="1662"/>
      <w:bookmarkEnd w:id="1663"/>
    </w:p>
    <w:p w14:paraId="65E4BAFF">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因本合同引起的或与本合同有关的任何争议，合同双方友好协商不成、不愿提请争议组评审或者不愿接受争议评审组意见的，选择下列第</w:t>
      </w:r>
      <w:r>
        <w:rPr>
          <w:rFonts w:hint="eastAsia" w:ascii="宋体" w:hAnsi="宋体" w:eastAsia="宋体" w:cs="宋体"/>
          <w:kern w:val="2"/>
          <w:sz w:val="21"/>
          <w:szCs w:val="21"/>
          <w:u w:val="single"/>
          <w:lang w:eastAsia="zh-CN"/>
        </w:rPr>
        <w:t xml:space="preserve">  贰  </w:t>
      </w:r>
      <w:r>
        <w:rPr>
          <w:rFonts w:hint="eastAsia" w:ascii="宋体" w:hAnsi="宋体" w:eastAsia="宋体" w:cs="宋体"/>
          <w:kern w:val="2"/>
          <w:sz w:val="21"/>
          <w:szCs w:val="21"/>
          <w:lang w:eastAsia="zh-CN"/>
        </w:rPr>
        <w:t>种方式解决：</w:t>
      </w:r>
    </w:p>
    <w:p w14:paraId="12E6B716">
      <w:pPr>
        <w:spacing w:after="0" w:line="360" w:lineRule="auto"/>
        <w:ind w:firstLine="420" w:firstLineChars="200"/>
        <w:jc w:val="both"/>
        <w:rPr>
          <w:rFonts w:ascii="宋体" w:hAnsi="宋体" w:eastAsia="宋体" w:cs="宋体"/>
          <w:kern w:val="2"/>
          <w:sz w:val="21"/>
          <w:szCs w:val="24"/>
          <w:lang w:eastAsia="zh-CN"/>
        </w:rPr>
      </w:pPr>
      <w:r>
        <w:rPr>
          <w:rFonts w:hint="eastAsia" w:ascii="宋体" w:hAnsi="宋体" w:eastAsia="宋体" w:cs="宋体"/>
          <w:kern w:val="2"/>
          <w:sz w:val="21"/>
          <w:szCs w:val="24"/>
          <w:u w:val="single"/>
          <w:lang w:eastAsia="zh-CN"/>
        </w:rPr>
        <w:t>（壹）</w:t>
      </w:r>
      <w:r>
        <w:rPr>
          <w:rFonts w:hint="eastAsia" w:ascii="宋体" w:hAnsi="宋体" w:eastAsia="宋体" w:cs="宋体"/>
          <w:kern w:val="2"/>
          <w:sz w:val="21"/>
          <w:szCs w:val="24"/>
          <w:lang w:eastAsia="zh-CN"/>
        </w:rPr>
        <w:t>提请</w:t>
      </w:r>
      <w:r>
        <w:rPr>
          <w:rFonts w:hint="eastAsia" w:ascii="宋体" w:hAnsi="宋体" w:eastAsia="宋体" w:cs="宋体"/>
          <w:kern w:val="2"/>
          <w:sz w:val="21"/>
          <w:szCs w:val="24"/>
          <w:u w:val="single"/>
          <w:lang w:eastAsia="zh-CN"/>
        </w:rPr>
        <w:t xml:space="preserve"> 北京市    </w:t>
      </w:r>
      <w:r>
        <w:rPr>
          <w:rFonts w:hint="eastAsia" w:ascii="宋体" w:hAnsi="宋体" w:eastAsia="宋体" w:cs="宋体"/>
          <w:kern w:val="2"/>
          <w:sz w:val="21"/>
          <w:szCs w:val="24"/>
          <w:lang w:eastAsia="zh-CN"/>
        </w:rPr>
        <w:t>仲裁委员会按照该会仲裁规则进行仲裁，仲裁裁决是终局的，对合同双方均有约束力。</w:t>
      </w:r>
    </w:p>
    <w:p w14:paraId="380A706E">
      <w:pPr>
        <w:spacing w:after="0" w:line="360" w:lineRule="auto"/>
        <w:ind w:firstLine="420" w:firstLineChars="200"/>
        <w:jc w:val="both"/>
        <w:rPr>
          <w:rFonts w:ascii="宋体" w:hAnsi="宋体" w:eastAsia="宋体" w:cs="宋体"/>
          <w:sz w:val="24"/>
          <w:szCs w:val="20"/>
          <w:lang w:eastAsia="zh-CN"/>
        </w:rPr>
      </w:pPr>
      <w:r>
        <w:rPr>
          <w:rFonts w:hint="eastAsia" w:ascii="宋体" w:hAnsi="宋体" w:eastAsia="宋体" w:cs="宋体"/>
          <w:kern w:val="2"/>
          <w:sz w:val="21"/>
          <w:szCs w:val="21"/>
          <w:u w:val="single"/>
          <w:lang w:eastAsia="zh-CN"/>
        </w:rPr>
        <w:t>（贰）</w:t>
      </w:r>
      <w:r>
        <w:rPr>
          <w:rFonts w:hint="eastAsia" w:ascii="宋体" w:hAnsi="宋体" w:eastAsia="宋体" w:cs="宋体"/>
          <w:kern w:val="2"/>
          <w:sz w:val="21"/>
          <w:szCs w:val="21"/>
          <w:lang w:eastAsia="zh-CN"/>
        </w:rPr>
        <w:t>向有管辖权的人民法院提起诉讼。</w:t>
      </w:r>
      <w:bookmarkStart w:id="1664" w:name="_Toc489280258"/>
      <w:bookmarkStart w:id="1665" w:name="_Toc47947564"/>
      <w:bookmarkStart w:id="1666" w:name="_Toc16264651"/>
      <w:bookmarkStart w:id="1667" w:name="_Toc485323226"/>
      <w:bookmarkStart w:id="1668" w:name="_Toc486580452"/>
      <w:bookmarkStart w:id="1669" w:name="_Toc490331743"/>
      <w:bookmarkStart w:id="1670" w:name="_Toc497214120"/>
      <w:bookmarkStart w:id="1671" w:name="_Toc497584111"/>
      <w:r>
        <w:rPr>
          <w:rFonts w:hint="eastAsia" w:ascii="宋体" w:hAnsi="宋体" w:eastAsia="宋体" w:cs="宋体"/>
          <w:sz w:val="24"/>
          <w:szCs w:val="20"/>
          <w:lang w:eastAsia="zh-CN"/>
        </w:rPr>
        <w:t>24.3  争议评审</w:t>
      </w:r>
      <w:bookmarkEnd w:id="1664"/>
      <w:bookmarkEnd w:id="1665"/>
      <w:bookmarkEnd w:id="1666"/>
      <w:bookmarkEnd w:id="1667"/>
      <w:bookmarkEnd w:id="1668"/>
      <w:bookmarkEnd w:id="1669"/>
      <w:bookmarkEnd w:id="1670"/>
      <w:bookmarkEnd w:id="1671"/>
    </w:p>
    <w:p w14:paraId="0387F099">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24.3.4  争议评审组邀请合同双方代表人和有关人员举行调查会的期限：</w:t>
      </w:r>
      <w:r>
        <w:rPr>
          <w:rFonts w:hint="eastAsia" w:ascii="宋体" w:hAnsi="宋体" w:eastAsia="宋体" w:cs="宋体"/>
          <w:kern w:val="2"/>
          <w:sz w:val="21"/>
          <w:szCs w:val="21"/>
          <w:u w:val="single"/>
          <w:lang w:eastAsia="zh-CN"/>
        </w:rPr>
        <w:t xml:space="preserve">  /    </w:t>
      </w:r>
    </w:p>
    <w:p w14:paraId="1125DFBF">
      <w:pPr>
        <w:spacing w:after="0" w:line="360" w:lineRule="auto"/>
        <w:ind w:firstLine="420" w:firstLineChars="200"/>
        <w:jc w:val="both"/>
        <w:rPr>
          <w:rFonts w:ascii="宋体" w:hAnsi="宋体" w:eastAsia="宋体" w:cs="宋体"/>
          <w:kern w:val="2"/>
          <w:sz w:val="21"/>
          <w:szCs w:val="21"/>
          <w:lang w:eastAsia="zh-CN"/>
        </w:rPr>
        <w:sectPr>
          <w:headerReference r:id="rId22" w:type="default"/>
          <w:type w:val="continuous"/>
          <w:pgSz w:w="11906" w:h="16838"/>
          <w:pgMar w:top="1440" w:right="1797" w:bottom="1440" w:left="1797" w:header="851" w:footer="992" w:gutter="0"/>
          <w:pgNumType w:fmt="decimal"/>
          <w:cols w:space="425" w:num="1"/>
          <w:docGrid w:linePitch="312" w:charSpace="0"/>
        </w:sectPr>
      </w:pPr>
      <w:r>
        <w:rPr>
          <w:rFonts w:hint="eastAsia" w:ascii="宋体" w:hAnsi="宋体" w:eastAsia="宋体" w:cs="宋体"/>
          <w:kern w:val="2"/>
          <w:sz w:val="21"/>
          <w:szCs w:val="21"/>
          <w:lang w:eastAsia="zh-CN"/>
        </w:rPr>
        <w:t>24.3.5  争议评审组在调查会后作出争议评审意见的期限：</w:t>
      </w:r>
      <w:r>
        <w:rPr>
          <w:rFonts w:hint="eastAsia" w:ascii="宋体" w:hAnsi="宋体" w:eastAsia="宋体" w:cs="宋体"/>
          <w:kern w:val="2"/>
          <w:sz w:val="21"/>
          <w:szCs w:val="21"/>
          <w:u w:val="single"/>
          <w:lang w:eastAsia="zh-CN"/>
        </w:rPr>
        <w:t xml:space="preserve">   /              </w:t>
      </w:r>
    </w:p>
    <w:p w14:paraId="750564C5">
      <w:pPr>
        <w:pStyle w:val="5"/>
        <w:spacing w:line="360" w:lineRule="auto"/>
        <w:rPr>
          <w:rFonts w:ascii="宋体" w:hAnsi="宋体" w:eastAsia="宋体" w:cs="宋体"/>
          <w:lang w:eastAsia="zh-CN"/>
        </w:rPr>
      </w:pPr>
      <w:bookmarkStart w:id="1672" w:name="_Toc47947565"/>
      <w:r>
        <w:rPr>
          <w:rFonts w:hint="eastAsia" w:ascii="宋体" w:hAnsi="宋体" w:eastAsia="宋体" w:cs="宋体"/>
          <w:lang w:eastAsia="zh-CN"/>
        </w:rPr>
        <w:t>合同附件：</w:t>
      </w:r>
      <w:bookmarkEnd w:id="1672"/>
    </w:p>
    <w:p w14:paraId="6AF7D738">
      <w:pPr>
        <w:spacing w:before="5" w:after="0" w:line="360" w:lineRule="auto"/>
        <w:rPr>
          <w:rFonts w:ascii="宋体" w:hAnsi="宋体" w:eastAsia="宋体" w:cs="宋体"/>
          <w:sz w:val="24"/>
          <w:szCs w:val="24"/>
          <w:lang w:eastAsia="zh-CN"/>
        </w:rPr>
      </w:pPr>
      <w:r>
        <w:rPr>
          <w:rFonts w:hint="eastAsia" w:ascii="宋体" w:hAnsi="宋体" w:eastAsia="宋体" w:cs="宋体"/>
          <w:sz w:val="24"/>
          <w:szCs w:val="24"/>
          <w:lang w:eastAsia="zh-CN"/>
        </w:rPr>
        <w:t>合同附件一：</w:t>
      </w:r>
    </w:p>
    <w:p w14:paraId="410870B6">
      <w:pPr>
        <w:snapToGrid w:val="0"/>
        <w:spacing w:after="0" w:line="360" w:lineRule="auto"/>
        <w:jc w:val="center"/>
        <w:rPr>
          <w:rFonts w:ascii="宋体" w:hAnsi="宋体" w:eastAsia="宋体" w:cs="宋体"/>
          <w:b/>
          <w:color w:val="000000"/>
          <w:kern w:val="2"/>
          <w:sz w:val="28"/>
          <w:szCs w:val="24"/>
          <w:lang w:eastAsia="zh-CN"/>
        </w:rPr>
      </w:pPr>
      <w:r>
        <w:rPr>
          <w:rFonts w:hint="eastAsia" w:ascii="宋体" w:hAnsi="宋体" w:eastAsia="宋体" w:cs="宋体"/>
          <w:b/>
          <w:color w:val="000000"/>
          <w:kern w:val="2"/>
          <w:sz w:val="28"/>
          <w:szCs w:val="24"/>
          <w:lang w:eastAsia="zh-CN"/>
        </w:rPr>
        <w:t>房屋建筑工程质量保修书</w:t>
      </w:r>
    </w:p>
    <w:p w14:paraId="7BD8C936">
      <w:pPr>
        <w:snapToGrid w:val="0"/>
        <w:spacing w:after="0" w:line="360" w:lineRule="auto"/>
        <w:jc w:val="both"/>
        <w:rPr>
          <w:rFonts w:ascii="宋体" w:hAnsi="宋体" w:eastAsia="宋体" w:cs="宋体"/>
          <w:color w:val="000000"/>
          <w:kern w:val="2"/>
          <w:sz w:val="21"/>
          <w:szCs w:val="24"/>
          <w:lang w:eastAsia="zh-CN"/>
        </w:rPr>
      </w:pPr>
    </w:p>
    <w:p w14:paraId="46AC0751">
      <w:pPr>
        <w:snapToGrid w:val="0"/>
        <w:spacing w:after="0" w:line="360" w:lineRule="auto"/>
        <w:jc w:val="both"/>
        <w:rPr>
          <w:rFonts w:ascii="宋体" w:hAnsi="宋体" w:eastAsia="宋体" w:cs="宋体"/>
          <w:color w:val="000000"/>
          <w:kern w:val="2"/>
          <w:sz w:val="21"/>
          <w:szCs w:val="24"/>
          <w:u w:val="single"/>
          <w:lang w:eastAsia="zh-CN"/>
        </w:rPr>
      </w:pPr>
      <w:r>
        <w:rPr>
          <w:rFonts w:hint="eastAsia" w:ascii="宋体" w:hAnsi="宋体" w:eastAsia="宋体" w:cs="宋体"/>
          <w:color w:val="000000"/>
          <w:kern w:val="2"/>
          <w:sz w:val="21"/>
          <w:szCs w:val="24"/>
          <w:lang w:eastAsia="zh-CN"/>
        </w:rPr>
        <w:t>发包人：</w:t>
      </w:r>
      <w:r>
        <w:rPr>
          <w:rFonts w:hint="eastAsia" w:ascii="宋体" w:hAnsi="宋体" w:eastAsia="宋体" w:cs="宋体"/>
          <w:color w:val="000000"/>
          <w:kern w:val="2"/>
          <w:sz w:val="21"/>
          <w:szCs w:val="24"/>
          <w:u w:val="single"/>
          <w:lang w:eastAsia="zh-CN"/>
        </w:rPr>
        <w:t xml:space="preserve">                                                                 </w:t>
      </w:r>
    </w:p>
    <w:p w14:paraId="50A17B14">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承包人：</w:t>
      </w:r>
      <w:r>
        <w:rPr>
          <w:rFonts w:hint="eastAsia" w:ascii="宋体" w:hAnsi="宋体" w:eastAsia="宋体" w:cs="宋体"/>
          <w:color w:val="000000"/>
          <w:kern w:val="2"/>
          <w:sz w:val="21"/>
          <w:szCs w:val="24"/>
          <w:u w:val="single"/>
          <w:lang w:eastAsia="zh-CN"/>
        </w:rPr>
        <w:t xml:space="preserve">                                                                  </w:t>
      </w:r>
    </w:p>
    <w:p w14:paraId="5DFB8123">
      <w:pPr>
        <w:snapToGrid w:val="0"/>
        <w:spacing w:after="0" w:line="360" w:lineRule="auto"/>
        <w:ind w:firstLine="488"/>
        <w:jc w:val="both"/>
        <w:rPr>
          <w:rFonts w:ascii="宋体" w:hAnsi="宋体" w:eastAsia="宋体" w:cs="宋体"/>
          <w:color w:val="000000"/>
          <w:kern w:val="2"/>
          <w:sz w:val="21"/>
          <w:szCs w:val="24"/>
          <w:u w:val="single"/>
          <w:lang w:eastAsia="zh-CN"/>
        </w:rPr>
      </w:pPr>
    </w:p>
    <w:p w14:paraId="1495F183">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发包人、承包人根据《中华人民共和国建筑法》、《建设工程质量管理条例》和《房屋建筑工程质量保修办法》，经协商一致，对</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w:t>
      </w:r>
      <w:r>
        <w:rPr>
          <w:rFonts w:hint="eastAsia" w:ascii="宋体" w:hAnsi="宋体" w:eastAsia="宋体" w:cs="宋体"/>
          <w:color w:val="000000"/>
          <w:kern w:val="2"/>
          <w:sz w:val="21"/>
          <w:szCs w:val="21"/>
          <w:lang w:eastAsia="zh-CN"/>
        </w:rPr>
        <w:t>工程</w:t>
      </w:r>
      <w:r>
        <w:rPr>
          <w:rFonts w:hint="eastAsia" w:ascii="宋体" w:hAnsi="宋体" w:eastAsia="宋体" w:cs="宋体"/>
          <w:color w:val="000000"/>
          <w:kern w:val="2"/>
          <w:sz w:val="21"/>
          <w:szCs w:val="24"/>
          <w:lang w:eastAsia="zh-CN"/>
        </w:rPr>
        <w:t>名称）签订保修书。</w:t>
      </w:r>
    </w:p>
    <w:p w14:paraId="575EE13E">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一、工程保修范围和内容</w:t>
      </w:r>
    </w:p>
    <w:p w14:paraId="6DF3D945">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承包人在保修期内，按照有关法律、法规、规章的管理规定和双方约定，承担本工程保修责任。</w:t>
      </w:r>
    </w:p>
    <w:p w14:paraId="3EE30C6D">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7607BDA">
      <w:pPr>
        <w:snapToGrid w:val="0"/>
        <w:spacing w:after="0" w:line="360" w:lineRule="auto"/>
        <w:jc w:val="both"/>
        <w:rPr>
          <w:rFonts w:ascii="宋体" w:hAnsi="宋体" w:eastAsia="宋体" w:cs="宋体"/>
          <w:color w:val="000000"/>
          <w:kern w:val="2"/>
          <w:sz w:val="21"/>
          <w:szCs w:val="24"/>
          <w:u w:val="single"/>
          <w:lang w:eastAsia="zh-CN"/>
        </w:rPr>
      </w:pPr>
      <w:r>
        <w:rPr>
          <w:rFonts w:hint="eastAsia" w:ascii="宋体" w:hAnsi="宋体" w:eastAsia="宋体" w:cs="宋体"/>
          <w:color w:val="000000"/>
          <w:kern w:val="2"/>
          <w:sz w:val="21"/>
          <w:szCs w:val="24"/>
          <w:u w:val="single"/>
          <w:lang w:eastAsia="zh-CN"/>
        </w:rPr>
        <w:t xml:space="preserve">                                                                                                                                                        </w:t>
      </w:r>
    </w:p>
    <w:p w14:paraId="3B7C3442">
      <w:pPr>
        <w:snapToGrid w:val="0"/>
        <w:spacing w:after="0" w:line="360" w:lineRule="auto"/>
        <w:jc w:val="both"/>
        <w:rPr>
          <w:rFonts w:ascii="宋体" w:hAnsi="宋体" w:eastAsia="宋体" w:cs="宋体"/>
          <w:color w:val="000000"/>
          <w:kern w:val="2"/>
          <w:sz w:val="21"/>
          <w:szCs w:val="24"/>
          <w:u w:val="single"/>
          <w:lang w:eastAsia="zh-CN"/>
        </w:rPr>
      </w:pPr>
      <w:r>
        <w:rPr>
          <w:rFonts w:hint="eastAsia" w:ascii="宋体" w:hAnsi="宋体" w:eastAsia="宋体" w:cs="宋体"/>
          <w:color w:val="000000"/>
          <w:kern w:val="2"/>
          <w:sz w:val="21"/>
          <w:szCs w:val="24"/>
          <w:u w:val="single"/>
          <w:lang w:eastAsia="zh-CN"/>
        </w:rPr>
        <w:t xml:space="preserve">                                                                                                                                                        </w:t>
      </w:r>
    </w:p>
    <w:p w14:paraId="26EDAE8E">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w:t>
      </w:r>
    </w:p>
    <w:p w14:paraId="074E4A9E">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二、保修期</w:t>
      </w:r>
    </w:p>
    <w:p w14:paraId="61913862">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双方根据《建设工程质量管理条例》及有关规定，约定本工程的保修期如下：</w:t>
      </w:r>
    </w:p>
    <w:p w14:paraId="1B2CEF28">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地基基础工程和主体结构工程为设计文件规定的该工程合理使用年限；</w:t>
      </w:r>
    </w:p>
    <w:p w14:paraId="25DF860F">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屋面防水工程、有防水要求的卫生间、房间和外墙面的防渗漏为</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年；</w:t>
      </w:r>
    </w:p>
    <w:p w14:paraId="0B26AD97">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外窗工程为</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年，外窗防渗漏为</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年；</w:t>
      </w:r>
    </w:p>
    <w:p w14:paraId="65DE3FE9">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装修工程为</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年；</w:t>
      </w:r>
    </w:p>
    <w:p w14:paraId="1A46C77B">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电气管线、给排水管道、设备安装工程为</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年；</w:t>
      </w:r>
    </w:p>
    <w:p w14:paraId="285F7A80">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供热与供冷系统为</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个采暖期、供冷期；</w:t>
      </w:r>
    </w:p>
    <w:p w14:paraId="71EB388B">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住宅小区内的给排水设施、道路等配套工程为</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年；</w:t>
      </w:r>
    </w:p>
    <w:p w14:paraId="67E5279A">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其他项目保修期限约定如下：</w:t>
      </w:r>
    </w:p>
    <w:p w14:paraId="5D2D2991">
      <w:pPr>
        <w:snapToGrid w:val="0"/>
        <w:spacing w:after="0" w:line="360" w:lineRule="auto"/>
        <w:jc w:val="both"/>
        <w:rPr>
          <w:rFonts w:ascii="宋体" w:hAnsi="宋体" w:eastAsia="宋体" w:cs="宋体"/>
          <w:color w:val="000000"/>
          <w:kern w:val="2"/>
          <w:sz w:val="21"/>
          <w:szCs w:val="24"/>
          <w:lang w:eastAsia="zh-CN"/>
        </w:rPr>
      </w:pPr>
    </w:p>
    <w:p w14:paraId="28A08BB9">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三、保修责任</w:t>
      </w:r>
    </w:p>
    <w:p w14:paraId="321D0F33">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1、属于责任范围、内容的项目，承包人应当在接到保修通知之日起7天内派人保修。承包人不在约定期限内派人保修的，发包人可以委托他人修理。</w:t>
      </w:r>
    </w:p>
    <w:p w14:paraId="1FDCECF3">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2、发生紧急抢修事故的，承包人在接到事故通知后，应当立即到达事故现场抢修。</w:t>
      </w:r>
    </w:p>
    <w:p w14:paraId="797ADC73">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79680E20">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4、质量保修完成后，由发包人组织验收。</w:t>
      </w:r>
    </w:p>
    <w:p w14:paraId="27F2E6A0">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四、保修费用</w:t>
      </w:r>
    </w:p>
    <w:p w14:paraId="2C864B7D">
      <w:pPr>
        <w:snapToGrid w:val="0"/>
        <w:spacing w:after="0" w:line="360" w:lineRule="auto"/>
        <w:ind w:firstLine="420" w:firstLineChars="200"/>
        <w:jc w:val="both"/>
        <w:rPr>
          <w:rFonts w:ascii="宋体" w:hAnsi="宋体" w:eastAsia="宋体" w:cs="宋体"/>
          <w:color w:val="000000"/>
          <w:kern w:val="2"/>
          <w:sz w:val="21"/>
          <w:szCs w:val="24"/>
          <w:u w:val="single"/>
          <w:lang w:eastAsia="zh-CN"/>
        </w:rPr>
      </w:pPr>
      <w:r>
        <w:rPr>
          <w:rFonts w:hint="eastAsia" w:ascii="宋体" w:hAnsi="宋体" w:eastAsia="宋体" w:cs="宋体"/>
          <w:color w:val="000000"/>
          <w:kern w:val="2"/>
          <w:sz w:val="21"/>
          <w:szCs w:val="24"/>
          <w:lang w:eastAsia="zh-CN"/>
        </w:rPr>
        <w:t>保修费用由造成质量缺陷的责任方承担。</w:t>
      </w:r>
    </w:p>
    <w:p w14:paraId="370AB933">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五、其 他</w:t>
      </w:r>
    </w:p>
    <w:p w14:paraId="316FBB9C">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双方约定的其他工程保修责任事项：</w:t>
      </w:r>
    </w:p>
    <w:p w14:paraId="267D2099">
      <w:pPr>
        <w:snapToGrid w:val="0"/>
        <w:spacing w:after="0" w:line="360" w:lineRule="auto"/>
        <w:jc w:val="both"/>
        <w:rPr>
          <w:rFonts w:ascii="宋体" w:hAnsi="宋体" w:eastAsia="宋体" w:cs="宋体"/>
          <w:color w:val="000000"/>
          <w:kern w:val="2"/>
          <w:sz w:val="21"/>
          <w:szCs w:val="24"/>
          <w:u w:val="single"/>
          <w:lang w:eastAsia="zh-CN"/>
        </w:rPr>
      </w:pPr>
      <w:r>
        <w:rPr>
          <w:rFonts w:hint="eastAsia" w:ascii="宋体" w:hAnsi="宋体" w:eastAsia="宋体" w:cs="宋体"/>
          <w:color w:val="000000"/>
          <w:kern w:val="2"/>
          <w:sz w:val="21"/>
          <w:szCs w:val="24"/>
          <w:u w:val="single"/>
          <w:lang w:eastAsia="zh-CN"/>
        </w:rPr>
        <w:t xml:space="preserve">                                                                                                                                                        </w:t>
      </w:r>
    </w:p>
    <w:p w14:paraId="295847A7">
      <w:pPr>
        <w:snapToGrid w:val="0"/>
        <w:spacing w:after="0" w:line="360" w:lineRule="auto"/>
        <w:jc w:val="both"/>
        <w:rPr>
          <w:rFonts w:ascii="宋体" w:hAnsi="宋体" w:eastAsia="宋体" w:cs="宋体"/>
          <w:color w:val="000000"/>
          <w:kern w:val="2"/>
          <w:sz w:val="21"/>
          <w:szCs w:val="24"/>
          <w:u w:val="single"/>
          <w:lang w:eastAsia="zh-CN"/>
        </w:rPr>
      </w:pPr>
      <w:r>
        <w:rPr>
          <w:rFonts w:hint="eastAsia" w:ascii="宋体" w:hAnsi="宋体" w:eastAsia="宋体" w:cs="宋体"/>
          <w:color w:val="000000"/>
          <w:kern w:val="2"/>
          <w:sz w:val="21"/>
          <w:szCs w:val="24"/>
          <w:u w:val="single"/>
          <w:lang w:eastAsia="zh-CN"/>
        </w:rPr>
        <w:t xml:space="preserve">                                                                                                                                                        </w:t>
      </w:r>
    </w:p>
    <w:p w14:paraId="3AC1A2BE">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w:t>
      </w:r>
    </w:p>
    <w:p w14:paraId="318D1B08">
      <w:pPr>
        <w:snapToGrid w:val="0"/>
        <w:spacing w:after="0" w:line="360" w:lineRule="auto"/>
        <w:ind w:firstLine="420" w:firstLineChars="200"/>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本工程保修书，由施工合同发包人、承包人双方在竣工验收前共同签署，作为施工合同附件，其有效期限至保修期满。</w:t>
      </w:r>
    </w:p>
    <w:p w14:paraId="0D52CABD">
      <w:pPr>
        <w:snapToGrid w:val="0"/>
        <w:spacing w:after="0" w:line="360" w:lineRule="auto"/>
        <w:jc w:val="both"/>
        <w:rPr>
          <w:rFonts w:ascii="宋体" w:hAnsi="宋体" w:eastAsia="宋体" w:cs="宋体"/>
          <w:color w:val="000000"/>
          <w:kern w:val="2"/>
          <w:sz w:val="21"/>
          <w:szCs w:val="24"/>
          <w:lang w:eastAsia="zh-CN"/>
        </w:rPr>
      </w:pPr>
    </w:p>
    <w:p w14:paraId="3C387D6B">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发包人：</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（公章）   承包人：</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 xml:space="preserve">（公章） </w:t>
      </w:r>
    </w:p>
    <w:p w14:paraId="5E3033A8">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法定地址：</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 xml:space="preserve">    法定地址：</w:t>
      </w:r>
      <w:r>
        <w:rPr>
          <w:rFonts w:hint="eastAsia" w:ascii="宋体" w:hAnsi="宋体" w:eastAsia="宋体" w:cs="宋体"/>
          <w:color w:val="000000"/>
          <w:kern w:val="2"/>
          <w:sz w:val="21"/>
          <w:szCs w:val="24"/>
          <w:u w:val="single"/>
          <w:lang w:eastAsia="zh-CN"/>
        </w:rPr>
        <w:t xml:space="preserve">                                </w:t>
      </w:r>
    </w:p>
    <w:p w14:paraId="7A3AA04D">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法定代表人或其                       法定代表人或其</w:t>
      </w:r>
    </w:p>
    <w:p w14:paraId="362495DF">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委托代理人：</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（签字）  委托代理人：</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（签字）</w:t>
      </w:r>
    </w:p>
    <w:p w14:paraId="34965511">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电话：</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 xml:space="preserve">   电话：</w:t>
      </w:r>
      <w:r>
        <w:rPr>
          <w:rFonts w:hint="eastAsia" w:ascii="宋体" w:hAnsi="宋体" w:eastAsia="宋体" w:cs="宋体"/>
          <w:color w:val="000000"/>
          <w:kern w:val="2"/>
          <w:sz w:val="21"/>
          <w:szCs w:val="24"/>
          <w:u w:val="single"/>
          <w:lang w:eastAsia="zh-CN"/>
        </w:rPr>
        <w:t xml:space="preserve">                                              </w:t>
      </w:r>
    </w:p>
    <w:p w14:paraId="064A4AD7">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传真：</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 xml:space="preserve">   传真：</w:t>
      </w:r>
      <w:r>
        <w:rPr>
          <w:rFonts w:hint="eastAsia" w:ascii="宋体" w:hAnsi="宋体" w:eastAsia="宋体" w:cs="宋体"/>
          <w:color w:val="000000"/>
          <w:kern w:val="2"/>
          <w:sz w:val="21"/>
          <w:szCs w:val="24"/>
          <w:u w:val="single"/>
          <w:lang w:eastAsia="zh-CN"/>
        </w:rPr>
        <w:t xml:space="preserve">                                                </w:t>
      </w:r>
    </w:p>
    <w:p w14:paraId="6B25CF87">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电子邮箱：</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 xml:space="preserve">   电子邮箱：</w:t>
      </w:r>
      <w:r>
        <w:rPr>
          <w:rFonts w:hint="eastAsia" w:ascii="宋体" w:hAnsi="宋体" w:eastAsia="宋体" w:cs="宋体"/>
          <w:color w:val="000000"/>
          <w:kern w:val="2"/>
          <w:sz w:val="21"/>
          <w:szCs w:val="24"/>
          <w:u w:val="single"/>
          <w:lang w:eastAsia="zh-CN"/>
        </w:rPr>
        <w:t xml:space="preserve">                                        </w:t>
      </w:r>
    </w:p>
    <w:p w14:paraId="24975B71">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开户银行：</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 xml:space="preserve">   开户银行：</w:t>
      </w:r>
      <w:r>
        <w:rPr>
          <w:rFonts w:hint="eastAsia" w:ascii="宋体" w:hAnsi="宋体" w:eastAsia="宋体" w:cs="宋体"/>
          <w:color w:val="000000"/>
          <w:kern w:val="2"/>
          <w:sz w:val="21"/>
          <w:szCs w:val="24"/>
          <w:u w:val="single"/>
          <w:lang w:eastAsia="zh-CN"/>
        </w:rPr>
        <w:t xml:space="preserve">                                        </w:t>
      </w:r>
    </w:p>
    <w:p w14:paraId="5D9BB905">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帐号：</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 xml:space="preserve">   帐号：</w:t>
      </w:r>
      <w:r>
        <w:rPr>
          <w:rFonts w:hint="eastAsia" w:ascii="宋体" w:hAnsi="宋体" w:eastAsia="宋体" w:cs="宋体"/>
          <w:color w:val="000000"/>
          <w:kern w:val="2"/>
          <w:sz w:val="21"/>
          <w:szCs w:val="24"/>
          <w:u w:val="single"/>
          <w:lang w:eastAsia="zh-CN"/>
        </w:rPr>
        <w:t xml:space="preserve">                                       </w:t>
      </w:r>
    </w:p>
    <w:p w14:paraId="3A15CCC8">
      <w:pPr>
        <w:snapToGrid w:val="0"/>
        <w:spacing w:after="0" w:line="360" w:lineRule="auto"/>
        <w:jc w:val="both"/>
        <w:rPr>
          <w:rFonts w:ascii="宋体" w:hAnsi="宋体" w:eastAsia="宋体" w:cs="宋体"/>
          <w:color w:val="000000"/>
          <w:kern w:val="2"/>
          <w:sz w:val="21"/>
          <w:szCs w:val="24"/>
          <w:u w:val="single"/>
          <w:lang w:eastAsia="zh-CN"/>
        </w:rPr>
      </w:pPr>
      <w:r>
        <w:rPr>
          <w:rFonts w:hint="eastAsia" w:ascii="宋体" w:hAnsi="宋体" w:eastAsia="宋体" w:cs="宋体"/>
          <w:color w:val="000000"/>
          <w:kern w:val="2"/>
          <w:sz w:val="21"/>
          <w:szCs w:val="24"/>
          <w:lang w:eastAsia="zh-CN"/>
        </w:rPr>
        <w:t>邮政编码：</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 xml:space="preserve">   邮政编码：</w:t>
      </w:r>
      <w:r>
        <w:rPr>
          <w:rFonts w:hint="eastAsia" w:ascii="宋体" w:hAnsi="宋体" w:eastAsia="宋体" w:cs="宋体"/>
          <w:color w:val="000000"/>
          <w:kern w:val="2"/>
          <w:sz w:val="21"/>
          <w:szCs w:val="24"/>
          <w:u w:val="single"/>
          <w:lang w:eastAsia="zh-CN"/>
        </w:rPr>
        <w:t xml:space="preserve">                                   </w:t>
      </w:r>
    </w:p>
    <w:p w14:paraId="715DF7EF">
      <w:pPr>
        <w:snapToGrid w:val="0"/>
        <w:spacing w:after="0" w:line="360" w:lineRule="auto"/>
        <w:jc w:val="both"/>
        <w:rPr>
          <w:rFonts w:ascii="宋体" w:hAnsi="宋体" w:eastAsia="宋体" w:cs="宋体"/>
          <w:color w:val="000000"/>
          <w:kern w:val="2"/>
          <w:sz w:val="21"/>
          <w:szCs w:val="24"/>
          <w:u w:val="single"/>
          <w:lang w:eastAsia="zh-CN"/>
        </w:rPr>
      </w:pPr>
    </w:p>
    <w:p w14:paraId="3CFD7F84">
      <w:pPr>
        <w:snapToGrid w:val="0"/>
        <w:spacing w:after="0" w:line="360" w:lineRule="auto"/>
        <w:jc w:val="both"/>
        <w:rPr>
          <w:rFonts w:ascii="宋体" w:hAnsi="宋体" w:eastAsia="宋体" w:cs="宋体"/>
          <w:color w:val="000000"/>
          <w:kern w:val="2"/>
          <w:sz w:val="21"/>
          <w:szCs w:val="24"/>
          <w:u w:val="single"/>
          <w:lang w:eastAsia="zh-CN"/>
        </w:rPr>
      </w:pPr>
    </w:p>
    <w:p w14:paraId="6411AFCF">
      <w:pPr>
        <w:snapToGrid w:val="0"/>
        <w:spacing w:after="0" w:line="360" w:lineRule="auto"/>
        <w:jc w:val="both"/>
        <w:rPr>
          <w:rFonts w:ascii="宋体" w:hAnsi="宋体" w:eastAsia="宋体" w:cs="宋体"/>
          <w:color w:val="000000"/>
          <w:kern w:val="2"/>
          <w:sz w:val="21"/>
          <w:szCs w:val="24"/>
          <w:u w:val="single"/>
          <w:lang w:eastAsia="zh-CN"/>
        </w:rPr>
      </w:pPr>
    </w:p>
    <w:p w14:paraId="159295A2">
      <w:pPr>
        <w:snapToGrid w:val="0"/>
        <w:spacing w:after="0" w:line="360" w:lineRule="auto"/>
        <w:jc w:val="both"/>
        <w:rPr>
          <w:rFonts w:ascii="宋体" w:hAnsi="宋体" w:eastAsia="宋体" w:cs="宋体"/>
          <w:color w:val="000000"/>
          <w:kern w:val="2"/>
          <w:sz w:val="21"/>
          <w:szCs w:val="24"/>
          <w:u w:val="single"/>
          <w:lang w:eastAsia="zh-CN"/>
        </w:rPr>
      </w:pPr>
    </w:p>
    <w:p w14:paraId="33831DE0">
      <w:pPr>
        <w:snapToGrid w:val="0"/>
        <w:spacing w:after="0" w:line="360" w:lineRule="auto"/>
        <w:jc w:val="both"/>
        <w:rPr>
          <w:rFonts w:ascii="宋体" w:hAnsi="宋体" w:eastAsia="宋体" w:cs="宋体"/>
          <w:color w:val="000000"/>
          <w:kern w:val="2"/>
          <w:sz w:val="21"/>
          <w:szCs w:val="24"/>
          <w:u w:val="single"/>
          <w:lang w:eastAsia="zh-CN"/>
        </w:rPr>
      </w:pPr>
    </w:p>
    <w:p w14:paraId="481DF2CA">
      <w:pPr>
        <w:pStyle w:val="28"/>
        <w:rPr>
          <w:lang w:eastAsia="zh-CN"/>
        </w:rPr>
      </w:pPr>
    </w:p>
    <w:p w14:paraId="3FF8161C">
      <w:pPr>
        <w:pStyle w:val="28"/>
        <w:rPr>
          <w:lang w:eastAsia="zh-CN"/>
        </w:rPr>
      </w:pPr>
    </w:p>
    <w:p w14:paraId="30D76F62">
      <w:pPr>
        <w:rPr>
          <w:rFonts w:hint="eastAsia" w:ascii="宋体" w:hAnsi="宋体" w:eastAsia="宋体" w:cs="宋体"/>
          <w:sz w:val="24"/>
          <w:szCs w:val="24"/>
          <w:lang w:eastAsia="zh-CN"/>
        </w:rPr>
      </w:pPr>
      <w:bookmarkStart w:id="1673" w:name="_Toc497584119"/>
      <w:bookmarkStart w:id="1674" w:name="_Toc497214128"/>
      <w:bookmarkStart w:id="1675" w:name="_Toc489219297"/>
      <w:r>
        <w:rPr>
          <w:rFonts w:hint="eastAsia" w:ascii="宋体" w:hAnsi="宋体" w:eastAsia="宋体" w:cs="宋体"/>
          <w:sz w:val="24"/>
          <w:szCs w:val="24"/>
          <w:lang w:eastAsia="zh-CN"/>
        </w:rPr>
        <w:br w:type="page"/>
      </w:r>
    </w:p>
    <w:p w14:paraId="2B750B23">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附件二：廉政责任书格式</w:t>
      </w:r>
      <w:bookmarkEnd w:id="1673"/>
      <w:bookmarkEnd w:id="1674"/>
      <w:bookmarkEnd w:id="1675"/>
    </w:p>
    <w:p w14:paraId="443904D2">
      <w:pPr>
        <w:snapToGrid w:val="0"/>
        <w:spacing w:after="0" w:line="360" w:lineRule="auto"/>
        <w:ind w:firstLine="488"/>
        <w:jc w:val="center"/>
        <w:rPr>
          <w:rFonts w:ascii="宋体" w:hAnsi="宋体" w:eastAsia="宋体" w:cs="宋体"/>
          <w:color w:val="000000"/>
          <w:kern w:val="2"/>
          <w:sz w:val="21"/>
          <w:szCs w:val="24"/>
          <w:lang w:eastAsia="zh-CN"/>
        </w:rPr>
      </w:pPr>
    </w:p>
    <w:p w14:paraId="5A7AD497">
      <w:pPr>
        <w:snapToGrid w:val="0"/>
        <w:spacing w:after="0" w:line="360" w:lineRule="auto"/>
        <w:jc w:val="center"/>
        <w:rPr>
          <w:rFonts w:ascii="宋体" w:hAnsi="宋体" w:eastAsia="宋体" w:cs="宋体"/>
          <w:b/>
          <w:color w:val="000000"/>
          <w:kern w:val="2"/>
          <w:sz w:val="28"/>
          <w:szCs w:val="24"/>
          <w:lang w:eastAsia="zh-CN"/>
        </w:rPr>
      </w:pPr>
      <w:r>
        <w:rPr>
          <w:rFonts w:hint="eastAsia" w:ascii="宋体" w:hAnsi="宋体" w:eastAsia="宋体" w:cs="宋体"/>
          <w:b/>
          <w:color w:val="000000"/>
          <w:kern w:val="2"/>
          <w:sz w:val="28"/>
          <w:szCs w:val="24"/>
          <w:lang w:eastAsia="zh-CN"/>
        </w:rPr>
        <w:t>建设工程廉政责任书</w:t>
      </w:r>
    </w:p>
    <w:p w14:paraId="353A78B4">
      <w:pPr>
        <w:snapToGrid w:val="0"/>
        <w:spacing w:after="0" w:line="360" w:lineRule="auto"/>
        <w:ind w:firstLine="420" w:firstLineChars="200"/>
        <w:jc w:val="both"/>
        <w:rPr>
          <w:rFonts w:ascii="宋体" w:hAnsi="宋体" w:eastAsia="宋体" w:cs="宋体"/>
          <w:color w:val="000000"/>
          <w:kern w:val="2"/>
          <w:sz w:val="21"/>
          <w:szCs w:val="24"/>
          <w:lang w:eastAsia="zh-CN"/>
        </w:rPr>
      </w:pPr>
    </w:p>
    <w:p w14:paraId="1F354EAF">
      <w:pPr>
        <w:snapToGrid w:val="0"/>
        <w:spacing w:after="0" w:line="360" w:lineRule="auto"/>
        <w:jc w:val="both"/>
        <w:rPr>
          <w:rFonts w:ascii="宋体" w:hAnsi="宋体" w:eastAsia="宋体" w:cs="宋体"/>
          <w:color w:val="000000"/>
          <w:kern w:val="2"/>
          <w:sz w:val="21"/>
          <w:szCs w:val="24"/>
          <w:u w:val="single"/>
          <w:lang w:eastAsia="zh-CN"/>
        </w:rPr>
      </w:pPr>
      <w:r>
        <w:rPr>
          <w:rFonts w:hint="eastAsia" w:ascii="宋体" w:hAnsi="宋体" w:eastAsia="宋体" w:cs="宋体"/>
          <w:color w:val="000000"/>
          <w:kern w:val="2"/>
          <w:sz w:val="21"/>
          <w:szCs w:val="24"/>
          <w:lang w:eastAsia="zh-CN"/>
        </w:rPr>
        <w:t>发包人：</w:t>
      </w:r>
      <w:r>
        <w:rPr>
          <w:rFonts w:hint="eastAsia" w:ascii="宋体" w:hAnsi="宋体" w:eastAsia="宋体" w:cs="宋体"/>
          <w:color w:val="000000"/>
          <w:kern w:val="2"/>
          <w:sz w:val="21"/>
          <w:szCs w:val="24"/>
          <w:u w:val="single"/>
          <w:lang w:eastAsia="zh-CN"/>
        </w:rPr>
        <w:t xml:space="preserve">                                                                      </w:t>
      </w:r>
    </w:p>
    <w:p w14:paraId="5B185961">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承包人：</w:t>
      </w:r>
      <w:r>
        <w:rPr>
          <w:rFonts w:hint="eastAsia" w:ascii="宋体" w:hAnsi="宋体" w:eastAsia="宋体" w:cs="宋体"/>
          <w:color w:val="000000"/>
          <w:kern w:val="2"/>
          <w:sz w:val="21"/>
          <w:szCs w:val="24"/>
          <w:u w:val="single"/>
          <w:lang w:eastAsia="zh-CN"/>
        </w:rPr>
        <w:t xml:space="preserve">                                                                      </w:t>
      </w:r>
    </w:p>
    <w:p w14:paraId="5029B4DB">
      <w:pPr>
        <w:snapToGrid w:val="0"/>
        <w:spacing w:after="0" w:line="360" w:lineRule="auto"/>
        <w:ind w:firstLine="420" w:firstLineChars="200"/>
        <w:jc w:val="both"/>
        <w:rPr>
          <w:rFonts w:ascii="宋体" w:hAnsi="宋体" w:eastAsia="宋体" w:cs="宋体"/>
          <w:color w:val="000000"/>
          <w:kern w:val="2"/>
          <w:sz w:val="21"/>
          <w:szCs w:val="24"/>
          <w:lang w:eastAsia="zh-CN"/>
        </w:rPr>
      </w:pPr>
    </w:p>
    <w:p w14:paraId="6B0C0E7F">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48950F47">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一、双方的责任</w:t>
      </w:r>
    </w:p>
    <w:p w14:paraId="1977FB6D">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1.1 应严格遵守国家关于建设工程的有关法律、法规，相关政策，以及廉政建设的各项规定。</w:t>
      </w:r>
    </w:p>
    <w:p w14:paraId="2AF535E7">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1.2 严格执行建设工程合同文件，自觉按合同办事。</w:t>
      </w:r>
    </w:p>
    <w:p w14:paraId="1C21A654">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1.3 各项活动必须坚持公开、公平、公正、诚信、透明的原则（除法律法规另有规定者外），不得为获取不正当的利益，损害国家、集体和对方利益，不得违反建设工程管理的规章制度。</w:t>
      </w:r>
    </w:p>
    <w:p w14:paraId="51F69BF6">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1.4 发现对方在业务活动中有违规、违纪、违法行为的，应及时提醒对方，情节严重的，应向其上级主管部门或纪检监察、司法等有关机关举报。</w:t>
      </w:r>
    </w:p>
    <w:p w14:paraId="7CCA1616">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二、发包人责任</w:t>
      </w:r>
    </w:p>
    <w:p w14:paraId="6FBE5582">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发包人的领导和从事该建设工程项目的工作人员，在工程建设的事前、事中、事后应遵守以下规定：</w:t>
      </w:r>
    </w:p>
    <w:p w14:paraId="73E33E74">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2.1不得向承包人和相关单位索要或接受回扣、礼金、有价证券、贵重物品和好处费、感谢费等。</w:t>
      </w:r>
    </w:p>
    <w:p w14:paraId="6FDFED6F">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2.2 不得在承包人和相关单位报销任何应由发包人或个人支付的费用。</w:t>
      </w:r>
    </w:p>
    <w:p w14:paraId="7CA4C0EB">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2.3 不得要求、暗示或接受承包人和相关单位为个人装修住房、婚丧嫁娶、配偶子女的工作安排以及出国（境）、旅游等提供方便。</w:t>
      </w:r>
    </w:p>
    <w:p w14:paraId="5789F27A">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2.4 不得参加有可能影响公正执行公务的承包人和相关单位的宴请、健身、娱乐等活动。</w:t>
      </w:r>
    </w:p>
    <w:p w14:paraId="62281CF1">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2.5 不得向承包人和相关单位介绍或为配偶、子女、亲属参与同发包人工程建设管理合同有关的业务活动；不得以任何理由要求承包人和相关单位使用某种产品、材料和设备。</w:t>
      </w:r>
    </w:p>
    <w:p w14:paraId="37EB3599">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三、承包人责任</w:t>
      </w:r>
    </w:p>
    <w:p w14:paraId="55740593">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应与发包人保持正常的业务交往，按照有关法律法规和程序开展业务工作，严格执行工程建设的有关方针、政策，执行工程建设强制性标准，并遵守以下规定：</w:t>
      </w:r>
    </w:p>
    <w:p w14:paraId="5F06ADD2">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3.1 不得以任何理由向发包人及其工作人员索要、接受或赠送礼金、有价证券、贵重物品及回扣、好处费、感谢费等。</w:t>
      </w:r>
    </w:p>
    <w:p w14:paraId="1E472DD4">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3.2不得以任何理由为发包人和相关单位报销应由对方或个人支付的费用。</w:t>
      </w:r>
    </w:p>
    <w:p w14:paraId="2BB5DE02">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3.3不得接受或暗示为发包人、相关单位或个人装修住房、婚丧嫁娶、配偶子女的工作安排以及出国（境）、旅游等提供方便。</w:t>
      </w:r>
    </w:p>
    <w:p w14:paraId="7B12AAD8">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3.4不得以任何理由为发包人、相关单位或个人组织有可能影响公正执行公务的宴请、健身、娱乐等活动。</w:t>
      </w:r>
    </w:p>
    <w:p w14:paraId="1631228C">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四、违约责任</w:t>
      </w:r>
    </w:p>
    <w:p w14:paraId="760714EC">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4.1发包人工作人员有违反本责任书第一、二条责任行为的，依据有关法律、法规给予处理；涉嫌犯罪的，移交司法机关追究刑事责任；给承包人单位造成经济损失的，应予以赔偿。</w:t>
      </w:r>
    </w:p>
    <w:p w14:paraId="08BA8731">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4.2 承包人工作人员有违反本责任书第一、三条责任行为的，依据有关法律法规处理；涉嫌犯罪的，移交司法机关追究刑事责任；给发包人单位造成经济损失的，应予以赔偿。</w:t>
      </w:r>
    </w:p>
    <w:p w14:paraId="76E1142D">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4.3 本责任书作为建设工程合同的组成部分，与建设工程合同具有同等法律效力。经双方签署后立即生效。</w:t>
      </w:r>
    </w:p>
    <w:p w14:paraId="33CFF716">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五、责任书有效期</w:t>
      </w:r>
    </w:p>
    <w:p w14:paraId="4C46E0D5">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本责任书的有效期为双方签署之日起至该工程项目竣工验收合格时止。</w:t>
      </w:r>
    </w:p>
    <w:p w14:paraId="562C1D0D">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六、责任书份数</w:t>
      </w:r>
    </w:p>
    <w:p w14:paraId="7563551C">
      <w:pPr>
        <w:snapToGrid w:val="0"/>
        <w:spacing w:after="0" w:line="360" w:lineRule="auto"/>
        <w:ind w:firstLine="420" w:firstLineChars="200"/>
        <w:jc w:val="both"/>
        <w:rPr>
          <w:rFonts w:ascii="宋体" w:hAnsi="宋体" w:eastAsia="宋体" w:cs="宋体"/>
          <w:color w:val="000000"/>
          <w:kern w:val="2"/>
          <w:sz w:val="21"/>
          <w:szCs w:val="28"/>
          <w:lang w:eastAsia="zh-CN"/>
        </w:rPr>
      </w:pPr>
      <w:r>
        <w:rPr>
          <w:rFonts w:hint="eastAsia" w:ascii="宋体" w:hAnsi="宋体" w:eastAsia="宋体" w:cs="宋体"/>
          <w:color w:val="000000"/>
          <w:kern w:val="2"/>
          <w:sz w:val="21"/>
          <w:szCs w:val="28"/>
          <w:lang w:eastAsia="zh-CN"/>
        </w:rPr>
        <w:t>本责任书一式二份，发包人承包人各执一份，具有同等效力。</w:t>
      </w:r>
    </w:p>
    <w:p w14:paraId="7EC507C2">
      <w:pPr>
        <w:snapToGrid w:val="0"/>
        <w:spacing w:after="0" w:line="360" w:lineRule="auto"/>
        <w:jc w:val="both"/>
        <w:rPr>
          <w:rFonts w:ascii="宋体" w:hAnsi="宋体" w:eastAsia="宋体" w:cs="宋体"/>
          <w:color w:val="000000"/>
          <w:kern w:val="2"/>
          <w:sz w:val="21"/>
          <w:szCs w:val="28"/>
          <w:lang w:eastAsia="zh-CN"/>
        </w:rPr>
      </w:pPr>
    </w:p>
    <w:p w14:paraId="67C78F97">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发包人：</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（公章）   承包人：</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 xml:space="preserve">（公章） </w:t>
      </w:r>
    </w:p>
    <w:p w14:paraId="6DDC8645">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法定地址：</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 xml:space="preserve">    法定地址：</w:t>
      </w:r>
      <w:r>
        <w:rPr>
          <w:rFonts w:hint="eastAsia" w:ascii="宋体" w:hAnsi="宋体" w:eastAsia="宋体" w:cs="宋体"/>
          <w:color w:val="000000"/>
          <w:kern w:val="2"/>
          <w:sz w:val="21"/>
          <w:szCs w:val="24"/>
          <w:u w:val="single"/>
          <w:lang w:eastAsia="zh-CN"/>
        </w:rPr>
        <w:t xml:space="preserve">                                </w:t>
      </w:r>
    </w:p>
    <w:p w14:paraId="4017ECEB">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法定代表人或其                       法定代表人或其</w:t>
      </w:r>
    </w:p>
    <w:p w14:paraId="70E8C3EB">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委托代理人：</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（签字）  委托代理人：</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（签字）</w:t>
      </w:r>
    </w:p>
    <w:p w14:paraId="2CB0F254">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电话：</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 xml:space="preserve">   电话：</w:t>
      </w:r>
      <w:r>
        <w:rPr>
          <w:rFonts w:hint="eastAsia" w:ascii="宋体" w:hAnsi="宋体" w:eastAsia="宋体" w:cs="宋体"/>
          <w:color w:val="000000"/>
          <w:kern w:val="2"/>
          <w:sz w:val="21"/>
          <w:szCs w:val="24"/>
          <w:u w:val="single"/>
          <w:lang w:eastAsia="zh-CN"/>
        </w:rPr>
        <w:t xml:space="preserve">                                              </w:t>
      </w:r>
    </w:p>
    <w:p w14:paraId="1B4D3FFC">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传真：</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 xml:space="preserve">   传真：</w:t>
      </w:r>
      <w:r>
        <w:rPr>
          <w:rFonts w:hint="eastAsia" w:ascii="宋体" w:hAnsi="宋体" w:eastAsia="宋体" w:cs="宋体"/>
          <w:color w:val="000000"/>
          <w:kern w:val="2"/>
          <w:sz w:val="21"/>
          <w:szCs w:val="24"/>
          <w:u w:val="single"/>
          <w:lang w:eastAsia="zh-CN"/>
        </w:rPr>
        <w:t xml:space="preserve">                                                </w:t>
      </w:r>
    </w:p>
    <w:p w14:paraId="7D9C5440">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电子邮箱：</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 xml:space="preserve">   电子邮箱：</w:t>
      </w:r>
      <w:r>
        <w:rPr>
          <w:rFonts w:hint="eastAsia" w:ascii="宋体" w:hAnsi="宋体" w:eastAsia="宋体" w:cs="宋体"/>
          <w:color w:val="000000"/>
          <w:kern w:val="2"/>
          <w:sz w:val="21"/>
          <w:szCs w:val="24"/>
          <w:u w:val="single"/>
          <w:lang w:eastAsia="zh-CN"/>
        </w:rPr>
        <w:t xml:space="preserve">                                        </w:t>
      </w:r>
    </w:p>
    <w:p w14:paraId="715913CF">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开户银行：</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 xml:space="preserve">   开户银行：</w:t>
      </w:r>
      <w:r>
        <w:rPr>
          <w:rFonts w:hint="eastAsia" w:ascii="宋体" w:hAnsi="宋体" w:eastAsia="宋体" w:cs="宋体"/>
          <w:color w:val="000000"/>
          <w:kern w:val="2"/>
          <w:sz w:val="21"/>
          <w:szCs w:val="24"/>
          <w:u w:val="single"/>
          <w:lang w:eastAsia="zh-CN"/>
        </w:rPr>
        <w:t xml:space="preserve">                                        </w:t>
      </w:r>
    </w:p>
    <w:p w14:paraId="0159D015">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帐号：</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 xml:space="preserve">   帐号：</w:t>
      </w:r>
      <w:r>
        <w:rPr>
          <w:rFonts w:hint="eastAsia" w:ascii="宋体" w:hAnsi="宋体" w:eastAsia="宋体" w:cs="宋体"/>
          <w:color w:val="000000"/>
          <w:kern w:val="2"/>
          <w:sz w:val="21"/>
          <w:szCs w:val="24"/>
          <w:u w:val="single"/>
          <w:lang w:eastAsia="zh-CN"/>
        </w:rPr>
        <w:t xml:space="preserve">                                       </w:t>
      </w:r>
    </w:p>
    <w:p w14:paraId="6D906E0C">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邮政编码：</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 xml:space="preserve">   邮政编码：</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 xml:space="preserve"> </w:t>
      </w:r>
    </w:p>
    <w:p w14:paraId="58DAB9F2">
      <w:pPr>
        <w:snapToGrid w:val="0"/>
        <w:spacing w:after="0" w:line="360" w:lineRule="auto"/>
        <w:jc w:val="both"/>
        <w:rPr>
          <w:rFonts w:ascii="宋体" w:hAnsi="宋体" w:eastAsia="宋体" w:cs="宋体"/>
          <w:color w:val="000000"/>
          <w:kern w:val="2"/>
          <w:sz w:val="21"/>
          <w:szCs w:val="24"/>
          <w:lang w:eastAsia="zh-CN"/>
        </w:rPr>
      </w:pPr>
      <w:r>
        <w:rPr>
          <w:rFonts w:hint="eastAsia" w:ascii="宋体" w:hAnsi="宋体" w:eastAsia="宋体" w:cs="宋体"/>
          <w:color w:val="000000"/>
          <w:kern w:val="2"/>
          <w:sz w:val="21"/>
          <w:szCs w:val="24"/>
          <w:lang w:eastAsia="zh-CN"/>
        </w:rPr>
        <w:t>监督单位：</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（盖章） 监督单位：</w:t>
      </w:r>
      <w:r>
        <w:rPr>
          <w:rFonts w:hint="eastAsia" w:ascii="宋体" w:hAnsi="宋体" w:eastAsia="宋体" w:cs="宋体"/>
          <w:color w:val="000000"/>
          <w:kern w:val="2"/>
          <w:sz w:val="21"/>
          <w:szCs w:val="24"/>
          <w:u w:val="single"/>
          <w:lang w:eastAsia="zh-CN"/>
        </w:rPr>
        <w:t xml:space="preserve">                           </w:t>
      </w:r>
      <w:r>
        <w:rPr>
          <w:rFonts w:hint="eastAsia" w:ascii="宋体" w:hAnsi="宋体" w:eastAsia="宋体" w:cs="宋体"/>
          <w:color w:val="000000"/>
          <w:kern w:val="2"/>
          <w:sz w:val="21"/>
          <w:szCs w:val="24"/>
          <w:lang w:eastAsia="zh-CN"/>
        </w:rPr>
        <w:t>（盖章）</w:t>
      </w:r>
    </w:p>
    <w:p w14:paraId="5A1C5A65">
      <w:pPr>
        <w:spacing w:after="0" w:line="360" w:lineRule="auto"/>
        <w:jc w:val="both"/>
        <w:rPr>
          <w:rFonts w:ascii="宋体" w:hAnsi="宋体" w:eastAsia="宋体" w:cs="宋体"/>
          <w:color w:val="000000"/>
          <w:kern w:val="2"/>
          <w:sz w:val="24"/>
          <w:szCs w:val="24"/>
          <w:lang w:eastAsia="zh-CN"/>
        </w:rPr>
      </w:pPr>
    </w:p>
    <w:p w14:paraId="0CC4BA99">
      <w:pPr>
        <w:spacing w:after="0" w:line="360" w:lineRule="auto"/>
        <w:jc w:val="both"/>
        <w:rPr>
          <w:rFonts w:ascii="宋体" w:hAnsi="宋体" w:eastAsia="宋体" w:cs="宋体"/>
          <w:color w:val="000000"/>
          <w:kern w:val="2"/>
          <w:sz w:val="24"/>
          <w:szCs w:val="24"/>
          <w:lang w:eastAsia="zh-CN"/>
        </w:rPr>
      </w:pPr>
    </w:p>
    <w:p w14:paraId="72373441">
      <w:pPr>
        <w:spacing w:after="0" w:line="360" w:lineRule="auto"/>
        <w:jc w:val="both"/>
        <w:rPr>
          <w:rFonts w:ascii="宋体" w:hAnsi="宋体" w:eastAsia="宋体" w:cs="宋体"/>
          <w:color w:val="000000"/>
          <w:kern w:val="2"/>
          <w:sz w:val="24"/>
          <w:szCs w:val="24"/>
          <w:lang w:eastAsia="zh-CN"/>
        </w:rPr>
      </w:pPr>
    </w:p>
    <w:p w14:paraId="4ADC960D">
      <w:pPr>
        <w:spacing w:after="0" w:line="360" w:lineRule="auto"/>
        <w:jc w:val="both"/>
        <w:rPr>
          <w:rFonts w:ascii="宋体" w:hAnsi="宋体" w:eastAsia="宋体" w:cs="宋体"/>
          <w:color w:val="000000"/>
          <w:kern w:val="2"/>
          <w:sz w:val="24"/>
          <w:szCs w:val="24"/>
          <w:lang w:eastAsia="zh-CN"/>
        </w:rPr>
      </w:pPr>
    </w:p>
    <w:p w14:paraId="0B75550E">
      <w:pPr>
        <w:spacing w:line="360" w:lineRule="auto"/>
        <w:rPr>
          <w:rFonts w:ascii="宋体" w:hAnsi="宋体" w:eastAsia="宋体" w:cs="宋体"/>
          <w:sz w:val="24"/>
          <w:szCs w:val="24"/>
          <w:lang w:eastAsia="zh-CN"/>
        </w:rPr>
      </w:pPr>
      <w:bookmarkStart w:id="1676" w:name="_Toc518635132"/>
      <w:bookmarkStart w:id="1677" w:name="_Toc518634273"/>
    </w:p>
    <w:p w14:paraId="2F4CB5E1">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附件三：安全协议书</w:t>
      </w:r>
      <w:bookmarkEnd w:id="1676"/>
      <w:bookmarkEnd w:id="1677"/>
    </w:p>
    <w:p w14:paraId="2CEA50A1">
      <w:pPr>
        <w:spacing w:after="0" w:line="360" w:lineRule="auto"/>
        <w:jc w:val="center"/>
        <w:rPr>
          <w:rFonts w:ascii="宋体" w:hAnsi="宋体" w:eastAsia="宋体" w:cs="宋体"/>
          <w:b/>
          <w:kern w:val="2"/>
          <w:sz w:val="28"/>
          <w:szCs w:val="28"/>
          <w:lang w:eastAsia="zh-CN"/>
        </w:rPr>
      </w:pPr>
      <w:r>
        <w:rPr>
          <w:rFonts w:hint="eastAsia" w:ascii="宋体" w:hAnsi="宋体" w:eastAsia="宋体" w:cs="宋体"/>
          <w:b/>
          <w:kern w:val="2"/>
          <w:sz w:val="28"/>
          <w:szCs w:val="28"/>
          <w:lang w:eastAsia="zh-CN"/>
        </w:rPr>
        <w:t>安全生产协议书</w:t>
      </w:r>
    </w:p>
    <w:p w14:paraId="34240CCD">
      <w:pPr>
        <w:snapToGrid w:val="0"/>
        <w:spacing w:after="0" w:line="360" w:lineRule="auto"/>
        <w:jc w:val="center"/>
        <w:rPr>
          <w:rFonts w:ascii="宋体" w:hAnsi="宋体" w:eastAsia="宋体" w:cs="宋体"/>
          <w:kern w:val="2"/>
          <w:sz w:val="21"/>
          <w:szCs w:val="21"/>
          <w:lang w:eastAsia="zh-CN"/>
        </w:rPr>
      </w:pPr>
    </w:p>
    <w:p w14:paraId="660BE5EB">
      <w:pPr>
        <w:spacing w:after="0" w:line="360" w:lineRule="auto"/>
        <w:ind w:firstLine="420" w:firstLineChars="200"/>
        <w:jc w:val="both"/>
        <w:rPr>
          <w:rFonts w:ascii="宋体" w:hAnsi="宋体" w:eastAsia="宋体" w:cs="宋体"/>
          <w:kern w:val="2"/>
          <w:sz w:val="21"/>
          <w:szCs w:val="24"/>
          <w:u w:val="single"/>
          <w:lang w:eastAsia="zh-CN"/>
        </w:rPr>
      </w:pPr>
      <w:r>
        <w:rPr>
          <w:rFonts w:hint="eastAsia" w:ascii="宋体" w:hAnsi="宋体" w:eastAsia="宋体" w:cs="宋体"/>
          <w:kern w:val="2"/>
          <w:sz w:val="21"/>
          <w:szCs w:val="24"/>
          <w:lang w:eastAsia="zh-CN"/>
        </w:rPr>
        <w:t>发包人：</w:t>
      </w:r>
      <w:r>
        <w:rPr>
          <w:rFonts w:hint="eastAsia" w:ascii="宋体" w:hAnsi="宋体" w:eastAsia="宋体" w:cs="宋体"/>
          <w:kern w:val="2"/>
          <w:sz w:val="21"/>
          <w:szCs w:val="24"/>
          <w:u w:val="single"/>
          <w:lang w:eastAsia="zh-CN"/>
        </w:rPr>
        <w:t xml:space="preserve">                               </w:t>
      </w:r>
    </w:p>
    <w:p w14:paraId="71805337">
      <w:pPr>
        <w:spacing w:after="0" w:line="360" w:lineRule="auto"/>
        <w:ind w:firstLine="420" w:firstLineChars="200"/>
        <w:jc w:val="both"/>
        <w:rPr>
          <w:rFonts w:ascii="宋体" w:hAnsi="宋体" w:eastAsia="宋体" w:cs="宋体"/>
          <w:kern w:val="2"/>
          <w:sz w:val="21"/>
          <w:szCs w:val="24"/>
          <w:u w:val="single"/>
          <w:lang w:eastAsia="zh-CN"/>
        </w:rPr>
      </w:pPr>
      <w:r>
        <w:rPr>
          <w:rFonts w:hint="eastAsia" w:ascii="宋体" w:hAnsi="宋体" w:eastAsia="宋体" w:cs="宋体"/>
          <w:kern w:val="2"/>
          <w:sz w:val="21"/>
          <w:szCs w:val="24"/>
          <w:lang w:eastAsia="zh-CN"/>
        </w:rPr>
        <w:t>承包人：</w:t>
      </w:r>
      <w:r>
        <w:rPr>
          <w:rFonts w:hint="eastAsia" w:ascii="宋体" w:hAnsi="宋体" w:eastAsia="宋体" w:cs="宋体"/>
          <w:kern w:val="2"/>
          <w:sz w:val="21"/>
          <w:szCs w:val="24"/>
          <w:u w:val="single"/>
          <w:lang w:eastAsia="zh-CN"/>
        </w:rPr>
        <w:t xml:space="preserve">                                            </w:t>
      </w:r>
    </w:p>
    <w:p w14:paraId="630565EE">
      <w:pPr>
        <w:spacing w:after="0" w:line="360" w:lineRule="auto"/>
        <w:ind w:firstLine="420" w:firstLineChars="200"/>
        <w:jc w:val="both"/>
        <w:rPr>
          <w:rFonts w:ascii="宋体" w:hAnsi="宋体" w:eastAsia="宋体" w:cs="宋体"/>
          <w:kern w:val="2"/>
          <w:sz w:val="21"/>
          <w:szCs w:val="21"/>
          <w:lang w:eastAsia="zh-CN"/>
        </w:rPr>
      </w:pPr>
    </w:p>
    <w:p w14:paraId="61244C87">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为贯彻“安全第一，预防为主”的方针，确保</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工程的施工安全，依照国家、北京市的有关法规和政策，甲、乙双方经充分协商，特签订本安全生产协议书。</w:t>
      </w:r>
    </w:p>
    <w:p w14:paraId="4898B48E">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一、本安全生产协议书作为</w:t>
      </w:r>
      <w:r>
        <w:rPr>
          <w:rFonts w:hint="eastAsia" w:ascii="宋体" w:hAnsi="宋体" w:eastAsia="宋体" w:cs="宋体"/>
          <w:color w:val="000000"/>
          <w:kern w:val="2"/>
          <w:sz w:val="21"/>
          <w:szCs w:val="21"/>
          <w:u w:val="single"/>
          <w:lang w:eastAsia="zh-CN"/>
        </w:rPr>
        <w:t xml:space="preserve">  </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 </w:t>
      </w:r>
      <w:r>
        <w:rPr>
          <w:rFonts w:hint="eastAsia" w:ascii="宋体" w:hAnsi="宋体" w:eastAsia="宋体" w:cs="宋体"/>
          <w:color w:val="000000"/>
          <w:kern w:val="2"/>
          <w:sz w:val="21"/>
          <w:szCs w:val="21"/>
          <w:lang w:eastAsia="zh-CN"/>
        </w:rPr>
        <w:t>工程</w:t>
      </w:r>
      <w:r>
        <w:rPr>
          <w:rFonts w:hint="eastAsia" w:ascii="宋体" w:hAnsi="宋体" w:eastAsia="宋体" w:cs="宋体"/>
          <w:kern w:val="2"/>
          <w:sz w:val="21"/>
          <w:szCs w:val="21"/>
          <w:lang w:eastAsia="zh-CN"/>
        </w:rPr>
        <w:t>施工总承包工程合同书的附件，与该合同具有同等效力。</w:t>
      </w:r>
    </w:p>
    <w:p w14:paraId="25537970">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二、乙方的法定代表人、项目经理、安全生产负责人、工地的现场安全员应对本工程安全生产工作各负其责。</w:t>
      </w:r>
    </w:p>
    <w:p w14:paraId="0E668CF7">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三、根据《北京市建设工程文明安全施工管理规定》的有关要求，甲方有权审查乙方安全管理体制是否符合市、区政府及有关主管部门的规定，有权向乙方提出安全施工的要求以及日常施工现场的督促检查。</w:t>
      </w:r>
    </w:p>
    <w:p w14:paraId="0F3A99F4">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四、乙方在承包工程施工中，必须根据设计图纸和施工规范，针对工程特点编制施工组织设计和落实相应的安全措施，健全安全管理体制，组织有关安全知识学习、安全教育等活动，建立各项安全操作规程、安全生产责任制和安全检查制度。</w:t>
      </w:r>
    </w:p>
    <w:p w14:paraId="5630DE49">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五、乙方在施工中要认真执行《北京市建设工程施工现场管理办法》、《北京市建设工程施工现场安全防护基本标准》、《北京市建设工程施工现场管理基本标准》、《北京市建设工程施工现场环境保护工作基本标准》、《北京市建设工程施工现场保卫工作基本标准》、《北京市建设工程施工现场管理补充生活设施及卫生防疫管理标准》和《北京市建设工程施工现场文明安全施工补充标准》等文件的有关规定。甲方将严格执行上述各项标准作为施工过程中安全检查和安全奖惩的依据。</w:t>
      </w:r>
    </w:p>
    <w:p w14:paraId="2BCC7CA6">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六、乙方施工人员中的电工、焊工、起重吊运指挥、挂钩工等特殊工种必须按国家《特种作业人员安全技术培训考核管理规定》持有劳动部门签发的有效操作证件上岗，严禁无证、违章操作；施工机具中的受压容器、电气设备必须具有符合安全要求的保护设施。</w:t>
      </w:r>
    </w:p>
    <w:p w14:paraId="5ED6B5E2">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七、乙方在施工过程中，必须注意对地下管线及周围绿化和地面构筑物的保护。乙方要采取合理施工方案严格施工工艺，严格控制地表沉降，加强对地下管线和地面构造物的监控量测，及时采取有效措施保证地下管线和地表构造物的安全。如遇有不明情况，应及时向有关部门联系，采取有效保护措施，在施工过程中造成的地下管线和地表构造物的损坏，由乙方承担全部责任。</w:t>
      </w:r>
    </w:p>
    <w:p w14:paraId="6E0C872D">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八、乙方在施工过程中，应认真组织审核发包人下发的施工图纸，并严格按审核后的施工图纸及相应的国家有关标准施工，不允许随意改变施工工艺和工法，否则出现的任何施工质量和安全问题都将由乙方承担全部责任。</w:t>
      </w:r>
    </w:p>
    <w:p w14:paraId="71AAAEA6">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九、若在施工过程中发生人员伤亡（含刑事案件）、火灾、爆炸等事故，乙方必须立即按有关规定及时上报甲方及其政府主管部门，事故责任以及事故损失均由乙方负责。</w:t>
      </w:r>
    </w:p>
    <w:p w14:paraId="3BFB0653">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十、乙方在合同签订之后，应尽快自觉配合甲方有关部门办理开工报告手续。</w:t>
      </w:r>
    </w:p>
    <w:p w14:paraId="282E66E9">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十一、本协议未尽事宜，依据有关法规、规章处理，法规、规章没有明确规定的，经双方协商处理解决。</w:t>
      </w:r>
    </w:p>
    <w:p w14:paraId="172EBA6F">
      <w:pPr>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十二、本协议自签订之日起生效。 </w:t>
      </w:r>
    </w:p>
    <w:p w14:paraId="76B2FA3B">
      <w:pPr>
        <w:snapToGrid w:val="0"/>
        <w:spacing w:after="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十三、本责任书一式</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份，甲方</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份，已方</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份，合同履行期间有效。</w:t>
      </w:r>
    </w:p>
    <w:p w14:paraId="4B369554">
      <w:pPr>
        <w:spacing w:after="0" w:line="360" w:lineRule="auto"/>
        <w:ind w:firstLine="420" w:firstLineChars="200"/>
        <w:jc w:val="both"/>
        <w:rPr>
          <w:rFonts w:ascii="宋体" w:hAnsi="宋体" w:eastAsia="宋体" w:cs="宋体"/>
          <w:kern w:val="2"/>
          <w:sz w:val="21"/>
          <w:szCs w:val="21"/>
          <w:lang w:eastAsia="zh-CN"/>
        </w:rPr>
      </w:pPr>
    </w:p>
    <w:p w14:paraId="080BA6F0">
      <w:pPr>
        <w:spacing w:after="0" w:line="360" w:lineRule="auto"/>
        <w:ind w:firstLine="420" w:firstLineChars="200"/>
        <w:jc w:val="both"/>
        <w:rPr>
          <w:rFonts w:ascii="宋体" w:hAnsi="宋体" w:eastAsia="宋体" w:cs="宋体"/>
          <w:kern w:val="2"/>
          <w:sz w:val="21"/>
          <w:szCs w:val="21"/>
          <w:lang w:eastAsia="zh-CN"/>
        </w:rPr>
      </w:pPr>
    </w:p>
    <w:p w14:paraId="420FFC7C">
      <w:pPr>
        <w:snapToGrid w:val="0"/>
        <w:spacing w:after="0" w:line="360" w:lineRule="auto"/>
        <w:jc w:val="both"/>
        <w:rPr>
          <w:rFonts w:ascii="宋体" w:hAnsi="宋体" w:eastAsia="宋体" w:cs="宋体"/>
          <w:kern w:val="2"/>
          <w:sz w:val="21"/>
          <w:szCs w:val="21"/>
          <w:lang w:eastAsia="zh-CN"/>
        </w:rPr>
      </w:pPr>
    </w:p>
    <w:p w14:paraId="7A55FCD5">
      <w:pPr>
        <w:snapToGrid w:val="0"/>
        <w:spacing w:after="0" w:line="360" w:lineRule="auto"/>
        <w:ind w:firstLine="945" w:firstLineChars="45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甲方：（盖单位章）                                    乙方：（盖单位章） </w:t>
      </w:r>
    </w:p>
    <w:p w14:paraId="4FD164C6">
      <w:pPr>
        <w:snapToGrid w:val="0"/>
        <w:spacing w:after="0" w:line="360" w:lineRule="auto"/>
        <w:jc w:val="both"/>
        <w:rPr>
          <w:rFonts w:ascii="宋体" w:hAnsi="宋体" w:eastAsia="宋体" w:cs="宋体"/>
          <w:kern w:val="2"/>
          <w:sz w:val="21"/>
          <w:szCs w:val="21"/>
          <w:lang w:eastAsia="zh-CN"/>
        </w:rPr>
      </w:pPr>
    </w:p>
    <w:p w14:paraId="2F13E143">
      <w:pPr>
        <w:snapToGrid w:val="0"/>
        <w:spacing w:after="0" w:line="360" w:lineRule="auto"/>
        <w:ind w:firstLine="945" w:firstLineChars="450"/>
        <w:jc w:val="both"/>
        <w:rPr>
          <w:rFonts w:ascii="宋体" w:hAnsi="宋体" w:eastAsia="宋体" w:cs="宋体"/>
          <w:kern w:val="2"/>
          <w:sz w:val="21"/>
          <w:szCs w:val="21"/>
          <w:lang w:eastAsia="zh-CN"/>
        </w:rPr>
      </w:pPr>
    </w:p>
    <w:p w14:paraId="28B59F4F">
      <w:pPr>
        <w:snapToGrid w:val="0"/>
        <w:spacing w:after="0" w:line="360" w:lineRule="auto"/>
        <w:ind w:firstLine="945" w:firstLineChars="45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法定代表人或授权委托人                           法定代表人或授权委托人</w:t>
      </w:r>
    </w:p>
    <w:p w14:paraId="5AAD569D">
      <w:pPr>
        <w:snapToGrid w:val="0"/>
        <w:spacing w:after="0" w:line="360" w:lineRule="auto"/>
        <w:ind w:firstLine="1785" w:firstLineChars="85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（签名）                                               （签名）</w:t>
      </w:r>
    </w:p>
    <w:p w14:paraId="46E0B8B9">
      <w:pPr>
        <w:snapToGrid w:val="0"/>
        <w:spacing w:after="0" w:line="360" w:lineRule="auto"/>
        <w:ind w:firstLine="945" w:firstLineChars="45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p>
    <w:p w14:paraId="361B7C6E">
      <w:pPr>
        <w:snapToGrid w:val="0"/>
        <w:spacing w:after="0" w:line="360" w:lineRule="auto"/>
        <w:ind w:firstLine="945" w:firstLineChars="450"/>
        <w:jc w:val="both"/>
        <w:rPr>
          <w:rFonts w:ascii="宋体" w:hAnsi="宋体" w:eastAsia="宋体" w:cs="宋体"/>
          <w:kern w:val="2"/>
          <w:sz w:val="21"/>
          <w:szCs w:val="21"/>
          <w:lang w:eastAsia="zh-CN"/>
        </w:rPr>
      </w:pPr>
    </w:p>
    <w:p w14:paraId="7B701E79">
      <w:pPr>
        <w:pStyle w:val="17"/>
        <w:rPr>
          <w:rFonts w:hint="eastAsia" w:ascii="宋体" w:hAnsi="宋体" w:eastAsia="宋体" w:cs="宋体"/>
        </w:rPr>
      </w:pPr>
      <w:r>
        <w:rPr>
          <w:rFonts w:hint="eastAsia" w:ascii="宋体" w:hAnsi="宋体" w:eastAsia="宋体" w:cs="宋体"/>
          <w:kern w:val="2"/>
          <w:sz w:val="21"/>
          <w:szCs w:val="21"/>
          <w:lang w:eastAsia="zh-CN"/>
        </w:rPr>
        <w:t xml:space="preserve">                                                                                                                   签订日期：    年      月     日</w:t>
      </w:r>
    </w:p>
    <w:bookmarkEnd w:id="713"/>
    <w:bookmarkEnd w:id="714"/>
    <w:bookmarkEnd w:id="715"/>
    <w:p w14:paraId="7B334904">
      <w:pPr>
        <w:rPr>
          <w:rFonts w:hint="eastAsia" w:ascii="宋体" w:hAnsi="宋体" w:eastAsia="宋体" w:cs="宋体"/>
          <w:b/>
          <w:sz w:val="36"/>
          <w:szCs w:val="36"/>
        </w:rPr>
      </w:pPr>
      <w:bookmarkStart w:id="1678" w:name="_Hlk226118079"/>
      <w:bookmarkStart w:id="1679" w:name="OLE_LINK38"/>
      <w:r>
        <w:rPr>
          <w:rFonts w:hint="eastAsia" w:ascii="宋体" w:hAnsi="宋体" w:eastAsia="宋体" w:cs="宋体"/>
          <w:b/>
          <w:sz w:val="36"/>
          <w:szCs w:val="36"/>
        </w:rPr>
        <w:br w:type="page"/>
      </w:r>
    </w:p>
    <w:p w14:paraId="7DB6D022">
      <w:p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第六章   响应文件格式</w:t>
      </w:r>
      <w:bookmarkEnd w:id="709"/>
    </w:p>
    <w:p w14:paraId="1901D62C">
      <w:pPr>
        <w:widowControl/>
        <w:spacing w:line="360" w:lineRule="auto"/>
        <w:jc w:val="left"/>
        <w:rPr>
          <w:rFonts w:hint="eastAsia" w:ascii="宋体" w:hAnsi="宋体" w:eastAsia="宋体" w:cs="宋体"/>
          <w:b/>
          <w:sz w:val="24"/>
        </w:rPr>
      </w:pPr>
    </w:p>
    <w:p w14:paraId="2B67E5B6">
      <w:pPr>
        <w:tabs>
          <w:tab w:val="left" w:pos="900"/>
          <w:tab w:val="left" w:pos="1980"/>
        </w:tabs>
        <w:snapToGrid w:val="0"/>
        <w:spacing w:line="360" w:lineRule="auto"/>
        <w:ind w:left="142"/>
        <w:rPr>
          <w:rFonts w:hint="eastAsia" w:ascii="宋体" w:hAnsi="宋体" w:eastAsia="宋体" w:cs="宋体"/>
          <w:b/>
          <w:kern w:val="0"/>
          <w:sz w:val="24"/>
        </w:rPr>
      </w:pPr>
      <w:r>
        <w:rPr>
          <w:rFonts w:hint="eastAsia" w:ascii="宋体" w:hAnsi="宋体" w:eastAsia="宋体" w:cs="宋体"/>
          <w:b/>
          <w:kern w:val="0"/>
          <w:sz w:val="24"/>
        </w:rPr>
        <w:t>供应商编制文件须知</w:t>
      </w:r>
    </w:p>
    <w:p w14:paraId="08BCEC92">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1、供应商按照本部分的顺序编制响应文件，编制中涉及格式资料的，应按照本部分提供的内容和格式（所有表格的格式可扩展）填写提交。</w:t>
      </w:r>
    </w:p>
    <w:p w14:paraId="0C1763C5">
      <w:pPr>
        <w:tabs>
          <w:tab w:val="left" w:pos="900"/>
          <w:tab w:val="left" w:pos="1980"/>
        </w:tabs>
        <w:snapToGrid w:val="0"/>
        <w:spacing w:line="360" w:lineRule="auto"/>
        <w:ind w:left="142"/>
        <w:rPr>
          <w:rFonts w:hint="eastAsia" w:ascii="宋体" w:hAnsi="宋体" w:eastAsia="宋体" w:cs="宋体"/>
          <w:kern w:val="0"/>
          <w:sz w:val="24"/>
        </w:rPr>
      </w:pPr>
      <w:r>
        <w:rPr>
          <w:rFonts w:hint="eastAsia" w:ascii="宋体" w:hAnsi="宋体" w:eastAsia="宋体" w:cs="宋体"/>
          <w:sz w:val="24"/>
        </w:rPr>
        <w:t>2、</w:t>
      </w:r>
      <w:r>
        <w:rPr>
          <w:rFonts w:hint="eastAsia" w:ascii="宋体" w:hAnsi="宋体" w:eastAsia="宋体" w:cs="宋体"/>
          <w:kern w:val="0"/>
          <w:sz w:val="24"/>
        </w:rPr>
        <w:t>对于竞争性磋商文件中标记了“实质性格式”文件的，供应商</w:t>
      </w:r>
      <w:r>
        <w:rPr>
          <w:rFonts w:hint="eastAsia" w:ascii="宋体" w:hAnsi="宋体" w:eastAsia="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rPr>
        <w:t>否则响应无效</w:t>
      </w:r>
      <w:r>
        <w:rPr>
          <w:rFonts w:hint="eastAsia" w:ascii="宋体" w:hAnsi="宋体" w:eastAsia="宋体" w:cs="宋体"/>
          <w:kern w:val="0"/>
          <w:sz w:val="24"/>
        </w:rPr>
        <w:t>。未标记“实质性格式”的文件和竞争性磋商文件未提供格式的内容，可由供应商自行编写。</w:t>
      </w:r>
    </w:p>
    <w:p w14:paraId="59A1C738">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3、全部声明和问题的回答及所附材料必须是真实的、准确的和完整的。</w:t>
      </w:r>
    </w:p>
    <w:p w14:paraId="61E18C89">
      <w:pPr>
        <w:tabs>
          <w:tab w:val="left" w:pos="900"/>
          <w:tab w:val="left" w:pos="1980"/>
        </w:tabs>
        <w:snapToGrid w:val="0"/>
        <w:spacing w:line="360" w:lineRule="auto"/>
        <w:ind w:left="142"/>
        <w:rPr>
          <w:rFonts w:hint="eastAsia" w:ascii="宋体" w:hAnsi="宋体" w:eastAsia="宋体" w:cs="宋体"/>
          <w:sz w:val="24"/>
        </w:rPr>
      </w:pPr>
    </w:p>
    <w:p w14:paraId="4FD2A170">
      <w:pPr>
        <w:widowControl/>
        <w:jc w:val="left"/>
        <w:rPr>
          <w:rFonts w:hint="eastAsia" w:ascii="宋体" w:hAnsi="宋体" w:eastAsia="宋体" w:cs="宋体"/>
          <w:sz w:val="24"/>
        </w:rPr>
      </w:pPr>
      <w:r>
        <w:rPr>
          <w:rFonts w:hint="eastAsia" w:ascii="宋体" w:hAnsi="宋体" w:eastAsia="宋体" w:cs="宋体"/>
          <w:sz w:val="24"/>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14:paraId="664A1E27">
      <w:pPr>
        <w:rPr>
          <w:rFonts w:hint="eastAsia" w:ascii="宋体" w:hAnsi="宋体" w:eastAsia="宋体" w:cs="宋体"/>
          <w:b/>
          <w:spacing w:val="20"/>
          <w:szCs w:val="21"/>
        </w:rPr>
      </w:pPr>
    </w:p>
    <w:p w14:paraId="01B9BAE3">
      <w:pPr>
        <w:rPr>
          <w:rFonts w:hint="eastAsia" w:ascii="宋体" w:hAnsi="宋体" w:eastAsia="宋体" w:cs="宋体"/>
          <w:b/>
          <w:sz w:val="24"/>
        </w:rPr>
      </w:pPr>
      <w:r>
        <w:rPr>
          <w:rFonts w:hint="eastAsia" w:ascii="宋体" w:hAnsi="宋体" w:eastAsia="宋体" w:cs="宋体"/>
          <w:b/>
          <w:spacing w:val="20"/>
          <w:sz w:val="24"/>
        </w:rPr>
        <w:t>响应文件</w:t>
      </w:r>
      <w:r>
        <w:rPr>
          <w:rFonts w:hint="eastAsia" w:ascii="宋体" w:hAnsi="宋体" w:eastAsia="宋体" w:cs="宋体"/>
          <w:b/>
          <w:sz w:val="24"/>
        </w:rPr>
        <w:t>封面（非实质性格式）</w:t>
      </w:r>
    </w:p>
    <w:p w14:paraId="5992E880">
      <w:pPr>
        <w:jc w:val="center"/>
        <w:rPr>
          <w:rFonts w:hint="eastAsia" w:ascii="宋体" w:hAnsi="宋体" w:eastAsia="宋体" w:cs="宋体"/>
          <w:szCs w:val="21"/>
        </w:rPr>
      </w:pPr>
    </w:p>
    <w:p w14:paraId="24AA0CB0">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响 应 文 件</w:t>
      </w:r>
    </w:p>
    <w:p w14:paraId="266FD05C">
      <w:pPr>
        <w:jc w:val="center"/>
        <w:rPr>
          <w:rFonts w:hint="eastAsia" w:ascii="宋体" w:hAnsi="宋体" w:eastAsia="宋体" w:cs="宋体"/>
          <w:b/>
          <w:spacing w:val="60"/>
          <w:sz w:val="52"/>
          <w:szCs w:val="52"/>
        </w:rPr>
      </w:pPr>
    </w:p>
    <w:p w14:paraId="5DC208B4">
      <w:pPr>
        <w:ind w:firstLine="542" w:firstLineChars="150"/>
        <w:rPr>
          <w:rFonts w:hint="eastAsia" w:ascii="宋体" w:hAnsi="宋体" w:eastAsia="宋体" w:cs="宋体"/>
          <w:b/>
          <w:spacing w:val="20"/>
          <w:sz w:val="32"/>
          <w:szCs w:val="32"/>
        </w:rPr>
      </w:pPr>
    </w:p>
    <w:p w14:paraId="24513508">
      <w:pPr>
        <w:ind w:firstLine="542" w:firstLineChars="150"/>
        <w:rPr>
          <w:rFonts w:hint="eastAsia" w:ascii="宋体" w:hAnsi="宋体" w:eastAsia="宋体" w:cs="宋体"/>
          <w:b/>
          <w:spacing w:val="20"/>
          <w:sz w:val="32"/>
          <w:szCs w:val="32"/>
        </w:rPr>
      </w:pPr>
    </w:p>
    <w:p w14:paraId="1500075C">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130D24AA">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项目编号/包号：</w:t>
      </w:r>
    </w:p>
    <w:p w14:paraId="4914FFDA">
      <w:pPr>
        <w:ind w:firstLine="542" w:firstLineChars="150"/>
        <w:rPr>
          <w:rFonts w:hint="eastAsia" w:ascii="宋体" w:hAnsi="宋体" w:eastAsia="宋体" w:cs="宋体"/>
          <w:b/>
          <w:spacing w:val="20"/>
          <w:sz w:val="32"/>
          <w:szCs w:val="32"/>
        </w:rPr>
      </w:pPr>
    </w:p>
    <w:p w14:paraId="190EC0F9">
      <w:pPr>
        <w:ind w:firstLine="542" w:firstLineChars="150"/>
        <w:rPr>
          <w:rFonts w:hint="eastAsia" w:ascii="宋体" w:hAnsi="宋体" w:eastAsia="宋体" w:cs="宋体"/>
          <w:b/>
          <w:spacing w:val="20"/>
          <w:sz w:val="32"/>
          <w:szCs w:val="32"/>
        </w:rPr>
      </w:pPr>
    </w:p>
    <w:p w14:paraId="4513B454">
      <w:pPr>
        <w:jc w:val="center"/>
        <w:rPr>
          <w:rFonts w:hint="eastAsia" w:ascii="宋体" w:hAnsi="宋体" w:eastAsia="宋体" w:cs="宋体"/>
          <w:b/>
          <w:sz w:val="32"/>
          <w:szCs w:val="32"/>
        </w:rPr>
      </w:pPr>
    </w:p>
    <w:p w14:paraId="0E4C317E">
      <w:pPr>
        <w:jc w:val="center"/>
        <w:rPr>
          <w:rFonts w:hint="eastAsia" w:ascii="宋体" w:hAnsi="宋体" w:eastAsia="宋体" w:cs="宋体"/>
          <w:b/>
          <w:sz w:val="32"/>
          <w:szCs w:val="32"/>
        </w:rPr>
      </w:pPr>
    </w:p>
    <w:p w14:paraId="0F332033">
      <w:pPr>
        <w:jc w:val="center"/>
        <w:rPr>
          <w:rFonts w:hint="eastAsia" w:ascii="宋体" w:hAnsi="宋体" w:eastAsia="宋体" w:cs="宋体"/>
          <w:b/>
          <w:sz w:val="32"/>
          <w:szCs w:val="32"/>
        </w:rPr>
      </w:pPr>
    </w:p>
    <w:p w14:paraId="0305B51D">
      <w:pPr>
        <w:jc w:val="center"/>
        <w:rPr>
          <w:rFonts w:hint="eastAsia" w:ascii="宋体" w:hAnsi="宋体" w:eastAsia="宋体" w:cs="宋体"/>
          <w:b/>
          <w:spacing w:val="20"/>
          <w:sz w:val="32"/>
          <w:szCs w:val="32"/>
        </w:rPr>
      </w:pPr>
    </w:p>
    <w:p w14:paraId="2EC5B3BE">
      <w:pPr>
        <w:jc w:val="center"/>
        <w:rPr>
          <w:rFonts w:hint="eastAsia" w:ascii="宋体" w:hAnsi="宋体" w:eastAsia="宋体" w:cs="宋体"/>
          <w:b/>
          <w:spacing w:val="20"/>
          <w:sz w:val="32"/>
          <w:szCs w:val="32"/>
        </w:rPr>
      </w:pPr>
    </w:p>
    <w:p w14:paraId="0706057F">
      <w:pPr>
        <w:jc w:val="center"/>
        <w:rPr>
          <w:rFonts w:hint="eastAsia" w:ascii="宋体" w:hAnsi="宋体" w:eastAsia="宋体" w:cs="宋体"/>
          <w:b/>
          <w:spacing w:val="20"/>
          <w:sz w:val="32"/>
          <w:szCs w:val="32"/>
        </w:rPr>
      </w:pPr>
    </w:p>
    <w:p w14:paraId="1E1D14FA">
      <w:pPr>
        <w:spacing w:line="360" w:lineRule="auto"/>
        <w:ind w:firstLine="1445" w:firstLineChars="4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供应商名称：</w:t>
      </w:r>
    </w:p>
    <w:p w14:paraId="43CF87B5">
      <w:pPr>
        <w:jc w:val="center"/>
        <w:rPr>
          <w:rFonts w:hint="eastAsia" w:ascii="宋体" w:hAnsi="宋体" w:eastAsia="宋体" w:cs="宋体"/>
          <w:b/>
          <w:sz w:val="32"/>
          <w:szCs w:val="32"/>
        </w:rPr>
      </w:pPr>
    </w:p>
    <w:p w14:paraId="282B0210">
      <w:pPr>
        <w:rPr>
          <w:rFonts w:hint="eastAsia" w:ascii="宋体" w:hAnsi="宋体" w:eastAsia="宋体" w:cs="宋体"/>
          <w:b/>
        </w:rPr>
      </w:pPr>
      <w:r>
        <w:rPr>
          <w:rFonts w:hint="eastAsia" w:ascii="宋体" w:hAnsi="宋体" w:eastAsia="宋体" w:cs="宋体"/>
          <w:b/>
          <w:spacing w:val="20"/>
          <w:sz w:val="32"/>
          <w:szCs w:val="32"/>
        </w:rPr>
        <w:br w:type="page"/>
      </w:r>
    </w:p>
    <w:p w14:paraId="7A800CE2">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1 满足《中华人民共和国政府采购法》第二十二条规定</w:t>
      </w:r>
    </w:p>
    <w:p w14:paraId="2723EBEB">
      <w:pPr>
        <w:spacing w:line="360" w:lineRule="auto"/>
        <w:outlineLvl w:val="2"/>
        <w:rPr>
          <w:rFonts w:hint="eastAsia" w:ascii="宋体" w:hAnsi="宋体" w:eastAsia="宋体" w:cs="宋体"/>
          <w:color w:val="000000"/>
          <w:sz w:val="24"/>
        </w:rPr>
      </w:pPr>
      <w:r>
        <w:rPr>
          <w:rFonts w:hint="eastAsia" w:ascii="宋体" w:hAnsi="宋体" w:eastAsia="宋体" w:cs="宋体"/>
          <w:color w:val="000000"/>
          <w:sz w:val="24"/>
        </w:rPr>
        <w:t>1-1 营业执照等证明文件</w:t>
      </w:r>
    </w:p>
    <w:p w14:paraId="5DD1AD7C">
      <w:pPr>
        <w:tabs>
          <w:tab w:val="left" w:pos="1080"/>
        </w:tabs>
        <w:snapToGrid w:val="0"/>
        <w:rPr>
          <w:rFonts w:hint="eastAsia" w:ascii="宋体" w:hAnsi="宋体" w:eastAsia="宋体" w:cs="宋体"/>
          <w:sz w:val="24"/>
        </w:rPr>
      </w:pPr>
    </w:p>
    <w:p w14:paraId="642C6ABC">
      <w:pPr>
        <w:widowControl/>
        <w:jc w:val="left"/>
        <w:rPr>
          <w:rFonts w:hint="eastAsia" w:ascii="宋体" w:hAnsi="宋体" w:eastAsia="宋体" w:cs="宋体"/>
          <w:color w:val="000000"/>
          <w:sz w:val="24"/>
          <w:szCs w:val="20"/>
        </w:rPr>
      </w:pPr>
      <w:r>
        <w:rPr>
          <w:rFonts w:hint="eastAsia" w:ascii="宋体" w:hAnsi="宋体" w:eastAsia="宋体" w:cs="宋体"/>
          <w:color w:val="000000"/>
          <w:sz w:val="24"/>
        </w:rPr>
        <w:br w:type="page"/>
      </w:r>
    </w:p>
    <w:p w14:paraId="1613418B">
      <w:pPr>
        <w:pStyle w:val="5"/>
        <w:rPr>
          <w:rFonts w:hint="eastAsia" w:ascii="宋体" w:hAnsi="宋体" w:eastAsia="宋体" w:cs="宋体"/>
          <w:b w:val="0"/>
          <w:bCs/>
          <w:color w:val="000000"/>
          <w:szCs w:val="24"/>
          <w:u w:val="none"/>
        </w:rPr>
      </w:pPr>
      <w:r>
        <w:rPr>
          <w:rFonts w:hint="eastAsia" w:ascii="宋体" w:hAnsi="宋体" w:eastAsia="宋体" w:cs="宋体"/>
          <w:b w:val="0"/>
          <w:color w:val="000000"/>
          <w:szCs w:val="24"/>
          <w:u w:val="none"/>
        </w:rPr>
        <w:t>1-2 供应商资格声明书</w:t>
      </w:r>
    </w:p>
    <w:p w14:paraId="1359BC21">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供应商资格声明书</w:t>
      </w:r>
    </w:p>
    <w:p w14:paraId="73358E30">
      <w:pPr>
        <w:tabs>
          <w:tab w:val="left" w:pos="5580"/>
        </w:tabs>
        <w:spacing w:line="360" w:lineRule="auto"/>
        <w:rPr>
          <w:rFonts w:hint="eastAsia" w:ascii="宋体" w:hAnsi="宋体" w:eastAsia="宋体" w:cs="宋体"/>
          <w:sz w:val="24"/>
        </w:rPr>
      </w:pPr>
    </w:p>
    <w:p w14:paraId="1AF33D87">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1403E132">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在参与本次项目磋商中，我单位承诺：</w:t>
      </w:r>
    </w:p>
    <w:p w14:paraId="0A1DF834">
      <w:pPr>
        <w:numPr>
          <w:ilvl w:val="0"/>
          <w:numId w:val="18"/>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具有良好的商业信誉和健全的财务会计制度；</w:t>
      </w:r>
    </w:p>
    <w:p w14:paraId="1F1209D0">
      <w:pPr>
        <w:numPr>
          <w:ilvl w:val="0"/>
          <w:numId w:val="18"/>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具有履行合同所必需的设备和专业技术能力；</w:t>
      </w:r>
    </w:p>
    <w:p w14:paraId="060BA3AF">
      <w:pPr>
        <w:numPr>
          <w:ilvl w:val="0"/>
          <w:numId w:val="18"/>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有依法缴纳税收和社会保障资金的良好记录；</w:t>
      </w:r>
    </w:p>
    <w:p w14:paraId="6CC43541">
      <w:pPr>
        <w:numPr>
          <w:ilvl w:val="0"/>
          <w:numId w:val="18"/>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533C588">
      <w:pPr>
        <w:numPr>
          <w:ilvl w:val="0"/>
          <w:numId w:val="18"/>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我单位不属于政府采购法律、行政法规规定的公益一类事业单位、或使用事业编制且由财政拨款保障的群团组织（仅适用于政府购买服务项目）；</w:t>
      </w:r>
    </w:p>
    <w:p w14:paraId="1D9F6F68">
      <w:pPr>
        <w:numPr>
          <w:ilvl w:val="0"/>
          <w:numId w:val="18"/>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我单位不存在为采购项目提供整体设计、规范编制或者项目管理、监理、检测等服务后，再参加该采购项目的其他采购活动的情形（单一来源采购项目除外）；</w:t>
      </w:r>
    </w:p>
    <w:p w14:paraId="42B51912">
      <w:pPr>
        <w:numPr>
          <w:ilvl w:val="0"/>
          <w:numId w:val="18"/>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与我单位存在“单位负责人为同一人或者存在直接控股、管理关系”的其他法人单位信息如下（如有，不论其是否参加同一合同项下的政府采购活动均须填写）：</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293E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698F45B">
            <w:pPr>
              <w:jc w:val="center"/>
              <w:rPr>
                <w:rFonts w:hint="eastAsia" w:ascii="宋体" w:hAnsi="宋体" w:eastAsia="宋体" w:cs="宋体"/>
                <w:sz w:val="24"/>
              </w:rPr>
            </w:pPr>
            <w:r>
              <w:rPr>
                <w:rFonts w:hint="eastAsia" w:ascii="宋体" w:hAnsi="宋体" w:eastAsia="宋体" w:cs="宋体"/>
                <w:sz w:val="24"/>
              </w:rPr>
              <w:t>序号</w:t>
            </w:r>
          </w:p>
        </w:tc>
        <w:tc>
          <w:tcPr>
            <w:tcW w:w="4574" w:type="dxa"/>
            <w:vAlign w:val="center"/>
          </w:tcPr>
          <w:p w14:paraId="60609B0F">
            <w:pPr>
              <w:jc w:val="center"/>
              <w:rPr>
                <w:rFonts w:hint="eastAsia" w:ascii="宋体" w:hAnsi="宋体" w:eastAsia="宋体" w:cs="宋体"/>
                <w:sz w:val="24"/>
              </w:rPr>
            </w:pPr>
            <w:r>
              <w:rPr>
                <w:rFonts w:hint="eastAsia" w:ascii="宋体" w:hAnsi="宋体" w:eastAsia="宋体" w:cs="宋体"/>
                <w:sz w:val="24"/>
              </w:rPr>
              <w:t>单位名称</w:t>
            </w:r>
          </w:p>
        </w:tc>
        <w:tc>
          <w:tcPr>
            <w:tcW w:w="2976" w:type="dxa"/>
            <w:vAlign w:val="center"/>
          </w:tcPr>
          <w:p w14:paraId="3168C590">
            <w:pPr>
              <w:jc w:val="center"/>
              <w:rPr>
                <w:rFonts w:hint="eastAsia" w:ascii="宋体" w:hAnsi="宋体" w:eastAsia="宋体" w:cs="宋体"/>
                <w:sz w:val="24"/>
              </w:rPr>
            </w:pPr>
            <w:r>
              <w:rPr>
                <w:rFonts w:hint="eastAsia" w:ascii="宋体" w:hAnsi="宋体" w:eastAsia="宋体" w:cs="宋体"/>
                <w:sz w:val="24"/>
              </w:rPr>
              <w:t>相互关系</w:t>
            </w:r>
          </w:p>
        </w:tc>
      </w:tr>
      <w:tr w14:paraId="713E8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98BFE08">
            <w:pPr>
              <w:jc w:val="center"/>
              <w:rPr>
                <w:rFonts w:hint="eastAsia" w:ascii="宋体" w:hAnsi="宋体" w:eastAsia="宋体" w:cs="宋体"/>
                <w:sz w:val="24"/>
              </w:rPr>
            </w:pPr>
            <w:r>
              <w:rPr>
                <w:rFonts w:hint="eastAsia" w:ascii="宋体" w:hAnsi="宋体" w:eastAsia="宋体" w:cs="宋体"/>
                <w:sz w:val="24"/>
              </w:rPr>
              <w:t>1</w:t>
            </w:r>
          </w:p>
        </w:tc>
        <w:tc>
          <w:tcPr>
            <w:tcW w:w="4574" w:type="dxa"/>
            <w:vAlign w:val="center"/>
          </w:tcPr>
          <w:p w14:paraId="3D6199B8">
            <w:pPr>
              <w:jc w:val="center"/>
              <w:rPr>
                <w:rFonts w:hint="eastAsia" w:ascii="宋体" w:hAnsi="宋体" w:eastAsia="宋体" w:cs="宋体"/>
                <w:sz w:val="24"/>
              </w:rPr>
            </w:pPr>
          </w:p>
        </w:tc>
        <w:tc>
          <w:tcPr>
            <w:tcW w:w="2976" w:type="dxa"/>
            <w:vAlign w:val="center"/>
          </w:tcPr>
          <w:p w14:paraId="6E2CF1AB">
            <w:pPr>
              <w:jc w:val="center"/>
              <w:rPr>
                <w:rFonts w:hint="eastAsia" w:ascii="宋体" w:hAnsi="宋体" w:eastAsia="宋体" w:cs="宋体"/>
                <w:sz w:val="24"/>
              </w:rPr>
            </w:pPr>
          </w:p>
        </w:tc>
      </w:tr>
      <w:tr w14:paraId="50996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E2F1B5">
            <w:pPr>
              <w:jc w:val="center"/>
              <w:rPr>
                <w:rFonts w:hint="eastAsia" w:ascii="宋体" w:hAnsi="宋体" w:eastAsia="宋体" w:cs="宋体"/>
                <w:sz w:val="24"/>
              </w:rPr>
            </w:pPr>
            <w:r>
              <w:rPr>
                <w:rFonts w:hint="eastAsia" w:ascii="宋体" w:hAnsi="宋体" w:eastAsia="宋体" w:cs="宋体"/>
                <w:sz w:val="24"/>
              </w:rPr>
              <w:t>2</w:t>
            </w:r>
          </w:p>
        </w:tc>
        <w:tc>
          <w:tcPr>
            <w:tcW w:w="4574" w:type="dxa"/>
            <w:vAlign w:val="center"/>
          </w:tcPr>
          <w:p w14:paraId="4DD215EA">
            <w:pPr>
              <w:jc w:val="center"/>
              <w:rPr>
                <w:rFonts w:hint="eastAsia" w:ascii="宋体" w:hAnsi="宋体" w:eastAsia="宋体" w:cs="宋体"/>
                <w:sz w:val="24"/>
              </w:rPr>
            </w:pPr>
          </w:p>
        </w:tc>
        <w:tc>
          <w:tcPr>
            <w:tcW w:w="2976" w:type="dxa"/>
            <w:vAlign w:val="center"/>
          </w:tcPr>
          <w:p w14:paraId="76165618">
            <w:pPr>
              <w:jc w:val="center"/>
              <w:rPr>
                <w:rFonts w:hint="eastAsia" w:ascii="宋体" w:hAnsi="宋体" w:eastAsia="宋体" w:cs="宋体"/>
                <w:sz w:val="24"/>
              </w:rPr>
            </w:pPr>
          </w:p>
        </w:tc>
      </w:tr>
      <w:tr w14:paraId="26EE4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65EE4CE">
            <w:pPr>
              <w:jc w:val="center"/>
              <w:rPr>
                <w:rFonts w:hint="eastAsia" w:ascii="宋体" w:hAnsi="宋体" w:eastAsia="宋体" w:cs="宋体"/>
                <w:sz w:val="24"/>
              </w:rPr>
            </w:pPr>
            <w:r>
              <w:rPr>
                <w:rFonts w:hint="eastAsia" w:ascii="宋体" w:hAnsi="宋体" w:eastAsia="宋体" w:cs="宋体"/>
                <w:sz w:val="24"/>
              </w:rPr>
              <w:t>…</w:t>
            </w:r>
          </w:p>
        </w:tc>
        <w:tc>
          <w:tcPr>
            <w:tcW w:w="4574" w:type="dxa"/>
            <w:vAlign w:val="center"/>
          </w:tcPr>
          <w:p w14:paraId="748FF5FE">
            <w:pPr>
              <w:jc w:val="center"/>
              <w:rPr>
                <w:rFonts w:hint="eastAsia" w:ascii="宋体" w:hAnsi="宋体" w:eastAsia="宋体" w:cs="宋体"/>
                <w:sz w:val="24"/>
              </w:rPr>
            </w:pPr>
          </w:p>
        </w:tc>
        <w:tc>
          <w:tcPr>
            <w:tcW w:w="2976" w:type="dxa"/>
            <w:vAlign w:val="center"/>
          </w:tcPr>
          <w:p w14:paraId="6D754F6B">
            <w:pPr>
              <w:jc w:val="center"/>
              <w:rPr>
                <w:rFonts w:hint="eastAsia" w:ascii="宋体" w:hAnsi="宋体" w:eastAsia="宋体" w:cs="宋体"/>
                <w:sz w:val="24"/>
              </w:rPr>
            </w:pPr>
          </w:p>
        </w:tc>
      </w:tr>
    </w:tbl>
    <w:p w14:paraId="0DE2F0AB">
      <w:pPr>
        <w:rPr>
          <w:rFonts w:hint="eastAsia" w:ascii="宋体" w:hAnsi="宋体" w:eastAsia="宋体" w:cs="宋体"/>
        </w:rPr>
      </w:pPr>
    </w:p>
    <w:p w14:paraId="4D9BC324">
      <w:pPr>
        <w:ind w:firstLine="480" w:firstLineChars="200"/>
        <w:rPr>
          <w:rFonts w:hint="eastAsia" w:ascii="宋体" w:hAnsi="宋体" w:eastAsia="宋体" w:cs="宋体"/>
          <w:sz w:val="24"/>
          <w:szCs w:val="22"/>
        </w:rPr>
      </w:pPr>
      <w:r>
        <w:rPr>
          <w:rFonts w:hint="eastAsia" w:ascii="宋体" w:hAnsi="宋体" w:eastAsia="宋体" w:cs="宋体"/>
          <w:sz w:val="24"/>
        </w:rPr>
        <w:t>上述声明真实有效，否则我方负全部责任。</w:t>
      </w:r>
    </w:p>
    <w:p w14:paraId="55C342B8">
      <w:pPr>
        <w:spacing w:line="360" w:lineRule="auto"/>
        <w:rPr>
          <w:rFonts w:hint="eastAsia" w:ascii="宋体" w:hAnsi="宋体" w:eastAsia="宋体" w:cs="宋体"/>
          <w:sz w:val="24"/>
        </w:rPr>
      </w:pPr>
    </w:p>
    <w:p w14:paraId="40A6DCBD">
      <w:pPr>
        <w:autoSpaceDE w:val="0"/>
        <w:autoSpaceDN w:val="0"/>
        <w:adjustRightInd w:val="0"/>
        <w:snapToGrid w:val="0"/>
        <w:spacing w:before="25" w:after="25" w:line="360" w:lineRule="auto"/>
        <w:ind w:right="360"/>
        <w:jc w:val="righ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734517E3">
      <w:pPr>
        <w:spacing w:line="360" w:lineRule="auto"/>
        <w:ind w:right="360" w:firstLine="480"/>
        <w:jc w:val="right"/>
        <w:rPr>
          <w:rFonts w:hint="eastAsia" w:ascii="宋体" w:hAnsi="宋体" w:eastAsia="宋体" w:cs="宋体"/>
          <w:sz w:val="24"/>
        </w:rPr>
      </w:pPr>
      <w:r>
        <w:rPr>
          <w:rFonts w:hint="eastAsia" w:ascii="宋体" w:hAnsi="宋体" w:eastAsia="宋体" w:cs="宋体"/>
          <w:color w:val="000000"/>
          <w:sz w:val="24"/>
          <w:szCs w:val="20"/>
        </w:rPr>
        <w:t xml:space="preserve">日期：____年____月____日   </w:t>
      </w:r>
    </w:p>
    <w:p w14:paraId="0B231934">
      <w:pPr>
        <w:spacing w:line="360" w:lineRule="auto"/>
        <w:rPr>
          <w:rFonts w:hint="eastAsia" w:ascii="宋体" w:hAnsi="宋体" w:eastAsia="宋体" w:cs="宋体"/>
          <w:sz w:val="24"/>
        </w:rPr>
      </w:pPr>
      <w:r>
        <w:rPr>
          <w:rFonts w:hint="eastAsia" w:ascii="宋体" w:hAnsi="宋体" w:eastAsia="宋体" w:cs="宋体"/>
          <w:sz w:val="24"/>
        </w:rPr>
        <w:t>说明：供应商承诺不实的，依据《政府采购法》第七十七条“提供虚假材料谋取中标、成交的”有关规定予以处理。</w:t>
      </w:r>
    </w:p>
    <w:p w14:paraId="5D153787">
      <w:pPr>
        <w:tabs>
          <w:tab w:val="left" w:pos="5580"/>
        </w:tabs>
        <w:spacing w:line="360" w:lineRule="auto"/>
        <w:rPr>
          <w:rFonts w:hint="eastAsia" w:ascii="宋体" w:hAnsi="宋体" w:eastAsia="宋体" w:cs="宋体"/>
          <w:sz w:val="24"/>
        </w:rPr>
        <w:sectPr>
          <w:headerReference r:id="rId25" w:type="first"/>
          <w:footerReference r:id="rId28" w:type="first"/>
          <w:headerReference r:id="rId23" w:type="default"/>
          <w:footerReference r:id="rId26" w:type="default"/>
          <w:headerReference r:id="rId24" w:type="even"/>
          <w:footerReference r:id="rId27" w:type="even"/>
          <w:pgSz w:w="11907" w:h="16840"/>
          <w:pgMar w:top="1418" w:right="1134" w:bottom="1418" w:left="1701" w:header="851" w:footer="851" w:gutter="0"/>
          <w:pgNumType w:fmt="decimal"/>
          <w:cols w:space="720" w:num="1"/>
          <w:docGrid w:linePitch="462" w:charSpace="0"/>
        </w:sectPr>
      </w:pPr>
    </w:p>
    <w:p w14:paraId="13ADB1F8">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2 落实政府采购政策需满足的资格要求（如有）</w:t>
      </w:r>
    </w:p>
    <w:p w14:paraId="78D10E82">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2-1 中小企业政策证明文件</w:t>
      </w:r>
    </w:p>
    <w:p w14:paraId="215A0A30">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5393A6E0">
      <w:pPr>
        <w:tabs>
          <w:tab w:val="left" w:pos="5580"/>
        </w:tabs>
        <w:spacing w:line="360" w:lineRule="auto"/>
        <w:rPr>
          <w:rFonts w:hint="eastAsia" w:ascii="宋体" w:hAnsi="宋体" w:eastAsia="宋体" w:cs="宋体"/>
          <w:sz w:val="24"/>
        </w:rPr>
      </w:pPr>
      <w:r>
        <w:rPr>
          <w:rFonts w:hint="eastAsia" w:ascii="宋体" w:hAnsi="宋体" w:eastAsia="宋体" w:cs="宋体"/>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hint="eastAsia" w:ascii="宋体" w:hAnsi="宋体" w:eastAsia="宋体" w:cs="宋体"/>
          <w:color w:val="000000" w:themeColor="text1"/>
          <w:sz w:val="24"/>
          <w14:textFill>
            <w14:solidFill>
              <w14:schemeClr w14:val="tx1"/>
            </w14:solidFill>
          </w14:textFill>
        </w:rPr>
        <w:t>否则不享受相关中小企业扶持政策</w:t>
      </w:r>
      <w:r>
        <w:rPr>
          <w:rFonts w:hint="eastAsia" w:ascii="宋体" w:hAnsi="宋体" w:eastAsia="宋体" w:cs="宋体"/>
          <w:sz w:val="24"/>
        </w:rPr>
        <w:t>。</w:t>
      </w:r>
    </w:p>
    <w:p w14:paraId="7171CBF9">
      <w:pPr>
        <w:tabs>
          <w:tab w:val="left" w:pos="5580"/>
        </w:tabs>
        <w:spacing w:line="360" w:lineRule="auto"/>
        <w:rPr>
          <w:rFonts w:hint="eastAsia" w:ascii="宋体" w:hAnsi="宋体" w:eastAsia="宋体" w:cs="宋体"/>
          <w:sz w:val="24"/>
        </w:rPr>
      </w:pPr>
      <w:r>
        <w:rPr>
          <w:rFonts w:hint="eastAsia" w:ascii="宋体" w:hAnsi="宋体" w:eastAsia="宋体" w:cs="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1256EDFC">
      <w:pPr>
        <w:tabs>
          <w:tab w:val="left" w:pos="5580"/>
        </w:tabs>
        <w:spacing w:line="360" w:lineRule="auto"/>
        <w:rPr>
          <w:rFonts w:hint="eastAsia" w:ascii="宋体" w:hAnsi="宋体" w:eastAsia="宋体" w:cs="宋体"/>
          <w:sz w:val="24"/>
        </w:rPr>
      </w:pPr>
      <w:r>
        <w:rPr>
          <w:rFonts w:hint="eastAsia" w:ascii="宋体" w:hAnsi="宋体" w:eastAsia="宋体" w:cs="宋体"/>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FAC19F7">
      <w:pPr>
        <w:tabs>
          <w:tab w:val="left" w:pos="5580"/>
        </w:tabs>
        <w:spacing w:line="360" w:lineRule="auto"/>
        <w:rPr>
          <w:rFonts w:hint="eastAsia" w:ascii="宋体" w:hAnsi="宋体" w:eastAsia="宋体" w:cs="宋体"/>
          <w:sz w:val="24"/>
        </w:rPr>
      </w:pPr>
      <w:r>
        <w:rPr>
          <w:rFonts w:hint="eastAsia" w:ascii="宋体" w:hAnsi="宋体" w:eastAsia="宋体" w:cs="宋体"/>
          <w:sz w:val="24"/>
        </w:rPr>
        <w:t>（4）中小企业声明函填写注意事项</w:t>
      </w:r>
    </w:p>
    <w:p w14:paraId="22A1251B">
      <w:pPr>
        <w:tabs>
          <w:tab w:val="left" w:pos="5580"/>
        </w:tabs>
        <w:spacing w:line="360" w:lineRule="auto"/>
        <w:rPr>
          <w:rFonts w:hint="eastAsia" w:ascii="宋体" w:hAnsi="宋体" w:eastAsia="宋体" w:cs="宋体"/>
          <w:sz w:val="24"/>
        </w:rPr>
      </w:pPr>
      <w:r>
        <w:rPr>
          <w:rFonts w:hint="eastAsia" w:ascii="宋体" w:hAnsi="宋体" w:eastAsia="宋体" w:cs="宋体"/>
          <w:sz w:val="24"/>
        </w:rPr>
        <w:t>1）《中小企业声明函》由参加政府采购活动的供应商出具。联合体参与的，《中小企业声明函》可由牵头人出具。</w:t>
      </w:r>
    </w:p>
    <w:p w14:paraId="6DACEC90">
      <w:pPr>
        <w:tabs>
          <w:tab w:val="left" w:pos="5580"/>
        </w:tabs>
        <w:spacing w:line="360" w:lineRule="auto"/>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0E2D11C">
      <w:pPr>
        <w:tabs>
          <w:tab w:val="left" w:pos="5580"/>
        </w:tabs>
        <w:spacing w:line="360" w:lineRule="auto"/>
        <w:rPr>
          <w:rFonts w:hint="eastAsia" w:ascii="宋体" w:hAnsi="宋体" w:eastAsia="宋体" w:cs="宋体"/>
          <w:sz w:val="24"/>
        </w:rPr>
      </w:pPr>
      <w:r>
        <w:rPr>
          <w:rFonts w:hint="eastAsia" w:ascii="宋体" w:hAnsi="宋体" w:eastAsia="宋体" w:cs="宋体"/>
          <w:sz w:val="24"/>
        </w:rPr>
        <w:t>3）对于多标的采购项目，供应商应充分、准确地了解所提供货物的制造企业、提供服务的承接企业信息。对相关情况了解不清楚的，不建议填报本声明函。</w:t>
      </w:r>
    </w:p>
    <w:p w14:paraId="3B57EADF">
      <w:pPr>
        <w:tabs>
          <w:tab w:val="left" w:pos="5580"/>
        </w:tabs>
        <w:spacing w:line="360" w:lineRule="auto"/>
        <w:rPr>
          <w:rFonts w:hint="eastAsia" w:ascii="宋体" w:hAnsi="宋体" w:eastAsia="宋体" w:cs="宋体"/>
          <w:b/>
          <w:bCs/>
          <w:color w:val="000000"/>
          <w:sz w:val="36"/>
          <w:szCs w:val="36"/>
        </w:rPr>
      </w:pPr>
      <w:r>
        <w:rPr>
          <w:rFonts w:hint="eastAsia" w:ascii="宋体" w:hAnsi="宋体" w:eastAsia="宋体" w:cs="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r>
        <w:rPr>
          <w:rFonts w:hint="eastAsia" w:ascii="宋体" w:hAnsi="宋体" w:eastAsia="宋体" w:cs="宋体"/>
          <w:b/>
          <w:bCs/>
          <w:color w:val="000000"/>
          <w:sz w:val="36"/>
          <w:szCs w:val="36"/>
        </w:rPr>
        <w:br w:type="page"/>
      </w:r>
    </w:p>
    <w:p w14:paraId="41383E57">
      <w:pPr>
        <w:pStyle w:val="6"/>
        <w:rPr>
          <w:rFonts w:hint="eastAsia" w:ascii="宋体" w:hAnsi="宋体" w:eastAsia="宋体" w:cs="宋体"/>
          <w:sz w:val="24"/>
          <w:szCs w:val="24"/>
        </w:rPr>
      </w:pPr>
      <w:r>
        <w:rPr>
          <w:rFonts w:hint="eastAsia" w:ascii="宋体" w:hAnsi="宋体" w:eastAsia="宋体" w:cs="宋体"/>
          <w:sz w:val="24"/>
          <w:szCs w:val="24"/>
        </w:rPr>
        <w:t>2-1-1 中小企业证明文件</w:t>
      </w:r>
    </w:p>
    <w:p w14:paraId="6270926F">
      <w:pPr>
        <w:spacing w:before="240" w:beforeLines="100" w:after="24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中小企业声明函（货物）格式（不适用）</w:t>
      </w:r>
    </w:p>
    <w:p w14:paraId="0C7C10EC">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18A7F18">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 xml:space="preserve"> （标的名称）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6CCBB574">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 xml:space="preserve">2. </w:t>
      </w:r>
      <w:r>
        <w:rPr>
          <w:rFonts w:hint="eastAsia" w:ascii="宋体" w:hAnsi="宋体" w:eastAsia="宋体" w:cs="宋体"/>
          <w:spacing w:val="6"/>
          <w:sz w:val="24"/>
          <w:u w:val="single"/>
        </w:rPr>
        <w:t xml:space="preserve">（标的名称）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04357152">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68F3F001">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3156433E">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27AAED52">
      <w:pPr>
        <w:spacing w:line="360" w:lineRule="auto"/>
        <w:ind w:firstLine="504"/>
        <w:rPr>
          <w:rFonts w:hint="eastAsia" w:ascii="宋体" w:hAnsi="宋体" w:eastAsia="宋体" w:cs="宋体"/>
          <w:spacing w:val="6"/>
          <w:sz w:val="24"/>
        </w:rPr>
      </w:pPr>
    </w:p>
    <w:p w14:paraId="1DDEE073">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w:t>
      </w:r>
      <w:r>
        <w:rPr>
          <w:rFonts w:hint="eastAsia" w:ascii="宋体" w:hAnsi="宋体" w:eastAsia="宋体" w:cs="宋体"/>
          <w:sz w:val="24"/>
        </w:rPr>
        <w:t>______</w:t>
      </w:r>
    </w:p>
    <w:p w14:paraId="230E5D61">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w:t>
      </w:r>
      <w:r>
        <w:rPr>
          <w:rFonts w:hint="eastAsia" w:ascii="宋体" w:hAnsi="宋体" w:eastAsia="宋体" w:cs="宋体"/>
          <w:sz w:val="24"/>
        </w:rPr>
        <w:t>______</w:t>
      </w:r>
    </w:p>
    <w:p w14:paraId="66F0EE70">
      <w:pPr>
        <w:spacing w:line="360" w:lineRule="auto"/>
        <w:ind w:right="360" w:firstLine="480"/>
        <w:jc w:val="right"/>
        <w:rPr>
          <w:rFonts w:hint="eastAsia" w:ascii="宋体" w:hAnsi="宋体" w:eastAsia="宋体" w:cs="宋体"/>
          <w:color w:val="000000"/>
          <w:sz w:val="24"/>
        </w:rPr>
      </w:pPr>
    </w:p>
    <w:p w14:paraId="4FCE4612">
      <w:pPr>
        <w:spacing w:line="360" w:lineRule="auto"/>
        <w:ind w:right="360" w:firstLine="480"/>
        <w:jc w:val="right"/>
        <w:rPr>
          <w:rFonts w:hint="eastAsia" w:ascii="宋体" w:hAnsi="宋体" w:eastAsia="宋体" w:cs="宋体"/>
          <w:color w:val="000000"/>
          <w:sz w:val="24"/>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3C4CDE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F737A07">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1C325248">
      <w:pPr>
        <w:autoSpaceDE w:val="0"/>
        <w:autoSpaceDN w:val="0"/>
        <w:adjustRightInd w:val="0"/>
        <w:ind w:firstLine="420"/>
        <w:jc w:val="left"/>
        <w:rPr>
          <w:rFonts w:hint="eastAsia" w:ascii="宋体" w:hAnsi="宋体" w:eastAsia="宋体" w:cs="宋体"/>
          <w:sz w:val="24"/>
        </w:rPr>
      </w:pPr>
    </w:p>
    <w:p w14:paraId="08099B9B">
      <w:pPr>
        <w:spacing w:line="360" w:lineRule="auto"/>
        <w:rPr>
          <w:rFonts w:hint="eastAsia" w:ascii="宋体" w:hAnsi="宋体" w:eastAsia="宋体" w:cs="宋体"/>
          <w:color w:val="000000"/>
          <w:sz w:val="24"/>
        </w:rPr>
      </w:pPr>
    </w:p>
    <w:p w14:paraId="56525853">
      <w:pPr>
        <w:spacing w:before="240" w:beforeLines="100" w:after="240" w:afterLines="100" w:line="360" w:lineRule="auto"/>
        <w:jc w:val="center"/>
        <w:rPr>
          <w:rFonts w:hint="eastAsia" w:ascii="宋体" w:hAnsi="宋体" w:eastAsia="宋体" w:cs="宋体"/>
          <w:b/>
          <w:bCs/>
          <w:color w:val="000000"/>
          <w:sz w:val="36"/>
          <w:szCs w:val="36"/>
        </w:rPr>
      </w:pPr>
      <w:r>
        <w:rPr>
          <w:rFonts w:hint="eastAsia" w:ascii="宋体" w:hAnsi="宋体" w:eastAsia="宋体" w:cs="宋体"/>
          <w:color w:val="000000"/>
          <w:sz w:val="24"/>
        </w:rPr>
        <w:br w:type="page"/>
      </w:r>
      <w:r>
        <w:rPr>
          <w:rFonts w:hint="eastAsia" w:ascii="宋体" w:hAnsi="宋体" w:eastAsia="宋体" w:cs="宋体"/>
          <w:b/>
          <w:bCs/>
          <w:color w:val="000000"/>
          <w:sz w:val="36"/>
          <w:szCs w:val="36"/>
        </w:rPr>
        <w:t>中小企业声明函（工程、服务）格式</w:t>
      </w:r>
    </w:p>
    <w:p w14:paraId="5558B478">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357BC9B">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 xml:space="preserve"> （标的名称）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z w:val="24"/>
        </w:rPr>
        <w:t>______</w:t>
      </w:r>
      <w:r>
        <w:rPr>
          <w:rFonts w:hint="eastAsia" w:ascii="宋体" w:hAnsi="宋体" w:eastAsia="宋体" w:cs="宋体"/>
          <w:spacing w:val="6"/>
          <w:sz w:val="24"/>
        </w:rPr>
        <w:t>人，营业收入为</w:t>
      </w:r>
      <w:r>
        <w:rPr>
          <w:rFonts w:hint="eastAsia" w:ascii="宋体" w:hAnsi="宋体" w:eastAsia="宋体" w:cs="宋体"/>
          <w:sz w:val="24"/>
        </w:rPr>
        <w:t>______</w:t>
      </w:r>
      <w:r>
        <w:rPr>
          <w:rFonts w:hint="eastAsia" w:ascii="宋体" w:hAnsi="宋体" w:eastAsia="宋体" w:cs="宋体"/>
          <w:spacing w:val="6"/>
          <w:sz w:val="24"/>
        </w:rPr>
        <w:t>万元，资产总额为</w:t>
      </w:r>
      <w:r>
        <w:rPr>
          <w:rFonts w:hint="eastAsia" w:ascii="宋体" w:hAnsi="宋体" w:eastAsia="宋体" w:cs="宋体"/>
          <w:sz w:val="24"/>
        </w:rPr>
        <w:t>______</w:t>
      </w:r>
      <w:r>
        <w:rPr>
          <w:rFonts w:hint="eastAsia" w:ascii="宋体" w:hAnsi="宋体" w:eastAsia="宋体" w:cs="宋体"/>
          <w:spacing w:val="6"/>
          <w:sz w:val="24"/>
        </w:rPr>
        <w:t>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，属于（中型企业、小型企业、微型企业）；</w:t>
      </w:r>
    </w:p>
    <w:p w14:paraId="79C24B08">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 xml:space="preserve">2. </w:t>
      </w:r>
      <w:r>
        <w:rPr>
          <w:rFonts w:hint="eastAsia" w:ascii="宋体" w:hAnsi="宋体" w:eastAsia="宋体" w:cs="宋体"/>
          <w:spacing w:val="6"/>
          <w:sz w:val="24"/>
          <w:u w:val="single"/>
        </w:rPr>
        <w:t xml:space="preserve">（标的名称）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z w:val="24"/>
        </w:rPr>
        <w:t>______</w:t>
      </w:r>
      <w:r>
        <w:rPr>
          <w:rFonts w:hint="eastAsia" w:ascii="宋体" w:hAnsi="宋体" w:eastAsia="宋体" w:cs="宋体"/>
          <w:spacing w:val="6"/>
          <w:sz w:val="24"/>
        </w:rPr>
        <w:t>人，营业收入为</w:t>
      </w:r>
      <w:r>
        <w:rPr>
          <w:rFonts w:hint="eastAsia" w:ascii="宋体" w:hAnsi="宋体" w:eastAsia="宋体" w:cs="宋体"/>
          <w:sz w:val="24"/>
        </w:rPr>
        <w:t>______</w:t>
      </w:r>
      <w:r>
        <w:rPr>
          <w:rFonts w:hint="eastAsia" w:ascii="宋体" w:hAnsi="宋体" w:eastAsia="宋体" w:cs="宋体"/>
          <w:spacing w:val="6"/>
          <w:sz w:val="24"/>
        </w:rPr>
        <w:t>万元，资产总额为</w:t>
      </w:r>
      <w:r>
        <w:rPr>
          <w:rFonts w:hint="eastAsia" w:ascii="宋体" w:hAnsi="宋体" w:eastAsia="宋体" w:cs="宋体"/>
          <w:sz w:val="24"/>
        </w:rPr>
        <w:t>______</w:t>
      </w:r>
      <w:r>
        <w:rPr>
          <w:rFonts w:hint="eastAsia" w:ascii="宋体" w:hAnsi="宋体" w:eastAsia="宋体" w:cs="宋体"/>
          <w:spacing w:val="6"/>
          <w:sz w:val="24"/>
        </w:rPr>
        <w:t>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1D9C7770">
      <w:pPr>
        <w:spacing w:line="360" w:lineRule="auto"/>
        <w:ind w:firstLine="504"/>
        <w:rPr>
          <w:rFonts w:hint="eastAsia" w:ascii="宋体" w:hAnsi="宋体" w:eastAsia="宋体" w:cs="宋体"/>
          <w:spacing w:val="6"/>
          <w:sz w:val="24"/>
        </w:rPr>
      </w:pPr>
    </w:p>
    <w:p w14:paraId="681DB42D">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26A2FE33">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56C04006">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1F8FFBCA">
      <w:pPr>
        <w:spacing w:line="360" w:lineRule="auto"/>
        <w:ind w:right="360" w:firstLine="480"/>
        <w:jc w:val="right"/>
        <w:rPr>
          <w:rFonts w:hint="eastAsia" w:ascii="宋体" w:hAnsi="宋体" w:eastAsia="宋体" w:cs="宋体"/>
          <w:color w:val="000000"/>
          <w:sz w:val="24"/>
        </w:rPr>
      </w:pPr>
    </w:p>
    <w:p w14:paraId="103DA62F">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w:t>
      </w:r>
      <w:r>
        <w:rPr>
          <w:rFonts w:hint="eastAsia" w:ascii="宋体" w:hAnsi="宋体" w:eastAsia="宋体" w:cs="宋体"/>
          <w:sz w:val="24"/>
        </w:rPr>
        <w:t>______</w:t>
      </w:r>
    </w:p>
    <w:p w14:paraId="4AA81749">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w:t>
      </w:r>
      <w:r>
        <w:rPr>
          <w:rFonts w:hint="eastAsia" w:ascii="宋体" w:hAnsi="宋体" w:eastAsia="宋体" w:cs="宋体"/>
          <w:sz w:val="24"/>
        </w:rPr>
        <w:t>______</w:t>
      </w:r>
    </w:p>
    <w:p w14:paraId="1CED9E2B">
      <w:pPr>
        <w:adjustRightInd w:val="0"/>
        <w:snapToGrid w:val="0"/>
        <w:jc w:val="left"/>
        <w:rPr>
          <w:rFonts w:hint="eastAsia" w:ascii="宋体" w:hAnsi="宋体" w:eastAsia="宋体" w:cs="宋体"/>
          <w:color w:val="000000"/>
          <w:sz w:val="24"/>
          <w:szCs w:val="21"/>
        </w:rPr>
      </w:pPr>
    </w:p>
    <w:p w14:paraId="4424CFFE">
      <w:pPr>
        <w:adjustRightInd w:val="0"/>
        <w:snapToGrid w:val="0"/>
        <w:jc w:val="left"/>
        <w:rPr>
          <w:rFonts w:hint="eastAsia" w:ascii="宋体" w:hAnsi="宋体" w:eastAsia="宋体" w:cs="宋体"/>
          <w:color w:val="000000"/>
          <w:sz w:val="24"/>
          <w:szCs w:val="21"/>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50815A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9CA6642">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0587D148">
      <w:pPr>
        <w:adjustRightInd w:val="0"/>
        <w:snapToGrid w:val="0"/>
        <w:jc w:val="left"/>
        <w:rPr>
          <w:rFonts w:hint="eastAsia" w:ascii="宋体" w:hAnsi="宋体" w:eastAsia="宋体" w:cs="宋体"/>
          <w:color w:val="000000"/>
          <w:szCs w:val="21"/>
          <w:vertAlign w:val="superscript"/>
        </w:rPr>
      </w:pPr>
    </w:p>
    <w:p w14:paraId="2474D38A">
      <w:pPr>
        <w:spacing w:line="360" w:lineRule="auto"/>
        <w:ind w:right="360" w:firstLine="480"/>
        <w:jc w:val="right"/>
        <w:rPr>
          <w:rFonts w:hint="eastAsia" w:ascii="宋体" w:hAnsi="宋体" w:eastAsia="宋体" w:cs="宋体"/>
          <w:color w:val="000000"/>
          <w:sz w:val="24"/>
        </w:rPr>
      </w:pPr>
    </w:p>
    <w:p w14:paraId="595C8C35">
      <w:pPr>
        <w:spacing w:line="360" w:lineRule="auto"/>
        <w:ind w:right="360" w:firstLine="480"/>
        <w:jc w:val="right"/>
        <w:rPr>
          <w:rFonts w:hint="eastAsia" w:ascii="宋体" w:hAnsi="宋体" w:eastAsia="宋体" w:cs="宋体"/>
          <w:color w:val="000000"/>
          <w:sz w:val="24"/>
        </w:rPr>
      </w:pPr>
    </w:p>
    <w:p w14:paraId="4702DC94">
      <w:pPr>
        <w:spacing w:line="360" w:lineRule="auto"/>
        <w:ind w:right="360" w:firstLine="480"/>
        <w:jc w:val="righ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430FA247">
      <w:pPr>
        <w:spacing w:before="240" w:beforeLines="100" w:after="24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残疾人福利性单位声明函格式</w:t>
      </w:r>
      <w:r>
        <w:rPr>
          <w:rFonts w:hint="eastAsia" w:ascii="宋体" w:hAnsi="宋体" w:eastAsia="宋体" w:cs="宋体"/>
          <w:b/>
          <w:color w:val="000000"/>
          <w:sz w:val="36"/>
          <w:szCs w:val="36"/>
        </w:rPr>
        <w:t xml:space="preserve">       </w:t>
      </w:r>
    </w:p>
    <w:p w14:paraId="31537BE8">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w:t>
      </w:r>
      <w:r>
        <w:rPr>
          <w:rFonts w:hint="eastAsia" w:ascii="宋体" w:hAnsi="宋体" w:eastAsia="宋体" w:cs="宋体"/>
          <w:b/>
          <w:sz w:val="24"/>
        </w:rPr>
        <w:t>（请进行选择）</w:t>
      </w:r>
      <w:r>
        <w:rPr>
          <w:rFonts w:hint="eastAsia" w:ascii="宋体" w:hAnsi="宋体" w:eastAsia="宋体" w:cs="宋体"/>
          <w:spacing w:val="6"/>
          <w:sz w:val="24"/>
        </w:rPr>
        <w:t>：</w:t>
      </w:r>
    </w:p>
    <w:p w14:paraId="165D3924">
      <w:pPr>
        <w:spacing w:line="588" w:lineRule="exact"/>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396F9663">
      <w:pPr>
        <w:spacing w:line="588" w:lineRule="exact"/>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w:t>
      </w:r>
      <w:r>
        <w:rPr>
          <w:rFonts w:hint="eastAsia" w:ascii="宋体" w:hAnsi="宋体" w:eastAsia="宋体" w:cs="宋体"/>
          <w:sz w:val="24"/>
        </w:rPr>
        <w:t>______</w:t>
      </w:r>
      <w:r>
        <w:rPr>
          <w:rFonts w:hint="eastAsia" w:ascii="宋体" w:hAnsi="宋体" w:eastAsia="宋体" w:cs="宋体"/>
          <w:spacing w:val="6"/>
          <w:sz w:val="24"/>
        </w:rPr>
        <w:t>单位的</w:t>
      </w:r>
      <w:r>
        <w:rPr>
          <w:rFonts w:hint="eastAsia" w:ascii="宋体" w:hAnsi="宋体" w:eastAsia="宋体" w:cs="宋体"/>
          <w:sz w:val="24"/>
        </w:rPr>
        <w:t>______</w:t>
      </w:r>
      <w:r>
        <w:rPr>
          <w:rFonts w:hint="eastAsia" w:ascii="宋体" w:hAnsi="宋体" w:eastAsia="宋体" w:cs="宋体"/>
          <w:spacing w:val="6"/>
          <w:sz w:val="24"/>
        </w:rPr>
        <w:t>项目采购活动提供本单位制造的货物（由本单位承担工程/提供服务），或者提供其他残疾人福利性单位制造的货物（不包括使用非残疾人福利性单位注册商标的货物）。</w:t>
      </w:r>
    </w:p>
    <w:p w14:paraId="34B9C6F9">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4E93937B">
      <w:pPr>
        <w:spacing w:line="588" w:lineRule="exact"/>
        <w:ind w:firstLine="504" w:firstLineChars="200"/>
        <w:rPr>
          <w:rFonts w:hint="eastAsia" w:ascii="宋体" w:hAnsi="宋体" w:eastAsia="宋体" w:cs="宋体"/>
          <w:spacing w:val="6"/>
          <w:sz w:val="24"/>
        </w:rPr>
      </w:pPr>
    </w:p>
    <w:p w14:paraId="323DBC52">
      <w:pPr>
        <w:spacing w:line="588" w:lineRule="exact"/>
        <w:ind w:firstLine="504" w:firstLineChars="200"/>
        <w:rPr>
          <w:rFonts w:hint="eastAsia" w:ascii="宋体" w:hAnsi="宋体" w:eastAsia="宋体" w:cs="宋体"/>
          <w:spacing w:val="6"/>
          <w:sz w:val="24"/>
        </w:rPr>
      </w:pPr>
    </w:p>
    <w:p w14:paraId="01CDC87C">
      <w:pPr>
        <w:tabs>
          <w:tab w:val="left" w:pos="4860"/>
        </w:tabs>
        <w:spacing w:line="588" w:lineRule="exact"/>
        <w:ind w:right="1560" w:firstLine="504" w:firstLineChars="200"/>
        <w:jc w:val="right"/>
        <w:rPr>
          <w:rFonts w:hint="eastAsia" w:ascii="宋体" w:hAnsi="宋体" w:eastAsia="宋体" w:cs="宋体"/>
          <w:spacing w:val="6"/>
          <w:sz w:val="24"/>
        </w:rPr>
      </w:pPr>
      <w:r>
        <w:rPr>
          <w:rFonts w:hint="eastAsia" w:ascii="宋体" w:hAnsi="宋体" w:eastAsia="宋体" w:cs="宋体"/>
          <w:spacing w:val="6"/>
          <w:sz w:val="24"/>
        </w:rPr>
        <w:t xml:space="preserve">          单位名称（盖章）：</w:t>
      </w:r>
      <w:r>
        <w:rPr>
          <w:rFonts w:hint="eastAsia" w:ascii="宋体" w:hAnsi="宋体" w:eastAsia="宋体" w:cs="宋体"/>
          <w:sz w:val="24"/>
        </w:rPr>
        <w:t>______</w:t>
      </w:r>
    </w:p>
    <w:p w14:paraId="01F2BE43">
      <w:pPr>
        <w:tabs>
          <w:tab w:val="left" w:pos="4860"/>
        </w:tabs>
        <w:spacing w:line="588" w:lineRule="exact"/>
        <w:ind w:right="1560" w:firstLine="504" w:firstLineChars="200"/>
        <w:jc w:val="right"/>
        <w:rPr>
          <w:rFonts w:hint="eastAsia" w:ascii="宋体" w:hAnsi="宋体" w:eastAsia="宋体" w:cs="宋体"/>
          <w:spacing w:val="6"/>
          <w:sz w:val="24"/>
        </w:rPr>
      </w:pPr>
      <w:r>
        <w:rPr>
          <w:rFonts w:hint="eastAsia" w:ascii="宋体" w:hAnsi="宋体" w:eastAsia="宋体" w:cs="宋体"/>
          <w:spacing w:val="6"/>
          <w:sz w:val="24"/>
        </w:rPr>
        <w:t xml:space="preserve">       日  期：</w:t>
      </w:r>
      <w:r>
        <w:rPr>
          <w:rFonts w:hint="eastAsia" w:ascii="宋体" w:hAnsi="宋体" w:eastAsia="宋体" w:cs="宋体"/>
          <w:sz w:val="24"/>
        </w:rPr>
        <w:t>______</w:t>
      </w:r>
    </w:p>
    <w:p w14:paraId="69D5BDC1">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1F9988DD">
      <w:pPr>
        <w:pStyle w:val="6"/>
        <w:rPr>
          <w:rFonts w:hint="eastAsia" w:ascii="宋体" w:hAnsi="宋体" w:eastAsia="宋体" w:cs="宋体"/>
          <w:b w:val="0"/>
          <w:color w:val="000000"/>
          <w:sz w:val="24"/>
        </w:rPr>
      </w:pPr>
      <w:r>
        <w:rPr>
          <w:rFonts w:hint="eastAsia" w:ascii="宋体" w:hAnsi="宋体" w:eastAsia="宋体" w:cs="宋体"/>
          <w:b w:val="0"/>
          <w:color w:val="000000"/>
          <w:sz w:val="24"/>
        </w:rPr>
        <w:t>2-1-2 拟分包情况说明及分包意向协议</w:t>
      </w:r>
    </w:p>
    <w:p w14:paraId="2D2E1296">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2D8A6292">
      <w:pPr>
        <w:tabs>
          <w:tab w:val="left" w:pos="5580"/>
        </w:tabs>
        <w:spacing w:line="360" w:lineRule="auto"/>
        <w:rPr>
          <w:rFonts w:hint="eastAsia" w:ascii="宋体" w:hAnsi="宋体" w:eastAsia="宋体" w:cs="宋体"/>
          <w:sz w:val="24"/>
        </w:rPr>
      </w:pPr>
      <w:r>
        <w:rPr>
          <w:rFonts w:hint="eastAsia" w:ascii="宋体" w:hAnsi="宋体" w:eastAsia="宋体" w:cs="宋体"/>
          <w:sz w:val="24"/>
        </w:rPr>
        <w:t>如本项目（包）允许分包，且供应商拟进行分包时：</w:t>
      </w:r>
    </w:p>
    <w:p w14:paraId="1D5D05EC">
      <w:pPr>
        <w:tabs>
          <w:tab w:val="left" w:pos="5580"/>
        </w:tabs>
        <w:spacing w:line="360" w:lineRule="auto"/>
        <w:rPr>
          <w:rFonts w:hint="eastAsia" w:ascii="宋体" w:hAnsi="宋体" w:eastAsia="宋体" w:cs="宋体"/>
          <w:sz w:val="24"/>
        </w:rPr>
      </w:pPr>
      <w:r>
        <w:rPr>
          <w:rFonts w:hint="eastAsia" w:ascii="宋体" w:hAnsi="宋体" w:eastAsia="宋体" w:cs="宋体"/>
          <w:sz w:val="24"/>
        </w:rPr>
        <w:t>（1）响应文件中须提供《拟分包情况说明》，否则</w:t>
      </w:r>
      <w:r>
        <w:rPr>
          <w:rFonts w:hint="eastAsia" w:ascii="宋体" w:hAnsi="宋体" w:eastAsia="宋体" w:cs="宋体"/>
          <w:b/>
          <w:sz w:val="24"/>
        </w:rPr>
        <w:t>响应无效</w:t>
      </w:r>
      <w:r>
        <w:rPr>
          <w:rFonts w:hint="eastAsia" w:ascii="宋体" w:hAnsi="宋体" w:eastAsia="宋体" w:cs="宋体"/>
          <w:sz w:val="24"/>
        </w:rPr>
        <w:t>；</w:t>
      </w:r>
    </w:p>
    <w:p w14:paraId="3833164B">
      <w:pPr>
        <w:tabs>
          <w:tab w:val="left" w:pos="5580"/>
        </w:tabs>
        <w:spacing w:line="360" w:lineRule="auto"/>
        <w:rPr>
          <w:rFonts w:hint="eastAsia" w:ascii="宋体" w:hAnsi="宋体" w:eastAsia="宋体" w:cs="宋体"/>
          <w:sz w:val="24"/>
        </w:rPr>
      </w:pPr>
      <w:r>
        <w:rPr>
          <w:rFonts w:hint="eastAsia" w:ascii="宋体" w:hAnsi="宋体" w:eastAsia="宋体" w:cs="宋体"/>
          <w:sz w:val="24"/>
        </w:rPr>
        <w:t>（2）当同时符合下列情形时，响应文件还须提供《分包意向协议》，否则</w:t>
      </w:r>
      <w:r>
        <w:rPr>
          <w:rFonts w:hint="eastAsia" w:ascii="宋体" w:hAnsi="宋体" w:eastAsia="宋体" w:cs="宋体"/>
          <w:b/>
          <w:sz w:val="24"/>
        </w:rPr>
        <w:t>响应无效</w:t>
      </w:r>
      <w:r>
        <w:rPr>
          <w:rFonts w:hint="eastAsia" w:ascii="宋体" w:hAnsi="宋体" w:eastAsia="宋体" w:cs="宋体"/>
          <w:sz w:val="24"/>
        </w:rPr>
        <w:t>：</w:t>
      </w:r>
    </w:p>
    <w:p w14:paraId="67A23E7F">
      <w:pPr>
        <w:tabs>
          <w:tab w:val="left" w:pos="5580"/>
        </w:tabs>
        <w:spacing w:line="360" w:lineRule="auto"/>
        <w:ind w:left="567" w:leftChars="270"/>
        <w:rPr>
          <w:rFonts w:hint="eastAsia" w:ascii="宋体" w:hAnsi="宋体" w:eastAsia="宋体" w:cs="宋体"/>
          <w:sz w:val="24"/>
        </w:rPr>
      </w:pPr>
      <w:r>
        <w:rPr>
          <w:rFonts w:hint="eastAsia" w:ascii="宋体" w:hAnsi="宋体" w:eastAsia="宋体" w:cs="宋体"/>
          <w:sz w:val="24"/>
        </w:rPr>
        <w:t>A. 本项目（包）预留部分采购项目预算专门面向中小企业采购，且要求获得采购合同的供应商将采购项目中的一定比例分包给一家或者多家中小企业的；</w:t>
      </w:r>
    </w:p>
    <w:p w14:paraId="4109EDE1">
      <w:pPr>
        <w:tabs>
          <w:tab w:val="left" w:pos="5580"/>
        </w:tabs>
        <w:spacing w:line="360" w:lineRule="auto"/>
        <w:ind w:left="567" w:leftChars="270"/>
        <w:rPr>
          <w:rFonts w:hint="eastAsia" w:ascii="宋体" w:hAnsi="宋体" w:eastAsia="宋体" w:cs="宋体"/>
          <w:sz w:val="24"/>
        </w:rPr>
      </w:pPr>
      <w:r>
        <w:rPr>
          <w:rFonts w:hint="eastAsia" w:ascii="宋体" w:hAnsi="宋体" w:eastAsia="宋体" w:cs="宋体"/>
          <w:sz w:val="24"/>
        </w:rPr>
        <w:t>B. 供应商通过分包方式满足中小企业政策要求的。</w:t>
      </w:r>
    </w:p>
    <w:p w14:paraId="724B9870">
      <w:pPr>
        <w:autoSpaceDE w:val="0"/>
        <w:autoSpaceDN w:val="0"/>
        <w:adjustRightInd w:val="0"/>
        <w:rPr>
          <w:rFonts w:hint="eastAsia" w:ascii="宋体" w:hAnsi="宋体" w:eastAsia="宋体" w:cs="宋体"/>
          <w:color w:val="000000"/>
          <w:sz w:val="30"/>
          <w:szCs w:val="30"/>
        </w:rPr>
      </w:pPr>
    </w:p>
    <w:p w14:paraId="14FCE560">
      <w:pPr>
        <w:widowControl/>
        <w:jc w:val="left"/>
        <w:rPr>
          <w:rFonts w:hint="eastAsia" w:ascii="宋体" w:hAnsi="宋体" w:eastAsia="宋体" w:cs="宋体"/>
          <w:b/>
          <w:color w:val="000000"/>
          <w:sz w:val="36"/>
          <w:szCs w:val="36"/>
        </w:rPr>
      </w:pPr>
      <w:r>
        <w:rPr>
          <w:rFonts w:hint="eastAsia" w:ascii="宋体" w:hAnsi="宋体" w:eastAsia="宋体" w:cs="宋体"/>
          <w:b/>
          <w:color w:val="000000"/>
          <w:sz w:val="36"/>
          <w:szCs w:val="36"/>
        </w:rPr>
        <w:br w:type="page"/>
      </w:r>
    </w:p>
    <w:p w14:paraId="50D429F2">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拟分包情况说明</w:t>
      </w:r>
    </w:p>
    <w:p w14:paraId="399CC4F6">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3E3C5050">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286"/>
        <w:gridCol w:w="1512"/>
        <w:gridCol w:w="1125"/>
        <w:gridCol w:w="1560"/>
        <w:gridCol w:w="1497"/>
        <w:gridCol w:w="1563"/>
      </w:tblGrid>
      <w:tr w14:paraId="60725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481BC38">
            <w:pPr>
              <w:pStyle w:val="257"/>
              <w:jc w:val="center"/>
              <w:rPr>
                <w:rFonts w:hint="eastAsia" w:ascii="宋体" w:hAnsi="宋体" w:eastAsia="宋体" w:cs="宋体"/>
                <w:sz w:val="24"/>
              </w:rPr>
            </w:pPr>
            <w:r>
              <w:rPr>
                <w:rFonts w:hint="eastAsia" w:ascii="宋体" w:hAnsi="宋体" w:eastAsia="宋体" w:cs="宋体"/>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572CDBDA">
            <w:pPr>
              <w:pStyle w:val="257"/>
              <w:jc w:val="center"/>
              <w:rPr>
                <w:rFonts w:hint="eastAsia" w:ascii="宋体" w:hAnsi="宋体" w:eastAsia="宋体" w:cs="宋体"/>
                <w:sz w:val="24"/>
              </w:rPr>
            </w:pPr>
            <w:r>
              <w:rPr>
                <w:rFonts w:hint="eastAsia" w:ascii="宋体" w:hAnsi="宋体" w:eastAsia="宋体" w:cs="宋体"/>
                <w:sz w:val="24"/>
              </w:rPr>
              <w:t>分包承担</w:t>
            </w:r>
          </w:p>
          <w:p w14:paraId="0E7E23FB">
            <w:pPr>
              <w:pStyle w:val="257"/>
              <w:jc w:val="center"/>
              <w:rPr>
                <w:rFonts w:hint="eastAsia" w:ascii="宋体" w:hAnsi="宋体" w:eastAsia="宋体" w:cs="宋体"/>
                <w:sz w:val="24"/>
              </w:rPr>
            </w:pPr>
            <w:r>
              <w:rPr>
                <w:rFonts w:hint="eastAsia" w:ascii="宋体" w:hAnsi="宋体" w:eastAsia="宋体" w:cs="宋体"/>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41742BC4">
            <w:pPr>
              <w:pStyle w:val="257"/>
              <w:jc w:val="center"/>
              <w:rPr>
                <w:rFonts w:hint="eastAsia" w:ascii="宋体" w:hAnsi="宋体" w:eastAsia="宋体" w:cs="宋体"/>
                <w:sz w:val="24"/>
                <w:lang w:eastAsia="zh-CN"/>
              </w:rPr>
            </w:pPr>
            <w:r>
              <w:rPr>
                <w:rFonts w:hint="eastAsia" w:ascii="宋体" w:hAnsi="宋体" w:eastAsia="宋体" w:cs="宋体"/>
                <w:sz w:val="24"/>
                <w:lang w:eastAsia="zh-CN"/>
              </w:rPr>
              <w:t>分包承担</w:t>
            </w:r>
          </w:p>
          <w:p w14:paraId="33912759">
            <w:pPr>
              <w:pStyle w:val="257"/>
              <w:jc w:val="center"/>
              <w:rPr>
                <w:rFonts w:hint="eastAsia" w:ascii="宋体" w:hAnsi="宋体" w:eastAsia="宋体" w:cs="宋体"/>
                <w:sz w:val="24"/>
                <w:lang w:eastAsia="zh-CN"/>
              </w:rPr>
            </w:pPr>
            <w:r>
              <w:rPr>
                <w:rFonts w:hint="eastAsia" w:ascii="宋体" w:hAnsi="宋体" w:eastAsia="宋体" w:cs="宋体"/>
                <w:sz w:val="24"/>
                <w:lang w:eastAsia="zh-CN"/>
              </w:rPr>
              <w:t>主体类型</w:t>
            </w:r>
          </w:p>
          <w:p w14:paraId="3081A93F">
            <w:pPr>
              <w:pStyle w:val="257"/>
              <w:jc w:val="center"/>
              <w:rPr>
                <w:rFonts w:hint="eastAsia" w:ascii="宋体" w:hAnsi="宋体" w:eastAsia="宋体" w:cs="宋体"/>
                <w:sz w:val="24"/>
                <w:lang w:eastAsia="zh-CN"/>
              </w:rPr>
            </w:pPr>
            <w:r>
              <w:rPr>
                <w:rFonts w:hint="eastAsia" w:ascii="宋体" w:hAnsi="宋体" w:eastAsia="宋体" w:cs="宋体"/>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236E224F">
            <w:pPr>
              <w:pStyle w:val="257"/>
              <w:jc w:val="center"/>
              <w:rPr>
                <w:rFonts w:hint="eastAsia" w:ascii="宋体" w:hAnsi="宋体" w:eastAsia="宋体" w:cs="宋体"/>
                <w:sz w:val="24"/>
              </w:rPr>
            </w:pPr>
            <w:r>
              <w:rPr>
                <w:rFonts w:hint="eastAsia" w:ascii="宋体" w:hAnsi="宋体" w:eastAsia="宋体" w:cs="宋体"/>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783B2755">
            <w:pPr>
              <w:pStyle w:val="257"/>
              <w:jc w:val="center"/>
              <w:rPr>
                <w:rFonts w:hint="eastAsia" w:ascii="宋体" w:hAnsi="宋体" w:eastAsia="宋体" w:cs="宋体"/>
                <w:sz w:val="24"/>
              </w:rPr>
            </w:pPr>
            <w:r>
              <w:rPr>
                <w:rFonts w:hint="eastAsia" w:ascii="宋体" w:hAnsi="宋体" w:eastAsia="宋体" w:cs="宋体"/>
                <w:sz w:val="24"/>
              </w:rPr>
              <w:t>拟分包</w:t>
            </w:r>
          </w:p>
          <w:p w14:paraId="45E4D087">
            <w:pPr>
              <w:pStyle w:val="257"/>
              <w:jc w:val="center"/>
              <w:rPr>
                <w:rFonts w:hint="eastAsia" w:ascii="宋体" w:hAnsi="宋体" w:eastAsia="宋体" w:cs="宋体"/>
                <w:sz w:val="24"/>
              </w:rPr>
            </w:pPr>
            <w:r>
              <w:rPr>
                <w:rFonts w:hint="eastAsia" w:ascii="宋体" w:hAnsi="宋体" w:eastAsia="宋体" w:cs="宋体"/>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3F7A9445">
            <w:pPr>
              <w:pStyle w:val="257"/>
              <w:jc w:val="center"/>
              <w:rPr>
                <w:rFonts w:hint="eastAsia" w:ascii="宋体" w:hAnsi="宋体" w:eastAsia="宋体" w:cs="宋体"/>
                <w:sz w:val="24"/>
                <w:lang w:eastAsia="zh-CN"/>
              </w:rPr>
            </w:pPr>
            <w:r>
              <w:rPr>
                <w:rFonts w:hint="eastAsia" w:ascii="宋体" w:hAnsi="宋体" w:eastAsia="宋体" w:cs="宋体"/>
                <w:sz w:val="24"/>
                <w:lang w:eastAsia="zh-CN"/>
              </w:rPr>
              <w:t>拟分包</w:t>
            </w:r>
          </w:p>
          <w:p w14:paraId="64D719E5">
            <w:pPr>
              <w:pStyle w:val="257"/>
              <w:jc w:val="center"/>
              <w:rPr>
                <w:rFonts w:hint="eastAsia" w:ascii="宋体" w:hAnsi="宋体" w:eastAsia="宋体" w:cs="宋体"/>
                <w:sz w:val="24"/>
                <w:lang w:eastAsia="zh-CN"/>
              </w:rPr>
            </w:pPr>
            <w:r>
              <w:rPr>
                <w:rFonts w:hint="eastAsia" w:ascii="宋体" w:hAnsi="宋体" w:eastAsia="宋体" w:cs="宋体"/>
                <w:sz w:val="24"/>
                <w:lang w:eastAsia="zh-CN"/>
              </w:rPr>
              <w:t>合同金额</w:t>
            </w:r>
          </w:p>
          <w:p w14:paraId="63EEC057">
            <w:pPr>
              <w:pStyle w:val="257"/>
              <w:jc w:val="center"/>
              <w:rPr>
                <w:rFonts w:hint="eastAsia" w:ascii="宋体" w:hAnsi="宋体" w:eastAsia="宋体" w:cs="宋体"/>
                <w:sz w:val="24"/>
                <w:lang w:eastAsia="zh-CN"/>
              </w:rPr>
            </w:pPr>
            <w:r>
              <w:rPr>
                <w:rFonts w:hint="eastAsia" w:ascii="宋体" w:hAnsi="宋体" w:eastAsia="宋体" w:cs="宋体"/>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0D6679A8">
            <w:pPr>
              <w:pStyle w:val="257"/>
              <w:jc w:val="center"/>
              <w:rPr>
                <w:rFonts w:hint="eastAsia" w:ascii="宋体" w:hAnsi="宋体" w:eastAsia="宋体" w:cs="宋体"/>
                <w:sz w:val="24"/>
                <w:lang w:eastAsia="zh-CN"/>
              </w:rPr>
            </w:pPr>
            <w:r>
              <w:rPr>
                <w:rFonts w:hint="eastAsia" w:ascii="宋体" w:hAnsi="宋体" w:eastAsia="宋体" w:cs="宋体"/>
                <w:sz w:val="24"/>
                <w:lang w:eastAsia="zh-CN"/>
              </w:rPr>
              <w:t>占该采购包</w:t>
            </w:r>
          </w:p>
          <w:p w14:paraId="5659E40B">
            <w:pPr>
              <w:pStyle w:val="257"/>
              <w:jc w:val="center"/>
              <w:rPr>
                <w:rFonts w:hint="eastAsia" w:ascii="宋体" w:hAnsi="宋体" w:eastAsia="宋体" w:cs="宋体"/>
                <w:b/>
                <w:sz w:val="24"/>
                <w:lang w:eastAsia="zh-CN"/>
              </w:rPr>
            </w:pPr>
            <w:r>
              <w:rPr>
                <w:rFonts w:hint="eastAsia" w:ascii="宋体" w:hAnsi="宋体" w:eastAsia="宋体" w:cs="宋体"/>
                <w:b/>
                <w:sz w:val="24"/>
                <w:lang w:eastAsia="zh-CN"/>
              </w:rPr>
              <w:t>合同金额的</w:t>
            </w:r>
          </w:p>
          <w:p w14:paraId="2B7E15A1">
            <w:pPr>
              <w:pStyle w:val="257"/>
              <w:jc w:val="center"/>
              <w:rPr>
                <w:rFonts w:hint="eastAsia" w:ascii="宋体" w:hAnsi="宋体" w:eastAsia="宋体" w:cs="宋体"/>
                <w:sz w:val="24"/>
                <w:lang w:eastAsia="zh-CN"/>
              </w:rPr>
            </w:pPr>
            <w:r>
              <w:rPr>
                <w:rFonts w:hint="eastAsia" w:ascii="宋体" w:hAnsi="宋体" w:eastAsia="宋体" w:cs="宋体"/>
                <w:sz w:val="24"/>
                <w:lang w:eastAsia="zh-CN"/>
              </w:rPr>
              <w:t>比例（%）</w:t>
            </w:r>
          </w:p>
        </w:tc>
      </w:tr>
      <w:tr w14:paraId="2D116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E858995">
            <w:pPr>
              <w:pStyle w:val="257"/>
              <w:jc w:val="center"/>
              <w:rPr>
                <w:rFonts w:hint="eastAsia" w:ascii="宋体" w:hAnsi="宋体" w:eastAsia="宋体" w:cs="宋体"/>
                <w:sz w:val="24"/>
              </w:rPr>
            </w:pPr>
            <w:r>
              <w:rPr>
                <w:rFonts w:hint="eastAsia" w:ascii="宋体" w:hAnsi="宋体" w:eastAsia="宋体" w:cs="宋体"/>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6DD7004A">
            <w:pPr>
              <w:pStyle w:val="257"/>
              <w:jc w:val="center"/>
              <w:rPr>
                <w:rFonts w:hint="eastAsia" w:ascii="宋体" w:hAnsi="宋体" w:eastAsia="宋体" w:cs="宋体"/>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2EC9B41">
            <w:pPr>
              <w:pStyle w:val="257"/>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6643D7DE">
            <w:pPr>
              <w:pStyle w:val="257"/>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p w14:paraId="6BB74048">
            <w:pPr>
              <w:pStyle w:val="257"/>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58712AB">
            <w:pPr>
              <w:pStyle w:val="257"/>
              <w:jc w:val="center"/>
              <w:rPr>
                <w:rFonts w:hint="eastAsia" w:ascii="宋体" w:hAnsi="宋体" w:eastAsia="宋体" w:cs="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A2BE66F">
            <w:pPr>
              <w:pStyle w:val="257"/>
              <w:jc w:val="center"/>
              <w:rPr>
                <w:rFonts w:hint="eastAsia" w:ascii="宋体" w:hAnsi="宋体" w:eastAsia="宋体" w:cs="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3F05BF6D">
            <w:pPr>
              <w:pStyle w:val="257"/>
              <w:jc w:val="center"/>
              <w:rPr>
                <w:rFonts w:hint="eastAsia" w:ascii="宋体" w:hAnsi="宋体" w:eastAsia="宋体" w:cs="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30E6343">
            <w:pPr>
              <w:pStyle w:val="257"/>
              <w:jc w:val="center"/>
              <w:rPr>
                <w:rFonts w:hint="eastAsia" w:ascii="宋体" w:hAnsi="宋体" w:eastAsia="宋体" w:cs="宋体"/>
                <w:sz w:val="30"/>
                <w:lang w:eastAsia="zh-CN"/>
              </w:rPr>
            </w:pPr>
          </w:p>
        </w:tc>
      </w:tr>
      <w:tr w14:paraId="25709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B85C06B">
            <w:pPr>
              <w:pStyle w:val="257"/>
              <w:jc w:val="center"/>
              <w:rPr>
                <w:rFonts w:hint="eastAsia" w:ascii="宋体" w:hAnsi="宋体" w:eastAsia="宋体" w:cs="宋体"/>
                <w:sz w:val="24"/>
                <w:lang w:eastAsia="zh-CN"/>
              </w:rPr>
            </w:pPr>
            <w:r>
              <w:rPr>
                <w:rFonts w:hint="eastAsia" w:ascii="宋体" w:hAnsi="宋体" w:eastAsia="宋体" w:cs="宋体"/>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3C2F49D3">
            <w:pPr>
              <w:pStyle w:val="257"/>
              <w:jc w:val="center"/>
              <w:rPr>
                <w:rFonts w:hint="eastAsia" w:ascii="宋体" w:hAnsi="宋体" w:eastAsia="宋体" w:cs="宋体"/>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E0EC5BC">
            <w:pPr>
              <w:pStyle w:val="257"/>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5DFC64A0">
            <w:pPr>
              <w:pStyle w:val="257"/>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p w14:paraId="07A93EC8">
            <w:pPr>
              <w:pStyle w:val="257"/>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4DCC930">
            <w:pPr>
              <w:pStyle w:val="257"/>
              <w:jc w:val="center"/>
              <w:rPr>
                <w:rFonts w:hint="eastAsia" w:ascii="宋体" w:hAnsi="宋体" w:eastAsia="宋体" w:cs="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4A6E859">
            <w:pPr>
              <w:pStyle w:val="257"/>
              <w:jc w:val="center"/>
              <w:rPr>
                <w:rFonts w:hint="eastAsia" w:ascii="宋体" w:hAnsi="宋体" w:eastAsia="宋体" w:cs="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F57F37B">
            <w:pPr>
              <w:pStyle w:val="257"/>
              <w:jc w:val="center"/>
              <w:rPr>
                <w:rFonts w:hint="eastAsia" w:ascii="宋体" w:hAnsi="宋体" w:eastAsia="宋体" w:cs="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50A02AA">
            <w:pPr>
              <w:pStyle w:val="257"/>
              <w:jc w:val="center"/>
              <w:rPr>
                <w:rFonts w:hint="eastAsia" w:ascii="宋体" w:hAnsi="宋体" w:eastAsia="宋体" w:cs="宋体"/>
                <w:sz w:val="30"/>
                <w:lang w:eastAsia="zh-CN"/>
              </w:rPr>
            </w:pPr>
          </w:p>
        </w:tc>
      </w:tr>
      <w:tr w14:paraId="2CE94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440ACB9">
            <w:pPr>
              <w:pStyle w:val="257"/>
              <w:jc w:val="center"/>
              <w:rPr>
                <w:rFonts w:hint="eastAsia" w:ascii="宋体" w:hAnsi="宋体" w:eastAsia="宋体" w:cs="宋体"/>
                <w:sz w:val="24"/>
                <w:lang w:eastAsia="zh-CN"/>
              </w:rPr>
            </w:pPr>
            <w:r>
              <w:rPr>
                <w:rFonts w:hint="eastAsia" w:ascii="宋体" w:hAnsi="宋体" w:eastAsia="宋体" w:cs="宋体"/>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1C492B3F">
            <w:pPr>
              <w:pStyle w:val="257"/>
              <w:jc w:val="center"/>
              <w:rPr>
                <w:rFonts w:hint="eastAsia" w:ascii="宋体" w:hAnsi="宋体" w:eastAsia="宋体" w:cs="宋体"/>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1B97BD5">
            <w:pPr>
              <w:pStyle w:val="257"/>
              <w:tabs>
                <w:tab w:val="left" w:pos="235"/>
              </w:tabs>
              <w:jc w:val="center"/>
              <w:rPr>
                <w:rFonts w:hint="eastAsia" w:ascii="宋体" w:hAnsi="宋体" w:eastAsia="宋体" w:cs="宋体"/>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D0B966E">
            <w:pPr>
              <w:pStyle w:val="257"/>
              <w:jc w:val="center"/>
              <w:rPr>
                <w:rFonts w:hint="eastAsia" w:ascii="宋体" w:hAnsi="宋体" w:eastAsia="宋体" w:cs="宋体"/>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C408662">
            <w:pPr>
              <w:pStyle w:val="257"/>
              <w:jc w:val="center"/>
              <w:rPr>
                <w:rFonts w:hint="eastAsia" w:ascii="宋体" w:hAnsi="宋体" w:eastAsia="宋体" w:cs="宋体"/>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82E4C56">
            <w:pPr>
              <w:pStyle w:val="257"/>
              <w:jc w:val="center"/>
              <w:rPr>
                <w:rFonts w:hint="eastAsia" w:ascii="宋体" w:hAnsi="宋体" w:eastAsia="宋体" w:cs="宋体"/>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3A2546F">
            <w:pPr>
              <w:pStyle w:val="257"/>
              <w:jc w:val="center"/>
              <w:rPr>
                <w:rFonts w:hint="eastAsia" w:ascii="宋体" w:hAnsi="宋体" w:eastAsia="宋体" w:cs="宋体"/>
                <w:sz w:val="30"/>
              </w:rPr>
            </w:pPr>
          </w:p>
        </w:tc>
      </w:tr>
      <w:tr w14:paraId="54D78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348306EA">
            <w:pPr>
              <w:pStyle w:val="257"/>
              <w:ind w:right="57" w:rightChars="27"/>
              <w:jc w:val="right"/>
              <w:rPr>
                <w:rFonts w:hint="eastAsia" w:ascii="宋体" w:hAnsi="宋体" w:eastAsia="宋体" w:cs="宋体"/>
                <w:sz w:val="24"/>
                <w:lang w:eastAsia="zh-CN"/>
              </w:rPr>
            </w:pPr>
            <w:r>
              <w:rPr>
                <w:rFonts w:hint="eastAsia" w:ascii="宋体" w:hAnsi="宋体" w:eastAsia="宋体" w:cs="宋体"/>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724C7A89">
            <w:pPr>
              <w:pStyle w:val="257"/>
              <w:jc w:val="center"/>
              <w:rPr>
                <w:rFonts w:hint="eastAsia" w:ascii="宋体" w:hAnsi="宋体" w:eastAsia="宋体" w:cs="宋体"/>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D830B97">
            <w:pPr>
              <w:pStyle w:val="257"/>
              <w:jc w:val="center"/>
              <w:rPr>
                <w:rFonts w:hint="eastAsia" w:ascii="宋体" w:hAnsi="宋体" w:eastAsia="宋体" w:cs="宋体"/>
                <w:sz w:val="30"/>
              </w:rPr>
            </w:pPr>
          </w:p>
        </w:tc>
      </w:tr>
    </w:tbl>
    <w:p w14:paraId="090F2EFD">
      <w:pPr>
        <w:adjustRightInd w:val="0"/>
        <w:snapToGrid w:val="0"/>
        <w:spacing w:line="360" w:lineRule="auto"/>
        <w:jc w:val="left"/>
        <w:rPr>
          <w:rFonts w:hint="eastAsia" w:ascii="宋体" w:hAnsi="宋体" w:eastAsia="宋体" w:cs="宋体"/>
          <w:sz w:val="24"/>
        </w:rPr>
      </w:pPr>
    </w:p>
    <w:p w14:paraId="5ADE02DC">
      <w:pPr>
        <w:autoSpaceDE w:val="0"/>
        <w:autoSpaceDN w:val="0"/>
        <w:adjustRightInd w:val="0"/>
        <w:snapToGrid w:val="0"/>
        <w:spacing w:before="25" w:after="25" w:line="360" w:lineRule="auto"/>
        <w:jc w:val="righ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135607B8">
      <w:pPr>
        <w:spacing w:line="360" w:lineRule="auto"/>
        <w:ind w:right="-57" w:firstLine="480"/>
        <w:jc w:val="right"/>
        <w:rPr>
          <w:rFonts w:hint="eastAsia" w:ascii="宋体" w:hAnsi="宋体" w:eastAsia="宋体" w:cs="宋体"/>
          <w:color w:val="000000"/>
          <w:sz w:val="24"/>
        </w:rPr>
      </w:pPr>
      <w:r>
        <w:rPr>
          <w:rFonts w:hint="eastAsia" w:ascii="宋体" w:hAnsi="宋体" w:eastAsia="宋体" w:cs="宋体"/>
          <w:color w:val="000000"/>
          <w:sz w:val="24"/>
          <w:szCs w:val="20"/>
        </w:rPr>
        <w:t>日期：</w:t>
      </w:r>
      <w:r>
        <w:rPr>
          <w:rFonts w:hint="eastAsia" w:ascii="宋体" w:hAnsi="宋体" w:eastAsia="宋体" w:cs="宋体"/>
          <w:sz w:val="24"/>
        </w:rPr>
        <w:t>___</w:t>
      </w:r>
      <w:r>
        <w:rPr>
          <w:rFonts w:hint="eastAsia" w:ascii="宋体" w:hAnsi="宋体" w:eastAsia="宋体" w:cs="宋体"/>
          <w:color w:val="000000"/>
          <w:sz w:val="24"/>
          <w:szCs w:val="20"/>
        </w:rPr>
        <w:t>年</w:t>
      </w:r>
      <w:r>
        <w:rPr>
          <w:rFonts w:hint="eastAsia" w:ascii="宋体" w:hAnsi="宋体" w:eastAsia="宋体" w:cs="宋体"/>
          <w:sz w:val="24"/>
        </w:rPr>
        <w:t>___</w:t>
      </w:r>
      <w:r>
        <w:rPr>
          <w:rFonts w:hint="eastAsia" w:ascii="宋体" w:hAnsi="宋体" w:eastAsia="宋体" w:cs="宋体"/>
          <w:color w:val="000000"/>
          <w:sz w:val="24"/>
          <w:szCs w:val="20"/>
        </w:rPr>
        <w:t>月</w:t>
      </w:r>
      <w:r>
        <w:rPr>
          <w:rFonts w:hint="eastAsia" w:ascii="宋体" w:hAnsi="宋体" w:eastAsia="宋体" w:cs="宋体"/>
          <w:sz w:val="24"/>
        </w:rPr>
        <w:t>___</w:t>
      </w:r>
      <w:r>
        <w:rPr>
          <w:rFonts w:hint="eastAsia" w:ascii="宋体" w:hAnsi="宋体" w:eastAsia="宋体" w:cs="宋体"/>
          <w:color w:val="000000"/>
          <w:sz w:val="24"/>
          <w:szCs w:val="20"/>
        </w:rPr>
        <w:t>日</w:t>
      </w:r>
    </w:p>
    <w:p w14:paraId="2849ADDC">
      <w:pPr>
        <w:adjustRightInd w:val="0"/>
        <w:snapToGrid w:val="0"/>
        <w:spacing w:line="360" w:lineRule="auto"/>
        <w:jc w:val="left"/>
        <w:rPr>
          <w:rFonts w:hint="eastAsia" w:ascii="宋体" w:hAnsi="宋体" w:eastAsia="宋体" w:cs="宋体"/>
          <w:sz w:val="24"/>
        </w:rPr>
      </w:pPr>
    </w:p>
    <w:p w14:paraId="2379263C">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注：</w:t>
      </w:r>
    </w:p>
    <w:p w14:paraId="0D62C25B">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（1）当供应商属于本部分说明中第（1）类情形，如未提供《拟分包情况说明》，或提供了《拟分包情况说明》但未填写分包承担主体名称、拟分包合同内容、拟分包合同金额，其</w:t>
      </w:r>
      <w:r>
        <w:rPr>
          <w:rFonts w:hint="eastAsia" w:ascii="宋体" w:hAnsi="宋体" w:eastAsia="宋体" w:cs="宋体"/>
          <w:b/>
          <w:sz w:val="24"/>
        </w:rPr>
        <w:t>响应无效</w:t>
      </w:r>
      <w:r>
        <w:rPr>
          <w:rFonts w:hint="eastAsia" w:ascii="宋体" w:hAnsi="宋体" w:eastAsia="宋体" w:cs="宋体"/>
          <w:sz w:val="24"/>
        </w:rPr>
        <w:t>；</w:t>
      </w:r>
    </w:p>
    <w:p w14:paraId="260707BF">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eastAsia="宋体" w:cs="宋体"/>
          <w:b/>
          <w:sz w:val="24"/>
        </w:rPr>
        <w:t>响应无效</w:t>
      </w:r>
      <w:r>
        <w:rPr>
          <w:rFonts w:hint="eastAsia" w:ascii="宋体" w:hAnsi="宋体" w:eastAsia="宋体" w:cs="宋体"/>
          <w:sz w:val="24"/>
        </w:rPr>
        <w:t>；</w:t>
      </w:r>
    </w:p>
    <w:p w14:paraId="31E1A101">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（3）如本采购文件《供应商须知资料表》载明本项目分包承担主体应具备的相应资质条件，则供应商须在本表中列明分包承担主体的资质等级，并后附资质证书电子件，否则</w:t>
      </w:r>
      <w:r>
        <w:rPr>
          <w:rFonts w:hint="eastAsia" w:ascii="宋体" w:hAnsi="宋体" w:eastAsia="宋体" w:cs="宋体"/>
          <w:b/>
          <w:sz w:val="24"/>
        </w:rPr>
        <w:t>响应无效</w:t>
      </w:r>
      <w:r>
        <w:rPr>
          <w:rFonts w:hint="eastAsia" w:ascii="宋体" w:hAnsi="宋体" w:eastAsia="宋体" w:cs="宋体"/>
          <w:sz w:val="24"/>
        </w:rPr>
        <w:t>。</w:t>
      </w:r>
    </w:p>
    <w:p w14:paraId="7CF8B829">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分包意向协议</w:t>
      </w:r>
    </w:p>
    <w:p w14:paraId="433EA31F">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甲方（供应商）：______</w:t>
      </w:r>
    </w:p>
    <w:p w14:paraId="427EB9CE">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乙方（拟分包单位）：______</w:t>
      </w:r>
    </w:p>
    <w:p w14:paraId="677F3BF0">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甲方承诺，一旦在______（采购项目名称）（项目编号/包号为：______）采购项目中获得采购合同，将按照下述约定将合同项下部分内容分包给乙方：</w:t>
      </w:r>
    </w:p>
    <w:p w14:paraId="3E856178">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1.分包内容：______。</w:t>
      </w:r>
    </w:p>
    <w:p w14:paraId="2AF388E9">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2.分包金额：______，该金额占该采购包合同金额的比例为______%。</w:t>
      </w:r>
    </w:p>
    <w:p w14:paraId="6AB550AA">
      <w:pPr>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sz w:val="24"/>
        </w:rPr>
        <w:t>乙方承诺将在上述情况下与甲方签订分包合同。</w:t>
      </w:r>
    </w:p>
    <w:p w14:paraId="667D0C27">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本协议自各方盖章之日起生效，如甲方未在该项目（采购包）成交，本协议自动终止。</w:t>
      </w:r>
    </w:p>
    <w:p w14:paraId="20109FE7">
      <w:pPr>
        <w:spacing w:line="360" w:lineRule="auto"/>
        <w:ind w:firstLine="471"/>
        <w:rPr>
          <w:rFonts w:hint="eastAsia" w:ascii="宋体" w:hAnsi="宋体" w:eastAsia="宋体" w:cs="宋体"/>
          <w:b/>
          <w:color w:val="000000"/>
          <w:sz w:val="24"/>
        </w:rPr>
      </w:pPr>
    </w:p>
    <w:p w14:paraId="3BF850EE">
      <w:pPr>
        <w:spacing w:line="360" w:lineRule="auto"/>
        <w:ind w:firstLine="471"/>
        <w:rPr>
          <w:rFonts w:hint="eastAsia" w:ascii="宋体" w:hAnsi="宋体" w:eastAsia="宋体" w:cs="宋体"/>
          <w:b/>
          <w:color w:val="000000"/>
          <w:sz w:val="24"/>
        </w:rPr>
      </w:pPr>
      <w:r>
        <w:rPr>
          <w:rFonts w:hint="eastAsia" w:ascii="宋体" w:hAnsi="宋体" w:eastAsia="宋体" w:cs="宋体"/>
          <w:color w:val="000000"/>
          <w:sz w:val="24"/>
        </w:rPr>
        <w:t>甲方（盖章）：</w:t>
      </w:r>
      <w:r>
        <w:rPr>
          <w:rFonts w:hint="eastAsia" w:ascii="宋体" w:hAnsi="宋体" w:eastAsia="宋体" w:cs="宋体"/>
          <w:sz w:val="24"/>
        </w:rPr>
        <w:t>______</w:t>
      </w:r>
      <w:r>
        <w:rPr>
          <w:rFonts w:hint="eastAsia" w:ascii="宋体" w:hAnsi="宋体" w:eastAsia="宋体" w:cs="宋体"/>
          <w:color w:val="000000"/>
          <w:sz w:val="24"/>
        </w:rPr>
        <w:t xml:space="preserve">                     乙方（盖章）：</w:t>
      </w:r>
      <w:r>
        <w:rPr>
          <w:rFonts w:hint="eastAsia" w:ascii="宋体" w:hAnsi="宋体" w:eastAsia="宋体" w:cs="宋体"/>
          <w:sz w:val="24"/>
        </w:rPr>
        <w:t>______</w:t>
      </w:r>
    </w:p>
    <w:p w14:paraId="68435574">
      <w:pPr>
        <w:spacing w:line="360" w:lineRule="auto"/>
        <w:ind w:left="480"/>
        <w:jc w:val="right"/>
        <w:rPr>
          <w:rFonts w:hint="eastAsia" w:ascii="宋体" w:hAnsi="宋体" w:eastAsia="宋体" w:cs="宋体"/>
          <w:color w:val="000000"/>
          <w:sz w:val="24"/>
        </w:rPr>
      </w:pPr>
    </w:p>
    <w:p w14:paraId="0009A397">
      <w:pPr>
        <w:wordWrap w:val="0"/>
        <w:spacing w:line="360" w:lineRule="auto"/>
        <w:ind w:left="480"/>
        <w:jc w:val="right"/>
        <w:rPr>
          <w:rFonts w:hint="eastAsia" w:ascii="宋体" w:hAnsi="宋体" w:eastAsia="宋体" w:cs="宋体"/>
          <w:b/>
          <w:color w:val="000000"/>
          <w:sz w:val="24"/>
        </w:rPr>
      </w:pPr>
      <w:r>
        <w:rPr>
          <w:rFonts w:hint="eastAsia" w:ascii="宋体" w:hAnsi="宋体" w:eastAsia="宋体" w:cs="宋体"/>
          <w:color w:val="000000"/>
          <w:sz w:val="24"/>
          <w:szCs w:val="20"/>
        </w:rPr>
        <w:t>日期：</w:t>
      </w:r>
      <w:r>
        <w:rPr>
          <w:rFonts w:hint="eastAsia" w:ascii="宋体" w:hAnsi="宋体" w:eastAsia="宋体" w:cs="宋体"/>
          <w:sz w:val="24"/>
        </w:rPr>
        <w:t>______</w:t>
      </w:r>
      <w:r>
        <w:rPr>
          <w:rFonts w:hint="eastAsia" w:ascii="宋体" w:hAnsi="宋体" w:eastAsia="宋体" w:cs="宋体"/>
          <w:color w:val="000000"/>
          <w:sz w:val="24"/>
          <w:szCs w:val="20"/>
        </w:rPr>
        <w:t>年</w:t>
      </w:r>
      <w:r>
        <w:rPr>
          <w:rFonts w:hint="eastAsia" w:ascii="宋体" w:hAnsi="宋体" w:eastAsia="宋体" w:cs="宋体"/>
          <w:sz w:val="24"/>
        </w:rPr>
        <w:t>______</w:t>
      </w:r>
      <w:r>
        <w:rPr>
          <w:rFonts w:hint="eastAsia" w:ascii="宋体" w:hAnsi="宋体" w:eastAsia="宋体" w:cs="宋体"/>
          <w:color w:val="000000"/>
          <w:sz w:val="24"/>
          <w:szCs w:val="20"/>
        </w:rPr>
        <w:t>月</w:t>
      </w:r>
      <w:r>
        <w:rPr>
          <w:rFonts w:hint="eastAsia" w:ascii="宋体" w:hAnsi="宋体" w:eastAsia="宋体" w:cs="宋体"/>
          <w:sz w:val="24"/>
        </w:rPr>
        <w:t>______</w:t>
      </w:r>
      <w:r>
        <w:rPr>
          <w:rFonts w:hint="eastAsia" w:ascii="宋体" w:hAnsi="宋体" w:eastAsia="宋体" w:cs="宋体"/>
          <w:color w:val="000000"/>
          <w:sz w:val="24"/>
          <w:szCs w:val="20"/>
        </w:rPr>
        <w:t xml:space="preserve">日   </w:t>
      </w:r>
    </w:p>
    <w:p w14:paraId="4BE2459E">
      <w:pPr>
        <w:tabs>
          <w:tab w:val="left" w:pos="8280"/>
        </w:tabs>
        <w:spacing w:line="360" w:lineRule="auto"/>
        <w:ind w:firstLine="480"/>
        <w:rPr>
          <w:rFonts w:hint="eastAsia" w:ascii="宋体" w:hAnsi="宋体" w:eastAsia="宋体" w:cs="宋体"/>
          <w:color w:val="000000"/>
          <w:sz w:val="24"/>
        </w:rPr>
      </w:pPr>
    </w:p>
    <w:p w14:paraId="22060C5C">
      <w:pPr>
        <w:tabs>
          <w:tab w:val="left" w:pos="8280"/>
        </w:tabs>
        <w:spacing w:line="360" w:lineRule="auto"/>
        <w:rPr>
          <w:rFonts w:hint="eastAsia" w:ascii="宋体" w:hAnsi="宋体" w:eastAsia="宋体" w:cs="宋体"/>
          <w:color w:val="000000"/>
          <w:sz w:val="24"/>
        </w:rPr>
      </w:pPr>
      <w:r>
        <w:rPr>
          <w:rFonts w:hint="eastAsia" w:ascii="宋体" w:hAnsi="宋体" w:eastAsia="宋体" w:cs="宋体"/>
          <w:color w:val="000000"/>
          <w:sz w:val="24"/>
        </w:rPr>
        <w:t>注：</w:t>
      </w:r>
    </w:p>
    <w:p w14:paraId="71D58074">
      <w:pPr>
        <w:tabs>
          <w:tab w:val="left" w:pos="8280"/>
        </w:tabs>
        <w:spacing w:line="360" w:lineRule="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sz w:val="24"/>
        </w:rPr>
        <w:t>当供应商属于本部分说明中第（2）类情形，必须提供，否则</w:t>
      </w:r>
      <w:r>
        <w:rPr>
          <w:rFonts w:hint="eastAsia" w:ascii="宋体" w:hAnsi="宋体" w:eastAsia="宋体" w:cs="宋体"/>
          <w:b/>
          <w:sz w:val="24"/>
        </w:rPr>
        <w:t>响应无效；</w:t>
      </w:r>
      <w:r>
        <w:rPr>
          <w:rFonts w:hint="eastAsia" w:ascii="宋体" w:hAnsi="宋体" w:eastAsia="宋体" w:cs="宋体"/>
          <w:sz w:val="24"/>
        </w:rPr>
        <w:t xml:space="preserve">其他情形无须提供； </w:t>
      </w:r>
    </w:p>
    <w:p w14:paraId="37603A6D">
      <w:pPr>
        <w:tabs>
          <w:tab w:val="left" w:pos="8280"/>
        </w:tabs>
        <w:spacing w:line="360" w:lineRule="auto"/>
        <w:rPr>
          <w:rFonts w:hint="eastAsia" w:ascii="宋体" w:hAnsi="宋体" w:eastAsia="宋体" w:cs="宋体"/>
          <w:color w:val="000000"/>
          <w:sz w:val="24"/>
        </w:rPr>
      </w:pPr>
      <w:r>
        <w:rPr>
          <w:rFonts w:hint="eastAsia" w:ascii="宋体" w:hAnsi="宋体" w:eastAsia="宋体" w:cs="宋体"/>
          <w:color w:val="000000"/>
          <w:sz w:val="24"/>
        </w:rPr>
        <w:t>（2）供应商须与所有拟分包单位分别签订《分包意向协议》，每单位签订一份，并在响应文件中提交全部协议原件的电子件，否则</w:t>
      </w:r>
      <w:r>
        <w:rPr>
          <w:rFonts w:hint="eastAsia" w:ascii="宋体" w:hAnsi="宋体" w:eastAsia="宋体" w:cs="宋体"/>
          <w:b/>
          <w:color w:val="000000"/>
          <w:sz w:val="24"/>
        </w:rPr>
        <w:t>响应无效</w:t>
      </w:r>
      <w:r>
        <w:rPr>
          <w:rFonts w:hint="eastAsia" w:ascii="宋体" w:hAnsi="宋体" w:eastAsia="宋体" w:cs="宋体"/>
          <w:color w:val="000000"/>
          <w:sz w:val="24"/>
        </w:rPr>
        <w:t>。</w:t>
      </w:r>
    </w:p>
    <w:p w14:paraId="2916915F">
      <w:pPr>
        <w:tabs>
          <w:tab w:val="left" w:pos="8280"/>
        </w:tabs>
        <w:spacing w:line="360" w:lineRule="auto"/>
        <w:rPr>
          <w:rFonts w:hint="eastAsia" w:ascii="宋体" w:hAnsi="宋体" w:eastAsia="宋体" w:cs="宋体"/>
          <w:color w:val="000000"/>
          <w:sz w:val="24"/>
        </w:rPr>
        <w:sectPr>
          <w:headerReference r:id="rId30" w:type="first"/>
          <w:footerReference r:id="rId32" w:type="first"/>
          <w:headerReference r:id="rId29" w:type="even"/>
          <w:footerReference r:id="rId31" w:type="even"/>
          <w:pgSz w:w="11907" w:h="16840"/>
          <w:pgMar w:top="1418" w:right="1134" w:bottom="1418" w:left="1701" w:header="851" w:footer="851" w:gutter="0"/>
          <w:pgNumType w:fmt="decimal"/>
          <w:cols w:space="720" w:num="1"/>
          <w:docGrid w:linePitch="462" w:charSpace="0"/>
        </w:sectPr>
      </w:pPr>
    </w:p>
    <w:p w14:paraId="04E523CB">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2-2 </w:t>
      </w:r>
      <w:r>
        <w:rPr>
          <w:rFonts w:hint="eastAsia" w:ascii="宋体" w:hAnsi="宋体" w:eastAsia="宋体" w:cs="宋体"/>
          <w:sz w:val="24"/>
        </w:rPr>
        <w:t>其它落实政府采购政策的资格要求</w:t>
      </w:r>
      <w:r>
        <w:rPr>
          <w:rFonts w:hint="eastAsia" w:ascii="宋体" w:hAnsi="宋体" w:eastAsia="宋体" w:cs="宋体"/>
          <w:color w:val="000000"/>
          <w:sz w:val="24"/>
          <w:szCs w:val="20"/>
        </w:rPr>
        <w:t>（如有）</w:t>
      </w:r>
    </w:p>
    <w:p w14:paraId="0BAA6D1C">
      <w:pPr>
        <w:widowControl/>
        <w:jc w:val="left"/>
        <w:rPr>
          <w:rFonts w:hint="eastAsia" w:ascii="宋体" w:hAnsi="宋体" w:eastAsia="宋体" w:cs="宋体"/>
          <w:sz w:val="24"/>
        </w:rPr>
      </w:pPr>
    </w:p>
    <w:p w14:paraId="488ACE25">
      <w:pPr>
        <w:widowControl/>
        <w:jc w:val="left"/>
        <w:rPr>
          <w:rFonts w:hint="eastAsia" w:ascii="宋体" w:hAnsi="宋体" w:eastAsia="宋体" w:cs="宋体"/>
          <w:sz w:val="24"/>
        </w:rPr>
      </w:pPr>
      <w:r>
        <w:rPr>
          <w:rFonts w:hint="eastAsia" w:ascii="宋体" w:hAnsi="宋体" w:eastAsia="宋体" w:cs="宋体"/>
          <w:sz w:val="24"/>
        </w:rPr>
        <w:br w:type="page"/>
      </w:r>
    </w:p>
    <w:p w14:paraId="62FF8843">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3 本项目的特定资格要求（如有）</w:t>
      </w:r>
    </w:p>
    <w:p w14:paraId="3979A44D">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3-1 联合协议（如有）</w:t>
      </w:r>
    </w:p>
    <w:p w14:paraId="27ED5F84">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联合协议</w:t>
      </w:r>
    </w:p>
    <w:p w14:paraId="6E3A261A">
      <w:pPr>
        <w:spacing w:line="360" w:lineRule="auto"/>
        <w:ind w:firstLine="828" w:firstLineChars="345"/>
        <w:rPr>
          <w:rFonts w:hint="eastAsia" w:ascii="宋体" w:hAnsi="宋体" w:eastAsia="宋体" w:cs="宋体"/>
          <w:bCs/>
          <w:color w:val="000000"/>
        </w:rPr>
      </w:pPr>
      <w:r>
        <w:rPr>
          <w:rFonts w:hint="eastAsia" w:ascii="宋体" w:hAnsi="宋体" w:eastAsia="宋体" w:cs="宋体"/>
          <w:sz w:val="24"/>
        </w:rPr>
        <w:t>______</w:t>
      </w:r>
      <w:r>
        <w:rPr>
          <w:rFonts w:hint="eastAsia" w:ascii="宋体" w:hAnsi="宋体" w:eastAsia="宋体" w:cs="宋体"/>
          <w:bCs/>
          <w:color w:val="000000"/>
          <w:sz w:val="24"/>
        </w:rPr>
        <w:t xml:space="preserve"> 、</w:t>
      </w:r>
      <w:r>
        <w:rPr>
          <w:rFonts w:hint="eastAsia" w:ascii="宋体" w:hAnsi="宋体" w:eastAsia="宋体" w:cs="宋体"/>
          <w:sz w:val="24"/>
        </w:rPr>
        <w:t>______</w:t>
      </w:r>
      <w:r>
        <w:rPr>
          <w:rFonts w:hint="eastAsia" w:ascii="宋体" w:hAnsi="宋体" w:eastAsia="宋体" w:cs="宋体"/>
          <w:bCs/>
          <w:color w:val="000000"/>
          <w:sz w:val="24"/>
        </w:rPr>
        <w:t>及</w:t>
      </w:r>
      <w:r>
        <w:rPr>
          <w:rFonts w:hint="eastAsia" w:ascii="宋体" w:hAnsi="宋体" w:eastAsia="宋体" w:cs="宋体"/>
          <w:sz w:val="24"/>
        </w:rPr>
        <w:t>______</w:t>
      </w:r>
      <w:r>
        <w:rPr>
          <w:rFonts w:hint="eastAsia" w:ascii="宋体" w:hAnsi="宋体" w:eastAsia="宋体" w:cs="宋体"/>
          <w:bCs/>
          <w:color w:val="000000"/>
          <w:sz w:val="24"/>
        </w:rPr>
        <w:t>就“</w:t>
      </w:r>
      <w:r>
        <w:rPr>
          <w:rFonts w:hint="eastAsia" w:ascii="宋体" w:hAnsi="宋体" w:eastAsia="宋体" w:cs="宋体"/>
          <w:sz w:val="24"/>
        </w:rPr>
        <w:t>______</w:t>
      </w:r>
      <w:r>
        <w:rPr>
          <w:rFonts w:hint="eastAsia" w:ascii="宋体" w:hAnsi="宋体" w:eastAsia="宋体" w:cs="宋体"/>
          <w:bCs/>
          <w:color w:val="000000"/>
          <w:sz w:val="24"/>
        </w:rPr>
        <w:t>（项目名称）</w:t>
      </w:r>
      <w:r>
        <w:rPr>
          <w:rFonts w:hint="eastAsia" w:ascii="宋体" w:hAnsi="宋体" w:eastAsia="宋体" w:cs="宋体"/>
          <w:color w:val="000000"/>
          <w:sz w:val="24"/>
        </w:rPr>
        <w:t>”</w:t>
      </w:r>
      <w:r>
        <w:rPr>
          <w:rFonts w:hint="eastAsia" w:ascii="宋体" w:hAnsi="宋体" w:eastAsia="宋体" w:cs="宋体"/>
          <w:sz w:val="24"/>
        </w:rPr>
        <w:t xml:space="preserve"> ______</w:t>
      </w:r>
      <w:r>
        <w:rPr>
          <w:rFonts w:hint="eastAsia" w:ascii="宋体" w:hAnsi="宋体" w:eastAsia="宋体" w:cs="宋体"/>
          <w:color w:val="000000"/>
          <w:sz w:val="24"/>
        </w:rPr>
        <w:t>包</w:t>
      </w:r>
      <w:r>
        <w:rPr>
          <w:rFonts w:hint="eastAsia" w:ascii="宋体" w:hAnsi="宋体" w:eastAsia="宋体" w:cs="宋体"/>
          <w:bCs/>
          <w:color w:val="000000"/>
          <w:sz w:val="24"/>
        </w:rPr>
        <w:t>采购项目的磋商事宜，经各方充分协商一致，达成如下协议：</w:t>
      </w:r>
    </w:p>
    <w:p w14:paraId="19A7FD07">
      <w:pPr>
        <w:numPr>
          <w:ilvl w:val="0"/>
          <w:numId w:val="19"/>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由</w:t>
      </w:r>
      <w:r>
        <w:rPr>
          <w:rFonts w:hint="eastAsia" w:ascii="宋体" w:hAnsi="宋体" w:eastAsia="宋体" w:cs="宋体"/>
          <w:sz w:val="24"/>
        </w:rPr>
        <w:t>____</w:t>
      </w:r>
      <w:r>
        <w:rPr>
          <w:rFonts w:hint="eastAsia" w:ascii="宋体" w:hAnsi="宋体" w:eastAsia="宋体" w:cs="宋体"/>
          <w:bCs/>
          <w:color w:val="000000"/>
          <w:sz w:val="24"/>
        </w:rPr>
        <w:t>__</w:t>
      </w:r>
      <w:r>
        <w:rPr>
          <w:rFonts w:hint="eastAsia" w:ascii="宋体" w:hAnsi="宋体" w:eastAsia="宋体" w:cs="宋体"/>
          <w:sz w:val="24"/>
        </w:rPr>
        <w:t>__</w:t>
      </w:r>
      <w:r>
        <w:rPr>
          <w:rFonts w:hint="eastAsia" w:ascii="宋体" w:hAnsi="宋体" w:eastAsia="宋体" w:cs="宋体"/>
          <w:bCs/>
          <w:color w:val="000000"/>
          <w:sz w:val="24"/>
        </w:rPr>
        <w:t>牵头，</w:t>
      </w:r>
      <w:r>
        <w:rPr>
          <w:rFonts w:hint="eastAsia" w:ascii="宋体" w:hAnsi="宋体" w:eastAsia="宋体" w:cs="宋体"/>
          <w:sz w:val="24"/>
        </w:rPr>
        <w:t>___</w:t>
      </w:r>
      <w:r>
        <w:rPr>
          <w:rFonts w:hint="eastAsia" w:ascii="宋体" w:hAnsi="宋体" w:eastAsia="宋体" w:cs="宋体"/>
          <w:bCs/>
          <w:color w:val="000000"/>
          <w:sz w:val="24"/>
        </w:rPr>
        <w:t>__</w:t>
      </w:r>
      <w:r>
        <w:rPr>
          <w:rFonts w:hint="eastAsia" w:ascii="宋体" w:hAnsi="宋体" w:eastAsia="宋体" w:cs="宋体"/>
          <w:sz w:val="24"/>
        </w:rPr>
        <w:t>___</w:t>
      </w:r>
      <w:r>
        <w:rPr>
          <w:rFonts w:hint="eastAsia" w:ascii="宋体" w:hAnsi="宋体" w:eastAsia="宋体" w:cs="宋体"/>
          <w:bCs/>
          <w:color w:val="000000"/>
          <w:sz w:val="24"/>
        </w:rPr>
        <w:t>、</w:t>
      </w:r>
      <w:r>
        <w:rPr>
          <w:rFonts w:hint="eastAsia" w:ascii="宋体" w:hAnsi="宋体" w:eastAsia="宋体" w:cs="宋体"/>
          <w:sz w:val="24"/>
        </w:rPr>
        <w:t>___</w:t>
      </w:r>
      <w:r>
        <w:rPr>
          <w:rFonts w:hint="eastAsia" w:ascii="宋体" w:hAnsi="宋体" w:eastAsia="宋体" w:cs="宋体"/>
          <w:bCs/>
          <w:color w:val="000000"/>
          <w:sz w:val="24"/>
        </w:rPr>
        <w:t>__</w:t>
      </w:r>
      <w:r>
        <w:rPr>
          <w:rFonts w:hint="eastAsia" w:ascii="宋体" w:hAnsi="宋体" w:eastAsia="宋体" w:cs="宋体"/>
          <w:sz w:val="24"/>
        </w:rPr>
        <w:t>___</w:t>
      </w:r>
      <w:r>
        <w:rPr>
          <w:rFonts w:hint="eastAsia" w:ascii="宋体" w:hAnsi="宋体" w:eastAsia="宋体" w:cs="宋体"/>
          <w:bCs/>
          <w:color w:val="000000"/>
          <w:sz w:val="24"/>
        </w:rPr>
        <w:t>参加，组成联合体共同进行采购项目的磋商工作。</w:t>
      </w:r>
    </w:p>
    <w:p w14:paraId="715C812C">
      <w:pPr>
        <w:numPr>
          <w:ilvl w:val="0"/>
          <w:numId w:val="19"/>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联合体成交后，联合体各方共同与采购人签订合同，就</w:t>
      </w:r>
      <w:r>
        <w:rPr>
          <w:rFonts w:hint="eastAsia" w:ascii="宋体" w:hAnsi="宋体" w:eastAsia="宋体" w:cs="宋体"/>
          <w:color w:val="000000"/>
          <w:sz w:val="24"/>
          <w:szCs w:val="20"/>
        </w:rPr>
        <w:t>采购合同约定的事项</w:t>
      </w:r>
      <w:r>
        <w:rPr>
          <w:rFonts w:hint="eastAsia" w:ascii="宋体" w:hAnsi="宋体" w:eastAsia="宋体" w:cs="宋体"/>
          <w:bCs/>
          <w:color w:val="000000"/>
          <w:sz w:val="24"/>
        </w:rPr>
        <w:t>对采购人承担连带责任。</w:t>
      </w:r>
    </w:p>
    <w:p w14:paraId="6853979C">
      <w:pPr>
        <w:numPr>
          <w:ilvl w:val="0"/>
          <w:numId w:val="19"/>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联合体各方均同意由牵头人代表其他联合体成员单位按竞争性磋商文件要求出具《授权委托书》。</w:t>
      </w:r>
    </w:p>
    <w:p w14:paraId="3CA49DF9">
      <w:pPr>
        <w:numPr>
          <w:ilvl w:val="0"/>
          <w:numId w:val="19"/>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牵头人为项目的总负责单位；组织各参加方进行项目实施工作。</w:t>
      </w:r>
    </w:p>
    <w:p w14:paraId="27EE58BE">
      <w:pPr>
        <w:numPr>
          <w:ilvl w:val="0"/>
          <w:numId w:val="19"/>
        </w:numPr>
        <w:spacing w:line="360" w:lineRule="auto"/>
        <w:rPr>
          <w:rFonts w:hint="eastAsia" w:ascii="宋体" w:hAnsi="宋体" w:eastAsia="宋体" w:cs="宋体"/>
          <w:bCs/>
          <w:color w:val="000000"/>
          <w:sz w:val="24"/>
        </w:rPr>
      </w:pPr>
      <w:r>
        <w:rPr>
          <w:rFonts w:hint="eastAsia" w:ascii="宋体" w:hAnsi="宋体" w:eastAsia="宋体" w:cs="宋体"/>
          <w:sz w:val="24"/>
        </w:rPr>
        <w:t>______</w:t>
      </w:r>
      <w:r>
        <w:rPr>
          <w:rFonts w:hint="eastAsia" w:ascii="宋体" w:hAnsi="宋体" w:eastAsia="宋体" w:cs="宋体"/>
          <w:bCs/>
          <w:color w:val="000000"/>
          <w:sz w:val="24"/>
        </w:rPr>
        <w:t>负责</w:t>
      </w:r>
      <w:r>
        <w:rPr>
          <w:rFonts w:hint="eastAsia" w:ascii="宋体" w:hAnsi="宋体" w:eastAsia="宋体" w:cs="宋体"/>
          <w:sz w:val="24"/>
        </w:rPr>
        <w:t>______</w:t>
      </w:r>
      <w:r>
        <w:rPr>
          <w:rFonts w:hint="eastAsia" w:ascii="宋体" w:hAnsi="宋体" w:eastAsia="宋体" w:cs="宋体"/>
          <w:bCs/>
          <w:color w:val="000000"/>
          <w:sz w:val="24"/>
        </w:rPr>
        <w:t>，具体工作范围、内容以响应文件及合同为准。</w:t>
      </w:r>
    </w:p>
    <w:p w14:paraId="30F4A8F9">
      <w:pPr>
        <w:numPr>
          <w:ilvl w:val="0"/>
          <w:numId w:val="19"/>
        </w:numPr>
        <w:spacing w:line="360" w:lineRule="auto"/>
        <w:rPr>
          <w:rFonts w:hint="eastAsia" w:ascii="宋体" w:hAnsi="宋体" w:eastAsia="宋体" w:cs="宋体"/>
          <w:bCs/>
          <w:color w:val="000000"/>
          <w:sz w:val="24"/>
        </w:rPr>
      </w:pPr>
      <w:r>
        <w:rPr>
          <w:rFonts w:hint="eastAsia" w:ascii="宋体" w:hAnsi="宋体" w:eastAsia="宋体" w:cs="宋体"/>
          <w:sz w:val="24"/>
        </w:rPr>
        <w:t>______</w:t>
      </w:r>
      <w:r>
        <w:rPr>
          <w:rFonts w:hint="eastAsia" w:ascii="宋体" w:hAnsi="宋体" w:eastAsia="宋体" w:cs="宋体"/>
          <w:bCs/>
          <w:color w:val="000000"/>
          <w:sz w:val="24"/>
        </w:rPr>
        <w:t>负责</w:t>
      </w:r>
      <w:r>
        <w:rPr>
          <w:rFonts w:hint="eastAsia" w:ascii="宋体" w:hAnsi="宋体" w:eastAsia="宋体" w:cs="宋体"/>
          <w:sz w:val="24"/>
        </w:rPr>
        <w:t>______</w:t>
      </w:r>
      <w:r>
        <w:rPr>
          <w:rFonts w:hint="eastAsia" w:ascii="宋体" w:hAnsi="宋体" w:eastAsia="宋体" w:cs="宋体"/>
          <w:bCs/>
          <w:color w:val="000000"/>
          <w:sz w:val="24"/>
        </w:rPr>
        <w:t>，具体工作范围、内容以响应文件及合同为准。</w:t>
      </w:r>
    </w:p>
    <w:p w14:paraId="2B5D4926">
      <w:pPr>
        <w:numPr>
          <w:ilvl w:val="0"/>
          <w:numId w:val="19"/>
        </w:numPr>
        <w:spacing w:line="360" w:lineRule="auto"/>
        <w:rPr>
          <w:rFonts w:hint="eastAsia" w:ascii="宋体" w:hAnsi="宋体" w:eastAsia="宋体" w:cs="宋体"/>
          <w:bCs/>
          <w:color w:val="000000"/>
          <w:sz w:val="24"/>
        </w:rPr>
      </w:pPr>
      <w:r>
        <w:rPr>
          <w:rFonts w:hint="eastAsia" w:ascii="宋体" w:hAnsi="宋体" w:eastAsia="宋体" w:cs="宋体"/>
          <w:sz w:val="24"/>
        </w:rPr>
        <w:t>______</w:t>
      </w:r>
      <w:r>
        <w:rPr>
          <w:rFonts w:hint="eastAsia" w:ascii="宋体" w:hAnsi="宋体" w:eastAsia="宋体" w:cs="宋体"/>
          <w:bCs/>
          <w:color w:val="000000"/>
          <w:sz w:val="24"/>
        </w:rPr>
        <w:t>负责</w:t>
      </w:r>
      <w:r>
        <w:rPr>
          <w:rFonts w:hint="eastAsia" w:ascii="宋体" w:hAnsi="宋体" w:eastAsia="宋体" w:cs="宋体"/>
          <w:sz w:val="24"/>
        </w:rPr>
        <w:t>______</w:t>
      </w:r>
      <w:r>
        <w:rPr>
          <w:rFonts w:hint="eastAsia" w:ascii="宋体" w:hAnsi="宋体" w:eastAsia="宋体" w:cs="宋体"/>
          <w:bCs/>
          <w:color w:val="000000"/>
          <w:sz w:val="24"/>
        </w:rPr>
        <w:t>（如有），具体工作范围、内容以响应文件及合同为准。</w:t>
      </w:r>
    </w:p>
    <w:p w14:paraId="4B62B1F3">
      <w:pPr>
        <w:numPr>
          <w:ilvl w:val="0"/>
          <w:numId w:val="19"/>
        </w:numPr>
        <w:spacing w:line="360" w:lineRule="auto"/>
        <w:rPr>
          <w:rFonts w:hint="eastAsia" w:ascii="宋体" w:hAnsi="宋体" w:eastAsia="宋体" w:cs="宋体"/>
          <w:sz w:val="24"/>
        </w:rPr>
      </w:pPr>
      <w:r>
        <w:rPr>
          <w:rFonts w:hint="eastAsia" w:ascii="宋体" w:hAnsi="宋体" w:eastAsia="宋体" w:cs="宋体"/>
          <w:sz w:val="24"/>
        </w:rPr>
        <w:t>本项目联合协议合同总额为______元，联合体各成员按照如下比例分摊（按联合体成员分别列明）：</w:t>
      </w:r>
    </w:p>
    <w:p w14:paraId="5CED0241">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（1）</w:t>
      </w:r>
      <w:r>
        <w:rPr>
          <w:rFonts w:hint="eastAsia" w:ascii="宋体" w:hAnsi="宋体" w:eastAsia="宋体" w:cs="宋体"/>
          <w:sz w:val="24"/>
        </w:rPr>
        <w:t>______</w:t>
      </w:r>
      <w:r>
        <w:rPr>
          <w:rFonts w:hint="eastAsia" w:ascii="宋体" w:hAnsi="宋体" w:eastAsia="宋体" w:cs="宋体"/>
          <w:color w:val="000000"/>
          <w:sz w:val="24"/>
          <w:szCs w:val="20"/>
        </w:rPr>
        <w:t>为□大型企业□中型企业、□小微企业（包含监狱企业、残疾人福利性单位）、□其他，合同金额为</w:t>
      </w:r>
      <w:r>
        <w:rPr>
          <w:rFonts w:hint="eastAsia" w:ascii="宋体" w:hAnsi="宋体" w:eastAsia="宋体" w:cs="宋体"/>
          <w:sz w:val="24"/>
        </w:rPr>
        <w:t>______</w:t>
      </w:r>
      <w:r>
        <w:rPr>
          <w:rFonts w:hint="eastAsia" w:ascii="宋体" w:hAnsi="宋体" w:eastAsia="宋体" w:cs="宋体"/>
          <w:color w:val="000000"/>
          <w:sz w:val="24"/>
          <w:szCs w:val="20"/>
        </w:rPr>
        <w:t>元；</w:t>
      </w:r>
    </w:p>
    <w:p w14:paraId="38059CC7">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（2）</w:t>
      </w:r>
      <w:r>
        <w:rPr>
          <w:rFonts w:hint="eastAsia" w:ascii="宋体" w:hAnsi="宋体" w:eastAsia="宋体" w:cs="宋体"/>
          <w:sz w:val="24"/>
        </w:rPr>
        <w:t>______</w:t>
      </w:r>
      <w:r>
        <w:rPr>
          <w:rFonts w:hint="eastAsia" w:ascii="宋体" w:hAnsi="宋体" w:eastAsia="宋体" w:cs="宋体"/>
          <w:color w:val="000000"/>
          <w:sz w:val="24"/>
          <w:szCs w:val="20"/>
        </w:rPr>
        <w:t>为□大型企业□中型企业、□小微企业（包含监狱企业、残疾人福利性单位）、□其他，合同金额为</w:t>
      </w:r>
      <w:r>
        <w:rPr>
          <w:rFonts w:hint="eastAsia" w:ascii="宋体" w:hAnsi="宋体" w:eastAsia="宋体" w:cs="宋体"/>
          <w:sz w:val="24"/>
        </w:rPr>
        <w:t>______</w:t>
      </w:r>
      <w:r>
        <w:rPr>
          <w:rFonts w:hint="eastAsia" w:ascii="宋体" w:hAnsi="宋体" w:eastAsia="宋体" w:cs="宋体"/>
          <w:color w:val="000000"/>
          <w:sz w:val="24"/>
          <w:szCs w:val="20"/>
        </w:rPr>
        <w:t>元；</w:t>
      </w:r>
    </w:p>
    <w:p w14:paraId="7E666AFD">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w:t>
      </w:r>
      <w:r>
        <w:rPr>
          <w:rFonts w:hint="eastAsia" w:ascii="宋体" w:hAnsi="宋体" w:eastAsia="宋体" w:cs="宋体"/>
          <w:sz w:val="24"/>
        </w:rPr>
        <w:t>______</w:t>
      </w:r>
      <w:r>
        <w:rPr>
          <w:rFonts w:hint="eastAsia" w:ascii="宋体" w:hAnsi="宋体" w:eastAsia="宋体" w:cs="宋体"/>
          <w:color w:val="000000"/>
          <w:sz w:val="24"/>
          <w:szCs w:val="20"/>
        </w:rPr>
        <w:t>为□大型企业□中型企业、□小微企业（包含监狱企业、残疾人福利性单位）、□其他，合同金额为</w:t>
      </w:r>
      <w:r>
        <w:rPr>
          <w:rFonts w:hint="eastAsia" w:ascii="宋体" w:hAnsi="宋体" w:eastAsia="宋体" w:cs="宋体"/>
          <w:sz w:val="24"/>
        </w:rPr>
        <w:t>______</w:t>
      </w:r>
      <w:r>
        <w:rPr>
          <w:rFonts w:hint="eastAsia" w:ascii="宋体" w:hAnsi="宋体" w:eastAsia="宋体" w:cs="宋体"/>
          <w:color w:val="000000"/>
          <w:sz w:val="24"/>
          <w:szCs w:val="20"/>
        </w:rPr>
        <w:t>元。</w:t>
      </w:r>
    </w:p>
    <w:p w14:paraId="2EAA8C9E">
      <w:pPr>
        <w:numPr>
          <w:ilvl w:val="0"/>
          <w:numId w:val="19"/>
        </w:numPr>
        <w:tabs>
          <w:tab w:val="left" w:pos="993"/>
        </w:tabs>
        <w:spacing w:line="360" w:lineRule="auto"/>
        <w:rPr>
          <w:rFonts w:hint="eastAsia" w:ascii="宋体" w:hAnsi="宋体" w:eastAsia="宋体" w:cs="宋体"/>
          <w:bCs/>
          <w:color w:val="000000"/>
          <w:sz w:val="24"/>
        </w:rPr>
      </w:pPr>
      <w:r>
        <w:rPr>
          <w:rFonts w:hint="eastAsia" w:ascii="宋体" w:hAnsi="宋体" w:eastAsia="宋体" w:cs="宋体"/>
          <w:color w:val="000000"/>
          <w:sz w:val="24"/>
          <w:szCs w:val="20"/>
        </w:rPr>
        <w:t>以联合体形式参加政府采购活动的，联合体各方不得再单独参加或者与其他供应商另外组成联合体参加同一合同项下的政府采购活动。</w:t>
      </w:r>
    </w:p>
    <w:p w14:paraId="397DE640">
      <w:pPr>
        <w:numPr>
          <w:ilvl w:val="0"/>
          <w:numId w:val="19"/>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其他约定（如有）：</w:t>
      </w:r>
      <w:r>
        <w:rPr>
          <w:rFonts w:hint="eastAsia" w:ascii="宋体" w:hAnsi="宋体" w:eastAsia="宋体" w:cs="宋体"/>
          <w:sz w:val="24"/>
        </w:rPr>
        <w:t>______。</w:t>
      </w:r>
    </w:p>
    <w:p w14:paraId="7C50FCB3">
      <w:pPr>
        <w:tabs>
          <w:tab w:val="left" w:pos="780"/>
        </w:tabs>
        <w:spacing w:line="360" w:lineRule="auto"/>
        <w:ind w:left="180" w:firstLine="480" w:firstLineChars="200"/>
        <w:rPr>
          <w:rFonts w:hint="eastAsia" w:ascii="宋体" w:hAnsi="宋体" w:eastAsia="宋体" w:cs="宋体"/>
          <w:color w:val="000000"/>
          <w:sz w:val="24"/>
        </w:rPr>
      </w:pPr>
      <w:r>
        <w:rPr>
          <w:rFonts w:hint="eastAsia" w:ascii="宋体" w:hAnsi="宋体" w:eastAsia="宋体" w:cs="宋体"/>
          <w:bCs/>
          <w:color w:val="000000"/>
          <w:sz w:val="24"/>
        </w:rPr>
        <w:t>本协议自各方盖章后生效，采购合同履行完毕后自动失效。如未成交，本协议自动终止。</w:t>
      </w:r>
      <w:r>
        <w:rPr>
          <w:rFonts w:hint="eastAsia" w:ascii="宋体" w:hAnsi="宋体" w:eastAsia="宋体" w:cs="宋体"/>
          <w:color w:val="000000"/>
          <w:sz w:val="24"/>
        </w:rPr>
        <w:br w:type="page"/>
      </w:r>
    </w:p>
    <w:p w14:paraId="76AB7EC9">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联合体牵头人名称：</w:t>
      </w:r>
      <w:r>
        <w:rPr>
          <w:rFonts w:hint="eastAsia" w:ascii="宋体" w:hAnsi="宋体" w:eastAsia="宋体" w:cs="宋体"/>
          <w:color w:val="000000"/>
          <w:sz w:val="24"/>
          <w:szCs w:val="20"/>
        </w:rPr>
        <w:t>______</w:t>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 xml:space="preserve"> 联合体成员名称：</w:t>
      </w:r>
      <w:r>
        <w:rPr>
          <w:rFonts w:hint="eastAsia" w:ascii="宋体" w:hAnsi="宋体" w:eastAsia="宋体" w:cs="宋体"/>
          <w:color w:val="000000"/>
          <w:sz w:val="24"/>
          <w:szCs w:val="20"/>
        </w:rPr>
        <w:t>______</w:t>
      </w:r>
    </w:p>
    <w:p w14:paraId="27200E6B">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盖章：</w:t>
      </w:r>
      <w:r>
        <w:rPr>
          <w:rFonts w:hint="eastAsia" w:ascii="宋体" w:hAnsi="宋体" w:eastAsia="宋体" w:cs="宋体"/>
          <w:color w:val="000000"/>
          <w:sz w:val="24"/>
          <w:szCs w:val="20"/>
        </w:rPr>
        <w:t>______</w:t>
      </w:r>
    </w:p>
    <w:p w14:paraId="09273BF2">
      <w:pPr>
        <w:spacing w:line="360" w:lineRule="auto"/>
        <w:ind w:firstLine="471"/>
        <w:rPr>
          <w:rFonts w:hint="eastAsia" w:ascii="宋体" w:hAnsi="宋体" w:eastAsia="宋体" w:cs="宋体"/>
          <w:color w:val="000000"/>
          <w:sz w:val="24"/>
        </w:rPr>
      </w:pPr>
    </w:p>
    <w:p w14:paraId="52720B79">
      <w:pPr>
        <w:spacing w:line="360" w:lineRule="auto"/>
        <w:ind w:firstLine="471"/>
        <w:rPr>
          <w:rFonts w:hint="eastAsia" w:ascii="宋体" w:hAnsi="宋体" w:eastAsia="宋体" w:cs="宋体"/>
          <w:color w:val="000000"/>
          <w:sz w:val="24"/>
        </w:rPr>
      </w:pPr>
    </w:p>
    <w:p w14:paraId="4FC1B20A">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联合体成员名称：</w:t>
      </w:r>
      <w:r>
        <w:rPr>
          <w:rFonts w:hint="eastAsia" w:ascii="宋体" w:hAnsi="宋体" w:eastAsia="宋体" w:cs="宋体"/>
          <w:color w:val="000000"/>
          <w:sz w:val="24"/>
          <w:szCs w:val="20"/>
        </w:rPr>
        <w:t>______</w:t>
      </w:r>
    </w:p>
    <w:p w14:paraId="027807F7">
      <w:pPr>
        <w:widowControl/>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w:t>
      </w:r>
    </w:p>
    <w:p w14:paraId="32633192">
      <w:pPr>
        <w:spacing w:line="360" w:lineRule="auto"/>
        <w:ind w:left="480"/>
        <w:jc w:val="right"/>
        <w:rPr>
          <w:rFonts w:hint="eastAsia" w:ascii="宋体" w:hAnsi="宋体" w:eastAsia="宋体" w:cs="宋体"/>
          <w:color w:val="000000"/>
          <w:sz w:val="24"/>
        </w:rPr>
      </w:pPr>
    </w:p>
    <w:p w14:paraId="4CB3F02C">
      <w:pPr>
        <w:spacing w:line="360" w:lineRule="auto"/>
        <w:ind w:left="480"/>
        <w:jc w:val="right"/>
        <w:rPr>
          <w:rFonts w:hint="eastAsia" w:ascii="宋体" w:hAnsi="宋体" w:eastAsia="宋体" w:cs="宋体"/>
          <w:color w:val="000000"/>
          <w:sz w:val="24"/>
        </w:rPr>
      </w:pPr>
      <w:r>
        <w:rPr>
          <w:rFonts w:hint="eastAsia" w:ascii="宋体" w:hAnsi="宋体" w:eastAsia="宋体" w:cs="宋体"/>
          <w:color w:val="000000"/>
          <w:sz w:val="24"/>
          <w:szCs w:val="20"/>
        </w:rPr>
        <w:t>日期：</w:t>
      </w:r>
      <w:r>
        <w:rPr>
          <w:rFonts w:hint="eastAsia" w:ascii="宋体" w:hAnsi="宋体" w:eastAsia="宋体" w:cs="宋体"/>
          <w:sz w:val="24"/>
        </w:rPr>
        <w:t>______</w:t>
      </w:r>
      <w:r>
        <w:rPr>
          <w:rFonts w:hint="eastAsia" w:ascii="宋体" w:hAnsi="宋体" w:eastAsia="宋体" w:cs="宋体"/>
          <w:color w:val="000000"/>
          <w:sz w:val="24"/>
          <w:szCs w:val="20"/>
        </w:rPr>
        <w:t>年</w:t>
      </w:r>
      <w:r>
        <w:rPr>
          <w:rFonts w:hint="eastAsia" w:ascii="宋体" w:hAnsi="宋体" w:eastAsia="宋体" w:cs="宋体"/>
          <w:sz w:val="24"/>
        </w:rPr>
        <w:t>______</w:t>
      </w:r>
      <w:r>
        <w:rPr>
          <w:rFonts w:hint="eastAsia" w:ascii="宋体" w:hAnsi="宋体" w:eastAsia="宋体" w:cs="宋体"/>
          <w:color w:val="000000"/>
          <w:sz w:val="24"/>
          <w:szCs w:val="20"/>
        </w:rPr>
        <w:t>月</w:t>
      </w:r>
      <w:r>
        <w:rPr>
          <w:rFonts w:hint="eastAsia" w:ascii="宋体" w:hAnsi="宋体" w:eastAsia="宋体" w:cs="宋体"/>
          <w:sz w:val="24"/>
        </w:rPr>
        <w:t>______</w:t>
      </w:r>
      <w:r>
        <w:rPr>
          <w:rFonts w:hint="eastAsia" w:ascii="宋体" w:hAnsi="宋体" w:eastAsia="宋体" w:cs="宋体"/>
          <w:color w:val="000000"/>
          <w:sz w:val="24"/>
          <w:szCs w:val="20"/>
        </w:rPr>
        <w:t>日</w:t>
      </w:r>
    </w:p>
    <w:p w14:paraId="0B001CE4">
      <w:pPr>
        <w:spacing w:line="360" w:lineRule="auto"/>
        <w:ind w:left="480"/>
        <w:jc w:val="right"/>
        <w:rPr>
          <w:rFonts w:hint="eastAsia" w:ascii="宋体" w:hAnsi="宋体" w:eastAsia="宋体" w:cs="宋体"/>
          <w:b/>
          <w:color w:val="000000"/>
          <w:sz w:val="24"/>
        </w:rPr>
      </w:pPr>
    </w:p>
    <w:p w14:paraId="2460CE99">
      <w:pPr>
        <w:tabs>
          <w:tab w:val="left" w:pos="8280"/>
        </w:tabs>
        <w:spacing w:line="360" w:lineRule="auto"/>
        <w:ind w:firstLine="480"/>
        <w:rPr>
          <w:rFonts w:hint="eastAsia" w:ascii="宋体" w:hAnsi="宋体" w:eastAsia="宋体" w:cs="宋体"/>
          <w:color w:val="000000"/>
          <w:sz w:val="24"/>
        </w:rPr>
      </w:pPr>
    </w:p>
    <w:p w14:paraId="6ABE6B82">
      <w:pPr>
        <w:tabs>
          <w:tab w:val="left" w:pos="8280"/>
        </w:tabs>
        <w:spacing w:line="360" w:lineRule="auto"/>
        <w:ind w:firstLine="480"/>
        <w:rPr>
          <w:rFonts w:hint="eastAsia" w:ascii="宋体" w:hAnsi="宋体" w:eastAsia="宋体" w:cs="宋体"/>
          <w:color w:val="000000"/>
          <w:sz w:val="24"/>
        </w:rPr>
      </w:pPr>
    </w:p>
    <w:p w14:paraId="042CF38D">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注：</w:t>
      </w:r>
    </w:p>
    <w:p w14:paraId="067C5515">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1. 如本项目（包）接受供应商以联合体形式参加采购活动，且供应商以联合体形式参与时，须提供《联合协议》，否则</w:t>
      </w:r>
      <w:r>
        <w:rPr>
          <w:rFonts w:hint="eastAsia" w:ascii="宋体" w:hAnsi="宋体" w:eastAsia="宋体" w:cs="宋体"/>
          <w:b/>
          <w:color w:val="000000"/>
          <w:sz w:val="24"/>
        </w:rPr>
        <w:t>响应无效</w:t>
      </w:r>
      <w:r>
        <w:rPr>
          <w:rFonts w:hint="eastAsia" w:ascii="宋体" w:hAnsi="宋体" w:eastAsia="宋体" w:cs="宋体"/>
          <w:color w:val="000000"/>
          <w:sz w:val="24"/>
        </w:rPr>
        <w:t>。</w:t>
      </w:r>
    </w:p>
    <w:p w14:paraId="465717CF">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2. 联合体各方成员须在本协议上共同盖章。</w:t>
      </w:r>
    </w:p>
    <w:p w14:paraId="5E54C909">
      <w:pPr>
        <w:widowControl/>
        <w:jc w:val="left"/>
        <w:rPr>
          <w:rFonts w:hint="eastAsia" w:ascii="宋体" w:hAnsi="宋体" w:eastAsia="宋体" w:cs="宋体"/>
          <w:sz w:val="24"/>
        </w:rPr>
      </w:pPr>
      <w:r>
        <w:rPr>
          <w:rFonts w:hint="eastAsia" w:ascii="宋体" w:hAnsi="宋体" w:eastAsia="宋体" w:cs="宋体"/>
          <w:sz w:val="24"/>
        </w:rPr>
        <w:br w:type="page"/>
      </w:r>
    </w:p>
    <w:p w14:paraId="0BD218C4">
      <w:pPr>
        <w:spacing w:line="360" w:lineRule="auto"/>
        <w:outlineLvl w:val="2"/>
        <w:rPr>
          <w:rFonts w:hint="eastAsia" w:ascii="宋体" w:hAnsi="宋体" w:eastAsia="宋体" w:cs="宋体"/>
          <w:sz w:val="24"/>
          <w:szCs w:val="20"/>
        </w:rPr>
      </w:pPr>
      <w:r>
        <w:rPr>
          <w:rFonts w:hint="eastAsia" w:ascii="宋体" w:hAnsi="宋体" w:eastAsia="宋体" w:cs="宋体"/>
          <w:color w:val="000000"/>
          <w:sz w:val="24"/>
          <w:szCs w:val="20"/>
        </w:rPr>
        <w:t>3-2 其他</w:t>
      </w:r>
      <w:r>
        <w:rPr>
          <w:rFonts w:hint="eastAsia" w:ascii="宋体" w:hAnsi="宋体" w:eastAsia="宋体" w:cs="宋体"/>
          <w:sz w:val="24"/>
          <w:szCs w:val="20"/>
        </w:rPr>
        <w:t>特定资格要求</w:t>
      </w:r>
    </w:p>
    <w:p w14:paraId="3DAE11A5">
      <w:pPr>
        <w:tabs>
          <w:tab w:val="left" w:pos="5580"/>
        </w:tabs>
        <w:spacing w:line="360" w:lineRule="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3-2-1供应商须具备</w:t>
      </w:r>
      <w:r>
        <w:rPr>
          <w:rFonts w:hint="eastAsia" w:ascii="宋体" w:hAnsi="宋体" w:eastAsia="宋体" w:cs="宋体"/>
          <w:color w:val="000000"/>
          <w:kern w:val="0"/>
          <w:sz w:val="24"/>
          <w:lang w:eastAsia="zh-CN" w:bidi="ar"/>
        </w:rPr>
        <w:t>市政公用工程</w:t>
      </w:r>
      <w:r>
        <w:rPr>
          <w:rFonts w:hint="eastAsia" w:ascii="宋体" w:hAnsi="宋体" w:eastAsia="宋体" w:cs="宋体"/>
          <w:color w:val="000000"/>
          <w:kern w:val="0"/>
          <w:sz w:val="24"/>
          <w:lang w:bidi="ar"/>
        </w:rPr>
        <w:t>施工总承包</w:t>
      </w:r>
      <w:r>
        <w:rPr>
          <w:rFonts w:hint="eastAsia" w:ascii="宋体" w:hAnsi="宋体" w:cs="宋体"/>
          <w:color w:val="000000"/>
          <w:kern w:val="0"/>
          <w:sz w:val="24"/>
          <w:lang w:val="en-US" w:eastAsia="zh-CN" w:bidi="ar"/>
        </w:rPr>
        <w:t>叁</w:t>
      </w:r>
      <w:r>
        <w:rPr>
          <w:rFonts w:hint="eastAsia" w:ascii="宋体" w:hAnsi="宋体" w:eastAsia="宋体" w:cs="宋体"/>
          <w:color w:val="000000"/>
          <w:kern w:val="0"/>
          <w:sz w:val="24"/>
          <w:lang w:bidi="ar"/>
        </w:rPr>
        <w:t>级（含）以上资质及有效期内的安全生产许可证。</w:t>
      </w:r>
    </w:p>
    <w:p w14:paraId="1290057D">
      <w:pPr>
        <w:tabs>
          <w:tab w:val="left" w:pos="5580"/>
        </w:tabs>
        <w:spacing w:line="360" w:lineRule="auto"/>
        <w:rPr>
          <w:rFonts w:hint="eastAsia" w:ascii="宋体" w:hAnsi="宋体" w:eastAsia="宋体" w:cs="宋体"/>
          <w:sz w:val="24"/>
        </w:rPr>
      </w:pPr>
      <w:r>
        <w:rPr>
          <w:rFonts w:hint="eastAsia" w:ascii="宋体" w:hAnsi="宋体" w:eastAsia="宋体" w:cs="宋体"/>
          <w:color w:val="000000"/>
          <w:kern w:val="0"/>
          <w:sz w:val="24"/>
          <w:lang w:bidi="ar"/>
        </w:rPr>
        <w:t>3-2-2</w:t>
      </w:r>
      <w:r>
        <w:rPr>
          <w:rFonts w:hint="eastAsia" w:ascii="宋体" w:hAnsi="宋体" w:eastAsia="宋体" w:cs="宋体"/>
          <w:sz w:val="24"/>
        </w:rPr>
        <w:t>拟派本项目的项目经理专业要求：受聘于投标人已取得</w:t>
      </w:r>
      <w:r>
        <w:rPr>
          <w:rFonts w:hint="eastAsia" w:ascii="宋体" w:hAnsi="宋体" w:eastAsia="宋体" w:cs="宋体"/>
          <w:sz w:val="24"/>
          <w:u w:val="single"/>
        </w:rPr>
        <w:t xml:space="preserve"> </w:t>
      </w:r>
      <w:r>
        <w:rPr>
          <w:rFonts w:hint="eastAsia" w:ascii="宋体" w:hAnsi="宋体" w:eastAsia="宋体" w:cs="宋体"/>
          <w:sz w:val="24"/>
          <w:u w:val="single"/>
          <w:lang w:eastAsia="zh-CN"/>
        </w:rPr>
        <w:t>市政公用工程</w:t>
      </w:r>
      <w:r>
        <w:rPr>
          <w:rFonts w:hint="eastAsia" w:ascii="宋体" w:hAnsi="宋体" w:eastAsia="宋体" w:cs="宋体"/>
          <w:sz w:val="24"/>
          <w:u w:val="single"/>
        </w:rPr>
        <w:t>专业二级（含二级）</w:t>
      </w:r>
      <w:r>
        <w:rPr>
          <w:rFonts w:hint="eastAsia" w:ascii="宋体" w:hAnsi="宋体" w:eastAsia="宋体" w:cs="宋体"/>
          <w:sz w:val="24"/>
        </w:rPr>
        <w:t>以上建造师注册证书，同时还须提供&lt;安全生产考核合格证书&gt;(简称B本)，且均在有效期内；且在确定中标人时不得担任其他在施建设工程的项目经理</w:t>
      </w:r>
      <w:r>
        <w:rPr>
          <w:rFonts w:hint="eastAsia" w:ascii="宋体" w:hAnsi="宋体" w:eastAsia="宋体" w:cs="宋体"/>
          <w:color w:val="000000"/>
          <w:kern w:val="0"/>
          <w:sz w:val="24"/>
          <w:lang w:bidi="ar"/>
        </w:rPr>
        <w:t>。</w:t>
      </w:r>
    </w:p>
    <w:p w14:paraId="4C3C2FC0">
      <w:pPr>
        <w:widowControl/>
        <w:jc w:val="left"/>
        <w:rPr>
          <w:rFonts w:hint="eastAsia" w:ascii="宋体" w:hAnsi="宋体" w:eastAsia="宋体" w:cs="宋体"/>
          <w:sz w:val="24"/>
          <w:szCs w:val="20"/>
        </w:rPr>
      </w:pPr>
      <w:r>
        <w:rPr>
          <w:rFonts w:hint="eastAsia" w:ascii="宋体" w:hAnsi="宋体" w:eastAsia="宋体" w:cs="宋体"/>
          <w:sz w:val="24"/>
          <w:szCs w:val="20"/>
        </w:rPr>
        <w:br w:type="page"/>
      </w:r>
    </w:p>
    <w:p w14:paraId="1E99F22B">
      <w:pPr>
        <w:tabs>
          <w:tab w:val="left" w:pos="360"/>
        </w:tabs>
        <w:snapToGrid w:val="0"/>
        <w:spacing w:line="360" w:lineRule="auto"/>
        <w:outlineLvl w:val="1"/>
        <w:rPr>
          <w:rFonts w:hint="default" w:ascii="宋体" w:hAnsi="宋体" w:eastAsia="宋体" w:cs="宋体"/>
          <w:sz w:val="24"/>
          <w:lang w:val="en-US" w:eastAsia="zh-CN"/>
        </w:rPr>
      </w:pPr>
      <w:r>
        <w:rPr>
          <w:rFonts w:hint="eastAsia" w:ascii="宋体" w:hAnsi="宋体" w:eastAsia="宋体" w:cs="宋体"/>
          <w:sz w:val="24"/>
        </w:rPr>
        <w:t>4 磋商保证金凭证/交款单据电子件</w:t>
      </w:r>
      <w:r>
        <w:rPr>
          <w:rFonts w:hint="eastAsia" w:ascii="宋体" w:hAnsi="宋体" w:cs="宋体"/>
          <w:sz w:val="24"/>
          <w:lang w:eastAsia="zh-CN"/>
        </w:rPr>
        <w:t>（</w:t>
      </w:r>
      <w:r>
        <w:rPr>
          <w:rFonts w:hint="eastAsia" w:ascii="宋体" w:hAnsi="宋体" w:cs="宋体"/>
          <w:sz w:val="24"/>
          <w:lang w:val="en-US" w:eastAsia="zh-CN"/>
        </w:rPr>
        <w:t>本项目不适用）</w:t>
      </w:r>
    </w:p>
    <w:p w14:paraId="6C3D6AA6">
      <w:pPr>
        <w:widowControl/>
        <w:jc w:val="left"/>
        <w:rPr>
          <w:rFonts w:hint="eastAsia" w:ascii="宋体" w:hAnsi="宋体" w:eastAsia="宋体" w:cs="宋体"/>
          <w:kern w:val="0"/>
          <w:sz w:val="24"/>
          <w:szCs w:val="20"/>
        </w:rPr>
      </w:pPr>
      <w:r>
        <w:rPr>
          <w:rFonts w:hint="eastAsia" w:ascii="宋体" w:hAnsi="宋体" w:eastAsia="宋体" w:cs="宋体"/>
          <w:b/>
          <w:sz w:val="24"/>
        </w:rPr>
        <w:br w:type="page"/>
      </w:r>
    </w:p>
    <w:p w14:paraId="05673AF3">
      <w:pPr>
        <w:tabs>
          <w:tab w:val="left" w:pos="360"/>
        </w:tabs>
        <w:snapToGrid w:val="0"/>
        <w:spacing w:line="360" w:lineRule="auto"/>
        <w:outlineLvl w:val="1"/>
        <w:rPr>
          <w:rFonts w:hint="eastAsia" w:ascii="宋体" w:hAnsi="宋体" w:eastAsia="宋体" w:cs="宋体"/>
          <w:sz w:val="24"/>
        </w:rPr>
      </w:pPr>
      <w:bookmarkStart w:id="1680" w:name="_Hlt520274121"/>
      <w:bookmarkEnd w:id="1680"/>
      <w:bookmarkStart w:id="1681" w:name="_Hlt520273711"/>
      <w:bookmarkEnd w:id="1681"/>
      <w:bookmarkStart w:id="1682" w:name="_Hlt520343000"/>
      <w:bookmarkEnd w:id="1682"/>
      <w:bookmarkStart w:id="1683" w:name="_Hlt520350918"/>
      <w:bookmarkEnd w:id="1683"/>
      <w:bookmarkStart w:id="1684" w:name="_Hlt520274393"/>
      <w:bookmarkEnd w:id="1684"/>
      <w:bookmarkStart w:id="1685" w:name="_Hlt520271212"/>
      <w:bookmarkEnd w:id="1685"/>
      <w:bookmarkStart w:id="1686" w:name="_Hlt520355504"/>
      <w:bookmarkEnd w:id="1686"/>
      <w:bookmarkStart w:id="1687" w:name="_Hlt520274407"/>
      <w:bookmarkEnd w:id="1687"/>
      <w:bookmarkStart w:id="1688" w:name="_Hlt520343392"/>
      <w:bookmarkEnd w:id="1688"/>
      <w:bookmarkStart w:id="1689" w:name="_Hlt520274065"/>
      <w:bookmarkEnd w:id="1689"/>
      <w:bookmarkStart w:id="1690" w:name="_Ref467988698"/>
      <w:bookmarkStart w:id="1691" w:name="_Toc480942349"/>
      <w:bookmarkStart w:id="1692" w:name="_Toc226337252"/>
      <w:bookmarkStart w:id="1693" w:name="_Toc520356217"/>
      <w:bookmarkStart w:id="1694" w:name="_Toc150480794"/>
      <w:bookmarkStart w:id="1695" w:name="_Toc195842921"/>
      <w:bookmarkStart w:id="1696" w:name="_Toc142311058"/>
      <w:bookmarkStart w:id="1697" w:name="_Toc150774761"/>
      <w:bookmarkStart w:id="1698" w:name="_Toc226309800"/>
      <w:bookmarkStart w:id="1699" w:name="_Toc127151556"/>
      <w:bookmarkStart w:id="1700" w:name="_Toc226965829"/>
      <w:bookmarkStart w:id="1701" w:name="_Toc226965746"/>
      <w:r>
        <w:rPr>
          <w:rFonts w:hint="eastAsia" w:ascii="宋体" w:hAnsi="宋体" w:eastAsia="宋体" w:cs="宋体"/>
          <w:sz w:val="24"/>
        </w:rPr>
        <w:t xml:space="preserve">5  </w:t>
      </w:r>
      <w:bookmarkEnd w:id="1690"/>
      <w:bookmarkEnd w:id="1691"/>
      <w:r>
        <w:rPr>
          <w:rFonts w:hint="eastAsia" w:ascii="宋体" w:hAnsi="宋体" w:eastAsia="宋体" w:cs="宋体"/>
          <w:sz w:val="24"/>
        </w:rPr>
        <w:t>响应书</w:t>
      </w:r>
      <w:bookmarkEnd w:id="1692"/>
      <w:bookmarkEnd w:id="1693"/>
      <w:bookmarkEnd w:id="1694"/>
      <w:bookmarkEnd w:id="1695"/>
      <w:bookmarkEnd w:id="1696"/>
      <w:bookmarkEnd w:id="1697"/>
      <w:bookmarkEnd w:id="1698"/>
      <w:bookmarkEnd w:id="1699"/>
      <w:bookmarkEnd w:id="1700"/>
      <w:bookmarkEnd w:id="1701"/>
      <w:r>
        <w:rPr>
          <w:rFonts w:hint="eastAsia" w:ascii="宋体" w:hAnsi="宋体" w:eastAsia="宋体" w:cs="宋体"/>
          <w:sz w:val="24"/>
        </w:rPr>
        <w:t>（实质性格式）</w:t>
      </w:r>
    </w:p>
    <w:p w14:paraId="0C79CF16">
      <w:pPr>
        <w:tabs>
          <w:tab w:val="left" w:pos="5580"/>
        </w:tabs>
        <w:spacing w:line="360" w:lineRule="auto"/>
        <w:rPr>
          <w:rFonts w:hint="eastAsia" w:ascii="宋体" w:hAnsi="宋体" w:eastAsia="宋体" w:cs="宋体"/>
          <w:color w:val="000000"/>
          <w:sz w:val="24"/>
        </w:rPr>
      </w:pPr>
    </w:p>
    <w:p w14:paraId="0B3EBB3A">
      <w:pPr>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响应书</w:t>
      </w:r>
    </w:p>
    <w:p w14:paraId="33F263CC">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6ECF0270">
      <w:pPr>
        <w:tabs>
          <w:tab w:val="left" w:pos="5580"/>
        </w:tabs>
        <w:spacing w:line="360" w:lineRule="auto"/>
        <w:rPr>
          <w:rFonts w:hint="eastAsia" w:ascii="宋体" w:hAnsi="宋体" w:eastAsia="宋体" w:cs="宋体"/>
          <w:color w:val="000000"/>
          <w:sz w:val="24"/>
          <w:szCs w:val="20"/>
        </w:rPr>
      </w:pPr>
    </w:p>
    <w:p w14:paraId="77D560EE">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我方参加你方就</w:t>
      </w:r>
      <w:r>
        <w:rPr>
          <w:rFonts w:hint="eastAsia" w:ascii="宋体" w:hAnsi="宋体" w:eastAsia="宋体" w:cs="宋体"/>
          <w:sz w:val="24"/>
        </w:rPr>
        <w:t>______</w:t>
      </w:r>
      <w:r>
        <w:rPr>
          <w:rFonts w:hint="eastAsia" w:ascii="宋体" w:hAnsi="宋体" w:eastAsia="宋体" w:cs="宋体"/>
          <w:color w:val="000000"/>
          <w:sz w:val="24"/>
          <w:szCs w:val="20"/>
        </w:rPr>
        <w:t>（项目名称，项目编号/包号）组织的采购活动，并对此项目进行磋商。</w:t>
      </w:r>
    </w:p>
    <w:p w14:paraId="4AB82B89">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1. 我方</w:t>
      </w:r>
      <w:r>
        <w:rPr>
          <w:rFonts w:hint="eastAsia" w:ascii="宋体" w:hAnsi="宋体" w:eastAsia="宋体" w:cs="宋体"/>
          <w:color w:val="000000"/>
          <w:sz w:val="24"/>
        </w:rPr>
        <w:t>已详细审查全部竞争性磋商文件</w:t>
      </w:r>
      <w:r>
        <w:rPr>
          <w:rFonts w:hint="eastAsia" w:ascii="宋体" w:hAnsi="宋体" w:eastAsia="宋体" w:cs="宋体"/>
          <w:color w:val="000000"/>
          <w:sz w:val="24"/>
          <w:szCs w:val="20"/>
        </w:rPr>
        <w:t>，自愿参与磋商并承诺如下：</w:t>
      </w:r>
    </w:p>
    <w:p w14:paraId="28BD5142">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（1）本响应有效期为自响应文件提交截止之日起</w:t>
      </w:r>
      <w:r>
        <w:rPr>
          <w:rFonts w:hint="eastAsia" w:ascii="宋体" w:hAnsi="宋体" w:eastAsia="宋体" w:cs="宋体"/>
          <w:sz w:val="24"/>
        </w:rPr>
        <w:t>______</w:t>
      </w:r>
      <w:r>
        <w:rPr>
          <w:rFonts w:hint="eastAsia" w:ascii="宋体" w:hAnsi="宋体" w:eastAsia="宋体" w:cs="宋体"/>
          <w:color w:val="000000"/>
          <w:sz w:val="24"/>
          <w:szCs w:val="20"/>
        </w:rPr>
        <w:t>个日历日。</w:t>
      </w:r>
    </w:p>
    <w:p w14:paraId="195814A3">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（2）除合同条款及采购需求偏离表列出的偏离外，我方响应竞争性磋商文件的全部要求。</w:t>
      </w:r>
    </w:p>
    <w:p w14:paraId="734B485B">
      <w:pPr>
        <w:tabs>
          <w:tab w:val="left" w:pos="5580"/>
        </w:tabs>
        <w:spacing w:line="360" w:lineRule="auto"/>
        <w:ind w:firstLine="420" w:firstLineChars="175"/>
        <w:rPr>
          <w:rFonts w:hint="eastAsia" w:ascii="宋体" w:hAnsi="宋体" w:eastAsia="宋体" w:cs="宋体"/>
          <w:color w:val="000000"/>
          <w:sz w:val="24"/>
          <w:szCs w:val="20"/>
        </w:rPr>
      </w:pPr>
      <w:r>
        <w:rPr>
          <w:rFonts w:hint="eastAsia" w:ascii="宋体" w:hAnsi="宋体" w:eastAsia="宋体" w:cs="宋体"/>
          <w:color w:val="000000"/>
          <w:sz w:val="24"/>
          <w:szCs w:val="20"/>
        </w:rPr>
        <w:t>（3）我方已提供的全部文件资料是真实、准确的，并对此承担一切法律后果。</w:t>
      </w:r>
    </w:p>
    <w:p w14:paraId="5066DBED">
      <w:pPr>
        <w:tabs>
          <w:tab w:val="left" w:pos="5580"/>
        </w:tabs>
        <w:spacing w:line="360" w:lineRule="auto"/>
        <w:ind w:firstLine="420" w:firstLineChars="175"/>
        <w:rPr>
          <w:rFonts w:hint="eastAsia" w:ascii="宋体" w:hAnsi="宋体" w:eastAsia="宋体" w:cs="宋体"/>
          <w:color w:val="000000"/>
          <w:sz w:val="24"/>
        </w:rPr>
      </w:pPr>
      <w:r>
        <w:rPr>
          <w:rFonts w:hint="eastAsia" w:ascii="宋体" w:hAnsi="宋体" w:eastAsia="宋体" w:cs="宋体"/>
          <w:color w:val="000000"/>
          <w:sz w:val="24"/>
          <w:szCs w:val="20"/>
        </w:rPr>
        <w:t>（4）如我方成交，我方将在法律规定的期限内与你方签订合同，按照竞争性磋商文件要求提交履约保证金，并在合同约定的期限内完成合同规定的全部义务。</w:t>
      </w:r>
    </w:p>
    <w:p w14:paraId="1494B8FE">
      <w:pPr>
        <w:spacing w:line="360" w:lineRule="auto"/>
        <w:ind w:left="420"/>
        <w:rPr>
          <w:rFonts w:hint="eastAsia" w:ascii="宋体" w:hAnsi="宋体" w:eastAsia="宋体" w:cs="宋体"/>
          <w:color w:val="000000"/>
          <w:sz w:val="24"/>
        </w:rPr>
      </w:pPr>
      <w:r>
        <w:rPr>
          <w:rFonts w:hint="eastAsia" w:ascii="宋体" w:hAnsi="宋体" w:eastAsia="宋体" w:cs="宋体"/>
          <w:color w:val="000000"/>
          <w:sz w:val="24"/>
        </w:rPr>
        <w:t>2. 其他补充条款（如有）：</w:t>
      </w:r>
      <w:r>
        <w:rPr>
          <w:rFonts w:hint="eastAsia" w:ascii="宋体" w:hAnsi="宋体" w:eastAsia="宋体" w:cs="宋体"/>
          <w:sz w:val="24"/>
        </w:rPr>
        <w:t>______</w:t>
      </w:r>
      <w:r>
        <w:rPr>
          <w:rFonts w:hint="eastAsia" w:ascii="宋体" w:hAnsi="宋体" w:eastAsia="宋体" w:cs="宋体"/>
          <w:color w:val="000000"/>
          <w:sz w:val="24"/>
        </w:rPr>
        <w:t>。</w:t>
      </w:r>
    </w:p>
    <w:p w14:paraId="6D7F7EE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与本磋商有关的一切正式往来信函请寄：</w:t>
      </w:r>
    </w:p>
    <w:p w14:paraId="281E62ED">
      <w:pPr>
        <w:tabs>
          <w:tab w:val="left" w:pos="5580"/>
        </w:tabs>
        <w:spacing w:line="360" w:lineRule="auto"/>
        <w:ind w:left="420"/>
        <w:rPr>
          <w:rFonts w:hint="eastAsia" w:ascii="宋体" w:hAnsi="宋体" w:eastAsia="宋体" w:cs="宋体"/>
          <w:color w:val="000000"/>
          <w:sz w:val="24"/>
          <w:szCs w:val="20"/>
        </w:rPr>
      </w:pPr>
    </w:p>
    <w:p w14:paraId="71DDC4DA">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地址</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传   真</w:t>
      </w:r>
      <w:r>
        <w:rPr>
          <w:rFonts w:hint="eastAsia" w:ascii="宋体" w:hAnsi="宋体" w:eastAsia="宋体" w:cs="宋体"/>
          <w:bCs/>
          <w:color w:val="000000"/>
          <w:sz w:val="24"/>
        </w:rPr>
        <w:t>_________________________</w:t>
      </w:r>
    </w:p>
    <w:p w14:paraId="77B8B1DF">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电话</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电子函件</w:t>
      </w:r>
      <w:r>
        <w:rPr>
          <w:rFonts w:hint="eastAsia" w:ascii="宋体" w:hAnsi="宋体" w:eastAsia="宋体" w:cs="宋体"/>
          <w:bCs/>
          <w:color w:val="000000"/>
          <w:sz w:val="24"/>
        </w:rPr>
        <w:t>_________________________</w:t>
      </w:r>
    </w:p>
    <w:p w14:paraId="49FE238D">
      <w:pPr>
        <w:tabs>
          <w:tab w:val="left" w:pos="5580"/>
        </w:tabs>
        <w:spacing w:line="360" w:lineRule="auto"/>
        <w:ind w:left="420"/>
        <w:rPr>
          <w:rFonts w:hint="eastAsia" w:ascii="宋体" w:hAnsi="宋体" w:eastAsia="宋体" w:cs="宋体"/>
          <w:color w:val="000000"/>
          <w:sz w:val="24"/>
          <w:szCs w:val="20"/>
        </w:rPr>
      </w:pPr>
    </w:p>
    <w:p w14:paraId="707D3A02">
      <w:pPr>
        <w:tabs>
          <w:tab w:val="left" w:pos="5580"/>
        </w:tabs>
        <w:spacing w:line="360" w:lineRule="auto"/>
        <w:ind w:left="420"/>
        <w:rPr>
          <w:rFonts w:hint="eastAsia" w:ascii="宋体" w:hAnsi="宋体" w:eastAsia="宋体" w:cs="宋体"/>
          <w:color w:val="000000"/>
          <w:sz w:val="24"/>
          <w:szCs w:val="20"/>
        </w:rPr>
      </w:pPr>
    </w:p>
    <w:p w14:paraId="02E90707">
      <w:pPr>
        <w:tabs>
          <w:tab w:val="left" w:pos="5580"/>
        </w:tabs>
        <w:spacing w:line="360" w:lineRule="auto"/>
        <w:ind w:left="420"/>
        <w:rPr>
          <w:rFonts w:hint="eastAsia" w:ascii="宋体" w:hAnsi="宋体" w:eastAsia="宋体" w:cs="宋体"/>
          <w:color w:val="000000"/>
          <w:sz w:val="24"/>
          <w:szCs w:val="20"/>
        </w:rPr>
      </w:pPr>
    </w:p>
    <w:p w14:paraId="295C93F6">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3E1895DE">
      <w:pPr>
        <w:tabs>
          <w:tab w:val="left" w:pos="5580"/>
        </w:tabs>
        <w:spacing w:line="360" w:lineRule="auto"/>
        <w:ind w:firstLine="360" w:firstLineChars="150"/>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6DC1339C">
      <w:pPr>
        <w:tabs>
          <w:tab w:val="left" w:pos="5580"/>
        </w:tabs>
        <w:spacing w:line="360" w:lineRule="auto"/>
        <w:ind w:left="420"/>
        <w:jc w:val="left"/>
        <w:rPr>
          <w:rFonts w:hint="eastAsia" w:ascii="宋体" w:hAnsi="宋体" w:eastAsia="宋体" w:cs="宋体"/>
          <w:color w:val="000000"/>
          <w:sz w:val="24"/>
          <w:szCs w:val="20"/>
        </w:rPr>
      </w:pPr>
    </w:p>
    <w:p w14:paraId="07B69217">
      <w:pPr>
        <w:widowControl/>
        <w:jc w:val="left"/>
        <w:rPr>
          <w:rFonts w:hint="eastAsia" w:ascii="宋体" w:hAnsi="宋体" w:eastAsia="宋体" w:cs="宋体"/>
          <w:b/>
          <w:color w:val="000000"/>
          <w:sz w:val="24"/>
          <w:szCs w:val="20"/>
        </w:rPr>
      </w:pPr>
      <w:r>
        <w:rPr>
          <w:rFonts w:hint="eastAsia" w:ascii="宋体" w:hAnsi="宋体" w:eastAsia="宋体" w:cs="宋体"/>
          <w:b/>
          <w:color w:val="000000"/>
          <w:sz w:val="24"/>
          <w:szCs w:val="20"/>
        </w:rPr>
        <w:br w:type="page"/>
      </w:r>
    </w:p>
    <w:p w14:paraId="08673FFB">
      <w:pPr>
        <w:tabs>
          <w:tab w:val="left" w:pos="360"/>
        </w:tabs>
        <w:snapToGrid w:val="0"/>
        <w:spacing w:line="360" w:lineRule="auto"/>
        <w:outlineLvl w:val="1"/>
        <w:rPr>
          <w:rFonts w:hint="eastAsia" w:ascii="宋体" w:hAnsi="宋体" w:eastAsia="宋体" w:cs="宋体"/>
          <w:sz w:val="24"/>
        </w:rPr>
      </w:pPr>
      <w:bookmarkStart w:id="1702" w:name="_Hlt520355938"/>
      <w:bookmarkEnd w:id="1702"/>
      <w:bookmarkStart w:id="1703" w:name="_Hlt520356243"/>
      <w:bookmarkEnd w:id="1703"/>
      <w:bookmarkStart w:id="1704" w:name="_Toc150774762"/>
      <w:bookmarkStart w:id="1705" w:name="_Ref467988705"/>
      <w:bookmarkStart w:id="1706" w:name="_Toc480942350"/>
      <w:bookmarkStart w:id="1707" w:name="_Toc142311059"/>
      <w:bookmarkStart w:id="1708" w:name="_Toc226309801"/>
      <w:bookmarkStart w:id="1709" w:name="_Toc265228395"/>
      <w:bookmarkStart w:id="1710" w:name="_Toc305158899"/>
      <w:bookmarkStart w:id="1711" w:name="_Toc226965830"/>
      <w:bookmarkStart w:id="1712" w:name="_Toc226965747"/>
      <w:bookmarkStart w:id="1713" w:name="_Toc150480795"/>
      <w:bookmarkStart w:id="1714" w:name="_Toc520356218"/>
      <w:bookmarkStart w:id="1715" w:name="_Toc226337253"/>
      <w:bookmarkStart w:id="1716" w:name="_Toc264969247"/>
      <w:bookmarkStart w:id="1717" w:name="_Toc195842922"/>
      <w:bookmarkStart w:id="1718" w:name="_Toc127151557"/>
      <w:bookmarkStart w:id="1719" w:name="_Toc305158825"/>
      <w:r>
        <w:rPr>
          <w:rFonts w:hint="eastAsia" w:ascii="宋体" w:hAnsi="宋体" w:eastAsia="宋体" w:cs="宋体"/>
          <w:sz w:val="24"/>
        </w:rPr>
        <w:t>6  授权委托书（实质性格式）</w:t>
      </w:r>
    </w:p>
    <w:p w14:paraId="569400C4">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授权委托书</w:t>
      </w:r>
    </w:p>
    <w:p w14:paraId="0A479FD0">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1CAF078C">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委托期限：自本授权委托书签署之日起至响应有效期届满之日止。</w:t>
      </w:r>
    </w:p>
    <w:p w14:paraId="1DE379EC">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代理人无转委托权。</w:t>
      </w:r>
      <w:r>
        <w:rPr>
          <w:rFonts w:hint="eastAsia" w:ascii="宋体" w:hAnsi="宋体" w:eastAsia="宋体" w:cs="宋体"/>
          <w:color w:val="000000"/>
          <w:sz w:val="24"/>
          <w:szCs w:val="20"/>
        </w:rPr>
        <w:cr/>
      </w:r>
    </w:p>
    <w:p w14:paraId="524CB16F">
      <w:pPr>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color w:val="000000"/>
          <w:sz w:val="24"/>
          <w:szCs w:val="20"/>
        </w:rPr>
        <w:t>______________</w:t>
      </w:r>
    </w:p>
    <w:p w14:paraId="29322BDB">
      <w:pPr>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法定代表人（单位负责人）（签字或签章）：______________</w:t>
      </w:r>
    </w:p>
    <w:p w14:paraId="1631D905">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委托代理人（签字</w:t>
      </w:r>
      <w:r>
        <w:rPr>
          <w:rFonts w:hint="eastAsia" w:ascii="宋体" w:hAnsi="宋体" w:eastAsia="宋体" w:cs="宋体"/>
          <w:color w:val="000000"/>
          <w:sz w:val="24"/>
          <w:szCs w:val="20"/>
        </w:rPr>
        <w:t>或签章</w:t>
      </w:r>
      <w:r>
        <w:rPr>
          <w:rFonts w:hint="eastAsia" w:ascii="宋体" w:hAnsi="宋体" w:eastAsia="宋体" w:cs="宋体"/>
          <w:color w:val="000000"/>
          <w:sz w:val="24"/>
        </w:rPr>
        <w:t>）：</w:t>
      </w:r>
      <w:r>
        <w:rPr>
          <w:rFonts w:hint="eastAsia" w:ascii="宋体" w:hAnsi="宋体" w:eastAsia="宋体" w:cs="宋体"/>
          <w:color w:val="000000"/>
          <w:sz w:val="24"/>
          <w:szCs w:val="20"/>
        </w:rPr>
        <w:t>______________</w:t>
      </w:r>
      <w:r>
        <w:rPr>
          <w:rFonts w:hint="eastAsia" w:ascii="宋体" w:hAnsi="宋体" w:eastAsia="宋体" w:cs="宋体"/>
          <w:color w:val="000000"/>
          <w:sz w:val="24"/>
          <w:lang w:val="zh-CN"/>
        </w:rPr>
        <w:t xml:space="preserve">        </w:t>
      </w:r>
    </w:p>
    <w:p w14:paraId="6A8895E8">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w:t>
      </w:r>
      <w:r>
        <w:rPr>
          <w:rFonts w:hint="eastAsia" w:ascii="宋体" w:hAnsi="宋体" w:eastAsia="宋体" w:cs="宋体"/>
          <w:color w:val="000000"/>
          <w:sz w:val="24"/>
        </w:rPr>
        <w:t>年</w:t>
      </w:r>
      <w:r>
        <w:rPr>
          <w:rFonts w:hint="eastAsia" w:ascii="宋体" w:hAnsi="宋体" w:eastAsia="宋体" w:cs="宋体"/>
          <w:color w:val="000000"/>
          <w:sz w:val="24"/>
          <w:szCs w:val="20"/>
        </w:rPr>
        <w:t>____</w:t>
      </w:r>
      <w:r>
        <w:rPr>
          <w:rFonts w:hint="eastAsia" w:ascii="宋体" w:hAnsi="宋体" w:eastAsia="宋体" w:cs="宋体"/>
          <w:color w:val="000000"/>
          <w:sz w:val="24"/>
        </w:rPr>
        <w:t>月</w:t>
      </w:r>
      <w:r>
        <w:rPr>
          <w:rFonts w:hint="eastAsia" w:ascii="宋体" w:hAnsi="宋体" w:eastAsia="宋体" w:cs="宋体"/>
          <w:color w:val="000000"/>
          <w:sz w:val="24"/>
          <w:szCs w:val="20"/>
        </w:rPr>
        <w:t>____</w:t>
      </w:r>
      <w:r>
        <w:rPr>
          <w:rFonts w:hint="eastAsia" w:ascii="宋体" w:hAnsi="宋体" w:eastAsia="宋体" w:cs="宋体"/>
          <w:color w:val="000000"/>
          <w:sz w:val="24"/>
        </w:rPr>
        <w:t>日</w:t>
      </w:r>
    </w:p>
    <w:p w14:paraId="599B9198">
      <w:pPr>
        <w:tabs>
          <w:tab w:val="left" w:pos="5580"/>
        </w:tabs>
        <w:spacing w:line="360" w:lineRule="auto"/>
        <w:ind w:firstLine="480" w:firstLineChars="200"/>
        <w:rPr>
          <w:rFonts w:hint="eastAsia" w:ascii="宋体" w:hAnsi="宋体" w:eastAsia="宋体" w:cs="宋体"/>
          <w:color w:val="000000"/>
          <w:sz w:val="24"/>
          <w:szCs w:val="20"/>
        </w:rPr>
      </w:pPr>
    </w:p>
    <w:p w14:paraId="2E40D020">
      <w:pPr>
        <w:tabs>
          <w:tab w:val="left" w:pos="5580"/>
        </w:tabs>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附：法定代表人</w:t>
      </w:r>
      <w:r>
        <w:rPr>
          <w:rFonts w:hint="eastAsia" w:ascii="宋体" w:hAnsi="宋体" w:eastAsia="宋体" w:cs="宋体"/>
          <w:sz w:val="24"/>
          <w:szCs w:val="20"/>
        </w:rPr>
        <w:t>（单位负责人）</w:t>
      </w:r>
      <w:r>
        <w:rPr>
          <w:rFonts w:hint="eastAsia" w:ascii="宋体" w:hAnsi="宋体" w:eastAsia="宋体" w:cs="宋体"/>
          <w:color w:val="000000"/>
          <w:sz w:val="24"/>
          <w:szCs w:val="20"/>
        </w:rPr>
        <w:t>及委托代理人身份证明文件电子件：</w:t>
      </w:r>
    </w:p>
    <w:p w14:paraId="6ECAD5A1">
      <w:pPr>
        <w:tabs>
          <w:tab w:val="left" w:pos="5580"/>
        </w:tabs>
        <w:spacing w:line="360" w:lineRule="auto"/>
        <w:jc w:val="left"/>
        <w:rPr>
          <w:rFonts w:hint="eastAsia" w:ascii="宋体" w:hAnsi="宋体" w:eastAsia="宋体" w:cs="宋体"/>
          <w:color w:val="000000"/>
          <w:sz w:val="24"/>
          <w:szCs w:val="20"/>
        </w:rPr>
      </w:pPr>
    </w:p>
    <w:p w14:paraId="715116CB">
      <w:pPr>
        <w:tabs>
          <w:tab w:val="left" w:pos="5580"/>
        </w:tabs>
        <w:spacing w:line="360" w:lineRule="auto"/>
        <w:jc w:val="left"/>
        <w:rPr>
          <w:rFonts w:hint="eastAsia" w:ascii="宋体" w:hAnsi="宋体" w:eastAsia="宋体" w:cs="宋体"/>
          <w:color w:val="000000"/>
          <w:sz w:val="24"/>
          <w:szCs w:val="20"/>
        </w:rPr>
      </w:pPr>
    </w:p>
    <w:p w14:paraId="17BEA400">
      <w:pPr>
        <w:tabs>
          <w:tab w:val="left" w:pos="5580"/>
        </w:tabs>
        <w:spacing w:line="360" w:lineRule="auto"/>
        <w:jc w:val="left"/>
        <w:rPr>
          <w:rFonts w:hint="eastAsia" w:ascii="宋体" w:hAnsi="宋体" w:eastAsia="宋体" w:cs="宋体"/>
          <w:color w:val="000000"/>
          <w:sz w:val="24"/>
          <w:szCs w:val="20"/>
        </w:rPr>
      </w:pPr>
    </w:p>
    <w:p w14:paraId="176E1FEF">
      <w:pPr>
        <w:tabs>
          <w:tab w:val="left" w:pos="5580"/>
        </w:tabs>
        <w:spacing w:line="360" w:lineRule="auto"/>
        <w:jc w:val="left"/>
        <w:rPr>
          <w:rFonts w:hint="eastAsia" w:ascii="宋体" w:hAnsi="宋体" w:eastAsia="宋体" w:cs="宋体"/>
          <w:color w:val="000000"/>
          <w:sz w:val="24"/>
          <w:szCs w:val="20"/>
        </w:rPr>
      </w:pPr>
    </w:p>
    <w:p w14:paraId="6A8B77E7">
      <w:pPr>
        <w:tabs>
          <w:tab w:val="left" w:pos="5580"/>
        </w:tabs>
        <w:spacing w:line="360" w:lineRule="auto"/>
        <w:jc w:val="left"/>
        <w:rPr>
          <w:rFonts w:hint="eastAsia" w:ascii="宋体" w:hAnsi="宋体" w:eastAsia="宋体" w:cs="宋体"/>
          <w:color w:val="000000"/>
          <w:sz w:val="24"/>
          <w:szCs w:val="20"/>
        </w:rPr>
      </w:pPr>
    </w:p>
    <w:p w14:paraId="1A4B24A1">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说明：</w:t>
      </w:r>
    </w:p>
    <w:p w14:paraId="39E5D1F5">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1.若供应商为事业单位或其他组织或分支机构，则法定代表人（单位负责人）处的签署人可为单位负责人。</w:t>
      </w:r>
    </w:p>
    <w:p w14:paraId="08E556F1">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3C25CFBF">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3.供应商为自然人的情形，可不提供本《授权委托书》。</w:t>
      </w:r>
    </w:p>
    <w:p w14:paraId="1514B113">
      <w:pPr>
        <w:tabs>
          <w:tab w:val="left" w:pos="5580"/>
        </w:tabs>
        <w:spacing w:line="360" w:lineRule="auto"/>
        <w:jc w:val="left"/>
        <w:rPr>
          <w:rFonts w:hint="eastAsia" w:ascii="宋体" w:hAnsi="宋体" w:eastAsia="宋体" w:cs="宋体"/>
          <w:color w:val="000000"/>
          <w:sz w:val="30"/>
          <w:szCs w:val="30"/>
        </w:rPr>
      </w:pPr>
      <w:r>
        <w:rPr>
          <w:rFonts w:hint="eastAsia" w:ascii="宋体" w:hAnsi="宋体" w:eastAsia="宋体" w:cs="宋体"/>
          <w:color w:val="000000"/>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000000"/>
          <w:sz w:val="24"/>
          <w:szCs w:val="20"/>
        </w:rPr>
        <w:t>双面</w:t>
      </w:r>
      <w:r>
        <w:rPr>
          <w:rFonts w:hint="eastAsia" w:ascii="宋体" w:hAnsi="宋体" w:eastAsia="宋体" w:cs="宋体"/>
          <w:color w:val="000000"/>
          <w:sz w:val="24"/>
          <w:szCs w:val="20"/>
        </w:rPr>
        <w:t>电子件。</w:t>
      </w:r>
      <w:r>
        <w:rPr>
          <w:rFonts w:hint="eastAsia" w:ascii="宋体" w:hAnsi="宋体" w:eastAsia="宋体" w:cs="宋体"/>
          <w:color w:val="000000"/>
          <w:sz w:val="30"/>
          <w:szCs w:val="30"/>
        </w:rPr>
        <w:br w:type="page"/>
      </w:r>
    </w:p>
    <w:p w14:paraId="6B824520">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法定代表人（单位负责人）身份证明</w:t>
      </w:r>
    </w:p>
    <w:p w14:paraId="2589281A">
      <w:pPr>
        <w:kinsoku w:val="0"/>
        <w:overflowPunct w:val="0"/>
        <w:spacing w:line="200" w:lineRule="exact"/>
        <w:rPr>
          <w:rFonts w:hint="eastAsia" w:ascii="宋体" w:hAnsi="宋体" w:eastAsia="宋体" w:cs="宋体"/>
          <w:sz w:val="20"/>
          <w:szCs w:val="20"/>
        </w:rPr>
      </w:pPr>
    </w:p>
    <w:p w14:paraId="3AA93474">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szCs w:val="20"/>
        </w:rPr>
        <w:t>____</w:t>
      </w:r>
      <w:r>
        <w:rPr>
          <w:rFonts w:hint="eastAsia" w:ascii="宋体" w:hAnsi="宋体" w:eastAsia="宋体" w:cs="宋体"/>
          <w:color w:val="000000"/>
          <w:sz w:val="24"/>
        </w:rPr>
        <w:t>（采购人或采购代理机构）</w:t>
      </w:r>
    </w:p>
    <w:p w14:paraId="08C0C579">
      <w:pPr>
        <w:pStyle w:val="17"/>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rPr>
      </w:pPr>
      <w:r>
        <w:rPr>
          <w:rFonts w:hint="eastAsia" w:ascii="宋体" w:hAnsi="宋体" w:eastAsia="宋体" w:cs="宋体"/>
        </w:rPr>
        <w:t>兹证明，</w:t>
      </w:r>
    </w:p>
    <w:p w14:paraId="62C5C704">
      <w:pPr>
        <w:pStyle w:val="17"/>
        <w:tabs>
          <w:tab w:val="left" w:pos="1690"/>
          <w:tab w:val="left" w:pos="3400"/>
          <w:tab w:val="left" w:pos="5110"/>
          <w:tab w:val="left" w:pos="6821"/>
        </w:tabs>
        <w:kinsoku w:val="0"/>
        <w:overflowPunct w:val="0"/>
        <w:spacing w:line="335" w:lineRule="exact"/>
        <w:rPr>
          <w:rFonts w:hint="eastAsia" w:ascii="宋体" w:hAnsi="宋体" w:eastAsia="宋体" w:cs="宋体"/>
        </w:rPr>
      </w:pPr>
      <w:r>
        <w:rPr>
          <w:rFonts w:hint="eastAsia" w:ascii="宋体" w:hAnsi="宋体" w:eastAsia="宋体" w:cs="宋体"/>
        </w:rPr>
        <w:t>姓名：</w:t>
      </w:r>
      <w:r>
        <w:rPr>
          <w:rFonts w:hint="eastAsia" w:ascii="宋体" w:hAnsi="宋体" w:eastAsia="宋体" w:cs="宋体"/>
          <w:color w:val="000000"/>
          <w:szCs w:val="20"/>
        </w:rPr>
        <w:t>____</w:t>
      </w:r>
      <w:r>
        <w:rPr>
          <w:rFonts w:hint="eastAsia" w:ascii="宋体" w:hAnsi="宋体" w:eastAsia="宋体" w:cs="宋体"/>
        </w:rPr>
        <w:t>性别：</w:t>
      </w:r>
      <w:r>
        <w:rPr>
          <w:rFonts w:hint="eastAsia" w:ascii="宋体" w:hAnsi="宋体" w:eastAsia="宋体" w:cs="宋体"/>
          <w:color w:val="000000"/>
          <w:szCs w:val="20"/>
        </w:rPr>
        <w:t>____</w:t>
      </w:r>
      <w:r>
        <w:rPr>
          <w:rFonts w:hint="eastAsia" w:ascii="宋体" w:hAnsi="宋体" w:eastAsia="宋体" w:cs="宋体"/>
        </w:rPr>
        <w:t>年龄：</w:t>
      </w:r>
      <w:r>
        <w:rPr>
          <w:rFonts w:hint="eastAsia" w:ascii="宋体" w:hAnsi="宋体" w:eastAsia="宋体" w:cs="宋体"/>
          <w:color w:val="000000"/>
          <w:szCs w:val="20"/>
        </w:rPr>
        <w:t>____</w:t>
      </w:r>
      <w:r>
        <w:rPr>
          <w:rFonts w:hint="eastAsia" w:ascii="宋体" w:hAnsi="宋体" w:eastAsia="宋体" w:cs="宋体"/>
        </w:rPr>
        <w:t>职务：</w:t>
      </w:r>
      <w:r>
        <w:rPr>
          <w:rFonts w:hint="eastAsia" w:ascii="宋体" w:hAnsi="宋体" w:eastAsia="宋体" w:cs="宋体"/>
          <w:color w:val="000000"/>
          <w:szCs w:val="20"/>
        </w:rPr>
        <w:t>____</w:t>
      </w:r>
    </w:p>
    <w:p w14:paraId="7117A452">
      <w:pPr>
        <w:pStyle w:val="17"/>
        <w:tabs>
          <w:tab w:val="left" w:pos="2412"/>
          <w:tab w:val="left" w:pos="3883"/>
          <w:tab w:val="left" w:pos="5352"/>
          <w:tab w:val="left" w:pos="6821"/>
        </w:tabs>
        <w:kinsoku w:val="0"/>
        <w:overflowPunct w:val="0"/>
        <w:spacing w:line="335" w:lineRule="exact"/>
        <w:rPr>
          <w:rFonts w:hint="eastAsia" w:ascii="宋体" w:hAnsi="宋体" w:eastAsia="宋体" w:cs="宋体"/>
        </w:rPr>
      </w:pPr>
    </w:p>
    <w:p w14:paraId="3CE37C12">
      <w:pPr>
        <w:pStyle w:val="17"/>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rPr>
      </w:pPr>
      <w:r>
        <w:rPr>
          <w:rFonts w:hint="eastAsia" w:ascii="宋体" w:hAnsi="宋体" w:eastAsia="宋体" w:cs="宋体"/>
        </w:rPr>
        <w:t>系</w:t>
      </w:r>
      <w:r>
        <w:rPr>
          <w:rFonts w:hint="eastAsia" w:ascii="宋体" w:hAnsi="宋体" w:eastAsia="宋体" w:cs="宋体"/>
          <w:color w:val="000000"/>
          <w:szCs w:val="20"/>
        </w:rPr>
        <w:t>__________</w:t>
      </w:r>
      <w:r>
        <w:rPr>
          <w:rFonts w:hint="eastAsia" w:ascii="宋体" w:hAnsi="宋体" w:eastAsia="宋体" w:cs="宋体"/>
        </w:rPr>
        <w:t>（供应商名称）的法定代表人（单位负责人）。</w:t>
      </w:r>
    </w:p>
    <w:p w14:paraId="18857E19">
      <w:pPr>
        <w:pStyle w:val="17"/>
        <w:tabs>
          <w:tab w:val="left" w:pos="2412"/>
          <w:tab w:val="left" w:pos="3883"/>
          <w:tab w:val="left" w:pos="5352"/>
          <w:tab w:val="left" w:pos="6821"/>
        </w:tabs>
        <w:kinsoku w:val="0"/>
        <w:overflowPunct w:val="0"/>
        <w:spacing w:line="335" w:lineRule="exact"/>
        <w:rPr>
          <w:rFonts w:hint="eastAsia" w:ascii="宋体" w:hAnsi="宋体" w:eastAsia="宋体" w:cs="宋体"/>
        </w:rPr>
      </w:pPr>
    </w:p>
    <w:p w14:paraId="3B9F1BF8">
      <w:pPr>
        <w:pStyle w:val="17"/>
        <w:tabs>
          <w:tab w:val="left" w:pos="2412"/>
          <w:tab w:val="left" w:pos="3883"/>
          <w:tab w:val="left" w:pos="5352"/>
          <w:tab w:val="left" w:pos="6821"/>
        </w:tabs>
        <w:kinsoku w:val="0"/>
        <w:overflowPunct w:val="0"/>
        <w:spacing w:line="335" w:lineRule="exact"/>
        <w:rPr>
          <w:rFonts w:hint="eastAsia" w:ascii="宋体" w:hAnsi="宋体" w:eastAsia="宋体" w:cs="宋体"/>
        </w:rPr>
      </w:pPr>
    </w:p>
    <w:p w14:paraId="18B2E2BD">
      <w:pPr>
        <w:pStyle w:val="17"/>
        <w:kinsoku w:val="0"/>
        <w:overflowPunct w:val="0"/>
        <w:spacing w:line="583" w:lineRule="auto"/>
        <w:ind w:right="-46"/>
        <w:rPr>
          <w:rFonts w:hint="eastAsia" w:ascii="宋体" w:hAnsi="宋体" w:eastAsia="宋体" w:cs="宋体"/>
          <w:color w:val="000000"/>
          <w:szCs w:val="20"/>
        </w:rPr>
      </w:pPr>
      <w:r>
        <w:rPr>
          <w:rFonts w:hint="eastAsia" w:ascii="宋体" w:hAnsi="宋体" w:eastAsia="宋体" w:cs="宋体"/>
          <w:color w:val="000000"/>
          <w:szCs w:val="20"/>
        </w:rPr>
        <w:t>附：法定代表人（单位负责人）身份证或护照等身份证明文件电子件：</w:t>
      </w:r>
    </w:p>
    <w:p w14:paraId="53D131EC">
      <w:pPr>
        <w:pStyle w:val="17"/>
        <w:kinsoku w:val="0"/>
        <w:overflowPunct w:val="0"/>
        <w:spacing w:line="583" w:lineRule="auto"/>
        <w:ind w:right="4305"/>
        <w:rPr>
          <w:rFonts w:hint="eastAsia" w:ascii="宋体" w:hAnsi="宋体" w:eastAsia="宋体" w:cs="宋体"/>
          <w:spacing w:val="-3"/>
        </w:rPr>
      </w:pPr>
    </w:p>
    <w:p w14:paraId="59A80D66">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68700253">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spacing w:val="-3"/>
          <w:sz w:val="24"/>
        </w:rPr>
        <w:t>法定代表人（</w:t>
      </w:r>
      <w:r>
        <w:rPr>
          <w:rFonts w:hint="eastAsia" w:ascii="宋体" w:hAnsi="宋体" w:eastAsia="宋体" w:cs="宋体"/>
          <w:sz w:val="24"/>
        </w:rPr>
        <w:t>单位负责人</w:t>
      </w:r>
      <w:r>
        <w:rPr>
          <w:rFonts w:hint="eastAsia" w:ascii="宋体" w:hAnsi="宋体" w:eastAsia="宋体" w:cs="宋体"/>
          <w:spacing w:val="-3"/>
          <w:sz w:val="24"/>
        </w:rPr>
        <w:t>）（签字</w:t>
      </w:r>
      <w:r>
        <w:rPr>
          <w:rFonts w:hint="eastAsia" w:ascii="宋体" w:hAnsi="宋体" w:eastAsia="宋体" w:cs="宋体"/>
          <w:color w:val="000000"/>
          <w:sz w:val="24"/>
          <w:szCs w:val="20"/>
        </w:rPr>
        <w:t>或签章</w:t>
      </w:r>
      <w:r>
        <w:rPr>
          <w:rFonts w:hint="eastAsia" w:ascii="宋体" w:hAnsi="宋体" w:eastAsia="宋体" w:cs="宋体"/>
          <w:spacing w:val="-3"/>
          <w:sz w:val="24"/>
        </w:rPr>
        <w:t>）：</w:t>
      </w:r>
      <w:r>
        <w:rPr>
          <w:rFonts w:hint="eastAsia" w:ascii="宋体" w:hAnsi="宋体" w:eastAsia="宋体" w:cs="宋体"/>
          <w:sz w:val="24"/>
        </w:rPr>
        <w:t>______</w:t>
      </w:r>
    </w:p>
    <w:p w14:paraId="7015E169">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____年____月____日</w:t>
      </w:r>
    </w:p>
    <w:p w14:paraId="66852C5E">
      <w:pPr>
        <w:widowControl/>
        <w:jc w:val="left"/>
        <w:rPr>
          <w:rFonts w:hint="eastAsia" w:ascii="宋体" w:hAnsi="宋体" w:eastAsia="宋体" w:cs="宋体"/>
          <w:i/>
          <w:color w:val="000000"/>
          <w:sz w:val="24"/>
          <w:szCs w:val="20"/>
          <w:u w:val="single"/>
        </w:rPr>
      </w:pPr>
    </w:p>
    <w:p w14:paraId="37C0BE06">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423E99E9">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7  报价一览表</w:t>
      </w:r>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p>
    <w:p w14:paraId="26308CAB">
      <w:pPr>
        <w:spacing w:line="360" w:lineRule="exact"/>
        <w:jc w:val="center"/>
        <w:rPr>
          <w:rFonts w:hint="eastAsia" w:ascii="宋体" w:hAnsi="宋体" w:eastAsia="宋体" w:cs="宋体"/>
          <w:b/>
          <w:color w:val="000000"/>
          <w:sz w:val="36"/>
          <w:szCs w:val="36"/>
        </w:rPr>
      </w:pPr>
      <w:bookmarkStart w:id="1720" w:name="_Toc164608827"/>
      <w:bookmarkStart w:id="1721" w:name="_Toc164608672"/>
      <w:bookmarkStart w:id="1722" w:name="_Toc264969248"/>
      <w:bookmarkStart w:id="1723" w:name="_Toc226337254"/>
      <w:bookmarkStart w:id="1724" w:name="_Toc265228396"/>
      <w:bookmarkStart w:id="1725" w:name="_Toc305158826"/>
      <w:bookmarkStart w:id="1726" w:name="_Toc226965831"/>
      <w:bookmarkStart w:id="1727" w:name="_Toc226965748"/>
      <w:bookmarkStart w:id="1728" w:name="_Toc305158900"/>
      <w:bookmarkStart w:id="1729" w:name="_Toc226309802"/>
      <w:bookmarkStart w:id="1730" w:name="_Toc195842923"/>
      <w:r>
        <w:rPr>
          <w:rFonts w:hint="eastAsia" w:ascii="宋体" w:hAnsi="宋体" w:eastAsia="宋体" w:cs="宋体"/>
          <w:b/>
          <w:color w:val="000000"/>
          <w:sz w:val="36"/>
          <w:szCs w:val="36"/>
        </w:rPr>
        <w:t>报价一览表</w:t>
      </w:r>
      <w:bookmarkEnd w:id="1720"/>
      <w:bookmarkEnd w:id="1721"/>
      <w:bookmarkEnd w:id="1722"/>
      <w:bookmarkEnd w:id="1723"/>
      <w:bookmarkEnd w:id="1724"/>
      <w:bookmarkEnd w:id="1725"/>
      <w:bookmarkEnd w:id="1726"/>
      <w:bookmarkEnd w:id="1727"/>
      <w:bookmarkEnd w:id="1728"/>
      <w:bookmarkEnd w:id="1729"/>
      <w:bookmarkEnd w:id="1730"/>
    </w:p>
    <w:p w14:paraId="2C9EB591">
      <w:pPr>
        <w:tabs>
          <w:tab w:val="left" w:pos="1800"/>
          <w:tab w:val="left" w:pos="5580"/>
        </w:tabs>
        <w:spacing w:line="360" w:lineRule="auto"/>
        <w:ind w:firstLine="240" w:firstLineChars="100"/>
        <w:jc w:val="left"/>
        <w:rPr>
          <w:rFonts w:hint="eastAsia" w:ascii="宋体" w:hAnsi="宋体" w:eastAsia="宋体" w:cs="宋体"/>
          <w:color w:val="000000"/>
          <w:sz w:val="24"/>
        </w:rPr>
      </w:pPr>
    </w:p>
    <w:p w14:paraId="6889E676">
      <w:pPr>
        <w:tabs>
          <w:tab w:val="left" w:pos="1800"/>
          <w:tab w:val="left" w:pos="5580"/>
        </w:tabs>
        <w:spacing w:line="360" w:lineRule="auto"/>
        <w:ind w:firstLine="240" w:firstLineChars="100"/>
        <w:jc w:val="left"/>
        <w:rPr>
          <w:rFonts w:hint="eastAsia" w:ascii="宋体" w:hAnsi="宋体" w:eastAsia="宋体" w:cs="宋体"/>
          <w:color w:val="000000"/>
          <w:sz w:val="24"/>
          <w:u w:val="single"/>
        </w:rPr>
      </w:pPr>
      <w:r>
        <w:rPr>
          <w:rFonts w:hint="eastAsia" w:ascii="宋体" w:hAnsi="宋体" w:eastAsia="宋体" w:cs="宋体"/>
          <w:color w:val="000000"/>
          <w:sz w:val="24"/>
        </w:rPr>
        <w:t>项目编号：</w:t>
      </w:r>
      <w:r>
        <w:rPr>
          <w:rFonts w:hint="eastAsia" w:ascii="宋体" w:hAnsi="宋体" w:eastAsia="宋体" w:cs="宋体"/>
          <w:sz w:val="24"/>
        </w:rPr>
        <w:t>___________</w:t>
      </w:r>
      <w:r>
        <w:rPr>
          <w:rFonts w:hint="eastAsia" w:ascii="宋体" w:hAnsi="宋体" w:eastAsia="宋体" w:cs="宋体"/>
          <w:color w:val="000000"/>
          <w:sz w:val="24"/>
        </w:rPr>
        <w:t xml:space="preserve">     项目名称：</w:t>
      </w:r>
      <w:r>
        <w:rPr>
          <w:rFonts w:hint="eastAsia" w:ascii="宋体" w:hAnsi="宋体" w:eastAsia="宋体" w:cs="宋体"/>
          <w:sz w:val="24"/>
        </w:rPr>
        <w:t>___________</w:t>
      </w:r>
    </w:p>
    <w:tbl>
      <w:tblPr>
        <w:tblStyle w:val="48"/>
        <w:tblW w:w="4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6"/>
        <w:gridCol w:w="2456"/>
        <w:gridCol w:w="1704"/>
        <w:gridCol w:w="1847"/>
        <w:gridCol w:w="1991"/>
      </w:tblGrid>
      <w:tr w14:paraId="32D5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58" w:type="pct"/>
            <w:vMerge w:val="restart"/>
            <w:tcBorders>
              <w:top w:val="single" w:color="auto" w:sz="4" w:space="0"/>
              <w:left w:val="single" w:color="auto" w:sz="4" w:space="0"/>
              <w:bottom w:val="single" w:color="auto" w:sz="4" w:space="0"/>
              <w:right w:val="single" w:color="auto" w:sz="4" w:space="0"/>
            </w:tcBorders>
            <w:vAlign w:val="center"/>
          </w:tcPr>
          <w:p w14:paraId="37D00579">
            <w:pPr>
              <w:tabs>
                <w:tab w:val="left" w:pos="5580"/>
              </w:tabs>
              <w:jc w:val="center"/>
              <w:rPr>
                <w:rFonts w:hint="eastAsia" w:ascii="宋体" w:hAnsi="宋体" w:eastAsia="宋体" w:cs="宋体"/>
                <w:b/>
                <w:sz w:val="24"/>
              </w:rPr>
            </w:pPr>
            <w:r>
              <w:rPr>
                <w:rFonts w:hint="eastAsia" w:ascii="宋体" w:hAnsi="宋体" w:eastAsia="宋体" w:cs="宋体"/>
                <w:b/>
                <w:sz w:val="24"/>
              </w:rPr>
              <w:t>包号</w:t>
            </w:r>
          </w:p>
        </w:tc>
        <w:tc>
          <w:tcPr>
            <w:tcW w:w="1395" w:type="pct"/>
            <w:vMerge w:val="restart"/>
            <w:tcBorders>
              <w:top w:val="single" w:color="auto" w:sz="4" w:space="0"/>
              <w:left w:val="single" w:color="auto" w:sz="4" w:space="0"/>
              <w:bottom w:val="single" w:color="auto" w:sz="4" w:space="0"/>
              <w:right w:val="single" w:color="auto" w:sz="4" w:space="0"/>
            </w:tcBorders>
            <w:vAlign w:val="center"/>
          </w:tcPr>
          <w:p w14:paraId="0CAF59B1">
            <w:pPr>
              <w:tabs>
                <w:tab w:val="left" w:pos="5580"/>
              </w:tabs>
              <w:jc w:val="center"/>
              <w:rPr>
                <w:rFonts w:hint="eastAsia" w:ascii="宋体" w:hAnsi="宋体" w:eastAsia="宋体" w:cs="宋体"/>
                <w:b/>
                <w:sz w:val="24"/>
              </w:rPr>
            </w:pPr>
            <w:r>
              <w:rPr>
                <w:rFonts w:hint="eastAsia" w:ascii="宋体" w:hAnsi="宋体" w:eastAsia="宋体" w:cs="宋体"/>
                <w:b/>
                <w:sz w:val="24"/>
              </w:rPr>
              <w:t>供应商名称</w:t>
            </w:r>
          </w:p>
        </w:tc>
        <w:tc>
          <w:tcPr>
            <w:tcW w:w="2017" w:type="pct"/>
            <w:gridSpan w:val="2"/>
            <w:tcBorders>
              <w:top w:val="single" w:color="auto" w:sz="4" w:space="0"/>
              <w:left w:val="single" w:color="auto" w:sz="4" w:space="0"/>
              <w:bottom w:val="single" w:color="auto" w:sz="4" w:space="0"/>
              <w:right w:val="single" w:color="auto" w:sz="4" w:space="0"/>
            </w:tcBorders>
            <w:vAlign w:val="center"/>
          </w:tcPr>
          <w:p w14:paraId="6F4A3AD7">
            <w:pPr>
              <w:tabs>
                <w:tab w:val="left" w:pos="5580"/>
              </w:tabs>
              <w:jc w:val="center"/>
              <w:rPr>
                <w:rFonts w:hint="eastAsia" w:ascii="宋体" w:hAnsi="宋体" w:eastAsia="宋体" w:cs="宋体"/>
                <w:b/>
                <w:sz w:val="24"/>
              </w:rPr>
            </w:pPr>
            <w:r>
              <w:rPr>
                <w:rFonts w:hint="eastAsia" w:ascii="宋体" w:hAnsi="宋体" w:eastAsia="宋体" w:cs="宋体"/>
                <w:b/>
                <w:sz w:val="24"/>
              </w:rPr>
              <w:t>报价</w:t>
            </w:r>
          </w:p>
        </w:tc>
        <w:tc>
          <w:tcPr>
            <w:tcW w:w="1130" w:type="pct"/>
            <w:shd w:val="clear" w:color="auto" w:fill="auto"/>
          </w:tcPr>
          <w:p w14:paraId="614AEE1E">
            <w:pPr>
              <w:tabs>
                <w:tab w:val="left" w:pos="5580"/>
              </w:tabs>
              <w:jc w:val="center"/>
              <w:rPr>
                <w:rFonts w:hint="eastAsia" w:ascii="宋体" w:hAnsi="宋体" w:eastAsia="宋体" w:cs="宋体"/>
              </w:rPr>
            </w:pPr>
            <w:r>
              <w:rPr>
                <w:rFonts w:hint="eastAsia" w:ascii="宋体" w:hAnsi="宋体" w:eastAsia="宋体" w:cs="宋体"/>
                <w:b/>
                <w:sz w:val="24"/>
              </w:rPr>
              <w:t>合同履行期限</w:t>
            </w:r>
          </w:p>
        </w:tc>
      </w:tr>
      <w:tr w14:paraId="73CA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80C30AA">
            <w:pPr>
              <w:widowControl/>
              <w:jc w:val="left"/>
              <w:rPr>
                <w:rFonts w:hint="eastAsia" w:ascii="宋体" w:hAnsi="宋体" w:eastAsia="宋体" w:cs="宋体"/>
                <w:b/>
                <w:sz w:val="24"/>
              </w:rPr>
            </w:pPr>
          </w:p>
        </w:tc>
        <w:tc>
          <w:tcPr>
            <w:tcW w:w="1395" w:type="pct"/>
            <w:vMerge w:val="continue"/>
            <w:tcBorders>
              <w:top w:val="single" w:color="auto" w:sz="4" w:space="0"/>
              <w:left w:val="single" w:color="auto" w:sz="4" w:space="0"/>
              <w:bottom w:val="single" w:color="auto" w:sz="4" w:space="0"/>
              <w:right w:val="single" w:color="auto" w:sz="4" w:space="0"/>
            </w:tcBorders>
            <w:vAlign w:val="center"/>
          </w:tcPr>
          <w:p w14:paraId="4CC6A2B6">
            <w:pPr>
              <w:widowControl/>
              <w:jc w:val="left"/>
              <w:rPr>
                <w:rFonts w:hint="eastAsia" w:ascii="宋体" w:hAnsi="宋体" w:eastAsia="宋体" w:cs="宋体"/>
                <w:b/>
                <w:sz w:val="24"/>
              </w:rPr>
            </w:pPr>
          </w:p>
        </w:tc>
        <w:tc>
          <w:tcPr>
            <w:tcW w:w="968" w:type="pct"/>
            <w:tcBorders>
              <w:top w:val="single" w:color="auto" w:sz="4" w:space="0"/>
              <w:left w:val="single" w:color="auto" w:sz="4" w:space="0"/>
              <w:bottom w:val="single" w:color="auto" w:sz="4" w:space="0"/>
              <w:right w:val="single" w:color="auto" w:sz="4" w:space="0"/>
            </w:tcBorders>
            <w:vAlign w:val="center"/>
          </w:tcPr>
          <w:p w14:paraId="03E558F7">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1048" w:type="pct"/>
            <w:tcBorders>
              <w:top w:val="single" w:color="auto" w:sz="4" w:space="0"/>
              <w:left w:val="single" w:color="auto" w:sz="4" w:space="0"/>
              <w:bottom w:val="single" w:color="auto" w:sz="4" w:space="0"/>
              <w:right w:val="single" w:color="auto" w:sz="4" w:space="0"/>
            </w:tcBorders>
            <w:vAlign w:val="center"/>
          </w:tcPr>
          <w:p w14:paraId="187BD6A9">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c>
          <w:tcPr>
            <w:tcW w:w="1130" w:type="pct"/>
            <w:vMerge w:val="restart"/>
            <w:shd w:val="clear" w:color="auto" w:fill="auto"/>
          </w:tcPr>
          <w:p w14:paraId="0A31C765">
            <w:pPr>
              <w:widowControl/>
              <w:jc w:val="left"/>
              <w:rPr>
                <w:rFonts w:hint="eastAsia" w:ascii="宋体" w:hAnsi="宋体" w:eastAsia="宋体" w:cs="宋体"/>
              </w:rPr>
            </w:pPr>
          </w:p>
        </w:tc>
      </w:tr>
      <w:tr w14:paraId="11D9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14:paraId="6153CB18">
            <w:pPr>
              <w:tabs>
                <w:tab w:val="left" w:pos="5580"/>
              </w:tabs>
              <w:jc w:val="center"/>
              <w:rPr>
                <w:rFonts w:hint="eastAsia" w:ascii="宋体" w:hAnsi="宋体" w:eastAsia="宋体" w:cs="宋体"/>
                <w:sz w:val="24"/>
              </w:rPr>
            </w:pPr>
          </w:p>
        </w:tc>
        <w:tc>
          <w:tcPr>
            <w:tcW w:w="1395" w:type="pct"/>
            <w:tcBorders>
              <w:top w:val="single" w:color="auto" w:sz="4" w:space="0"/>
              <w:left w:val="single" w:color="auto" w:sz="4" w:space="0"/>
              <w:bottom w:val="single" w:color="auto" w:sz="4" w:space="0"/>
              <w:right w:val="single" w:color="auto" w:sz="4" w:space="0"/>
            </w:tcBorders>
            <w:vAlign w:val="center"/>
          </w:tcPr>
          <w:p w14:paraId="07C37C46">
            <w:pPr>
              <w:tabs>
                <w:tab w:val="left" w:pos="5580"/>
              </w:tabs>
              <w:jc w:val="center"/>
              <w:rPr>
                <w:rFonts w:hint="eastAsia" w:ascii="宋体" w:hAnsi="宋体" w:eastAsia="宋体" w:cs="宋体"/>
                <w:sz w:val="24"/>
              </w:rPr>
            </w:pPr>
          </w:p>
        </w:tc>
        <w:tc>
          <w:tcPr>
            <w:tcW w:w="968" w:type="pct"/>
            <w:tcBorders>
              <w:top w:val="single" w:color="auto" w:sz="4" w:space="0"/>
              <w:left w:val="single" w:color="auto" w:sz="4" w:space="0"/>
              <w:bottom w:val="single" w:color="auto" w:sz="4" w:space="0"/>
              <w:right w:val="single" w:color="auto" w:sz="4" w:space="0"/>
            </w:tcBorders>
            <w:vAlign w:val="center"/>
          </w:tcPr>
          <w:p w14:paraId="2FF59EFF">
            <w:pPr>
              <w:tabs>
                <w:tab w:val="left" w:pos="5580"/>
              </w:tabs>
              <w:jc w:val="center"/>
              <w:rPr>
                <w:rFonts w:hint="eastAsia" w:ascii="宋体" w:hAnsi="宋体" w:eastAsia="宋体" w:cs="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45C8E78D">
            <w:pPr>
              <w:tabs>
                <w:tab w:val="left" w:pos="5580"/>
              </w:tabs>
              <w:jc w:val="center"/>
              <w:rPr>
                <w:rFonts w:hint="eastAsia" w:ascii="宋体" w:hAnsi="宋体" w:eastAsia="宋体" w:cs="宋体"/>
                <w:sz w:val="24"/>
              </w:rPr>
            </w:pPr>
          </w:p>
        </w:tc>
        <w:tc>
          <w:tcPr>
            <w:tcW w:w="1130" w:type="pct"/>
            <w:vMerge w:val="continue"/>
            <w:shd w:val="clear" w:color="auto" w:fill="auto"/>
          </w:tcPr>
          <w:p w14:paraId="429FADE0">
            <w:pPr>
              <w:widowControl/>
              <w:jc w:val="left"/>
              <w:rPr>
                <w:rFonts w:hint="eastAsia" w:ascii="宋体" w:hAnsi="宋体" w:eastAsia="宋体" w:cs="宋体"/>
              </w:rPr>
            </w:pPr>
          </w:p>
        </w:tc>
      </w:tr>
    </w:tbl>
    <w:p w14:paraId="44AD7680">
      <w:pPr>
        <w:autoSpaceDE w:val="0"/>
        <w:autoSpaceDN w:val="0"/>
        <w:adjustRightInd w:val="0"/>
        <w:jc w:val="left"/>
        <w:rPr>
          <w:rFonts w:hint="eastAsia" w:ascii="宋体" w:hAnsi="宋体" w:eastAsia="宋体" w:cs="宋体"/>
          <w:color w:val="000000"/>
          <w:kern w:val="0"/>
          <w:sz w:val="24"/>
        </w:rPr>
      </w:pPr>
    </w:p>
    <w:p w14:paraId="14796E48">
      <w:pPr>
        <w:autoSpaceDE w:val="0"/>
        <w:autoSpaceDN w:val="0"/>
        <w:adjustRightInd w:val="0"/>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.此表中，每包的报价应和《分项报价表》中的总价相一致。</w:t>
      </w:r>
    </w:p>
    <w:p w14:paraId="5A50D9A3">
      <w:pPr>
        <w:tabs>
          <w:tab w:val="left" w:pos="5580"/>
        </w:tabs>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1E0CCC83">
      <w:pPr>
        <w:tabs>
          <w:tab w:val="left" w:pos="5580"/>
        </w:tabs>
        <w:ind w:firstLine="480" w:firstLineChars="200"/>
        <w:rPr>
          <w:rFonts w:hint="eastAsia" w:ascii="宋体" w:hAnsi="宋体" w:eastAsia="宋体" w:cs="宋体"/>
          <w:color w:val="000000"/>
          <w:sz w:val="24"/>
          <w:szCs w:val="20"/>
        </w:rPr>
      </w:pPr>
    </w:p>
    <w:p w14:paraId="6FAF368F">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12FC7DF8">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36310424">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___________</w:t>
      </w:r>
    </w:p>
    <w:p w14:paraId="34D03CF5">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____年____月____日</w:t>
      </w:r>
    </w:p>
    <w:p w14:paraId="1B9D046F">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  </w:t>
      </w:r>
    </w:p>
    <w:p w14:paraId="26E78FF4">
      <w:pPr>
        <w:tabs>
          <w:tab w:val="left" w:pos="360"/>
        </w:tabs>
        <w:snapToGrid w:val="0"/>
        <w:spacing w:line="360" w:lineRule="auto"/>
        <w:outlineLvl w:val="1"/>
        <w:rPr>
          <w:rFonts w:hint="eastAsia" w:ascii="宋体" w:hAnsi="宋体" w:eastAsia="宋体" w:cs="宋体"/>
          <w:sz w:val="24"/>
        </w:rPr>
        <w:sectPr>
          <w:headerReference r:id="rId34" w:type="first"/>
          <w:footerReference r:id="rId36" w:type="first"/>
          <w:headerReference r:id="rId33" w:type="even"/>
          <w:footerReference r:id="rId35" w:type="even"/>
          <w:pgSz w:w="11907" w:h="16840"/>
          <w:pgMar w:top="1418" w:right="1134" w:bottom="1418" w:left="1701" w:header="851" w:footer="851" w:gutter="0"/>
          <w:pgNumType w:fmt="decimal"/>
          <w:cols w:space="720" w:num="1"/>
          <w:docGrid w:linePitch="462" w:charSpace="0"/>
        </w:sectPr>
      </w:pPr>
      <w:bookmarkStart w:id="1731" w:name="_Toc226337255"/>
      <w:bookmarkStart w:id="1732" w:name="_Toc265228397"/>
      <w:bookmarkStart w:id="1733" w:name="_Toc226309803"/>
      <w:bookmarkStart w:id="1734" w:name="_Toc150774763"/>
      <w:bookmarkStart w:id="1735" w:name="_Toc305158901"/>
      <w:bookmarkStart w:id="1736" w:name="_Toc195842924"/>
      <w:bookmarkStart w:id="1737" w:name="_Toc264969249"/>
      <w:bookmarkStart w:id="1738" w:name="_Toc142311060"/>
      <w:bookmarkStart w:id="1739" w:name="_Toc226965832"/>
      <w:bookmarkStart w:id="1740" w:name="_Toc150480796"/>
      <w:bookmarkStart w:id="1741" w:name="_Toc127151558"/>
      <w:bookmarkStart w:id="1742" w:name="_Toc305158827"/>
      <w:bookmarkStart w:id="1743" w:name="_Toc226965749"/>
    </w:p>
    <w:p w14:paraId="60F51B5D">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8  分项报价表</w:t>
      </w:r>
      <w:bookmarkEnd w:id="1731"/>
      <w:bookmarkEnd w:id="1732"/>
      <w:bookmarkEnd w:id="1733"/>
      <w:bookmarkEnd w:id="1734"/>
      <w:bookmarkEnd w:id="1735"/>
      <w:bookmarkEnd w:id="1736"/>
      <w:bookmarkEnd w:id="1737"/>
      <w:bookmarkEnd w:id="1738"/>
      <w:bookmarkEnd w:id="1739"/>
      <w:bookmarkEnd w:id="1740"/>
      <w:bookmarkEnd w:id="1741"/>
      <w:bookmarkEnd w:id="1742"/>
      <w:bookmarkEnd w:id="1743"/>
    </w:p>
    <w:p w14:paraId="47E78866">
      <w:pPr>
        <w:tabs>
          <w:tab w:val="left" w:pos="1800"/>
          <w:tab w:val="left" w:pos="5580"/>
        </w:tabs>
        <w:jc w:val="left"/>
        <w:rPr>
          <w:rFonts w:hint="eastAsia" w:ascii="宋体" w:hAnsi="宋体" w:eastAsia="宋体" w:cs="宋体"/>
          <w:color w:val="000000"/>
          <w:sz w:val="24"/>
        </w:rPr>
      </w:pPr>
    </w:p>
    <w:p w14:paraId="342E01B2">
      <w:pPr>
        <w:tabs>
          <w:tab w:val="left" w:pos="1800"/>
          <w:tab w:val="left" w:pos="5580"/>
        </w:tabs>
        <w:jc w:val="left"/>
        <w:rPr>
          <w:rFonts w:hint="eastAsia" w:ascii="宋体" w:hAnsi="宋体" w:eastAsia="宋体" w:cs="宋体"/>
          <w:color w:val="000000"/>
          <w:sz w:val="24"/>
        </w:rPr>
      </w:pPr>
    </w:p>
    <w:p w14:paraId="07722FED">
      <w:pPr>
        <w:tabs>
          <w:tab w:val="left" w:pos="1800"/>
          <w:tab w:val="left" w:pos="5580"/>
        </w:tabs>
        <w:jc w:val="left"/>
        <w:rPr>
          <w:rFonts w:hint="eastAsia" w:ascii="宋体" w:hAnsi="宋体" w:eastAsia="宋体" w:cs="宋体"/>
          <w:b/>
          <w:i/>
          <w:color w:val="FF0000"/>
          <w:sz w:val="24"/>
        </w:rPr>
      </w:pPr>
      <w:r>
        <w:rPr>
          <w:rFonts w:hint="eastAsia" w:ascii="宋体" w:hAnsi="宋体" w:eastAsia="宋体" w:cs="宋体"/>
          <w:b/>
          <w:i/>
          <w:color w:val="FF0000"/>
          <w:sz w:val="24"/>
        </w:rPr>
        <w:t>（</w:t>
      </w:r>
      <w:r>
        <w:rPr>
          <w:rFonts w:hint="eastAsia" w:ascii="宋体" w:hAnsi="宋体" w:eastAsia="宋体" w:cs="宋体"/>
          <w:i/>
          <w:color w:val="FF0000"/>
          <w:sz w:val="24"/>
        </w:rPr>
        <w:t>采用工程量清单计价方式的采购项目，应在本部分放置清单计价表格</w:t>
      </w:r>
      <w:r>
        <w:rPr>
          <w:rFonts w:hint="eastAsia" w:ascii="宋体" w:hAnsi="宋体" w:eastAsia="宋体" w:cs="宋体"/>
          <w:b/>
          <w:i/>
          <w:color w:val="FF0000"/>
          <w:sz w:val="24"/>
        </w:rPr>
        <w:t>）</w:t>
      </w:r>
    </w:p>
    <w:p w14:paraId="0F804599">
      <w:pPr>
        <w:tabs>
          <w:tab w:val="left" w:pos="1800"/>
          <w:tab w:val="left" w:pos="5580"/>
        </w:tabs>
        <w:jc w:val="left"/>
        <w:rPr>
          <w:rFonts w:hint="eastAsia" w:ascii="宋体" w:hAnsi="宋体" w:eastAsia="宋体" w:cs="宋体"/>
          <w:color w:val="000000"/>
          <w:sz w:val="24"/>
        </w:rPr>
      </w:pPr>
    </w:p>
    <w:p w14:paraId="3325E09B">
      <w:pPr>
        <w:tabs>
          <w:tab w:val="left" w:pos="1800"/>
          <w:tab w:val="left" w:pos="5580"/>
        </w:tabs>
        <w:jc w:val="left"/>
        <w:rPr>
          <w:rFonts w:hint="eastAsia" w:ascii="宋体" w:hAnsi="宋体" w:eastAsia="宋体" w:cs="宋体"/>
          <w:color w:val="000000"/>
          <w:sz w:val="24"/>
        </w:rPr>
      </w:pPr>
    </w:p>
    <w:p w14:paraId="171DCE15">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注：1.本表应按包分别填写。</w:t>
      </w:r>
    </w:p>
    <w:p w14:paraId="5F88AB53">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2.上述各项的详细规格（如有），可另页描述。</w:t>
      </w:r>
    </w:p>
    <w:p w14:paraId="43D3BE04">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3.制造商规模列应填写</w:t>
      </w:r>
      <w:bookmarkStart w:id="1744" w:name="_Hlk168432512"/>
      <w:r>
        <w:rPr>
          <w:rFonts w:hint="eastAsia" w:ascii="宋体" w:hAnsi="宋体" w:eastAsia="宋体" w:cs="宋体"/>
          <w:color w:val="000000"/>
          <w:sz w:val="24"/>
        </w:rPr>
        <w:t>“大型”、</w:t>
      </w:r>
      <w:bookmarkEnd w:id="1744"/>
      <w:r>
        <w:rPr>
          <w:rFonts w:hint="eastAsia" w:ascii="宋体" w:hAnsi="宋体" w:eastAsia="宋体" w:cs="宋体"/>
          <w:color w:val="000000"/>
          <w:sz w:val="24"/>
        </w:rPr>
        <w:t>“中型”、“小型”、“微型”或“其他”，且不应与《中小企业声明函》或《拟分包情况说明》中内容矛盾。</w:t>
      </w:r>
      <w:bookmarkStart w:id="1745" w:name="_Hlk167094566"/>
      <w:r>
        <w:rPr>
          <w:rFonts w:hint="eastAsia" w:ascii="宋体" w:hAnsi="宋体" w:eastAsia="宋体" w:cs="宋体"/>
          <w:color w:val="000000"/>
          <w:sz w:val="24"/>
        </w:rPr>
        <w:t>制造商所属性别请填写“男”或“女”，指拥有制造商51%以上绝对所有权的性别；绝对所有权拥有者可以是一个人，也可以是多人合计计算。外商投资类型请填写“外商单独投资”、“外商部分投资”或“内资”。</w:t>
      </w:r>
    </w:p>
    <w:bookmarkEnd w:id="1745"/>
    <w:p w14:paraId="23C21643">
      <w:pPr>
        <w:tabs>
          <w:tab w:val="left" w:pos="1800"/>
          <w:tab w:val="left" w:pos="5580"/>
        </w:tabs>
        <w:ind w:firstLine="480" w:firstLineChars="200"/>
        <w:jc w:val="left"/>
        <w:rPr>
          <w:rFonts w:hint="eastAsia" w:ascii="宋体" w:hAnsi="宋体" w:eastAsia="宋体" w:cs="宋体"/>
          <w:color w:val="000000"/>
          <w:sz w:val="24"/>
        </w:rPr>
      </w:pPr>
    </w:p>
    <w:p w14:paraId="7CDC5781">
      <w:pPr>
        <w:autoSpaceDE w:val="0"/>
        <w:autoSpaceDN w:val="0"/>
        <w:adjustRightInd w:val="0"/>
        <w:snapToGrid w:val="0"/>
        <w:spacing w:before="25" w:after="25" w:line="360" w:lineRule="auto"/>
        <w:rPr>
          <w:rFonts w:hint="eastAsia" w:ascii="宋体" w:hAnsi="宋体" w:eastAsia="宋体" w:cs="宋体"/>
          <w:color w:val="000000"/>
          <w:sz w:val="24"/>
        </w:rPr>
      </w:pPr>
    </w:p>
    <w:p w14:paraId="2C76009A">
      <w:pPr>
        <w:autoSpaceDE w:val="0"/>
        <w:autoSpaceDN w:val="0"/>
        <w:adjustRightInd w:val="0"/>
        <w:snapToGrid w:val="0"/>
        <w:spacing w:before="25" w:after="25" w:line="360" w:lineRule="auto"/>
        <w:rPr>
          <w:rFonts w:hint="eastAsia" w:ascii="宋体" w:hAnsi="宋体" w:eastAsia="宋体" w:cs="宋体"/>
          <w:color w:val="000000"/>
          <w:sz w:val="24"/>
        </w:rPr>
      </w:pPr>
    </w:p>
    <w:p w14:paraId="4299599B">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  </w:t>
      </w:r>
    </w:p>
    <w:p w14:paraId="53CBB5FD">
      <w:pPr>
        <w:tabs>
          <w:tab w:val="left" w:pos="360"/>
        </w:tabs>
        <w:snapToGrid w:val="0"/>
        <w:spacing w:line="360" w:lineRule="auto"/>
        <w:outlineLvl w:val="1"/>
        <w:rPr>
          <w:rFonts w:hint="eastAsia" w:ascii="宋体" w:hAnsi="宋体" w:eastAsia="宋体" w:cs="宋体"/>
          <w:sz w:val="24"/>
        </w:rPr>
        <w:sectPr>
          <w:pgSz w:w="11907" w:h="16840"/>
          <w:pgMar w:top="1418" w:right="1134" w:bottom="1418" w:left="1701" w:header="851" w:footer="851" w:gutter="0"/>
          <w:pgNumType w:fmt="decimal"/>
          <w:cols w:space="720" w:num="1"/>
          <w:docGrid w:linePitch="462" w:charSpace="0"/>
        </w:sectPr>
      </w:pPr>
      <w:bookmarkStart w:id="1746" w:name="_Toc150480798"/>
      <w:bookmarkStart w:id="1747" w:name="_Toc265228400"/>
      <w:bookmarkStart w:id="1748" w:name="_Toc127151562"/>
      <w:bookmarkStart w:id="1749" w:name="_Toc226965752"/>
      <w:bookmarkStart w:id="1750" w:name="_Toc226309806"/>
      <w:bookmarkStart w:id="1751" w:name="_Toc226965835"/>
      <w:bookmarkStart w:id="1752" w:name="_Toc305158904"/>
      <w:bookmarkStart w:id="1753" w:name="_Toc150774765"/>
      <w:bookmarkStart w:id="1754" w:name="_Toc195842927"/>
      <w:bookmarkStart w:id="1755" w:name="_Toc305158830"/>
      <w:bookmarkStart w:id="1756" w:name="_Toc142311062"/>
      <w:bookmarkStart w:id="1757" w:name="_Toc226337258"/>
      <w:bookmarkStart w:id="1758" w:name="_Toc264969252"/>
      <w:bookmarkStart w:id="1759" w:name="_Toc142311061"/>
      <w:bookmarkStart w:id="1760" w:name="_Toc305158829"/>
      <w:bookmarkStart w:id="1761" w:name="_Toc226309805"/>
      <w:bookmarkStart w:id="1762" w:name="_Toc265228399"/>
      <w:bookmarkStart w:id="1763" w:name="_Toc264969251"/>
      <w:bookmarkStart w:id="1764" w:name="_Toc305158903"/>
      <w:bookmarkStart w:id="1765" w:name="_Toc150774764"/>
      <w:bookmarkStart w:id="1766" w:name="_Toc127151561"/>
      <w:bookmarkStart w:id="1767" w:name="_Toc226337257"/>
      <w:bookmarkStart w:id="1768" w:name="_Toc226965751"/>
      <w:bookmarkStart w:id="1769" w:name="_Toc226965834"/>
      <w:bookmarkStart w:id="1770" w:name="_Toc150480797"/>
      <w:bookmarkStart w:id="1771" w:name="_Toc195842926"/>
    </w:p>
    <w:p w14:paraId="617D72C4">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sz w:val="24"/>
        </w:rPr>
        <w:t>9  合同条款偏离表</w:t>
      </w:r>
      <w:bookmarkEnd w:id="1746"/>
      <w:bookmarkEnd w:id="1747"/>
      <w:bookmarkEnd w:id="1748"/>
      <w:bookmarkEnd w:id="1749"/>
      <w:bookmarkEnd w:id="1750"/>
      <w:bookmarkEnd w:id="1751"/>
      <w:bookmarkEnd w:id="1752"/>
      <w:bookmarkEnd w:id="1753"/>
      <w:bookmarkEnd w:id="1754"/>
      <w:bookmarkEnd w:id="1755"/>
      <w:bookmarkEnd w:id="1756"/>
      <w:bookmarkEnd w:id="1757"/>
      <w:bookmarkEnd w:id="1758"/>
      <w:r>
        <w:rPr>
          <w:rFonts w:hint="eastAsia" w:ascii="宋体" w:hAnsi="宋体" w:eastAsia="宋体" w:cs="宋体"/>
          <w:sz w:val="24"/>
        </w:rPr>
        <w:t>（实质性格式）</w:t>
      </w:r>
    </w:p>
    <w:p w14:paraId="600CF40D">
      <w:pPr>
        <w:spacing w:line="360" w:lineRule="auto"/>
        <w:rPr>
          <w:rFonts w:hint="eastAsia" w:ascii="宋体" w:hAnsi="宋体" w:eastAsia="宋体" w:cs="宋体"/>
          <w:color w:val="000000"/>
          <w:sz w:val="24"/>
          <w:szCs w:val="20"/>
        </w:rPr>
      </w:pPr>
    </w:p>
    <w:p w14:paraId="13729015">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rPr>
      </w:pPr>
      <w:r>
        <w:rPr>
          <w:rFonts w:hint="eastAsia" w:ascii="宋体" w:hAnsi="宋体" w:eastAsia="宋体" w:cs="宋体"/>
          <w:color w:val="000000"/>
          <w:sz w:val="36"/>
          <w:szCs w:val="36"/>
        </w:rPr>
        <w:tab/>
      </w:r>
      <w:r>
        <w:rPr>
          <w:rFonts w:hint="eastAsia" w:ascii="宋体" w:hAnsi="宋体" w:eastAsia="宋体" w:cs="宋体"/>
          <w:b/>
          <w:color w:val="000000"/>
          <w:sz w:val="36"/>
          <w:szCs w:val="36"/>
        </w:rPr>
        <w:tab/>
      </w:r>
      <w:r>
        <w:rPr>
          <w:rFonts w:hint="eastAsia" w:ascii="宋体" w:hAnsi="宋体" w:eastAsia="宋体" w:cs="宋体"/>
          <w:b/>
          <w:color w:val="000000"/>
          <w:sz w:val="36"/>
          <w:szCs w:val="36"/>
        </w:rPr>
        <w:t>合同条款偏离表</w:t>
      </w:r>
    </w:p>
    <w:p w14:paraId="227ACC05">
      <w:pPr>
        <w:spacing w:line="360" w:lineRule="auto"/>
        <w:rPr>
          <w:rFonts w:hint="eastAsia" w:ascii="宋体" w:hAnsi="宋体" w:eastAsia="宋体" w:cs="宋体"/>
          <w:color w:val="000000"/>
          <w:sz w:val="24"/>
          <w:szCs w:val="20"/>
        </w:rPr>
      </w:pPr>
    </w:p>
    <w:p w14:paraId="6CDF1DD8">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项目编号/包号：_______________     项目名称：_______________</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581"/>
        <w:gridCol w:w="1806"/>
        <w:gridCol w:w="1807"/>
        <w:gridCol w:w="2221"/>
        <w:gridCol w:w="993"/>
      </w:tblGrid>
      <w:tr w14:paraId="42B1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CB5648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394" w:type="dxa"/>
            <w:vAlign w:val="center"/>
          </w:tcPr>
          <w:p w14:paraId="1A362AD2">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竞争性磋商文件</w:t>
            </w:r>
            <w:r>
              <w:rPr>
                <w:rFonts w:hint="eastAsia" w:ascii="宋体" w:hAnsi="宋体" w:eastAsia="宋体" w:cs="宋体"/>
                <w:color w:val="000000"/>
                <w:sz w:val="24"/>
              </w:rPr>
              <w:t>条目号（页码）</w:t>
            </w:r>
          </w:p>
        </w:tc>
        <w:tc>
          <w:tcPr>
            <w:tcW w:w="1808" w:type="dxa"/>
            <w:vAlign w:val="center"/>
          </w:tcPr>
          <w:p w14:paraId="615D49F7">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竞争性磋商文件</w:t>
            </w:r>
            <w:r>
              <w:rPr>
                <w:rFonts w:hint="eastAsia" w:ascii="宋体" w:hAnsi="宋体" w:eastAsia="宋体" w:cs="宋体"/>
                <w:color w:val="000000"/>
                <w:sz w:val="24"/>
              </w:rPr>
              <w:t>要求</w:t>
            </w:r>
          </w:p>
        </w:tc>
        <w:tc>
          <w:tcPr>
            <w:tcW w:w="1809" w:type="dxa"/>
            <w:vAlign w:val="center"/>
          </w:tcPr>
          <w:p w14:paraId="3FB8806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响应文件内容</w:t>
            </w:r>
          </w:p>
        </w:tc>
        <w:tc>
          <w:tcPr>
            <w:tcW w:w="2290" w:type="dxa"/>
            <w:vAlign w:val="center"/>
          </w:tcPr>
          <w:p w14:paraId="5F02E5F3">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863" w:type="dxa"/>
            <w:vAlign w:val="center"/>
          </w:tcPr>
          <w:p w14:paraId="410890BD">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3647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B5F4332">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对本项目合同条款的偏离情况（</w:t>
            </w:r>
            <w:r>
              <w:rPr>
                <w:rFonts w:hint="eastAsia" w:ascii="宋体" w:hAnsi="宋体" w:eastAsia="宋体" w:cs="宋体"/>
                <w:bCs/>
                <w:color w:val="000000"/>
                <w:sz w:val="24"/>
              </w:rPr>
              <w:t>应进行选择，未选择</w:t>
            </w:r>
            <w:r>
              <w:rPr>
                <w:rFonts w:hint="eastAsia" w:ascii="宋体" w:hAnsi="宋体" w:eastAsia="宋体" w:cs="宋体"/>
                <w:b/>
                <w:color w:val="000000"/>
                <w:sz w:val="24"/>
              </w:rPr>
              <w:t>响应无效）：</w:t>
            </w:r>
          </w:p>
          <w:p w14:paraId="12A99BF5">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□无偏离</w:t>
            </w:r>
            <w:r>
              <w:rPr>
                <w:rFonts w:hint="eastAsia" w:ascii="宋体" w:hAnsi="宋体" w:eastAsia="宋体" w:cs="宋体"/>
                <w:color w:val="000000"/>
                <w:sz w:val="24"/>
              </w:rPr>
              <w:t>（</w:t>
            </w:r>
            <w:r>
              <w:rPr>
                <w:rFonts w:hint="eastAsia" w:ascii="宋体" w:hAnsi="宋体" w:eastAsia="宋体" w:cs="宋体"/>
                <w:color w:val="000000"/>
                <w:sz w:val="24"/>
                <w:szCs w:val="21"/>
              </w:rPr>
              <w:t>如无偏离，仅选择无偏离即可；</w:t>
            </w:r>
            <w:r>
              <w:rPr>
                <w:rFonts w:hint="eastAsia" w:ascii="宋体" w:hAnsi="宋体" w:eastAsia="宋体" w:cs="宋体"/>
                <w:bCs/>
                <w:color w:val="000000"/>
                <w:sz w:val="24"/>
              </w:rPr>
              <w:t>无偏离即为</w:t>
            </w:r>
            <w:r>
              <w:rPr>
                <w:rFonts w:hint="eastAsia" w:ascii="宋体" w:hAnsi="宋体" w:eastAsia="宋体" w:cs="宋体"/>
                <w:sz w:val="24"/>
              </w:rPr>
              <w:t>对合同条款中的所有要求，均视作供应商已对之理解和响应。</w:t>
            </w:r>
            <w:r>
              <w:rPr>
                <w:rFonts w:hint="eastAsia" w:ascii="宋体" w:hAnsi="宋体" w:eastAsia="宋体" w:cs="宋体"/>
                <w:color w:val="000000"/>
                <w:sz w:val="24"/>
              </w:rPr>
              <w:t>）</w:t>
            </w:r>
          </w:p>
          <w:p w14:paraId="05A6FAF7">
            <w:pPr>
              <w:adjustRightInd w:val="0"/>
              <w:snapToGrid w:val="0"/>
              <w:jc w:val="left"/>
              <w:rPr>
                <w:rFonts w:hint="eastAsia" w:ascii="宋体" w:hAnsi="宋体" w:eastAsia="宋体" w:cs="宋体"/>
                <w:color w:val="000000"/>
                <w:sz w:val="24"/>
              </w:rPr>
            </w:pPr>
            <w:r>
              <w:rPr>
                <w:rFonts w:hint="eastAsia" w:ascii="宋体" w:hAnsi="宋体" w:eastAsia="宋体" w:cs="宋体"/>
                <w:b/>
                <w:color w:val="000000"/>
                <w:sz w:val="24"/>
              </w:rPr>
              <w:t>□有偏离</w:t>
            </w:r>
            <w:r>
              <w:rPr>
                <w:rFonts w:hint="eastAsia" w:ascii="宋体" w:hAnsi="宋体" w:eastAsia="宋体" w:cs="宋体"/>
                <w:color w:val="000000"/>
                <w:sz w:val="24"/>
              </w:rPr>
              <w:t>（</w:t>
            </w:r>
            <w:r>
              <w:rPr>
                <w:rFonts w:hint="eastAsia" w:ascii="宋体" w:hAnsi="宋体" w:eastAsia="宋体" w:cs="宋体"/>
                <w:color w:val="000000"/>
                <w:sz w:val="24"/>
                <w:szCs w:val="21"/>
              </w:rPr>
              <w:t>如有偏离，</w:t>
            </w:r>
            <w:r>
              <w:rPr>
                <w:rFonts w:hint="eastAsia" w:ascii="宋体" w:hAnsi="宋体" w:eastAsia="宋体" w:cs="宋体"/>
                <w:color w:val="000000"/>
                <w:sz w:val="24"/>
              </w:rPr>
              <w:t>则应在本表中对负偏离项逐一列明，否则</w:t>
            </w:r>
            <w:r>
              <w:rPr>
                <w:rFonts w:hint="eastAsia" w:ascii="宋体" w:hAnsi="宋体" w:eastAsia="宋体" w:cs="宋体"/>
                <w:b/>
                <w:bCs/>
                <w:color w:val="000000"/>
                <w:sz w:val="24"/>
              </w:rPr>
              <w:t>响应无效</w:t>
            </w:r>
            <w:r>
              <w:rPr>
                <w:rFonts w:hint="eastAsia" w:ascii="宋体" w:hAnsi="宋体" w:eastAsia="宋体" w:cs="宋体"/>
                <w:color w:val="000000"/>
                <w:sz w:val="24"/>
              </w:rPr>
              <w:t>；</w:t>
            </w:r>
            <w:r>
              <w:rPr>
                <w:rFonts w:hint="eastAsia" w:ascii="宋体" w:hAnsi="宋体" w:eastAsia="宋体" w:cs="宋体"/>
                <w:sz w:val="24"/>
              </w:rPr>
              <w:t>对合同条款中的所有要求，除本表列明的偏离外，均视作供应商已对之理解和响应。</w:t>
            </w:r>
            <w:r>
              <w:rPr>
                <w:rFonts w:hint="eastAsia" w:ascii="宋体" w:hAnsi="宋体" w:eastAsia="宋体" w:cs="宋体"/>
                <w:color w:val="000000"/>
                <w:sz w:val="24"/>
              </w:rPr>
              <w:t>）</w:t>
            </w:r>
          </w:p>
        </w:tc>
      </w:tr>
      <w:tr w14:paraId="4EF8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D408465">
            <w:pPr>
              <w:adjustRightInd w:val="0"/>
              <w:snapToGrid w:val="0"/>
              <w:jc w:val="center"/>
              <w:rPr>
                <w:rFonts w:hint="eastAsia" w:ascii="宋体" w:hAnsi="宋体" w:eastAsia="宋体" w:cs="宋体"/>
                <w:color w:val="000000"/>
                <w:sz w:val="24"/>
              </w:rPr>
            </w:pPr>
          </w:p>
        </w:tc>
        <w:tc>
          <w:tcPr>
            <w:tcW w:w="1394" w:type="dxa"/>
            <w:vAlign w:val="center"/>
          </w:tcPr>
          <w:p w14:paraId="2C797692">
            <w:pPr>
              <w:adjustRightInd w:val="0"/>
              <w:snapToGrid w:val="0"/>
              <w:jc w:val="center"/>
              <w:rPr>
                <w:rFonts w:hint="eastAsia" w:ascii="宋体" w:hAnsi="宋体" w:eastAsia="宋体" w:cs="宋体"/>
                <w:color w:val="000000"/>
                <w:sz w:val="24"/>
              </w:rPr>
            </w:pPr>
          </w:p>
        </w:tc>
        <w:tc>
          <w:tcPr>
            <w:tcW w:w="1808" w:type="dxa"/>
            <w:vAlign w:val="center"/>
          </w:tcPr>
          <w:p w14:paraId="1B051AE0">
            <w:pPr>
              <w:adjustRightInd w:val="0"/>
              <w:snapToGrid w:val="0"/>
              <w:jc w:val="center"/>
              <w:rPr>
                <w:rFonts w:hint="eastAsia" w:ascii="宋体" w:hAnsi="宋体" w:eastAsia="宋体" w:cs="宋体"/>
                <w:color w:val="000000"/>
                <w:sz w:val="24"/>
              </w:rPr>
            </w:pPr>
          </w:p>
        </w:tc>
        <w:tc>
          <w:tcPr>
            <w:tcW w:w="1809" w:type="dxa"/>
            <w:vAlign w:val="center"/>
          </w:tcPr>
          <w:p w14:paraId="665EC062">
            <w:pPr>
              <w:adjustRightInd w:val="0"/>
              <w:snapToGrid w:val="0"/>
              <w:jc w:val="center"/>
              <w:rPr>
                <w:rFonts w:hint="eastAsia" w:ascii="宋体" w:hAnsi="宋体" w:eastAsia="宋体" w:cs="宋体"/>
                <w:color w:val="000000"/>
                <w:sz w:val="24"/>
              </w:rPr>
            </w:pPr>
          </w:p>
        </w:tc>
        <w:tc>
          <w:tcPr>
            <w:tcW w:w="2290" w:type="dxa"/>
            <w:vAlign w:val="center"/>
          </w:tcPr>
          <w:p w14:paraId="4427D0E8">
            <w:pPr>
              <w:adjustRightInd w:val="0"/>
              <w:snapToGrid w:val="0"/>
              <w:jc w:val="center"/>
              <w:rPr>
                <w:rFonts w:hint="eastAsia" w:ascii="宋体" w:hAnsi="宋体" w:eastAsia="宋体" w:cs="宋体"/>
                <w:color w:val="000000"/>
                <w:sz w:val="24"/>
              </w:rPr>
            </w:pPr>
          </w:p>
        </w:tc>
        <w:tc>
          <w:tcPr>
            <w:tcW w:w="863" w:type="dxa"/>
            <w:vAlign w:val="center"/>
          </w:tcPr>
          <w:p w14:paraId="1F1E9A73">
            <w:pPr>
              <w:adjustRightInd w:val="0"/>
              <w:snapToGrid w:val="0"/>
              <w:jc w:val="center"/>
              <w:rPr>
                <w:rFonts w:hint="eastAsia" w:ascii="宋体" w:hAnsi="宋体" w:eastAsia="宋体" w:cs="宋体"/>
                <w:color w:val="000000"/>
                <w:sz w:val="24"/>
              </w:rPr>
            </w:pPr>
          </w:p>
        </w:tc>
      </w:tr>
      <w:tr w14:paraId="6C53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12D2886">
            <w:pPr>
              <w:adjustRightInd w:val="0"/>
              <w:snapToGrid w:val="0"/>
              <w:jc w:val="center"/>
              <w:rPr>
                <w:rFonts w:hint="eastAsia" w:ascii="宋体" w:hAnsi="宋体" w:eastAsia="宋体" w:cs="宋体"/>
                <w:color w:val="000000"/>
                <w:sz w:val="24"/>
              </w:rPr>
            </w:pPr>
          </w:p>
        </w:tc>
        <w:tc>
          <w:tcPr>
            <w:tcW w:w="1394" w:type="dxa"/>
            <w:vAlign w:val="center"/>
          </w:tcPr>
          <w:p w14:paraId="67ACD1B1">
            <w:pPr>
              <w:adjustRightInd w:val="0"/>
              <w:snapToGrid w:val="0"/>
              <w:jc w:val="center"/>
              <w:rPr>
                <w:rFonts w:hint="eastAsia" w:ascii="宋体" w:hAnsi="宋体" w:eastAsia="宋体" w:cs="宋体"/>
                <w:color w:val="000000"/>
                <w:sz w:val="24"/>
              </w:rPr>
            </w:pPr>
          </w:p>
        </w:tc>
        <w:tc>
          <w:tcPr>
            <w:tcW w:w="1808" w:type="dxa"/>
            <w:vAlign w:val="center"/>
          </w:tcPr>
          <w:p w14:paraId="6AE06C28">
            <w:pPr>
              <w:adjustRightInd w:val="0"/>
              <w:snapToGrid w:val="0"/>
              <w:jc w:val="center"/>
              <w:rPr>
                <w:rFonts w:hint="eastAsia" w:ascii="宋体" w:hAnsi="宋体" w:eastAsia="宋体" w:cs="宋体"/>
                <w:color w:val="000000"/>
                <w:sz w:val="24"/>
              </w:rPr>
            </w:pPr>
          </w:p>
        </w:tc>
        <w:tc>
          <w:tcPr>
            <w:tcW w:w="1809" w:type="dxa"/>
            <w:vAlign w:val="center"/>
          </w:tcPr>
          <w:p w14:paraId="0023CF37">
            <w:pPr>
              <w:adjustRightInd w:val="0"/>
              <w:snapToGrid w:val="0"/>
              <w:jc w:val="center"/>
              <w:rPr>
                <w:rFonts w:hint="eastAsia" w:ascii="宋体" w:hAnsi="宋体" w:eastAsia="宋体" w:cs="宋体"/>
                <w:color w:val="000000"/>
                <w:sz w:val="24"/>
              </w:rPr>
            </w:pPr>
          </w:p>
        </w:tc>
        <w:tc>
          <w:tcPr>
            <w:tcW w:w="2290" w:type="dxa"/>
            <w:vAlign w:val="center"/>
          </w:tcPr>
          <w:p w14:paraId="7C99EA66">
            <w:pPr>
              <w:adjustRightInd w:val="0"/>
              <w:snapToGrid w:val="0"/>
              <w:jc w:val="center"/>
              <w:rPr>
                <w:rFonts w:hint="eastAsia" w:ascii="宋体" w:hAnsi="宋体" w:eastAsia="宋体" w:cs="宋体"/>
                <w:color w:val="000000"/>
                <w:sz w:val="24"/>
              </w:rPr>
            </w:pPr>
          </w:p>
        </w:tc>
        <w:tc>
          <w:tcPr>
            <w:tcW w:w="863" w:type="dxa"/>
            <w:vAlign w:val="center"/>
          </w:tcPr>
          <w:p w14:paraId="51DF427F">
            <w:pPr>
              <w:adjustRightInd w:val="0"/>
              <w:snapToGrid w:val="0"/>
              <w:jc w:val="center"/>
              <w:rPr>
                <w:rFonts w:hint="eastAsia" w:ascii="宋体" w:hAnsi="宋体" w:eastAsia="宋体" w:cs="宋体"/>
                <w:color w:val="000000"/>
                <w:sz w:val="24"/>
              </w:rPr>
            </w:pPr>
          </w:p>
        </w:tc>
      </w:tr>
      <w:tr w14:paraId="248F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2241673E">
            <w:pPr>
              <w:adjustRightInd w:val="0"/>
              <w:snapToGrid w:val="0"/>
              <w:jc w:val="center"/>
              <w:rPr>
                <w:rFonts w:hint="eastAsia" w:ascii="宋体" w:hAnsi="宋体" w:eastAsia="宋体" w:cs="宋体"/>
                <w:color w:val="000000"/>
                <w:sz w:val="24"/>
              </w:rPr>
            </w:pPr>
          </w:p>
        </w:tc>
        <w:tc>
          <w:tcPr>
            <w:tcW w:w="1394" w:type="dxa"/>
            <w:vAlign w:val="center"/>
          </w:tcPr>
          <w:p w14:paraId="4DE4ED62">
            <w:pPr>
              <w:adjustRightInd w:val="0"/>
              <w:snapToGrid w:val="0"/>
              <w:jc w:val="center"/>
              <w:rPr>
                <w:rFonts w:hint="eastAsia" w:ascii="宋体" w:hAnsi="宋体" w:eastAsia="宋体" w:cs="宋体"/>
                <w:color w:val="000000"/>
                <w:sz w:val="24"/>
              </w:rPr>
            </w:pPr>
          </w:p>
        </w:tc>
        <w:tc>
          <w:tcPr>
            <w:tcW w:w="1808" w:type="dxa"/>
            <w:vAlign w:val="center"/>
          </w:tcPr>
          <w:p w14:paraId="1EA40B4A">
            <w:pPr>
              <w:adjustRightInd w:val="0"/>
              <w:snapToGrid w:val="0"/>
              <w:jc w:val="center"/>
              <w:rPr>
                <w:rFonts w:hint="eastAsia" w:ascii="宋体" w:hAnsi="宋体" w:eastAsia="宋体" w:cs="宋体"/>
                <w:color w:val="000000"/>
                <w:sz w:val="24"/>
              </w:rPr>
            </w:pPr>
          </w:p>
        </w:tc>
        <w:tc>
          <w:tcPr>
            <w:tcW w:w="1809" w:type="dxa"/>
            <w:vAlign w:val="center"/>
          </w:tcPr>
          <w:p w14:paraId="3318F831">
            <w:pPr>
              <w:adjustRightInd w:val="0"/>
              <w:snapToGrid w:val="0"/>
              <w:jc w:val="center"/>
              <w:rPr>
                <w:rFonts w:hint="eastAsia" w:ascii="宋体" w:hAnsi="宋体" w:eastAsia="宋体" w:cs="宋体"/>
                <w:color w:val="000000"/>
                <w:sz w:val="24"/>
              </w:rPr>
            </w:pPr>
          </w:p>
        </w:tc>
        <w:tc>
          <w:tcPr>
            <w:tcW w:w="2290" w:type="dxa"/>
            <w:vAlign w:val="center"/>
          </w:tcPr>
          <w:p w14:paraId="37548390">
            <w:pPr>
              <w:adjustRightInd w:val="0"/>
              <w:snapToGrid w:val="0"/>
              <w:jc w:val="center"/>
              <w:rPr>
                <w:rFonts w:hint="eastAsia" w:ascii="宋体" w:hAnsi="宋体" w:eastAsia="宋体" w:cs="宋体"/>
                <w:color w:val="000000"/>
                <w:sz w:val="24"/>
              </w:rPr>
            </w:pPr>
          </w:p>
        </w:tc>
        <w:tc>
          <w:tcPr>
            <w:tcW w:w="863" w:type="dxa"/>
            <w:vAlign w:val="center"/>
          </w:tcPr>
          <w:p w14:paraId="484E557A">
            <w:pPr>
              <w:adjustRightInd w:val="0"/>
              <w:snapToGrid w:val="0"/>
              <w:jc w:val="center"/>
              <w:rPr>
                <w:rFonts w:hint="eastAsia" w:ascii="宋体" w:hAnsi="宋体" w:eastAsia="宋体" w:cs="宋体"/>
                <w:color w:val="000000"/>
                <w:sz w:val="24"/>
              </w:rPr>
            </w:pPr>
          </w:p>
        </w:tc>
      </w:tr>
      <w:tr w14:paraId="36D0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F45867E">
            <w:pPr>
              <w:adjustRightInd w:val="0"/>
              <w:snapToGrid w:val="0"/>
              <w:jc w:val="center"/>
              <w:rPr>
                <w:rFonts w:hint="eastAsia" w:ascii="宋体" w:hAnsi="宋体" w:eastAsia="宋体" w:cs="宋体"/>
                <w:color w:val="000000"/>
                <w:sz w:val="24"/>
              </w:rPr>
            </w:pPr>
          </w:p>
        </w:tc>
        <w:tc>
          <w:tcPr>
            <w:tcW w:w="1394" w:type="dxa"/>
            <w:vAlign w:val="center"/>
          </w:tcPr>
          <w:p w14:paraId="3BF3E7EB">
            <w:pPr>
              <w:adjustRightInd w:val="0"/>
              <w:snapToGrid w:val="0"/>
              <w:jc w:val="center"/>
              <w:rPr>
                <w:rFonts w:hint="eastAsia" w:ascii="宋体" w:hAnsi="宋体" w:eastAsia="宋体" w:cs="宋体"/>
                <w:color w:val="000000"/>
                <w:sz w:val="24"/>
              </w:rPr>
            </w:pPr>
          </w:p>
        </w:tc>
        <w:tc>
          <w:tcPr>
            <w:tcW w:w="1808" w:type="dxa"/>
            <w:vAlign w:val="center"/>
          </w:tcPr>
          <w:p w14:paraId="6FB073CF">
            <w:pPr>
              <w:adjustRightInd w:val="0"/>
              <w:snapToGrid w:val="0"/>
              <w:jc w:val="center"/>
              <w:rPr>
                <w:rFonts w:hint="eastAsia" w:ascii="宋体" w:hAnsi="宋体" w:eastAsia="宋体" w:cs="宋体"/>
                <w:color w:val="000000"/>
                <w:sz w:val="24"/>
              </w:rPr>
            </w:pPr>
          </w:p>
        </w:tc>
        <w:tc>
          <w:tcPr>
            <w:tcW w:w="1809" w:type="dxa"/>
            <w:vAlign w:val="center"/>
          </w:tcPr>
          <w:p w14:paraId="1BE3B5DA">
            <w:pPr>
              <w:adjustRightInd w:val="0"/>
              <w:snapToGrid w:val="0"/>
              <w:jc w:val="center"/>
              <w:rPr>
                <w:rFonts w:hint="eastAsia" w:ascii="宋体" w:hAnsi="宋体" w:eastAsia="宋体" w:cs="宋体"/>
                <w:color w:val="000000"/>
                <w:sz w:val="24"/>
              </w:rPr>
            </w:pPr>
          </w:p>
        </w:tc>
        <w:tc>
          <w:tcPr>
            <w:tcW w:w="2290" w:type="dxa"/>
            <w:vAlign w:val="center"/>
          </w:tcPr>
          <w:p w14:paraId="24E2FAE2">
            <w:pPr>
              <w:adjustRightInd w:val="0"/>
              <w:snapToGrid w:val="0"/>
              <w:jc w:val="center"/>
              <w:rPr>
                <w:rFonts w:hint="eastAsia" w:ascii="宋体" w:hAnsi="宋体" w:eastAsia="宋体" w:cs="宋体"/>
                <w:color w:val="000000"/>
                <w:sz w:val="24"/>
              </w:rPr>
            </w:pPr>
          </w:p>
        </w:tc>
        <w:tc>
          <w:tcPr>
            <w:tcW w:w="863" w:type="dxa"/>
            <w:vAlign w:val="center"/>
          </w:tcPr>
          <w:p w14:paraId="35E9DE39">
            <w:pPr>
              <w:adjustRightInd w:val="0"/>
              <w:snapToGrid w:val="0"/>
              <w:jc w:val="center"/>
              <w:rPr>
                <w:rFonts w:hint="eastAsia" w:ascii="宋体" w:hAnsi="宋体" w:eastAsia="宋体" w:cs="宋体"/>
                <w:color w:val="000000"/>
                <w:sz w:val="24"/>
              </w:rPr>
            </w:pPr>
          </w:p>
        </w:tc>
      </w:tr>
      <w:tr w14:paraId="4F0B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030D17A">
            <w:pPr>
              <w:adjustRightInd w:val="0"/>
              <w:snapToGrid w:val="0"/>
              <w:jc w:val="center"/>
              <w:rPr>
                <w:rFonts w:hint="eastAsia" w:ascii="宋体" w:hAnsi="宋体" w:eastAsia="宋体" w:cs="宋体"/>
                <w:color w:val="000000"/>
                <w:sz w:val="24"/>
              </w:rPr>
            </w:pPr>
          </w:p>
        </w:tc>
        <w:tc>
          <w:tcPr>
            <w:tcW w:w="1394" w:type="dxa"/>
            <w:vAlign w:val="center"/>
          </w:tcPr>
          <w:p w14:paraId="04BCE9EE">
            <w:pPr>
              <w:adjustRightInd w:val="0"/>
              <w:snapToGrid w:val="0"/>
              <w:jc w:val="center"/>
              <w:rPr>
                <w:rFonts w:hint="eastAsia" w:ascii="宋体" w:hAnsi="宋体" w:eastAsia="宋体" w:cs="宋体"/>
                <w:color w:val="000000"/>
                <w:sz w:val="24"/>
              </w:rPr>
            </w:pPr>
          </w:p>
        </w:tc>
        <w:tc>
          <w:tcPr>
            <w:tcW w:w="1808" w:type="dxa"/>
            <w:vAlign w:val="center"/>
          </w:tcPr>
          <w:p w14:paraId="6BD0BC34">
            <w:pPr>
              <w:adjustRightInd w:val="0"/>
              <w:snapToGrid w:val="0"/>
              <w:jc w:val="center"/>
              <w:rPr>
                <w:rFonts w:hint="eastAsia" w:ascii="宋体" w:hAnsi="宋体" w:eastAsia="宋体" w:cs="宋体"/>
                <w:color w:val="000000"/>
                <w:sz w:val="24"/>
              </w:rPr>
            </w:pPr>
          </w:p>
        </w:tc>
        <w:tc>
          <w:tcPr>
            <w:tcW w:w="1809" w:type="dxa"/>
            <w:vAlign w:val="center"/>
          </w:tcPr>
          <w:p w14:paraId="322485C0">
            <w:pPr>
              <w:adjustRightInd w:val="0"/>
              <w:snapToGrid w:val="0"/>
              <w:jc w:val="center"/>
              <w:rPr>
                <w:rFonts w:hint="eastAsia" w:ascii="宋体" w:hAnsi="宋体" w:eastAsia="宋体" w:cs="宋体"/>
                <w:color w:val="000000"/>
                <w:sz w:val="24"/>
              </w:rPr>
            </w:pPr>
          </w:p>
        </w:tc>
        <w:tc>
          <w:tcPr>
            <w:tcW w:w="2290" w:type="dxa"/>
            <w:vAlign w:val="center"/>
          </w:tcPr>
          <w:p w14:paraId="310FC584">
            <w:pPr>
              <w:adjustRightInd w:val="0"/>
              <w:snapToGrid w:val="0"/>
              <w:jc w:val="center"/>
              <w:rPr>
                <w:rFonts w:hint="eastAsia" w:ascii="宋体" w:hAnsi="宋体" w:eastAsia="宋体" w:cs="宋体"/>
                <w:color w:val="000000"/>
                <w:sz w:val="24"/>
              </w:rPr>
            </w:pPr>
          </w:p>
        </w:tc>
        <w:tc>
          <w:tcPr>
            <w:tcW w:w="863" w:type="dxa"/>
            <w:vAlign w:val="center"/>
          </w:tcPr>
          <w:p w14:paraId="236B6151">
            <w:pPr>
              <w:adjustRightInd w:val="0"/>
              <w:snapToGrid w:val="0"/>
              <w:jc w:val="center"/>
              <w:rPr>
                <w:rFonts w:hint="eastAsia" w:ascii="宋体" w:hAnsi="宋体" w:eastAsia="宋体" w:cs="宋体"/>
                <w:color w:val="000000"/>
                <w:sz w:val="24"/>
              </w:rPr>
            </w:pPr>
          </w:p>
        </w:tc>
      </w:tr>
    </w:tbl>
    <w:p w14:paraId="5157C4E4">
      <w:pPr>
        <w:tabs>
          <w:tab w:val="left" w:pos="1800"/>
          <w:tab w:val="left" w:pos="5580"/>
        </w:tabs>
        <w:jc w:val="left"/>
        <w:rPr>
          <w:rFonts w:hint="eastAsia" w:ascii="宋体" w:hAnsi="宋体" w:eastAsia="宋体" w:cs="宋体"/>
          <w:color w:val="000000"/>
          <w:sz w:val="24"/>
        </w:rPr>
      </w:pPr>
    </w:p>
    <w:p w14:paraId="3309EF08">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r>
        <w:rPr>
          <w:rFonts w:hint="eastAsia" w:ascii="宋体" w:hAnsi="宋体" w:eastAsia="宋体" w:cs="宋体"/>
          <w:sz w:val="24"/>
        </w:rPr>
        <w:t xml:space="preserve"> “偏离情况”列应</w:t>
      </w:r>
      <w:r>
        <w:rPr>
          <w:rFonts w:hint="eastAsia" w:ascii="宋体" w:hAnsi="宋体" w:eastAsia="宋体" w:cs="宋体"/>
          <w:color w:val="000000"/>
          <w:sz w:val="24"/>
        </w:rPr>
        <w:t>据实</w:t>
      </w:r>
      <w:r>
        <w:rPr>
          <w:rFonts w:hint="eastAsia" w:ascii="宋体" w:hAnsi="宋体" w:eastAsia="宋体" w:cs="宋体"/>
          <w:sz w:val="24"/>
        </w:rPr>
        <w:t>填写“正偏离”或“负偏离”。</w:t>
      </w:r>
    </w:p>
    <w:p w14:paraId="0C772F70">
      <w:pPr>
        <w:spacing w:line="360" w:lineRule="auto"/>
        <w:rPr>
          <w:rFonts w:hint="eastAsia" w:ascii="宋体" w:hAnsi="宋体" w:eastAsia="宋体" w:cs="宋体"/>
          <w:color w:val="000000"/>
          <w:sz w:val="24"/>
          <w:szCs w:val="20"/>
        </w:rPr>
      </w:pPr>
    </w:p>
    <w:p w14:paraId="213480FD">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color w:val="000000"/>
          <w:sz w:val="24"/>
        </w:rPr>
        <w:t>_______________</w:t>
      </w:r>
    </w:p>
    <w:p w14:paraId="70D7A2A3">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日期：____年____月____日    </w:t>
      </w:r>
    </w:p>
    <w:p w14:paraId="2B90EF16">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sz w:val="24"/>
        </w:rPr>
        <w:t xml:space="preserve">10  </w:t>
      </w:r>
      <w:bookmarkEnd w:id="1759"/>
      <w:bookmarkEnd w:id="1760"/>
      <w:bookmarkEnd w:id="1761"/>
      <w:bookmarkEnd w:id="1762"/>
      <w:bookmarkEnd w:id="1763"/>
      <w:bookmarkEnd w:id="1764"/>
      <w:bookmarkEnd w:id="1765"/>
      <w:bookmarkEnd w:id="1766"/>
      <w:bookmarkEnd w:id="1767"/>
      <w:bookmarkEnd w:id="1768"/>
      <w:bookmarkEnd w:id="1769"/>
      <w:bookmarkEnd w:id="1770"/>
      <w:bookmarkEnd w:id="1771"/>
      <w:r>
        <w:rPr>
          <w:rFonts w:hint="eastAsia" w:ascii="宋体" w:hAnsi="宋体" w:eastAsia="宋体" w:cs="宋体"/>
          <w:sz w:val="24"/>
        </w:rPr>
        <w:t>采购需求偏离表（实质性格式）</w:t>
      </w:r>
    </w:p>
    <w:p w14:paraId="606DDEF8">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采购需求偏离表</w:t>
      </w:r>
    </w:p>
    <w:p w14:paraId="79714B17">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项目编号/包号：_______________     项目名称：_______________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9A6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15BB586">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482" w:type="dxa"/>
            <w:vAlign w:val="center"/>
          </w:tcPr>
          <w:p w14:paraId="63880B23">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竞争性磋商文件条目号(页码)</w:t>
            </w:r>
          </w:p>
        </w:tc>
        <w:tc>
          <w:tcPr>
            <w:tcW w:w="2384" w:type="dxa"/>
            <w:vAlign w:val="center"/>
          </w:tcPr>
          <w:p w14:paraId="29DB19F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竞争性磋商文件要求</w:t>
            </w:r>
          </w:p>
        </w:tc>
        <w:tc>
          <w:tcPr>
            <w:tcW w:w="2126" w:type="dxa"/>
            <w:vAlign w:val="center"/>
          </w:tcPr>
          <w:p w14:paraId="438BB7BD">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响应内容</w:t>
            </w:r>
          </w:p>
        </w:tc>
        <w:tc>
          <w:tcPr>
            <w:tcW w:w="1875" w:type="dxa"/>
            <w:vAlign w:val="center"/>
          </w:tcPr>
          <w:p w14:paraId="1524D91E">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1009" w:type="dxa"/>
            <w:vAlign w:val="center"/>
          </w:tcPr>
          <w:p w14:paraId="4B30BB4E">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6D05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B29341D">
            <w:pPr>
              <w:adjustRightInd w:val="0"/>
              <w:snapToGrid w:val="0"/>
              <w:jc w:val="center"/>
              <w:rPr>
                <w:rFonts w:hint="eastAsia" w:ascii="宋体" w:hAnsi="宋体" w:eastAsia="宋体" w:cs="宋体"/>
                <w:color w:val="000000"/>
                <w:sz w:val="24"/>
              </w:rPr>
            </w:pPr>
          </w:p>
        </w:tc>
        <w:tc>
          <w:tcPr>
            <w:tcW w:w="1482" w:type="dxa"/>
            <w:vAlign w:val="center"/>
          </w:tcPr>
          <w:p w14:paraId="2CCD374C">
            <w:pPr>
              <w:adjustRightInd w:val="0"/>
              <w:snapToGrid w:val="0"/>
              <w:jc w:val="center"/>
              <w:rPr>
                <w:rFonts w:hint="eastAsia" w:ascii="宋体" w:hAnsi="宋体" w:eastAsia="宋体" w:cs="宋体"/>
                <w:color w:val="000000"/>
                <w:sz w:val="24"/>
              </w:rPr>
            </w:pPr>
          </w:p>
        </w:tc>
        <w:tc>
          <w:tcPr>
            <w:tcW w:w="2384" w:type="dxa"/>
            <w:vAlign w:val="center"/>
          </w:tcPr>
          <w:p w14:paraId="7D0AB20E">
            <w:pPr>
              <w:adjustRightInd w:val="0"/>
              <w:snapToGrid w:val="0"/>
              <w:jc w:val="center"/>
              <w:rPr>
                <w:rFonts w:hint="eastAsia" w:ascii="宋体" w:hAnsi="宋体" w:eastAsia="宋体" w:cs="宋体"/>
                <w:color w:val="000000"/>
                <w:sz w:val="24"/>
              </w:rPr>
            </w:pPr>
          </w:p>
        </w:tc>
        <w:tc>
          <w:tcPr>
            <w:tcW w:w="2126" w:type="dxa"/>
            <w:vAlign w:val="center"/>
          </w:tcPr>
          <w:p w14:paraId="4DE15E34">
            <w:pPr>
              <w:adjustRightInd w:val="0"/>
              <w:snapToGrid w:val="0"/>
              <w:jc w:val="center"/>
              <w:rPr>
                <w:rFonts w:hint="eastAsia" w:ascii="宋体" w:hAnsi="宋体" w:eastAsia="宋体" w:cs="宋体"/>
                <w:color w:val="000000"/>
                <w:sz w:val="24"/>
              </w:rPr>
            </w:pPr>
          </w:p>
        </w:tc>
        <w:tc>
          <w:tcPr>
            <w:tcW w:w="1875" w:type="dxa"/>
            <w:vAlign w:val="center"/>
          </w:tcPr>
          <w:p w14:paraId="389B5D96">
            <w:pPr>
              <w:adjustRightInd w:val="0"/>
              <w:snapToGrid w:val="0"/>
              <w:jc w:val="center"/>
              <w:rPr>
                <w:rFonts w:hint="eastAsia" w:ascii="宋体" w:hAnsi="宋体" w:eastAsia="宋体" w:cs="宋体"/>
                <w:color w:val="000000"/>
                <w:sz w:val="24"/>
              </w:rPr>
            </w:pPr>
          </w:p>
        </w:tc>
        <w:tc>
          <w:tcPr>
            <w:tcW w:w="1009" w:type="dxa"/>
            <w:vAlign w:val="center"/>
          </w:tcPr>
          <w:p w14:paraId="6D21B6C3">
            <w:pPr>
              <w:adjustRightInd w:val="0"/>
              <w:snapToGrid w:val="0"/>
              <w:jc w:val="center"/>
              <w:rPr>
                <w:rFonts w:hint="eastAsia" w:ascii="宋体" w:hAnsi="宋体" w:eastAsia="宋体" w:cs="宋体"/>
                <w:color w:val="000000"/>
                <w:sz w:val="24"/>
              </w:rPr>
            </w:pPr>
          </w:p>
        </w:tc>
      </w:tr>
      <w:tr w14:paraId="6D9B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C9B49AD">
            <w:pPr>
              <w:adjustRightInd w:val="0"/>
              <w:snapToGrid w:val="0"/>
              <w:jc w:val="center"/>
              <w:rPr>
                <w:rFonts w:hint="eastAsia" w:ascii="宋体" w:hAnsi="宋体" w:eastAsia="宋体" w:cs="宋体"/>
                <w:color w:val="000000"/>
                <w:sz w:val="24"/>
              </w:rPr>
            </w:pPr>
          </w:p>
        </w:tc>
        <w:tc>
          <w:tcPr>
            <w:tcW w:w="1482" w:type="dxa"/>
            <w:vAlign w:val="center"/>
          </w:tcPr>
          <w:p w14:paraId="231746F0">
            <w:pPr>
              <w:adjustRightInd w:val="0"/>
              <w:snapToGrid w:val="0"/>
              <w:jc w:val="center"/>
              <w:rPr>
                <w:rFonts w:hint="eastAsia" w:ascii="宋体" w:hAnsi="宋体" w:eastAsia="宋体" w:cs="宋体"/>
                <w:color w:val="000000"/>
                <w:sz w:val="24"/>
              </w:rPr>
            </w:pPr>
          </w:p>
        </w:tc>
        <w:tc>
          <w:tcPr>
            <w:tcW w:w="2384" w:type="dxa"/>
            <w:vAlign w:val="center"/>
          </w:tcPr>
          <w:p w14:paraId="3B8014DD">
            <w:pPr>
              <w:adjustRightInd w:val="0"/>
              <w:snapToGrid w:val="0"/>
              <w:jc w:val="center"/>
              <w:rPr>
                <w:rFonts w:hint="eastAsia" w:ascii="宋体" w:hAnsi="宋体" w:eastAsia="宋体" w:cs="宋体"/>
                <w:color w:val="000000"/>
                <w:sz w:val="24"/>
              </w:rPr>
            </w:pPr>
          </w:p>
        </w:tc>
        <w:tc>
          <w:tcPr>
            <w:tcW w:w="2126" w:type="dxa"/>
            <w:vAlign w:val="center"/>
          </w:tcPr>
          <w:p w14:paraId="30555348">
            <w:pPr>
              <w:adjustRightInd w:val="0"/>
              <w:snapToGrid w:val="0"/>
              <w:jc w:val="center"/>
              <w:rPr>
                <w:rFonts w:hint="eastAsia" w:ascii="宋体" w:hAnsi="宋体" w:eastAsia="宋体" w:cs="宋体"/>
                <w:color w:val="000000"/>
                <w:sz w:val="24"/>
              </w:rPr>
            </w:pPr>
          </w:p>
        </w:tc>
        <w:tc>
          <w:tcPr>
            <w:tcW w:w="1875" w:type="dxa"/>
            <w:vAlign w:val="center"/>
          </w:tcPr>
          <w:p w14:paraId="484AE619">
            <w:pPr>
              <w:adjustRightInd w:val="0"/>
              <w:snapToGrid w:val="0"/>
              <w:jc w:val="center"/>
              <w:rPr>
                <w:rFonts w:hint="eastAsia" w:ascii="宋体" w:hAnsi="宋体" w:eastAsia="宋体" w:cs="宋体"/>
                <w:color w:val="000000"/>
                <w:sz w:val="24"/>
              </w:rPr>
            </w:pPr>
          </w:p>
        </w:tc>
        <w:tc>
          <w:tcPr>
            <w:tcW w:w="1009" w:type="dxa"/>
            <w:vAlign w:val="center"/>
          </w:tcPr>
          <w:p w14:paraId="34A07CBE">
            <w:pPr>
              <w:adjustRightInd w:val="0"/>
              <w:snapToGrid w:val="0"/>
              <w:jc w:val="center"/>
              <w:rPr>
                <w:rFonts w:hint="eastAsia" w:ascii="宋体" w:hAnsi="宋体" w:eastAsia="宋体" w:cs="宋体"/>
                <w:color w:val="000000"/>
                <w:sz w:val="24"/>
              </w:rPr>
            </w:pPr>
          </w:p>
        </w:tc>
      </w:tr>
      <w:tr w14:paraId="3681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ADCCB6E">
            <w:pPr>
              <w:adjustRightInd w:val="0"/>
              <w:snapToGrid w:val="0"/>
              <w:jc w:val="center"/>
              <w:rPr>
                <w:rFonts w:hint="eastAsia" w:ascii="宋体" w:hAnsi="宋体" w:eastAsia="宋体" w:cs="宋体"/>
                <w:color w:val="000000"/>
                <w:sz w:val="24"/>
              </w:rPr>
            </w:pPr>
          </w:p>
        </w:tc>
        <w:tc>
          <w:tcPr>
            <w:tcW w:w="1482" w:type="dxa"/>
            <w:vAlign w:val="center"/>
          </w:tcPr>
          <w:p w14:paraId="10F0D9DA">
            <w:pPr>
              <w:adjustRightInd w:val="0"/>
              <w:snapToGrid w:val="0"/>
              <w:jc w:val="center"/>
              <w:rPr>
                <w:rFonts w:hint="eastAsia" w:ascii="宋体" w:hAnsi="宋体" w:eastAsia="宋体" w:cs="宋体"/>
                <w:color w:val="000000"/>
                <w:sz w:val="24"/>
              </w:rPr>
            </w:pPr>
          </w:p>
        </w:tc>
        <w:tc>
          <w:tcPr>
            <w:tcW w:w="2384" w:type="dxa"/>
            <w:vAlign w:val="center"/>
          </w:tcPr>
          <w:p w14:paraId="0C74B5C6">
            <w:pPr>
              <w:adjustRightInd w:val="0"/>
              <w:snapToGrid w:val="0"/>
              <w:jc w:val="center"/>
              <w:rPr>
                <w:rFonts w:hint="eastAsia" w:ascii="宋体" w:hAnsi="宋体" w:eastAsia="宋体" w:cs="宋体"/>
                <w:color w:val="000000"/>
                <w:sz w:val="24"/>
              </w:rPr>
            </w:pPr>
          </w:p>
        </w:tc>
        <w:tc>
          <w:tcPr>
            <w:tcW w:w="2126" w:type="dxa"/>
            <w:vAlign w:val="center"/>
          </w:tcPr>
          <w:p w14:paraId="14FE3C8D">
            <w:pPr>
              <w:adjustRightInd w:val="0"/>
              <w:snapToGrid w:val="0"/>
              <w:jc w:val="center"/>
              <w:rPr>
                <w:rFonts w:hint="eastAsia" w:ascii="宋体" w:hAnsi="宋体" w:eastAsia="宋体" w:cs="宋体"/>
                <w:color w:val="000000"/>
                <w:sz w:val="24"/>
              </w:rPr>
            </w:pPr>
          </w:p>
        </w:tc>
        <w:tc>
          <w:tcPr>
            <w:tcW w:w="1875" w:type="dxa"/>
            <w:vAlign w:val="center"/>
          </w:tcPr>
          <w:p w14:paraId="054D4A6D">
            <w:pPr>
              <w:adjustRightInd w:val="0"/>
              <w:snapToGrid w:val="0"/>
              <w:jc w:val="center"/>
              <w:rPr>
                <w:rFonts w:hint="eastAsia" w:ascii="宋体" w:hAnsi="宋体" w:eastAsia="宋体" w:cs="宋体"/>
                <w:color w:val="000000"/>
                <w:sz w:val="24"/>
              </w:rPr>
            </w:pPr>
          </w:p>
        </w:tc>
        <w:tc>
          <w:tcPr>
            <w:tcW w:w="1009" w:type="dxa"/>
            <w:vAlign w:val="center"/>
          </w:tcPr>
          <w:p w14:paraId="4744B133">
            <w:pPr>
              <w:adjustRightInd w:val="0"/>
              <w:snapToGrid w:val="0"/>
              <w:jc w:val="center"/>
              <w:rPr>
                <w:rFonts w:hint="eastAsia" w:ascii="宋体" w:hAnsi="宋体" w:eastAsia="宋体" w:cs="宋体"/>
                <w:color w:val="000000"/>
                <w:sz w:val="24"/>
              </w:rPr>
            </w:pPr>
          </w:p>
        </w:tc>
      </w:tr>
      <w:tr w14:paraId="62CD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66936BB">
            <w:pPr>
              <w:adjustRightInd w:val="0"/>
              <w:snapToGrid w:val="0"/>
              <w:jc w:val="center"/>
              <w:rPr>
                <w:rFonts w:hint="eastAsia" w:ascii="宋体" w:hAnsi="宋体" w:eastAsia="宋体" w:cs="宋体"/>
                <w:color w:val="000000"/>
                <w:sz w:val="24"/>
              </w:rPr>
            </w:pPr>
          </w:p>
        </w:tc>
        <w:tc>
          <w:tcPr>
            <w:tcW w:w="1482" w:type="dxa"/>
            <w:vAlign w:val="center"/>
          </w:tcPr>
          <w:p w14:paraId="2D1D91BF">
            <w:pPr>
              <w:adjustRightInd w:val="0"/>
              <w:snapToGrid w:val="0"/>
              <w:jc w:val="center"/>
              <w:rPr>
                <w:rFonts w:hint="eastAsia" w:ascii="宋体" w:hAnsi="宋体" w:eastAsia="宋体" w:cs="宋体"/>
                <w:color w:val="000000"/>
                <w:sz w:val="24"/>
              </w:rPr>
            </w:pPr>
          </w:p>
        </w:tc>
        <w:tc>
          <w:tcPr>
            <w:tcW w:w="2384" w:type="dxa"/>
            <w:vAlign w:val="center"/>
          </w:tcPr>
          <w:p w14:paraId="05DE5B26">
            <w:pPr>
              <w:adjustRightInd w:val="0"/>
              <w:snapToGrid w:val="0"/>
              <w:jc w:val="center"/>
              <w:rPr>
                <w:rFonts w:hint="eastAsia" w:ascii="宋体" w:hAnsi="宋体" w:eastAsia="宋体" w:cs="宋体"/>
                <w:color w:val="000000"/>
                <w:sz w:val="24"/>
              </w:rPr>
            </w:pPr>
          </w:p>
        </w:tc>
        <w:tc>
          <w:tcPr>
            <w:tcW w:w="2126" w:type="dxa"/>
            <w:vAlign w:val="center"/>
          </w:tcPr>
          <w:p w14:paraId="3F4CD596">
            <w:pPr>
              <w:adjustRightInd w:val="0"/>
              <w:snapToGrid w:val="0"/>
              <w:jc w:val="center"/>
              <w:rPr>
                <w:rFonts w:hint="eastAsia" w:ascii="宋体" w:hAnsi="宋体" w:eastAsia="宋体" w:cs="宋体"/>
                <w:color w:val="000000"/>
                <w:sz w:val="24"/>
              </w:rPr>
            </w:pPr>
          </w:p>
        </w:tc>
        <w:tc>
          <w:tcPr>
            <w:tcW w:w="1875" w:type="dxa"/>
            <w:vAlign w:val="center"/>
          </w:tcPr>
          <w:p w14:paraId="51A525EB">
            <w:pPr>
              <w:adjustRightInd w:val="0"/>
              <w:snapToGrid w:val="0"/>
              <w:jc w:val="center"/>
              <w:rPr>
                <w:rFonts w:hint="eastAsia" w:ascii="宋体" w:hAnsi="宋体" w:eastAsia="宋体" w:cs="宋体"/>
                <w:color w:val="000000"/>
                <w:sz w:val="24"/>
              </w:rPr>
            </w:pPr>
          </w:p>
        </w:tc>
        <w:tc>
          <w:tcPr>
            <w:tcW w:w="1009" w:type="dxa"/>
            <w:vAlign w:val="center"/>
          </w:tcPr>
          <w:p w14:paraId="6DC73BE4">
            <w:pPr>
              <w:adjustRightInd w:val="0"/>
              <w:snapToGrid w:val="0"/>
              <w:jc w:val="center"/>
              <w:rPr>
                <w:rFonts w:hint="eastAsia" w:ascii="宋体" w:hAnsi="宋体" w:eastAsia="宋体" w:cs="宋体"/>
                <w:color w:val="000000"/>
                <w:sz w:val="24"/>
              </w:rPr>
            </w:pPr>
          </w:p>
        </w:tc>
      </w:tr>
      <w:tr w14:paraId="7771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D1878B7">
            <w:pPr>
              <w:adjustRightInd w:val="0"/>
              <w:snapToGrid w:val="0"/>
              <w:jc w:val="center"/>
              <w:rPr>
                <w:rFonts w:hint="eastAsia" w:ascii="宋体" w:hAnsi="宋体" w:eastAsia="宋体" w:cs="宋体"/>
                <w:color w:val="000000"/>
                <w:sz w:val="24"/>
              </w:rPr>
            </w:pPr>
          </w:p>
        </w:tc>
        <w:tc>
          <w:tcPr>
            <w:tcW w:w="1482" w:type="dxa"/>
            <w:vAlign w:val="center"/>
          </w:tcPr>
          <w:p w14:paraId="7D58CC2B">
            <w:pPr>
              <w:adjustRightInd w:val="0"/>
              <w:snapToGrid w:val="0"/>
              <w:jc w:val="center"/>
              <w:rPr>
                <w:rFonts w:hint="eastAsia" w:ascii="宋体" w:hAnsi="宋体" w:eastAsia="宋体" w:cs="宋体"/>
                <w:color w:val="000000"/>
                <w:sz w:val="24"/>
              </w:rPr>
            </w:pPr>
          </w:p>
        </w:tc>
        <w:tc>
          <w:tcPr>
            <w:tcW w:w="2384" w:type="dxa"/>
            <w:vAlign w:val="center"/>
          </w:tcPr>
          <w:p w14:paraId="72AD601B">
            <w:pPr>
              <w:adjustRightInd w:val="0"/>
              <w:snapToGrid w:val="0"/>
              <w:jc w:val="center"/>
              <w:rPr>
                <w:rFonts w:hint="eastAsia" w:ascii="宋体" w:hAnsi="宋体" w:eastAsia="宋体" w:cs="宋体"/>
                <w:color w:val="000000"/>
                <w:sz w:val="24"/>
              </w:rPr>
            </w:pPr>
          </w:p>
        </w:tc>
        <w:tc>
          <w:tcPr>
            <w:tcW w:w="2126" w:type="dxa"/>
            <w:vAlign w:val="center"/>
          </w:tcPr>
          <w:p w14:paraId="7D04B922">
            <w:pPr>
              <w:adjustRightInd w:val="0"/>
              <w:snapToGrid w:val="0"/>
              <w:jc w:val="center"/>
              <w:rPr>
                <w:rFonts w:hint="eastAsia" w:ascii="宋体" w:hAnsi="宋体" w:eastAsia="宋体" w:cs="宋体"/>
                <w:color w:val="000000"/>
                <w:sz w:val="24"/>
              </w:rPr>
            </w:pPr>
          </w:p>
        </w:tc>
        <w:tc>
          <w:tcPr>
            <w:tcW w:w="1875" w:type="dxa"/>
            <w:vAlign w:val="center"/>
          </w:tcPr>
          <w:p w14:paraId="5ECFB4F3">
            <w:pPr>
              <w:adjustRightInd w:val="0"/>
              <w:snapToGrid w:val="0"/>
              <w:jc w:val="center"/>
              <w:rPr>
                <w:rFonts w:hint="eastAsia" w:ascii="宋体" w:hAnsi="宋体" w:eastAsia="宋体" w:cs="宋体"/>
                <w:color w:val="000000"/>
                <w:sz w:val="24"/>
              </w:rPr>
            </w:pPr>
          </w:p>
        </w:tc>
        <w:tc>
          <w:tcPr>
            <w:tcW w:w="1009" w:type="dxa"/>
            <w:vAlign w:val="center"/>
          </w:tcPr>
          <w:p w14:paraId="4B9727D2">
            <w:pPr>
              <w:adjustRightInd w:val="0"/>
              <w:snapToGrid w:val="0"/>
              <w:jc w:val="center"/>
              <w:rPr>
                <w:rFonts w:hint="eastAsia" w:ascii="宋体" w:hAnsi="宋体" w:eastAsia="宋体" w:cs="宋体"/>
                <w:color w:val="000000"/>
                <w:sz w:val="24"/>
              </w:rPr>
            </w:pPr>
          </w:p>
        </w:tc>
      </w:tr>
      <w:tr w14:paraId="0F4D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F9D2421">
            <w:pPr>
              <w:adjustRightInd w:val="0"/>
              <w:snapToGrid w:val="0"/>
              <w:jc w:val="center"/>
              <w:rPr>
                <w:rFonts w:hint="eastAsia" w:ascii="宋体" w:hAnsi="宋体" w:eastAsia="宋体" w:cs="宋体"/>
                <w:color w:val="000000"/>
                <w:sz w:val="24"/>
              </w:rPr>
            </w:pPr>
          </w:p>
        </w:tc>
        <w:tc>
          <w:tcPr>
            <w:tcW w:w="1482" w:type="dxa"/>
            <w:vAlign w:val="center"/>
          </w:tcPr>
          <w:p w14:paraId="3CA7855F">
            <w:pPr>
              <w:adjustRightInd w:val="0"/>
              <w:snapToGrid w:val="0"/>
              <w:jc w:val="center"/>
              <w:rPr>
                <w:rFonts w:hint="eastAsia" w:ascii="宋体" w:hAnsi="宋体" w:eastAsia="宋体" w:cs="宋体"/>
                <w:color w:val="000000"/>
                <w:sz w:val="24"/>
              </w:rPr>
            </w:pPr>
          </w:p>
        </w:tc>
        <w:tc>
          <w:tcPr>
            <w:tcW w:w="2384" w:type="dxa"/>
            <w:vAlign w:val="center"/>
          </w:tcPr>
          <w:p w14:paraId="6D5E0E8A">
            <w:pPr>
              <w:adjustRightInd w:val="0"/>
              <w:snapToGrid w:val="0"/>
              <w:jc w:val="center"/>
              <w:rPr>
                <w:rFonts w:hint="eastAsia" w:ascii="宋体" w:hAnsi="宋体" w:eastAsia="宋体" w:cs="宋体"/>
                <w:color w:val="000000"/>
                <w:sz w:val="24"/>
              </w:rPr>
            </w:pPr>
          </w:p>
        </w:tc>
        <w:tc>
          <w:tcPr>
            <w:tcW w:w="2126" w:type="dxa"/>
            <w:vAlign w:val="center"/>
          </w:tcPr>
          <w:p w14:paraId="18713507">
            <w:pPr>
              <w:adjustRightInd w:val="0"/>
              <w:snapToGrid w:val="0"/>
              <w:jc w:val="center"/>
              <w:rPr>
                <w:rFonts w:hint="eastAsia" w:ascii="宋体" w:hAnsi="宋体" w:eastAsia="宋体" w:cs="宋体"/>
                <w:color w:val="000000"/>
                <w:sz w:val="24"/>
              </w:rPr>
            </w:pPr>
          </w:p>
        </w:tc>
        <w:tc>
          <w:tcPr>
            <w:tcW w:w="1875" w:type="dxa"/>
            <w:vAlign w:val="center"/>
          </w:tcPr>
          <w:p w14:paraId="51DD669E">
            <w:pPr>
              <w:adjustRightInd w:val="0"/>
              <w:snapToGrid w:val="0"/>
              <w:jc w:val="center"/>
              <w:rPr>
                <w:rFonts w:hint="eastAsia" w:ascii="宋体" w:hAnsi="宋体" w:eastAsia="宋体" w:cs="宋体"/>
                <w:color w:val="000000"/>
                <w:sz w:val="24"/>
              </w:rPr>
            </w:pPr>
          </w:p>
        </w:tc>
        <w:tc>
          <w:tcPr>
            <w:tcW w:w="1009" w:type="dxa"/>
            <w:vAlign w:val="center"/>
          </w:tcPr>
          <w:p w14:paraId="64D7AC9B">
            <w:pPr>
              <w:adjustRightInd w:val="0"/>
              <w:snapToGrid w:val="0"/>
              <w:jc w:val="center"/>
              <w:rPr>
                <w:rFonts w:hint="eastAsia" w:ascii="宋体" w:hAnsi="宋体" w:eastAsia="宋体" w:cs="宋体"/>
                <w:color w:val="000000"/>
                <w:sz w:val="24"/>
              </w:rPr>
            </w:pPr>
          </w:p>
        </w:tc>
      </w:tr>
    </w:tbl>
    <w:p w14:paraId="5F2B207B">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3E20F9B9">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780D60C0">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p>
    <w:p w14:paraId="237405B0">
      <w:pPr>
        <w:tabs>
          <w:tab w:val="left" w:pos="1800"/>
          <w:tab w:val="left" w:pos="5580"/>
        </w:tabs>
        <w:jc w:val="left"/>
        <w:rPr>
          <w:rFonts w:hint="eastAsia" w:ascii="宋体" w:hAnsi="宋体" w:eastAsia="宋体" w:cs="宋体"/>
          <w:sz w:val="24"/>
        </w:rPr>
      </w:pPr>
      <w:r>
        <w:rPr>
          <w:rFonts w:hint="eastAsia" w:ascii="宋体" w:hAnsi="宋体" w:eastAsia="宋体" w:cs="宋体"/>
          <w:color w:val="000000"/>
          <w:sz w:val="24"/>
        </w:rPr>
        <w:t xml:space="preserve">1. </w:t>
      </w:r>
      <w:r>
        <w:rPr>
          <w:rFonts w:hint="eastAsia" w:ascii="宋体" w:hAnsi="宋体" w:eastAsia="宋体" w:cs="宋体"/>
          <w:sz w:val="24"/>
        </w:rPr>
        <w:t>对竞争性磋商文件中的所有商务、技术要求，除本表所列明的所有偏离外，均视作供应商已对之理解和响应。此表中若无任何文字说明，内容为空白的，</w:t>
      </w:r>
      <w:r>
        <w:rPr>
          <w:rFonts w:hint="eastAsia" w:ascii="宋体" w:hAnsi="宋体" w:eastAsia="宋体" w:cs="宋体"/>
          <w:b/>
          <w:sz w:val="24"/>
        </w:rPr>
        <w:t>响应无效</w:t>
      </w:r>
      <w:r>
        <w:rPr>
          <w:rFonts w:hint="eastAsia" w:ascii="宋体" w:hAnsi="宋体" w:eastAsia="宋体" w:cs="宋体"/>
          <w:sz w:val="24"/>
        </w:rPr>
        <w:t>。</w:t>
      </w:r>
    </w:p>
    <w:p w14:paraId="3B0FBF94">
      <w:pPr>
        <w:tabs>
          <w:tab w:val="left" w:pos="1800"/>
          <w:tab w:val="left" w:pos="5580"/>
        </w:tabs>
        <w:jc w:val="left"/>
        <w:rPr>
          <w:rFonts w:hint="eastAsia" w:ascii="宋体" w:hAnsi="宋体" w:eastAsia="宋体" w:cs="宋体"/>
          <w:color w:val="000000"/>
          <w:sz w:val="24"/>
        </w:rPr>
      </w:pPr>
      <w:r>
        <w:rPr>
          <w:rFonts w:hint="eastAsia" w:ascii="宋体" w:hAnsi="宋体" w:eastAsia="宋体" w:cs="宋体"/>
          <w:sz w:val="24"/>
        </w:rPr>
        <w:t>2.“偏离情况”列应</w:t>
      </w:r>
      <w:r>
        <w:rPr>
          <w:rFonts w:hint="eastAsia" w:ascii="宋体" w:hAnsi="宋体" w:eastAsia="宋体" w:cs="宋体"/>
          <w:color w:val="000000"/>
          <w:sz w:val="24"/>
        </w:rPr>
        <w:t>据实</w:t>
      </w:r>
      <w:r>
        <w:rPr>
          <w:rFonts w:hint="eastAsia" w:ascii="宋体" w:hAnsi="宋体" w:eastAsia="宋体" w:cs="宋体"/>
          <w:sz w:val="24"/>
        </w:rPr>
        <w:t>填写“无偏离”、“正偏离”或“负偏离”。</w:t>
      </w:r>
    </w:p>
    <w:p w14:paraId="201C20F4">
      <w:pPr>
        <w:tabs>
          <w:tab w:val="left" w:pos="1800"/>
          <w:tab w:val="left" w:pos="5580"/>
        </w:tabs>
        <w:jc w:val="left"/>
        <w:rPr>
          <w:rFonts w:hint="eastAsia" w:ascii="宋体" w:hAnsi="宋体" w:eastAsia="宋体" w:cs="宋体"/>
          <w:color w:val="000000"/>
          <w:sz w:val="24"/>
        </w:rPr>
      </w:pPr>
    </w:p>
    <w:p w14:paraId="5035F29C">
      <w:pPr>
        <w:rPr>
          <w:rFonts w:hint="eastAsia" w:ascii="宋体" w:hAnsi="宋体" w:eastAsia="宋体" w:cs="宋体"/>
          <w:color w:val="000000"/>
          <w:sz w:val="24"/>
          <w:szCs w:val="20"/>
        </w:rPr>
      </w:pPr>
    </w:p>
    <w:p w14:paraId="4CB9500F">
      <w:pPr>
        <w:autoSpaceDE w:val="0"/>
        <w:autoSpaceDN w:val="0"/>
        <w:adjustRightInd w:val="0"/>
        <w:snapToGrid w:val="0"/>
        <w:spacing w:before="25" w:after="25" w:line="360" w:lineRule="auto"/>
        <w:ind w:right="360"/>
        <w:jc w:val="lef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1F230D93">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6CE2D6C1">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sz w:val="24"/>
        </w:rPr>
        <w:t xml:space="preserve">11  </w:t>
      </w:r>
      <w:r>
        <w:rPr>
          <w:rFonts w:hint="eastAsia" w:ascii="宋体" w:hAnsi="宋体" w:eastAsia="宋体" w:cs="宋体"/>
          <w:color w:val="000000"/>
          <w:sz w:val="24"/>
          <w:szCs w:val="20"/>
        </w:rPr>
        <w:t>本国产品标准证明文件（本项目不适用）</w:t>
      </w:r>
    </w:p>
    <w:p w14:paraId="42AEC32F">
      <w:pPr>
        <w:pStyle w:val="43"/>
        <w:shd w:val="clear" w:color="auto" w:fill="FFFFFF"/>
        <w:spacing w:before="30" w:beforeAutospacing="0" w:after="30" w:afterAutospacing="0"/>
        <w:jc w:val="center"/>
        <w:rPr>
          <w:rFonts w:hint="eastAsia" w:ascii="宋体" w:hAnsi="宋体" w:eastAsia="宋体" w:cs="宋体"/>
          <w:color w:val="333333"/>
          <w:sz w:val="36"/>
          <w:szCs w:val="36"/>
        </w:rPr>
      </w:pPr>
      <w:r>
        <w:rPr>
          <w:rStyle w:val="52"/>
          <w:rFonts w:hint="eastAsia" w:ascii="宋体" w:hAnsi="宋体" w:eastAsia="宋体" w:cs="宋体"/>
          <w:color w:val="333333"/>
          <w:sz w:val="36"/>
          <w:szCs w:val="36"/>
          <w:shd w:val="clear" w:color="auto" w:fill="FFFFFF"/>
        </w:rPr>
        <w:t>关于符合本国产品标准的声明函</w:t>
      </w:r>
    </w:p>
    <w:p w14:paraId="6C739261">
      <w:pPr>
        <w:pStyle w:val="43"/>
        <w:shd w:val="clear" w:color="auto" w:fill="FFFFFF"/>
        <w:spacing w:before="30" w:beforeAutospacing="0" w:after="30" w:afterAutospacing="0"/>
        <w:ind w:firstLine="420"/>
        <w:rPr>
          <w:rFonts w:hint="eastAsia" w:ascii="宋体" w:hAnsi="宋体" w:eastAsia="宋体" w:cs="宋体"/>
          <w:color w:val="333333"/>
        </w:rPr>
      </w:pPr>
    </w:p>
    <w:p w14:paraId="4D79FF02">
      <w:pPr>
        <w:pStyle w:val="43"/>
        <w:shd w:val="clear" w:color="auto" w:fill="FFFFFF"/>
        <w:spacing w:before="0" w:beforeAutospacing="0" w:after="0" w:afterAutospacing="0" w:line="360" w:lineRule="auto"/>
        <w:ind w:firstLine="480" w:firstLineChars="200"/>
        <w:rPr>
          <w:rFonts w:hint="eastAsia" w:ascii="宋体" w:hAnsi="宋体" w:eastAsia="宋体" w:cs="宋体"/>
          <w:color w:val="333333"/>
        </w:rPr>
      </w:pPr>
      <w:r>
        <w:rPr>
          <w:rFonts w:hint="eastAsia" w:ascii="宋体" w:hAnsi="宋体" w:eastAsia="宋体" w:cs="宋体"/>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D0ACD17">
      <w:pPr>
        <w:pStyle w:val="43"/>
        <w:shd w:val="clear" w:color="auto" w:fill="FFFFFF"/>
        <w:spacing w:before="0" w:beforeAutospacing="0" w:after="0" w:afterAutospacing="0" w:line="360" w:lineRule="auto"/>
        <w:ind w:firstLine="480" w:firstLineChars="200"/>
        <w:rPr>
          <w:rFonts w:hint="eastAsia" w:ascii="宋体" w:hAnsi="宋体" w:eastAsia="宋体" w:cs="宋体"/>
          <w:color w:val="333333"/>
        </w:rPr>
      </w:pPr>
      <w:r>
        <w:rPr>
          <w:rFonts w:hint="eastAsia" w:ascii="宋体" w:hAnsi="宋体" w:eastAsia="宋体" w:cs="宋体"/>
          <w:color w:val="333333"/>
          <w:shd w:val="clear" w:color="auto" w:fill="FFFFFF"/>
        </w:rPr>
        <w:t>1.</w:t>
      </w:r>
      <w:r>
        <w:rPr>
          <w:rStyle w:val="55"/>
          <w:rFonts w:hint="eastAsia" w:ascii="宋体" w:hAnsi="宋体" w:eastAsia="宋体" w:cs="宋体"/>
          <w:color w:val="333333"/>
          <w:u w:val="single"/>
          <w:shd w:val="clear" w:color="auto" w:fill="FFFFFF"/>
        </w:rPr>
        <w:t>（产品名称1）</w:t>
      </w:r>
      <w:r>
        <w:rPr>
          <w:rStyle w:val="55"/>
          <w:rFonts w:hint="eastAsia" w:ascii="宋体" w:hAnsi="宋体" w:eastAsia="宋体" w:cs="宋体"/>
          <w:color w:val="333333"/>
          <w:shd w:val="clear" w:color="auto" w:fill="FFFFFF"/>
          <w:vertAlign w:val="superscript"/>
        </w:rPr>
        <w:t>1</w:t>
      </w:r>
      <w:r>
        <w:rPr>
          <w:rFonts w:hint="eastAsia" w:ascii="宋体" w:hAnsi="宋体" w:eastAsia="宋体" w:cs="宋体"/>
          <w:color w:val="333333"/>
          <w:shd w:val="clear" w:color="auto" w:fill="FFFFFF"/>
        </w:rPr>
        <w:t>，生产厂为</w:t>
      </w:r>
      <w:r>
        <w:rPr>
          <w:rStyle w:val="55"/>
          <w:rFonts w:hint="eastAsia" w:ascii="宋体" w:hAnsi="宋体" w:eastAsia="宋体" w:cs="宋体"/>
          <w:color w:val="333333"/>
          <w:u w:val="single"/>
          <w:shd w:val="clear" w:color="auto" w:fill="FFFFFF"/>
        </w:rPr>
        <w:t>（厂名）</w:t>
      </w:r>
      <w:r>
        <w:rPr>
          <w:rStyle w:val="55"/>
          <w:rFonts w:hint="eastAsia" w:ascii="宋体" w:hAnsi="宋体" w:eastAsia="宋体" w:cs="宋体"/>
          <w:color w:val="333333"/>
          <w:shd w:val="clear" w:color="auto" w:fill="FFFFFF"/>
          <w:vertAlign w:val="superscript"/>
        </w:rPr>
        <w:t>2</w:t>
      </w:r>
      <w:r>
        <w:rPr>
          <w:rFonts w:hint="eastAsia" w:ascii="宋体" w:hAnsi="宋体" w:eastAsia="宋体" w:cs="宋体"/>
          <w:color w:val="333333"/>
          <w:shd w:val="clear" w:color="auto" w:fill="FFFFFF"/>
        </w:rPr>
        <w:t>，厂址为</w:t>
      </w:r>
      <w:r>
        <w:rPr>
          <w:rStyle w:val="55"/>
          <w:rFonts w:hint="eastAsia" w:ascii="宋体" w:hAnsi="宋体" w:eastAsia="宋体" w:cs="宋体"/>
          <w:color w:val="333333"/>
          <w:u w:val="single"/>
          <w:shd w:val="clear" w:color="auto" w:fill="FFFFFF"/>
        </w:rPr>
        <w:t>（生产厂址）</w:t>
      </w:r>
      <w:r>
        <w:rPr>
          <w:rFonts w:hint="eastAsia" w:ascii="宋体" w:hAnsi="宋体" w:eastAsia="宋体" w:cs="宋体"/>
          <w:color w:val="333333"/>
          <w:shd w:val="clear" w:color="auto" w:fill="FFFFFF"/>
        </w:rPr>
        <w:t>。</w:t>
      </w:r>
      <w:r>
        <w:rPr>
          <w:rStyle w:val="55"/>
          <w:rFonts w:hint="eastAsia" w:ascii="宋体" w:hAnsi="宋体" w:eastAsia="宋体" w:cs="宋体"/>
          <w:color w:val="333333"/>
          <w:u w:val="single"/>
          <w:shd w:val="clear" w:color="auto" w:fill="FFFFFF"/>
        </w:rPr>
        <w:t>（产品名称1）</w:t>
      </w:r>
      <w:r>
        <w:rPr>
          <w:rFonts w:hint="eastAsia" w:ascii="宋体" w:hAnsi="宋体" w:eastAsia="宋体" w:cs="宋体"/>
          <w:color w:val="333333"/>
          <w:shd w:val="clear" w:color="auto" w:fill="FFFFFF"/>
        </w:rPr>
        <w:t>的中国境内生产的组件成本占比≥</w:t>
      </w:r>
      <w:r>
        <w:rPr>
          <w:rStyle w:val="55"/>
          <w:rFonts w:hint="eastAsia" w:ascii="宋体" w:hAnsi="宋体" w:eastAsia="宋体" w:cs="宋体"/>
          <w:color w:val="333333"/>
          <w:u w:val="single"/>
          <w:shd w:val="clear" w:color="auto" w:fill="FFFFFF"/>
        </w:rPr>
        <w:t>（规定比例）</w:t>
      </w:r>
      <w:r>
        <w:rPr>
          <w:rStyle w:val="55"/>
          <w:rFonts w:hint="eastAsia" w:ascii="宋体" w:hAnsi="宋体" w:eastAsia="宋体" w:cs="宋体"/>
          <w:color w:val="333333"/>
          <w:shd w:val="clear" w:color="auto" w:fill="FFFFFF"/>
          <w:vertAlign w:val="superscript"/>
        </w:rPr>
        <w:t>3</w:t>
      </w:r>
      <w:r>
        <w:rPr>
          <w:rFonts w:hint="eastAsia" w:ascii="宋体" w:hAnsi="宋体" w:eastAsia="宋体" w:cs="宋体"/>
          <w:color w:val="333333"/>
          <w:shd w:val="clear" w:color="auto" w:fill="FFFFFF"/>
        </w:rPr>
        <w:t>。</w:t>
      </w:r>
      <w:r>
        <w:rPr>
          <w:rStyle w:val="55"/>
          <w:rFonts w:hint="eastAsia" w:ascii="宋体" w:hAnsi="宋体" w:eastAsia="宋体" w:cs="宋体"/>
          <w:color w:val="333333"/>
          <w:u w:val="single"/>
          <w:shd w:val="clear" w:color="auto" w:fill="FFFFFF"/>
        </w:rPr>
        <w:t>（产品名称1）</w:t>
      </w:r>
      <w:r>
        <w:rPr>
          <w:rFonts w:hint="eastAsia" w:ascii="宋体" w:hAnsi="宋体" w:eastAsia="宋体" w:cs="宋体"/>
          <w:color w:val="333333"/>
          <w:shd w:val="clear" w:color="auto" w:fill="FFFFFF"/>
        </w:rPr>
        <w:t>的</w:t>
      </w:r>
      <w:r>
        <w:rPr>
          <w:rStyle w:val="55"/>
          <w:rFonts w:hint="eastAsia" w:ascii="宋体" w:hAnsi="宋体" w:eastAsia="宋体" w:cs="宋体"/>
          <w:color w:val="333333"/>
          <w:u w:val="single"/>
          <w:shd w:val="clear" w:color="auto" w:fill="FFFFFF"/>
        </w:rPr>
        <w:t>（关键组件）</w:t>
      </w:r>
      <w:r>
        <w:rPr>
          <w:rStyle w:val="55"/>
          <w:rFonts w:hint="eastAsia" w:ascii="宋体" w:hAnsi="宋体" w:eastAsia="宋体" w:cs="宋体"/>
          <w:color w:val="333333"/>
          <w:shd w:val="clear" w:color="auto" w:fill="FFFFFF"/>
          <w:vertAlign w:val="superscript"/>
        </w:rPr>
        <w:t>4</w:t>
      </w:r>
      <w:r>
        <w:rPr>
          <w:rFonts w:hint="eastAsia" w:ascii="宋体" w:hAnsi="宋体" w:eastAsia="宋体" w:cs="宋体"/>
          <w:color w:val="333333"/>
          <w:shd w:val="clear" w:color="auto" w:fill="FFFFFF"/>
        </w:rPr>
        <w:t>在中国境内生产。</w:t>
      </w:r>
      <w:r>
        <w:rPr>
          <w:rStyle w:val="55"/>
          <w:rFonts w:hint="eastAsia" w:ascii="宋体" w:hAnsi="宋体" w:eastAsia="宋体" w:cs="宋体"/>
          <w:color w:val="333333"/>
          <w:u w:val="single"/>
          <w:shd w:val="clear" w:color="auto" w:fill="FFFFFF"/>
        </w:rPr>
        <w:t>（产品名称1）</w:t>
      </w:r>
      <w:r>
        <w:rPr>
          <w:rFonts w:hint="eastAsia" w:ascii="宋体" w:hAnsi="宋体" w:eastAsia="宋体" w:cs="宋体"/>
          <w:color w:val="333333"/>
          <w:shd w:val="clear" w:color="auto" w:fill="FFFFFF"/>
        </w:rPr>
        <w:t>的</w:t>
      </w:r>
      <w:r>
        <w:rPr>
          <w:rStyle w:val="55"/>
          <w:rFonts w:hint="eastAsia" w:ascii="宋体" w:hAnsi="宋体" w:eastAsia="宋体" w:cs="宋体"/>
          <w:color w:val="333333"/>
          <w:u w:val="single"/>
          <w:shd w:val="clear" w:color="auto" w:fill="FFFFFF"/>
        </w:rPr>
        <w:t>（关键工序）</w:t>
      </w:r>
      <w:r>
        <w:rPr>
          <w:rStyle w:val="55"/>
          <w:rFonts w:hint="eastAsia" w:ascii="宋体" w:hAnsi="宋体" w:eastAsia="宋体" w:cs="宋体"/>
          <w:color w:val="333333"/>
          <w:shd w:val="clear" w:color="auto" w:fill="FFFFFF"/>
          <w:vertAlign w:val="superscript"/>
        </w:rPr>
        <w:t>5</w:t>
      </w:r>
      <w:r>
        <w:rPr>
          <w:rFonts w:hint="eastAsia" w:ascii="宋体" w:hAnsi="宋体" w:eastAsia="宋体" w:cs="宋体"/>
          <w:color w:val="333333"/>
          <w:shd w:val="clear" w:color="auto" w:fill="FFFFFF"/>
        </w:rPr>
        <w:t>在中国境内完成。</w:t>
      </w:r>
    </w:p>
    <w:p w14:paraId="520D9FB2">
      <w:pPr>
        <w:pStyle w:val="43"/>
        <w:shd w:val="clear" w:color="auto" w:fill="FFFFFF"/>
        <w:spacing w:before="0" w:beforeAutospacing="0" w:after="0" w:afterAutospacing="0" w:line="360" w:lineRule="auto"/>
        <w:ind w:firstLine="480" w:firstLineChars="200"/>
        <w:rPr>
          <w:rFonts w:hint="eastAsia" w:ascii="宋体" w:hAnsi="宋体" w:eastAsia="宋体" w:cs="宋体"/>
          <w:color w:val="333333"/>
        </w:rPr>
      </w:pPr>
      <w:r>
        <w:rPr>
          <w:rFonts w:hint="eastAsia" w:ascii="宋体" w:hAnsi="宋体" w:eastAsia="宋体" w:cs="宋体"/>
          <w:color w:val="333333"/>
          <w:shd w:val="clear" w:color="auto" w:fill="FFFFFF"/>
        </w:rPr>
        <w:t>2.</w:t>
      </w:r>
      <w:r>
        <w:rPr>
          <w:rStyle w:val="55"/>
          <w:rFonts w:hint="eastAsia" w:ascii="宋体" w:hAnsi="宋体" w:eastAsia="宋体" w:cs="宋体"/>
          <w:color w:val="333333"/>
          <w:u w:val="single"/>
          <w:shd w:val="clear" w:color="auto" w:fill="FFFFFF"/>
        </w:rPr>
        <w:t>（产品名称2）</w:t>
      </w:r>
      <w:r>
        <w:rPr>
          <w:rFonts w:hint="eastAsia" w:ascii="宋体" w:hAnsi="宋体" w:eastAsia="宋体" w:cs="宋体"/>
          <w:color w:val="333333"/>
          <w:shd w:val="clear" w:color="auto" w:fill="FFFFFF"/>
        </w:rPr>
        <w:t>，生产厂为</w:t>
      </w:r>
      <w:r>
        <w:rPr>
          <w:rStyle w:val="55"/>
          <w:rFonts w:hint="eastAsia" w:ascii="宋体" w:hAnsi="宋体" w:eastAsia="宋体" w:cs="宋体"/>
          <w:color w:val="333333"/>
          <w:u w:val="single"/>
          <w:shd w:val="clear" w:color="auto" w:fill="FFFFFF"/>
        </w:rPr>
        <w:t>（厂名）</w:t>
      </w:r>
      <w:r>
        <w:rPr>
          <w:rFonts w:hint="eastAsia" w:ascii="宋体" w:hAnsi="宋体" w:eastAsia="宋体" w:cs="宋体"/>
          <w:color w:val="333333"/>
          <w:shd w:val="clear" w:color="auto" w:fill="FFFFFF"/>
        </w:rPr>
        <w:t>，厂址为</w:t>
      </w:r>
      <w:r>
        <w:rPr>
          <w:rStyle w:val="55"/>
          <w:rFonts w:hint="eastAsia" w:ascii="宋体" w:hAnsi="宋体" w:eastAsia="宋体" w:cs="宋体"/>
          <w:color w:val="333333"/>
          <w:u w:val="single"/>
          <w:shd w:val="clear" w:color="auto" w:fill="FFFFFF"/>
        </w:rPr>
        <w:t>（生产厂址）</w:t>
      </w:r>
      <w:r>
        <w:rPr>
          <w:rFonts w:hint="eastAsia" w:ascii="宋体" w:hAnsi="宋体" w:eastAsia="宋体" w:cs="宋体"/>
          <w:color w:val="333333"/>
          <w:shd w:val="clear" w:color="auto" w:fill="FFFFFF"/>
        </w:rPr>
        <w:t>。</w:t>
      </w:r>
      <w:r>
        <w:rPr>
          <w:rStyle w:val="55"/>
          <w:rFonts w:hint="eastAsia" w:ascii="宋体" w:hAnsi="宋体" w:eastAsia="宋体" w:cs="宋体"/>
          <w:color w:val="333333"/>
          <w:u w:val="single"/>
          <w:shd w:val="clear" w:color="auto" w:fill="FFFFFF"/>
        </w:rPr>
        <w:t>（产品名称2）</w:t>
      </w:r>
      <w:r>
        <w:rPr>
          <w:rFonts w:hint="eastAsia" w:ascii="宋体" w:hAnsi="宋体" w:eastAsia="宋体" w:cs="宋体"/>
          <w:color w:val="333333"/>
          <w:shd w:val="clear" w:color="auto" w:fill="FFFFFF"/>
        </w:rPr>
        <w:t>的中国境内生产的组件成本占比≥</w:t>
      </w:r>
      <w:r>
        <w:rPr>
          <w:rStyle w:val="55"/>
          <w:rFonts w:hint="eastAsia" w:ascii="宋体" w:hAnsi="宋体" w:eastAsia="宋体" w:cs="宋体"/>
          <w:color w:val="333333"/>
          <w:u w:val="single"/>
          <w:shd w:val="clear" w:color="auto" w:fill="FFFFFF"/>
        </w:rPr>
        <w:t>（规定比例）</w:t>
      </w:r>
      <w:r>
        <w:rPr>
          <w:rFonts w:hint="eastAsia" w:ascii="宋体" w:hAnsi="宋体" w:eastAsia="宋体" w:cs="宋体"/>
          <w:color w:val="333333"/>
          <w:shd w:val="clear" w:color="auto" w:fill="FFFFFF"/>
        </w:rPr>
        <w:t>。</w:t>
      </w:r>
      <w:r>
        <w:rPr>
          <w:rStyle w:val="55"/>
          <w:rFonts w:hint="eastAsia" w:ascii="宋体" w:hAnsi="宋体" w:eastAsia="宋体" w:cs="宋体"/>
          <w:color w:val="333333"/>
          <w:u w:val="single"/>
          <w:shd w:val="clear" w:color="auto" w:fill="FFFFFF"/>
        </w:rPr>
        <w:t>（产品名称2）</w:t>
      </w:r>
      <w:r>
        <w:rPr>
          <w:rFonts w:hint="eastAsia" w:ascii="宋体" w:hAnsi="宋体" w:eastAsia="宋体" w:cs="宋体"/>
          <w:color w:val="333333"/>
          <w:shd w:val="clear" w:color="auto" w:fill="FFFFFF"/>
        </w:rPr>
        <w:t>的</w:t>
      </w:r>
      <w:r>
        <w:rPr>
          <w:rStyle w:val="55"/>
          <w:rFonts w:hint="eastAsia" w:ascii="宋体" w:hAnsi="宋体" w:eastAsia="宋体" w:cs="宋体"/>
          <w:color w:val="333333"/>
          <w:u w:val="single"/>
          <w:shd w:val="clear" w:color="auto" w:fill="FFFFFF"/>
        </w:rPr>
        <w:t>（关键组件）</w:t>
      </w:r>
      <w:r>
        <w:rPr>
          <w:rFonts w:hint="eastAsia" w:ascii="宋体" w:hAnsi="宋体" w:eastAsia="宋体" w:cs="宋体"/>
          <w:color w:val="333333"/>
          <w:shd w:val="clear" w:color="auto" w:fill="FFFFFF"/>
        </w:rPr>
        <w:t>在中国境内生产。</w:t>
      </w:r>
      <w:r>
        <w:rPr>
          <w:rStyle w:val="55"/>
          <w:rFonts w:hint="eastAsia" w:ascii="宋体" w:hAnsi="宋体" w:eastAsia="宋体" w:cs="宋体"/>
          <w:color w:val="333333"/>
          <w:u w:val="single"/>
          <w:shd w:val="clear" w:color="auto" w:fill="FFFFFF"/>
        </w:rPr>
        <w:t>（产品名称2）</w:t>
      </w:r>
      <w:r>
        <w:rPr>
          <w:rFonts w:hint="eastAsia" w:ascii="宋体" w:hAnsi="宋体" w:eastAsia="宋体" w:cs="宋体"/>
          <w:color w:val="333333"/>
          <w:shd w:val="clear" w:color="auto" w:fill="FFFFFF"/>
        </w:rPr>
        <w:t>的</w:t>
      </w:r>
      <w:r>
        <w:rPr>
          <w:rStyle w:val="55"/>
          <w:rFonts w:hint="eastAsia" w:ascii="宋体" w:hAnsi="宋体" w:eastAsia="宋体" w:cs="宋体"/>
          <w:color w:val="333333"/>
          <w:u w:val="single"/>
          <w:shd w:val="clear" w:color="auto" w:fill="FFFFFF"/>
        </w:rPr>
        <w:t>（关键工序）</w:t>
      </w:r>
      <w:r>
        <w:rPr>
          <w:rFonts w:hint="eastAsia" w:ascii="宋体" w:hAnsi="宋体" w:eastAsia="宋体" w:cs="宋体"/>
          <w:color w:val="333333"/>
          <w:shd w:val="clear" w:color="auto" w:fill="FFFFFF"/>
        </w:rPr>
        <w:t>在中国境内完成。</w:t>
      </w:r>
    </w:p>
    <w:p w14:paraId="3B0CB414">
      <w:pPr>
        <w:pStyle w:val="43"/>
        <w:shd w:val="clear" w:color="auto" w:fill="FFFFFF"/>
        <w:spacing w:before="0" w:beforeAutospacing="0" w:after="0" w:afterAutospacing="0" w:line="360" w:lineRule="auto"/>
        <w:ind w:firstLine="480" w:firstLineChars="200"/>
        <w:rPr>
          <w:rFonts w:hint="eastAsia" w:ascii="宋体" w:hAnsi="宋体" w:eastAsia="宋体" w:cs="宋体"/>
          <w:color w:val="333333"/>
        </w:rPr>
      </w:pPr>
      <w:r>
        <w:rPr>
          <w:rFonts w:hint="eastAsia" w:ascii="宋体" w:hAnsi="宋体" w:eastAsia="宋体" w:cs="宋体"/>
          <w:color w:val="333333"/>
          <w:shd w:val="clear" w:color="auto" w:fill="FFFFFF"/>
        </w:rPr>
        <w:t>……</w:t>
      </w:r>
    </w:p>
    <w:p w14:paraId="05F5A879">
      <w:pPr>
        <w:pStyle w:val="43"/>
        <w:shd w:val="clear" w:color="auto" w:fill="FFFFFF"/>
        <w:spacing w:before="0" w:beforeAutospacing="0" w:after="0" w:afterAutospacing="0" w:line="360" w:lineRule="auto"/>
        <w:ind w:firstLine="480" w:firstLineChars="200"/>
        <w:rPr>
          <w:rFonts w:hint="eastAsia" w:ascii="宋体" w:hAnsi="宋体" w:eastAsia="宋体" w:cs="宋体"/>
          <w:color w:val="333333"/>
        </w:rPr>
      </w:pPr>
      <w:r>
        <w:rPr>
          <w:rFonts w:hint="eastAsia" w:ascii="宋体" w:hAnsi="宋体" w:eastAsia="宋体" w:cs="宋体"/>
          <w:color w:val="333333"/>
          <w:shd w:val="clear" w:color="auto" w:fill="FFFFFF"/>
        </w:rPr>
        <w:t>本公司（单位）对上述声明内容的真实性负责。如有虚假，愿承担相应法律责任。</w:t>
      </w:r>
    </w:p>
    <w:p w14:paraId="59B1D757">
      <w:pPr>
        <w:pStyle w:val="43"/>
        <w:shd w:val="clear" w:color="auto" w:fill="FFFFFF"/>
        <w:spacing w:before="0" w:beforeAutospacing="0" w:after="0" w:afterAutospacing="0" w:line="360" w:lineRule="auto"/>
        <w:rPr>
          <w:rFonts w:hint="eastAsia" w:ascii="宋体" w:hAnsi="宋体" w:eastAsia="宋体" w:cs="宋体"/>
          <w:color w:val="333333"/>
        </w:rPr>
      </w:pPr>
    </w:p>
    <w:p w14:paraId="43D41708">
      <w:pPr>
        <w:pStyle w:val="43"/>
        <w:shd w:val="clear" w:color="auto" w:fill="FFFFFF"/>
        <w:spacing w:before="0" w:beforeAutospacing="0" w:after="0" w:afterAutospacing="0" w:line="360" w:lineRule="auto"/>
        <w:jc w:val="right"/>
        <w:rPr>
          <w:rFonts w:hint="eastAsia" w:ascii="宋体" w:hAnsi="宋体" w:eastAsia="宋体" w:cs="宋体"/>
          <w:color w:val="333333"/>
          <w:shd w:val="clear" w:color="auto" w:fill="FFFFFF"/>
        </w:rPr>
      </w:pPr>
    </w:p>
    <w:p w14:paraId="24351836">
      <w:pPr>
        <w:pStyle w:val="43"/>
        <w:shd w:val="clear" w:color="auto" w:fill="FFFFFF"/>
        <w:spacing w:before="0" w:beforeAutospacing="0" w:after="0" w:afterAutospacing="0" w:line="360" w:lineRule="auto"/>
        <w:jc w:val="right"/>
        <w:rPr>
          <w:rFonts w:hint="eastAsia" w:ascii="宋体" w:hAnsi="宋体" w:eastAsia="宋体" w:cs="宋体"/>
          <w:color w:val="333333"/>
        </w:rPr>
      </w:pPr>
      <w:r>
        <w:rPr>
          <w:rFonts w:hint="eastAsia" w:ascii="宋体" w:hAnsi="宋体" w:eastAsia="宋体" w:cs="宋体"/>
          <w:color w:val="333333"/>
          <w:shd w:val="clear" w:color="auto" w:fill="FFFFFF"/>
        </w:rPr>
        <w:t>公司（单位）名称（盖章）：　        </w:t>
      </w:r>
    </w:p>
    <w:p w14:paraId="301384DF">
      <w:pPr>
        <w:pStyle w:val="43"/>
        <w:shd w:val="clear" w:color="auto" w:fill="FFFFFF"/>
        <w:spacing w:before="0" w:beforeAutospacing="0" w:after="0" w:afterAutospacing="0" w:line="360" w:lineRule="auto"/>
        <w:jc w:val="right"/>
        <w:rPr>
          <w:rFonts w:hint="eastAsia" w:ascii="宋体" w:hAnsi="宋体" w:eastAsia="宋体" w:cs="宋体"/>
          <w:color w:val="333333"/>
        </w:rPr>
      </w:pPr>
      <w:r>
        <w:rPr>
          <w:rFonts w:hint="eastAsia" w:ascii="宋体" w:hAnsi="宋体" w:eastAsia="宋体" w:cs="宋体"/>
          <w:color w:val="333333"/>
          <w:shd w:val="clear" w:color="auto" w:fill="FFFFFF"/>
        </w:rPr>
        <w:t>日期：　     年　  月　  日         </w:t>
      </w:r>
    </w:p>
    <w:p w14:paraId="21DF1E19">
      <w:pPr>
        <w:pStyle w:val="43"/>
        <w:shd w:val="clear" w:color="auto" w:fill="FFFFFF"/>
        <w:spacing w:before="0" w:beforeAutospacing="0" w:after="0" w:afterAutospacing="0" w:line="360" w:lineRule="auto"/>
        <w:rPr>
          <w:rFonts w:hint="eastAsia" w:ascii="宋体" w:hAnsi="宋体" w:eastAsia="宋体" w:cs="宋体"/>
          <w:color w:val="333333"/>
          <w:shd w:val="clear" w:color="auto" w:fill="FFFFFF"/>
        </w:rPr>
      </w:pPr>
    </w:p>
    <w:p w14:paraId="04DB23CB">
      <w:pPr>
        <w:pStyle w:val="43"/>
        <w:shd w:val="clear" w:color="auto" w:fill="FFFFFF"/>
        <w:spacing w:before="0" w:beforeAutospacing="0" w:after="0" w:afterAutospacing="0" w:line="360" w:lineRule="auto"/>
        <w:rPr>
          <w:rFonts w:hint="eastAsia" w:ascii="宋体" w:hAnsi="宋体" w:eastAsia="宋体" w:cs="宋体"/>
          <w:color w:val="333333"/>
          <w:shd w:val="clear" w:color="auto" w:fill="FFFFFF"/>
        </w:rPr>
      </w:pPr>
    </w:p>
    <w:p w14:paraId="26E7C963">
      <w:pPr>
        <w:spacing w:line="360" w:lineRule="auto"/>
        <w:ind w:left="424" w:leftChars="1" w:hanging="422" w:hangingChars="201"/>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注：1.产品如有型号，请在“产品名称”栏一并填写。</w:t>
      </w:r>
    </w:p>
    <w:p w14:paraId="5C1EF733">
      <w:pPr>
        <w:spacing w:line="360" w:lineRule="auto"/>
        <w:ind w:left="420" w:leftChars="200"/>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2.生产厂名与厂址应与生产厂营业执照载明的相关信息保持一致。</w:t>
      </w:r>
    </w:p>
    <w:p w14:paraId="357766A5">
      <w:pPr>
        <w:spacing w:line="360" w:lineRule="auto"/>
        <w:ind w:left="420" w:leftChars="200"/>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3.该产品的中国境内生产的组件成本占比相关要求实施前，“规定比例”栏可不填。</w:t>
      </w:r>
    </w:p>
    <w:p w14:paraId="650A56AC">
      <w:pPr>
        <w:spacing w:line="360" w:lineRule="auto"/>
        <w:ind w:left="420" w:leftChars="200"/>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4.该产品的关键组件要求实施前，“关键组件”栏可不填。</w:t>
      </w:r>
    </w:p>
    <w:p w14:paraId="667273F3">
      <w:pPr>
        <w:spacing w:line="360" w:lineRule="auto"/>
        <w:ind w:left="420" w:leftChars="200"/>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5.该产品的关键工序要求实施前，“关键工序”栏可不填。</w:t>
      </w:r>
    </w:p>
    <w:p w14:paraId="74C2A5C6">
      <w:pPr>
        <w:widowControl/>
        <w:jc w:val="left"/>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br w:type="page"/>
      </w:r>
    </w:p>
    <w:p w14:paraId="637B0426">
      <w:pPr>
        <w:pStyle w:val="43"/>
        <w:shd w:val="clear" w:color="auto" w:fill="FFFFFF"/>
        <w:spacing w:before="30" w:beforeAutospacing="0" w:after="30" w:afterAutospacing="0"/>
        <w:jc w:val="center"/>
        <w:rPr>
          <w:rStyle w:val="52"/>
          <w:rFonts w:hint="eastAsia" w:ascii="宋体" w:hAnsi="宋体" w:eastAsia="宋体" w:cs="宋体"/>
          <w:sz w:val="36"/>
          <w:szCs w:val="36"/>
        </w:rPr>
      </w:pPr>
      <w:r>
        <w:rPr>
          <w:rStyle w:val="52"/>
          <w:rFonts w:hint="eastAsia" w:ascii="宋体" w:hAnsi="宋体" w:eastAsia="宋体" w:cs="宋体"/>
          <w:sz w:val="36"/>
          <w:szCs w:val="36"/>
        </w:rPr>
        <w:t>产品成本占比承诺函（不适用）</w:t>
      </w:r>
    </w:p>
    <w:p w14:paraId="3143B3E7">
      <w:pPr>
        <w:pStyle w:val="43"/>
        <w:shd w:val="clear" w:color="auto" w:fill="FFFFFF"/>
        <w:spacing w:before="30" w:beforeAutospacing="0" w:after="30" w:afterAutospacing="0"/>
        <w:rPr>
          <w:rStyle w:val="52"/>
          <w:rFonts w:hint="eastAsia" w:ascii="宋体" w:hAnsi="宋体" w:eastAsia="宋体" w:cs="宋体"/>
          <w:sz w:val="36"/>
          <w:szCs w:val="36"/>
        </w:rPr>
      </w:pPr>
    </w:p>
    <w:p w14:paraId="2744AB90">
      <w:pPr>
        <w:widowControl/>
        <w:spacing w:line="360" w:lineRule="auto"/>
        <w:ind w:firstLine="480" w:firstLineChars="200"/>
        <w:jc w:val="left"/>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我公司（单位）郑重承诺，我公司已阅读并理解《国务院办公厅关于在政府采购中实施本国产品标准及相关政策的通知》（国办发〔2025〕34号）的规定。据此承诺如下：</w:t>
      </w:r>
    </w:p>
    <w:p w14:paraId="054F1011">
      <w:pPr>
        <w:widowControl/>
        <w:spacing w:line="360" w:lineRule="auto"/>
        <w:ind w:firstLine="480" w:firstLineChars="200"/>
        <w:jc w:val="left"/>
        <w:rPr>
          <w:rFonts w:hint="eastAsia" w:ascii="宋体" w:hAnsi="宋体" w:eastAsia="宋体" w:cs="宋体"/>
          <w:spacing w:val="6"/>
          <w:sz w:val="24"/>
        </w:rPr>
      </w:pPr>
      <w:r>
        <w:rPr>
          <w:rFonts w:hint="eastAsia" w:ascii="宋体" w:hAnsi="宋体" w:eastAsia="宋体" w:cs="宋体"/>
          <w:color w:val="333333"/>
          <w:sz w:val="24"/>
          <w:shd w:val="clear" w:color="auto" w:fill="FFFFFF"/>
        </w:rPr>
        <w:t>为本采购项目或者采购包提供的符合本国产品标准的产品成本之和占提供的全部产品成本之和的比例为</w:t>
      </w:r>
      <w:r>
        <w:rPr>
          <w:rFonts w:hint="eastAsia" w:ascii="宋体" w:hAnsi="宋体" w:eastAsia="宋体" w:cs="宋体"/>
          <w:spacing w:val="6"/>
          <w:sz w:val="24"/>
        </w:rPr>
        <w:t>______%。</w:t>
      </w:r>
    </w:p>
    <w:p w14:paraId="6D8D0A84">
      <w:pPr>
        <w:widowControl/>
        <w:spacing w:line="360" w:lineRule="auto"/>
        <w:ind w:firstLine="480" w:firstLineChars="200"/>
        <w:jc w:val="left"/>
        <w:rPr>
          <w:rFonts w:hint="eastAsia" w:ascii="宋体" w:hAnsi="宋体" w:eastAsia="宋体" w:cs="宋体"/>
          <w:color w:val="000000"/>
          <w:sz w:val="24"/>
        </w:rPr>
      </w:pPr>
    </w:p>
    <w:p w14:paraId="5F4F0414">
      <w:pPr>
        <w:pStyle w:val="43"/>
        <w:shd w:val="clear" w:color="auto" w:fill="FFFFFF"/>
        <w:spacing w:before="0" w:beforeAutospacing="0" w:after="0" w:afterAutospacing="0" w:line="360" w:lineRule="auto"/>
        <w:jc w:val="right"/>
        <w:rPr>
          <w:rFonts w:hint="eastAsia" w:ascii="宋体" w:hAnsi="宋体" w:eastAsia="宋体" w:cs="宋体"/>
          <w:color w:val="333333"/>
        </w:rPr>
      </w:pPr>
      <w:r>
        <w:rPr>
          <w:rFonts w:hint="eastAsia" w:ascii="宋体" w:hAnsi="宋体" w:eastAsia="宋体" w:cs="宋体"/>
          <w:color w:val="333333"/>
          <w:shd w:val="clear" w:color="auto" w:fill="FFFFFF"/>
        </w:rPr>
        <w:t>公司（单位）名称（盖章）：　        </w:t>
      </w:r>
    </w:p>
    <w:p w14:paraId="76156DB2">
      <w:pPr>
        <w:widowControl/>
        <w:spacing w:line="360" w:lineRule="auto"/>
        <w:ind w:firstLine="480" w:firstLineChars="200"/>
        <w:jc w:val="right"/>
        <w:rPr>
          <w:rFonts w:hint="eastAsia" w:ascii="宋体" w:hAnsi="宋体" w:eastAsia="宋体" w:cs="宋体"/>
          <w:color w:val="000000"/>
          <w:sz w:val="24"/>
        </w:rPr>
      </w:pPr>
      <w:r>
        <w:rPr>
          <w:rFonts w:hint="eastAsia" w:ascii="宋体" w:hAnsi="宋体" w:eastAsia="宋体" w:cs="宋体"/>
          <w:color w:val="333333"/>
          <w:sz w:val="24"/>
          <w:shd w:val="clear" w:color="auto" w:fill="FFFFFF"/>
        </w:rPr>
        <w:t>日期：　     年　  月　  日     </w:t>
      </w:r>
    </w:p>
    <w:p w14:paraId="5DB9023E">
      <w:pPr>
        <w:widowControl/>
        <w:spacing w:line="360" w:lineRule="auto"/>
        <w:jc w:val="left"/>
        <w:rPr>
          <w:rFonts w:hint="eastAsia" w:ascii="宋体" w:hAnsi="宋体" w:eastAsia="宋体" w:cs="宋体"/>
          <w:color w:val="000000"/>
          <w:sz w:val="24"/>
        </w:rPr>
      </w:pPr>
    </w:p>
    <w:p w14:paraId="5D925B52">
      <w:pPr>
        <w:widowControl/>
        <w:spacing w:line="360" w:lineRule="auto"/>
        <w:jc w:val="left"/>
        <w:rPr>
          <w:rFonts w:hint="eastAsia" w:ascii="宋体" w:hAnsi="宋体" w:eastAsia="宋体" w:cs="宋体"/>
          <w:color w:val="000000"/>
          <w:sz w:val="24"/>
        </w:rPr>
      </w:pPr>
    </w:p>
    <w:p w14:paraId="4575B046">
      <w:pPr>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注：</w:t>
      </w:r>
    </w:p>
    <w:p w14:paraId="408FAF84">
      <w:pPr>
        <w:spacing w:line="360" w:lineRule="auto"/>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1. 本承诺函应按包分别提供。</w:t>
      </w:r>
    </w:p>
    <w:p w14:paraId="770B04B0">
      <w:pPr>
        <w:spacing w:line="360" w:lineRule="auto"/>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2. 单一产品采购无须提供本承诺函；供应商提供产品全部为本国产品，且提供了《关于符合本国产品标准的声明函》时，无须提供本承诺函。</w:t>
      </w:r>
    </w:p>
    <w:p w14:paraId="323CAFA7">
      <w:pPr>
        <w:spacing w:line="360" w:lineRule="auto"/>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eastAsia="宋体" w:cs="宋体"/>
        </w:rPr>
        <w:t>价格评审优惠</w:t>
      </w:r>
      <w:r>
        <w:rPr>
          <w:rFonts w:hint="eastAsia" w:ascii="宋体" w:hAnsi="宋体" w:eastAsia="宋体" w:cs="宋体"/>
          <w:color w:val="333333"/>
          <w:szCs w:val="21"/>
          <w:shd w:val="clear" w:color="auto" w:fill="FFFFFF"/>
        </w:rPr>
        <w:t>。</w:t>
      </w:r>
    </w:p>
    <w:p w14:paraId="3AE05723">
      <w:pPr>
        <w:spacing w:line="360" w:lineRule="auto"/>
        <w:ind w:left="420" w:leftChars="200"/>
        <w:rPr>
          <w:rFonts w:hint="eastAsia" w:ascii="宋体" w:hAnsi="宋体" w:eastAsia="宋体" w:cs="宋体"/>
          <w:color w:val="333333"/>
          <w:szCs w:val="21"/>
          <w:shd w:val="clear" w:color="auto" w:fill="FFFFFF"/>
        </w:rPr>
      </w:pPr>
    </w:p>
    <w:p w14:paraId="3DE84B8D">
      <w:pPr>
        <w:widowControl/>
        <w:jc w:val="left"/>
        <w:rPr>
          <w:rFonts w:hint="eastAsia" w:ascii="宋体" w:hAnsi="宋体" w:eastAsia="宋体" w:cs="宋体"/>
          <w:sz w:val="24"/>
        </w:rPr>
      </w:pPr>
      <w:r>
        <w:rPr>
          <w:rFonts w:hint="eastAsia" w:ascii="宋体" w:hAnsi="宋体" w:eastAsia="宋体" w:cs="宋体"/>
          <w:sz w:val="24"/>
        </w:rPr>
        <w:br w:type="page"/>
      </w:r>
    </w:p>
    <w:p w14:paraId="37492291">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sz w:val="24"/>
        </w:rPr>
        <w:t>12  竞争性磋商文件要求提供或供应商认为应附的其他材料</w:t>
      </w:r>
    </w:p>
    <w:p w14:paraId="6743CF9B">
      <w:pPr>
        <w:widowControl/>
        <w:jc w:val="left"/>
        <w:rPr>
          <w:rFonts w:hint="eastAsia" w:ascii="宋体" w:hAnsi="宋体" w:eastAsia="宋体" w:cs="宋体"/>
          <w:b/>
          <w:sz w:val="36"/>
          <w:szCs w:val="36"/>
        </w:rPr>
      </w:pPr>
    </w:p>
    <w:p w14:paraId="6138F6FB">
      <w:pPr>
        <w:widowControl/>
        <w:jc w:val="left"/>
        <w:rPr>
          <w:rFonts w:hint="eastAsia" w:ascii="宋体" w:hAnsi="宋体" w:eastAsia="宋体" w:cs="宋体"/>
          <w:color w:val="000000"/>
          <w:sz w:val="24"/>
          <w:szCs w:val="20"/>
        </w:rPr>
      </w:pPr>
      <w:bookmarkStart w:id="1772" w:name="_Hlk167094858"/>
      <w:r>
        <w:rPr>
          <w:rFonts w:hint="eastAsia" w:ascii="宋体" w:hAnsi="宋体" w:eastAsia="宋体" w:cs="宋体"/>
          <w:color w:val="000000"/>
          <w:sz w:val="24"/>
          <w:szCs w:val="20"/>
        </w:rPr>
        <w:t>12-1供应商信息采集表</w:t>
      </w:r>
    </w:p>
    <w:tbl>
      <w:tblPr>
        <w:tblStyle w:val="4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44"/>
        <w:gridCol w:w="3144"/>
        <w:gridCol w:w="3142"/>
      </w:tblGrid>
      <w:tr w14:paraId="79634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217A304">
            <w:pPr>
              <w:rPr>
                <w:rFonts w:hint="eastAsia" w:ascii="宋体" w:hAnsi="宋体" w:eastAsia="宋体" w:cs="宋体"/>
                <w:sz w:val="24"/>
              </w:rPr>
            </w:pPr>
            <w:r>
              <w:rPr>
                <w:rFonts w:hint="eastAsia" w:ascii="宋体" w:hAnsi="宋体" w:eastAsia="宋体" w:cs="宋体"/>
                <w:sz w:val="24"/>
              </w:rPr>
              <w:t>供应商名称</w:t>
            </w:r>
          </w:p>
        </w:tc>
        <w:tc>
          <w:tcPr>
            <w:tcW w:w="1667" w:type="pct"/>
          </w:tcPr>
          <w:p w14:paraId="1E10F554">
            <w:pPr>
              <w:rPr>
                <w:rFonts w:hint="eastAsia" w:ascii="宋体" w:hAnsi="宋体" w:eastAsia="宋体" w:cs="宋体"/>
                <w:sz w:val="24"/>
              </w:rPr>
            </w:pPr>
            <w:r>
              <w:rPr>
                <w:rFonts w:hint="eastAsia" w:ascii="宋体" w:hAnsi="宋体" w:eastAsia="宋体" w:cs="宋体"/>
                <w:sz w:val="24"/>
              </w:rPr>
              <w:t>供应商所属性别</w:t>
            </w:r>
          </w:p>
        </w:tc>
        <w:tc>
          <w:tcPr>
            <w:tcW w:w="1667" w:type="pct"/>
          </w:tcPr>
          <w:p w14:paraId="68DEA4A4">
            <w:pPr>
              <w:rPr>
                <w:rFonts w:hint="eastAsia" w:ascii="宋体" w:hAnsi="宋体" w:eastAsia="宋体" w:cs="宋体"/>
                <w:sz w:val="24"/>
              </w:rPr>
            </w:pPr>
            <w:r>
              <w:rPr>
                <w:rFonts w:hint="eastAsia" w:ascii="宋体" w:hAnsi="宋体" w:eastAsia="宋体" w:cs="宋体"/>
                <w:sz w:val="24"/>
              </w:rPr>
              <w:t>外商投资类型</w:t>
            </w:r>
          </w:p>
        </w:tc>
      </w:tr>
      <w:tr w14:paraId="15803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A94AF8F">
            <w:pPr>
              <w:rPr>
                <w:rFonts w:hint="eastAsia" w:ascii="宋体" w:hAnsi="宋体" w:eastAsia="宋体" w:cs="宋体"/>
                <w:sz w:val="24"/>
              </w:rPr>
            </w:pPr>
          </w:p>
        </w:tc>
        <w:tc>
          <w:tcPr>
            <w:tcW w:w="1667" w:type="pct"/>
          </w:tcPr>
          <w:p w14:paraId="6DC25A9E">
            <w:pPr>
              <w:rPr>
                <w:rFonts w:hint="eastAsia" w:ascii="宋体" w:hAnsi="宋体" w:eastAsia="宋体" w:cs="宋体"/>
                <w:sz w:val="24"/>
              </w:rPr>
            </w:pPr>
          </w:p>
        </w:tc>
        <w:tc>
          <w:tcPr>
            <w:tcW w:w="1667" w:type="pct"/>
          </w:tcPr>
          <w:p w14:paraId="2A1BD84E">
            <w:pPr>
              <w:rPr>
                <w:rFonts w:hint="eastAsia" w:ascii="宋体" w:hAnsi="宋体" w:eastAsia="宋体" w:cs="宋体"/>
                <w:sz w:val="24"/>
              </w:rPr>
            </w:pPr>
          </w:p>
        </w:tc>
      </w:tr>
      <w:tr w14:paraId="7A6F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397584C">
            <w:pPr>
              <w:rPr>
                <w:rFonts w:hint="eastAsia" w:ascii="宋体" w:hAnsi="宋体" w:eastAsia="宋体" w:cs="宋体"/>
              </w:rPr>
            </w:pPr>
          </w:p>
        </w:tc>
        <w:tc>
          <w:tcPr>
            <w:tcW w:w="1667" w:type="pct"/>
          </w:tcPr>
          <w:p w14:paraId="0EE69E98">
            <w:pPr>
              <w:rPr>
                <w:rFonts w:hint="eastAsia" w:ascii="宋体" w:hAnsi="宋体" w:eastAsia="宋体" w:cs="宋体"/>
              </w:rPr>
            </w:pPr>
          </w:p>
        </w:tc>
        <w:tc>
          <w:tcPr>
            <w:tcW w:w="1667" w:type="pct"/>
          </w:tcPr>
          <w:p w14:paraId="1AE4539A">
            <w:pPr>
              <w:rPr>
                <w:rFonts w:hint="eastAsia" w:ascii="宋体" w:hAnsi="宋体" w:eastAsia="宋体" w:cs="宋体"/>
              </w:rPr>
            </w:pPr>
          </w:p>
        </w:tc>
      </w:tr>
      <w:tr w14:paraId="429F7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7E6F2FE">
            <w:pPr>
              <w:rPr>
                <w:rFonts w:hint="eastAsia" w:ascii="宋体" w:hAnsi="宋体" w:eastAsia="宋体" w:cs="宋体"/>
              </w:rPr>
            </w:pPr>
          </w:p>
        </w:tc>
        <w:tc>
          <w:tcPr>
            <w:tcW w:w="1667" w:type="pct"/>
          </w:tcPr>
          <w:p w14:paraId="5B57E20D">
            <w:pPr>
              <w:rPr>
                <w:rFonts w:hint="eastAsia" w:ascii="宋体" w:hAnsi="宋体" w:eastAsia="宋体" w:cs="宋体"/>
              </w:rPr>
            </w:pPr>
          </w:p>
        </w:tc>
        <w:tc>
          <w:tcPr>
            <w:tcW w:w="1667" w:type="pct"/>
          </w:tcPr>
          <w:p w14:paraId="55A6D949">
            <w:pPr>
              <w:rPr>
                <w:rFonts w:hint="eastAsia" w:ascii="宋体" w:hAnsi="宋体" w:eastAsia="宋体" w:cs="宋体"/>
              </w:rPr>
            </w:pPr>
          </w:p>
        </w:tc>
      </w:tr>
      <w:tr w14:paraId="2C496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566F0DF">
            <w:pPr>
              <w:rPr>
                <w:rFonts w:hint="eastAsia" w:ascii="宋体" w:hAnsi="宋体" w:eastAsia="宋体" w:cs="宋体"/>
              </w:rPr>
            </w:pPr>
          </w:p>
        </w:tc>
        <w:tc>
          <w:tcPr>
            <w:tcW w:w="1667" w:type="pct"/>
          </w:tcPr>
          <w:p w14:paraId="1F7BF8B7">
            <w:pPr>
              <w:rPr>
                <w:rFonts w:hint="eastAsia" w:ascii="宋体" w:hAnsi="宋体" w:eastAsia="宋体" w:cs="宋体"/>
              </w:rPr>
            </w:pPr>
          </w:p>
        </w:tc>
        <w:tc>
          <w:tcPr>
            <w:tcW w:w="1667" w:type="pct"/>
          </w:tcPr>
          <w:p w14:paraId="3AC54F8C">
            <w:pPr>
              <w:rPr>
                <w:rFonts w:hint="eastAsia" w:ascii="宋体" w:hAnsi="宋体" w:eastAsia="宋体" w:cs="宋体"/>
              </w:rPr>
            </w:pPr>
          </w:p>
        </w:tc>
      </w:tr>
    </w:tbl>
    <w:p w14:paraId="62F71026">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注：1.供应商如为联合体，则应填写联合体各成员信息。</w:t>
      </w:r>
    </w:p>
    <w:p w14:paraId="43D806E4">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2.供应商所属性别请填写“男”或“女”，指拥有供应商51%以上绝对所有权的性别；绝对所有权拥有者可以是一个人，也可以是多人合计计算。</w:t>
      </w:r>
    </w:p>
    <w:p w14:paraId="5CD3DBD8">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3.外商投资类型请填写“外商单独投资”、“外商部分投资”或“内资”。</w:t>
      </w:r>
    </w:p>
    <w:bookmarkEnd w:id="1772"/>
    <w:p w14:paraId="7EC592F8">
      <w:pPr>
        <w:widowControl/>
        <w:jc w:val="left"/>
        <w:rPr>
          <w:rFonts w:hint="eastAsia" w:ascii="宋体" w:hAnsi="宋体" w:eastAsia="宋体" w:cs="宋体"/>
          <w:b/>
          <w:sz w:val="36"/>
          <w:szCs w:val="36"/>
        </w:rPr>
      </w:pPr>
      <w:r>
        <w:rPr>
          <w:rFonts w:hint="eastAsia" w:ascii="宋体" w:hAnsi="宋体" w:eastAsia="宋体" w:cs="宋体"/>
          <w:b/>
          <w:sz w:val="36"/>
          <w:szCs w:val="36"/>
        </w:rPr>
        <w:br w:type="page"/>
      </w:r>
    </w:p>
    <w:p w14:paraId="01E58A0D">
      <w:pPr>
        <w:spacing w:line="361" w:lineRule="auto"/>
        <w:rPr>
          <w:rFonts w:hint="eastAsia" w:ascii="宋体" w:hAnsi="宋体" w:eastAsia="宋体" w:cs="宋体"/>
          <w:sz w:val="24"/>
        </w:rPr>
        <w:sectPr>
          <w:headerReference r:id="rId37" w:type="default"/>
          <w:footerReference r:id="rId38" w:type="default"/>
          <w:pgSz w:w="11907" w:h="16840"/>
          <w:pgMar w:top="1167" w:right="1105" w:bottom="1289" w:left="1588" w:header="830" w:footer="1055" w:gutter="0"/>
          <w:pgNumType w:fmt="decimal" w:chapStyle="1"/>
          <w:cols w:space="720" w:num="1"/>
        </w:sectPr>
      </w:pPr>
    </w:p>
    <w:p w14:paraId="68F31D67">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13.项目技术方案</w:t>
      </w:r>
      <w:r>
        <w:rPr>
          <w:rFonts w:hint="eastAsia" w:ascii="宋体" w:hAnsi="宋体" w:eastAsia="宋体" w:cs="宋体"/>
          <w:sz w:val="24"/>
        </w:rPr>
        <w:t>（格式自拟）</w:t>
      </w:r>
    </w:p>
    <w:p w14:paraId="473AADDD">
      <w:pPr>
        <w:pStyle w:val="23"/>
        <w:spacing w:line="42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人应当针对项目特征自行编制施工组织设计，国家及地方现有工法规范已有的内容无需重复提交，施工组织设计的总篇幅不得超过150页（其中包含文件封面、目录、正文、封底等全部内容），超过150页，采用否决性惩戒。</w:t>
      </w:r>
    </w:p>
    <w:p w14:paraId="130427D6">
      <w:pPr>
        <w:pStyle w:val="17"/>
        <w:spacing w:line="403" w:lineRule="auto"/>
        <w:rPr>
          <w:rFonts w:hint="eastAsia" w:ascii="宋体" w:hAnsi="宋体" w:eastAsia="宋体" w:cs="宋体"/>
        </w:rPr>
      </w:pPr>
    </w:p>
    <w:p w14:paraId="10BE57E7">
      <w:pPr>
        <w:pStyle w:val="17"/>
        <w:spacing w:line="403" w:lineRule="auto"/>
        <w:rPr>
          <w:rFonts w:hint="eastAsia" w:ascii="宋体" w:hAnsi="宋体" w:eastAsia="宋体" w:cs="宋体"/>
        </w:rPr>
      </w:pPr>
    </w:p>
    <w:p w14:paraId="03E9AAD3">
      <w:pPr>
        <w:pStyle w:val="17"/>
        <w:spacing w:line="403" w:lineRule="auto"/>
        <w:rPr>
          <w:rFonts w:hint="eastAsia" w:ascii="宋体" w:hAnsi="宋体" w:eastAsia="宋体" w:cs="宋体"/>
        </w:rPr>
      </w:pPr>
    </w:p>
    <w:p w14:paraId="3CEE3060">
      <w:pPr>
        <w:pStyle w:val="17"/>
        <w:spacing w:line="403" w:lineRule="auto"/>
        <w:rPr>
          <w:rFonts w:hint="eastAsia" w:ascii="宋体" w:hAnsi="宋体" w:eastAsia="宋体" w:cs="宋体"/>
        </w:rPr>
      </w:pPr>
    </w:p>
    <w:p w14:paraId="7BF2E580">
      <w:pPr>
        <w:pStyle w:val="17"/>
        <w:spacing w:line="403" w:lineRule="auto"/>
        <w:rPr>
          <w:rFonts w:hint="eastAsia" w:ascii="宋体" w:hAnsi="宋体" w:eastAsia="宋体" w:cs="宋体"/>
        </w:rPr>
      </w:pPr>
    </w:p>
    <w:p w14:paraId="41040AB3">
      <w:pPr>
        <w:pStyle w:val="17"/>
        <w:spacing w:line="403" w:lineRule="auto"/>
        <w:rPr>
          <w:rFonts w:hint="eastAsia" w:ascii="宋体" w:hAnsi="宋体" w:eastAsia="宋体" w:cs="宋体"/>
        </w:rPr>
      </w:pPr>
    </w:p>
    <w:p w14:paraId="7B46A09E">
      <w:pPr>
        <w:pStyle w:val="17"/>
        <w:spacing w:line="403" w:lineRule="auto"/>
        <w:rPr>
          <w:rFonts w:hint="eastAsia" w:ascii="宋体" w:hAnsi="宋体" w:eastAsia="宋体" w:cs="宋体"/>
        </w:rPr>
      </w:pPr>
    </w:p>
    <w:p w14:paraId="7C650926">
      <w:pPr>
        <w:pStyle w:val="17"/>
        <w:spacing w:line="403" w:lineRule="auto"/>
        <w:rPr>
          <w:rFonts w:hint="eastAsia" w:ascii="宋体" w:hAnsi="宋体" w:eastAsia="宋体" w:cs="宋体"/>
        </w:rPr>
      </w:pPr>
    </w:p>
    <w:p w14:paraId="285BD378">
      <w:pPr>
        <w:pStyle w:val="17"/>
        <w:spacing w:line="403" w:lineRule="auto"/>
        <w:rPr>
          <w:rFonts w:hint="eastAsia" w:ascii="宋体" w:hAnsi="宋体" w:eastAsia="宋体" w:cs="宋体"/>
        </w:rPr>
      </w:pPr>
    </w:p>
    <w:p w14:paraId="32352C00">
      <w:pPr>
        <w:pStyle w:val="17"/>
        <w:spacing w:line="403" w:lineRule="auto"/>
        <w:rPr>
          <w:rFonts w:hint="eastAsia" w:ascii="宋体" w:hAnsi="宋体" w:eastAsia="宋体" w:cs="宋体"/>
        </w:rPr>
      </w:pPr>
    </w:p>
    <w:p w14:paraId="58AF605E">
      <w:pPr>
        <w:pStyle w:val="17"/>
        <w:spacing w:line="403" w:lineRule="auto"/>
        <w:rPr>
          <w:rFonts w:hint="eastAsia" w:ascii="宋体" w:hAnsi="宋体" w:eastAsia="宋体" w:cs="宋体"/>
        </w:rPr>
      </w:pPr>
    </w:p>
    <w:p w14:paraId="1C89AFEC">
      <w:pPr>
        <w:pStyle w:val="17"/>
        <w:spacing w:line="403" w:lineRule="auto"/>
        <w:rPr>
          <w:rFonts w:hint="eastAsia" w:ascii="宋体" w:hAnsi="宋体" w:eastAsia="宋体" w:cs="宋体"/>
        </w:rPr>
      </w:pPr>
    </w:p>
    <w:p w14:paraId="4C0A088D">
      <w:pPr>
        <w:pStyle w:val="17"/>
        <w:spacing w:line="403" w:lineRule="auto"/>
        <w:rPr>
          <w:rFonts w:hint="eastAsia" w:ascii="宋体" w:hAnsi="宋体" w:eastAsia="宋体" w:cs="宋体"/>
        </w:rPr>
      </w:pPr>
    </w:p>
    <w:p w14:paraId="029CF160">
      <w:pPr>
        <w:pStyle w:val="17"/>
        <w:spacing w:line="403" w:lineRule="auto"/>
        <w:rPr>
          <w:rFonts w:hint="eastAsia" w:ascii="宋体" w:hAnsi="宋体" w:eastAsia="宋体" w:cs="宋体"/>
        </w:rPr>
      </w:pPr>
    </w:p>
    <w:p w14:paraId="1F8D4462">
      <w:pPr>
        <w:pStyle w:val="17"/>
        <w:spacing w:line="403" w:lineRule="auto"/>
        <w:rPr>
          <w:rFonts w:hint="eastAsia" w:ascii="宋体" w:hAnsi="宋体" w:eastAsia="宋体" w:cs="宋体"/>
        </w:rPr>
      </w:pPr>
    </w:p>
    <w:p w14:paraId="406AD363">
      <w:pPr>
        <w:pStyle w:val="17"/>
        <w:spacing w:line="403" w:lineRule="auto"/>
        <w:rPr>
          <w:rFonts w:hint="eastAsia" w:ascii="宋体" w:hAnsi="宋体" w:eastAsia="宋体" w:cs="宋体"/>
        </w:rPr>
      </w:pPr>
    </w:p>
    <w:p w14:paraId="11AA7817">
      <w:pPr>
        <w:pStyle w:val="17"/>
        <w:spacing w:line="403" w:lineRule="auto"/>
        <w:rPr>
          <w:rFonts w:hint="eastAsia" w:ascii="宋体" w:hAnsi="宋体" w:eastAsia="宋体" w:cs="宋体"/>
        </w:rPr>
      </w:pPr>
    </w:p>
    <w:p w14:paraId="21C8B219">
      <w:pPr>
        <w:pStyle w:val="17"/>
        <w:spacing w:line="403" w:lineRule="auto"/>
        <w:rPr>
          <w:rFonts w:hint="eastAsia" w:ascii="宋体" w:hAnsi="宋体" w:eastAsia="宋体" w:cs="宋体"/>
        </w:rPr>
      </w:pPr>
    </w:p>
    <w:p w14:paraId="700CC41D">
      <w:pPr>
        <w:pStyle w:val="17"/>
        <w:spacing w:line="403" w:lineRule="auto"/>
        <w:rPr>
          <w:rFonts w:hint="eastAsia" w:ascii="宋体" w:hAnsi="宋体" w:eastAsia="宋体" w:cs="宋体"/>
        </w:rPr>
      </w:pPr>
    </w:p>
    <w:p w14:paraId="3E79402E">
      <w:pPr>
        <w:pStyle w:val="17"/>
        <w:spacing w:line="403" w:lineRule="auto"/>
        <w:rPr>
          <w:rFonts w:hint="eastAsia" w:ascii="宋体" w:hAnsi="宋体" w:eastAsia="宋体" w:cs="宋体"/>
        </w:rPr>
      </w:pPr>
    </w:p>
    <w:p w14:paraId="54C64C71">
      <w:pPr>
        <w:pStyle w:val="17"/>
        <w:spacing w:line="403" w:lineRule="auto"/>
        <w:rPr>
          <w:rFonts w:hint="eastAsia" w:ascii="宋体" w:hAnsi="宋体" w:eastAsia="宋体" w:cs="宋体"/>
        </w:rPr>
      </w:pPr>
      <w:r>
        <w:rPr>
          <w:rFonts w:hint="eastAsia" w:ascii="宋体" w:hAnsi="宋体" w:eastAsia="宋体" w:cs="宋体"/>
          <w:szCs w:val="20"/>
        </w:rPr>
        <w:t>14.招标文件要求提供或投标人认为应附的其他材料</w:t>
      </w:r>
    </w:p>
    <w:p w14:paraId="4E67EFF8">
      <w:pPr>
        <w:pStyle w:val="17"/>
        <w:spacing w:line="403" w:lineRule="auto"/>
        <w:rPr>
          <w:rFonts w:hint="eastAsia" w:ascii="宋体" w:hAnsi="宋体" w:eastAsia="宋体" w:cs="宋体"/>
        </w:rPr>
      </w:pPr>
    </w:p>
    <w:p w14:paraId="296D95FE">
      <w:pPr>
        <w:pStyle w:val="17"/>
        <w:spacing w:line="403" w:lineRule="auto"/>
        <w:rPr>
          <w:rFonts w:hint="eastAsia" w:ascii="宋体" w:hAnsi="宋体" w:eastAsia="宋体" w:cs="宋体"/>
        </w:rPr>
      </w:pPr>
    </w:p>
    <w:p w14:paraId="0BE207EF">
      <w:pPr>
        <w:pStyle w:val="17"/>
        <w:spacing w:line="403" w:lineRule="auto"/>
        <w:rPr>
          <w:rFonts w:hint="eastAsia" w:ascii="宋体" w:hAnsi="宋体" w:eastAsia="宋体" w:cs="宋体"/>
        </w:rPr>
      </w:pPr>
    </w:p>
    <w:p w14:paraId="256C4F78">
      <w:pPr>
        <w:pStyle w:val="17"/>
        <w:spacing w:line="403" w:lineRule="auto"/>
        <w:rPr>
          <w:rFonts w:hint="eastAsia" w:ascii="宋体" w:hAnsi="宋体" w:eastAsia="宋体" w:cs="宋体"/>
        </w:rPr>
      </w:pPr>
    </w:p>
    <w:p w14:paraId="57199EDB">
      <w:pPr>
        <w:pStyle w:val="17"/>
        <w:spacing w:line="403" w:lineRule="auto"/>
        <w:rPr>
          <w:rFonts w:hint="eastAsia" w:ascii="宋体" w:hAnsi="宋体" w:eastAsia="宋体" w:cs="宋体"/>
        </w:rPr>
      </w:pPr>
    </w:p>
    <w:p w14:paraId="35404575">
      <w:pPr>
        <w:pStyle w:val="17"/>
        <w:spacing w:line="403" w:lineRule="auto"/>
        <w:rPr>
          <w:rFonts w:hint="eastAsia" w:ascii="宋体" w:hAnsi="宋体" w:eastAsia="宋体" w:cs="宋体"/>
        </w:rPr>
      </w:pPr>
    </w:p>
    <w:p w14:paraId="36618174">
      <w:pPr>
        <w:pStyle w:val="17"/>
        <w:spacing w:line="403" w:lineRule="auto"/>
        <w:rPr>
          <w:rFonts w:hint="eastAsia" w:ascii="宋体" w:hAnsi="宋体" w:eastAsia="宋体" w:cs="宋体"/>
        </w:rPr>
      </w:pPr>
    </w:p>
    <w:p w14:paraId="5B73DF50">
      <w:pPr>
        <w:pStyle w:val="17"/>
        <w:spacing w:line="403" w:lineRule="auto"/>
        <w:rPr>
          <w:rFonts w:hint="eastAsia" w:ascii="宋体" w:hAnsi="宋体" w:eastAsia="宋体" w:cs="宋体"/>
        </w:rPr>
      </w:pPr>
    </w:p>
    <w:p w14:paraId="11E0C9C2">
      <w:pPr>
        <w:pStyle w:val="17"/>
        <w:spacing w:line="403" w:lineRule="auto"/>
        <w:rPr>
          <w:rFonts w:hint="eastAsia" w:ascii="宋体" w:hAnsi="宋体" w:eastAsia="宋体" w:cs="宋体"/>
        </w:rPr>
      </w:pPr>
    </w:p>
    <w:p w14:paraId="713FB9CE">
      <w:pPr>
        <w:pStyle w:val="17"/>
        <w:spacing w:line="403" w:lineRule="auto"/>
        <w:rPr>
          <w:rFonts w:hint="eastAsia" w:ascii="宋体" w:hAnsi="宋体" w:eastAsia="宋体" w:cs="宋体"/>
        </w:rPr>
      </w:pPr>
    </w:p>
    <w:p w14:paraId="3E990EFB">
      <w:pPr>
        <w:pStyle w:val="17"/>
        <w:spacing w:line="403" w:lineRule="auto"/>
        <w:rPr>
          <w:rFonts w:hint="eastAsia" w:ascii="宋体" w:hAnsi="宋体" w:eastAsia="宋体" w:cs="宋体"/>
        </w:rPr>
      </w:pPr>
    </w:p>
    <w:p w14:paraId="76A07FDE">
      <w:pPr>
        <w:pStyle w:val="17"/>
        <w:spacing w:line="403" w:lineRule="auto"/>
        <w:rPr>
          <w:rFonts w:hint="eastAsia" w:ascii="宋体" w:hAnsi="宋体" w:eastAsia="宋体" w:cs="宋体"/>
        </w:rPr>
      </w:pPr>
    </w:p>
    <w:p w14:paraId="3D9F8939">
      <w:pPr>
        <w:pStyle w:val="17"/>
        <w:spacing w:line="403" w:lineRule="auto"/>
        <w:rPr>
          <w:rFonts w:hint="eastAsia" w:ascii="宋体" w:hAnsi="宋体" w:eastAsia="宋体" w:cs="宋体"/>
        </w:rPr>
      </w:pPr>
    </w:p>
    <w:p w14:paraId="735A0029">
      <w:pPr>
        <w:pStyle w:val="17"/>
        <w:spacing w:line="403" w:lineRule="auto"/>
        <w:rPr>
          <w:rFonts w:hint="eastAsia" w:ascii="宋体" w:hAnsi="宋体" w:eastAsia="宋体" w:cs="宋体"/>
        </w:rPr>
      </w:pPr>
    </w:p>
    <w:p w14:paraId="155DA4B2">
      <w:pPr>
        <w:pStyle w:val="17"/>
        <w:spacing w:line="403" w:lineRule="auto"/>
        <w:rPr>
          <w:rFonts w:hint="eastAsia" w:ascii="宋体" w:hAnsi="宋体" w:eastAsia="宋体" w:cs="宋体"/>
        </w:rPr>
      </w:pPr>
    </w:p>
    <w:p w14:paraId="100818A7">
      <w:pPr>
        <w:pStyle w:val="17"/>
        <w:spacing w:line="403" w:lineRule="auto"/>
        <w:rPr>
          <w:rFonts w:hint="eastAsia" w:ascii="宋体" w:hAnsi="宋体" w:eastAsia="宋体" w:cs="宋体"/>
        </w:rPr>
      </w:pPr>
    </w:p>
    <w:p w14:paraId="2A75EB2E">
      <w:pPr>
        <w:pStyle w:val="17"/>
        <w:spacing w:line="403" w:lineRule="auto"/>
        <w:rPr>
          <w:rFonts w:hint="eastAsia" w:ascii="宋体" w:hAnsi="宋体" w:eastAsia="宋体" w:cs="宋体"/>
        </w:rPr>
      </w:pPr>
    </w:p>
    <w:p w14:paraId="162DDA0A">
      <w:pPr>
        <w:pStyle w:val="17"/>
        <w:spacing w:line="403" w:lineRule="auto"/>
        <w:rPr>
          <w:rFonts w:hint="eastAsia" w:ascii="宋体" w:hAnsi="宋体" w:eastAsia="宋体" w:cs="宋体"/>
        </w:rPr>
      </w:pPr>
    </w:p>
    <w:p w14:paraId="1F6710A9">
      <w:pPr>
        <w:pStyle w:val="17"/>
        <w:spacing w:line="403" w:lineRule="auto"/>
        <w:rPr>
          <w:rFonts w:hint="eastAsia" w:ascii="宋体" w:hAnsi="宋体" w:eastAsia="宋体" w:cs="宋体"/>
        </w:rPr>
      </w:pPr>
    </w:p>
    <w:p w14:paraId="64D6E3A0">
      <w:pPr>
        <w:pStyle w:val="17"/>
        <w:spacing w:line="403" w:lineRule="auto"/>
        <w:rPr>
          <w:rFonts w:hint="eastAsia" w:ascii="宋体" w:hAnsi="宋体" w:eastAsia="宋体" w:cs="宋体"/>
        </w:rPr>
      </w:pPr>
    </w:p>
    <w:p w14:paraId="1167D33D">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15  最后报价一览表（实质性格式，磋商后提交）</w:t>
      </w:r>
    </w:p>
    <w:p w14:paraId="4EF1EF8F">
      <w:pPr>
        <w:widowControl/>
        <w:jc w:val="left"/>
        <w:rPr>
          <w:rFonts w:hint="eastAsia" w:ascii="宋体" w:hAnsi="宋体" w:eastAsia="宋体" w:cs="宋体"/>
          <w:kern w:val="0"/>
          <w:sz w:val="24"/>
          <w:szCs w:val="20"/>
        </w:rPr>
      </w:pPr>
    </w:p>
    <w:p w14:paraId="721C3811">
      <w:pPr>
        <w:spacing w:line="360" w:lineRule="exact"/>
        <w:ind w:firstLine="720"/>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最后报价一览表</w:t>
      </w:r>
    </w:p>
    <w:p w14:paraId="059765D3">
      <w:pPr>
        <w:tabs>
          <w:tab w:val="left" w:pos="1800"/>
          <w:tab w:val="left" w:pos="5580"/>
        </w:tabs>
        <w:spacing w:line="360" w:lineRule="auto"/>
        <w:jc w:val="left"/>
        <w:rPr>
          <w:rFonts w:hint="eastAsia" w:ascii="宋体" w:hAnsi="宋体" w:eastAsia="宋体" w:cs="宋体"/>
          <w:color w:val="000000"/>
          <w:sz w:val="24"/>
        </w:rPr>
      </w:pPr>
    </w:p>
    <w:p w14:paraId="7CBDEAED">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项目编号/包号：_______________     项目名称：_______________</w:t>
      </w:r>
    </w:p>
    <w:tbl>
      <w:tblPr>
        <w:tblStyle w:val="48"/>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34B2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47" w:type="pct"/>
            <w:vMerge w:val="restart"/>
            <w:vAlign w:val="center"/>
          </w:tcPr>
          <w:p w14:paraId="7E59C6DA">
            <w:pPr>
              <w:tabs>
                <w:tab w:val="left" w:pos="5580"/>
              </w:tabs>
              <w:jc w:val="center"/>
              <w:rPr>
                <w:rFonts w:hint="eastAsia" w:ascii="宋体" w:hAnsi="宋体" w:eastAsia="宋体" w:cs="宋体"/>
                <w:b/>
                <w:sz w:val="24"/>
              </w:rPr>
            </w:pPr>
            <w:r>
              <w:rPr>
                <w:rFonts w:hint="eastAsia" w:ascii="宋体" w:hAnsi="宋体" w:eastAsia="宋体" w:cs="宋体"/>
                <w:b/>
                <w:sz w:val="24"/>
              </w:rPr>
              <w:t>序号</w:t>
            </w:r>
          </w:p>
        </w:tc>
        <w:tc>
          <w:tcPr>
            <w:tcW w:w="1498" w:type="pct"/>
            <w:vMerge w:val="restart"/>
            <w:vAlign w:val="center"/>
          </w:tcPr>
          <w:p w14:paraId="4683AE32">
            <w:pPr>
              <w:tabs>
                <w:tab w:val="left" w:pos="5580"/>
              </w:tabs>
              <w:jc w:val="center"/>
              <w:rPr>
                <w:rFonts w:hint="eastAsia" w:ascii="宋体" w:hAnsi="宋体" w:eastAsia="宋体" w:cs="宋体"/>
                <w:b/>
                <w:sz w:val="24"/>
              </w:rPr>
            </w:pPr>
            <w:r>
              <w:rPr>
                <w:rFonts w:hint="eastAsia" w:ascii="宋体" w:hAnsi="宋体" w:eastAsia="宋体" w:cs="宋体"/>
                <w:b/>
                <w:sz w:val="24"/>
              </w:rPr>
              <w:t>供应商名称</w:t>
            </w:r>
          </w:p>
        </w:tc>
        <w:tc>
          <w:tcPr>
            <w:tcW w:w="2106" w:type="pct"/>
            <w:gridSpan w:val="2"/>
            <w:vAlign w:val="center"/>
          </w:tcPr>
          <w:p w14:paraId="1327193B">
            <w:pPr>
              <w:tabs>
                <w:tab w:val="left" w:pos="5580"/>
              </w:tabs>
              <w:jc w:val="center"/>
              <w:rPr>
                <w:rFonts w:hint="eastAsia" w:ascii="宋体" w:hAnsi="宋体" w:eastAsia="宋体" w:cs="宋体"/>
                <w:b/>
                <w:sz w:val="24"/>
              </w:rPr>
            </w:pPr>
            <w:r>
              <w:rPr>
                <w:rFonts w:hint="eastAsia" w:ascii="宋体" w:hAnsi="宋体" w:eastAsia="宋体" w:cs="宋体"/>
                <w:b/>
                <w:sz w:val="24"/>
              </w:rPr>
              <w:t>最后报价</w:t>
            </w:r>
          </w:p>
        </w:tc>
        <w:tc>
          <w:tcPr>
            <w:tcW w:w="949" w:type="pct"/>
            <w:vMerge w:val="restart"/>
            <w:vAlign w:val="center"/>
          </w:tcPr>
          <w:p w14:paraId="4C7ED3D6">
            <w:pPr>
              <w:tabs>
                <w:tab w:val="left" w:pos="5580"/>
              </w:tabs>
              <w:jc w:val="center"/>
              <w:rPr>
                <w:rFonts w:hint="eastAsia" w:ascii="宋体" w:hAnsi="宋体" w:eastAsia="宋体" w:cs="宋体"/>
                <w:b/>
                <w:sz w:val="24"/>
              </w:rPr>
            </w:pPr>
            <w:r>
              <w:rPr>
                <w:rFonts w:hint="eastAsia" w:ascii="宋体" w:hAnsi="宋体" w:eastAsia="宋体" w:cs="宋体"/>
                <w:b/>
                <w:sz w:val="24"/>
              </w:rPr>
              <w:t>其他</w:t>
            </w:r>
          </w:p>
          <w:p w14:paraId="65C4152E">
            <w:pPr>
              <w:tabs>
                <w:tab w:val="left" w:pos="5580"/>
              </w:tabs>
              <w:jc w:val="center"/>
              <w:rPr>
                <w:rFonts w:hint="eastAsia" w:ascii="宋体" w:hAnsi="宋体" w:eastAsia="宋体" w:cs="宋体"/>
                <w:b/>
                <w:sz w:val="24"/>
              </w:rPr>
            </w:pPr>
            <w:r>
              <w:rPr>
                <w:rFonts w:hint="eastAsia" w:ascii="宋体" w:hAnsi="宋体" w:eastAsia="宋体" w:cs="宋体"/>
                <w:b/>
                <w:sz w:val="24"/>
              </w:rPr>
              <w:t>声明</w:t>
            </w:r>
          </w:p>
        </w:tc>
      </w:tr>
      <w:tr w14:paraId="2678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3CA23135">
            <w:pPr>
              <w:tabs>
                <w:tab w:val="left" w:pos="5580"/>
              </w:tabs>
              <w:jc w:val="center"/>
              <w:rPr>
                <w:rFonts w:hint="eastAsia" w:ascii="宋体" w:hAnsi="宋体" w:eastAsia="宋体" w:cs="宋体"/>
                <w:sz w:val="24"/>
              </w:rPr>
            </w:pPr>
          </w:p>
        </w:tc>
        <w:tc>
          <w:tcPr>
            <w:tcW w:w="1498" w:type="pct"/>
            <w:vMerge w:val="continue"/>
            <w:vAlign w:val="center"/>
          </w:tcPr>
          <w:p w14:paraId="4DD5A589">
            <w:pPr>
              <w:tabs>
                <w:tab w:val="left" w:pos="5580"/>
              </w:tabs>
              <w:jc w:val="center"/>
              <w:rPr>
                <w:rFonts w:hint="eastAsia" w:ascii="宋体" w:hAnsi="宋体" w:eastAsia="宋体" w:cs="宋体"/>
                <w:sz w:val="24"/>
              </w:rPr>
            </w:pPr>
          </w:p>
        </w:tc>
        <w:tc>
          <w:tcPr>
            <w:tcW w:w="1114" w:type="pct"/>
            <w:vAlign w:val="center"/>
          </w:tcPr>
          <w:p w14:paraId="7A38C71E">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992" w:type="pct"/>
            <w:vAlign w:val="center"/>
          </w:tcPr>
          <w:p w14:paraId="1089AD66">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c>
          <w:tcPr>
            <w:tcW w:w="949" w:type="pct"/>
            <w:vMerge w:val="continue"/>
            <w:vAlign w:val="center"/>
          </w:tcPr>
          <w:p w14:paraId="1A5AF133">
            <w:pPr>
              <w:tabs>
                <w:tab w:val="left" w:pos="5580"/>
              </w:tabs>
              <w:ind w:firstLine="482"/>
              <w:jc w:val="center"/>
              <w:rPr>
                <w:rFonts w:hint="eastAsia" w:ascii="宋体" w:hAnsi="宋体" w:eastAsia="宋体" w:cs="宋体"/>
                <w:b/>
                <w:sz w:val="24"/>
              </w:rPr>
            </w:pPr>
          </w:p>
        </w:tc>
      </w:tr>
      <w:tr w14:paraId="2800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650A2E28">
            <w:pPr>
              <w:tabs>
                <w:tab w:val="left" w:pos="5580"/>
              </w:tabs>
              <w:jc w:val="center"/>
              <w:rPr>
                <w:rFonts w:hint="eastAsia" w:ascii="宋体" w:hAnsi="宋体" w:eastAsia="宋体" w:cs="宋体"/>
                <w:sz w:val="24"/>
              </w:rPr>
            </w:pPr>
          </w:p>
        </w:tc>
        <w:tc>
          <w:tcPr>
            <w:tcW w:w="1498" w:type="pct"/>
            <w:vAlign w:val="center"/>
          </w:tcPr>
          <w:p w14:paraId="4964C2A0">
            <w:pPr>
              <w:tabs>
                <w:tab w:val="left" w:pos="5580"/>
              </w:tabs>
              <w:jc w:val="center"/>
              <w:rPr>
                <w:rFonts w:hint="eastAsia" w:ascii="宋体" w:hAnsi="宋体" w:eastAsia="宋体" w:cs="宋体"/>
                <w:sz w:val="24"/>
              </w:rPr>
            </w:pPr>
          </w:p>
        </w:tc>
        <w:tc>
          <w:tcPr>
            <w:tcW w:w="1114" w:type="pct"/>
            <w:vAlign w:val="center"/>
          </w:tcPr>
          <w:p w14:paraId="6361A34C">
            <w:pPr>
              <w:tabs>
                <w:tab w:val="left" w:pos="5580"/>
              </w:tabs>
              <w:jc w:val="center"/>
              <w:rPr>
                <w:rFonts w:hint="eastAsia" w:ascii="宋体" w:hAnsi="宋体" w:eastAsia="宋体" w:cs="宋体"/>
                <w:sz w:val="24"/>
              </w:rPr>
            </w:pPr>
          </w:p>
        </w:tc>
        <w:tc>
          <w:tcPr>
            <w:tcW w:w="992" w:type="pct"/>
            <w:vAlign w:val="center"/>
          </w:tcPr>
          <w:p w14:paraId="2271C603">
            <w:pPr>
              <w:tabs>
                <w:tab w:val="left" w:pos="5580"/>
              </w:tabs>
              <w:jc w:val="center"/>
              <w:rPr>
                <w:rFonts w:hint="eastAsia" w:ascii="宋体" w:hAnsi="宋体" w:eastAsia="宋体" w:cs="宋体"/>
                <w:sz w:val="24"/>
              </w:rPr>
            </w:pPr>
          </w:p>
        </w:tc>
        <w:tc>
          <w:tcPr>
            <w:tcW w:w="949" w:type="pct"/>
            <w:vAlign w:val="center"/>
          </w:tcPr>
          <w:p w14:paraId="6FB93348">
            <w:pPr>
              <w:tabs>
                <w:tab w:val="left" w:pos="5580"/>
              </w:tabs>
              <w:jc w:val="center"/>
              <w:rPr>
                <w:rFonts w:hint="eastAsia" w:ascii="宋体" w:hAnsi="宋体" w:eastAsia="宋体" w:cs="宋体"/>
                <w:sz w:val="24"/>
              </w:rPr>
            </w:pPr>
          </w:p>
        </w:tc>
      </w:tr>
    </w:tbl>
    <w:p w14:paraId="463BE1AB">
      <w:pPr>
        <w:autoSpaceDE w:val="0"/>
        <w:autoSpaceDN w:val="0"/>
        <w:adjustRightInd w:val="0"/>
        <w:jc w:val="left"/>
        <w:rPr>
          <w:rFonts w:hint="eastAsia" w:ascii="宋体" w:hAnsi="宋体" w:eastAsia="宋体" w:cs="宋体"/>
          <w:color w:val="000000"/>
          <w:kern w:val="0"/>
          <w:sz w:val="24"/>
        </w:rPr>
      </w:pPr>
    </w:p>
    <w:p w14:paraId="28D7F10E">
      <w:pPr>
        <w:autoSpaceDE w:val="0"/>
        <w:autoSpaceDN w:val="0"/>
        <w:adjustRightInd w:val="0"/>
        <w:jc w:val="left"/>
        <w:rPr>
          <w:rFonts w:hint="eastAsia" w:ascii="宋体" w:hAnsi="宋体" w:eastAsia="宋体" w:cs="宋体"/>
          <w:color w:val="000000"/>
          <w:kern w:val="0"/>
          <w:sz w:val="24"/>
        </w:rPr>
      </w:pPr>
    </w:p>
    <w:p w14:paraId="6C8D8AF3">
      <w:pPr>
        <w:autoSpaceDE w:val="0"/>
        <w:autoSpaceDN w:val="0"/>
        <w:adjustRightInd w:val="0"/>
        <w:jc w:val="left"/>
        <w:rPr>
          <w:rFonts w:hint="eastAsia" w:ascii="宋体" w:hAnsi="宋体" w:eastAsia="宋体" w:cs="宋体"/>
          <w:color w:val="000000"/>
          <w:kern w:val="0"/>
          <w:sz w:val="24"/>
        </w:rPr>
      </w:pPr>
    </w:p>
    <w:p w14:paraId="3BCD190F">
      <w:pPr>
        <w:autoSpaceDE w:val="0"/>
        <w:autoSpaceDN w:val="0"/>
        <w:adjustRightInd w:val="0"/>
        <w:jc w:val="left"/>
        <w:rPr>
          <w:rFonts w:hint="eastAsia" w:ascii="宋体" w:hAnsi="宋体" w:eastAsia="宋体" w:cs="宋体"/>
          <w:color w:val="000000"/>
          <w:kern w:val="0"/>
          <w:sz w:val="24"/>
        </w:rPr>
      </w:pPr>
    </w:p>
    <w:p w14:paraId="1B27F59D">
      <w:pPr>
        <w:autoSpaceDE w:val="0"/>
        <w:autoSpaceDN w:val="0"/>
        <w:adjustRightInd w:val="0"/>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.此表中，每包的最后报价应和《最后分项报价表》中的总价相一致。</w:t>
      </w:r>
    </w:p>
    <w:p w14:paraId="4962882E">
      <w:pPr>
        <w:tabs>
          <w:tab w:val="left" w:pos="5580"/>
        </w:tabs>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67AD08A3">
      <w:pPr>
        <w:pStyle w:val="209"/>
        <w:ind w:left="642" w:leftChars="227" w:hanging="165" w:hangingChars="69"/>
        <w:rPr>
          <w:rFonts w:hint="eastAsia" w:ascii="宋体" w:hAnsi="宋体" w:eastAsia="宋体" w:cs="宋体"/>
          <w:sz w:val="24"/>
          <w:szCs w:val="24"/>
        </w:rPr>
      </w:pPr>
      <w:r>
        <w:rPr>
          <w:rFonts w:hint="eastAsia" w:ascii="宋体" w:hAnsi="宋体" w:eastAsia="宋体" w:cs="宋体"/>
          <w:sz w:val="24"/>
          <w:szCs w:val="24"/>
        </w:rPr>
        <w:t>3.此表无需在响应文件中提交，磋商后供应商按磋商小组要求提交。</w:t>
      </w:r>
    </w:p>
    <w:p w14:paraId="14E6C0C1">
      <w:pPr>
        <w:tabs>
          <w:tab w:val="left" w:pos="5580"/>
        </w:tabs>
        <w:ind w:firstLine="480" w:firstLineChars="200"/>
        <w:rPr>
          <w:rFonts w:hint="eastAsia" w:ascii="宋体" w:hAnsi="宋体" w:eastAsia="宋体" w:cs="宋体"/>
          <w:color w:val="000000"/>
          <w:sz w:val="24"/>
          <w:szCs w:val="20"/>
        </w:rPr>
      </w:pPr>
    </w:p>
    <w:p w14:paraId="7F51FEE7">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4A3F4E66">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2ACEE39A">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供应商授权代表签字（或加盖供应商公章）</w:t>
      </w:r>
      <w:r>
        <w:rPr>
          <w:rFonts w:hint="eastAsia" w:ascii="宋体" w:hAnsi="宋体" w:eastAsia="宋体" w:cs="宋体"/>
          <w:color w:val="000000"/>
          <w:sz w:val="24"/>
          <w:lang w:val="zh-CN"/>
        </w:rPr>
        <w:t xml:space="preserve">：___________ </w:t>
      </w:r>
    </w:p>
    <w:p w14:paraId="54F81723">
      <w:pPr>
        <w:widowControl/>
        <w:jc w:val="left"/>
        <w:rPr>
          <w:rFonts w:hint="eastAsia" w:ascii="宋体" w:hAnsi="宋体" w:eastAsia="宋体" w:cs="宋体"/>
        </w:rPr>
      </w:pPr>
      <w:r>
        <w:rPr>
          <w:rFonts w:hint="eastAsia" w:ascii="宋体" w:hAnsi="宋体" w:eastAsia="宋体" w:cs="宋体"/>
          <w:color w:val="000000"/>
          <w:sz w:val="24"/>
          <w:szCs w:val="20"/>
        </w:rPr>
        <w:t xml:space="preserve">日期：____年____月____日  </w:t>
      </w:r>
      <w:bookmarkEnd w:id="1678"/>
      <w:bookmarkEnd w:id="1679"/>
    </w:p>
    <w:sectPr>
      <w:headerReference r:id="rId39" w:type="default"/>
      <w:footerReference r:id="rId40" w:type="default"/>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Microsoft YaHei UI">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0F001">
    <w:pPr>
      <w:pStyle w:val="28"/>
      <w:jc w:val="center"/>
      <w:rPr>
        <w:rFonts w:ascii="Times New Roman"/>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B64D8">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6B64D8">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532F7">
    <w:pPr>
      <w:pStyle w:val="28"/>
      <w:jc w:val="center"/>
    </w:pPr>
    <w:r>
      <w:rPr>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20955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209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85558670"/>
                          </w:sdtPr>
                          <w:sdtContent>
                            <w:p w14:paraId="1C73F3DF">
                              <w:pPr>
                                <w:pStyle w:val="28"/>
                                <w:jc w:val="center"/>
                              </w:pPr>
                              <w:r>
                                <w:fldChar w:fldCharType="begin"/>
                              </w:r>
                              <w:r>
                                <w:instrText xml:space="preserve">PAGE   \* MERGEFORMAT</w:instrText>
                              </w:r>
                              <w:r>
                                <w:fldChar w:fldCharType="separate"/>
                              </w:r>
                              <w:r>
                                <w:rPr>
                                  <w:lang w:val="zh-CN"/>
                                </w:rPr>
                                <w:t>146</w:t>
                              </w:r>
                              <w:r>
                                <w:fldChar w:fldCharType="end"/>
                              </w:r>
                            </w:p>
                          </w:sdtContent>
                        </w:sdt>
                        <w:p w14:paraId="275F63B1">
                          <w:pPr>
                            <w:pStyle w:val="17"/>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6.5pt;mso-position-horizontal:center;mso-position-horizontal-relative:margin;z-index:251668480;mso-width-relative:page;mso-height-relative:page;" filled="f" stroked="f" coordsize="21600,21600" o:gfxdata="UEsDBAoAAAAAAIdO4kAAAAAAAAAAAAAAAAAEAAAAZHJzL1BLAwQUAAAACACHTuJApQ+9SNUAAAAI&#10;AQAADwAAAGRycy9kb3ducmV2LnhtbE2PsU7EMBBEeyT+wVokOs5OFKEoxLkCwRVQkUOIci/exIHY&#10;jmJf7uDrWSooRzM7+6bent0kVlriGLyGbKNAkO+CGf2g4XX/eFOCiAm9wSl40vBFEbbN5UWNlQkn&#10;/0JrmwbBJT5WqMGmNFdSxs6Sw7gJM3n2+rA4TCyXQZoFT1zuJpkrdSsdjp4/WJzp3lL32R4dY7w9&#10;K7f77u27e8I+tna/7h4+tL6+ytQdiETn9BeGX3y+gYaZDuHoTRSThiLLco5q4EVsF0XB8qAhL0sF&#10;sqnl/wHND1BLAwQUAAAACACHTuJAD6i//jECAABYBAAADgAAAGRycy9lMm9Eb2MueG1srVRLjhMx&#10;EN0jcQfLe9KdoBmFKJ1RmCgIKWJGCoi143anW/IP20l3OADcgBUb9pwr5+C5PxkYWMyCjVNdVX5V&#10;71U585tGSXIUzldGZ3Q8SikRmpu80vuMfni/fjGlxAemcyaNFhk9CU9vFs+fzWs7ExNTGpkLRwCi&#10;/ay2GS1DsLMk8bwUivmRsUIjWBinWMCn2ye5YzXQlUwmaXqd1Mbl1hkuvId31QVpj+ieAmiKouJi&#10;ZfhBCR06VCckC6Dky8p6umi7LQrBw11ReBGIzCiYhvZEEdi7eCaLOZvtHbNlxfsW2FNaeMRJsUqj&#10;6AVqxQIjB1f9BaUq7ow3RRhxo5KOSKsIWIzTR9psS2ZFywVSe3sR3f8/WP7ueO9IlWMTMHfNFCZ+&#10;/vb1/P3n+ccXAh8Eqq2fIW9rkRma16ZB8uD3cEbeTeFU/AUjgjjkPV3kFU0gHM5J+urqChGO0Hg6&#10;mU7TVv/k4bZ1PrwRRpFoZNRhfK2q7LjxAZ0gdUiJxbRZV1K2I5Sa1Bm9fgn8PyK4ITUuRg5dr9EK&#10;za7pie1MfgIvZ7rV8JavKxTfMB/umcMuoGG8lnCHo5AGRUxvUVIa9/lf/piPESFKSY3dyqj/dGBO&#10;UCLfagwPkGEw3GDsBkMf1K3Buo7xDi1vTVxwQQ5m4Yz6iEe0jFUQYpqjVkbDYN6GbsPxCLlYLtsk&#10;rJtlYaO3lkfoKJK3y0OAhK2yUZZOi14tLFwreP844kb//t1mPfwhL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Q+9SNUAAAAIAQAADwAAAAAAAAABACAAAAAiAAAAZHJzL2Rvd25yZXYueG1sUEsB&#10;AhQAFAAAAAgAh07iQA+ov/4xAgAAWAQAAA4AAAAAAAAAAQAgAAAAJAEAAGRycy9lMm9Eb2MueG1s&#10;UEsFBgAAAAAGAAYAWQEAAMcFAAAAAA==&#10;">
              <v:fill on="f" focussize="0,0"/>
              <v:stroke on="f" weight="0.5pt"/>
              <v:imagedata o:title=""/>
              <o:lock v:ext="edit" aspectratio="f"/>
              <v:textbox inset="0mm,0mm,0mm,0mm" style="mso-fit-shape-to-text:t;">
                <w:txbxContent>
                  <w:sdt>
                    <w:sdtPr>
                      <w:id w:val="-485558670"/>
                    </w:sdtPr>
                    <w:sdtContent>
                      <w:p w14:paraId="1C73F3DF">
                        <w:pPr>
                          <w:pStyle w:val="28"/>
                          <w:jc w:val="center"/>
                        </w:pPr>
                        <w:r>
                          <w:fldChar w:fldCharType="begin"/>
                        </w:r>
                        <w:r>
                          <w:instrText xml:space="preserve">PAGE   \* MERGEFORMAT</w:instrText>
                        </w:r>
                        <w:r>
                          <w:fldChar w:fldCharType="separate"/>
                        </w:r>
                        <w:r>
                          <w:rPr>
                            <w:lang w:val="zh-CN"/>
                          </w:rPr>
                          <w:t>146</w:t>
                        </w:r>
                        <w:r>
                          <w:fldChar w:fldCharType="end"/>
                        </w:r>
                      </w:p>
                    </w:sdtContent>
                  </w:sdt>
                  <w:p w14:paraId="275F63B1">
                    <w:pPr>
                      <w:pStyle w:val="17"/>
                    </w:pPr>
                  </w:p>
                </w:txbxContent>
              </v:textbox>
            </v:shape>
          </w:pict>
        </mc:Fallback>
      </mc:AlternateContent>
    </w:r>
  </w:p>
  <w:p w14:paraId="4D911428">
    <w:pPr>
      <w:spacing w:after="160" w:line="259" w:lineRule="auto"/>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8656416"/>
    </w:sdtPr>
    <w:sdtContent>
      <w:p w14:paraId="1471C881">
        <w:pPr>
          <w:pStyle w:val="28"/>
          <w:jc w:val="center"/>
        </w:pPr>
        <w:r>
          <w:fldChar w:fldCharType="begin"/>
        </w:r>
        <w:r>
          <w:instrText xml:space="preserve">PAGE   \* MERGEFORMAT</w:instrText>
        </w:r>
        <w:r>
          <w:fldChar w:fldCharType="separate"/>
        </w:r>
        <w:r>
          <w:rPr>
            <w:lang w:val="zh-CN"/>
          </w:rPr>
          <w:t>126</w:t>
        </w:r>
        <w:r>
          <w:fldChar w:fldCharType="end"/>
        </w:r>
      </w:p>
    </w:sdtContent>
  </w:sdt>
  <w:p w14:paraId="6C25C1B8">
    <w:pPr>
      <w:spacing w:after="160" w:line="259" w:lineRule="auto"/>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490E3">
    <w:pPr>
      <w:spacing w:after="160" w:line="259" w:lineRule="auto"/>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C5D61">
    <w:pPr>
      <w:pStyle w:val="17"/>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34293D">
                          <w:pPr>
                            <w:pStyle w:val="28"/>
                          </w:pPr>
                          <w:r>
                            <w:fldChar w:fldCharType="begin"/>
                          </w:r>
                          <w:r>
                            <w:instrText xml:space="preserve"> PAGE  \* MERGEFORMAT </w:instrText>
                          </w:r>
                          <w:r>
                            <w:fldChar w:fldCharType="separate"/>
                          </w:r>
                          <w:r>
                            <w:t>151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e1Juc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FtQ5coieMWJ37++eP868/593eC&#10;PhSoD1Bj3l3AzDR88AOuzewHdGbeg4o2f5ERwThinS7yyiERkR+tlqtVhSGBsfmC+OzpeYiQPkpv&#10;STYaGnF+RVZ+/AxpTJ1TcjXnb7UxZYbG/eVAzOxhufexx2ylYTdMhHa+PSGfHkffUIebTon55FBZ&#10;7C/NRpyN3WTkGhDeHxIWLv1k1BFqKoZzKoymncqL8Pxesp7+o80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ntSbnCAQAAjwMAAA4AAAAAAAAAAQAgAAAAHgEAAGRycy9lMm9Eb2MueG1sUEsF&#10;BgAAAAAGAAYAWQEAAFIFAAAAAA==&#10;">
              <v:fill on="f" focussize="0,0"/>
              <v:stroke on="f"/>
              <v:imagedata o:title=""/>
              <o:lock v:ext="edit" aspectratio="f"/>
              <v:textbox inset="0mm,0mm,0mm,0mm" style="mso-fit-shape-to-text:t;">
                <w:txbxContent>
                  <w:p w14:paraId="0034293D">
                    <w:pPr>
                      <w:pStyle w:val="28"/>
                    </w:pPr>
                    <w:r>
                      <w:fldChar w:fldCharType="begin"/>
                    </w:r>
                    <w:r>
                      <w:instrText xml:space="preserve"> PAGE  \* MERGEFORMAT </w:instrText>
                    </w:r>
                    <w:r>
                      <w:fldChar w:fldCharType="separate"/>
                    </w:r>
                    <w:r>
                      <w:t>151</w:t>
                    </w:r>
                    <w:r>
                      <w:fldChar w:fldCharType="end"/>
                    </w:r>
                  </w:p>
                </w:txbxContent>
              </v:textbox>
            </v:shape>
          </w:pict>
        </mc:Fallback>
      </mc:AlternateContent>
    </w:r>
  </w:p>
  <w:p w14:paraId="50C9BB0A"/>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D5D4">
    <w:pPr>
      <w:pStyle w:val="28"/>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2A29A618">
    <w:pPr>
      <w:pStyle w:val="28"/>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15888">
    <w:pPr>
      <w:pStyle w:val="28"/>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8B2AF">
    <w:pPr>
      <w:pStyle w:val="28"/>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6B929F82">
    <w:pPr>
      <w:pStyle w:val="28"/>
      <w:ind w:right="360"/>
    </w:pPr>
  </w:p>
  <w:p w14:paraId="74094971"/>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E9AF8">
    <w:pPr>
      <w:pStyle w:val="28"/>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E998D">
    <w:pPr>
      <w:pStyle w:val="28"/>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472B899F">
    <w:pPr>
      <w:pStyle w:val="28"/>
      <w:ind w:right="360"/>
    </w:pPr>
  </w:p>
  <w:p w14:paraId="2D6B7366"/>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0AC11">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67B9D">
    <w:pPr>
      <w:pStyle w:val="28"/>
      <w:framePr w:wrap="around" w:vAnchor="text" w:hAnchor="margin" w:xAlign="center" w:y="1"/>
      <w:rPr>
        <w:rStyle w:val="53"/>
      </w:rPr>
    </w:pPr>
    <w:r>
      <w:fldChar w:fldCharType="begin"/>
    </w:r>
    <w:r>
      <w:rPr>
        <w:rStyle w:val="53"/>
      </w:rPr>
      <w:instrText xml:space="preserve">PAGE  </w:instrText>
    </w:r>
    <w:r>
      <w:fldChar w:fldCharType="end"/>
    </w:r>
  </w:p>
  <w:p w14:paraId="7A3618B2">
    <w:pPr>
      <w:pStyle w:val="28"/>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030C3">
    <w:pPr>
      <w:spacing w:line="229" w:lineRule="auto"/>
      <w:ind w:left="4534"/>
      <w:rPr>
        <w:rFonts w:ascii="宋体" w:hAnsi="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4AD9E4">
                          <w:pPr>
                            <w:pStyle w:val="28"/>
                          </w:pPr>
                          <w:r>
                            <w:fldChar w:fldCharType="begin"/>
                          </w:r>
                          <w:r>
                            <w:instrText xml:space="preserve"> PAGE  \* MERGEFORMAT </w:instrText>
                          </w:r>
                          <w:r>
                            <w:fldChar w:fldCharType="separate"/>
                          </w:r>
                          <w:r>
                            <w:t>156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5M2qMM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pORa0B4d0hYuPSTUUeoqRjOqTCadiovwp/3kvX0H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bkzaowwEAAI8DAAAOAAAAAAAAAAEAIAAAAB4BAABkcnMvZTJvRG9jLnhtbFBL&#10;BQYAAAAABgAGAFkBAABTBQAAAAA=&#10;">
              <v:fill on="f" focussize="0,0"/>
              <v:stroke on="f"/>
              <v:imagedata o:title=""/>
              <o:lock v:ext="edit" aspectratio="f"/>
              <v:textbox inset="0mm,0mm,0mm,0mm" style="mso-fit-shape-to-text:t;">
                <w:txbxContent>
                  <w:p w14:paraId="6F4AD9E4">
                    <w:pPr>
                      <w:pStyle w:val="28"/>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0D849">
    <w:pPr>
      <w:spacing w:line="229" w:lineRule="auto"/>
      <w:ind w:left="4450"/>
      <w:rPr>
        <w:rFonts w:ascii="宋体" w:hAnsi="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AEC301">
                          <w:pPr>
                            <w:pStyle w:val="28"/>
                          </w:pPr>
                          <w:r>
                            <w:fldChar w:fldCharType="begin"/>
                          </w:r>
                          <w:r>
                            <w:instrText xml:space="preserve"> PAGE  \* MERGEFORMAT </w:instrText>
                          </w:r>
                          <w:r>
                            <w:fldChar w:fldCharType="separate"/>
                          </w:r>
                          <w:r>
                            <w:t>159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SNzGcMBAACP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KXHc4sTPP3+cfz2eH74T&#10;9KFAfYAa8+4CZqbhvR9wbWY/oDPzHlS0+YuMCMZR3tNFXjkkIvKj1XK1qjAkMDZfEJ89PQ8R0gfp&#10;LclGQyPOr8jKj58gjalzSq7m/K02pszQuL8ciJk9LPc+9pitNOyGidDOtyfk0+PoG+pw0ykxHx0q&#10;m7dkNuJs7CYj14Dw7pCwcOkno45QUzGcU2E07VRehD/vJevpP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pI3MZwwEAAI8DAAAOAAAAAAAAAAEAIAAAAB4BAABkcnMvZTJvRG9jLnhtbFBL&#10;BQYAAAAABgAGAFkBAABTBQAAAAA=&#10;">
              <v:fill on="f" focussize="0,0"/>
              <v:stroke on="f"/>
              <v:imagedata o:title=""/>
              <o:lock v:ext="edit" aspectratio="f"/>
              <v:textbox inset="0mm,0mm,0mm,0mm" style="mso-fit-shape-to-text:t;">
                <w:txbxContent>
                  <w:p w14:paraId="6EAEC301">
                    <w:pPr>
                      <w:pStyle w:val="28"/>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30FAA">
    <w:pPr>
      <w:pStyle w:val="28"/>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065D3">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3065D3">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5EB07">
    <w:pPr>
      <w:pStyle w:val="28"/>
      <w:jc w:val="center"/>
      <w:rPr>
        <w:rFonts w:ascii="Times New Roma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157"/>
                          </w:sdtPr>
                          <w:sdtEndPr>
                            <w:rPr>
                              <w:rFonts w:ascii="Times New Roman"/>
                            </w:rPr>
                          </w:sdtEndPr>
                          <w:sdtContent>
                            <w:p w14:paraId="524E6BFC">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p w14:paraId="367EB6D3">
                          <w:pPr>
                            <w:rPr>
                              <w:rFonts w:ascii="Times New Roma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78157"/>
                    </w:sdtPr>
                    <w:sdtEndPr>
                      <w:rPr>
                        <w:rFonts w:ascii="Times New Roman"/>
                      </w:rPr>
                    </w:sdtEndPr>
                    <w:sdtContent>
                      <w:p w14:paraId="524E6BFC">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p w14:paraId="367EB6D3">
                    <w:pPr>
                      <w:rPr>
                        <w:rFonts w:ascii="Times New Roma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027F4">
    <w:pPr>
      <w:pStyle w:val="28"/>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511"/>
                          </w:sdtPr>
                          <w:sdtContent>
                            <w:p w14:paraId="7874C204">
                              <w:pPr>
                                <w:pStyle w:val="28"/>
                                <w:jc w:val="center"/>
                              </w:pPr>
                              <w:r>
                                <w:fldChar w:fldCharType="begin"/>
                              </w:r>
                              <w:r>
                                <w:instrText xml:space="preserve">PAGE   \* MERGEFORMAT</w:instrText>
                              </w:r>
                              <w:r>
                                <w:fldChar w:fldCharType="separate"/>
                              </w:r>
                              <w:r>
                                <w:rPr>
                                  <w:lang w:val="zh-CN"/>
                                </w:rPr>
                                <w:t>1</w:t>
                              </w:r>
                              <w:r>
                                <w:fldChar w:fldCharType="end"/>
                              </w:r>
                            </w:p>
                          </w:sdtContent>
                        </w:sdt>
                        <w:p w14:paraId="3D3C3DE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79511"/>
                    </w:sdtPr>
                    <w:sdtContent>
                      <w:p w14:paraId="7874C204">
                        <w:pPr>
                          <w:pStyle w:val="28"/>
                          <w:jc w:val="center"/>
                        </w:pPr>
                        <w:r>
                          <w:fldChar w:fldCharType="begin"/>
                        </w:r>
                        <w:r>
                          <w:instrText xml:space="preserve">PAGE   \* MERGEFORMAT</w:instrText>
                        </w:r>
                        <w:r>
                          <w:fldChar w:fldCharType="separate"/>
                        </w:r>
                        <w:r>
                          <w:rPr>
                            <w:lang w:val="zh-CN"/>
                          </w:rPr>
                          <w:t>1</w:t>
                        </w:r>
                        <w:r>
                          <w:fldChar w:fldCharType="end"/>
                        </w:r>
                      </w:p>
                    </w:sdtContent>
                  </w:sdt>
                  <w:p w14:paraId="3D3C3DE2"/>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1B98">
    <w:pPr>
      <w:spacing w:line="229" w:lineRule="auto"/>
      <w:rPr>
        <w:rFonts w:ascii="宋体" w:hAnsi="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7B62D">
                          <w:pPr>
                            <w:pStyle w:val="2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6E7B62D">
                    <w:pPr>
                      <w:pStyle w:val="2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937AC">
    <w:pPr>
      <w:pStyle w:val="17"/>
      <w:spacing w:line="14" w:lineRule="auto"/>
      <w:rPr>
        <w:sz w:val="2"/>
      </w:rPr>
    </w:pPr>
    <w:r>
      <w:rPr>
        <w:sz w:val="2"/>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B01B0">
                          <w:pPr>
                            <w:pStyle w:val="2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79B01B0">
                    <w:pPr>
                      <w:pStyle w:val="2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F880A">
    <w:pPr>
      <w:pStyle w:val="17"/>
      <w:spacing w:line="14" w:lineRule="auto"/>
      <w:rPr>
        <w:sz w:val="2"/>
      </w:rPr>
    </w:pPr>
    <w:r>
      <w:rPr>
        <w:sz w:val="2"/>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8738A">
                          <w:pPr>
                            <w:pStyle w:val="2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BD8738A">
                    <w:pPr>
                      <w:pStyle w:val="2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8575C">
    <w:pPr>
      <w:spacing w:after="0" w:line="200" w:lineRule="exact"/>
      <w:rPr>
        <w:sz w:val="20"/>
        <w:szCs w:val="20"/>
      </w:rPr>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75895" cy="139700"/>
              <wp:effectExtent l="0" t="0" r="0" b="0"/>
              <wp:wrapNone/>
              <wp:docPr id="19" name="Text Box 19"/>
              <wp:cNvGraphicFramePr/>
              <a:graphic xmlns:a="http://schemas.openxmlformats.org/drawingml/2006/main">
                <a:graphicData uri="http://schemas.microsoft.com/office/word/2010/wordprocessingShape">
                  <wps:wsp>
                    <wps:cNvSpPr txBox="1">
                      <a:spLocks noChangeArrowheads="1"/>
                    </wps:cNvSpPr>
                    <wps:spPr bwMode="auto">
                      <a:xfrm>
                        <a:off x="0" y="0"/>
                        <a:ext cx="175895" cy="139700"/>
                      </a:xfrm>
                      <a:prstGeom prst="rect">
                        <a:avLst/>
                      </a:prstGeom>
                      <a:noFill/>
                      <a:ln>
                        <a:noFill/>
                      </a:ln>
                    </wps:spPr>
                    <wps:txbx>
                      <w:txbxContent>
                        <w:p w14:paraId="3707398F">
                          <w:pPr>
                            <w:spacing w:after="0" w:line="206" w:lineRule="exact"/>
                            <w:ind w:left="40" w:right="-20"/>
                            <w:rPr>
                              <w:rFonts w:ascii="Tahoma" w:hAnsi="Tahoma" w:eastAsia="Tahoma" w:cs="Tahoma"/>
                              <w:sz w:val="18"/>
                              <w:szCs w:val="18"/>
                            </w:rPr>
                          </w:pPr>
                          <w:r>
                            <w:fldChar w:fldCharType="begin"/>
                          </w:r>
                          <w:r>
                            <w:rPr>
                              <w:rFonts w:ascii="Tahoma" w:hAnsi="Tahoma" w:eastAsia="Tahoma" w:cs="Tahoma"/>
                              <w:sz w:val="18"/>
                              <w:szCs w:val="18"/>
                            </w:rPr>
                            <w:instrText xml:space="preserve"> PAGE </w:instrText>
                          </w:r>
                          <w:r>
                            <w:fldChar w:fldCharType="separate"/>
                          </w:r>
                          <w:r>
                            <w:rPr>
                              <w:rFonts w:ascii="Tahoma" w:hAnsi="Tahoma" w:eastAsia="Tahoma" w:cs="Tahoma"/>
                              <w:sz w:val="18"/>
                              <w:szCs w:val="18"/>
                            </w:rPr>
                            <w:t>41</w:t>
                          </w:r>
                          <w:r>
                            <w:fldChar w:fldCharType="end"/>
                          </w:r>
                        </w:p>
                      </w:txbxContent>
                    </wps:txbx>
                    <wps:bodyPr rot="0" vert="horz" wrap="square" lIns="0" tIns="0" rIns="0" bIns="0" anchor="t" anchorCtr="0" upright="1">
                      <a:noAutofit/>
                    </wps:bodyPr>
                  </wps:wsp>
                </a:graphicData>
              </a:graphic>
            </wp:anchor>
          </w:drawing>
        </mc:Choice>
        <mc:Fallback>
          <w:pict>
            <v:shape id="Text Box 19" o:spid="_x0000_s1026" o:spt="202" type="#_x0000_t202" style="position:absolute;left:0pt;margin-top:0pt;height:11pt;width:13.85pt;mso-position-horizontal:center;mso-position-horizontal-relative:margin;z-index:251665408;mso-width-relative:page;mso-height-relative:page;" filled="f" stroked="f" coordsize="21600,21600" o:gfxdata="UEsDBAoAAAAAAIdO4kAAAAAAAAAAAAAAAAAEAAAAZHJzL1BLAwQUAAAACACHTuJAPl/LCNMAAAAD&#10;AQAADwAAAGRycy9kb3ducmV2LnhtbE2PzU7DMBCE70i8g7VIvVG7ObQQ4lSoglMlRBoOHJ14m1iN&#10;12ns/vD2LFzgsqPVrGa+LdZXP4gzTtEF0rCYKxBIbbCOOg0f9ev9A4iYDFkzBEINXxhhXd7eFCa3&#10;4UIVnnepExxCMTca+pTGXMrY9uhNnIcRib19mLxJvE6dtJO5cLgfZKbUUnrjiBt6M+Kmx/awO3kN&#10;z59UvbjjW/Ne7StX14+KtsuD1rO7hXoCkfCa/o7hB5/RoWSmJpzIRjFo4EfS72QvW61ANKyZAlkW&#10;8j97+Q1QSwMEFAAAAAgAh07iQErt3o79AQAABQQAAA4AAABkcnMvZTJvRG9jLnhtbK1TwW7bMAy9&#10;D9g/CLovTjp0bYw4Rdegw4BuHdDuAxhZjoVZokYpsbOvHyUnWddeeujFoCnq8b1HanE12E7sNAWD&#10;rpKzyVQK7RTWxm0q+fPx9sOlFCGCq6FDpyu510FeLd+/W/S+1GfYYldrEgziQtn7SrYx+rIogmq1&#10;hTBBrx0fNkgWIv/SpqgJeka3XXE2nX4qeqTaEyodAmdX46E8INJrALFpjNIrVFurXRxRSXcQWVJo&#10;jQ9ymdk2jVbxvmmCjqKrJCuN+ctNOF6nb7FcQLkh8K1RBwrwGgrPNFkwjpueoFYQQWzJvICyRhEG&#10;bOJEoS1GIdkRVjGbPvPmoQWvsxa2OviT6eHtYNX33Q8SpuZNmEvhwPLEH/UQxWccBKfYn96Hksse&#10;PBfGgfNcm7UGf4fqVxAOb1pwG31NhH2roWZ+s3SzeHJ1xAkJZN1/w5r7wDZiBhoassk8tkMwOs9m&#10;f5pN4qJSy4vzy/m5FIqPZh/nF9M8uwLK42VPIX7RaEUKKkk8+gwOu7sQExkojyWpl8Nb03V5/J37&#10;L8GFKZPJJ74j8zish4MZa6z3LINw3CZ+Sxy0SH+k6HmTKhl+b4G0FN1Xx1aktTsGdAzWxwCc4quV&#10;jFKM4U0c13PryWxaRh7NdnjNdjUmS0m+jiwOPHk7ssLDJqf1e/qfq/693u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l/LCNMAAAADAQAADwAAAAAAAAABACAAAAAiAAAAZHJzL2Rvd25yZXYueG1s&#10;UEsBAhQAFAAAAAgAh07iQErt3o79AQAABQQAAA4AAAAAAAAAAQAgAAAAIgEAAGRycy9lMm9Eb2Mu&#10;eG1sUEsFBgAAAAAGAAYAWQEAAJEFAAAAAA==&#10;">
              <v:fill on="f" focussize="0,0"/>
              <v:stroke on="f"/>
              <v:imagedata o:title=""/>
              <o:lock v:ext="edit" aspectratio="f"/>
              <v:textbox inset="0mm,0mm,0mm,0mm">
                <w:txbxContent>
                  <w:p w14:paraId="3707398F">
                    <w:pPr>
                      <w:spacing w:after="0" w:line="206" w:lineRule="exact"/>
                      <w:ind w:left="40" w:right="-20"/>
                      <w:rPr>
                        <w:rFonts w:ascii="Tahoma" w:hAnsi="Tahoma" w:eastAsia="Tahoma" w:cs="Tahoma"/>
                        <w:sz w:val="18"/>
                        <w:szCs w:val="18"/>
                      </w:rPr>
                    </w:pPr>
                    <w:r>
                      <w:fldChar w:fldCharType="begin"/>
                    </w:r>
                    <w:r>
                      <w:rPr>
                        <w:rFonts w:ascii="Tahoma" w:hAnsi="Tahoma" w:eastAsia="Tahoma" w:cs="Tahoma"/>
                        <w:sz w:val="18"/>
                        <w:szCs w:val="18"/>
                      </w:rPr>
                      <w:instrText xml:space="preserve"> PAGE </w:instrText>
                    </w:r>
                    <w:r>
                      <w:fldChar w:fldCharType="separate"/>
                    </w:r>
                    <w:r>
                      <w:rPr>
                        <w:rFonts w:ascii="Tahoma" w:hAnsi="Tahoma" w:eastAsia="Tahoma" w:cs="Tahoma"/>
                        <w:sz w:val="18"/>
                        <w:szCs w:val="18"/>
                      </w:rP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9A73A">
    <w:pPr>
      <w:pStyle w:val="29"/>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1FC1E">
    <w:pPr>
      <w:pStyle w:val="2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4FBCA">
    <w:pPr>
      <w:pStyle w:val="29"/>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B8E9D">
    <w:pPr>
      <w:pStyle w:val="29"/>
    </w:pPr>
  </w:p>
  <w:p w14:paraId="65EE390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7AC6">
    <w:pPr>
      <w:pStyle w:val="29"/>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56C9E">
    <w:pPr>
      <w:pStyle w:val="29"/>
    </w:pPr>
  </w:p>
  <w:p w14:paraId="63B97C7B"/>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BAB4A">
    <w:pPr>
      <w:pStyle w:val="29"/>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46758">
    <w:pPr>
      <w:spacing w:before="48" w:line="219" w:lineRule="auto"/>
      <w:ind w:right="28"/>
      <w:jc w:val="right"/>
      <w:rPr>
        <w:rFonts w:ascii="宋体" w:hAnsi="宋体" w:cs="宋体"/>
        <w:sz w:val="18"/>
        <w:szCs w:val="18"/>
      </w:rPr>
    </w:pPr>
    <w:r>
      <mc:AlternateContent>
        <mc:Choice Requires="wps">
          <w:drawing>
            <wp:anchor distT="0" distB="0" distL="114300" distR="114300" simplePos="0" relativeHeight="251666432" behindDoc="0" locked="0" layoutInCell="0" allowOverlap="1">
              <wp:simplePos x="0" y="0"/>
              <wp:positionH relativeFrom="page">
                <wp:posOffset>1061720</wp:posOffset>
              </wp:positionH>
              <wp:positionV relativeFrom="page">
                <wp:posOffset>701040</wp:posOffset>
              </wp:positionV>
              <wp:extent cx="5797550" cy="9525"/>
              <wp:effectExtent l="0" t="0" r="0" b="0"/>
              <wp:wrapNone/>
              <wp:docPr id="23" name="任意多边形 23"/>
              <wp:cNvGraphicFramePr/>
              <a:graphic xmlns:a="http://schemas.openxmlformats.org/drawingml/2006/main">
                <a:graphicData uri="http://schemas.microsoft.com/office/word/2010/wordprocessingShape">
                  <wps:wsp>
                    <wps:cNvSpPr/>
                    <wps:spPr>
                      <a:xfrm>
                        <a:off x="0" y="0"/>
                        <a:ext cx="5797550" cy="9525"/>
                      </a:xfrm>
                      <a:custGeom>
                        <a:avLst/>
                        <a:gdLst/>
                        <a:ahLst/>
                        <a:cxnLst/>
                        <a:rect l="0" t="0" r="0" b="0"/>
                        <a:pathLst>
                          <a:path w="9130" h="15">
                            <a:moveTo>
                              <a:pt x="0" y="7"/>
                            </a:moveTo>
                            <a:lnTo>
                              <a:pt x="9129"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3.6pt;margin-top:55.2pt;height:0.75pt;width:456.5pt;mso-position-horizontal-relative:page;mso-position-vertical-relative:page;z-index:251666432;mso-width-relative:page;mso-height-relative:page;" filled="f" stroked="t" coordsize="9130,15" o:allowincell="f" o:gfxdata="UEsDBAoAAAAAAIdO4kAAAAAAAAAAAAAAAAAEAAAAZHJzL1BLAwQUAAAACACHTuJAcVeyydkAAAAM&#10;AQAADwAAAGRycy9kb3ducmV2LnhtbE2PS0/DMBCE70j8B2uRuFTUdoXSNo1TiQqOCFEqxNGJlyTg&#10;RxS7j/x7Nid625kdzX5bbC/OshMOsQtegZwLYOjrYDrfKDh8vDysgMWkvdE2eFQwYoRteXtT6NyE&#10;s3/H0z41jEp8zLWCNqU+5zzWLTod56FHT7vvMDidSA4NN4M+U7mzfCFExp3uPF1odY+7Fuvf/dEp&#10;sPJ1uRufUjbY6i18zX4On+PsWan7Oyk2wBJe0n8YJnxCh5KYqnD0JjJLOlsuKEqDFI/ApoRYCbKq&#10;yZJr4GXBr58o/wBQSwMEFAAAAAgAh07iQMcVyXxIAgAAxwQAAA4AAABkcnMvZTJvRG9jLnhtbK1U&#10;y47TMBTdI/EPlvc0bUdhaNR0FpRhg2CkGT7g1nESS37Jdpt2z549S8RPoBF8DYP4DK6d9MEgoS7I&#10;Irn2vT4+5z4yv9oqSTbceWF0SSejMSVcM1MJ3ZT0/d31sxeU+AC6Amk0L+mOe3q1ePpk3tmCT01r&#10;ZMUdQRDti86WtA3BFlnmWcsV+JGxXKOzNk5BwKVrsspBh+hKZtPx+HnWGVdZZxj3HneXvZMOiO4c&#10;QFPXgvGlYWvFdehRHZcQUJJvhfV0kdjWNWfhXV17HogsKSoN6Y2XoL2K72wxh6JxYFvBBgpwDoVH&#10;mhQIjZceoJYQgKyd+AtKCeaMN3UYMaOyXkjKCKqYjB/l5rYFy5MWTLW3h6T7/wfL3m5uHBFVSacX&#10;lGhQWPEf9/c/P3x8+PLp1/evD98+E/RgmjrrC4y+tTduWHk0o+Zt7VT8ohqyTandHVLLt4Ew3Mwv&#10;Z5d5jlln6Jvl0zxCZsezbO3Da24SDmze+NAXptpb0O4tttV702F5/1lYCyGei+SiSTq8e3KBLFrs&#10;/DwVTJkNvzMpIhzZXw70jl6pT6Nmk+mMEpSyD+zdKCjek5Qd7sbNU3XaXAspkzypE6OYDcIAZ6nG&#10;HkZTWayH100i6I0UVTwSOXrXrF5KRzYQ+zk9A9M/wqzzYQm+7eOSK4ZBoUTA4ZVCof7jcShaDtUr&#10;XZGws9gAGgefRmqKV5RIjv+JaCWEAEKeE4mqpcZExLbpGyVaK1PtsN/W1ommxWGcJPbRg/2d0jbM&#10;Yhyg03VCOv5/F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VeyydkAAAAMAQAADwAAAAAAAAAB&#10;ACAAAAAiAAAAZHJzL2Rvd25yZXYueG1sUEsBAhQAFAAAAAgAh07iQMcVyXxIAgAAxwQAAA4AAAAA&#10;AAAAAQAgAAAAKAEAAGRycy9lMm9Eb2MueG1sUEsFBgAAAAAGAAYAWQEAAOIFAAAAAA==&#10;" path="m0,7l9129,7e">
              <v:fill on="f" focussize="0,0"/>
              <v:stroke color="#000000" miterlimit="10" joinstyle="miter"/>
              <v:imagedata o:title=""/>
              <o:lock v:ext="edit" aspectratio="f"/>
            </v:shape>
          </w:pict>
        </mc:Fallback>
      </mc:AlternateContent>
    </w:r>
    <w:r>
      <w:rPr>
        <w:rFonts w:ascii="宋体" w:hAnsi="宋体" w:cs="宋体"/>
        <w:spacing w:val="-1"/>
        <w:sz w:val="18"/>
        <w:szCs w:val="18"/>
      </w:rPr>
      <w:t>北京市政府采购项目竞争性磋商文件示范文本</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BD261">
    <w:pPr>
      <w:spacing w:before="48" w:line="219" w:lineRule="auto"/>
      <w:ind w:right="28"/>
      <w:jc w:val="right"/>
      <w:rPr>
        <w:rFonts w:ascii="宋体" w:hAnsi="宋体" w:cs="宋体"/>
        <w:sz w:val="18"/>
        <w:szCs w:val="18"/>
      </w:rPr>
    </w:pPr>
    <w:r>
      <mc:AlternateContent>
        <mc:Choice Requires="wps">
          <w:drawing>
            <wp:anchor distT="0" distB="0" distL="114300" distR="114300" simplePos="0" relativeHeight="251659264" behindDoc="0" locked="0" layoutInCell="0" allowOverlap="1">
              <wp:simplePos x="0" y="0"/>
              <wp:positionH relativeFrom="page">
                <wp:posOffset>1061720</wp:posOffset>
              </wp:positionH>
              <wp:positionV relativeFrom="page">
                <wp:posOffset>701040</wp:posOffset>
              </wp:positionV>
              <wp:extent cx="5797550" cy="9525"/>
              <wp:effectExtent l="0" t="0" r="0" b="0"/>
              <wp:wrapNone/>
              <wp:docPr id="28" name="任意多边形 28"/>
              <wp:cNvGraphicFramePr/>
              <a:graphic xmlns:a="http://schemas.openxmlformats.org/drawingml/2006/main">
                <a:graphicData uri="http://schemas.microsoft.com/office/word/2010/wordprocessingShape">
                  <wps:wsp>
                    <wps:cNvSpPr/>
                    <wps:spPr>
                      <a:xfrm>
                        <a:off x="0" y="0"/>
                        <a:ext cx="5797550" cy="9525"/>
                      </a:xfrm>
                      <a:custGeom>
                        <a:avLst/>
                        <a:gdLst/>
                        <a:ahLst/>
                        <a:cxnLst/>
                        <a:rect l="0" t="0" r="0" b="0"/>
                        <a:pathLst>
                          <a:path w="9130" h="15">
                            <a:moveTo>
                              <a:pt x="0" y="7"/>
                            </a:moveTo>
                            <a:lnTo>
                              <a:pt x="9129"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3.6pt;margin-top:55.2pt;height:0.75pt;width:456.5pt;mso-position-horizontal-relative:page;mso-position-vertical-relative:page;z-index:251659264;mso-width-relative:page;mso-height-relative:page;" filled="f" stroked="t" coordsize="9130,15" o:allowincell="f" o:gfxdata="UEsDBAoAAAAAAIdO4kAAAAAAAAAAAAAAAAAEAAAAZHJzL1BLAwQUAAAACACHTuJAcVeyydkAAAAM&#10;AQAADwAAAGRycy9kb3ducmV2LnhtbE2PS0/DMBCE70j8B2uRuFTUdoXSNo1TiQqOCFEqxNGJlyTg&#10;RxS7j/x7Nid625kdzX5bbC/OshMOsQtegZwLYOjrYDrfKDh8vDysgMWkvdE2eFQwYoRteXtT6NyE&#10;s3/H0z41jEp8zLWCNqU+5zzWLTod56FHT7vvMDidSA4NN4M+U7mzfCFExp3uPF1odY+7Fuvf/dEp&#10;sPJ1uRufUjbY6i18zX4On+PsWan7Oyk2wBJe0n8YJnxCh5KYqnD0JjJLOlsuKEqDFI/ApoRYCbKq&#10;yZJr4GXBr58o/wBQSwMEFAAAAAgAh07iQIB41VZHAgAAxwQAAA4AAABkcnMvZTJvRG9jLnhtbK1U&#10;y47TMBTdI/EPlvc0bVEYGjWdBWXYIBhphg+4dZzEkl+y3abds2fPEvETaMR8DYP4DK6d9MEgoS7I&#10;Irn2vT4+5z4yv9wqSTbceWF0SSejMSVcM1MJ3ZT0w+3Vs5eU+AC6Amk0L+mOe3q5ePpk3tmCT01r&#10;ZMUdQRDti86WtA3BFlnmWcsV+JGxXKOzNk5BwKVrsspBh+hKZtPx+EXWGVdZZxj3HneXvZMOiO4c&#10;QFPXgvGlYWvFdehRHZcQUJJvhfV0kdjWNWfhfV17HogsKSoN6Y2XoL2K72wxh6JxYFvBBgpwDoVH&#10;mhQIjZceoJYQgKyd+AtKCeaMN3UYMaOyXkjKCKqYjB/l5qYFy5MWTLW3h6T7/wfL3m2uHRFVSadY&#10;dw0KK/7j7u7nx08PXz//uv/28P0LQQ+mqbO+wOgbe+2GlUczat7WTsUvqiHblNrdIbV8GwjDzfxi&#10;dpHnmHWGvlk+zSNkdjzL1j684SbhwOatD31hqr0F7d5iW703HZb3n4W1EOK5SC6apMO7J8+RRYud&#10;n6eCKbPhtyZFhCP7i4He0Sv1adRsMp1RglL2gb0bBcV7krLD3bh5qk6bKyFlkid1YhSzQRjgLNXY&#10;w2gqi/XwukkEvZGiikciR++a1SvpyAZiP6dnYPpHmHU+LMG3fVxyxTAolAg4vFIo1H88DkXLoXqt&#10;KxJ2FhtA4+DTSE3xihLJ8T8RrYQQQMhzIlG11JiI2DZ9o0RrZaod9tvaOtG0OIyTxD56sL9T2oZZ&#10;jAN0uk5Ix//P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xV7LJ2QAAAAwBAAAPAAAAAAAAAAEA&#10;IAAAACIAAABkcnMvZG93bnJldi54bWxQSwECFAAUAAAACACHTuJAgHjVVkcCAADHBAAADgAAAAAA&#10;AAABACAAAAAoAQAAZHJzL2Uyb0RvYy54bWxQSwUGAAAAAAYABgBZAQAA4QUAAAAA&#10;" path="m0,7l9129,7e">
              <v:fill on="f" focussize="0,0"/>
              <v:stroke color="#000000" miterlimit="10" joinstyle="miter"/>
              <v:imagedata o:title=""/>
              <o:lock v:ext="edit" aspectratio="f"/>
            </v:shape>
          </w:pict>
        </mc:Fallback>
      </mc:AlternateContent>
    </w:r>
    <w:r>
      <w:rPr>
        <w:rFonts w:ascii="宋体" w:hAnsi="宋体" w:cs="宋体"/>
        <w:spacing w:val="-1"/>
        <w:sz w:val="18"/>
        <w:szCs w:val="18"/>
      </w:rPr>
      <w:t>北京市政府采购项目竞争性磋商文件示范文本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D1BD8">
    <w:pPr>
      <w:pStyle w:val="29"/>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34436">
    <w:pPr>
      <w:spacing w:before="48" w:line="219" w:lineRule="auto"/>
      <w:ind w:right="28"/>
      <w:jc w:val="right"/>
      <w:rPr>
        <w:rFonts w:ascii="宋体" w:hAnsi="宋体" w:cs="宋体"/>
        <w:sz w:val="18"/>
        <w:szCs w:val="18"/>
      </w:rPr>
    </w:pPr>
    <w:r>
      <w:rPr>
        <w:rFonts w:ascii="宋体" w:hAnsi="宋体" w:cs="宋体"/>
        <w:spacing w:val="-1"/>
        <w:sz w:val="18"/>
        <w:szCs w:val="18"/>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CBC66">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885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860DE">
    <w:pPr>
      <w:spacing w:after="0" w:line="259" w:lineRule="auto"/>
      <w:rPr>
        <w:lang w:eastAsia="zh-CN"/>
      </w:rPr>
    </w:pPr>
    <w:r>
      <w:rPr>
        <w:rFonts w:ascii="Calibri" w:hAnsi="Calibri" w:eastAsia="Calibri" w:cs="Calibri"/>
        <w:lang w:eastAsia="zh-CN"/>
      </w:rPr>
      <mc:AlternateContent>
        <mc:Choice Requires="wpg">
          <w:drawing>
            <wp:anchor distT="0" distB="0" distL="114300" distR="114300" simplePos="0" relativeHeight="251666432" behindDoc="0" locked="0" layoutInCell="1" allowOverlap="1">
              <wp:simplePos x="0" y="0"/>
              <wp:positionH relativeFrom="page">
                <wp:posOffset>1123315</wp:posOffset>
              </wp:positionH>
              <wp:positionV relativeFrom="page">
                <wp:posOffset>702310</wp:posOffset>
              </wp:positionV>
              <wp:extent cx="5314950" cy="36830"/>
              <wp:effectExtent l="0" t="0" r="6350" b="1270"/>
              <wp:wrapSquare wrapText="bothSides"/>
              <wp:docPr id="106766" name="Group 106766"/>
              <wp:cNvGraphicFramePr/>
              <a:graphic xmlns:a="http://schemas.openxmlformats.org/drawingml/2006/main">
                <a:graphicData uri="http://schemas.microsoft.com/office/word/2010/wordprocessingGroup">
                  <wpg:wgp>
                    <wpg:cNvGrpSpPr/>
                    <wpg:grpSpPr>
                      <a:xfrm>
                        <a:off x="0" y="0"/>
                        <a:ext cx="5315077" cy="36576"/>
                        <a:chOff x="0" y="0"/>
                        <a:chExt cx="5315077" cy="36576"/>
                      </a:xfrm>
                    </wpg:grpSpPr>
                    <wps:wsp>
                      <wps:cNvPr id="111162" name="Shape 111162"/>
                      <wps:cNvSpPr/>
                      <wps:spPr>
                        <a:xfrm>
                          <a:off x="0" y="27432"/>
                          <a:ext cx="5315077" cy="9144"/>
                        </a:xfrm>
                        <a:custGeom>
                          <a:avLst/>
                          <a:gdLst/>
                          <a:ahLst/>
                          <a:cxnLst/>
                          <a:rect l="0" t="0" r="0" b="0"/>
                          <a:pathLst>
                            <a:path w="5315077" h="9144">
                              <a:moveTo>
                                <a:pt x="0" y="0"/>
                              </a:moveTo>
                              <a:lnTo>
                                <a:pt x="5315077" y="0"/>
                              </a:lnTo>
                              <a:lnTo>
                                <a:pt x="53150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63" name="Shape 111163"/>
                      <wps:cNvSpPr/>
                      <wps:spPr>
                        <a:xfrm>
                          <a:off x="0" y="0"/>
                          <a:ext cx="5315077" cy="18288"/>
                        </a:xfrm>
                        <a:custGeom>
                          <a:avLst/>
                          <a:gdLst/>
                          <a:ahLst/>
                          <a:cxnLst/>
                          <a:rect l="0" t="0" r="0" b="0"/>
                          <a:pathLst>
                            <a:path w="5315077" h="18288">
                              <a:moveTo>
                                <a:pt x="0" y="0"/>
                              </a:moveTo>
                              <a:lnTo>
                                <a:pt x="5315077" y="0"/>
                              </a:lnTo>
                              <a:lnTo>
                                <a:pt x="531507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6766" o:spid="_x0000_s1026" o:spt="203" style="position:absolute;left:0pt;margin-left:88.45pt;margin-top:55.3pt;height:2.9pt;width:418.5pt;mso-position-horizontal-relative:page;mso-position-vertical-relative:page;mso-wrap-distance-bottom:0pt;mso-wrap-distance-left:9pt;mso-wrap-distance-right:9pt;mso-wrap-distance-top:0pt;z-index:251666432;mso-width-relative:page;mso-height-relative:page;" coordsize="5315077,36576" o:gfxdata="UEsDBAoAAAAAAIdO4kAAAAAAAAAAAAAAAAAEAAAAZHJzL1BLAwQUAAAACACHTuJA+WtKi9kAAAAM&#10;AQAADwAAAGRycy9kb3ducmV2LnhtbE2PQU/DMAyF70j8h8hI3FgSBmWUphOagNOExIaEdvNar63W&#10;JFWTtdu/xz3Bze/56flztjzbVgzUh8Y7A3qmQJArfNm4ysD39v1uASJEdCW23pGBCwVY5tdXGaal&#10;H90XDZtYCS5xIUUDdYxdKmUoarIYZr4jx7uD7y1Gln0lyx5HLretvFcqkRYbxxdq7GhVU3HcnKyB&#10;jxHH17l+G9bHw+qy2z5+/qw1GXN7o9ULiEjn+BeGCZ/RIWemvT+5MoiW9VPyzFEetEpATAml52zt&#10;Jyt5AJln8v8T+S9QSwMEFAAAAAgAh07iQKAZfV6WAgAAxAgAAA4AAABkcnMvZTJvRG9jLnhtbNVW&#10;y27bMBC8F+g/ELw3suxEdoXYOTRNLkUbIOkHMBQlEeALJG05f98lJcqqkwZGCgStDyK1XC53Zmcp&#10;X17tpUA7Zh3Xao3zsxlGTFFdcdWs8c+Hm08rjJwnqiJCK7bGT8zhq83HD5edKdlct1pUzCIIolzZ&#10;mTVuvTdlljnaMkncmTZMwWKtrSQeXm2TVZZ0EF2KbD6bFVmnbWWspsw5sF73i3iIaE8JqOuaU3at&#10;6VYy5fuolgniAZJruXF4E7Ota0b9j7p2zCOxxoDUxyccAvPH8Mw2l6RsLDEtp0MK5JQUjjBJwhUc&#10;Ooa6Jp6greXPQklOrXa69mdUy6wHEhkBFPnsiJtbq7cmYmnKrjEj6VCoI9bfHJZ+391ZxCtQwqxY&#10;FgVGikioejwaDTYgqTNNCb631tybOzsYmv4t4N7XVoYREKF9pPdppJftPaJgvFjkF7PlEiMKa4vi&#10;Yln09NMWavRsF22/vrovS4dmIbcxlc6ALN2BK/d3XN23xLBYAhfwJ67yPC/miavog8AUbJGa6DsS&#10;5UoHnP2RpfnyfBH3kfJFpj7n5+ch7AiYlHTr/C3TkXGy++Y8LIP2qjQjbZrRvUpTC83wahsY4sO+&#10;ECpMUTcpWbvGMY+wKPWOPejo5o/KBjkeVoWaeo3VT8IA3+SRRhPjTT0n4JNTGntnaGQIeKJb7Pfx&#10;XJgEnJHZETsYp+w6LXh1w4UIcJ1tHr8Ii3Yk3CbxNxTmNzehAnWQGCVwP9ZwL8WrQXIPF6fgEnpt&#10;voTdw16hIIMg214lYfaoq6fYZdEOcg4N+F66Xryg68UbdD1cri9qOl/NV6t/QdR9Iu+t6in8JOc0&#10;TmV9qt9BSqHj/itdx9sbPm4x7eFDHL6e0/fYH4c/H5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WtKi9kAAAAMAQAADwAAAAAAAAABACAAAAAiAAAAZHJzL2Rvd25yZXYueG1sUEsBAhQAFAAAAAgA&#10;h07iQKAZfV6WAgAAxAgAAA4AAAAAAAAAAQAgAAAAKAEAAGRycy9lMm9Eb2MueG1sUEsFBgAAAAAG&#10;AAYAWQEAADAGAAAAAA==&#10;">
              <o:lock v:ext="edit" aspectratio="f"/>
              <v:shape id="Shape 111162" o:spid="_x0000_s1026" o:spt="100" style="position:absolute;left:0;top:27432;height:9144;width:5315077;" fillcolor="#000000" filled="t" stroked="f" coordsize="5315077,9144" o:gfxdata="UEsDBAoAAAAAAIdO4kAAAAAAAAAAAAAAAAAEAAAAZHJzL1BLAwQUAAAACACHTuJAjVT8Lb8AAADf&#10;AAAADwAAAGRycy9kb3ducmV2LnhtbEWPS4vCQBCE7wv+h6EFb+vEx6pER0FBcW9rzMFjk2mTaKYn&#10;ZMZH/v2OINi3j6qurl6snqYSd2pcaVnBoB+BIM6sLjlXkB633zMQziNrrCyTgpYcrJadrwXG2j74&#10;QPfE5yKEsItRQeF9HUvpsoIMur6tiYN2to1BH7DJpW7wEcJNJYdRNJEGSw4XCqxpU1B2TW5GweEi&#10;W0qn59Hfb/KzHu2241mbnpTqdQfRHISnp/+Y39t7HeqHmQzh9U8A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1U/C2/&#10;AAAA3wAAAA8AAAAAAAAAAQAgAAAAIgAAAGRycy9kb3ducmV2LnhtbFBLAQIUABQAAAAIAIdO4kAz&#10;LwWeOwAAADkAAAAQAAAAAAAAAAEAIAAAAA4BAABkcnMvc2hhcGV4bWwueG1sUEsFBgAAAAAGAAYA&#10;WwEAALgDAAAAAA==&#10;" path="m0,0l5315077,0,5315077,9144,0,9144,0,0e">
                <v:fill on="t" focussize="0,0"/>
                <v:stroke on="f" weight="0pt" miterlimit="1" joinstyle="miter"/>
                <v:imagedata o:title=""/>
                <o:lock v:ext="edit" aspectratio="f"/>
              </v:shape>
              <v:shape id="Shape 111163" o:spid="_x0000_s1026" o:spt="100" style="position:absolute;left:0;top:0;height:18288;width:5315077;" fillcolor="#000000" filled="t" stroked="f" coordsize="5315077,18288" o:gfxdata="UEsDBAoAAAAAAIdO4kAAAAAAAAAAAAAAAAAEAAAAZHJzL1BLAwQUAAAACACHTuJAhrFPK8AAAADf&#10;AAAADwAAAGRycy9kb3ducmV2LnhtbEWPQWvDMAyF74X+B6PCbq2TjZWS1g1hYyOXUdZudzVWkxBb&#10;DrGXpv9+HhSm28d7enra5ZM1YqTBt44VpKsEBHHldMu1gq/T23IDwgdkjcYxKbiRh3w/n+0w0+7K&#10;nzQeQy1iCPsMFTQh9JmUvmrIol+5njhqFzdYDBGHWuoBrzHcGvmYJGtpseV4ocGeXhqquuOPVfB+&#10;Lgqz+Th8d8+v5oJTWYZbUSr1sEiTLYhAU/g337dLHevHWT/B3z8RQO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sU8r&#10;wAAAAN8AAAAPAAAAAAAAAAEAIAAAACIAAABkcnMvZG93bnJldi54bWxQSwECFAAUAAAACACHTuJA&#10;My8FnjsAAAA5AAAAEAAAAAAAAAABACAAAAAPAQAAZHJzL3NoYXBleG1sLnhtbFBLBQYAAAAABgAG&#10;AFsBAAC5AwAAAAA=&#10;" path="m0,0l5315077,0,5315077,18288,0,18288,0,0e">
                <v:fill on="t" focussize="0,0"/>
                <v:stroke on="f" weight="0pt" miterlimit="1" joinstyle="miter"/>
                <v:imagedata o:title=""/>
                <o:lock v:ext="edit" aspectratio="f"/>
              </v:shape>
              <w10:wrap type="square"/>
            </v:group>
          </w:pict>
        </mc:Fallback>
      </mc:AlternateContent>
    </w:r>
    <w:r>
      <w:rPr>
        <w:sz w:val="18"/>
        <w:lang w:eastAsia="zh-CN"/>
      </w:rPr>
      <w:t>北京市房屋建筑和市政工程施工招标文件标准文本（</w:t>
    </w:r>
    <w:r>
      <w:rPr>
        <w:rFonts w:ascii="Times New Roman" w:hAnsi="Times New Roman" w:eastAsia="Times New Roman" w:cs="Times New Roman"/>
        <w:sz w:val="18"/>
        <w:lang w:eastAsia="zh-CN"/>
      </w:rPr>
      <w:t xml:space="preserve">2017 </w:t>
    </w:r>
    <w:r>
      <w:rPr>
        <w:sz w:val="18"/>
        <w:lang w:eastAsia="zh-CN"/>
      </w:rPr>
      <w:t>版）</w:t>
    </w:r>
    <w:r>
      <w:rPr>
        <w:rFonts w:ascii="Times New Roman" w:hAnsi="Times New Roman" w:eastAsia="Times New Roman" w:cs="Times New Roman"/>
        <w:sz w:val="18"/>
        <w:lang w:eastAsia="zh-CN"/>
      </w:rPr>
      <w:t xml:space="preserve"> </w:t>
    </w:r>
    <w:r>
      <w:rPr>
        <w:sz w:val="18"/>
        <w:lang w:eastAsia="zh-CN"/>
      </w:rPr>
      <w:t>通用部分</w:t>
    </w:r>
    <w:r>
      <w:rPr>
        <w:rFonts w:ascii="Times New Roman" w:hAnsi="Times New Roman" w:eastAsia="Times New Roman" w:cs="Times New Roman"/>
        <w:sz w:val="18"/>
        <w:lang w:eastAsia="zh-C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DC624">
    <w:pPr>
      <w:spacing w:after="0" w:line="259" w:lineRule="auto"/>
      <w:ind w:right="109"/>
      <w:jc w:val="right"/>
    </w:pPr>
    <w:r>
      <w:rPr>
        <w:rFonts w:ascii="Calibri" w:hAnsi="Calibri" w:eastAsia="Calibri" w:cs="Calibri"/>
        <w:lang w:eastAsia="zh-CN"/>
      </w:rPr>
      <mc:AlternateContent>
        <mc:Choice Requires="wpg">
          <w:drawing>
            <wp:anchor distT="0" distB="0" distL="114300" distR="114300" simplePos="0" relativeHeight="251668480" behindDoc="0" locked="0" layoutInCell="1" allowOverlap="1">
              <wp:simplePos x="0" y="0"/>
              <wp:positionH relativeFrom="page">
                <wp:posOffset>1123315</wp:posOffset>
              </wp:positionH>
              <wp:positionV relativeFrom="page">
                <wp:posOffset>702310</wp:posOffset>
              </wp:positionV>
              <wp:extent cx="5314950" cy="36830"/>
              <wp:effectExtent l="0" t="0" r="6350" b="1270"/>
              <wp:wrapSquare wrapText="bothSides"/>
              <wp:docPr id="106729" name="Group 106729"/>
              <wp:cNvGraphicFramePr/>
              <a:graphic xmlns:a="http://schemas.openxmlformats.org/drawingml/2006/main">
                <a:graphicData uri="http://schemas.microsoft.com/office/word/2010/wordprocessingGroup">
                  <wpg:wgp>
                    <wpg:cNvGrpSpPr/>
                    <wpg:grpSpPr>
                      <a:xfrm>
                        <a:off x="0" y="0"/>
                        <a:ext cx="5315077" cy="36576"/>
                        <a:chOff x="0" y="0"/>
                        <a:chExt cx="5315077" cy="36576"/>
                      </a:xfrm>
                    </wpg:grpSpPr>
                    <wps:wsp>
                      <wps:cNvPr id="111158" name="Shape 111158"/>
                      <wps:cNvSpPr/>
                      <wps:spPr>
                        <a:xfrm>
                          <a:off x="0" y="27432"/>
                          <a:ext cx="5315077" cy="9144"/>
                        </a:xfrm>
                        <a:custGeom>
                          <a:avLst/>
                          <a:gdLst/>
                          <a:ahLst/>
                          <a:cxnLst/>
                          <a:rect l="0" t="0" r="0" b="0"/>
                          <a:pathLst>
                            <a:path w="5315077" h="9144">
                              <a:moveTo>
                                <a:pt x="0" y="0"/>
                              </a:moveTo>
                              <a:lnTo>
                                <a:pt x="5315077" y="0"/>
                              </a:lnTo>
                              <a:lnTo>
                                <a:pt x="53150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59" name="Shape 111159"/>
                      <wps:cNvSpPr/>
                      <wps:spPr>
                        <a:xfrm>
                          <a:off x="0" y="0"/>
                          <a:ext cx="5315077" cy="18288"/>
                        </a:xfrm>
                        <a:custGeom>
                          <a:avLst/>
                          <a:gdLst/>
                          <a:ahLst/>
                          <a:cxnLst/>
                          <a:rect l="0" t="0" r="0" b="0"/>
                          <a:pathLst>
                            <a:path w="5315077" h="18288">
                              <a:moveTo>
                                <a:pt x="0" y="0"/>
                              </a:moveTo>
                              <a:lnTo>
                                <a:pt x="5315077" y="0"/>
                              </a:lnTo>
                              <a:lnTo>
                                <a:pt x="531507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6729" o:spid="_x0000_s1026" o:spt="203" style="position:absolute;left:0pt;margin-left:88.45pt;margin-top:55.3pt;height:2.9pt;width:418.5pt;mso-position-horizontal-relative:page;mso-position-vertical-relative:page;mso-wrap-distance-bottom:0pt;mso-wrap-distance-left:9pt;mso-wrap-distance-right:9pt;mso-wrap-distance-top:0pt;z-index:251668480;mso-width-relative:page;mso-height-relative:page;" coordsize="5315077,36576" o:gfxdata="UEsDBAoAAAAAAIdO4kAAAAAAAAAAAAAAAAAEAAAAZHJzL1BLAwQUAAAACACHTuJA+WtKi9kAAAAM&#10;AQAADwAAAGRycy9kb3ducmV2LnhtbE2PQU/DMAyF70j8h8hI3FgSBmWUphOagNOExIaEdvNar63W&#10;JFWTtdu/xz3Bze/56flztjzbVgzUh8Y7A3qmQJArfNm4ysD39v1uASJEdCW23pGBCwVY5tdXGaal&#10;H90XDZtYCS5xIUUDdYxdKmUoarIYZr4jx7uD7y1Gln0lyx5HLretvFcqkRYbxxdq7GhVU3HcnKyB&#10;jxHH17l+G9bHw+qy2z5+/qw1GXN7o9ULiEjn+BeGCZ/RIWemvT+5MoiW9VPyzFEetEpATAml52zt&#10;Jyt5AJln8v8T+S9QSwMEFAAAAAgAh07iQC6FGZ2lAgAAxAgAAA4AAABkcnMvZTJvRG9jLnhtbNVW&#10;zW7bMAy+D9g7CLqvjt3mp0aTHta1l2Er0O4BVFm2BegPkhKnbz9Kthw37YpgAwosB4umKIr8+JHO&#10;1fVeCrRj1nGt1jg/m2HEFNUVV80a/3q8/bLCyHmiKiK0Ymv8zBy+3nz+dNWZkhW61aJiFoET5crO&#10;rHHrvSmzzNGWSeLOtGEKNmttJfHwapussqQD71JkxWy2yDptK2M1Zc6B9qbfxINHe4pDXdecshtN&#10;t5Ip33u1TBAPKbmWG4c3Mdq6ZtT/rGvHPBJrDJn6+IRLQH4Kz2xzRcrGEtNyOoRATgnhKCdJuIJL&#10;R1c3xBO0tfyVK8mp1U7X/oxqmfWJREQgi3x2hM2d1VsTc2nKrjEj6FCoI9T/2i39sbu3iFfAhNli&#10;WVxipIiEqser0aADkDrTlGB7Z82DubeDounfQt772sqwQkZoH+F9HuFle48oKOfn+Xy2XGJEYe98&#10;MV8uevhpCzV6dYq23949l6VLsxDbGEpngJbugJX7N6weWmJYLIEL+Ses8jyfQ5/0WEUbBKqgi9BE&#10;2xEoVzrA7I8oFcuL86JH4k2kLvOLi7A9JkxKunX+jumIONl9dx62gXtVkkibJLpXSbTQDO+2gSE+&#10;nAuugoi6ScnaNY5xhE2pd+xRRzN/VDaI8bAr1NRqrH4iBtgmi7Sa6G9qOUk+GaW1N4ZGBocnmsV+&#10;H+8FIeQZkR1zB+UUXacFr265ECFdZ5unr8KiHQnTJP6GwrwwEypAB4FRAvOxhrkUR4PkHgan4BJ6&#10;rVjC6eGsUBBBoG3PkiA96eo5dlnUA51DA34Ur8cZMOH1ZYg1hAA9cCqvh+H6JqfzVbGKvQJwp9Ex&#10;hf3DSN0H8tGsnqaf6JzWKa1PtTtQKXTcf8XrOL3h4xbDHj7E4es5fY/9cfjzs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WtKi9kAAAAMAQAADwAAAAAAAAABACAAAAAiAAAAZHJzL2Rvd25yZXYu&#10;eG1sUEsBAhQAFAAAAAgAh07iQC6FGZ2lAgAAxAgAAA4AAAAAAAAAAQAgAAAAKAEAAGRycy9lMm9E&#10;b2MueG1sUEsFBgAAAAAGAAYAWQEAAD8GAAAAAA==&#10;">
              <o:lock v:ext="edit" aspectratio="f"/>
              <v:shape id="Shape 111158" o:spid="_x0000_s1026" o:spt="100" style="position:absolute;left:0;top:27432;height:9144;width:5315077;" fillcolor="#000000" filled="t" stroked="f" coordsize="5315077,9144" o:gfxdata="UEsDBAoAAAAAAIdO4kAAAAAAAAAAAAAAAAAEAAAAZHJzL1BLAwQUAAAACACHTuJAItABesAAAADf&#10;AAAADwAAAGRycy9kb3ducmV2LnhtbEWPzW7CQAyE70i8w8pIvcGGUn4UWJCoRNXeSsiBo5U1SSDr&#10;jbJbIG9fHyrVt0+eGY83u6dr1J26UHs2MJ0koIgLb2suDeSnw3gFKkRki41nMtBTgN12ONhgav2D&#10;j3TPYqkkhEOKBqoY21TrUFTkMEx8Syy7i+8cRsGu1LbDh4S7Rr8myUI7rFkuVNjSe0XFLftxBo5X&#10;3VO+vMy+v7L5fvZxeFv1+dmYl9E0WYOK9Iz/4j/3p5X6MnMpLP8IgN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0AF6&#10;wAAAAN8AAAAPAAAAAAAAAAEAIAAAACIAAABkcnMvZG93bnJldi54bWxQSwECFAAUAAAACACHTuJA&#10;My8FnjsAAAA5AAAAEAAAAAAAAAABACAAAAAPAQAAZHJzL3NoYXBleG1sLnhtbFBLBQYAAAAABgAG&#10;AFsBAAC5AwAAAAA=&#10;" path="m0,0l5315077,0,5315077,9144,0,9144,0,0e">
                <v:fill on="t" focussize="0,0"/>
                <v:stroke on="f" weight="0pt" miterlimit="1" joinstyle="miter"/>
                <v:imagedata o:title=""/>
                <o:lock v:ext="edit" aspectratio="f"/>
              </v:shape>
              <v:shape id="Shape 111159" o:spid="_x0000_s1026" o:spt="100" style="position:absolute;left:0;top:0;height:18288;width:5315077;" fillcolor="#000000" filled="t" stroked="f" coordsize="5315077,18288" o:gfxdata="UEsDBAoAAAAAAIdO4kAAAAAAAAAAAAAAAAAEAAAAZHJzL1BLAwQUAAAACACHTuJAKTWyfMAAAADf&#10;AAAADwAAAGRycy9kb3ducmV2LnhtbEWPzWrDMBCE74W+g9hCb42cgEPqRgmmocWXUJK09621sU2k&#10;lbFU/7x9FChkbx8zOzu73o7WiJ463zhWMJ8lIIhLpxuuFHyfPl5WIHxA1mgck4KJPGw3jw9rzLQb&#10;+ED9MVQihrDPUEEdQptJ6cuaLPqZa4mjdnadxRCxq6TucIjh1shFkiylxYbjhRpbeq+pvBz/rILP&#10;3zw3q/3XzyXdmTOORRGmvFDq+WmevIEINIa7+X+70LF+nPQVbv9EALm5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NbJ8&#10;wAAAAN8AAAAPAAAAAAAAAAEAIAAAACIAAABkcnMvZG93bnJldi54bWxQSwECFAAUAAAACACHTuJA&#10;My8FnjsAAAA5AAAAEAAAAAAAAAABACAAAAAPAQAAZHJzL3NoYXBleG1sLnhtbFBLBQYAAAAABgAG&#10;AFsBAAC5AwAAAAA=&#10;" path="m0,0l5315077,0,5315077,18288,0,18288,0,0e">
                <v:fill on="t" focussize="0,0"/>
                <v:stroke on="f" weight="0pt" miterlimit="1" joinstyle="miter"/>
                <v:imagedata o:title=""/>
                <o:lock v:ext="edit" aspectratio="f"/>
              </v:shape>
              <w10:wrap type="square"/>
            </v:group>
          </w:pict>
        </mc:Fallback>
      </mc:AlternateContent>
    </w:r>
    <w:r>
      <w:rPr>
        <w:sz w:val="18"/>
        <w:lang w:eastAsia="zh-CN"/>
      </w:rPr>
      <w:t>第四章</w:t>
    </w:r>
    <w:r>
      <w:rPr>
        <w:rFonts w:ascii="Times New Roman" w:hAnsi="Times New Roman" w:eastAsia="Times New Roman" w:cs="Times New Roman"/>
        <w:sz w:val="18"/>
        <w:lang w:eastAsia="zh-CN"/>
      </w:rPr>
      <w:t xml:space="preserve"> </w:t>
    </w:r>
    <w:r>
      <w:rPr>
        <w:sz w:val="18"/>
        <w:lang w:eastAsia="zh-CN"/>
      </w:rPr>
      <w:t>合同条款通用部分</w:t>
    </w:r>
    <w:r>
      <w:rPr>
        <w:rFonts w:ascii="Times New Roman" w:hAnsi="Times New Roman" w:eastAsia="Times New Roman" w:cs="Times New Roman"/>
        <w:b/>
        <w:sz w:val="18"/>
        <w:lang w:eastAsia="zh-CN"/>
      </w:rPr>
      <w:t xml:space="preserve"> </w:t>
    </w:r>
    <w:r>
      <w:rPr>
        <w:rFonts w:ascii="Times New Roman" w:hAnsi="Times New Roman" w:eastAsia="Times New Roman" w:cs="Times New Roman"/>
        <w:sz w:val="18"/>
        <w:lang w:eastAsia="zh-CN"/>
      </w:rPr>
      <w:t>.</w:t>
    </w:r>
    <w:r>
      <w:rPr>
        <w:rFonts w:ascii="微软雅黑" w:hAnsi="微软雅黑" w:eastAsia="微软雅黑" w:cs="微软雅黑"/>
        <w:sz w:val="21"/>
      </w:rPr>
      <w:fldChar w:fldCharType="begin"/>
    </w:r>
    <w:r>
      <w:rPr>
        <w:lang w:eastAsia="zh-CN"/>
      </w:rPr>
      <w:instrText xml:space="preserve"> PAGE   \* MERGEFORMAT </w:instrText>
    </w:r>
    <w:r>
      <w:rPr>
        <w:rFonts w:ascii="微软雅黑" w:hAnsi="微软雅黑" w:eastAsia="微软雅黑" w:cs="微软雅黑"/>
        <w:sz w:val="21"/>
      </w:rPr>
      <w:fldChar w:fldCharType="separate"/>
    </w:r>
    <w:r>
      <w:rPr>
        <w:rFonts w:ascii="Times New Roman" w:hAnsi="Times New Roman" w:eastAsia="Times New Roman" w:cs="Times New Roman"/>
        <w:sz w:val="18"/>
        <w:lang w:eastAsia="zh-CN"/>
      </w:rPr>
      <w:t>4</w:t>
    </w:r>
    <w:r>
      <w:rPr>
        <w:rFonts w:ascii="Times New Roman" w:hAnsi="Times New Roman" w:eastAsia="Times New Roman" w:cs="Times New Roman"/>
        <w:sz w:val="18"/>
      </w:rPr>
      <w:t>5</w:t>
    </w:r>
    <w:r>
      <w:rPr>
        <w:rFonts w:ascii="Times New Roman" w:hAnsi="Times New Roman" w:eastAsia="Times New Roman" w:cs="Times New Roman"/>
        <w:sz w:val="18"/>
      </w:rPr>
      <w:fldChar w:fldCharType="end"/>
    </w:r>
    <w:r>
      <w:rPr>
        <w:rFonts w:ascii="Times New Roman" w:hAnsi="Times New Roman" w:eastAsia="Times New Roman" w:cs="Times New Roman"/>
        <w:sz w:val="18"/>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B7F74">
    <w:r>
      <w:rPr>
        <w:rFonts w:hint="eastAsia"/>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AECC3">
    <w:pPr>
      <w:pStyle w:val="17"/>
      <w:rPr>
        <w:sz w:val="20"/>
      </w:rPr>
    </w:pPr>
    <w:r>
      <mc:AlternateContent>
        <mc:Choice Requires="wps">
          <w:drawing>
            <wp:anchor distT="0" distB="0" distL="114300" distR="114300" simplePos="0" relativeHeight="251670528" behindDoc="1" locked="0" layoutInCell="1" allowOverlap="1">
              <wp:simplePos x="0" y="0"/>
              <wp:positionH relativeFrom="page">
                <wp:posOffset>4120515</wp:posOffset>
              </wp:positionH>
              <wp:positionV relativeFrom="page">
                <wp:posOffset>544830</wp:posOffset>
              </wp:positionV>
              <wp:extent cx="2311400" cy="1397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2311400" cy="139700"/>
                      </a:xfrm>
                      <a:prstGeom prst="rect">
                        <a:avLst/>
                      </a:prstGeom>
                      <a:noFill/>
                      <a:ln>
                        <a:noFill/>
                      </a:ln>
                    </wps:spPr>
                    <wps:txbx>
                      <w:txbxContent>
                        <w:p w14:paraId="26A3D1A3"/>
                      </w:txbxContent>
                    </wps:txbx>
                    <wps:bodyPr lIns="0" tIns="0" rIns="0" bIns="0" upright="1"/>
                  </wps:wsp>
                </a:graphicData>
              </a:graphic>
            </wp:anchor>
          </w:drawing>
        </mc:Choice>
        <mc:Fallback>
          <w:pict>
            <v:shape id="_x0000_s1026" o:spid="_x0000_s1026" o:spt="202" type="#_x0000_t202" style="position:absolute;left:0pt;margin-left:324.45pt;margin-top:42.9pt;height:11pt;width:182pt;mso-position-horizontal-relative:page;mso-position-vertical-relative:page;z-index:-251645952;mso-width-relative:page;mso-height-relative:page;" filled="f" stroked="f" coordsize="21600,21600" o:gfxdata="UEsDBAoAAAAAAIdO4kAAAAAAAAAAAAAAAAAEAAAAZHJzL1BLAwQUAAAACACHTuJA4FhrBtkAAAAL&#10;AQAADwAAAGRycy9kb3ducmV2LnhtbE2PzU7DMBCE70h9B2srcaN2KghpiFMhBCckRBoOHJ3YTazG&#10;6xC7P7w9mxO97e6MZr8pthc3sJOZgvUoIVkJYAZbry12Er7qt7sMWIgKtRo8Ggm/JsC2XNwUKtf+&#10;jJU57WLHKARDriT0MY4556HtjVNh5UeDpO395FSkdeq4ntSZwt3A10Kk3CmL9KFXo3npTXvYHZ2E&#10;52+sXu3PR/NZ7Stb1xuB7+lByttlIp6ARXOJ/2aY8QkdSmJq/BF1YIOE9D7bkFVC9kAVZoNI1nRp&#10;5ukxA14W/LpD+QdQSwMEFAAAAAgAh07iQIVmxnm7AQAAdAMAAA4AAABkcnMvZTJvRG9jLnhtbK1T&#10;wY7TMBC9I/EPlu/USXe1QNR0JVQtQkKAtPABrmM3lmyPZbtN+gPwB5y4cOe7+h2MnaYLy2UPXJyX&#10;mcmbeW+c1e1oDTnIEDW4ltaLihLpBHTa7Vr65fPdi1eUxMRdxw042dKjjPR2/fzZavCNXEIPppOB&#10;IImLzeBb2qfkG8ai6KXlcQFeOkwqCJYnfA071gU+ILs1bFlVN2yA0PkAQsaI0c2UpGfG8BRCUEoL&#10;uQGxt9KliTVIwxNKir32ka7LtEpJkT4qFWUipqWoNJUTmyDe5pOtV7zZBe57Lc4j8KeM8EiT5dph&#10;0wvVhidO9kH/Q2W1CBBBpYUAyyYhxRFUUVePvLnvuZdFC1od/cX0+P9oxYfDp0B019LrG0oct7jx&#10;0/dvpx+/Tj+/EoyhQYOPDdbde6xM4xsY8drM8YjBrHtUweYnKiKYR3uPF3vlmIjA4PKqrq8rTAnM&#10;1VevXyJGevbwtQ8xvZVgSQYtDbi+4io/vI9pKp1LcjMHd9qYskLj/gogZ46wPPo0YkZp3I5nPVvo&#10;jijHvHNoZr4YMwgz2M5g74Pe9ThOEV0ocRll7vPFydv+8700fvhZ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FhrBtkAAAALAQAADwAAAAAAAAABACAAAAAiAAAAZHJzL2Rvd25yZXYueG1sUEsB&#10;AhQAFAAAAAgAh07iQIVmxnm7AQAAdAMAAA4AAAAAAAAAAQAgAAAAKAEAAGRycy9lMm9Eb2MueG1s&#10;UEsFBgAAAAAGAAYAWQEAAFUFAAAAAA==&#10;">
              <v:fill on="f" focussize="0,0"/>
              <v:stroke on="f"/>
              <v:imagedata o:title=""/>
              <o:lock v:ext="edit" aspectratio="f"/>
              <v:textbox inset="0mm,0mm,0mm,0mm">
                <w:txbxContent>
                  <w:p w14:paraId="26A3D1A3"/>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BD2B0"/>
    <w:multiLevelType w:val="singleLevel"/>
    <w:tmpl w:val="8B8BD2B0"/>
    <w:lvl w:ilvl="0" w:tentative="0">
      <w:start w:val="4"/>
      <w:numFmt w:val="decimal"/>
      <w:suff w:val="nothing"/>
      <w:lvlText w:val="（%1）"/>
      <w:lvlJc w:val="left"/>
    </w:lvl>
  </w:abstractNum>
  <w:abstractNum w:abstractNumId="1">
    <w:nsid w:val="CB01B144"/>
    <w:multiLevelType w:val="singleLevel"/>
    <w:tmpl w:val="CB01B144"/>
    <w:lvl w:ilvl="0" w:tentative="0">
      <w:start w:val="1"/>
      <w:numFmt w:val="decimal"/>
      <w:lvlText w:val="%1."/>
      <w:lvlJc w:val="left"/>
      <w:pPr>
        <w:ind w:left="425" w:hanging="425"/>
      </w:pPr>
      <w:rPr>
        <w:rFonts w:hint="default"/>
      </w:rPr>
    </w:lvl>
  </w:abstractNum>
  <w:abstractNum w:abstractNumId="2">
    <w:nsid w:val="FE617AF4"/>
    <w:multiLevelType w:val="singleLevel"/>
    <w:tmpl w:val="FE617AF4"/>
    <w:lvl w:ilvl="0" w:tentative="0">
      <w:start w:val="3"/>
      <w:numFmt w:val="chineseCounting"/>
      <w:suff w:val="nothing"/>
      <w:lvlText w:val="%1、"/>
      <w:lvlJc w:val="left"/>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2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9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65"/>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1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11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20"/>
      <w:lvlText w:val="%1"/>
      <w:lvlJc w:val="left"/>
      <w:pPr>
        <w:ind w:left="680" w:hanging="680"/>
      </w:pPr>
      <w:rPr>
        <w:rFonts w:hint="eastAsia" w:ascii="宋体" w:hAnsi="宋体" w:eastAsia="宋体"/>
      </w:rPr>
    </w:lvl>
    <w:lvl w:ilvl="1" w:tentative="0">
      <w:start w:val="1"/>
      <w:numFmt w:val="decimal"/>
      <w:pStyle w:val="221"/>
      <w:lvlText w:val="%1.%2"/>
      <w:lvlJc w:val="left"/>
      <w:pPr>
        <w:ind w:left="851" w:hanging="851"/>
      </w:pPr>
      <w:rPr>
        <w:rFonts w:hint="eastAsia" w:ascii="宋体" w:hAnsi="宋体" w:eastAsia="宋体"/>
        <w:color w:val="auto"/>
      </w:rPr>
    </w:lvl>
    <w:lvl w:ilvl="2" w:tentative="0">
      <w:start w:val="1"/>
      <w:numFmt w:val="decimal"/>
      <w:pStyle w:val="22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5ECA8A46"/>
    <w:multiLevelType w:val="singleLevel"/>
    <w:tmpl w:val="5ECA8A46"/>
    <w:lvl w:ilvl="0" w:tentative="0">
      <w:start w:val="2"/>
      <w:numFmt w:val="decimal"/>
      <w:lvlText w:val="%1."/>
      <w:lvlJc w:val="left"/>
      <w:pPr>
        <w:tabs>
          <w:tab w:val="left" w:pos="312"/>
        </w:tabs>
      </w:pPr>
    </w:lvl>
  </w:abstractNum>
  <w:abstractNum w:abstractNumId="17">
    <w:nsid w:val="7C163D0B"/>
    <w:multiLevelType w:val="multilevel"/>
    <w:tmpl w:val="7C163D0B"/>
    <w:lvl w:ilvl="0" w:tentative="0">
      <w:start w:val="2"/>
      <w:numFmt w:val="decimal"/>
      <w:lvlText w:val="%1"/>
      <w:lvlJc w:val="left"/>
      <w:pPr>
        <w:ind w:left="600" w:hanging="600"/>
      </w:pPr>
      <w:rPr>
        <w:rFonts w:hint="default" w:cs="宋体"/>
      </w:rPr>
    </w:lvl>
    <w:lvl w:ilvl="1" w:tentative="0">
      <w:start w:val="1"/>
      <w:numFmt w:val="decimal"/>
      <w:lvlText w:val="%1.%2"/>
      <w:lvlJc w:val="left"/>
      <w:pPr>
        <w:ind w:left="812" w:hanging="600"/>
      </w:pPr>
      <w:rPr>
        <w:rFonts w:hint="default" w:cs="宋体"/>
      </w:rPr>
    </w:lvl>
    <w:lvl w:ilvl="2" w:tentative="0">
      <w:start w:val="4"/>
      <w:numFmt w:val="decimal"/>
      <w:lvlText w:val="%1.%2.%3"/>
      <w:lvlJc w:val="left"/>
      <w:pPr>
        <w:ind w:left="1144" w:hanging="720"/>
      </w:pPr>
      <w:rPr>
        <w:rFonts w:hint="default" w:cs="宋体"/>
      </w:rPr>
    </w:lvl>
    <w:lvl w:ilvl="3" w:tentative="0">
      <w:start w:val="1"/>
      <w:numFmt w:val="decimal"/>
      <w:lvlText w:val="%1.%2.%3.%4"/>
      <w:lvlJc w:val="left"/>
      <w:pPr>
        <w:ind w:left="1716" w:hanging="1080"/>
      </w:pPr>
      <w:rPr>
        <w:rFonts w:hint="default" w:cs="宋体"/>
      </w:rPr>
    </w:lvl>
    <w:lvl w:ilvl="4" w:tentative="0">
      <w:start w:val="1"/>
      <w:numFmt w:val="decimal"/>
      <w:lvlText w:val="%1.%2.%3.%4.%5"/>
      <w:lvlJc w:val="left"/>
      <w:pPr>
        <w:ind w:left="1928" w:hanging="1080"/>
      </w:pPr>
      <w:rPr>
        <w:rFonts w:hint="default" w:cs="宋体"/>
      </w:rPr>
    </w:lvl>
    <w:lvl w:ilvl="5" w:tentative="0">
      <w:start w:val="1"/>
      <w:numFmt w:val="decimal"/>
      <w:lvlText w:val="%1.%2.%3.%4.%5.%6"/>
      <w:lvlJc w:val="left"/>
      <w:pPr>
        <w:ind w:left="2500" w:hanging="1440"/>
      </w:pPr>
      <w:rPr>
        <w:rFonts w:hint="default" w:cs="宋体"/>
      </w:rPr>
    </w:lvl>
    <w:lvl w:ilvl="6" w:tentative="0">
      <w:start w:val="1"/>
      <w:numFmt w:val="decimal"/>
      <w:lvlText w:val="%1.%2.%3.%4.%5.%6.%7"/>
      <w:lvlJc w:val="left"/>
      <w:pPr>
        <w:ind w:left="2712" w:hanging="1440"/>
      </w:pPr>
      <w:rPr>
        <w:rFonts w:hint="default" w:cs="宋体"/>
      </w:rPr>
    </w:lvl>
    <w:lvl w:ilvl="7" w:tentative="0">
      <w:start w:val="1"/>
      <w:numFmt w:val="decimal"/>
      <w:lvlText w:val="%1.%2.%3.%4.%5.%6.%7.%8"/>
      <w:lvlJc w:val="left"/>
      <w:pPr>
        <w:ind w:left="3284" w:hanging="1800"/>
      </w:pPr>
      <w:rPr>
        <w:rFonts w:hint="default" w:cs="宋体"/>
      </w:rPr>
    </w:lvl>
    <w:lvl w:ilvl="8" w:tentative="0">
      <w:start w:val="1"/>
      <w:numFmt w:val="decimal"/>
      <w:lvlText w:val="%1.%2.%3.%4.%5.%6.%7.%8.%9"/>
      <w:lvlJc w:val="left"/>
      <w:pPr>
        <w:ind w:left="3496" w:hanging="1800"/>
      </w:pPr>
      <w:rPr>
        <w:rFonts w:hint="default" w:cs="宋体"/>
      </w:rPr>
    </w:lvl>
  </w:abstractNum>
  <w:abstractNum w:abstractNumId="18">
    <w:nsid w:val="7EEE4DE6"/>
    <w:multiLevelType w:val="multilevel"/>
    <w:tmpl w:val="7EEE4DE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1"/>
  </w:num>
  <w:num w:numId="8">
    <w:abstractNumId w:val="9"/>
  </w:num>
  <w:num w:numId="9">
    <w:abstractNumId w:val="13"/>
  </w:num>
  <w:num w:numId="10">
    <w:abstractNumId w:val="3"/>
  </w:num>
  <w:num w:numId="11">
    <w:abstractNumId w:val="12"/>
  </w:num>
  <w:num w:numId="12">
    <w:abstractNumId w:val="2"/>
  </w:num>
  <w:num w:numId="13">
    <w:abstractNumId w:val="1"/>
  </w:num>
  <w:num w:numId="14">
    <w:abstractNumId w:val="17"/>
  </w:num>
  <w:num w:numId="15">
    <w:abstractNumId w:val="18"/>
  </w:num>
  <w:num w:numId="16">
    <w:abstractNumId w:val="0"/>
  </w:num>
  <w:num w:numId="17">
    <w:abstractNumId w:val="16"/>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DB1"/>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EAB"/>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CE"/>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4EAC"/>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3F"/>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70C"/>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02E"/>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0AA8"/>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3E5"/>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66"/>
    <w:rsid w:val="00110F91"/>
    <w:rsid w:val="00111230"/>
    <w:rsid w:val="0011139D"/>
    <w:rsid w:val="0011174B"/>
    <w:rsid w:val="0011199A"/>
    <w:rsid w:val="00111AB0"/>
    <w:rsid w:val="00111B72"/>
    <w:rsid w:val="00111BB5"/>
    <w:rsid w:val="00111C2B"/>
    <w:rsid w:val="00111D5C"/>
    <w:rsid w:val="00111DD5"/>
    <w:rsid w:val="0011204B"/>
    <w:rsid w:val="00112212"/>
    <w:rsid w:val="001125D6"/>
    <w:rsid w:val="001125FB"/>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B4"/>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40"/>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B8"/>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91"/>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7D"/>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97FA6"/>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03B"/>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0D7"/>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44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585"/>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68"/>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0D"/>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7D"/>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6ED"/>
    <w:rsid w:val="002D0806"/>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3D4"/>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21E"/>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0E8"/>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12"/>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C6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CBA"/>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6CAA"/>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8D"/>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B7"/>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231"/>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33D"/>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867"/>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5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145"/>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0F"/>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1A"/>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3E"/>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93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589"/>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D1A"/>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3FF7"/>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72C"/>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B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2EB"/>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06"/>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62B"/>
    <w:rsid w:val="006768CA"/>
    <w:rsid w:val="006768CC"/>
    <w:rsid w:val="0067693D"/>
    <w:rsid w:val="006769FE"/>
    <w:rsid w:val="00676C29"/>
    <w:rsid w:val="00676E97"/>
    <w:rsid w:val="00676FD4"/>
    <w:rsid w:val="00677018"/>
    <w:rsid w:val="00677178"/>
    <w:rsid w:val="0067737E"/>
    <w:rsid w:val="0067759C"/>
    <w:rsid w:val="00677761"/>
    <w:rsid w:val="00677785"/>
    <w:rsid w:val="00677A2C"/>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0E55"/>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B9B"/>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AD6"/>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6F92"/>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9D"/>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68"/>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7C8"/>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8BF"/>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8A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397"/>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AA3"/>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AB"/>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652"/>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DAD"/>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C"/>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31"/>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05F"/>
    <w:rsid w:val="008972B0"/>
    <w:rsid w:val="0089762D"/>
    <w:rsid w:val="008978F0"/>
    <w:rsid w:val="008979A2"/>
    <w:rsid w:val="00897CD7"/>
    <w:rsid w:val="008A0463"/>
    <w:rsid w:val="008A069D"/>
    <w:rsid w:val="008A0767"/>
    <w:rsid w:val="008A0B3C"/>
    <w:rsid w:val="008A0BA2"/>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2E3"/>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1B"/>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B61"/>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BA9"/>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A5B"/>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6D"/>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C7E8C"/>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CD2"/>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BD"/>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2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95D"/>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2FDD"/>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70"/>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04"/>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0FB"/>
    <w:rsid w:val="00A83359"/>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73B"/>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4A"/>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4FBB"/>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20"/>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296"/>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39"/>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4B"/>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EF"/>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2E15"/>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91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6DC"/>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99F"/>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89"/>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4B08"/>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55A"/>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3A9"/>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DB"/>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5F05"/>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BB9"/>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1A0"/>
    <w:rsid w:val="00C15354"/>
    <w:rsid w:val="00C153EC"/>
    <w:rsid w:val="00C1563D"/>
    <w:rsid w:val="00C157A3"/>
    <w:rsid w:val="00C15828"/>
    <w:rsid w:val="00C15B14"/>
    <w:rsid w:val="00C15D1E"/>
    <w:rsid w:val="00C15F1E"/>
    <w:rsid w:val="00C16276"/>
    <w:rsid w:val="00C1649C"/>
    <w:rsid w:val="00C165C2"/>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9A2"/>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0"/>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147"/>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4BC"/>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60B"/>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0F9"/>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CEF"/>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27"/>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85"/>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6C7"/>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013"/>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876"/>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2E"/>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D2C"/>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0F1"/>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3B9"/>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265180"/>
    <w:rsid w:val="03944DF9"/>
    <w:rsid w:val="04A722F0"/>
    <w:rsid w:val="058F34B0"/>
    <w:rsid w:val="094B3B92"/>
    <w:rsid w:val="0B660C1A"/>
    <w:rsid w:val="0B85616C"/>
    <w:rsid w:val="0D5975E8"/>
    <w:rsid w:val="0F3D75E0"/>
    <w:rsid w:val="0F7E51C4"/>
    <w:rsid w:val="144202BF"/>
    <w:rsid w:val="15931427"/>
    <w:rsid w:val="17F93E0B"/>
    <w:rsid w:val="1C370609"/>
    <w:rsid w:val="1C455CA5"/>
    <w:rsid w:val="1D2C69D2"/>
    <w:rsid w:val="1E48649A"/>
    <w:rsid w:val="1EC00522"/>
    <w:rsid w:val="222D0311"/>
    <w:rsid w:val="2237561D"/>
    <w:rsid w:val="22502133"/>
    <w:rsid w:val="239E00B4"/>
    <w:rsid w:val="24CA19B7"/>
    <w:rsid w:val="251E74A4"/>
    <w:rsid w:val="27843CE5"/>
    <w:rsid w:val="288D3427"/>
    <w:rsid w:val="2B2160A9"/>
    <w:rsid w:val="2DF80479"/>
    <w:rsid w:val="2F0A41BD"/>
    <w:rsid w:val="32EB653A"/>
    <w:rsid w:val="34400C84"/>
    <w:rsid w:val="3BCB6780"/>
    <w:rsid w:val="3C5C6B23"/>
    <w:rsid w:val="3D462090"/>
    <w:rsid w:val="3F9651BD"/>
    <w:rsid w:val="42CD0A98"/>
    <w:rsid w:val="431A0C09"/>
    <w:rsid w:val="46B55A9D"/>
    <w:rsid w:val="47706655"/>
    <w:rsid w:val="479B1813"/>
    <w:rsid w:val="480E2158"/>
    <w:rsid w:val="4B65373A"/>
    <w:rsid w:val="4D00163A"/>
    <w:rsid w:val="4DD17FD7"/>
    <w:rsid w:val="4E6F3559"/>
    <w:rsid w:val="4F0F5BE3"/>
    <w:rsid w:val="52422029"/>
    <w:rsid w:val="52F34971"/>
    <w:rsid w:val="53DA7C09"/>
    <w:rsid w:val="53FD3F9C"/>
    <w:rsid w:val="55040901"/>
    <w:rsid w:val="56DF05DE"/>
    <w:rsid w:val="57A778C1"/>
    <w:rsid w:val="57FC6189"/>
    <w:rsid w:val="58853EF1"/>
    <w:rsid w:val="590939A1"/>
    <w:rsid w:val="5915178B"/>
    <w:rsid w:val="5CAF06FA"/>
    <w:rsid w:val="5F073306"/>
    <w:rsid w:val="5F5F73B9"/>
    <w:rsid w:val="60A26796"/>
    <w:rsid w:val="613B0FD6"/>
    <w:rsid w:val="64D1287F"/>
    <w:rsid w:val="659F46C9"/>
    <w:rsid w:val="66E22918"/>
    <w:rsid w:val="66EA07DA"/>
    <w:rsid w:val="6838144E"/>
    <w:rsid w:val="68AA7398"/>
    <w:rsid w:val="6A8D0A8A"/>
    <w:rsid w:val="6A90057A"/>
    <w:rsid w:val="6B410144"/>
    <w:rsid w:val="6C9542CF"/>
    <w:rsid w:val="6FC503DD"/>
    <w:rsid w:val="74161AF0"/>
    <w:rsid w:val="742C597A"/>
    <w:rsid w:val="78A0111E"/>
    <w:rsid w:val="78A41665"/>
    <w:rsid w:val="7BCE24EF"/>
    <w:rsid w:val="7C877EBB"/>
    <w:rsid w:val="7CE02C9B"/>
    <w:rsid w:val="7FD654C2"/>
    <w:rsid w:val="7FF340EA"/>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iPriority="0" w:semiHidden="0" w:name="HTML Acronym"/>
    <w:lsdException w:unhideWhenUsed="0" w:uiPriority="0" w:semiHidden="0" w:name="HTML Address"/>
    <w:lsdException w:qFormat="1" w:unhideWhenUsed="0"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8"/>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6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7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72"/>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73"/>
    <w:qFormat/>
    <w:uiPriority w:val="9"/>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74"/>
    <w:qFormat/>
    <w:uiPriority w:val="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5"/>
    <w:qFormat/>
    <w:uiPriority w:val="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7"/>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39"/>
    <w:pPr>
      <w:ind w:left="2520" w:leftChars="1200"/>
    </w:pPr>
  </w:style>
  <w:style w:type="paragraph" w:styleId="13">
    <w:name w:val="caption"/>
    <w:basedOn w:val="1"/>
    <w:next w:val="1"/>
    <w:link w:val="76"/>
    <w:qFormat/>
    <w:uiPriority w:val="35"/>
    <w:pPr>
      <w:spacing w:line="480" w:lineRule="auto"/>
    </w:pPr>
    <w:rPr>
      <w:rFonts w:ascii="华文中宋" w:hAnsi="华文中宋" w:eastAsia="华文中宋"/>
      <w:sz w:val="36"/>
      <w:szCs w:val="20"/>
    </w:rPr>
  </w:style>
  <w:style w:type="paragraph" w:styleId="14">
    <w:name w:val="Document Map"/>
    <w:basedOn w:val="1"/>
    <w:link w:val="77"/>
    <w:qFormat/>
    <w:uiPriority w:val="99"/>
    <w:pPr>
      <w:shd w:val="clear" w:color="auto" w:fill="000080"/>
    </w:pPr>
  </w:style>
  <w:style w:type="paragraph" w:styleId="15">
    <w:name w:val="annotation text"/>
    <w:basedOn w:val="1"/>
    <w:link w:val="78"/>
    <w:qFormat/>
    <w:uiPriority w:val="99"/>
    <w:pPr>
      <w:jc w:val="left"/>
    </w:pPr>
  </w:style>
  <w:style w:type="paragraph" w:styleId="16">
    <w:name w:val="Body Text 3"/>
    <w:basedOn w:val="1"/>
    <w:link w:val="79"/>
    <w:qFormat/>
    <w:uiPriority w:val="0"/>
    <w:pPr>
      <w:spacing w:after="120"/>
    </w:pPr>
    <w:rPr>
      <w:sz w:val="16"/>
      <w:szCs w:val="16"/>
    </w:rPr>
  </w:style>
  <w:style w:type="paragraph" w:styleId="17">
    <w:name w:val="Body Text"/>
    <w:basedOn w:val="1"/>
    <w:link w:val="63"/>
    <w:qFormat/>
    <w:uiPriority w:val="99"/>
    <w:pPr>
      <w:tabs>
        <w:tab w:val="left" w:pos="567"/>
      </w:tabs>
      <w:spacing w:before="120" w:line="22" w:lineRule="atLeast"/>
    </w:pPr>
    <w:rPr>
      <w:rFonts w:ascii="宋体" w:hAnsi="宋体"/>
      <w:sz w:val="24"/>
    </w:rPr>
  </w:style>
  <w:style w:type="paragraph" w:styleId="18">
    <w:name w:val="Body Text Indent"/>
    <w:basedOn w:val="1"/>
    <w:link w:val="64"/>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39"/>
    <w:pPr>
      <w:ind w:left="1680" w:leftChars="800"/>
    </w:pPr>
  </w:style>
  <w:style w:type="paragraph" w:styleId="22">
    <w:name w:val="toc 3"/>
    <w:basedOn w:val="1"/>
    <w:next w:val="1"/>
    <w:qFormat/>
    <w:uiPriority w:val="39"/>
    <w:pPr>
      <w:ind w:left="840" w:leftChars="400"/>
    </w:pPr>
  </w:style>
  <w:style w:type="paragraph" w:styleId="23">
    <w:name w:val="Plain Text"/>
    <w:basedOn w:val="1"/>
    <w:link w:val="80"/>
    <w:qFormat/>
    <w:uiPriority w:val="0"/>
    <w:rPr>
      <w:rFonts w:hint="eastAsia" w:ascii="宋体" w:hAnsi="Courier New"/>
      <w:szCs w:val="20"/>
    </w:rPr>
  </w:style>
  <w:style w:type="paragraph" w:styleId="24">
    <w:name w:val="toc 8"/>
    <w:basedOn w:val="1"/>
    <w:next w:val="1"/>
    <w:qFormat/>
    <w:uiPriority w:val="39"/>
    <w:pPr>
      <w:ind w:left="2940" w:leftChars="1400"/>
    </w:pPr>
  </w:style>
  <w:style w:type="paragraph" w:styleId="25">
    <w:name w:val="Date"/>
    <w:basedOn w:val="1"/>
    <w:next w:val="1"/>
    <w:link w:val="81"/>
    <w:qFormat/>
    <w:uiPriority w:val="0"/>
    <w:pPr>
      <w:ind w:left="100" w:leftChars="2500"/>
    </w:pPr>
    <w:rPr>
      <w:rFonts w:ascii="仿宋_GB2312" w:hAnsi="宋体" w:eastAsia="仿宋_GB2312"/>
      <w:color w:val="000000"/>
      <w:sz w:val="24"/>
    </w:rPr>
  </w:style>
  <w:style w:type="paragraph" w:styleId="26">
    <w:name w:val="Body Text Indent 2"/>
    <w:basedOn w:val="1"/>
    <w:link w:val="82"/>
    <w:qFormat/>
    <w:uiPriority w:val="0"/>
    <w:pPr>
      <w:ind w:firstLine="480" w:firstLineChars="200"/>
    </w:pPr>
    <w:rPr>
      <w:rFonts w:ascii="仿宋_GB2312" w:eastAsia="仿宋_GB2312"/>
      <w:sz w:val="24"/>
    </w:rPr>
  </w:style>
  <w:style w:type="paragraph" w:styleId="27">
    <w:name w:val="Balloon Text"/>
    <w:basedOn w:val="1"/>
    <w:link w:val="83"/>
    <w:qFormat/>
    <w:uiPriority w:val="99"/>
    <w:rPr>
      <w:sz w:val="18"/>
      <w:szCs w:val="18"/>
    </w:rPr>
  </w:style>
  <w:style w:type="paragraph" w:styleId="28">
    <w:name w:val="footer"/>
    <w:basedOn w:val="1"/>
    <w:link w:val="84"/>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8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39"/>
    <w:pPr>
      <w:ind w:left="1260" w:leftChars="600"/>
    </w:pPr>
  </w:style>
  <w:style w:type="paragraph" w:styleId="32">
    <w:name w:val="index heading"/>
    <w:basedOn w:val="1"/>
    <w:next w:val="33"/>
    <w:autoRedefine/>
    <w:qFormat/>
    <w:uiPriority w:val="0"/>
    <w:rPr>
      <w:rFonts w:ascii="Calibri" w:hAnsi="Calibri"/>
      <w:szCs w:val="20"/>
    </w:rPr>
  </w:style>
  <w:style w:type="paragraph" w:styleId="33">
    <w:name w:val="index 1"/>
    <w:basedOn w:val="1"/>
    <w:next w:val="1"/>
    <w:qFormat/>
    <w:uiPriority w:val="0"/>
    <w:rPr>
      <w:szCs w:val="20"/>
    </w:rPr>
  </w:style>
  <w:style w:type="paragraph" w:styleId="34">
    <w:name w:val="Subtitle"/>
    <w:basedOn w:val="1"/>
    <w:next w:val="1"/>
    <w:link w:val="263"/>
    <w:autoRedefine/>
    <w:qFormat/>
    <w:uiPriority w:val="11"/>
    <w:pPr>
      <w:widowControl/>
      <w:spacing w:before="240" w:after="60" w:line="312" w:lineRule="auto"/>
      <w:jc w:val="center"/>
      <w:outlineLvl w:val="1"/>
    </w:pPr>
    <w:rPr>
      <w:rFonts w:ascii="Cambria" w:hAnsi="Cambria"/>
      <w:b/>
      <w:bCs/>
      <w:kern w:val="28"/>
      <w:sz w:val="32"/>
      <w:szCs w:val="32"/>
    </w:rPr>
  </w:style>
  <w:style w:type="paragraph" w:styleId="35">
    <w:name w:val="toc 6"/>
    <w:basedOn w:val="1"/>
    <w:next w:val="1"/>
    <w:qFormat/>
    <w:uiPriority w:val="39"/>
    <w:pPr>
      <w:ind w:left="2100" w:leftChars="1000"/>
    </w:pPr>
  </w:style>
  <w:style w:type="paragraph" w:styleId="36">
    <w:name w:val="Body Text Indent 3"/>
    <w:basedOn w:val="1"/>
    <w:link w:val="8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index 9"/>
    <w:basedOn w:val="1"/>
    <w:next w:val="1"/>
    <w:autoRedefine/>
    <w:qFormat/>
    <w:uiPriority w:val="0"/>
    <w:pPr>
      <w:tabs>
        <w:tab w:val="left" w:pos="420"/>
      </w:tabs>
      <w:spacing w:line="360" w:lineRule="auto"/>
      <w:ind w:left="1600" w:leftChars="1600"/>
    </w:p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39"/>
    <w:pPr>
      <w:ind w:left="3360" w:leftChars="1600"/>
    </w:pPr>
  </w:style>
  <w:style w:type="paragraph" w:styleId="40">
    <w:name w:val="Body Text 2"/>
    <w:basedOn w:val="1"/>
    <w:link w:val="264"/>
    <w:unhideWhenUsed/>
    <w:qFormat/>
    <w:uiPriority w:val="99"/>
    <w:pPr>
      <w:spacing w:after="120" w:line="480" w:lineRule="auto"/>
    </w:pPr>
  </w:style>
  <w:style w:type="paragraph" w:styleId="41">
    <w:name w:val="Message Header"/>
    <w:basedOn w:val="1"/>
    <w:next w:val="17"/>
    <w:link w:val="265"/>
    <w:autoRedefine/>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spacing w:line="360" w:lineRule="auto"/>
    </w:pPr>
    <w:rPr>
      <w:rFonts w:ascii="Arial" w:hAnsi="Arial"/>
      <w:color w:val="000000"/>
      <w:sz w:val="28"/>
    </w:rPr>
  </w:style>
  <w:style w:type="paragraph" w:styleId="42">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4">
    <w:name w:val="Title"/>
    <w:basedOn w:val="1"/>
    <w:link w:val="88"/>
    <w:qFormat/>
    <w:uiPriority w:val="10"/>
    <w:pPr>
      <w:jc w:val="center"/>
      <w:outlineLvl w:val="0"/>
    </w:pPr>
    <w:rPr>
      <w:b/>
      <w:sz w:val="32"/>
      <w:szCs w:val="20"/>
    </w:rPr>
  </w:style>
  <w:style w:type="paragraph" w:styleId="45">
    <w:name w:val="annotation subject"/>
    <w:basedOn w:val="15"/>
    <w:next w:val="15"/>
    <w:link w:val="89"/>
    <w:qFormat/>
    <w:uiPriority w:val="99"/>
    <w:rPr>
      <w:b/>
      <w:bCs/>
    </w:rPr>
  </w:style>
  <w:style w:type="paragraph" w:styleId="46">
    <w:name w:val="Body Text First Indent"/>
    <w:basedOn w:val="1"/>
    <w:link w:val="266"/>
    <w:autoRedefine/>
    <w:unhideWhenUsed/>
    <w:qFormat/>
    <w:uiPriority w:val="99"/>
    <w:pPr>
      <w:tabs>
        <w:tab w:val="left" w:pos="567"/>
      </w:tabs>
      <w:ind w:firstLine="420" w:firstLineChars="100"/>
    </w:pPr>
  </w:style>
  <w:style w:type="paragraph" w:styleId="47">
    <w:name w:val="Body Text First Indent 2"/>
    <w:basedOn w:val="18"/>
    <w:link w:val="65"/>
    <w:qFormat/>
    <w:uiPriority w:val="0"/>
    <w:pPr>
      <w:spacing w:after="120" w:line="480" w:lineRule="exact"/>
      <w:ind w:left="420" w:leftChars="200" w:firstLine="420" w:firstLineChars="200"/>
    </w:pPr>
    <w:rPr>
      <w:szCs w:val="20"/>
    </w:rPr>
  </w:style>
  <w:style w:type="table" w:styleId="49">
    <w:name w:val="Table Grid"/>
    <w:basedOn w:val="4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Medium Grid 1 Accent 2"/>
    <w:basedOn w:val="4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0"/>
    <w:rPr>
      <w:color w:val="800080"/>
      <w:u w:val="single"/>
    </w:rPr>
  </w:style>
  <w:style w:type="character" w:styleId="55">
    <w:name w:val="Emphasis"/>
    <w:qFormat/>
    <w:uiPriority w:val="0"/>
    <w:rPr>
      <w:color w:val="CC0033"/>
    </w:rPr>
  </w:style>
  <w:style w:type="character" w:styleId="56">
    <w:name w:val="HTML Definition"/>
    <w:basedOn w:val="51"/>
    <w:autoRedefine/>
    <w:unhideWhenUsed/>
    <w:qFormat/>
    <w:uiPriority w:val="0"/>
  </w:style>
  <w:style w:type="character" w:styleId="57">
    <w:name w:val="HTML Acronym"/>
    <w:basedOn w:val="51"/>
    <w:autoRedefine/>
    <w:unhideWhenUsed/>
    <w:qFormat/>
    <w:uiPriority w:val="0"/>
  </w:style>
  <w:style w:type="character" w:styleId="58">
    <w:name w:val="HTML Variable"/>
    <w:basedOn w:val="51"/>
    <w:autoRedefine/>
    <w:unhideWhenUsed/>
    <w:qFormat/>
    <w:uiPriority w:val="0"/>
  </w:style>
  <w:style w:type="character" w:styleId="59">
    <w:name w:val="Hyperlink"/>
    <w:qFormat/>
    <w:uiPriority w:val="99"/>
    <w:rPr>
      <w:color w:val="0000FF"/>
      <w:u w:val="single"/>
    </w:rPr>
  </w:style>
  <w:style w:type="character" w:styleId="60">
    <w:name w:val="HTML Code"/>
    <w:basedOn w:val="51"/>
    <w:autoRedefin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qFormat/>
    <w:uiPriority w:val="0"/>
    <w:rPr>
      <w:i/>
      <w:iCs/>
    </w:rPr>
  </w:style>
  <w:style w:type="character" w:customStyle="1" w:styleId="63">
    <w:name w:val="正文文本 字符"/>
    <w:basedOn w:val="51"/>
    <w:link w:val="17"/>
    <w:qFormat/>
    <w:uiPriority w:val="99"/>
    <w:rPr>
      <w:rFonts w:ascii="宋体" w:hAnsi="宋体"/>
      <w:kern w:val="2"/>
      <w:sz w:val="24"/>
      <w:szCs w:val="24"/>
    </w:rPr>
  </w:style>
  <w:style w:type="character" w:customStyle="1" w:styleId="64">
    <w:name w:val="正文文本缩进 字符"/>
    <w:link w:val="18"/>
    <w:qFormat/>
    <w:uiPriority w:val="0"/>
    <w:rPr>
      <w:rFonts w:eastAsia="宋体"/>
      <w:kern w:val="2"/>
      <w:sz w:val="24"/>
      <w:szCs w:val="24"/>
      <w:lang w:val="en-US" w:eastAsia="zh-CN" w:bidi="ar-SA"/>
    </w:rPr>
  </w:style>
  <w:style w:type="character" w:customStyle="1" w:styleId="65">
    <w:name w:val="正文文本首行缩进 2 字符"/>
    <w:basedOn w:val="64"/>
    <w:link w:val="47"/>
    <w:qFormat/>
    <w:uiPriority w:val="0"/>
    <w:rPr>
      <w:rFonts w:eastAsia="宋体"/>
      <w:kern w:val="2"/>
      <w:sz w:val="24"/>
      <w:szCs w:val="24"/>
      <w:lang w:val="en-US" w:eastAsia="zh-CN" w:bidi="ar-SA"/>
    </w:rPr>
  </w:style>
  <w:style w:type="character" w:customStyle="1" w:styleId="66">
    <w:name w:val="标题 1 字符"/>
    <w:basedOn w:val="51"/>
    <w:link w:val="2"/>
    <w:qFormat/>
    <w:uiPriority w:val="9"/>
    <w:rPr>
      <w:rFonts w:ascii="宋体"/>
      <w:b/>
      <w:kern w:val="44"/>
      <w:sz w:val="32"/>
    </w:rPr>
  </w:style>
  <w:style w:type="character" w:customStyle="1" w:styleId="67">
    <w:name w:val="正文缩进 字符"/>
    <w:link w:val="4"/>
    <w:qFormat/>
    <w:uiPriority w:val="0"/>
    <w:rPr>
      <w:rFonts w:ascii="宋体" w:eastAsia="宋体"/>
      <w:kern w:val="2"/>
      <w:sz w:val="24"/>
      <w:szCs w:val="24"/>
      <w:lang w:val="en-US" w:eastAsia="zh-CN" w:bidi="ar-SA"/>
    </w:rPr>
  </w:style>
  <w:style w:type="character" w:customStyle="1" w:styleId="68">
    <w:name w:val="标题 2 字符"/>
    <w:link w:val="3"/>
    <w:qFormat/>
    <w:uiPriority w:val="9"/>
    <w:rPr>
      <w:rFonts w:ascii="Arial" w:hAnsi="Arial" w:eastAsia="黑体"/>
      <w:b/>
      <w:sz w:val="30"/>
      <w:lang w:val="en-US" w:eastAsia="zh-CN" w:bidi="ar-SA"/>
    </w:rPr>
  </w:style>
  <w:style w:type="character" w:customStyle="1" w:styleId="69">
    <w:name w:val="标题 3 字符"/>
    <w:link w:val="5"/>
    <w:qFormat/>
    <w:uiPriority w:val="0"/>
    <w:rPr>
      <w:rFonts w:ascii="宋体" w:eastAsia="宋体"/>
      <w:b/>
      <w:sz w:val="24"/>
      <w:u w:val="single"/>
      <w:lang w:val="en-US" w:eastAsia="zh-CN" w:bidi="ar-SA"/>
    </w:rPr>
  </w:style>
  <w:style w:type="character" w:customStyle="1" w:styleId="70">
    <w:name w:val="标题 4 字符"/>
    <w:basedOn w:val="51"/>
    <w:link w:val="6"/>
    <w:qFormat/>
    <w:uiPriority w:val="9"/>
    <w:rPr>
      <w:rFonts w:ascii="Arial" w:hAnsi="Arial" w:eastAsia="黑体"/>
      <w:b/>
      <w:sz w:val="28"/>
    </w:rPr>
  </w:style>
  <w:style w:type="character" w:customStyle="1" w:styleId="71">
    <w:name w:val="标题 5 字符"/>
    <w:basedOn w:val="51"/>
    <w:link w:val="7"/>
    <w:qFormat/>
    <w:uiPriority w:val="9"/>
    <w:rPr>
      <w:b/>
      <w:sz w:val="28"/>
    </w:rPr>
  </w:style>
  <w:style w:type="character" w:customStyle="1" w:styleId="72">
    <w:name w:val="标题 6 字符"/>
    <w:basedOn w:val="51"/>
    <w:link w:val="8"/>
    <w:qFormat/>
    <w:uiPriority w:val="9"/>
    <w:rPr>
      <w:rFonts w:ascii="Arial" w:hAnsi="Arial" w:eastAsia="黑体"/>
      <w:b/>
      <w:sz w:val="24"/>
    </w:rPr>
  </w:style>
  <w:style w:type="character" w:customStyle="1" w:styleId="73">
    <w:name w:val="标题 7 字符"/>
    <w:basedOn w:val="51"/>
    <w:link w:val="9"/>
    <w:qFormat/>
    <w:uiPriority w:val="9"/>
    <w:rPr>
      <w:b/>
      <w:sz w:val="24"/>
    </w:rPr>
  </w:style>
  <w:style w:type="character" w:customStyle="1" w:styleId="74">
    <w:name w:val="标题 8 字符"/>
    <w:basedOn w:val="51"/>
    <w:link w:val="10"/>
    <w:qFormat/>
    <w:uiPriority w:val="9"/>
    <w:rPr>
      <w:rFonts w:ascii="Arial" w:hAnsi="Arial" w:eastAsia="黑体"/>
      <w:sz w:val="24"/>
    </w:rPr>
  </w:style>
  <w:style w:type="character" w:customStyle="1" w:styleId="75">
    <w:name w:val="标题 9 字符"/>
    <w:basedOn w:val="51"/>
    <w:link w:val="11"/>
    <w:qFormat/>
    <w:uiPriority w:val="9"/>
    <w:rPr>
      <w:rFonts w:ascii="Arial" w:hAnsi="Arial" w:eastAsia="黑体"/>
      <w:sz w:val="21"/>
    </w:rPr>
  </w:style>
  <w:style w:type="character" w:customStyle="1" w:styleId="76">
    <w:name w:val="题注 字符"/>
    <w:link w:val="13"/>
    <w:autoRedefine/>
    <w:qFormat/>
    <w:uiPriority w:val="35"/>
    <w:rPr>
      <w:rFonts w:ascii="华文中宋" w:hAnsi="华文中宋" w:eastAsia="华文中宋"/>
      <w:kern w:val="2"/>
      <w:sz w:val="36"/>
    </w:rPr>
  </w:style>
  <w:style w:type="character" w:customStyle="1" w:styleId="77">
    <w:name w:val="文档结构图 字符"/>
    <w:basedOn w:val="51"/>
    <w:link w:val="14"/>
    <w:qFormat/>
    <w:uiPriority w:val="99"/>
    <w:rPr>
      <w:kern w:val="2"/>
      <w:sz w:val="21"/>
      <w:szCs w:val="24"/>
      <w:shd w:val="clear" w:color="auto" w:fill="000080"/>
    </w:rPr>
  </w:style>
  <w:style w:type="character" w:customStyle="1" w:styleId="78">
    <w:name w:val="批注文字 字符1"/>
    <w:link w:val="15"/>
    <w:qFormat/>
    <w:uiPriority w:val="99"/>
    <w:rPr>
      <w:kern w:val="2"/>
      <w:sz w:val="21"/>
      <w:szCs w:val="24"/>
    </w:rPr>
  </w:style>
  <w:style w:type="character" w:customStyle="1" w:styleId="79">
    <w:name w:val="正文文本 3 字符"/>
    <w:basedOn w:val="51"/>
    <w:link w:val="16"/>
    <w:qFormat/>
    <w:uiPriority w:val="0"/>
    <w:rPr>
      <w:kern w:val="2"/>
      <w:sz w:val="16"/>
      <w:szCs w:val="16"/>
    </w:rPr>
  </w:style>
  <w:style w:type="character" w:customStyle="1" w:styleId="80">
    <w:name w:val="纯文本 字符2"/>
    <w:basedOn w:val="51"/>
    <w:link w:val="23"/>
    <w:qFormat/>
    <w:uiPriority w:val="0"/>
    <w:rPr>
      <w:rFonts w:hint="eastAsia" w:ascii="宋体" w:hAnsi="Courier New" w:eastAsia="宋体" w:cs="宋体"/>
      <w:kern w:val="2"/>
      <w:sz w:val="21"/>
    </w:rPr>
  </w:style>
  <w:style w:type="character" w:customStyle="1" w:styleId="81">
    <w:name w:val="日期 字符"/>
    <w:basedOn w:val="51"/>
    <w:link w:val="25"/>
    <w:qFormat/>
    <w:uiPriority w:val="0"/>
    <w:rPr>
      <w:rFonts w:ascii="仿宋_GB2312" w:hAnsi="宋体" w:eastAsia="仿宋_GB2312"/>
      <w:color w:val="000000"/>
      <w:kern w:val="2"/>
      <w:sz w:val="24"/>
      <w:szCs w:val="24"/>
    </w:rPr>
  </w:style>
  <w:style w:type="character" w:customStyle="1" w:styleId="82">
    <w:name w:val="正文文本缩进 2 字符"/>
    <w:basedOn w:val="51"/>
    <w:link w:val="26"/>
    <w:qFormat/>
    <w:uiPriority w:val="0"/>
    <w:rPr>
      <w:rFonts w:ascii="仿宋_GB2312" w:eastAsia="仿宋_GB2312"/>
      <w:kern w:val="2"/>
      <w:sz w:val="24"/>
      <w:szCs w:val="24"/>
    </w:rPr>
  </w:style>
  <w:style w:type="character" w:customStyle="1" w:styleId="83">
    <w:name w:val="批注框文本 字符"/>
    <w:basedOn w:val="51"/>
    <w:link w:val="27"/>
    <w:qFormat/>
    <w:uiPriority w:val="99"/>
    <w:rPr>
      <w:kern w:val="2"/>
      <w:sz w:val="18"/>
      <w:szCs w:val="18"/>
    </w:rPr>
  </w:style>
  <w:style w:type="character" w:customStyle="1" w:styleId="84">
    <w:name w:val="页脚 字符"/>
    <w:link w:val="28"/>
    <w:qFormat/>
    <w:uiPriority w:val="0"/>
    <w:rPr>
      <w:rFonts w:ascii="宋体" w:eastAsia="宋体"/>
      <w:sz w:val="18"/>
      <w:lang w:val="en-US" w:eastAsia="zh-CN" w:bidi="ar-SA"/>
    </w:rPr>
  </w:style>
  <w:style w:type="character" w:customStyle="1" w:styleId="85">
    <w:name w:val="页眉 字符"/>
    <w:link w:val="29"/>
    <w:qFormat/>
    <w:uiPriority w:val="99"/>
    <w:rPr>
      <w:rFonts w:eastAsia="宋体"/>
      <w:kern w:val="2"/>
      <w:sz w:val="18"/>
      <w:szCs w:val="18"/>
      <w:lang w:val="en-US" w:eastAsia="zh-CN" w:bidi="ar-SA"/>
    </w:rPr>
  </w:style>
  <w:style w:type="character" w:customStyle="1" w:styleId="86">
    <w:name w:val="正文文本缩进 3 字符"/>
    <w:basedOn w:val="51"/>
    <w:link w:val="36"/>
    <w:qFormat/>
    <w:uiPriority w:val="0"/>
    <w:rPr>
      <w:rFonts w:ascii="宋体"/>
      <w:sz w:val="24"/>
    </w:rPr>
  </w:style>
  <w:style w:type="character" w:customStyle="1" w:styleId="87">
    <w:name w:val="HTML 预设格式 字符"/>
    <w:basedOn w:val="51"/>
    <w:link w:val="42"/>
    <w:qFormat/>
    <w:uiPriority w:val="0"/>
    <w:rPr>
      <w:rFonts w:ascii="宋体" w:hAnsi="宋体" w:cs="宋体"/>
      <w:sz w:val="24"/>
      <w:szCs w:val="24"/>
    </w:rPr>
  </w:style>
  <w:style w:type="character" w:customStyle="1" w:styleId="88">
    <w:name w:val="标题 字符"/>
    <w:link w:val="44"/>
    <w:qFormat/>
    <w:uiPriority w:val="10"/>
    <w:rPr>
      <w:b/>
      <w:kern w:val="2"/>
      <w:sz w:val="32"/>
    </w:rPr>
  </w:style>
  <w:style w:type="character" w:customStyle="1" w:styleId="89">
    <w:name w:val="批注主题 字符"/>
    <w:basedOn w:val="90"/>
    <w:link w:val="45"/>
    <w:qFormat/>
    <w:uiPriority w:val="99"/>
    <w:rPr>
      <w:rFonts w:ascii="Times New Roman" w:hAnsi="Times New Roman" w:eastAsia="宋体" w:cs="Times New Roman"/>
      <w:b/>
      <w:bCs/>
      <w:kern w:val="2"/>
      <w:sz w:val="21"/>
      <w:szCs w:val="24"/>
      <w:lang w:val="en-US" w:eastAsia="zh-CN" w:bidi="ar-SA"/>
    </w:rPr>
  </w:style>
  <w:style w:type="character" w:customStyle="1" w:styleId="90">
    <w:name w:val="批注文字 字符"/>
    <w:qFormat/>
    <w:uiPriority w:val="99"/>
    <w:rPr>
      <w:rFonts w:ascii="Times New Roman" w:hAnsi="Times New Roman" w:eastAsia="宋体" w:cs="Times New Roman"/>
      <w:sz w:val="24"/>
      <w:lang w:val="en-US" w:eastAsia="zh-CN" w:bidi="ar-SA"/>
    </w:rPr>
  </w:style>
  <w:style w:type="character" w:customStyle="1" w:styleId="91">
    <w:name w:val="c21"/>
    <w:qFormat/>
    <w:uiPriority w:val="0"/>
    <w:rPr>
      <w:rFonts w:hint="default" w:ascii="ˎ̥" w:hAnsi="ˎ̥"/>
      <w:color w:val="000000"/>
      <w:sz w:val="20"/>
      <w:szCs w:val="20"/>
      <w:u w:val="none"/>
    </w:rPr>
  </w:style>
  <w:style w:type="character" w:customStyle="1" w:styleId="92">
    <w:name w:val="title4"/>
    <w:qFormat/>
    <w:uiPriority w:val="0"/>
    <w:rPr>
      <w:b/>
      <w:bCs/>
      <w:color w:val="1D87B3"/>
      <w:sz w:val="15"/>
      <w:szCs w:val="15"/>
    </w:rPr>
  </w:style>
  <w:style w:type="character" w:customStyle="1" w:styleId="93">
    <w:name w:val="标题 2 Char Char"/>
    <w:qFormat/>
    <w:uiPriority w:val="0"/>
    <w:rPr>
      <w:rFonts w:ascii="Arial" w:hAnsi="Arial" w:eastAsia="黑体"/>
      <w:b/>
      <w:bCs/>
      <w:kern w:val="2"/>
      <w:sz w:val="32"/>
      <w:szCs w:val="32"/>
      <w:lang w:val="en-US" w:eastAsia="zh-CN" w:bidi="ar-SA"/>
    </w:rPr>
  </w:style>
  <w:style w:type="character" w:customStyle="1" w:styleId="94">
    <w:name w:val="black1"/>
    <w:qFormat/>
    <w:uiPriority w:val="0"/>
    <w:rPr>
      <w:color w:val="000000"/>
    </w:rPr>
  </w:style>
  <w:style w:type="character" w:customStyle="1" w:styleId="95">
    <w:name w:val="street-address"/>
    <w:basedOn w:val="51"/>
    <w:qFormat/>
    <w:uiPriority w:val="0"/>
  </w:style>
  <w:style w:type="character" w:customStyle="1" w:styleId="96">
    <w:name w:val="locality"/>
    <w:basedOn w:val="51"/>
    <w:qFormat/>
    <w:uiPriority w:val="0"/>
  </w:style>
  <w:style w:type="character" w:customStyle="1" w:styleId="97">
    <w:name w:val="正文文本缩进 Char1"/>
    <w:link w:val="98"/>
    <w:qFormat/>
    <w:uiPriority w:val="0"/>
    <w:rPr>
      <w:rFonts w:ascii="宋体" w:hAnsi="宋体" w:eastAsia="宋体"/>
      <w:sz w:val="24"/>
      <w:szCs w:val="24"/>
      <w:lang w:bidi="ar-SA"/>
    </w:rPr>
  </w:style>
  <w:style w:type="paragraph" w:customStyle="1" w:styleId="98">
    <w:name w:val="正文文本缩进1"/>
    <w:basedOn w:val="1"/>
    <w:link w:val="97"/>
    <w:qFormat/>
    <w:uiPriority w:val="0"/>
    <w:pPr>
      <w:spacing w:line="480" w:lineRule="exact"/>
      <w:ind w:firstLine="480" w:firstLineChars="200"/>
    </w:pPr>
    <w:rPr>
      <w:rFonts w:ascii="宋体" w:hAnsi="宋体"/>
      <w:kern w:val="0"/>
      <w:sz w:val="24"/>
    </w:rPr>
  </w:style>
  <w:style w:type="character" w:customStyle="1" w:styleId="99">
    <w:name w:val="Char Char11"/>
    <w:qFormat/>
    <w:uiPriority w:val="0"/>
    <w:rPr>
      <w:rFonts w:ascii="宋体" w:eastAsia="宋体"/>
      <w:b/>
      <w:sz w:val="24"/>
      <w:u w:val="single"/>
      <w:lang w:val="en-US" w:eastAsia="zh-CN" w:bidi="ar-SA"/>
    </w:rPr>
  </w:style>
  <w:style w:type="character" w:customStyle="1" w:styleId="100">
    <w:name w:val="txt"/>
    <w:basedOn w:val="51"/>
    <w:qFormat/>
    <w:uiPriority w:val="0"/>
  </w:style>
  <w:style w:type="character" w:customStyle="1" w:styleId="101">
    <w:name w:val="正文缩进 Char Char"/>
    <w:link w:val="102"/>
    <w:qFormat/>
    <w:uiPriority w:val="0"/>
    <w:rPr>
      <w:rFonts w:ascii="宋体" w:eastAsia="宋体"/>
      <w:snapToGrid w:val="0"/>
      <w:color w:val="000000"/>
      <w:kern w:val="28"/>
      <w:sz w:val="28"/>
      <w:lang w:bidi="ar-SA"/>
    </w:rPr>
  </w:style>
  <w:style w:type="paragraph" w:customStyle="1" w:styleId="102">
    <w:name w:val="正文缩进1"/>
    <w:basedOn w:val="1"/>
    <w:link w:val="10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3">
    <w:name w:val="普通文字1 Char1"/>
    <w:qFormat/>
    <w:uiPriority w:val="0"/>
    <w:rPr>
      <w:rFonts w:ascii="宋体" w:hAnsi="Courier New" w:eastAsia="宋体"/>
      <w:kern w:val="2"/>
      <w:sz w:val="21"/>
      <w:lang w:val="en-US" w:eastAsia="zh-CN" w:bidi="ar-SA"/>
    </w:rPr>
  </w:style>
  <w:style w:type="character" w:customStyle="1" w:styleId="104">
    <w:name w:val="chanpin1"/>
    <w:qFormat/>
    <w:uiPriority w:val="0"/>
    <w:rPr>
      <w:rFonts w:hint="default" w:ascii="ˎ̥" w:hAnsi="ˎ̥"/>
      <w:color w:val="000000"/>
      <w:sz w:val="20"/>
      <w:szCs w:val="20"/>
      <w:u w:val="none"/>
    </w:rPr>
  </w:style>
  <w:style w:type="character" w:customStyle="1" w:styleId="105">
    <w:name w:val="列表段落 字符"/>
    <w:link w:val="106"/>
    <w:qFormat/>
    <w:uiPriority w:val="34"/>
    <w:rPr>
      <w:rFonts w:ascii="Calibri" w:hAnsi="Calibri" w:eastAsia="宋体"/>
      <w:kern w:val="2"/>
      <w:sz w:val="21"/>
      <w:szCs w:val="22"/>
      <w:lang w:val="en-US" w:eastAsia="zh-CN" w:bidi="ar-SA"/>
    </w:rPr>
  </w:style>
  <w:style w:type="paragraph" w:styleId="106">
    <w:name w:val="List Paragraph"/>
    <w:basedOn w:val="1"/>
    <w:link w:val="105"/>
    <w:qFormat/>
    <w:uiPriority w:val="34"/>
    <w:pPr>
      <w:ind w:firstLine="420" w:firstLineChars="200"/>
    </w:pPr>
    <w:rPr>
      <w:rFonts w:ascii="Calibri" w:hAnsi="Calibri"/>
      <w:szCs w:val="22"/>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段1 Char"/>
    <w:qFormat/>
    <w:uiPriority w:val="0"/>
    <w:rPr>
      <w:rFonts w:ascii="宋体" w:eastAsia="宋体"/>
      <w:sz w:val="24"/>
      <w:lang w:val="en-US" w:eastAsia="zh-CN" w:bidi="ar-SA"/>
    </w:rPr>
  </w:style>
  <w:style w:type="character" w:customStyle="1" w:styleId="109">
    <w:name w:val="chanpin拷贝"/>
    <w:basedOn w:val="51"/>
    <w:qFormat/>
    <w:uiPriority w:val="0"/>
  </w:style>
  <w:style w:type="character" w:customStyle="1" w:styleId="110">
    <w:name w:val="纯文本 Char1"/>
    <w:qFormat/>
    <w:uiPriority w:val="0"/>
    <w:rPr>
      <w:rFonts w:ascii="宋体" w:hAnsi="Courier New" w:eastAsia="宋体"/>
      <w:kern w:val="2"/>
      <w:sz w:val="21"/>
      <w:lang w:val="en-US" w:eastAsia="zh-CN" w:bidi="ar-SA"/>
    </w:rPr>
  </w:style>
  <w:style w:type="character" w:customStyle="1" w:styleId="111">
    <w:name w:val="apple-style-span"/>
    <w:qFormat/>
    <w:uiPriority w:val="0"/>
    <w:rPr>
      <w:rFonts w:cs="Times New Roman"/>
    </w:rPr>
  </w:style>
  <w:style w:type="paragraph" w:customStyle="1" w:styleId="112">
    <w:name w:val="二级条标题"/>
    <w:basedOn w:val="113"/>
    <w:next w:val="1"/>
    <w:qFormat/>
    <w:uiPriority w:val="0"/>
    <w:pPr>
      <w:numPr>
        <w:numId w:val="0"/>
      </w:numPr>
      <w:tabs>
        <w:tab w:val="left" w:pos="360"/>
        <w:tab w:val="left" w:pos="840"/>
      </w:tabs>
      <w:ind w:hanging="840"/>
      <w:outlineLvl w:val="2"/>
    </w:pPr>
    <w:rPr>
      <w:rFonts w:ascii="宋体" w:eastAsia="宋体"/>
      <w:b w:val="0"/>
    </w:rPr>
  </w:style>
  <w:style w:type="paragraph" w:customStyle="1" w:styleId="113">
    <w:name w:val="一级条标题"/>
    <w:basedOn w:val="114"/>
    <w:next w:val="1"/>
    <w:qFormat/>
    <w:uiPriority w:val="0"/>
    <w:pPr>
      <w:numPr>
        <w:ilvl w:val="1"/>
      </w:numPr>
      <w:tabs>
        <w:tab w:val="left" w:pos="360"/>
        <w:tab w:val="left" w:pos="840"/>
      </w:tabs>
      <w:ind w:left="0" w:hanging="840"/>
      <w:outlineLvl w:val="1"/>
    </w:pPr>
  </w:style>
  <w:style w:type="paragraph" w:customStyle="1" w:styleId="11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6">
    <w:name w:val="字元 字元"/>
    <w:basedOn w:val="1"/>
    <w:qFormat/>
    <w:uiPriority w:val="0"/>
    <w:rPr>
      <w:rFonts w:ascii="Tahoma" w:hAnsi="Tahoma"/>
      <w:sz w:val="24"/>
      <w:szCs w:val="20"/>
    </w:rPr>
  </w:style>
  <w:style w:type="paragraph" w:customStyle="1" w:styleId="117">
    <w:name w:val="Char3 Char Char Char"/>
    <w:basedOn w:val="1"/>
    <w:qFormat/>
    <w:uiPriority w:val="0"/>
    <w:rPr>
      <w:rFonts w:ascii="Tahoma" w:hAnsi="Tahoma"/>
      <w:sz w:val="24"/>
      <w:szCs w:val="20"/>
    </w:rPr>
  </w:style>
  <w:style w:type="paragraph" w:customStyle="1" w:styleId="11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9">
    <w:name w:val="项目编号2"/>
    <w:basedOn w:val="120"/>
    <w:qFormat/>
    <w:uiPriority w:val="0"/>
    <w:pPr>
      <w:numPr>
        <w:numId w:val="2"/>
      </w:numPr>
    </w:pPr>
  </w:style>
  <w:style w:type="paragraph" w:customStyle="1" w:styleId="12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21">
    <w:name w:val="图中文字"/>
    <w:basedOn w:val="1"/>
    <w:qFormat/>
    <w:uiPriority w:val="0"/>
    <w:pPr>
      <w:adjustRightInd w:val="0"/>
      <w:snapToGrid w:val="0"/>
      <w:spacing w:line="0" w:lineRule="atLeast"/>
      <w:jc w:val="center"/>
    </w:pPr>
    <w:rPr>
      <w:sz w:val="24"/>
      <w:szCs w:val="20"/>
    </w:rPr>
  </w:style>
  <w:style w:type="paragraph" w:customStyle="1" w:styleId="12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4">
    <w:name w:val="Char2"/>
    <w:basedOn w:val="1"/>
    <w:qFormat/>
    <w:uiPriority w:val="0"/>
    <w:rPr>
      <w:rFonts w:ascii="Tahoma" w:hAnsi="Tahoma"/>
      <w:sz w:val="24"/>
      <w:szCs w:val="20"/>
    </w:rPr>
  </w:style>
  <w:style w:type="paragraph" w:customStyle="1" w:styleId="12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8">
    <w:name w:val="font8"/>
    <w:basedOn w:val="1"/>
    <w:qFormat/>
    <w:uiPriority w:val="0"/>
    <w:pPr>
      <w:widowControl/>
      <w:spacing w:before="100" w:beforeAutospacing="1" w:after="100" w:afterAutospacing="1"/>
      <w:jc w:val="left"/>
    </w:pPr>
    <w:rPr>
      <w:kern w:val="0"/>
      <w:sz w:val="36"/>
      <w:szCs w:val="36"/>
    </w:rPr>
  </w:style>
  <w:style w:type="paragraph" w:customStyle="1" w:styleId="139">
    <w:name w:val="Char"/>
    <w:basedOn w:val="1"/>
    <w:qFormat/>
    <w:uiPriority w:val="0"/>
    <w:pPr>
      <w:tabs>
        <w:tab w:val="left" w:pos="360"/>
      </w:tabs>
    </w:pPr>
    <w:rPr>
      <w:sz w:val="24"/>
    </w:rPr>
  </w:style>
  <w:style w:type="paragraph" w:customStyle="1" w:styleId="14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3">
    <w:name w:val="Char Char1"/>
    <w:basedOn w:val="14"/>
    <w:qFormat/>
    <w:uiPriority w:val="0"/>
    <w:rPr>
      <w:rFonts w:ascii="Tahoma" w:hAnsi="Tahoma"/>
      <w:sz w:val="24"/>
    </w:rPr>
  </w:style>
  <w:style w:type="paragraph" w:customStyle="1" w:styleId="14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8">
    <w:name w:val="Char1 Char Char Char1"/>
    <w:basedOn w:val="1"/>
    <w:qFormat/>
    <w:uiPriority w:val="0"/>
    <w:rPr>
      <w:rFonts w:ascii="Tahoma" w:hAnsi="Tahoma" w:cs="仿宋_GB2312"/>
      <w:sz w:val="24"/>
      <w:szCs w:val="28"/>
    </w:rPr>
  </w:style>
  <w:style w:type="paragraph" w:customStyle="1" w:styleId="149">
    <w:name w:val="四级条标题"/>
    <w:basedOn w:val="150"/>
    <w:next w:val="1"/>
    <w:qFormat/>
    <w:uiPriority w:val="0"/>
    <w:pPr>
      <w:numPr>
        <w:ilvl w:val="4"/>
      </w:numPr>
      <w:tabs>
        <w:tab w:val="left" w:pos="360"/>
        <w:tab w:val="left" w:pos="840"/>
      </w:tabs>
      <w:ind w:left="0" w:hanging="840"/>
      <w:outlineLvl w:val="4"/>
    </w:pPr>
  </w:style>
  <w:style w:type="paragraph" w:customStyle="1" w:styleId="150">
    <w:name w:val="三级条标题"/>
    <w:basedOn w:val="112"/>
    <w:next w:val="1"/>
    <w:qFormat/>
    <w:uiPriority w:val="0"/>
    <w:pPr>
      <w:numPr>
        <w:ilvl w:val="3"/>
        <w:numId w:val="1"/>
      </w:numPr>
      <w:ind w:left="0" w:hanging="840"/>
      <w:outlineLvl w:val="3"/>
    </w:pPr>
  </w:style>
  <w:style w:type="paragraph" w:customStyle="1" w:styleId="15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3">
    <w:name w:val="List Paragraph1"/>
    <w:basedOn w:val="1"/>
    <w:qFormat/>
    <w:uiPriority w:val="0"/>
    <w:pPr>
      <w:ind w:firstLine="420" w:firstLineChars="200"/>
    </w:pPr>
    <w:rPr>
      <w:rFonts w:ascii="Calibri" w:hAnsi="Calibri"/>
      <w:szCs w:val="22"/>
    </w:rPr>
  </w:style>
  <w:style w:type="paragraph" w:customStyle="1" w:styleId="154">
    <w:name w:val="项目符号1"/>
    <w:basedOn w:val="155"/>
    <w:qFormat/>
    <w:uiPriority w:val="0"/>
    <w:pPr>
      <w:ind w:left="-25" w:firstLine="0"/>
    </w:pPr>
  </w:style>
  <w:style w:type="paragraph" w:customStyle="1" w:styleId="155">
    <w:name w:val="正文文本样式"/>
    <w:basedOn w:val="1"/>
    <w:qFormat/>
    <w:uiPriority w:val="0"/>
    <w:pPr>
      <w:spacing w:line="360" w:lineRule="auto"/>
      <w:ind w:firstLine="482"/>
    </w:pPr>
    <w:rPr>
      <w:rFonts w:cs="宋体"/>
      <w:sz w:val="24"/>
      <w:szCs w:val="20"/>
    </w:rPr>
  </w:style>
  <w:style w:type="paragraph" w:customStyle="1" w:styleId="15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8">
    <w:name w:val="五级条标题"/>
    <w:basedOn w:val="149"/>
    <w:next w:val="1"/>
    <w:qFormat/>
    <w:uiPriority w:val="0"/>
    <w:pPr>
      <w:numPr>
        <w:ilvl w:val="5"/>
      </w:numPr>
      <w:ind w:left="0" w:hanging="840"/>
      <w:outlineLvl w:val="5"/>
    </w:pPr>
  </w:style>
  <w:style w:type="paragraph" w:customStyle="1" w:styleId="15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0">
    <w:name w:val="文档正文"/>
    <w:basedOn w:val="1"/>
    <w:qFormat/>
    <w:uiPriority w:val="0"/>
    <w:pPr>
      <w:snapToGrid w:val="0"/>
      <w:spacing w:before="120" w:after="120" w:line="180" w:lineRule="auto"/>
    </w:pPr>
    <w:rPr>
      <w:rFonts w:ascii="Arial" w:hAnsi="Arial"/>
      <w:szCs w:val="20"/>
    </w:rPr>
  </w:style>
  <w:style w:type="paragraph" w:customStyle="1" w:styleId="16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3">
    <w:name w:val="Char Char Char1 Char"/>
    <w:basedOn w:val="1"/>
    <w:qFormat/>
    <w:uiPriority w:val="0"/>
    <w:rPr>
      <w:rFonts w:ascii="Tahoma" w:hAnsi="Tahoma"/>
      <w:sz w:val="24"/>
      <w:szCs w:val="20"/>
    </w:rPr>
  </w:style>
  <w:style w:type="paragraph" w:customStyle="1" w:styleId="16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5">
    <w:name w:val="1名"/>
    <w:basedOn w:val="1"/>
    <w:qFormat/>
    <w:uiPriority w:val="0"/>
    <w:pPr>
      <w:numPr>
        <w:ilvl w:val="0"/>
        <w:numId w:val="5"/>
      </w:numPr>
      <w:spacing w:before="120"/>
    </w:pPr>
    <w:rPr>
      <w:rFonts w:ascii="宋体"/>
      <w:sz w:val="28"/>
      <w:szCs w:val="20"/>
    </w:rPr>
  </w:style>
  <w:style w:type="paragraph" w:customStyle="1" w:styleId="16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7">
    <w:name w:val="Char Char Char1 Char1"/>
    <w:basedOn w:val="1"/>
    <w:qFormat/>
    <w:uiPriority w:val="0"/>
    <w:rPr>
      <w:rFonts w:ascii="Tahoma" w:hAnsi="Tahoma"/>
      <w:sz w:val="24"/>
      <w:szCs w:val="20"/>
    </w:rPr>
  </w:style>
  <w:style w:type="paragraph" w:customStyle="1" w:styleId="168">
    <w:name w:val="Char Char Char Char Char Char Char Char Char Char"/>
    <w:basedOn w:val="1"/>
    <w:qFormat/>
    <w:uiPriority w:val="0"/>
  </w:style>
  <w:style w:type="paragraph" w:customStyle="1" w:styleId="16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Char1"/>
    <w:basedOn w:val="1"/>
    <w:qFormat/>
    <w:uiPriority w:val="0"/>
    <w:pPr>
      <w:tabs>
        <w:tab w:val="left" w:pos="360"/>
      </w:tabs>
    </w:pPr>
    <w:rPr>
      <w:sz w:val="24"/>
    </w:rPr>
  </w:style>
  <w:style w:type="paragraph" w:customStyle="1" w:styleId="17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4">
    <w:name w:val="默认段落字体 Para Char Char Char Char"/>
    <w:basedOn w:val="1"/>
    <w:qFormat/>
    <w:uiPriority w:val="0"/>
    <w:rPr>
      <w:rFonts w:ascii="Arial" w:hAnsi="Arial" w:cs="Arial"/>
      <w:szCs w:val="21"/>
    </w:rPr>
  </w:style>
  <w:style w:type="paragraph" w:customStyle="1" w:styleId="17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8">
    <w:name w:val="Char Char Char"/>
    <w:basedOn w:val="1"/>
    <w:qFormat/>
    <w:uiPriority w:val="0"/>
    <w:rPr>
      <w:rFonts w:ascii="Tahoma" w:hAnsi="Tahoma"/>
      <w:sz w:val="24"/>
      <w:szCs w:val="20"/>
    </w:rPr>
  </w:style>
  <w:style w:type="paragraph" w:customStyle="1" w:styleId="17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0">
    <w:name w:val="缺省文本"/>
    <w:basedOn w:val="1"/>
    <w:qFormat/>
    <w:uiPriority w:val="0"/>
    <w:pPr>
      <w:autoSpaceDE w:val="0"/>
      <w:autoSpaceDN w:val="0"/>
      <w:adjustRightInd w:val="0"/>
      <w:jc w:val="left"/>
    </w:pPr>
    <w:rPr>
      <w:kern w:val="0"/>
      <w:sz w:val="24"/>
    </w:rPr>
  </w:style>
  <w:style w:type="paragraph" w:customStyle="1" w:styleId="181">
    <w:name w:val="Char Char Char1"/>
    <w:basedOn w:val="1"/>
    <w:qFormat/>
    <w:uiPriority w:val="0"/>
    <w:rPr>
      <w:rFonts w:ascii="Tahoma" w:hAnsi="Tahoma"/>
      <w:sz w:val="24"/>
      <w:szCs w:val="20"/>
    </w:rPr>
  </w:style>
  <w:style w:type="paragraph" w:customStyle="1" w:styleId="18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4">
    <w:name w:val="样式2"/>
    <w:basedOn w:val="33"/>
    <w:qFormat/>
    <w:uiPriority w:val="0"/>
    <w:pPr>
      <w:spacing w:line="360" w:lineRule="auto"/>
      <w:jc w:val="center"/>
    </w:pPr>
    <w:rPr>
      <w:sz w:val="24"/>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7">
    <w:name w:val="正文 + 楷体_GB2312"/>
    <w:basedOn w:val="1"/>
    <w:qFormat/>
    <w:uiPriority w:val="0"/>
    <w:pPr>
      <w:widowControl/>
      <w:jc w:val="left"/>
    </w:pPr>
    <w:rPr>
      <w:rFonts w:ascii="楷体_GB2312" w:eastAsia="楷体_GB2312" w:cs="Arial"/>
      <w:kern w:val="0"/>
      <w:sz w:val="24"/>
    </w:rPr>
  </w:style>
  <w:style w:type="paragraph" w:customStyle="1" w:styleId="18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9">
    <w:name w:val="1 Char Char Char Char"/>
    <w:basedOn w:val="1"/>
    <w:qFormat/>
    <w:uiPriority w:val="0"/>
    <w:rPr>
      <w:rFonts w:ascii="Tahoma" w:hAnsi="Tahoma"/>
      <w:sz w:val="24"/>
      <w:szCs w:val="20"/>
    </w:rPr>
  </w:style>
  <w:style w:type="paragraph" w:customStyle="1" w:styleId="19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1">
    <w:name w:val="列出段落1"/>
    <w:basedOn w:val="1"/>
    <w:qFormat/>
    <w:uiPriority w:val="0"/>
    <w:pPr>
      <w:ind w:firstLine="420" w:firstLineChars="200"/>
    </w:pPr>
    <w:rPr>
      <w:rFonts w:ascii="Calibri" w:hAnsi="Calibri"/>
      <w:szCs w:val="22"/>
    </w:rPr>
  </w:style>
  <w:style w:type="paragraph" w:customStyle="1" w:styleId="19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3">
    <w:name w:val="字元 字元1"/>
    <w:basedOn w:val="1"/>
    <w:qFormat/>
    <w:uiPriority w:val="0"/>
    <w:rPr>
      <w:rFonts w:ascii="Tahoma" w:hAnsi="Tahoma"/>
      <w:sz w:val="24"/>
      <w:szCs w:val="20"/>
    </w:rPr>
  </w:style>
  <w:style w:type="paragraph" w:customStyle="1" w:styleId="194">
    <w:name w:val="_Style 160"/>
    <w:qFormat/>
    <w:uiPriority w:val="0"/>
    <w:rPr>
      <w:rFonts w:ascii="Times New Roman" w:hAnsi="Times New Roman" w:eastAsia="宋体" w:cs="Times New Roman"/>
      <w:kern w:val="2"/>
      <w:sz w:val="21"/>
      <w:szCs w:val="24"/>
      <w:lang w:val="en-US" w:eastAsia="zh-CN" w:bidi="ar-SA"/>
    </w:rPr>
  </w:style>
  <w:style w:type="paragraph" w:customStyle="1" w:styleId="195">
    <w:name w:val="项目编号3"/>
    <w:basedOn w:val="155"/>
    <w:qFormat/>
    <w:uiPriority w:val="0"/>
    <w:pPr>
      <w:numPr>
        <w:ilvl w:val="0"/>
        <w:numId w:val="6"/>
      </w:numPr>
    </w:pPr>
  </w:style>
  <w:style w:type="paragraph" w:customStyle="1" w:styleId="196">
    <w:name w:val="Char21"/>
    <w:basedOn w:val="1"/>
    <w:qFormat/>
    <w:uiPriority w:val="0"/>
    <w:rPr>
      <w:rFonts w:ascii="Tahoma" w:hAnsi="Tahoma"/>
      <w:sz w:val="24"/>
      <w:szCs w:val="20"/>
    </w:rPr>
  </w:style>
  <w:style w:type="paragraph" w:customStyle="1" w:styleId="19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8">
    <w:name w:val="Char Char Char Char Char Char Char Char Char Char1"/>
    <w:basedOn w:val="1"/>
    <w:qFormat/>
    <w:uiPriority w:val="0"/>
    <w:rPr>
      <w:rFonts w:ascii="宋体" w:hAnsi="宋体" w:cs="Courier New"/>
      <w:sz w:val="32"/>
      <w:szCs w:val="32"/>
    </w:rPr>
  </w:style>
  <w:style w:type="paragraph" w:customStyle="1" w:styleId="199">
    <w:name w:val="正文文本样式 加粗"/>
    <w:basedOn w:val="155"/>
    <w:qFormat/>
    <w:uiPriority w:val="0"/>
    <w:rPr>
      <w:b/>
    </w:rPr>
  </w:style>
  <w:style w:type="paragraph" w:customStyle="1" w:styleId="200">
    <w:name w:val="Char2 Char Char Char Char Char Char"/>
    <w:basedOn w:val="1"/>
    <w:qFormat/>
    <w:uiPriority w:val="0"/>
    <w:pPr>
      <w:widowControl/>
      <w:spacing w:line="400" w:lineRule="exact"/>
      <w:jc w:val="center"/>
    </w:pPr>
  </w:style>
  <w:style w:type="paragraph" w:customStyle="1" w:styleId="201">
    <w:name w:val="Char Char4"/>
    <w:basedOn w:val="1"/>
    <w:qFormat/>
    <w:uiPriority w:val="0"/>
    <w:pPr>
      <w:widowControl/>
      <w:spacing w:line="400" w:lineRule="exact"/>
      <w:jc w:val="center"/>
    </w:pPr>
  </w:style>
  <w:style w:type="paragraph" w:customStyle="1" w:styleId="202">
    <w:name w:val="Char3 Char Char Char1"/>
    <w:basedOn w:val="1"/>
    <w:qFormat/>
    <w:uiPriority w:val="0"/>
    <w:rPr>
      <w:rFonts w:ascii="Tahoma" w:hAnsi="Tahoma"/>
      <w:sz w:val="24"/>
      <w:szCs w:val="20"/>
    </w:rPr>
  </w:style>
  <w:style w:type="paragraph" w:styleId="20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5">
    <w:name w:val="中等深浅网格 1 - 强调文字颜色 2 Char"/>
    <w:link w:val="206"/>
    <w:qFormat/>
    <w:uiPriority w:val="0"/>
    <w:rPr>
      <w:kern w:val="2"/>
      <w:sz w:val="21"/>
      <w:szCs w:val="24"/>
      <w:lang w:val="zh-CN" w:eastAsia="zh-CN"/>
    </w:rPr>
  </w:style>
  <w:style w:type="paragraph" w:customStyle="1" w:styleId="206">
    <w:name w:val="1"/>
    <w:link w:val="205"/>
    <w:qFormat/>
    <w:uiPriority w:val="0"/>
    <w:rPr>
      <w:rFonts w:ascii="Times New Roman" w:hAnsi="Times New Roman" w:eastAsia="宋体" w:cs="Times New Roman"/>
      <w:kern w:val="2"/>
      <w:sz w:val="21"/>
      <w:szCs w:val="24"/>
      <w:lang w:val="zh-CN" w:eastAsia="zh-CN" w:bidi="ar-SA"/>
    </w:rPr>
  </w:style>
  <w:style w:type="paragraph" w:customStyle="1" w:styleId="207">
    <w:name w:val="图文"/>
    <w:basedOn w:val="1"/>
    <w:qFormat/>
    <w:uiPriority w:val="0"/>
    <w:pPr>
      <w:adjustRightInd w:val="0"/>
      <w:snapToGrid w:val="0"/>
      <w:spacing w:after="50" w:line="360" w:lineRule="auto"/>
    </w:pPr>
    <w:rPr>
      <w:sz w:val="24"/>
    </w:rPr>
  </w:style>
  <w:style w:type="paragraph" w:customStyle="1" w:styleId="20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9">
    <w:name w:val="正文表格"/>
    <w:basedOn w:val="1"/>
    <w:link w:val="210"/>
    <w:qFormat/>
    <w:uiPriority w:val="0"/>
    <w:pPr>
      <w:adjustRightInd w:val="0"/>
      <w:snapToGrid w:val="0"/>
      <w:jc w:val="left"/>
    </w:pPr>
    <w:rPr>
      <w:rFonts w:ascii="宋体" w:hAnsi="宋体"/>
      <w:color w:val="000000"/>
      <w:szCs w:val="21"/>
    </w:rPr>
  </w:style>
  <w:style w:type="character" w:customStyle="1" w:styleId="210">
    <w:name w:val="正文表格 Char"/>
    <w:link w:val="209"/>
    <w:qFormat/>
    <w:uiPriority w:val="0"/>
    <w:rPr>
      <w:rFonts w:ascii="宋体" w:hAnsi="宋体"/>
      <w:color w:val="000000"/>
      <w:kern w:val="2"/>
      <w:sz w:val="21"/>
      <w:szCs w:val="21"/>
    </w:rPr>
  </w:style>
  <w:style w:type="paragraph" w:customStyle="1" w:styleId="211">
    <w:name w:val="正文重点"/>
    <w:basedOn w:val="1"/>
    <w:link w:val="212"/>
    <w:qFormat/>
    <w:uiPriority w:val="0"/>
    <w:pPr>
      <w:adjustRightInd w:val="0"/>
      <w:spacing w:line="360" w:lineRule="auto"/>
      <w:ind w:firstLine="482" w:firstLineChars="200"/>
      <w:jc w:val="left"/>
      <w:textAlignment w:val="baseline"/>
    </w:pPr>
    <w:rPr>
      <w:b/>
      <w:kern w:val="0"/>
      <w:sz w:val="24"/>
      <w:szCs w:val="20"/>
    </w:rPr>
  </w:style>
  <w:style w:type="character" w:customStyle="1" w:styleId="212">
    <w:name w:val="正文重点 Char"/>
    <w:link w:val="211"/>
    <w:qFormat/>
    <w:uiPriority w:val="0"/>
    <w:rPr>
      <w:b/>
      <w:sz w:val="24"/>
    </w:rPr>
  </w:style>
  <w:style w:type="paragraph" w:customStyle="1" w:styleId="213">
    <w:name w:val="标题1-附件"/>
    <w:basedOn w:val="2"/>
    <w:qFormat/>
    <w:uiPriority w:val="0"/>
    <w:pPr>
      <w:jc w:val="left"/>
    </w:pPr>
    <w:rPr>
      <w:sz w:val="24"/>
      <w:szCs w:val="24"/>
    </w:rPr>
  </w:style>
  <w:style w:type="paragraph" w:customStyle="1" w:styleId="214">
    <w:name w:val="正文小标题"/>
    <w:basedOn w:val="1"/>
    <w:next w:val="4"/>
    <w:link w:val="21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5">
    <w:name w:val="正文小标题 Char"/>
    <w:link w:val="214"/>
    <w:qFormat/>
    <w:uiPriority w:val="0"/>
    <w:rPr>
      <w:rFonts w:ascii="宋体" w:hAnsi="宋体"/>
      <w:b/>
      <w:i/>
      <w:color w:val="FF0000"/>
      <w:kern w:val="2"/>
      <w:sz w:val="24"/>
    </w:rPr>
  </w:style>
  <w:style w:type="paragraph" w:customStyle="1" w:styleId="216">
    <w:name w:val="正文大标题"/>
    <w:basedOn w:val="214"/>
    <w:next w:val="4"/>
    <w:link w:val="217"/>
    <w:qFormat/>
    <w:uiPriority w:val="0"/>
    <w:pPr>
      <w:jc w:val="center"/>
    </w:pPr>
    <w:rPr>
      <w:i w:val="0"/>
      <w:color w:val="000000"/>
      <w:sz w:val="28"/>
      <w:szCs w:val="21"/>
    </w:rPr>
  </w:style>
  <w:style w:type="character" w:customStyle="1" w:styleId="217">
    <w:name w:val="正文大标题 Char"/>
    <w:link w:val="216"/>
    <w:qFormat/>
    <w:uiPriority w:val="0"/>
    <w:rPr>
      <w:rFonts w:ascii="宋体" w:hAnsi="宋体"/>
      <w:b/>
      <w:color w:val="000000"/>
      <w:kern w:val="2"/>
      <w:sz w:val="28"/>
      <w:szCs w:val="21"/>
    </w:rPr>
  </w:style>
  <w:style w:type="paragraph" w:customStyle="1" w:styleId="218">
    <w:name w:val="注释"/>
    <w:basedOn w:val="1"/>
    <w:link w:val="219"/>
    <w:qFormat/>
    <w:uiPriority w:val="0"/>
    <w:pPr>
      <w:adjustRightInd w:val="0"/>
      <w:snapToGrid w:val="0"/>
      <w:ind w:left="420" w:hanging="420" w:hangingChars="200"/>
      <w:jc w:val="left"/>
    </w:pPr>
    <w:rPr>
      <w:rFonts w:ascii="宋体" w:hAnsi="宋体"/>
      <w:szCs w:val="21"/>
    </w:rPr>
  </w:style>
  <w:style w:type="character" w:customStyle="1" w:styleId="219">
    <w:name w:val="注释 Char"/>
    <w:link w:val="218"/>
    <w:qFormat/>
    <w:uiPriority w:val="0"/>
    <w:rPr>
      <w:rFonts w:ascii="宋体" w:hAnsi="宋体"/>
      <w:kern w:val="2"/>
      <w:sz w:val="21"/>
      <w:szCs w:val="21"/>
    </w:rPr>
  </w:style>
  <w:style w:type="paragraph" w:customStyle="1" w:styleId="22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2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2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3">
    <w:name w:val="纯文本 字符"/>
    <w:qFormat/>
    <w:uiPriority w:val="99"/>
    <w:rPr>
      <w:rFonts w:ascii="宋体" w:hAnsi="Courier New" w:eastAsia="宋体" w:cs="Times New Roman"/>
      <w:kern w:val="2"/>
      <w:sz w:val="21"/>
      <w:szCs w:val="21"/>
      <w:lang w:val="en-US" w:eastAsia="zh-CN" w:bidi="ar-SA"/>
    </w:rPr>
  </w:style>
  <w:style w:type="paragraph" w:customStyle="1" w:styleId="224">
    <w:name w:val="表格1"/>
    <w:basedOn w:val="1"/>
    <w:qFormat/>
    <w:uiPriority w:val="0"/>
    <w:pPr>
      <w:ind w:firstLine="480" w:firstLineChars="200"/>
      <w:jc w:val="center"/>
    </w:pPr>
    <w:rPr>
      <w:sz w:val="24"/>
      <w:szCs w:val="20"/>
    </w:rPr>
  </w:style>
  <w:style w:type="character" w:customStyle="1" w:styleId="225">
    <w:name w:val="纯文本 字符1"/>
    <w:qFormat/>
    <w:uiPriority w:val="0"/>
    <w:rPr>
      <w:rFonts w:ascii="宋体" w:hAnsi="Courier New"/>
    </w:rPr>
  </w:style>
  <w:style w:type="character" w:customStyle="1" w:styleId="226">
    <w:name w:val="bjh-p"/>
    <w:qFormat/>
    <w:uiPriority w:val="0"/>
  </w:style>
  <w:style w:type="paragraph" w:customStyle="1" w:styleId="22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8">
    <w:name w:val="正文格式 Char"/>
    <w:link w:val="229"/>
    <w:qFormat/>
    <w:locked/>
    <w:uiPriority w:val="0"/>
    <w:rPr>
      <w:rFonts w:ascii="宋体" w:hAnsi="宋体"/>
      <w:sz w:val="24"/>
      <w:szCs w:val="24"/>
      <w:lang w:val="en-GB"/>
    </w:rPr>
  </w:style>
  <w:style w:type="paragraph" w:customStyle="1" w:styleId="229">
    <w:name w:val="正文格式"/>
    <w:basedOn w:val="1"/>
    <w:link w:val="228"/>
    <w:qFormat/>
    <w:uiPriority w:val="0"/>
    <w:pPr>
      <w:spacing w:beforeLines="50" w:line="360" w:lineRule="auto"/>
      <w:ind w:firstLine="480" w:firstLineChars="200"/>
    </w:pPr>
    <w:rPr>
      <w:rFonts w:ascii="宋体" w:hAnsi="宋体"/>
      <w:kern w:val="0"/>
      <w:sz w:val="24"/>
      <w:lang w:val="en-GB"/>
    </w:rPr>
  </w:style>
  <w:style w:type="character" w:customStyle="1" w:styleId="230">
    <w:name w:val="标题 3 Char"/>
    <w:qFormat/>
    <w:uiPriority w:val="0"/>
    <w:rPr>
      <w:rFonts w:ascii="宋体" w:eastAsia="宋体"/>
      <w:b/>
      <w:sz w:val="24"/>
      <w:u w:val="single"/>
      <w:lang w:val="en-US" w:eastAsia="zh-CN" w:bidi="ar-SA"/>
    </w:rPr>
  </w:style>
  <w:style w:type="character" w:customStyle="1" w:styleId="231">
    <w:name w:val="正文缩进 Char"/>
    <w:qFormat/>
    <w:uiPriority w:val="0"/>
    <w:rPr>
      <w:rFonts w:ascii="宋体" w:eastAsia="宋体"/>
      <w:kern w:val="2"/>
      <w:sz w:val="24"/>
      <w:szCs w:val="24"/>
      <w:lang w:val="en-US" w:eastAsia="zh-CN" w:bidi="ar-SA"/>
    </w:rPr>
  </w:style>
  <w:style w:type="character" w:customStyle="1" w:styleId="232">
    <w:name w:val="Char Char111"/>
    <w:qFormat/>
    <w:uiPriority w:val="0"/>
    <w:rPr>
      <w:rFonts w:ascii="宋体" w:eastAsia="宋体"/>
      <w:b/>
      <w:sz w:val="24"/>
      <w:u w:val="single"/>
      <w:lang w:val="en-US" w:eastAsia="zh-CN" w:bidi="ar-SA"/>
    </w:rPr>
  </w:style>
  <w:style w:type="character" w:customStyle="1" w:styleId="233">
    <w:name w:val="正文文本缩进 Char"/>
    <w:qFormat/>
    <w:uiPriority w:val="0"/>
    <w:rPr>
      <w:rFonts w:eastAsia="宋体"/>
      <w:kern w:val="2"/>
      <w:sz w:val="24"/>
      <w:szCs w:val="24"/>
      <w:lang w:val="en-US" w:eastAsia="zh-CN" w:bidi="ar-SA"/>
    </w:rPr>
  </w:style>
  <w:style w:type="character" w:customStyle="1" w:styleId="234">
    <w:name w:val="列出段落 Char"/>
    <w:qFormat/>
    <w:uiPriority w:val="0"/>
    <w:rPr>
      <w:rFonts w:ascii="Calibri" w:hAnsi="Calibri" w:eastAsia="宋体"/>
      <w:kern w:val="2"/>
      <w:sz w:val="21"/>
      <w:szCs w:val="22"/>
      <w:lang w:val="en-US" w:eastAsia="zh-CN" w:bidi="ar-SA"/>
    </w:rPr>
  </w:style>
  <w:style w:type="character" w:customStyle="1" w:styleId="235">
    <w:name w:val="页眉 Char"/>
    <w:qFormat/>
    <w:uiPriority w:val="0"/>
    <w:rPr>
      <w:rFonts w:eastAsia="宋体"/>
      <w:kern w:val="2"/>
      <w:sz w:val="18"/>
      <w:szCs w:val="18"/>
      <w:lang w:val="en-US" w:eastAsia="zh-CN" w:bidi="ar-SA"/>
    </w:rPr>
  </w:style>
  <w:style w:type="character" w:customStyle="1" w:styleId="236">
    <w:name w:val="标题 2 Char"/>
    <w:qFormat/>
    <w:uiPriority w:val="0"/>
    <w:rPr>
      <w:rFonts w:ascii="Arial" w:hAnsi="Arial" w:eastAsia="黑体"/>
      <w:b/>
      <w:sz w:val="30"/>
      <w:lang w:val="en-US" w:eastAsia="zh-CN" w:bidi="ar-SA"/>
    </w:rPr>
  </w:style>
  <w:style w:type="paragraph" w:customStyle="1" w:styleId="237">
    <w:name w:val="字元 字元2"/>
    <w:basedOn w:val="1"/>
    <w:qFormat/>
    <w:uiPriority w:val="0"/>
    <w:rPr>
      <w:rFonts w:ascii="Tahoma" w:hAnsi="Tahoma"/>
      <w:sz w:val="24"/>
      <w:szCs w:val="20"/>
    </w:rPr>
  </w:style>
  <w:style w:type="paragraph" w:customStyle="1" w:styleId="238">
    <w:name w:val="Char3 Char Char Char2"/>
    <w:basedOn w:val="1"/>
    <w:qFormat/>
    <w:uiPriority w:val="0"/>
    <w:rPr>
      <w:rFonts w:ascii="Tahoma" w:hAnsi="Tahoma"/>
      <w:sz w:val="24"/>
      <w:szCs w:val="20"/>
    </w:rPr>
  </w:style>
  <w:style w:type="paragraph" w:customStyle="1" w:styleId="23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40">
    <w:name w:val="Char3"/>
    <w:basedOn w:val="1"/>
    <w:qFormat/>
    <w:uiPriority w:val="0"/>
    <w:pPr>
      <w:tabs>
        <w:tab w:val="left" w:pos="360"/>
      </w:tabs>
    </w:pPr>
    <w:rPr>
      <w:sz w:val="24"/>
    </w:rPr>
  </w:style>
  <w:style w:type="paragraph" w:customStyle="1" w:styleId="24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3">
    <w:name w:val="列出段落2"/>
    <w:basedOn w:val="1"/>
    <w:qFormat/>
    <w:uiPriority w:val="0"/>
    <w:pPr>
      <w:ind w:firstLine="420" w:firstLineChars="200"/>
    </w:pPr>
    <w:rPr>
      <w:rFonts w:ascii="Calibri" w:hAnsi="Calibri"/>
      <w:szCs w:val="22"/>
    </w:rPr>
  </w:style>
  <w:style w:type="paragraph" w:customStyle="1" w:styleId="244">
    <w:name w:val="Char Char Char1 Char2"/>
    <w:basedOn w:val="1"/>
    <w:qFormat/>
    <w:uiPriority w:val="0"/>
    <w:rPr>
      <w:rFonts w:ascii="Tahoma" w:hAnsi="Tahoma"/>
      <w:sz w:val="24"/>
      <w:szCs w:val="20"/>
    </w:rPr>
  </w:style>
  <w:style w:type="paragraph" w:customStyle="1" w:styleId="245">
    <w:name w:val="Char Char Char2"/>
    <w:basedOn w:val="1"/>
    <w:qFormat/>
    <w:uiPriority w:val="0"/>
    <w:rPr>
      <w:rFonts w:ascii="Tahoma" w:hAnsi="Tahoma"/>
      <w:sz w:val="24"/>
      <w:szCs w:val="20"/>
    </w:rPr>
  </w:style>
  <w:style w:type="paragraph" w:customStyle="1" w:styleId="24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8">
    <w:name w:val="修订1"/>
    <w:qFormat/>
    <w:uiPriority w:val="0"/>
    <w:rPr>
      <w:rFonts w:ascii="Times New Roman" w:hAnsi="Times New Roman" w:eastAsia="宋体" w:cs="Times New Roman"/>
      <w:kern w:val="2"/>
      <w:sz w:val="21"/>
      <w:szCs w:val="24"/>
      <w:lang w:val="en-US" w:eastAsia="zh-CN" w:bidi="ar-SA"/>
    </w:rPr>
  </w:style>
  <w:style w:type="paragraph" w:customStyle="1" w:styleId="249">
    <w:name w:val="Char22"/>
    <w:basedOn w:val="1"/>
    <w:qFormat/>
    <w:uiPriority w:val="0"/>
    <w:rPr>
      <w:rFonts w:ascii="Tahoma" w:hAnsi="Tahoma"/>
      <w:sz w:val="24"/>
      <w:szCs w:val="20"/>
    </w:rPr>
  </w:style>
  <w:style w:type="paragraph" w:customStyle="1" w:styleId="250">
    <w:name w:val="Char Char Char Char Char Char Char Char Char Char2"/>
    <w:basedOn w:val="1"/>
    <w:qFormat/>
    <w:uiPriority w:val="0"/>
    <w:rPr>
      <w:rFonts w:ascii="宋体" w:hAnsi="宋体" w:cs="Courier New"/>
      <w:sz w:val="32"/>
      <w:szCs w:val="32"/>
    </w:rPr>
  </w:style>
  <w:style w:type="paragraph" w:customStyle="1" w:styleId="251">
    <w:name w:val="Char2 Char Char Char Char Char Char1"/>
    <w:basedOn w:val="1"/>
    <w:qFormat/>
    <w:uiPriority w:val="0"/>
    <w:pPr>
      <w:widowControl/>
      <w:spacing w:line="400" w:lineRule="exact"/>
      <w:jc w:val="center"/>
    </w:pPr>
  </w:style>
  <w:style w:type="character" w:customStyle="1" w:styleId="252">
    <w:name w:val="页脚 Char"/>
    <w:qFormat/>
    <w:uiPriority w:val="0"/>
    <w:rPr>
      <w:rFonts w:ascii="宋体" w:eastAsia="宋体"/>
      <w:sz w:val="18"/>
      <w:lang w:val="en-US" w:eastAsia="zh-CN" w:bidi="ar-SA"/>
    </w:rPr>
  </w:style>
  <w:style w:type="paragraph" w:customStyle="1" w:styleId="253">
    <w:name w:val="Char Char41"/>
    <w:basedOn w:val="1"/>
    <w:qFormat/>
    <w:uiPriority w:val="0"/>
    <w:pPr>
      <w:widowControl/>
      <w:spacing w:line="400" w:lineRule="exact"/>
      <w:jc w:val="center"/>
    </w:pPr>
  </w:style>
  <w:style w:type="character" w:customStyle="1" w:styleId="254">
    <w:name w:val="批注文字 Char"/>
    <w:qFormat/>
    <w:uiPriority w:val="99"/>
    <w:rPr>
      <w:kern w:val="2"/>
      <w:sz w:val="21"/>
      <w:szCs w:val="24"/>
    </w:rPr>
  </w:style>
  <w:style w:type="character" w:customStyle="1" w:styleId="255">
    <w:name w:val="标题 Char"/>
    <w:qFormat/>
    <w:uiPriority w:val="0"/>
    <w:rPr>
      <w:b/>
      <w:kern w:val="2"/>
      <w:sz w:val="32"/>
    </w:rPr>
  </w:style>
  <w:style w:type="paragraph" w:customStyle="1" w:styleId="256">
    <w:name w:val="图例"/>
    <w:basedOn w:val="1"/>
    <w:qFormat/>
    <w:uiPriority w:val="0"/>
    <w:pPr>
      <w:spacing w:before="120" w:after="120" w:line="360" w:lineRule="auto"/>
      <w:jc w:val="center"/>
    </w:pPr>
    <w:rPr>
      <w:rFonts w:eastAsia="仿宋_GB2312"/>
      <w:b/>
      <w:sz w:val="24"/>
      <w:szCs w:val="20"/>
    </w:rPr>
  </w:style>
  <w:style w:type="paragraph" w:customStyle="1" w:styleId="25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8">
    <w:name w:val="Table Normal"/>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9">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Table Text"/>
    <w:basedOn w:val="1"/>
    <w:semiHidden/>
    <w:qFormat/>
    <w:uiPriority w:val="0"/>
    <w:rPr>
      <w:rFonts w:ascii="宋体" w:hAnsi="宋体" w:cs="宋体"/>
      <w:sz w:val="28"/>
      <w:szCs w:val="28"/>
      <w:lang w:eastAsia="en-US"/>
    </w:rPr>
  </w:style>
  <w:style w:type="paragraph" w:customStyle="1" w:styleId="261">
    <w:name w:val="WPSOffice手动目录 1"/>
    <w:qFormat/>
    <w:uiPriority w:val="0"/>
    <w:rPr>
      <w:rFonts w:ascii="Times New Roman" w:hAnsi="Times New Roman" w:eastAsia="宋体" w:cs="Times New Roman"/>
      <w:lang w:val="en-US" w:eastAsia="zh-CN" w:bidi="ar-SA"/>
    </w:rPr>
  </w:style>
  <w:style w:type="paragraph" w:customStyle="1" w:styleId="262">
    <w:name w:val="toc 73"/>
    <w:next w:val="1"/>
    <w:autoRedefine/>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263">
    <w:name w:val="副标题 字符"/>
    <w:basedOn w:val="51"/>
    <w:link w:val="34"/>
    <w:qFormat/>
    <w:uiPriority w:val="11"/>
    <w:rPr>
      <w:rFonts w:ascii="Cambria" w:hAnsi="Cambria"/>
      <w:b/>
      <w:bCs/>
      <w:kern w:val="28"/>
      <w:sz w:val="32"/>
      <w:szCs w:val="32"/>
    </w:rPr>
  </w:style>
  <w:style w:type="character" w:customStyle="1" w:styleId="264">
    <w:name w:val="正文文本 2 字符"/>
    <w:basedOn w:val="51"/>
    <w:link w:val="40"/>
    <w:qFormat/>
    <w:uiPriority w:val="99"/>
    <w:rPr>
      <w:kern w:val="2"/>
      <w:sz w:val="21"/>
      <w:szCs w:val="24"/>
    </w:rPr>
  </w:style>
  <w:style w:type="character" w:customStyle="1" w:styleId="265">
    <w:name w:val="信息标题 字符"/>
    <w:basedOn w:val="51"/>
    <w:link w:val="41"/>
    <w:qFormat/>
    <w:uiPriority w:val="99"/>
    <w:rPr>
      <w:rFonts w:ascii="Arial" w:hAnsi="Arial"/>
      <w:color w:val="000000"/>
      <w:kern w:val="2"/>
      <w:sz w:val="28"/>
      <w:szCs w:val="24"/>
      <w:shd w:val="pct20" w:color="auto" w:fill="auto"/>
    </w:rPr>
  </w:style>
  <w:style w:type="character" w:customStyle="1" w:styleId="266">
    <w:name w:val="正文文本首行缩进 字符"/>
    <w:basedOn w:val="63"/>
    <w:link w:val="46"/>
    <w:qFormat/>
    <w:uiPriority w:val="99"/>
    <w:rPr>
      <w:rFonts w:ascii="宋体" w:hAnsi="宋体"/>
      <w:kern w:val="2"/>
      <w:sz w:val="21"/>
      <w:szCs w:val="24"/>
    </w:rPr>
  </w:style>
  <w:style w:type="paragraph" w:customStyle="1" w:styleId="267">
    <w:name w:val="列表段落1"/>
    <w:basedOn w:val="1"/>
    <w:autoRedefine/>
    <w:qFormat/>
    <w:uiPriority w:val="34"/>
    <w:pPr>
      <w:ind w:firstLine="420" w:firstLineChars="200"/>
    </w:pPr>
    <w:rPr>
      <w:rFonts w:ascii="Calibri" w:hAnsi="Calibri"/>
      <w:szCs w:val="22"/>
    </w:rPr>
  </w:style>
  <w:style w:type="paragraph" w:customStyle="1" w:styleId="268">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样式"/>
    <w:autoRedefine/>
    <w:qFormat/>
    <w:uiPriority w:val="0"/>
    <w:pPr>
      <w:widowControl w:val="0"/>
      <w:autoSpaceDE w:val="0"/>
      <w:autoSpaceDN w:val="0"/>
      <w:adjustRightInd w:val="0"/>
    </w:pPr>
    <w:rPr>
      <w:rFonts w:ascii="Times New Roman" w:hAnsi="Times New Roman" w:cs="Times New Roman" w:eastAsiaTheme="minorEastAsia"/>
      <w:sz w:val="24"/>
      <w:szCs w:val="24"/>
      <w:lang w:val="en-US" w:eastAsia="zh-CN" w:bidi="ar-SA"/>
    </w:rPr>
  </w:style>
  <w:style w:type="character" w:customStyle="1" w:styleId="270">
    <w:name w:val="font21"/>
    <w:basedOn w:val="51"/>
    <w:autoRedefine/>
    <w:qFormat/>
    <w:uiPriority w:val="0"/>
    <w:rPr>
      <w:rFonts w:hint="eastAsia" w:ascii="宋体" w:hAnsi="宋体" w:eastAsia="宋体" w:cs="宋体"/>
      <w:color w:val="000000"/>
      <w:sz w:val="24"/>
      <w:szCs w:val="24"/>
      <w:u w:val="none"/>
    </w:rPr>
  </w:style>
  <w:style w:type="character" w:customStyle="1" w:styleId="271">
    <w:name w:val="样式1 Char"/>
    <w:link w:val="272"/>
    <w:autoRedefine/>
    <w:qFormat/>
    <w:uiPriority w:val="0"/>
    <w:rPr>
      <w:rFonts w:ascii="宋体" w:hAnsi="宋体"/>
      <w:sz w:val="21"/>
      <w:szCs w:val="21"/>
    </w:rPr>
  </w:style>
  <w:style w:type="paragraph" w:customStyle="1" w:styleId="272">
    <w:name w:val="样式1"/>
    <w:basedOn w:val="1"/>
    <w:link w:val="271"/>
    <w:autoRedefine/>
    <w:qFormat/>
    <w:uiPriority w:val="0"/>
    <w:pPr>
      <w:tabs>
        <w:tab w:val="left" w:pos="709"/>
      </w:tabs>
      <w:adjustRightInd w:val="0"/>
      <w:ind w:left="709" w:hanging="709"/>
      <w:textAlignment w:val="baseline"/>
    </w:pPr>
    <w:rPr>
      <w:rFonts w:ascii="宋体" w:hAnsi="宋体"/>
      <w:kern w:val="0"/>
      <w:szCs w:val="21"/>
    </w:rPr>
  </w:style>
  <w:style w:type="character" w:customStyle="1" w:styleId="273">
    <w:name w:val="apple-converted-space"/>
    <w:basedOn w:val="51"/>
    <w:autoRedefine/>
    <w:qFormat/>
    <w:uiPriority w:val="0"/>
  </w:style>
  <w:style w:type="character" w:customStyle="1" w:styleId="274">
    <w:name w:val="正文缩进1 Char1"/>
    <w:autoRedefine/>
    <w:qFormat/>
    <w:uiPriority w:val="0"/>
    <w:rPr>
      <w:rFonts w:ascii="仿宋_GB2312" w:hAnsi="Times New Roman" w:eastAsia="仿宋_GB2312" w:cs="Times New Roman"/>
      <w:b/>
      <w:sz w:val="28"/>
      <w:szCs w:val="24"/>
    </w:rPr>
  </w:style>
  <w:style w:type="character" w:customStyle="1" w:styleId="275">
    <w:name w:val="font71"/>
    <w:basedOn w:val="51"/>
    <w:autoRedefine/>
    <w:qFormat/>
    <w:uiPriority w:val="0"/>
    <w:rPr>
      <w:rFonts w:hint="eastAsia" w:ascii="宋体" w:hAnsi="宋体" w:eastAsia="宋体" w:cs="宋体"/>
      <w:color w:val="000000"/>
      <w:sz w:val="18"/>
      <w:szCs w:val="18"/>
      <w:u w:val="none"/>
    </w:rPr>
  </w:style>
  <w:style w:type="character" w:customStyle="1" w:styleId="276">
    <w:name w:val="font61"/>
    <w:basedOn w:val="51"/>
    <w:autoRedefine/>
    <w:qFormat/>
    <w:uiPriority w:val="0"/>
    <w:rPr>
      <w:rFonts w:hint="eastAsia" w:ascii="宋体" w:hAnsi="宋体" w:eastAsia="宋体" w:cs="宋体"/>
      <w:b/>
      <w:color w:val="000000"/>
      <w:sz w:val="18"/>
      <w:szCs w:val="18"/>
      <w:u w:val="none"/>
    </w:rPr>
  </w:style>
  <w:style w:type="character" w:customStyle="1" w:styleId="277">
    <w:name w:val="正文缩进1 Char"/>
    <w:autoRedefine/>
    <w:qFormat/>
    <w:uiPriority w:val="0"/>
    <w:rPr>
      <w:rFonts w:ascii="仿宋_GB2312" w:eastAsia="仿宋_GB2312"/>
      <w:kern w:val="2"/>
      <w:sz w:val="28"/>
      <w:szCs w:val="24"/>
    </w:rPr>
  </w:style>
  <w:style w:type="character" w:customStyle="1" w:styleId="278">
    <w:name w:val="font31"/>
    <w:autoRedefine/>
    <w:qFormat/>
    <w:uiPriority w:val="0"/>
    <w:rPr>
      <w:rFonts w:hint="eastAsia" w:ascii="宋体" w:hAnsi="宋体" w:eastAsia="宋体" w:cs="宋体"/>
      <w:b/>
      <w:color w:val="000000"/>
      <w:sz w:val="24"/>
      <w:szCs w:val="24"/>
    </w:rPr>
  </w:style>
  <w:style w:type="character" w:customStyle="1" w:styleId="279">
    <w:name w:val="p141"/>
    <w:autoRedefine/>
    <w:qFormat/>
    <w:uiPriority w:val="0"/>
    <w:rPr>
      <w:sz w:val="21"/>
      <w:szCs w:val="21"/>
    </w:rPr>
  </w:style>
  <w:style w:type="character" w:customStyle="1" w:styleId="280">
    <w:name w:val="font101"/>
    <w:basedOn w:val="51"/>
    <w:autoRedefine/>
    <w:qFormat/>
    <w:uiPriority w:val="0"/>
    <w:rPr>
      <w:rFonts w:hint="default" w:ascii="Times New Roman" w:hAnsi="Times New Roman" w:cs="Times New Roman"/>
      <w:color w:val="000000"/>
      <w:sz w:val="16"/>
      <w:szCs w:val="16"/>
      <w:u w:val="none"/>
    </w:rPr>
  </w:style>
  <w:style w:type="character" w:customStyle="1" w:styleId="281">
    <w:name w:val="样式 样式 宋体 小四 行距: 1.5 倍行距 + 首行缩进:  2 字符 Char Char"/>
    <w:link w:val="282"/>
    <w:autoRedefine/>
    <w:qFormat/>
    <w:uiPriority w:val="0"/>
    <w:rPr>
      <w:rFonts w:ascii="宋体" w:hAnsi="宋体" w:eastAsia="仿宋_GB2312"/>
      <w:kern w:val="2"/>
      <w:sz w:val="24"/>
      <w:szCs w:val="24"/>
    </w:rPr>
  </w:style>
  <w:style w:type="paragraph" w:customStyle="1" w:styleId="282">
    <w:name w:val="样式 样式 宋体 小四 行距: 1.5 倍行距 + 首行缩进:  2 字符"/>
    <w:basedOn w:val="1"/>
    <w:link w:val="281"/>
    <w:autoRedefine/>
    <w:qFormat/>
    <w:uiPriority w:val="0"/>
    <w:pPr>
      <w:spacing w:line="360" w:lineRule="auto"/>
      <w:ind w:firstLine="200" w:firstLineChars="200"/>
    </w:pPr>
    <w:rPr>
      <w:rFonts w:ascii="宋体" w:hAnsi="宋体" w:eastAsia="仿宋_GB2312"/>
      <w:sz w:val="24"/>
    </w:rPr>
  </w:style>
  <w:style w:type="character" w:customStyle="1" w:styleId="283">
    <w:name w:val="font41"/>
    <w:basedOn w:val="51"/>
    <w:autoRedefine/>
    <w:qFormat/>
    <w:uiPriority w:val="0"/>
    <w:rPr>
      <w:rFonts w:hint="eastAsia" w:ascii="宋体" w:hAnsi="宋体" w:eastAsia="宋体" w:cs="宋体"/>
      <w:color w:val="000000"/>
      <w:sz w:val="21"/>
      <w:szCs w:val="21"/>
      <w:u w:val="none"/>
    </w:rPr>
  </w:style>
  <w:style w:type="character" w:customStyle="1" w:styleId="284">
    <w:name w:val="font131"/>
    <w:basedOn w:val="51"/>
    <w:autoRedefine/>
    <w:qFormat/>
    <w:uiPriority w:val="0"/>
    <w:rPr>
      <w:rFonts w:hint="eastAsia" w:ascii="宋体" w:hAnsi="宋体" w:eastAsia="宋体" w:cs="宋体"/>
      <w:color w:val="000000"/>
      <w:sz w:val="18"/>
      <w:szCs w:val="18"/>
      <w:u w:val="none"/>
      <w:vertAlign w:val="subscript"/>
    </w:rPr>
  </w:style>
  <w:style w:type="character" w:customStyle="1" w:styleId="285">
    <w:name w:val="16"/>
    <w:autoRedefine/>
    <w:qFormat/>
    <w:uiPriority w:val="0"/>
    <w:rPr>
      <w:rFonts w:ascii="宋体" w:hAnsi="宋体"/>
      <w:b/>
      <w:sz w:val="20"/>
      <w:szCs w:val="20"/>
    </w:rPr>
  </w:style>
  <w:style w:type="character" w:customStyle="1" w:styleId="286">
    <w:name w:val="正文缩进2格 Char"/>
    <w:link w:val="287"/>
    <w:autoRedefine/>
    <w:qFormat/>
    <w:uiPriority w:val="0"/>
    <w:rPr>
      <w:rFonts w:ascii="仿宋_GB2312" w:hAnsi="宋体" w:eastAsia="仿宋_GB2312"/>
      <w:b/>
      <w:kern w:val="2"/>
      <w:sz w:val="31"/>
      <w:szCs w:val="28"/>
    </w:rPr>
  </w:style>
  <w:style w:type="paragraph" w:customStyle="1" w:styleId="287">
    <w:name w:val="正文缩进2格"/>
    <w:basedOn w:val="1"/>
    <w:link w:val="286"/>
    <w:autoRedefine/>
    <w:qFormat/>
    <w:uiPriority w:val="0"/>
    <w:pPr>
      <w:spacing w:line="600" w:lineRule="exact"/>
      <w:ind w:firstLine="639" w:firstLineChars="206"/>
    </w:pPr>
    <w:rPr>
      <w:rFonts w:ascii="仿宋_GB2312" w:hAnsi="宋体" w:eastAsia="仿宋_GB2312"/>
      <w:b/>
      <w:sz w:val="31"/>
      <w:szCs w:val="28"/>
    </w:rPr>
  </w:style>
  <w:style w:type="character" w:customStyle="1" w:styleId="288">
    <w:name w:val="font121"/>
    <w:basedOn w:val="51"/>
    <w:autoRedefine/>
    <w:qFormat/>
    <w:uiPriority w:val="0"/>
    <w:rPr>
      <w:rFonts w:hint="eastAsia" w:ascii="宋体" w:hAnsi="宋体" w:eastAsia="宋体" w:cs="宋体"/>
      <w:color w:val="000000"/>
      <w:sz w:val="18"/>
      <w:szCs w:val="18"/>
      <w:u w:val="none"/>
      <w:vertAlign w:val="subscript"/>
    </w:rPr>
  </w:style>
  <w:style w:type="character" w:customStyle="1" w:styleId="289">
    <w:name w:val="font11"/>
    <w:basedOn w:val="51"/>
    <w:autoRedefine/>
    <w:qFormat/>
    <w:uiPriority w:val="0"/>
    <w:rPr>
      <w:rFonts w:hint="default" w:ascii="Times New Roman" w:hAnsi="Times New Roman" w:cs="Times New Roman"/>
      <w:b/>
      <w:color w:val="000000"/>
      <w:sz w:val="24"/>
      <w:szCs w:val="24"/>
      <w:u w:val="none"/>
    </w:rPr>
  </w:style>
  <w:style w:type="character" w:customStyle="1" w:styleId="290">
    <w:name w:val="font112"/>
    <w:basedOn w:val="51"/>
    <w:autoRedefine/>
    <w:qFormat/>
    <w:uiPriority w:val="0"/>
    <w:rPr>
      <w:rFonts w:hint="eastAsia" w:ascii="宋体" w:hAnsi="宋体" w:eastAsia="宋体" w:cs="宋体"/>
      <w:color w:val="000000"/>
      <w:sz w:val="18"/>
      <w:szCs w:val="18"/>
      <w:u w:val="none"/>
    </w:rPr>
  </w:style>
  <w:style w:type="character" w:customStyle="1" w:styleId="291">
    <w:name w:val="我的正文1 Char"/>
    <w:link w:val="292"/>
    <w:autoRedefine/>
    <w:qFormat/>
    <w:uiPriority w:val="0"/>
    <w:rPr>
      <w:rFonts w:ascii="宋体" w:hAnsi="宋体" w:cs="仿宋"/>
      <w:color w:val="000000"/>
      <w:sz w:val="24"/>
      <w:szCs w:val="24"/>
    </w:rPr>
  </w:style>
  <w:style w:type="paragraph" w:customStyle="1" w:styleId="292">
    <w:name w:val="我的正文1"/>
    <w:basedOn w:val="1"/>
    <w:link w:val="291"/>
    <w:autoRedefine/>
    <w:qFormat/>
    <w:uiPriority w:val="0"/>
    <w:pPr>
      <w:spacing w:line="360" w:lineRule="auto"/>
      <w:ind w:firstLine="480" w:firstLineChars="200"/>
    </w:pPr>
    <w:rPr>
      <w:rFonts w:ascii="宋体" w:hAnsi="宋体" w:cs="仿宋"/>
      <w:color w:val="000000"/>
      <w:kern w:val="0"/>
      <w:sz w:val="24"/>
    </w:rPr>
  </w:style>
  <w:style w:type="paragraph" w:customStyle="1" w:styleId="293">
    <w:name w:val="Char Char Char Char Char1 Char"/>
    <w:basedOn w:val="1"/>
    <w:autoRedefine/>
    <w:qFormat/>
    <w:uiPriority w:val="0"/>
    <w:pPr>
      <w:tabs>
        <w:tab w:val="left" w:pos="284"/>
      </w:tabs>
      <w:ind w:left="540" w:hanging="540"/>
    </w:pPr>
    <w:rPr>
      <w:rFonts w:ascii="Calibri" w:hAnsi="Calibri"/>
    </w:rPr>
  </w:style>
  <w:style w:type="paragraph" w:customStyle="1" w:styleId="294">
    <w:name w:val="样式 标题 2H21大节标题 Char Char标题 21标题 2 Char Char Char Char Char ..."/>
    <w:basedOn w:val="3"/>
    <w:autoRedefine/>
    <w:qFormat/>
    <w:uiPriority w:val="0"/>
    <w:pPr>
      <w:keepNext w:val="0"/>
      <w:keepLines w:val="0"/>
      <w:tabs>
        <w:tab w:val="left" w:pos="1120"/>
        <w:tab w:val="right" w:leader="dot" w:pos="9800"/>
      </w:tabs>
      <w:autoSpaceDE/>
      <w:autoSpaceDN/>
      <w:adjustRightInd/>
      <w:spacing w:before="0" w:line="360" w:lineRule="auto"/>
      <w:ind w:left="454"/>
      <w:jc w:val="left"/>
    </w:pPr>
    <w:rPr>
      <w:rFonts w:ascii="仿宋_GB2312" w:hAnsi="仿宋_GB2312" w:eastAsia="仿宋_GB2312" w:cs="宋体"/>
      <w:bCs/>
      <w:smallCaps/>
      <w:color w:val="0000FF"/>
      <w:sz w:val="28"/>
      <w:szCs w:val="24"/>
    </w:rPr>
  </w:style>
  <w:style w:type="paragraph" w:customStyle="1" w:styleId="295">
    <w:name w:val="5"/>
    <w:basedOn w:val="1"/>
    <w:autoRedefine/>
    <w:qFormat/>
    <w:uiPriority w:val="0"/>
    <w:pPr>
      <w:outlineLvl w:val="0"/>
    </w:pPr>
    <w:rPr>
      <w:rFonts w:ascii="Calibri" w:hAnsi="Calibri"/>
      <w:bCs/>
      <w:sz w:val="36"/>
      <w:szCs w:val="36"/>
    </w:rPr>
  </w:style>
  <w:style w:type="paragraph" w:customStyle="1" w:styleId="296">
    <w:name w:val="MM Topic 5"/>
    <w:basedOn w:val="7"/>
    <w:autoRedefine/>
    <w:qFormat/>
    <w:uiPriority w:val="0"/>
    <w:pPr>
      <w:tabs>
        <w:tab w:val="left" w:pos="1260"/>
      </w:tabs>
      <w:adjustRightInd/>
      <w:spacing w:before="0" w:beforeLines="50" w:after="0" w:afterLines="50" w:line="240" w:lineRule="auto"/>
      <w:ind w:left="1260" w:hanging="1260"/>
      <w:textAlignment w:val="auto"/>
    </w:pPr>
    <w:rPr>
      <w:rFonts w:ascii="Arial" w:hAnsi="Arial" w:eastAsia="仿宋"/>
      <w:b w:val="0"/>
      <w:bCs/>
      <w:kern w:val="2"/>
      <w:sz w:val="24"/>
      <w:szCs w:val="28"/>
    </w:rPr>
  </w:style>
  <w:style w:type="paragraph" w:customStyle="1" w:styleId="297">
    <w:name w:val="MM Topic 2"/>
    <w:basedOn w:val="3"/>
    <w:autoRedefine/>
    <w:qFormat/>
    <w:uiPriority w:val="0"/>
    <w:pPr>
      <w:tabs>
        <w:tab w:val="left" w:pos="720"/>
      </w:tabs>
      <w:autoSpaceDE/>
      <w:autoSpaceDN/>
      <w:adjustRightInd/>
      <w:spacing w:before="0" w:beforeLines="50" w:afterLines="50" w:line="240" w:lineRule="auto"/>
      <w:ind w:left="540" w:hanging="540"/>
      <w:jc w:val="both"/>
    </w:pPr>
    <w:rPr>
      <w:rFonts w:eastAsia="宋体"/>
      <w:bCs/>
      <w:szCs w:val="32"/>
    </w:rPr>
  </w:style>
  <w:style w:type="paragraph" w:customStyle="1" w:styleId="298">
    <w:name w:val="Char Char2"/>
    <w:basedOn w:val="1"/>
    <w:autoRedefine/>
    <w:qFormat/>
    <w:uiPriority w:val="0"/>
    <w:rPr>
      <w:rFonts w:ascii="宋体" w:hAnsi="宋体"/>
      <w:b/>
      <w:sz w:val="28"/>
      <w:szCs w:val="28"/>
    </w:rPr>
  </w:style>
  <w:style w:type="paragraph" w:customStyle="1" w:styleId="299">
    <w:name w:val="_Style 3"/>
    <w:autoRedefine/>
    <w:qFormat/>
    <w:uiPriority w:val="39"/>
    <w:pPr>
      <w:widowControl w:val="0"/>
      <w:jc w:val="both"/>
    </w:pPr>
    <w:rPr>
      <w:rFonts w:ascii="Calibri" w:hAnsi="Calibri" w:eastAsia="宋体" w:cs="Times New Roman"/>
      <w:kern w:val="2"/>
      <w:sz w:val="21"/>
      <w:szCs w:val="22"/>
      <w:lang w:val="en-US" w:eastAsia="zh-CN" w:bidi="ar-SA"/>
    </w:rPr>
  </w:style>
  <w:style w:type="paragraph" w:customStyle="1" w:styleId="300">
    <w:name w:val="WPS Plain"/>
    <w:autoRedefine/>
    <w:qFormat/>
    <w:uiPriority w:val="0"/>
    <w:rPr>
      <w:rFonts w:ascii="Calibri" w:hAnsi="Calibri" w:eastAsia="宋体" w:cs="Times New Roman"/>
      <w:lang w:val="en-US" w:eastAsia="zh-CN" w:bidi="ar-SA"/>
    </w:rPr>
  </w:style>
  <w:style w:type="paragraph" w:customStyle="1" w:styleId="301">
    <w:name w:val="图"/>
    <w:basedOn w:val="1"/>
    <w:autoRedefine/>
    <w:qFormat/>
    <w:uiPriority w:val="0"/>
    <w:pPr>
      <w:keepNext/>
      <w:adjustRightInd w:val="0"/>
      <w:spacing w:before="60" w:after="60" w:line="300" w:lineRule="auto"/>
      <w:jc w:val="center"/>
      <w:textAlignment w:val="center"/>
    </w:pPr>
    <w:rPr>
      <w:rFonts w:ascii="Calibri" w:hAnsi="Calibri"/>
      <w:snapToGrid w:val="0"/>
      <w:spacing w:val="20"/>
      <w:kern w:val="0"/>
      <w:sz w:val="24"/>
      <w:szCs w:val="20"/>
    </w:rPr>
  </w:style>
  <w:style w:type="paragraph" w:customStyle="1" w:styleId="302">
    <w:name w:val="Normal_7"/>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303">
    <w:name w:val="正文 New New New New New New New New New New"/>
    <w:autoRedefine/>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304">
    <w:name w:val="*正文"/>
    <w:basedOn w:val="1"/>
    <w:autoRedefine/>
    <w:qFormat/>
    <w:uiPriority w:val="0"/>
    <w:pPr>
      <w:spacing w:line="360" w:lineRule="auto"/>
      <w:ind w:firstLine="480"/>
      <w:jc w:val="left"/>
    </w:pPr>
    <w:rPr>
      <w:rFonts w:ascii="宋体" w:hAnsi="宋体" w:eastAsia="Calibri"/>
      <w:kern w:val="0"/>
      <w:sz w:val="24"/>
      <w:szCs w:val="22"/>
      <w:lang w:eastAsia="en-US"/>
    </w:rPr>
  </w:style>
  <w:style w:type="paragraph" w:customStyle="1" w:styleId="305">
    <w:name w:val="纯文本1"/>
    <w:basedOn w:val="1"/>
    <w:autoRedefine/>
    <w:qFormat/>
    <w:uiPriority w:val="0"/>
    <w:rPr>
      <w:rFonts w:hint="eastAsia" w:ascii="宋体" w:hAnsi="Courier New"/>
    </w:rPr>
  </w:style>
  <w:style w:type="paragraph" w:customStyle="1" w:styleId="306">
    <w:name w:val="Char Char2 Char"/>
    <w:basedOn w:val="1"/>
    <w:autoRedefine/>
    <w:qFormat/>
    <w:uiPriority w:val="0"/>
    <w:rPr>
      <w:rFonts w:ascii="宋体" w:hAnsi="宋体"/>
      <w:b/>
      <w:sz w:val="28"/>
      <w:szCs w:val="28"/>
    </w:rPr>
  </w:style>
  <w:style w:type="paragraph" w:customStyle="1" w:styleId="307">
    <w:name w:val="题注5"/>
    <w:basedOn w:val="1"/>
    <w:next w:val="44"/>
    <w:autoRedefine/>
    <w:qFormat/>
    <w:uiPriority w:val="0"/>
    <w:pPr>
      <w:jc w:val="center"/>
    </w:pPr>
    <w:rPr>
      <w:rFonts w:ascii="Calibri" w:hAnsi="Calibri"/>
      <w:b/>
      <w:color w:val="000000"/>
      <w:sz w:val="24"/>
      <w:szCs w:val="21"/>
    </w:rPr>
  </w:style>
  <w:style w:type="paragraph" w:customStyle="1" w:styleId="308">
    <w:name w:val="列出段落3"/>
    <w:basedOn w:val="1"/>
    <w:autoRedefine/>
    <w:qFormat/>
    <w:uiPriority w:val="0"/>
    <w:pPr>
      <w:ind w:firstLine="420" w:firstLineChars="200"/>
    </w:pPr>
    <w:rPr>
      <w:rFonts w:ascii="Calibri" w:hAnsi="Calibri"/>
      <w:szCs w:val="21"/>
    </w:rPr>
  </w:style>
  <w:style w:type="paragraph" w:customStyle="1" w:styleId="309">
    <w:name w:val="列出段落111"/>
    <w:basedOn w:val="1"/>
    <w:qFormat/>
    <w:uiPriority w:val="0"/>
    <w:pPr>
      <w:ind w:firstLine="420"/>
    </w:pPr>
    <w:rPr>
      <w:rFonts w:ascii="Calibri" w:hAnsi="Calibri"/>
    </w:rPr>
  </w:style>
  <w:style w:type="paragraph" w:customStyle="1" w:styleId="310">
    <w:name w:val="p16"/>
    <w:basedOn w:val="1"/>
    <w:autoRedefine/>
    <w:qFormat/>
    <w:uiPriority w:val="0"/>
    <w:pPr>
      <w:widowControl/>
      <w:spacing w:line="360" w:lineRule="auto"/>
      <w:ind w:firstLine="420"/>
    </w:pPr>
    <w:rPr>
      <w:rFonts w:ascii="仿宋_GB2312" w:hAnsi="宋体" w:eastAsia="仿宋_GB2312" w:cs="宋体"/>
      <w:kern w:val="0"/>
      <w:sz w:val="28"/>
      <w:szCs w:val="28"/>
    </w:rPr>
  </w:style>
  <w:style w:type="paragraph" w:customStyle="1" w:styleId="311">
    <w:name w:val="MM Topic 4"/>
    <w:basedOn w:val="6"/>
    <w:autoRedefine/>
    <w:qFormat/>
    <w:uiPriority w:val="0"/>
    <w:pPr>
      <w:snapToGrid w:val="0"/>
      <w:spacing w:before="0" w:beforeLines="50" w:after="0" w:afterLines="50" w:line="360" w:lineRule="auto"/>
    </w:pPr>
    <w:rPr>
      <w:rFonts w:eastAsia="宋体" w:cs="Arial"/>
      <w:bCs/>
      <w:sz w:val="24"/>
      <w:szCs w:val="24"/>
    </w:rPr>
  </w:style>
  <w:style w:type="paragraph" w:customStyle="1" w:styleId="312">
    <w:name w:val="Normal_8"/>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313">
    <w:name w:val="msonormalcxspmiddle"/>
    <w:basedOn w:val="1"/>
    <w:autoRedefine/>
    <w:qFormat/>
    <w:uiPriority w:val="0"/>
    <w:pPr>
      <w:widowControl/>
      <w:spacing w:before="100" w:beforeAutospacing="1" w:after="100" w:afterAutospacing="1"/>
      <w:jc w:val="left"/>
    </w:pPr>
    <w:rPr>
      <w:rFonts w:ascii="宋体" w:cs="宋体"/>
      <w:kern w:val="0"/>
      <w:sz w:val="24"/>
    </w:rPr>
  </w:style>
  <w:style w:type="paragraph" w:customStyle="1" w:styleId="314">
    <w:name w:val="MM Topic 3"/>
    <w:basedOn w:val="5"/>
    <w:autoRedefine/>
    <w:qFormat/>
    <w:uiPriority w:val="0"/>
    <w:pPr>
      <w:tabs>
        <w:tab w:val="left" w:pos="1080"/>
      </w:tabs>
      <w:autoSpaceDE/>
      <w:autoSpaceDN/>
      <w:adjustRightInd/>
      <w:spacing w:before="0" w:beforeLines="50" w:after="0" w:afterLines="50" w:line="360" w:lineRule="auto"/>
      <w:ind w:left="720" w:right="1021" w:hanging="720"/>
      <w:jc w:val="both"/>
    </w:pPr>
    <w:rPr>
      <w:rFonts w:ascii="Arial" w:hAnsi="Arial" w:eastAsia="仿宋" w:cs="Arial"/>
      <w:bCs/>
      <w:color w:val="000000" w:themeColor="text1"/>
      <w:sz w:val="21"/>
      <w:szCs w:val="28"/>
      <w:u w:val="none"/>
      <w14:textFill>
        <w14:solidFill>
          <w14:schemeClr w14:val="tx1"/>
        </w14:solidFill>
      </w14:textFill>
    </w:rPr>
  </w:style>
  <w:style w:type="paragraph" w:customStyle="1" w:styleId="315">
    <w:name w:val="题注4"/>
    <w:basedOn w:val="1"/>
    <w:next w:val="13"/>
    <w:autoRedefine/>
    <w:qFormat/>
    <w:uiPriority w:val="0"/>
    <w:pPr>
      <w:ind w:left="-132" w:leftChars="-64" w:right="-105" w:rightChars="-50" w:hanging="2"/>
      <w:jc w:val="center"/>
    </w:pPr>
    <w:rPr>
      <w:rFonts w:ascii="Calibri" w:hAnsi="Calibri"/>
      <w:b/>
      <w:color w:val="FF0000"/>
      <w:szCs w:val="21"/>
      <w:lang w:val="en-GB"/>
    </w:rPr>
  </w:style>
  <w:style w:type="paragraph" w:customStyle="1" w:styleId="316">
    <w:name w:val="Char Char5 Char Char"/>
    <w:basedOn w:val="1"/>
    <w:autoRedefine/>
    <w:qFormat/>
    <w:uiPriority w:val="0"/>
    <w:rPr>
      <w:rFonts w:ascii="Tahoma" w:hAnsi="Tahoma"/>
      <w:sz w:val="24"/>
    </w:rPr>
  </w:style>
  <w:style w:type="paragraph" w:customStyle="1" w:styleId="317">
    <w:name w:val="样式 标题 2 + Times New Roman 四号 非加粗 段前: 5 磅 段后: 0 磅 行距: 固定值 20..."/>
    <w:basedOn w:val="3"/>
    <w:autoRedefine/>
    <w:qFormat/>
    <w:uiPriority w:val="0"/>
    <w:pPr>
      <w:autoSpaceDE/>
      <w:autoSpaceDN/>
      <w:adjustRightInd/>
      <w:spacing w:before="100" w:line="400" w:lineRule="exact"/>
      <w:jc w:val="both"/>
    </w:pPr>
    <w:rPr>
      <w:rFonts w:ascii="Times New Roman" w:hAnsi="Times New Roman" w:cs="宋体"/>
      <w:b w:val="0"/>
      <w:sz w:val="28"/>
    </w:rPr>
  </w:style>
  <w:style w:type="paragraph" w:customStyle="1" w:styleId="318">
    <w:name w:val="MM Topic 1"/>
    <w:basedOn w:val="2"/>
    <w:autoRedefine/>
    <w:qFormat/>
    <w:uiPriority w:val="0"/>
    <w:pPr>
      <w:shd w:val="clear" w:color="auto" w:fill="FFFFFF"/>
      <w:tabs>
        <w:tab w:val="left" w:pos="540"/>
      </w:tabs>
      <w:autoSpaceDE/>
      <w:autoSpaceDN/>
      <w:adjustRightInd/>
      <w:spacing w:before="120" w:after="0" w:line="240" w:lineRule="auto"/>
      <w:ind w:left="540" w:hanging="540"/>
      <w:jc w:val="both"/>
    </w:pPr>
    <w:rPr>
      <w:rFonts w:ascii="Arial" w:hAnsi="Arial" w:eastAsia="黑体" w:cs="Arial"/>
      <w:b w:val="0"/>
      <w:color w:val="000000"/>
      <w:sz w:val="24"/>
      <w:szCs w:val="44"/>
    </w:rPr>
  </w:style>
  <w:style w:type="paragraph" w:customStyle="1" w:styleId="319">
    <w:name w:val="文本"/>
    <w:basedOn w:val="1"/>
    <w:autoRedefine/>
    <w:qFormat/>
    <w:uiPriority w:val="0"/>
    <w:pPr>
      <w:spacing w:line="360" w:lineRule="auto"/>
      <w:ind w:firstLine="420" w:firstLineChars="200"/>
      <w:contextualSpacing/>
      <w:jc w:val="left"/>
    </w:pPr>
    <w:rPr>
      <w:rFonts w:ascii="宋体" w:hAnsi="宋体"/>
      <w:kern w:val="0"/>
      <w:sz w:val="20"/>
      <w:szCs w:val="20"/>
    </w:rPr>
  </w:style>
  <w:style w:type="paragraph" w:customStyle="1" w:styleId="320">
    <w:name w:val="Normal_19"/>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321">
    <w:name w:val="图表标题"/>
    <w:basedOn w:val="1"/>
    <w:link w:val="322"/>
    <w:autoRedefine/>
    <w:qFormat/>
    <w:uiPriority w:val="0"/>
    <w:pPr>
      <w:autoSpaceDE w:val="0"/>
      <w:autoSpaceDN w:val="0"/>
      <w:adjustRightInd w:val="0"/>
      <w:snapToGrid w:val="0"/>
      <w:spacing w:before="80" w:after="40" w:line="288" w:lineRule="auto"/>
      <w:jc w:val="center"/>
    </w:pPr>
    <w:rPr>
      <w:rFonts w:ascii="Calibri" w:hAnsi="Calibri"/>
      <w:spacing w:val="10"/>
      <w:kern w:val="0"/>
      <w:sz w:val="24"/>
      <w:szCs w:val="20"/>
    </w:rPr>
  </w:style>
  <w:style w:type="character" w:customStyle="1" w:styleId="322">
    <w:name w:val="图表标题 Char"/>
    <w:link w:val="321"/>
    <w:autoRedefine/>
    <w:qFormat/>
    <w:uiPriority w:val="0"/>
    <w:rPr>
      <w:rFonts w:ascii="Calibri" w:hAnsi="Calibri"/>
      <w:spacing w:val="10"/>
      <w:sz w:val="24"/>
    </w:rPr>
  </w:style>
  <w:style w:type="paragraph" w:customStyle="1" w:styleId="323">
    <w:name w:val="TOC 标题1"/>
    <w:basedOn w:val="2"/>
    <w:next w:val="1"/>
    <w:autoRedefine/>
    <w:qFormat/>
    <w:uiPriority w:val="39"/>
    <w:pPr>
      <w:widowControl/>
      <w:shd w:val="clear" w:color="auto" w:fill="FFFFFF"/>
      <w:autoSpaceDE/>
      <w:autoSpaceDN/>
      <w:adjustRightInd/>
      <w:spacing w:before="480" w:after="0" w:line="276" w:lineRule="auto"/>
      <w:jc w:val="left"/>
      <w:outlineLvl w:val="9"/>
    </w:pPr>
    <w:rPr>
      <w:rFonts w:ascii="Cambria" w:hAnsi="Cambria" w:cs="宋体"/>
      <w:b w:val="0"/>
      <w:color w:val="365F91"/>
      <w:kern w:val="0"/>
      <w:sz w:val="28"/>
      <w:szCs w:val="28"/>
    </w:rPr>
  </w:style>
  <w:style w:type="paragraph" w:customStyle="1" w:styleId="324">
    <w:name w:val="p17"/>
    <w:basedOn w:val="1"/>
    <w:autoRedefine/>
    <w:qFormat/>
    <w:uiPriority w:val="0"/>
    <w:pPr>
      <w:widowControl/>
      <w:spacing w:line="360" w:lineRule="auto"/>
      <w:ind w:firstLine="420"/>
    </w:pPr>
    <w:rPr>
      <w:rFonts w:ascii="仿宋_GB2312" w:hAnsi="宋体" w:eastAsia="仿宋_GB2312" w:cs="宋体"/>
      <w:kern w:val="0"/>
      <w:sz w:val="28"/>
      <w:szCs w:val="28"/>
    </w:rPr>
  </w:style>
  <w:style w:type="paragraph" w:customStyle="1" w:styleId="325">
    <w:name w:val="正文 New New New New New New New New New"/>
    <w:autoRedefine/>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326">
    <w:name w:val="_Style 5"/>
    <w:basedOn w:val="1"/>
    <w:autoRedefine/>
    <w:qFormat/>
    <w:uiPriority w:val="0"/>
    <w:pPr>
      <w:ind w:firstLine="420"/>
    </w:pPr>
    <w:rPr>
      <w:rFonts w:ascii="Calibri" w:hAnsi="Calibri"/>
    </w:rPr>
  </w:style>
  <w:style w:type="paragraph" w:customStyle="1" w:styleId="327">
    <w:name w:val="样式 标题 3B HeadH3标题 33小节标题 + 仿宋_GB2312 四号 加粗 蓝色 左侧:  2 字符..."/>
    <w:basedOn w:val="5"/>
    <w:autoRedefine/>
    <w:qFormat/>
    <w:uiPriority w:val="0"/>
    <w:pPr>
      <w:keepNext w:val="0"/>
      <w:keepLines w:val="0"/>
      <w:tabs>
        <w:tab w:val="left" w:pos="1400"/>
        <w:tab w:val="right" w:leader="dot" w:pos="9800"/>
      </w:tabs>
      <w:autoSpaceDE/>
      <w:autoSpaceDN/>
      <w:adjustRightInd/>
      <w:spacing w:before="0" w:after="0" w:line="360" w:lineRule="auto"/>
      <w:ind w:left="550" w:leftChars="200" w:right="1021" w:hanging="350" w:hangingChars="350"/>
      <w:jc w:val="center"/>
    </w:pPr>
    <w:rPr>
      <w:rFonts w:ascii="仿宋_GB2312" w:hAnsi="宋体" w:eastAsia="仿宋_GB2312" w:cs="宋体"/>
      <w:bCs/>
      <w:color w:val="0000FF"/>
      <w:sz w:val="28"/>
      <w:szCs w:val="21"/>
      <w:u w:val="none"/>
    </w:rPr>
  </w:style>
  <w:style w:type="paragraph" w:customStyle="1" w:styleId="328">
    <w:name w:val="p0"/>
    <w:basedOn w:val="1"/>
    <w:autoRedefine/>
    <w:qFormat/>
    <w:uiPriority w:val="0"/>
    <w:pPr>
      <w:widowControl/>
    </w:pPr>
    <w:rPr>
      <w:rFonts w:ascii="Calibri" w:hAnsi="Calibri"/>
      <w:kern w:val="0"/>
      <w:szCs w:val="21"/>
    </w:rPr>
  </w:style>
  <w:style w:type="paragraph" w:customStyle="1" w:styleId="329">
    <w:name w:val="表格样式"/>
    <w:basedOn w:val="1"/>
    <w:autoRedefine/>
    <w:qFormat/>
    <w:uiPriority w:val="0"/>
    <w:pPr>
      <w:widowControl/>
      <w:spacing w:line="440" w:lineRule="exact"/>
      <w:jc w:val="center"/>
    </w:pPr>
    <w:rPr>
      <w:rFonts w:ascii="Cambria Math" w:hAnsi="Cambria Math" w:cs="华文宋体"/>
      <w:bCs/>
      <w:sz w:val="24"/>
      <w:szCs w:val="21"/>
    </w:rPr>
  </w:style>
  <w:style w:type="paragraph" w:customStyle="1" w:styleId="330">
    <w:name w:val="my正文"/>
    <w:basedOn w:val="1"/>
    <w:autoRedefine/>
    <w:qFormat/>
    <w:uiPriority w:val="0"/>
    <w:pPr>
      <w:spacing w:line="480" w:lineRule="exact"/>
      <w:ind w:firstLine="200" w:firstLineChars="200"/>
    </w:pPr>
    <w:rPr>
      <w:rFonts w:ascii="仿宋_GB2312" w:hAnsi="Calibri" w:eastAsia="仿宋_GB2312"/>
      <w:sz w:val="28"/>
      <w:szCs w:val="28"/>
    </w:rPr>
  </w:style>
  <w:style w:type="paragraph" w:customStyle="1" w:styleId="331">
    <w:name w:val="正文1"/>
    <w:basedOn w:val="1"/>
    <w:autoRedefine/>
    <w:qFormat/>
    <w:uiPriority w:val="0"/>
    <w:pPr>
      <w:widowControl/>
      <w:spacing w:line="360" w:lineRule="auto"/>
      <w:ind w:firstLine="200" w:firstLineChars="200"/>
      <w:jc w:val="left"/>
    </w:pPr>
    <w:rPr>
      <w:rFonts w:ascii="宋体" w:hAnsi="宋体" w:cs="宋体"/>
      <w:sz w:val="24"/>
    </w:rPr>
  </w:style>
  <w:style w:type="paragraph" w:customStyle="1" w:styleId="332">
    <w:name w:val="paragraph"/>
    <w:basedOn w:val="1"/>
    <w:autoRedefine/>
    <w:qFormat/>
    <w:uiPriority w:val="0"/>
    <w:pPr>
      <w:widowControl/>
      <w:spacing w:before="100" w:beforeAutospacing="1" w:after="100" w:afterAutospacing="1"/>
      <w:jc w:val="left"/>
    </w:pPr>
    <w:rPr>
      <w:sz w:val="24"/>
    </w:rPr>
  </w:style>
  <w:style w:type="paragraph" w:customStyle="1" w:styleId="333">
    <w:name w:val="题注1"/>
    <w:next w:val="1"/>
    <w:autoRedefine/>
    <w:qFormat/>
    <w:uiPriority w:val="0"/>
    <w:pPr>
      <w:widowControl w:val="0"/>
      <w:spacing w:line="360" w:lineRule="auto"/>
      <w:ind w:firstLine="200" w:firstLineChars="200"/>
      <w:jc w:val="both"/>
    </w:pPr>
    <w:rPr>
      <w:rFonts w:ascii="黑体" w:hAnsi="黑体" w:eastAsia="宋体" w:cs="Times New Roman"/>
      <w:kern w:val="2"/>
      <w:lang w:val="en-US" w:eastAsia="zh-CN" w:bidi="ar-SA"/>
    </w:rPr>
  </w:style>
  <w:style w:type="paragraph" w:customStyle="1" w:styleId="334">
    <w:name w:val="列表段落11"/>
    <w:autoRedefine/>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335">
    <w:name w:val="cf01"/>
    <w:basedOn w:val="51"/>
    <w:autoRedefine/>
    <w:qFormat/>
    <w:uiPriority w:val="0"/>
    <w:rPr>
      <w:rFonts w:hint="eastAsia" w:ascii="Microsoft YaHei UI" w:hAnsi="Microsoft YaHei UI" w:eastAsia="Microsoft YaHei UI"/>
      <w:sz w:val="18"/>
      <w:szCs w:val="18"/>
    </w:rPr>
  </w:style>
  <w:style w:type="paragraph" w:customStyle="1" w:styleId="336">
    <w:name w:val="标正文"/>
    <w:basedOn w:val="1"/>
    <w:link w:val="337"/>
    <w:autoRedefine/>
    <w:qFormat/>
    <w:uiPriority w:val="0"/>
    <w:pPr>
      <w:spacing w:line="360" w:lineRule="auto"/>
      <w:ind w:firstLine="200" w:firstLineChars="200"/>
    </w:pPr>
    <w:rPr>
      <w:rFonts w:eastAsia="仿宋"/>
      <w:sz w:val="24"/>
      <w:szCs w:val="21"/>
    </w:rPr>
  </w:style>
  <w:style w:type="character" w:customStyle="1" w:styleId="337">
    <w:name w:val="标正文 字符"/>
    <w:link w:val="336"/>
    <w:autoRedefine/>
    <w:qFormat/>
    <w:uiPriority w:val="0"/>
    <w:rPr>
      <w:rFonts w:eastAsia="仿宋"/>
      <w:kern w:val="2"/>
      <w:sz w:val="24"/>
      <w:szCs w:val="21"/>
    </w:rPr>
  </w:style>
  <w:style w:type="paragraph" w:customStyle="1" w:styleId="338">
    <w:name w:val="p1"/>
    <w:basedOn w:val="1"/>
    <w:autoRedefine/>
    <w:qFormat/>
    <w:uiPriority w:val="0"/>
    <w:pPr>
      <w:jc w:val="left"/>
    </w:pPr>
    <w:rPr>
      <w:rFonts w:ascii="Helvetica" w:hAnsi="Helvetica" w:eastAsia="Helvetica"/>
      <w:kern w:val="0"/>
      <w:sz w:val="24"/>
    </w:rPr>
  </w:style>
  <w:style w:type="character" w:customStyle="1" w:styleId="339">
    <w:name w:val="副标题 Char"/>
    <w:basedOn w:val="51"/>
    <w:autoRedefine/>
    <w:qFormat/>
    <w:uiPriority w:val="0"/>
    <w:rPr>
      <w:rFonts w:asciiTheme="majorHAnsi" w:hAnsiTheme="majorHAnsi" w:cstheme="majorBidi"/>
      <w:b/>
      <w:bCs/>
      <w:kern w:val="28"/>
      <w:sz w:val="32"/>
      <w:szCs w:val="32"/>
    </w:rPr>
  </w:style>
  <w:style w:type="character" w:customStyle="1" w:styleId="340">
    <w:name w:val="占位符文本1"/>
    <w:basedOn w:val="51"/>
    <w:autoRedefine/>
    <w:unhideWhenUsed/>
    <w:qFormat/>
    <w:uiPriority w:val="99"/>
    <w:rPr>
      <w:color w:val="808080"/>
    </w:rPr>
  </w:style>
  <w:style w:type="character" w:customStyle="1" w:styleId="341">
    <w:name w:val="not([class*=suffix])"/>
    <w:basedOn w:val="51"/>
    <w:autoRedefine/>
    <w:qFormat/>
    <w:uiPriority w:val="0"/>
    <w:rPr>
      <w:sz w:val="19"/>
      <w:szCs w:val="19"/>
    </w:rPr>
  </w:style>
  <w:style w:type="character" w:customStyle="1" w:styleId="342">
    <w:name w:val="not([class*=suffix])1"/>
    <w:basedOn w:val="51"/>
    <w:qFormat/>
    <w:uiPriority w:val="0"/>
  </w:style>
  <w:style w:type="paragraph" w:customStyle="1" w:styleId="343">
    <w:name w:val="_Style 280"/>
    <w:basedOn w:val="1"/>
    <w:next w:val="106"/>
    <w:qFormat/>
    <w:uiPriority w:val="34"/>
    <w:pPr>
      <w:ind w:firstLine="420" w:firstLineChars="200"/>
    </w:pPr>
    <w:rPr>
      <w:rFonts w:ascii="Calibri" w:hAnsi="Calibri"/>
      <w:szCs w:val="22"/>
    </w:rPr>
  </w:style>
  <w:style w:type="paragraph" w:customStyle="1" w:styleId="344">
    <w:name w:val="索引 11"/>
    <w:basedOn w:val="1"/>
    <w:next w:val="1"/>
    <w:autoRedefine/>
    <w:qFormat/>
    <w:uiPriority w:val="0"/>
    <w:rPr>
      <w:szCs w:val="20"/>
    </w:rPr>
  </w:style>
  <w:style w:type="paragraph" w:customStyle="1" w:styleId="345">
    <w:name w:val="正文文本缩进 21"/>
    <w:basedOn w:val="1"/>
    <w:autoRedefine/>
    <w:qFormat/>
    <w:uiPriority w:val="0"/>
    <w:pPr>
      <w:ind w:firstLine="200" w:firstLineChars="200"/>
    </w:pPr>
    <w:rPr>
      <w:rFonts w:ascii="仿宋_GB2312" w:eastAsia="仿宋_GB2312"/>
      <w:sz w:val="24"/>
    </w:rPr>
  </w:style>
  <w:style w:type="paragraph" w:customStyle="1" w:styleId="346">
    <w:name w:val="正文缩进3"/>
    <w:basedOn w:val="1"/>
    <w:qFormat/>
    <w:uiPriority w:val="0"/>
    <w:pPr>
      <w:autoSpaceDE w:val="0"/>
      <w:autoSpaceDN w:val="0"/>
      <w:adjustRightInd w:val="0"/>
      <w:ind w:firstLine="420"/>
      <w:jc w:val="left"/>
    </w:pPr>
    <w:rPr>
      <w:rFonts w:ascii="宋体"/>
      <w:kern w:val="0"/>
      <w:sz w:val="24"/>
      <w:szCs w:val="20"/>
    </w:rPr>
  </w:style>
  <w:style w:type="paragraph" w:customStyle="1" w:styleId="347">
    <w:name w:val="内文"/>
    <w:basedOn w:val="1"/>
    <w:qFormat/>
    <w:uiPriority w:val="99"/>
    <w:pPr>
      <w:spacing w:line="560" w:lineRule="exact"/>
      <w:ind w:firstLine="200" w:firstLineChars="200"/>
      <w:jc w:val="left"/>
    </w:pPr>
    <w:rPr>
      <w:rFonts w:ascii="宋体" w:hAnsi="宋体" w:cs="宋体"/>
      <w:sz w:val="24"/>
      <w:szCs w:val="28"/>
    </w:rPr>
  </w:style>
  <w:style w:type="paragraph" w:customStyle="1" w:styleId="348">
    <w:name w:val="样式 Blockquote + 宋体"/>
    <w:basedOn w:val="1"/>
    <w:qFormat/>
    <w:uiPriority w:val="0"/>
    <w:pPr>
      <w:widowControl/>
      <w:kinsoku w:val="0"/>
      <w:autoSpaceDE w:val="0"/>
      <w:autoSpaceDN w:val="0"/>
      <w:adjustRightInd w:val="0"/>
      <w:snapToGrid w:val="0"/>
      <w:spacing w:before="100" w:after="100"/>
      <w:ind w:left="2730" w:leftChars="257" w:right="-6" w:hanging="2190" w:hangingChars="782"/>
      <w:jc w:val="left"/>
      <w:textAlignment w:val="baseline"/>
    </w:pPr>
    <w:rPr>
      <w:rFonts w:ascii="宋体" w:hAnsi="宋体" w:eastAsia="仿宋_GB2312" w:cs="Arial"/>
      <w:snapToGrid w:val="0"/>
      <w:color w:val="000000"/>
      <w:kern w:val="0"/>
      <w:sz w:val="24"/>
      <w:szCs w:val="21"/>
      <w:lang w:eastAsia="en-US"/>
    </w:rPr>
  </w:style>
  <w:style w:type="paragraph" w:customStyle="1" w:styleId="349">
    <w:name w:val="样式 Blockquote + 宋体 左侧:  0.44 厘米 右侧:  1.27 厘米"/>
    <w:basedOn w:val="1"/>
    <w:qFormat/>
    <w:uiPriority w:val="0"/>
    <w:pPr>
      <w:widowControl/>
      <w:kinsoku w:val="0"/>
      <w:autoSpaceDE w:val="0"/>
      <w:autoSpaceDN w:val="0"/>
      <w:adjustRightInd w:val="0"/>
      <w:snapToGrid w:val="0"/>
      <w:spacing w:line="360" w:lineRule="auto"/>
      <w:ind w:left="249"/>
      <w:jc w:val="left"/>
      <w:textAlignment w:val="baseline"/>
    </w:pPr>
    <w:rPr>
      <w:rFonts w:ascii="宋体" w:hAnsi="Calibri" w:eastAsia="仿宋_GB2312" w:cs="Arial"/>
      <w:snapToGrid w:val="0"/>
      <w:color w:val="000000"/>
      <w:kern w:val="0"/>
      <w:sz w:val="24"/>
      <w:szCs w:val="21"/>
      <w:lang w:eastAsia="en-US"/>
    </w:rPr>
  </w:style>
  <w:style w:type="paragraph" w:customStyle="1" w:styleId="350">
    <w:name w:val="样式 标题 3 + (中文) 黑体 小四 非加粗 段前: 7.8 磅 段后: 0 磅 行距: 固定值 20 磅"/>
    <w:basedOn w:val="5"/>
    <w:link w:val="351"/>
    <w:qFormat/>
    <w:uiPriority w:val="0"/>
    <w:pPr>
      <w:autoSpaceDE/>
      <w:autoSpaceDN/>
      <w:adjustRightInd/>
      <w:spacing w:before="0" w:after="0" w:line="400" w:lineRule="exact"/>
      <w:ind w:right="1021"/>
      <w:jc w:val="both"/>
    </w:pPr>
    <w:rPr>
      <w:rFonts w:ascii="Times New Roman" w:hAnsi="宋体" w:eastAsia="黑体" w:cs="宋体"/>
      <w:b w:val="0"/>
      <w:color w:val="000000" w:themeColor="text1"/>
      <w:kern w:val="2"/>
      <w:sz w:val="21"/>
      <w:szCs w:val="21"/>
      <w:u w:val="none"/>
      <w14:textFill>
        <w14:solidFill>
          <w14:schemeClr w14:val="tx1"/>
        </w14:solidFill>
      </w14:textFill>
    </w:rPr>
  </w:style>
  <w:style w:type="character" w:customStyle="1" w:styleId="351">
    <w:name w:val="样式 标题 3 + (中文) 黑体 小四 非加粗 段前: 7.8 磅 段后: 0 磅 行距: 固定值 20 磅 Char"/>
    <w:link w:val="350"/>
    <w:qFormat/>
    <w:uiPriority w:val="0"/>
    <w:rPr>
      <w:rFonts w:hAnsi="宋体" w:eastAsia="黑体" w:cs="宋体"/>
      <w:color w:val="000000" w:themeColor="text1"/>
      <w:kern w:val="2"/>
      <w:sz w:val="21"/>
      <w:szCs w:val="21"/>
      <w14:textFill>
        <w14:solidFill>
          <w14:schemeClr w14:val="tx1"/>
        </w14:solidFill>
      </w14:textFill>
    </w:rPr>
  </w:style>
  <w:style w:type="character" w:customStyle="1" w:styleId="352">
    <w:name w:val="ant-breadcrumb-link"/>
    <w:basedOn w:val="51"/>
    <w:qFormat/>
    <w:uiPriority w:val="0"/>
  </w:style>
  <w:style w:type="paragraph" w:customStyle="1" w:styleId="353">
    <w:name w:val="样式 仿宋_GB2312 三号1"/>
    <w:basedOn w:val="1"/>
    <w:qFormat/>
    <w:uiPriority w:val="0"/>
    <w:pPr>
      <w:ind w:firstLine="622" w:firstLineChars="200"/>
    </w:pPr>
    <w:rPr>
      <w:rFonts w:eastAsia="仿宋_GB2312" w:cs="宋体"/>
      <w:sz w:val="32"/>
    </w:rPr>
  </w:style>
  <w:style w:type="paragraph" w:customStyle="1" w:styleId="354">
    <w:name w:val="A正文"/>
    <w:basedOn w:val="1"/>
    <w:qFormat/>
    <w:uiPriority w:val="0"/>
    <w:pPr>
      <w:widowControl/>
      <w:snapToGrid w:val="0"/>
      <w:spacing w:line="360" w:lineRule="auto"/>
      <w:ind w:firstLine="200" w:firstLineChars="200"/>
    </w:pPr>
    <w:rPr>
      <w:kern w:val="0"/>
      <w:lang w:eastAsia="en-US" w:bidi="en-US"/>
    </w:rPr>
  </w:style>
  <w:style w:type="paragraph" w:customStyle="1" w:styleId="355">
    <w:name w:val="正文首行缩进 21"/>
    <w:basedOn w:val="98"/>
    <w:qFormat/>
    <w:uiPriority w:val="0"/>
    <w:pPr>
      <w:ind w:firstLine="420"/>
    </w:pPr>
  </w:style>
  <w:style w:type="paragraph" w:customStyle="1" w:styleId="356">
    <w:name w:val="_Style 1041"/>
    <w:basedOn w:val="1"/>
    <w:next w:val="106"/>
    <w:qFormat/>
    <w:uiPriority w:val="0"/>
    <w:pPr>
      <w:ind w:firstLine="420" w:firstLineChars="200"/>
    </w:pPr>
    <w:rPr>
      <w:rFonts w:ascii="Calibri" w:hAnsi="Calibri"/>
    </w:rPr>
  </w:style>
  <w:style w:type="paragraph" w:customStyle="1" w:styleId="35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58">
    <w:name w:val="正文首行缩进 字符1"/>
    <w:basedOn w:val="63"/>
    <w:qFormat/>
    <w:uiPriority w:val="0"/>
    <w:rPr>
      <w:rFonts w:ascii="宋体" w:hAnsi="宋体" w:eastAsia="宋体" w:cs="Times New Roman"/>
      <w:b/>
      <w:color w:val="000000" w:themeColor="text1"/>
      <w:spacing w:val="-8"/>
      <w:kern w:val="2"/>
      <w:sz w:val="21"/>
      <w:szCs w:val="21"/>
      <w14:textFill>
        <w14:solidFill>
          <w14:schemeClr w14:val="tx1"/>
        </w14:solidFill>
      </w14:textFill>
    </w:rPr>
  </w:style>
  <w:style w:type="character" w:styleId="359">
    <w:name w:val="Placeholder Text"/>
    <w:basedOn w:val="51"/>
    <w:autoRedefine/>
    <w:unhideWhenUsed/>
    <w:qFormat/>
    <w:uiPriority w:val="99"/>
    <w:rPr>
      <w:color w:val="808080"/>
    </w:rPr>
  </w:style>
  <w:style w:type="paragraph" w:customStyle="1" w:styleId="360">
    <w:name w:val="图表名称"/>
    <w:next w:val="1"/>
    <w:autoRedefine/>
    <w:qFormat/>
    <w:uiPriority w:val="0"/>
    <w:pPr>
      <w:snapToGrid w:val="0"/>
      <w:spacing w:line="360" w:lineRule="auto"/>
      <w:jc w:val="center"/>
    </w:pPr>
    <w:rPr>
      <w:rFonts w:ascii="黑体" w:hAnsi="黑体" w:eastAsia="黑体" w:cs="Times New Roman"/>
      <w:kern w:val="2"/>
      <w:sz w:val="24"/>
      <w:szCs w:val="24"/>
      <w:lang w:val="en-US" w:eastAsia="zh-CN" w:bidi="ar-SA"/>
    </w:rPr>
  </w:style>
  <w:style w:type="paragraph" w:customStyle="1" w:styleId="361">
    <w:name w:val="Char2 Char Char Char"/>
    <w:basedOn w:val="1"/>
    <w:autoRedefine/>
    <w:qFormat/>
    <w:uiPriority w:val="0"/>
    <w:rPr>
      <w:rFonts w:ascii="Times" w:hAnsi="Times"/>
      <w:sz w:val="24"/>
    </w:rPr>
  </w:style>
  <w:style w:type="character" w:customStyle="1" w:styleId="362">
    <w:name w:val="明显强调1"/>
    <w:basedOn w:val="51"/>
    <w:autoRedefine/>
    <w:qFormat/>
    <w:uiPriority w:val="21"/>
    <w:rPr>
      <w:b/>
      <w:bCs/>
      <w:i/>
      <w:iCs/>
      <w:color w:val="4F81BD" w:themeColor="accent1"/>
      <w14:textFill>
        <w14:solidFill>
          <w14:schemeClr w14:val="accent1"/>
        </w14:solidFill>
      </w14:textFill>
    </w:rPr>
  </w:style>
  <w:style w:type="paragraph" w:customStyle="1" w:styleId="363">
    <w:name w:val="表格内文字"/>
    <w:autoRedefine/>
    <w:qFormat/>
    <w:uiPriority w:val="0"/>
    <w:pPr>
      <w:snapToGrid w:val="0"/>
      <w:jc w:val="center"/>
    </w:pPr>
    <w:rPr>
      <w:rFonts w:ascii="宋体" w:hAnsi="宋体" w:eastAsia="宋体" w:cs="Times New Roman"/>
      <w:kern w:val="2"/>
      <w:sz w:val="21"/>
      <w:szCs w:val="21"/>
      <w:lang w:val="en-US" w:eastAsia="zh-CN" w:bidi="ar-SA"/>
    </w:rPr>
  </w:style>
  <w:style w:type="paragraph" w:customStyle="1" w:styleId="364">
    <w:name w:val="图表"/>
    <w:next w:val="1"/>
    <w:autoRedefine/>
    <w:qFormat/>
    <w:uiPriority w:val="0"/>
    <w:pPr>
      <w:jc w:val="center"/>
    </w:pPr>
    <w:rPr>
      <w:rFonts w:ascii="Times New Roman" w:hAnsi="Times New Roman" w:eastAsia="宋体" w:cs="Times New Roman"/>
      <w:kern w:val="2"/>
      <w:sz w:val="21"/>
      <w:szCs w:val="24"/>
      <w:lang w:val="en-US" w:eastAsia="zh-CN" w:bidi="ar-SA"/>
    </w:rPr>
  </w:style>
  <w:style w:type="paragraph" w:styleId="365">
    <w:name w:val="Quote"/>
    <w:basedOn w:val="1"/>
    <w:next w:val="1"/>
    <w:link w:val="366"/>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66">
    <w:name w:val="引用 字符"/>
    <w:basedOn w:val="51"/>
    <w:link w:val="365"/>
    <w:qFormat/>
    <w:uiPriority w:val="29"/>
    <w:rPr>
      <w:rFonts w:asciiTheme="minorHAnsi" w:hAnsiTheme="minorHAnsi" w:eastAsiaTheme="minorEastAsia" w:cstheme="minorBidi"/>
      <w:i/>
      <w:iCs/>
      <w:color w:val="404040" w:themeColor="text1" w:themeTint="BF"/>
      <w:kern w:val="2"/>
      <w:sz w:val="22"/>
      <w:szCs w:val="24"/>
      <w14:textFill>
        <w14:solidFill>
          <w14:schemeClr w14:val="tx1">
            <w14:lumMod w14:val="75000"/>
            <w14:lumOff w14:val="25000"/>
          </w14:schemeClr>
        </w14:solidFill>
      </w14:textFill>
      <w14:ligatures w14:val="standardContextual"/>
    </w:rPr>
  </w:style>
  <w:style w:type="character" w:customStyle="1" w:styleId="367">
    <w:name w:val="明显强调2"/>
    <w:basedOn w:val="51"/>
    <w:qFormat/>
    <w:uiPriority w:val="21"/>
    <w:rPr>
      <w:i/>
      <w:iCs/>
      <w:color w:val="376092" w:themeColor="accent1" w:themeShade="BF"/>
    </w:rPr>
  </w:style>
  <w:style w:type="paragraph" w:styleId="368">
    <w:name w:val="Intense Quote"/>
    <w:basedOn w:val="1"/>
    <w:next w:val="1"/>
    <w:link w:val="369"/>
    <w:qFormat/>
    <w:uiPriority w:val="30"/>
    <w:pPr>
      <w:pBdr>
        <w:top w:val="single" w:color="366091" w:themeColor="accent1" w:themeShade="BF" w:sz="4" w:space="10"/>
        <w:bottom w:val="single" w:color="366091" w:themeColor="accent1" w:themeShade="BF" w:sz="4" w:space="10"/>
      </w:pBdr>
      <w:spacing w:before="360" w:after="360" w:line="278" w:lineRule="auto"/>
      <w:ind w:left="864" w:right="864"/>
      <w:jc w:val="center"/>
    </w:pPr>
    <w:rPr>
      <w:rFonts w:asciiTheme="minorHAnsi" w:hAnsiTheme="minorHAnsi" w:eastAsiaTheme="minorEastAsia" w:cstheme="minorBidi"/>
      <w:i/>
      <w:iCs/>
      <w:color w:val="376092" w:themeColor="accent1" w:themeShade="BF"/>
      <w:sz w:val="22"/>
      <w14:ligatures w14:val="standardContextual"/>
    </w:rPr>
  </w:style>
  <w:style w:type="character" w:customStyle="1" w:styleId="369">
    <w:name w:val="明显引用 字符"/>
    <w:basedOn w:val="51"/>
    <w:link w:val="368"/>
    <w:qFormat/>
    <w:uiPriority w:val="30"/>
    <w:rPr>
      <w:rFonts w:asciiTheme="minorHAnsi" w:hAnsiTheme="minorHAnsi" w:eastAsiaTheme="minorEastAsia" w:cstheme="minorBidi"/>
      <w:i/>
      <w:iCs/>
      <w:color w:val="376092" w:themeColor="accent1" w:themeShade="BF"/>
      <w:kern w:val="2"/>
      <w:sz w:val="22"/>
      <w:szCs w:val="24"/>
      <w14:ligatures w14:val="standardContextual"/>
    </w:rPr>
  </w:style>
  <w:style w:type="character" w:customStyle="1" w:styleId="370">
    <w:name w:val="明显参考1"/>
    <w:basedOn w:val="51"/>
    <w:qFormat/>
    <w:uiPriority w:val="32"/>
    <w:rPr>
      <w:b/>
      <w:bCs/>
      <w:smallCaps/>
      <w:color w:val="376092" w:themeColor="accent1" w:themeShade="BF"/>
      <w:spacing w:val="5"/>
    </w:rPr>
  </w:style>
  <w:style w:type="paragraph" w:customStyle="1" w:styleId="371">
    <w:name w:val="TOC 标题2"/>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Cs/>
      <w:color w:val="376092" w:themeColor="accent1" w:themeShade="BF"/>
      <w:kern w:val="0"/>
      <w:sz w:val="24"/>
      <w:szCs w:val="32"/>
    </w:rPr>
  </w:style>
  <w:style w:type="paragraph" w:customStyle="1" w:styleId="372">
    <w:name w:val="Body Text Indent 21"/>
    <w:basedOn w:val="1"/>
    <w:qFormat/>
    <w:uiPriority w:val="0"/>
    <w:pPr>
      <w:spacing w:after="120" w:line="480" w:lineRule="auto"/>
      <w:ind w:left="420" w:left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6" Type="http://schemas.openxmlformats.org/officeDocument/2006/relationships/fontTable" Target="fontTable.xml"/><Relationship Id="rId55" Type="http://schemas.openxmlformats.org/officeDocument/2006/relationships/customXml" Target="../customXml/item3.xml"/><Relationship Id="rId54" Type="http://schemas.openxmlformats.org/officeDocument/2006/relationships/customXml" Target="../customXml/item2.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9.wmf"/><Relationship Id="rId50" Type="http://schemas.openxmlformats.org/officeDocument/2006/relationships/oleObject" Target="embeddings/oleObject1.bin"/><Relationship Id="rId5" Type="http://schemas.openxmlformats.org/officeDocument/2006/relationships/footer" Target="footer1.xml"/><Relationship Id="rId49" Type="http://schemas.openxmlformats.org/officeDocument/2006/relationships/image" Target="media/image8.jpeg"/><Relationship Id="rId48" Type="http://schemas.openxmlformats.org/officeDocument/2006/relationships/image" Target="media/image7.jpeg"/><Relationship Id="rId47" Type="http://schemas.openxmlformats.org/officeDocument/2006/relationships/image" Target="media/image6.jpeg"/><Relationship Id="rId46" Type="http://schemas.openxmlformats.org/officeDocument/2006/relationships/image" Target="media/image5.jpeg"/><Relationship Id="rId45" Type="http://schemas.openxmlformats.org/officeDocument/2006/relationships/image" Target="media/image4.jpeg"/><Relationship Id="rId44" Type="http://schemas.openxmlformats.org/officeDocument/2006/relationships/image" Target="media/image3.jpeg"/><Relationship Id="rId43" Type="http://schemas.openxmlformats.org/officeDocument/2006/relationships/image" Target="media/image2.jpeg"/><Relationship Id="rId42" Type="http://schemas.openxmlformats.org/officeDocument/2006/relationships/image" Target="media/image1.png"/><Relationship Id="rId41" Type="http://schemas.openxmlformats.org/officeDocument/2006/relationships/theme" Target="theme/theme1.xml"/><Relationship Id="rId40" Type="http://schemas.openxmlformats.org/officeDocument/2006/relationships/footer" Target="footer21.xml"/><Relationship Id="rId4" Type="http://schemas.openxmlformats.org/officeDocument/2006/relationships/header" Target="header2.xml"/><Relationship Id="rId39" Type="http://schemas.openxmlformats.org/officeDocument/2006/relationships/header" Target="header17.xml"/><Relationship Id="rId38" Type="http://schemas.openxmlformats.org/officeDocument/2006/relationships/footer" Target="footer20.xml"/><Relationship Id="rId37" Type="http://schemas.openxmlformats.org/officeDocument/2006/relationships/header" Target="header16.xml"/><Relationship Id="rId36" Type="http://schemas.openxmlformats.org/officeDocument/2006/relationships/footer" Target="footer19.xml"/><Relationship Id="rId35" Type="http://schemas.openxmlformats.org/officeDocument/2006/relationships/footer" Target="footer18.xml"/><Relationship Id="rId34" Type="http://schemas.openxmlformats.org/officeDocument/2006/relationships/header" Target="header15.xml"/><Relationship Id="rId33" Type="http://schemas.openxmlformats.org/officeDocument/2006/relationships/header" Target="header14.xml"/><Relationship Id="rId32" Type="http://schemas.openxmlformats.org/officeDocument/2006/relationships/footer" Target="footer17.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a7755d77-cba2-4dbe-a44f-d310722e6bee</errorID>
      <errorWord>、</errorWord>
      <group>L1_AI</group>
      <groupName>深度校对</groupName>
      <ability>L2_AI_Punc</ability>
      <abilityName>标点纠错</abilityName>
      <candidateList>
        <item>；</item>
      </candidateList>
      <explain/>
      <paraID> 4EFB966</paraID>
      <start>21</start>
      <end>22</end>
      <status>unmodified</status>
      <modifiedWord/>
      <trackRevisions>false</trackRevisions>
    </reviewItem>
    <reviewItem>
      <errorID>081b7fec-fc7f-4ca8-a229-e6ce2ec6fef8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45B0A33F</paraID>
      <start>19</start>
      <end>20</end>
      <status>unmodified</status>
      <modifiedWord/>
      <trackRevisions>false</trackRevisions>
    </reviewItem>
    <reviewItem>
      <errorID>bf94e97b-bf03-4709-ba76-34fea4385005</errorID>
      <errorWord>其它</errorWord>
      <group>L1_Word</group>
      <groupName>字词问题</groupName>
      <ability>L2_Alias</ability>
      <abilityName>也作/曾用词</abilityName>
      <candidateList>
        <item>其他</item>
      </candidateList>
      <explain>词汇[其它]为不规范表述或旧称，其规范书面表述为[其他]。</explain>
      <paraID>5CCFF65A</paraID>
      <start>4</start>
      <end>6</end>
      <status>unmodified</status>
      <modifiedWord/>
      <trackRevisions>false</trackRevisions>
    </reviewItem>
    <reviewItem>
      <errorID>2797f44d-ca85-420d-8a2b-7f8ac9b134e9</errorID>
      <errorWord>；并未</errorWord>
      <group>L1_AI</group>
      <groupName>深度校对</groupName>
      <ability>L2_AI_Grammar</ability>
      <abilityName>语法纠错</abilityName>
      <candidateList>
        <item>人员，且未</item>
      </candidateList>
      <explain/>
      <paraID>255E3992</paraID>
      <start>48</start>
      <end>51</end>
      <status>unmodified</status>
      <modifiedWord/>
      <trackRevisions>false</trackRevisions>
    </reviewItem>
    <reviewItem>
      <errorID>f9b45c79-0214-40bc-aced-08aaebae8350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6556CF0D</paraID>
      <start>5</start>
      <end>16</end>
      <status>unmodified</status>
      <modifiedWord/>
      <trackRevisions>false</trackRevisions>
    </reviewItem>
    <reviewItem>
      <errorID>2c98fb72-754f-4533-9e96-e673905836e9</errorID>
      <errorWord>2026年04月01日</errorWord>
      <group>L1_Knowledge</group>
      <groupName>知识性问题</groupName>
      <ability>L2_Time</ability>
      <abilityName>日期时间</abilityName>
      <candidateList>
        <item>2026年4月1日</item>
      </candidateList>
      <explain>根据日常书写习惯，月份和日期一般会省略前导零。</explain>
      <paraID>6556CF0D</paraID>
      <start>17</start>
      <end>28</end>
      <status>unmodified</status>
      <modifiedWord/>
      <trackRevisions>false</trackRevisions>
    </reviewItem>
    <reviewItem>
      <errorID>3212482c-dc04-4fa3-b3c4-95d9123d0c3e</errorID>
      <errorWord>：</errorWord>
      <group>L1_Format</group>
      <groupName>格式问题</groupName>
      <ability>L2_HalfPunc</ability>
      <abilityName>全半角检查</abilityName>
      <candidateList>
        <item>:</item>
      </candidateList>
      <explain>文本全半角错误。</explain>
      <paraID>6556CF0D</paraID>
      <start>35</start>
      <end>36</end>
      <status>unmodified</status>
      <modifiedWord/>
      <trackRevisions>false</trackRevisions>
    </reviewItem>
    <reviewItem>
      <errorID>cb8ad1f4-aa04-43af-9d05-228ee5785d6d</errorID>
      <errorWord>下午13:00</errorWord>
      <group>L1_Knowledge</group>
      <groupName>知识性问题</groupName>
      <ability>L2_Time</ability>
      <abilityName>日期时间</abilityName>
      <candidateList>
        <item>13:00</item>
      </candidateList>
      <explain>24小时制的时间，不需要强调“下午”。</explain>
      <paraID>6556CF0D</paraID>
      <start>45</start>
      <end>52</end>
      <status>unmodified</status>
      <modifiedWord/>
      <trackRevisions>false</trackRevisions>
    </reviewItem>
    <reviewItem>
      <errorID>6ce4a97a-b2e9-4799-8cfa-d6bed987af99</errorID>
      <errorWord>2026年04月08日</errorWord>
      <group>L1_Knowledge</group>
      <groupName>知识性问题</groupName>
      <ability>L2_Time</ability>
      <abilityName>日期时间</abilityName>
      <candidateList>
        <item>2026年4月8日</item>
      </candidateList>
      <explain>根据日常书写习惯，月份和日期一般会省略前导零。</explain>
      <paraID>15C53720</paraID>
      <start>5</start>
      <end>16</end>
      <status>unmodified</status>
      <modifiedWord/>
      <trackRevisions>false</trackRevisions>
    </reviewItem>
    <reviewItem>
      <errorID>d4a48cdc-9c68-42e4-88af-8d6b8f744e84</errorID>
      <errorWord>显示 屏</errorWord>
      <group>L1_Word</group>
      <groupName>字词问题</groupName>
      <ability>L2_Typo</ability>
      <abilityName>字词错误</abilityName>
      <candidateList>
        <item>显示屏</item>
      </candidateList>
      <explain/>
      <paraID> EE6EF0C</paraID>
      <start>34</start>
      <end>38</end>
      <status>unmodified</status>
      <modifiedWord/>
      <trackRevisions>false</trackRevisions>
    </reviewItem>
    <reviewItem>
      <errorID>abce21a7-eb6e-4202-a8c0-07f6a8ef2050</errorID>
      <errorWord>2026年04月08日</errorWord>
      <group>L1_Knowledge</group>
      <groupName>知识性问题</groupName>
      <ability>L2_Time</ability>
      <abilityName>日期时间</abilityName>
      <candidateList>
        <item>2026年4月8日</item>
      </candidateList>
      <explain>根据日常书写习惯，月份和日期一般会省略前导零。</explain>
      <paraID>2A3E06BD</paraID>
      <start>3</start>
      <end>14</end>
      <status>unmodified</status>
      <modifiedWord/>
      <trackRevisions>false</trackRevisions>
    </reviewItem>
    <reviewItem>
      <errorID>87d16b96-a95a-48ec-9227-b3c417fc4132</errorID>
      <errorWord>显示 屏</errorWord>
      <group>L1_Word</group>
      <groupName>字词问题</groupName>
      <ability>L2_Typo</ability>
      <abilityName>字词错误</abilityName>
      <candidateList>
        <item>显示屏</item>
      </candidateList>
      <explain/>
      <paraID>2C68240F</paraID>
      <start>34</start>
      <end>38</end>
      <status>unmodified</status>
      <modifiedWord/>
      <trackRevisions>false</trackRevisions>
    </reviewItem>
    <reviewItem>
      <errorID>106d503f-782c-4718-83b5-1300b5079fb7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973D97F</paraID>
      <start>46</start>
      <end>49</end>
      <status>unmodified</status>
      <modifiedWord/>
      <trackRevisions>false</trackRevisions>
    </reviewItem>
    <reviewItem>
      <errorID>a0cc0013-cd4d-44e7-bc1c-ba746db5ee3f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973D97F</paraID>
      <start>77</start>
      <end>80</end>
      <status>unmodified</status>
      <modifiedWord/>
      <trackRevisions>false</trackRevisions>
    </reviewItem>
    <reviewItem>
      <errorID>3b689de6-c877-481d-a942-2f9a1e681c7d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973D97F</paraID>
      <start>98</start>
      <end>101</end>
      <status>unmodified</status>
      <modifiedWord/>
      <trackRevisions>false</trackRevisions>
    </reviewItem>
    <reviewItem>
      <errorID>4f3a25a4-faad-45f5-84f7-70d3b7248bf7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973D97F</paraID>
      <start>130</start>
      <end>133</end>
      <status>unmodified</status>
      <modifiedWord/>
      <trackRevisions>false</trackRevisions>
    </reviewItem>
    <reviewItem>
      <errorID>bc89a857-5657-4965-8693-8456275fc02a</errorID>
      <errorWord>。。</errorWord>
      <group>L1_Punc</group>
      <groupName>标点问题</groupName>
      <ability>L2_Punc</ability>
      <abilityName>标点符号检查</abilityName>
      <candidateList>
        <item>。</item>
      </candidateList>
      <explain/>
      <paraID> 973D97F</paraID>
      <start>150</start>
      <end>152</end>
      <status>unmodified</status>
      <modifiedWord/>
      <trackRevisions>false</trackRevisions>
    </reviewItem>
    <reviewItem>
      <errorID>33c05c4e-07e1-413b-bfd5-37efb4db19df</errorID>
      <errorWord>交易平台查阅 </errorWord>
      <group>L1_AI</group>
      <groupName>深度校对</groupName>
      <ability>L2_AI_Grammar</ability>
      <abilityName>语法纠错</abilityName>
      <candidateList>
        <item>交易平台</item>
      </candidateList>
      <explain/>
      <paraID>7C55887A</paraID>
      <start>14</start>
      <end>21</end>
      <status>unmodified</status>
      <modifiedWord/>
      <trackRevisions>false</trackRevisions>
    </reviewItem>
    <reviewItem>
      <errorID>77cdb68d-d13b-4753-8bdc-693631e8e712</errorID>
      <errorWord> /</errorWord>
      <group>L1_AI</group>
      <groupName>深度校对</groupName>
      <ability>L2_AI_Word</ability>
      <abilityName>字词纠错</abilityName>
      <candidateList>
        <item>或</item>
      </candidateList>
      <explain/>
      <paraID>7C55887A</paraID>
      <start>51</start>
      <end>53</end>
      <status>unmodified</status>
      <modifiedWord/>
      <trackRevisions>false</trackRevisions>
    </reviewItem>
    <reviewItem>
      <errorID>b8514d72-74a8-440d-8a0e-aa69590b3e51</errorID>
      <errorWord>下载</errorWord>
      <group>L1_AI</group>
      <groupName>深度校对</groupName>
      <ability>L2_AI_Punc</ability>
      <abilityName>标点纠错</abilityName>
      <candidateList>
        <item>，下载</item>
      </candidateList>
      <explain/>
      <paraID>3ECC10F6</paraID>
      <start>47</start>
      <end>49</end>
      <status>unmodified</status>
      <modifiedWord/>
      <trackRevisions>false</trackRevisions>
    </reviewItem>
    <reviewItem>
      <errorID>aaac8b1c-4ae5-43fa-96c5-fe592767b24c</errorID>
      <errorWord>下载</errorWord>
      <group>L1_AI</group>
      <groupName>深度校对</groupName>
      <ability>L2_AI_Punc</ability>
      <abilityName>标点纠错</abilityName>
      <candidateList>
        <item>，下载</item>
      </candidateList>
      <explain/>
      <paraID>7A16E2EA</paraID>
      <start>42</start>
      <end>44</end>
      <status>unmodified</status>
      <modifiedWord/>
      <trackRevisions>false</trackRevisions>
    </reviewItem>
    <reviewItem>
      <errorID>f5c16972-ea59-4b1c-9221-552ccb1e0238</errorID>
      <errorWord>、</errorWord>
      <group>L1_AI</group>
      <groupName>深度校对</groupName>
      <ability>L2_AI_Punc</ability>
      <abilityName>标点纠错</abilityName>
      <candidateList>
        <item>，</item>
      </candidateList>
      <explain/>
      <paraID>24882BD8</paraID>
      <start>15</start>
      <end>16</end>
      <status>unmodified</status>
      <modifiedWord/>
      <trackRevisions>false</trackRevisions>
    </reviewItem>
    <reviewItem>
      <errorID>554e4f7c-595e-4333-b381-faded440ae16</errorID>
      <errorWord>___</errorWord>
      <group>L1_AI</group>
      <groupName>深度校对</groupName>
      <ability>L2_AI_Punc</ability>
      <abilityName>标点纠错</abilityName>
      <candidateList>
        <item/>
      </candidateList>
      <explain/>
      <paraID>7D0A47B2</paraID>
      <start>13</start>
      <end>16</end>
      <status>unmodified</status>
      <modifiedWord/>
      <trackRevisions>false</trackRevisions>
    </reviewItem>
    <reviewItem>
      <errorID>c9fa35a3-a2dd-42d8-934d-b9437b58afae</errorID>
      <errorWord>____</errorWord>
      <group>L1_AI</group>
      <groupName>深度校对</groupName>
      <ability>L2_AI_Punc</ability>
      <abilityName>标点纠错</abilityName>
      <candidateList>
        <item/>
      </candidateList>
      <explain/>
      <paraID>7D0A47B2</paraID>
      <start>18</start>
      <end>22</end>
      <status>unmodified</status>
      <modifiedWord/>
      <trackRevisions>false</trackRevisions>
    </reviewItem>
    <reviewItem>
      <errorID>e1176690-9acc-4895-8e0b-c57dba9babfc</errorID>
      <errorWord>接收</errorWord>
      <group>L1_Word</group>
      <groupName>字词问题</groupName>
      <ability>L2_Typo</ability>
      <abilityName>字词错误</abilityName>
      <candidateList>
        <item>接受</item>
      </candidateList>
      <explain>存在发音相同字词的误用。</explain>
      <paraID>6DCE00EA</paraID>
      <start>0</start>
      <end>2</end>
      <status>unmodified</status>
      <modifiedWord/>
      <trackRevisions>false</trackRevisions>
    </reviewItem>
    <reviewItem>
      <errorID>6cf82946-6ce5-4a56-97bd-52dd7ca62ad5</errorID>
      <errorWord>：：</errorWord>
      <group>L1_Punc</group>
      <groupName>标点问题</groupName>
      <ability>L2_Punc</ability>
      <abilityName>标点符号检查</abilityName>
      <candidateList>
        <item>：</item>
      </candidateList>
      <explain/>
      <paraID>2FFEBD96</paraID>
      <start>4</start>
      <end>6</end>
      <status>unmodified</status>
      <modifiedWord/>
      <trackRevisions>false</trackRevisions>
    </reviewItem>
    <reviewItem>
      <errorID>8f78f4d4-4447-465f-bfd1-dcd57fecf812</errorID>
      <errorWord>。；</errorWord>
      <group>L1_Punc</group>
      <groupName>标点问题</groupName>
      <ability>L2_Punc</ability>
      <abilityName>标点符号检查</abilityName>
      <candidateList>
        <item>。</item>
      </candidateList>
      <explain/>
      <paraID>4C8FE224</paraID>
      <start>119</start>
      <end>121</end>
      <status>unmodified</status>
      <modifiedWord/>
      <trackRevisions>false</trackRevisions>
    </reviewItem>
    <reviewItem>
      <errorID>a08f1ffb-98ab-4851-b417-e1a0295efaf4</errorID>
      <errorWord>：/。</errorWord>
      <group>L1_Punc</group>
      <groupName>标点问题</groupName>
      <ability>L2_Punc</ability>
      <abilityName>标点符号检查</abilityName>
      <candidateList>
        <item>：</item>
      </candidateList>
      <explain/>
      <paraID>  8220F4</paraID>
      <start>4</start>
      <end>7</end>
      <status>unmodified</status>
      <modifiedWord/>
      <trackRevisions>false</trackRevisions>
    </reviewItem>
    <reviewItem>
      <errorID>b526c133-bf4c-425d-b09a-f5ecf3a9a9f2</errorID>
      <errorWord>：/</errorWord>
      <group>L1_Punc</group>
      <groupName>标点问题</groupName>
      <ability>L2_Punc</ability>
      <abilityName>标点符号检查</abilityName>
      <candidateList>
        <item>：</item>
      </candidateList>
      <explain/>
      <paraID>1308D069</paraID>
      <start>7</start>
      <end>9</end>
      <status>unmodified</status>
      <modifiedWord/>
      <trackRevisions>false</trackRevisions>
    </reviewItem>
    <reviewItem>
      <errorID>58d26ecb-73bb-4479-96f3-771a4f2ff8d4</errorID>
      <errorWord>：/</errorWord>
      <group>L1_Punc</group>
      <groupName>标点问题</groupName>
      <ability>L2_Punc</ability>
      <abilityName>标点符号检查</abilityName>
      <candidateList>
        <item>：</item>
      </candidateList>
      <explain/>
      <paraID>7F497311</paraID>
      <start>20</start>
      <end>22</end>
      <status>unmodified</status>
      <modifiedWord/>
      <trackRevisions>false</trackRevisions>
    </reviewItem>
    <reviewItem>
      <errorID>8f9cb13d-d714-4e60-b3eb-37c7acf00111</errorID>
      <errorWord>：/</errorWord>
      <group>L1_Punc</group>
      <groupName>标点问题</groupName>
      <ability>L2_Punc</ability>
      <abilityName>标点符号检查</abilityName>
      <candidateList>
        <item>：</item>
      </candidateList>
      <explain/>
      <paraID>42F91D35</paraID>
      <start>19</start>
      <end>21</end>
      <status>unmodified</status>
      <modifiedWord/>
      <trackRevisions>false</trackRevisions>
    </reviewItem>
    <reviewItem>
      <errorID>deddf785-cca4-4c7e-aa2e-2643070ac74f</errorID>
      <errorWord>：/</errorWord>
      <group>L1_Punc</group>
      <groupName>标点问题</groupName>
      <ability>L2_Punc</ability>
      <abilityName>标点符号检查</abilityName>
      <candidateList>
        <item>：</item>
      </candidateList>
      <explain/>
      <paraID>2503CF2C</paraID>
      <start>17</start>
      <end>19</end>
      <status>unmodified</status>
      <modifiedWord/>
      <trackRevisions>false</trackRevisions>
    </reviewItem>
    <reviewItem>
      <errorID>baf7deb8-1e81-47cb-9b7c-0deb9a762b84</errorID>
      <errorWord>&lt;</errorWord>
      <group>L1_Format</group>
      <groupName>格式问题</groupName>
      <ability>L2_HalfPunc</ability>
      <abilityName>全半角检查</abilityName>
      <candidateList>
        <item>〈</item>
      </candidateList>
      <explain>文本全半角错误。</explain>
      <paraID>673F7F04</paraID>
      <start>59</start>
      <end>60</end>
      <status>unmodified</status>
      <modifiedWord/>
      <trackRevisions>false</trackRevisions>
    </reviewItem>
    <reviewItem>
      <errorID>88922cd0-b832-48c6-802f-14823c780147</errorID>
      <errorWord>&gt;</errorWord>
      <group>L1_Format</group>
      <groupName>格式问题</groupName>
      <ability>L2_HalfPunc</ability>
      <abilityName>全半角检查</abilityName>
      <candidateList>
        <item>〉</item>
      </candidateList>
      <explain>文本全半角错误。</explain>
      <paraID>673F7F04</paraID>
      <start>90</start>
      <end>91</end>
      <status>unmodified</status>
      <modifiedWord/>
      <trackRevisions>false</trackRevisions>
    </reviewItem>
    <reviewItem>
      <errorID>7acbeec6-7daa-4cc1-b24b-1667daa4a0fd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4779B320</paraID>
      <start>148</start>
      <end>151</end>
      <status>unmodified</status>
      <modifiedWord/>
      <trackRevisions>false</trackRevisions>
    </reviewItem>
    <reviewItem>
      <errorID>c918ee91-18f9-4866-ac22-e92f0c9f397f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3BC0D97F</paraID>
      <start>48</start>
      <end>51</end>
      <status>unmodified</status>
      <modifiedWord/>
      <trackRevisions>false</trackRevisions>
    </reviewItem>
    <reviewItem>
      <errorID>016322ec-eb1a-4270-9bc5-90ee8d4de846</errorID>
      <errorWord>接收</errorWord>
      <group>L1_Word</group>
      <groupName>字词问题</groupName>
      <ability>L2_Typo</ability>
      <abilityName>字词错误</abilityName>
      <candidateList>
        <item>接受</item>
      </candidateList>
      <explain>存在发音相同字词的误用。</explain>
      <paraID>6161B1D7</paraID>
      <start>0</start>
      <end>2</end>
      <status>unmodified</status>
      <modifiedWord/>
      <trackRevisions>false</trackRevisions>
    </reviewItem>
    <reviewItem>
      <errorID>7c183cb6-425f-4a59-b891-169fdd8fd356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67D5B596</paraID>
      <start>0</start>
      <end>2</end>
      <status>unmodified</status>
      <modifiedWord/>
      <trackRevisions>false</trackRevisions>
    </reviewItem>
    <reviewItem>
      <errorID>9fb253df-d7c4-404e-ab81-c3fc76003245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2FD63084</paraID>
      <start>0</start>
      <end>2</end>
      <status>unmodified</status>
      <modifiedWord/>
      <trackRevisions>false</trackRevisions>
    </reviewItem>
    <reviewItem>
      <errorID>e3a985e9-7843-4a94-a451-678d91863788</errorID>
      <errorWord>是</errorWord>
      <group>L1_Word</group>
      <groupName>字词问题</groupName>
      <ability>L2_Typo</ability>
      <abilityName>字词错误</abilityName>
      <candidateList>
        <item>是在</item>
      </candidateList>
      <explain/>
      <paraID>760A7275</paraID>
      <start>12</start>
      <end>13</end>
      <status>unmodified</status>
      <modifiedWord/>
      <trackRevisions>false</trackRevisions>
    </reviewItem>
    <reviewItem>
      <errorID>a7bbf224-4ee4-4efd-bce7-d1ca15ea6713</errorID>
      <errorWord>法律、法规</errorWord>
      <group>L1_Word</group>
      <groupName>字词问题</groupName>
      <ability>L2_Typo</ability>
      <abilityName>字词错误</abilityName>
      <candidateList>
        <item>法律法规</item>
      </candidateList>
      <explain/>
      <paraID>5C9617C0</paraID>
      <start>14</start>
      <end>19</end>
      <status>unmodified</status>
      <modifiedWord/>
      <trackRevisions>false</trackRevisions>
    </reviewItem>
    <reviewItem>
      <errorID>3582b6a1-7bf5-42aa-8630-d2123ed08c11</errorID>
      <errorWord>&lt;</errorWord>
      <group>L1_Format</group>
      <groupName>格式问题</groupName>
      <ability>L2_HalfPunc</ability>
      <abilityName>全半角检查</abilityName>
      <candidateList>
        <item>〈</item>
      </candidateList>
      <explain>文本全半角错误。</explain>
      <paraID>3F02603D</paraID>
      <start>50</start>
      <end>51</end>
      <status>unmodified</status>
      <modifiedWord/>
      <trackRevisions>false</trackRevisions>
    </reviewItem>
    <reviewItem>
      <errorID>47298372-648a-482a-b1f9-4de192f2faf2</errorID>
      <errorWord>&lt;</errorWord>
      <group>L1_Format</group>
      <groupName>格式问题</groupName>
      <ability>L2_HalfPunc</ability>
      <abilityName>全半角检查</abilityName>
      <candidateList>
        <item>〈</item>
      </candidateList>
      <explain>文本全半角错误。</explain>
      <paraID> E322CA6</paraID>
      <start>50</start>
      <end>51</end>
      <status>unmodified</status>
      <modifiedWord/>
      <trackRevisions>false</trackRevisions>
    </reviewItem>
    <reviewItem>
      <errorID>dc0ae9d4-90d5-4ff3-aa02-171725c9391f</errorID>
      <errorWord>&lt;</errorWord>
      <group>L1_Format</group>
      <groupName>格式问题</groupName>
      <ability>L2_HalfPunc</ability>
      <abilityName>全半角检查</abilityName>
      <candidateList>
        <item>〈</item>
      </candidateList>
      <explain>文本全半角错误。</explain>
      <paraID>260DE4D7</paraID>
      <start>35</start>
      <end>36</end>
      <status>unmodified</status>
      <modifiedWord/>
      <trackRevisions>false</trackRevisions>
    </reviewItem>
    <reviewItem>
      <errorID>bca36170-e251-4173-81b1-76c890be2805</errorID>
      <errorWord>》</errorWord>
      <group>L1_Word</group>
      <groupName>字词问题</groupName>
      <ability>L2_Typo</ability>
      <abilityName>字词错误</abilityName>
      <candidateList>
        <item>》第</item>
      </candidateList>
      <explain/>
      <paraID>7C0D41CA</paraID>
      <start>27</start>
      <end>28</end>
      <status>unmodified</status>
      <modifiedWord/>
      <trackRevisions>false</trackRevisions>
    </reviewItem>
    <reviewItem>
      <errorID>83a205f3-9ae9-40a1-9ece-c784ccea7986</errorID>
      <errorWord>》</errorWord>
      <group>L1_Word</group>
      <groupName>字词问题</groupName>
      <ability>L2_Typo</ability>
      <abilityName>字词错误</abilityName>
      <candidateList>
        <item>》第</item>
      </candidateList>
      <explain/>
      <paraID>2777628D</paraID>
      <start>29</start>
      <end>30</end>
      <status>unmodified</status>
      <modifiedWord/>
      <trackRevisions>false</trackRevisions>
    </reviewItem>
    <reviewItem>
      <errorID>f46b790a-a4d4-41da-b2c7-8fa15002291e</errorID>
      <errorWord>二家</errorWord>
      <group>L1_Word</group>
      <groupName>字词问题</groupName>
      <ability>L2_Typo</ability>
      <abilityName>字词错误</abilityName>
      <candidateList>
        <item>两家</item>
      </candidateList>
      <explain/>
      <paraID>7612CF95</paraID>
      <start>63</start>
      <end>65</end>
      <status>unmodified</status>
      <modifiedWord/>
      <trackRevisions>false</trackRevisions>
    </reviewItem>
    <reviewItem>
      <errorID>8a9f9ff4-7978-4a1c-944c-d248d95dbc07</errorID>
      <errorWord>二名</errorWord>
      <group>L1_Word</group>
      <groupName>字词问题</groupName>
      <ability>L2_Typo</ability>
      <abilityName>字词错误</abilityName>
      <candidateList>
        <item>两名</item>
      </candidateList>
      <explain/>
      <paraID>7612CF95</paraID>
      <start>71</start>
      <end>73</end>
      <status>unmodified</status>
      <modifiedWord/>
      <trackRevisions>false</trackRevisions>
    </reviewItem>
    <reviewItem>
      <errorID>ff85b562-dd05-4cf3-9ecf-a3e2eb660074</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55D02F44</paraID>
      <start>0</start>
      <end>1</end>
      <status>unmodified</status>
      <modifiedWord/>
      <trackRevisions>false</trackRevisions>
    </reviewItem>
    <reviewItem>
      <errorID>4c72f080-07bf-480f-98a9-5db11557c70d</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7422ECB9</paraID>
      <start>0</start>
      <end>1</end>
      <status>unmodified</status>
      <modifiedWord/>
      <trackRevisions>false</trackRevisions>
    </reviewItem>
    <reviewItem>
      <errorID>6fe75ed5-82e3-44bc-87cb-83f47199abc8</errorID>
      <errorWord>节</errorWord>
      <group>L1_Word</group>
      <groupName>字词问题</groupName>
      <ability>L2_Typo</ability>
      <abilityName>字词错误</abilityName>
      <candidateList>
        <item>节有</item>
      </candidateList>
      <explain/>
      <paraID>38A0350E</paraID>
      <start>42</start>
      <end>43</end>
      <status>unmodified</status>
      <modifiedWord/>
      <trackRevisions>false</trackRevisions>
    </reviewItem>
    <reviewItem>
      <errorID>fe9fb65f-c800-4690-b199-f37b0adde78d</errorID>
      <errorWord>节</errorWord>
      <group>L1_Word</group>
      <groupName>字词问题</groupName>
      <ability>L2_Typo</ability>
      <abilityName>字词错误</abilityName>
      <candidateList>
        <item>节有</item>
      </candidateList>
      <explain/>
      <paraID>350DCF0C</paraID>
      <start>16</start>
      <end>17</end>
      <status>unmodified</status>
      <modifiedWord/>
      <trackRevisions>false</trackRevisions>
    </reviewItem>
    <reviewItem>
      <errorID>c60ea2af-fc49-4cc1-ae0a-7a46608c1705</errorID>
      <errorWord>待</errorWord>
      <group>L1_Word</group>
      <groupName>字词问题</groupName>
      <ability>L2_Typo</ability>
      <abilityName>字词错误</abilityName>
      <candidateList>
        <item>有待</item>
      </candidateList>
      <explain/>
      <paraID>350DCF0C</paraID>
      <start>17</start>
      <end>18</end>
      <status>unmodified</status>
      <modifiedWord/>
      <trackRevisions>false</trackRevisions>
    </reviewItem>
    <reviewItem>
      <errorID>2ed81c12-d5a2-4492-82b2-25f1f0873330</errorID>
      <errorWord>节</errorWord>
      <group>L1_Word</group>
      <groupName>字词问题</groupName>
      <ability>L2_Typo</ability>
      <abilityName>字词错误</abilityName>
      <candidateList>
        <item>节有</item>
      </candidateList>
      <explain/>
      <paraID> ACA200B</paraID>
      <start>18</start>
      <end>19</end>
      <status>unmodified</status>
      <modifiedWord/>
      <trackRevisions>false</trackRevisions>
    </reviewItem>
    <reviewItem>
      <errorID>2c2880ba-db90-4119-9a2b-5fe44f7b0d54</errorID>
      <errorWord>待</errorWord>
      <group>L1_Word</group>
      <groupName>字词问题</groupName>
      <ability>L2_Typo</ability>
      <abilityName>字词错误</abilityName>
      <candidateList>
        <item>有待</item>
      </candidateList>
      <explain/>
      <paraID> ACA200B</paraID>
      <start>19</start>
      <end>20</end>
      <status>unmodified</status>
      <modifiedWord/>
      <trackRevisions>false</trackRevisions>
    </reviewItem>
    <reviewItem>
      <errorID>a3daa01f-41a3-4849-b037-7f2ec67397e7</errorID>
      <errorWord>待</errorWord>
      <group>L1_Word</group>
      <groupName>字词问题</groupName>
      <ability>L2_Typo</ability>
      <abilityName>字词错误</abilityName>
      <candidateList>
        <item>有待</item>
      </candidateList>
      <explain/>
      <paraID>7102BFB5</paraID>
      <start>8</start>
      <end>9</end>
      <status>unmodified</status>
      <modifiedWord/>
      <trackRevisions>false</trackRevisions>
    </reviewItem>
    <reviewItem>
      <errorID>1528109b-f216-4a34-8ef4-be9bc465f868</errorID>
      <errorWord>节</errorWord>
      <group>L1_Word</group>
      <groupName>字词问题</groupName>
      <ability>L2_Typo</ability>
      <abilityName>字词错误</abilityName>
      <candidateList>
        <item>节有</item>
      </candidateList>
      <explain/>
      <paraID>36B32027</paraID>
      <start>55</start>
      <end>56</end>
      <status>unmodified</status>
      <modifiedWord/>
      <trackRevisions>false</trackRevisions>
    </reviewItem>
    <reviewItem>
      <errorID>a474192f-833a-444d-8d4f-e60b34bc8c25</errorID>
      <errorWord>待</errorWord>
      <group>L1_Word</group>
      <groupName>字词问题</groupName>
      <ability>L2_Typo</ability>
      <abilityName>字词错误</abilityName>
      <candidateList>
        <item>有待</item>
      </candidateList>
      <explain/>
      <paraID>36B32027</paraID>
      <start>56</start>
      <end>57</end>
      <status>unmodified</status>
      <modifiedWord/>
      <trackRevisions>false</trackRevisions>
    </reviewItem>
    <reviewItem>
      <errorID>12dd2704-f1ec-4a56-a41b-cc46e66cd7f5</errorID>
      <errorWord>，</errorWord>
      <group>L1_Word</group>
      <groupName>字词问题</groupName>
      <ability>L2_Typo</ability>
      <abilityName>字词错误</abilityName>
      <candidateList>
        <item>，具</item>
      </candidateList>
      <explain/>
      <paraID>7BDCA002</paraID>
      <start>34</start>
      <end>35</end>
      <status>unmodified</status>
      <modifiedWord/>
      <trackRevisions>false</trackRevisions>
    </reviewItem>
    <reviewItem>
      <errorID>ff18404b-eeaa-41ba-93e5-bd15d17de3d6</errorID>
      <errorWord>节</errorWord>
      <group>L1_Word</group>
      <groupName>字词问题</groupName>
      <ability>L2_Typo</ability>
      <abilityName>字词错误</abilityName>
      <candidateList>
        <item>节有</item>
      </candidateList>
      <explain/>
      <paraID>28C33B0B</paraID>
      <start>24</start>
      <end>25</end>
      <status>unmodified</status>
      <modifiedWord/>
      <trackRevisions>false</trackRevisions>
    </reviewItem>
    <reviewItem>
      <errorID>c1e75410-5b0d-42fe-a3c6-e52aa768a5e0</errorID>
      <errorWord>节</errorWord>
      <group>L1_Word</group>
      <groupName>字词问题</groupName>
      <ability>L2_Typo</ability>
      <abilityName>字词错误</abilityName>
      <candidateList>
        <item>节有</item>
      </candidateList>
      <explain/>
      <paraID> DDD3900</paraID>
      <start>7</start>
      <end>8</end>
      <status>unmodified</status>
      <modifiedWord/>
      <trackRevisions>false</trackRevisions>
    </reviewItem>
    <reviewItem>
      <errorID>e6dfa8fa-4614-4e55-891e-e2ac26cbbf65</errorID>
      <errorWord>待</errorWord>
      <group>L1_Word</group>
      <groupName>字词问题</groupName>
      <ability>L2_Typo</ability>
      <abilityName>字词错误</abilityName>
      <candidateList>
        <item>有待</item>
      </candidateList>
      <explain/>
      <paraID> DDD3900</paraID>
      <start>8</start>
      <end>9</end>
      <status>unmodified</status>
      <modifiedWord/>
      <trackRevisions>false</trackRevisions>
    </reviewItem>
    <reviewItem>
      <errorID>87c34f7c-d066-42af-b518-e27888e6f489</errorID>
      <errorWord>节</errorWord>
      <group>L1_Word</group>
      <groupName>字词问题</groupName>
      <ability>L2_Typo</ability>
      <abilityName>字词错误</abilityName>
      <candidateList>
        <item>节有</item>
      </candidateList>
      <explain/>
      <paraID>7477981E</paraID>
      <start>7</start>
      <end>8</end>
      <status>unmodified</status>
      <modifiedWord/>
      <trackRevisions>false</trackRevisions>
    </reviewItem>
    <reviewItem>
      <errorID>ac641ca2-ba4e-491b-9fd7-476820aaae62</errorID>
      <errorWord>待</errorWord>
      <group>L1_Word</group>
      <groupName>字词问题</groupName>
      <ability>L2_Typo</ability>
      <abilityName>字词错误</abilityName>
      <candidateList>
        <item>有待</item>
      </candidateList>
      <explain/>
      <paraID>7477981E</paraID>
      <start>8</start>
      <end>9</end>
      <status>unmodified</status>
      <modifiedWord/>
      <trackRevisions>false</trackRevisions>
    </reviewItem>
    <reviewItem>
      <errorID>79d5118b-112c-4130-bb67-5d33c0bfaa2a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7597AF3F</paraID>
      <start>0</start>
      <end>2</end>
      <status>unmodified</status>
      <modifiedWord/>
      <trackRevisions>false</trackRevisions>
    </reviewItem>
    <reviewItem>
      <errorID>af34a827-9b6e-45ee-a7df-f96a476d8f38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4B0782CB</paraID>
      <start>0</start>
      <end>2</end>
      <status>unmodified</status>
      <modifiedWord/>
      <trackRevisions>false</trackRevisions>
    </reviewItem>
    <reviewItem>
      <errorID>f880a161-2ad1-4712-bda8-00132023cf1d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368C0A9A</paraID>
      <start>0</start>
      <end>2</end>
      <status>unmodified</status>
      <modifiedWord/>
      <trackRevisions>false</trackRevisions>
    </reviewItem>
    <reviewItem>
      <errorID>9ab01707-6ae7-4783-a595-06b8433e1273</errorID>
      <errorWord>：/</errorWord>
      <group>L1_Punc</group>
      <groupName>标点问题</groupName>
      <ability>L2_Punc</ability>
      <abilityName>标点符号检查</abilityName>
      <candidateList>
        <item>：</item>
      </candidateList>
      <explain/>
      <paraID> 4FBBD9C</paraID>
      <start>7</start>
      <end>9</end>
      <status>unmodified</status>
      <modifiedWord/>
      <trackRevisions>false</trackRevisions>
    </reviewItem>
    <reviewItem>
      <errorID>e7483780-dc8d-42c2-bc3e-08ac57147d5c</errorID>
      <errorWord>：/</errorWord>
      <group>L1_Punc</group>
      <groupName>标点问题</groupName>
      <ability>L2_Punc</ability>
      <abilityName>标点符号检查</abilityName>
      <candidateList>
        <item>：</item>
      </candidateList>
      <explain/>
      <paraID>15FC4758</paraID>
      <start>20</start>
      <end>22</end>
      <status>unmodified</status>
      <modifiedWord/>
      <trackRevisions>false</trackRevisions>
    </reviewItem>
    <reviewItem>
      <errorID>c9b60a5b-bd80-4fbd-916a-78fb06ab1c24</errorID>
      <errorWord>：/</errorWord>
      <group>L1_Punc</group>
      <groupName>标点问题</groupName>
      <ability>L2_Punc</ability>
      <abilityName>标点符号检查</abilityName>
      <candidateList>
        <item>：</item>
      </candidateList>
      <explain/>
      <paraID>4F7B38FB</paraID>
      <start>19</start>
      <end>21</end>
      <status>unmodified</status>
      <modifiedWord/>
      <trackRevisions>false</trackRevisions>
    </reviewItem>
    <reviewItem>
      <errorID>28bb892e-ac09-4979-b762-c57f94958ef3</errorID>
      <errorWord>：/</errorWord>
      <group>L1_Punc</group>
      <groupName>标点问题</groupName>
      <ability>L2_Punc</ability>
      <abilityName>标点符号检查</abilityName>
      <candidateList>
        <item>：</item>
      </candidateList>
      <explain/>
      <paraID>280C9B3C</paraID>
      <start>17</start>
      <end>19</end>
      <status>unmodified</status>
      <modifiedWord/>
      <trackRevisions>false</trackRevisions>
    </reviewItem>
    <reviewItem>
      <errorID>de31959d-90ae-44cb-b574-5310833c04dd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126E0950</paraID>
      <start>0</start>
      <end>2</end>
      <status>unmodified</status>
      <modifiedWord/>
      <trackRevisions>false</trackRevisions>
    </reviewItem>
    <reviewItem>
      <errorID>22f35dcd-8d9e-460b-abae-02770eb54e46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6B1B8399</paraID>
      <start>0</start>
      <end>2</end>
      <status>unmodified</status>
      <modifiedWord/>
      <trackRevisions>false</trackRevisions>
    </reviewItem>
    <reviewItem>
      <errorID>cd9f223b-595c-4911-8d28-896e58addc02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387992D1</paraID>
      <start>0</start>
      <end>2</end>
      <status>unmodified</status>
      <modifiedWord/>
      <trackRevisions>false</trackRevisions>
    </reviewItem>
    <reviewItem>
      <errorID>4e7bab94-2ce8-4d3b-b3ba-b548df4b2376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198DFF91</paraID>
      <start>0</start>
      <end>2</end>
      <status>unmodified</status>
      <modifiedWord/>
      <trackRevisions>false</trackRevisions>
    </reviewItem>
    <reviewItem>
      <errorID>8f07c423-cae6-4902-bf65-98ee9a7197a8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2DEECC9</paraID>
      <start>0</start>
      <end>2</end>
      <status>unmodified</status>
      <modifiedWord/>
      <trackRevisions>false</trackRevisions>
    </reviewItem>
    <reviewItem>
      <errorID>48720031-5d1e-49f7-bda9-0aaa90e4c657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18DCB33C</paraID>
      <start>0</start>
      <end>2</end>
      <status>unmodified</status>
      <modifiedWord/>
      <trackRevisions>false</trackRevisions>
    </reviewItem>
    <reviewItem>
      <errorID>3b10b06a-8f90-49cf-9200-2b4181c8fa85</errorID>
      <errorWord>、以及</errorWord>
      <group>L1_Punc</group>
      <groupName>标点问题</groupName>
      <ability>L2_Punc</ability>
      <abilityName>标点符号检查</abilityName>
      <candidateList>
        <item>，以及</item>
      </candidateList>
      <explain>连接词前后不宜使用顿号，建议使用逗号。</explain>
      <paraID>605F8473</paraID>
      <start>77</start>
      <end>80</end>
      <status>unmodified</status>
      <modifiedWord/>
      <trackRevisions>false</trackRevisions>
    </reviewItem>
    <reviewItem>
      <errorID>26da2ca8-8c96-4207-9b6b-d139ff6892dc</errorID>
      <errorWord>设</errorWord>
      <group>L1_Word</group>
      <groupName>字词问题</groupName>
      <ability>L2_Typo</ability>
      <abilityName>字词错误</abilityName>
      <candidateList>
        <item>设施</item>
      </candidateList>
      <explain/>
      <paraID>5F652AC5</paraID>
      <start>38</start>
      <end>39</end>
      <status>unmodified</status>
      <modifiedWord/>
      <trackRevisions>false</trackRevisions>
    </reviewItem>
    <reviewItem>
      <errorID>b6d7b2b5-5957-4214-8dc5-0981c88e3f8a</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634F1204</paraID>
      <start>64</start>
      <end>66</end>
      <status>unmodified</status>
      <modifiedWord/>
      <trackRevisions>false</trackRevisions>
    </reviewItem>
    <reviewItem>
      <errorID>ce17eeb8-6bba-44d7-b101-74ad63ef57e0</errorID>
      <errorWord>法律、法规</errorWord>
      <group>L1_Word</group>
      <groupName>字词问题</groupName>
      <ability>L2_Typo</ability>
      <abilityName>字词错误</abilityName>
      <candidateList>
        <item>法律法规</item>
      </candidateList>
      <explain/>
      <paraID>4BF900A1</paraID>
      <start>52</start>
      <end>57</end>
      <status>unmodified</status>
      <modifiedWord/>
      <trackRevisions>false</trackRevisions>
    </reviewItem>
    <reviewItem>
      <errorID>afd4146e-5ec9-4ce9-aa01-768550296f94</errorID>
      <errorWord>设立的</errorWord>
      <group>L1_Word</group>
      <groupName>字词问题</groupName>
      <ability>L2_Typo</ability>
      <abilityName>字词错误</abilityName>
      <candidateList>
        <item>设立</item>
      </candidateList>
      <explain/>
      <paraID> E17328B</paraID>
      <start>14</start>
      <end>17</end>
      <status>unmodified</status>
      <modifiedWord/>
      <trackRevisions>false</trackRevisions>
    </reviewItem>
    <reviewItem>
      <errorID>5f04c3ed-13f4-4fec-9f3f-095ca3e6bb15</errorID>
      <errorWord>的和</errorWord>
      <group>L1_Word</group>
      <groupName>字词问题</groupName>
      <ability>L2_Typo</ability>
      <abilityName>字词错误</abilityName>
      <candidateList>
        <item>的</item>
      </candidateList>
      <explain>“的”常用于连接修饰语与名词性中心语，表示属性、所属或描述。</explain>
      <paraID> 1EDE870</paraID>
      <start>8</start>
      <end>10</end>
      <status>unmodified</status>
      <modifiedWord/>
      <trackRevisions>false</trackRevisions>
    </reviewItem>
    <reviewItem>
      <errorID>08dcdb74-b56a-4957-a22b-5e7d6ef94074</errorID>
      <errorWord>人项目负责人和</errorWord>
      <group>L1_Punc</group>
      <groupName>标点问题</groupName>
      <ability>L2_Punc</ability>
      <abilityName>标点符号检查</abilityName>
      <candidateList>
        <item>人、项目负责人和</item>
      </candidateList>
      <explain/>
      <paraID>1B862813</paraID>
      <start>88</start>
      <end>95</end>
      <status>unmodified</status>
      <modifiedWord/>
      <trackRevisions>false</trackRevisions>
    </reviewItem>
    <reviewItem>
      <errorID>1ff08850-ecba-493f-879e-081b1576cafa</errorID>
      <errorWord>应救</errorWord>
      <group>L1_Word</group>
      <groupName>字词问题</groupName>
      <ability>L2_Typo</ability>
      <abilityName>字词错误</abilityName>
      <candidateList>
        <item>应急</item>
      </candidateList>
      <explain/>
      <paraID>4FE00A0E</paraID>
      <start>82</start>
      <end>84</end>
      <status>unmodified</status>
      <modifiedWord/>
      <trackRevisions>false</trackRevisions>
    </reviewItem>
    <reviewItem>
      <errorID>feb2d299-c8c7-469d-a9c3-fc8b07b7737f</errorID>
      <errorWord>生产安全事故报 告和调查处理条例</errorWord>
      <group>L1_Knowledge</group>
      <groupName>知识性问题</groupName>
      <ability>L2_Knowledge</ability>
      <abilityName>其他知识</abilityName>
      <candidateList>
        <item>生产安全事故报告和调查处理条例</item>
      </candidateList>
      <explain>当前法律法规未收录或尚未生效，注意核查是否正确。</explain>
      <paraID>542A3C37</paraID>
      <start>95</start>
      <end>111</end>
      <status>unmodified</status>
      <modifiedWord/>
      <trackRevisions>false</trackRevisions>
    </reviewItem>
    <reviewItem>
      <errorID>5c65f916-60eb-4800-9f54-1acc5ae80bbe</errorID>
      <errorWord>法律、法规</errorWord>
      <group>L1_Word</group>
      <groupName>字词问题</groupName>
      <ability>L2_Typo</ability>
      <abilityName>字词错误</abilityName>
      <candidateList>
        <item>法律法规</item>
      </candidateList>
      <explain/>
      <paraID>4B9BA21F</paraID>
      <start>16</start>
      <end>21</end>
      <status>unmodified</status>
      <modifiedWord/>
      <trackRevisions>false</trackRevisions>
    </reviewItem>
    <reviewItem>
      <errorID>3134dc10-ccf6-4f93-a679-eca64f94974c</errorID>
      <errorWord>:</errorWord>
      <group>L1_Format</group>
      <groupName>格式问题</groupName>
      <ability>L2_HalfPunc</ability>
      <abilityName>全半角检查</abilityName>
      <candidateList>
        <item>：</item>
      </candidateList>
      <explain>文本全半角错误。</explain>
      <paraID>449FD85B</paraID>
      <start>20</start>
      <end>21</end>
      <status>unmodified</status>
      <modifiedWord/>
      <trackRevisions>false</trackRevisions>
    </reviewItem>
    <reviewItem>
      <errorID>32590f11-6da2-4f7a-818d-b11f6ff476a6</errorID>
      <errorWord>遇到有</errorWord>
      <group>L1_Word</group>
      <groupName>字词问题</groupName>
      <ability>L2_Typo</ability>
      <abilityName>字词错误</abilityName>
      <candidateList>
        <item>遇到</item>
      </candidateList>
      <explain/>
      <paraID>370D733C</paraID>
      <start>109</start>
      <end>112</end>
      <status>unmodified</status>
      <modifiedWord/>
      <trackRevisions>false</trackRevisions>
    </reviewItem>
    <reviewItem>
      <errorID>48fba4e8-3bf1-4bf4-b4a7-54399a36721a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6F4BE71B</paraID>
      <start>41</start>
      <end>42</end>
      <status>unmodified</status>
      <modifiedWord/>
      <trackRevisions>false</trackRevisions>
    </reviewItem>
    <reviewItem>
      <errorID>a5bbf5e1-ff50-4053-a5e6-9c68e5aa946f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6F4BE71B</paraID>
      <start>62</start>
      <end>63</end>
      <status>unmodified</status>
      <modifiedWord/>
      <trackRevisions>false</trackRevisions>
    </reviewItem>
    <reviewItem>
      <errorID>55a7e626-6363-475b-97f4-fdd9223f14ff</errorID>
      <errorWord>必修</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6316BC51</paraID>
      <start>24</start>
      <end>26</end>
      <status>unmodified</status>
      <modifiedWord/>
      <trackRevisions>false</trackRevisions>
    </reviewItem>
    <reviewItem>
      <errorID>e123527c-6f03-4265-8de0-78437fb5e99f</errorID>
      <errorWord>选</errorWord>
      <group>L1_Word</group>
      <groupName>字词问题</groupName>
      <ability>L2_Typo</ability>
      <abilityName>字词错误</abilityName>
      <candidateList>
        <item>选择</item>
      </candidateList>
      <explain>〈动〉挑选：～对象｜～地点。</explain>
      <paraID>5C899CAC</paraID>
      <start>15</start>
      <end>16</end>
      <status>unmodified</status>
      <modifiedWord/>
      <trackRevisions>false</trackRevisions>
    </reviewItem>
    <reviewItem>
      <errorID>e8e90c7a-137d-40fb-9d63-e3ffc89a85b6</errorID>
      <errorWord>横挡</errorWord>
      <group>L1_Word</group>
      <groupName>字词问题</groupName>
      <ability>L2_Typo</ability>
      <abilityName>字词错误</abilityName>
      <candidateList>
        <item>横档</item>
      </candidateList>
      <explain>存在发音相同字词的误用。</explain>
      <paraID>77112A97</paraID>
      <start>28</start>
      <end>30</end>
      <status>unmodified</status>
      <modifiedWord/>
      <trackRevisions>false</trackRevisions>
    </reviewItem>
    <reviewItem>
      <errorID>d9032f27-7619-4217-b425-6c83a95066e1</errorID>
      <errorWord>得</errorWord>
      <group>L1_Word</group>
      <groupName>字词问题</groupName>
      <ability>L2_Typo</ability>
      <abilityName>字词错误</abilityName>
      <candidateList>
        <item>得在</item>
      </candidateList>
      <explain/>
      <paraID>31637670</paraID>
      <start>10</start>
      <end>11</end>
      <status>unmodified</status>
      <modifiedWord/>
      <trackRevisions>false</trackRevisions>
    </reviewItem>
    <reviewItem>
      <errorID>1d6faa0e-3401-4e51-b2db-3ce516753eec</errorID>
      <errorWord>、和</errorWord>
      <group>L1_Word</group>
      <groupName>字词问题</groupName>
      <ability>L2_Typo</ability>
      <abilityName>字词错误</abilityName>
      <candidateList>
        <item>、</item>
      </candidateList>
      <explain/>
      <paraID>46C14DEA</paraID>
      <start>90</start>
      <end>92</end>
      <status>unmodified</status>
      <modifiedWord/>
      <trackRevisions>false</trackRevisions>
    </reviewItem>
    <reviewItem>
      <errorID>f9e4e5eb-a2a5-4bbe-a6de-ced7d22761ce</errorID>
      <errorWord>设的</errorWord>
      <group>L1_Word</group>
      <groupName>字词问题</groupName>
      <ability>L2_Typo</ability>
      <abilityName>字词错误</abilityName>
      <candidateList>
        <item>设</item>
      </candidateList>
      <explain/>
      <paraID>35591905</paraID>
      <start>37</start>
      <end>39</end>
      <status>unmodified</status>
      <modifiedWord/>
      <trackRevisions>false</trackRevisions>
    </reviewItem>
    <reviewItem>
      <errorID>af446af6-8485-4a65-b1ac-b1cb9e4dd3de</errorID>
      <errorWord>两极</errorWord>
      <group>L1_Word</group>
      <groupName>字词问题</groupName>
      <ability>L2_Typo</ability>
      <abilityName>字词错误</abilityName>
      <candidateList>
        <item>两级</item>
      </candidateList>
      <explain>存在发音相同字词的误用。</explain>
      <paraID>3B180823</paraID>
      <start>94</start>
      <end>96</end>
      <status>unmodified</status>
      <modifiedWord/>
      <trackRevisions>false</trackRevisions>
    </reviewItem>
    <reviewItem>
      <errorID>2e0e0f00-e937-404c-9cb2-ab3927e7d360</errorID>
      <errorWord>严禁严</errorWord>
      <group>L1_Word</group>
      <groupName>字词问题</groupName>
      <ability>L2_Typo</ability>
      <abilityName>字词错误</abilityName>
      <candidateList>
        <item>严禁</item>
      </candidateList>
      <explain>〈动〉严格禁止：库房重地，～烟火。</explain>
      <paraID>3B180823</paraID>
      <start>176</start>
      <end>179</end>
      <status>unmodified</status>
      <modifiedWord/>
      <trackRevisions>false</trackRevisions>
    </reviewItem>
    <reviewItem>
      <errorID>b002085f-f599-45cf-a7a7-a507d0fe50aa</errorID>
      <errorWord>法律、法规</errorWord>
      <group>L1_Word</group>
      <groupName>字词问题</groupName>
      <ability>L2_Typo</ability>
      <abilityName>字词错误</abilityName>
      <candidateList>
        <item>法律法规</item>
      </candidateList>
      <explain/>
      <paraID>244C2795</paraID>
      <start>31</start>
      <end>36</end>
      <status>unmodified</status>
      <modifiedWord/>
      <trackRevisions>false</trackRevisions>
    </reviewItem>
    <reviewItem>
      <errorID>137e5e7a-1857-46df-8a66-6924211c8689</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244C2795</paraID>
      <start>91</start>
      <end>94</end>
      <status>unmodified</status>
      <modifiedWord/>
      <trackRevisions>false</trackRevisions>
    </reviewItem>
    <reviewItem>
      <errorID>3a693d95-2fe7-4902-8f72-15b141d88d1c</errorID>
      <errorWord>法律、法规</errorWord>
      <group>L1_Word</group>
      <groupName>字词问题</groupName>
      <ability>L2_Typo</ability>
      <abilityName>字词错误</abilityName>
      <candidateList>
        <item>法律法规</item>
      </candidateList>
      <explain/>
      <paraID>244C2795</paraID>
      <start>187</start>
      <end>192</end>
      <status>unmodified</status>
      <modifiedWord/>
      <trackRevisions>false</trackRevisions>
    </reviewItem>
    <reviewItem>
      <errorID>bfd2aec3-662d-41ac-be8e-fafe96b49d09</errorID>
      <errorWord>其它</errorWord>
      <group>L1_Word</group>
      <groupName>字词问题</groupName>
      <ability>L2_Alias</ability>
      <abilityName>也作/曾用词</abilityName>
      <candidateList>
        <item>其他</item>
      </candidateList>
      <explain>词汇[其它]为不规范表述或旧称，其规范书面表述为[其他]。</explain>
      <paraID>16ACAF75</paraID>
      <start>138</start>
      <end>140</end>
      <status>unmodified</status>
      <modifiedWord/>
      <trackRevisions>false</trackRevisions>
    </reviewItem>
    <reviewItem>
      <errorID>400a1632-c3d6-479c-9148-7cb16a669ee3</errorID>
      <errorWord>法律、法规</errorWord>
      <group>L1_Word</group>
      <groupName>字词问题</groupName>
      <ability>L2_Typo</ability>
      <abilityName>字词错误</abilityName>
      <candidateList>
        <item>法律法规</item>
      </candidateList>
      <explain/>
      <paraID>5B086250</paraID>
      <start>109</start>
      <end>114</end>
      <status>unmodified</status>
      <modifiedWord/>
      <trackRevisions>false</trackRevisions>
    </reviewItem>
    <reviewItem>
      <errorID>a7e0c457-69ec-475b-8793-18228cee690c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74BB7CB1</paraID>
      <start>26</start>
      <end>29</end>
      <status>unmodified</status>
      <modifiedWord/>
      <trackRevisions>false</trackRevisions>
    </reviewItem>
    <reviewItem>
      <errorID>6d14f3ec-dc05-4974-bf7e-b07fb5c88c8a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74BB7CB1</paraID>
      <start>42</start>
      <end>45</end>
      <status>unmodified</status>
      <modifiedWord/>
      <trackRevisions>false</trackRevisions>
    </reviewItem>
    <reviewItem>
      <errorID>418e672a-f400-4b52-8c83-ca3ab133d30f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74BB7CB1</paraID>
      <start>55</start>
      <end>58</end>
      <status>unmodified</status>
      <modifiedWord/>
      <trackRevisions>false</trackRevisions>
    </reviewItem>
    <reviewItem>
      <errorID>aaa3bec2-f7e3-43e1-a7da-f0951efa1f72</errorID>
      <errorWord>中华人民共和国道路交通安 全法</errorWord>
      <group>L1_Knowledge</group>
      <groupName>知识性问题</groupName>
      <ability>L2_Knowledge</ability>
      <abilityName>其他知识</abilityName>
      <candidateList/>
      <explain>当前法律法规未收录或尚未生效，注意核查是否正确。</explain>
      <paraID>74BB7CB1</paraID>
      <start>58</start>
      <end>73</end>
      <status>unmodified</status>
      <modifiedWord/>
      <trackRevisions>false</trackRevisions>
    </reviewItem>
    <reviewItem>
      <errorID>0e2fef19-931d-4f57-a0a5-f1e40c46d130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74BB7CB1</paraID>
      <start>73</start>
      <end>76</end>
      <status>unmodified</status>
      <modifiedWord/>
      <trackRevisions>false</trackRevisions>
    </reviewItem>
    <reviewItem>
      <errorID>2b9154eb-d6a8-4bf4-a9ad-dcd055bfac95</errorID>
      <errorWord>镙钉</errorWord>
      <group>L1_Word</group>
      <groupName>字词问题</groupName>
      <ability>L2_Typo</ability>
      <abilityName>字词错误</abilityName>
      <candidateList>
        <item>螺钉</item>
      </candidateList>
      <explain/>
      <paraID>3E362074</paraID>
      <start>29</start>
      <end>31</end>
      <status>unmodified</status>
      <modifiedWord/>
      <trackRevisions>false</trackRevisions>
    </reviewItem>
    <reviewItem>
      <errorID>934d5ec7-65a5-4949-a968-b76a19b7299f</errorID>
      <errorWord>混凝土浇注</errorWord>
      <group>L1_Knowledge</group>
      <groupName>知识性问题</groupName>
      <ability>L2_Term</ability>
      <abilityName>专业术语</abilityName>
      <candidateList>
        <item>混凝土浇筑</item>
      </candidateList>
      <explain/>
      <paraID>27E7F779</paraID>
      <start>120</start>
      <end>125</end>
      <status>unmodified</status>
      <modifiedWord/>
      <trackRevisions>false</trackRevisions>
    </reviewItem>
    <reviewItem>
      <errorID>aecc2a1d-cdfa-4018-9b8f-9029880750ba</errorID>
      <errorWord>法律、法规</errorWord>
      <group>L1_Word</group>
      <groupName>字词问题</groupName>
      <ability>L2_Typo</ability>
      <abilityName>字词错误</abilityName>
      <candidateList>
        <item>法律法规</item>
      </candidateList>
      <explain/>
      <paraID>3014F4AE</paraID>
      <start>63</start>
      <end>68</end>
      <status>unmodified</status>
      <modifiedWord/>
      <trackRevisions>false</trackRevisions>
    </reviewItem>
    <reviewItem>
      <errorID>965d506b-b09c-459f-81d9-c434a4afd562</errorID>
      <errorWord>法律、法规</errorWord>
      <group>L1_Word</group>
      <groupName>字词问题</groupName>
      <ability>L2_Typo</ability>
      <abilityName>字词错误</abilityName>
      <candidateList>
        <item>法律法规</item>
      </candidateList>
      <explain/>
      <paraID>26F8071D</paraID>
      <start>61</start>
      <end>66</end>
      <status>unmodified</status>
      <modifiedWord/>
      <trackRevisions>false</trackRevisions>
    </reviewItem>
    <reviewItem>
      <errorID>d12ad09d-6eae-4e5b-a121-3abf661e4ab0</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2DB1D7FD</paraID>
      <start>14</start>
      <end>17</end>
      <status>unmodified</status>
      <modifiedWord/>
      <trackRevisions>false</trackRevisions>
    </reviewItem>
    <reviewItem>
      <errorID>f9543f07-a972-4614-87af-a2148f1ca302</errorID>
      <errorWord>其它</errorWord>
      <group>L1_Word</group>
      <groupName>字词问题</groupName>
      <ability>L2_Alias</ability>
      <abilityName>也作/曾用词</abilityName>
      <candidateList>
        <item>其他</item>
      </candidateList>
      <explain>词汇[其它]为不规范表述或旧称，其规范书面表述为[其他]。</explain>
      <paraID>7BBC2DA1</paraID>
      <start>37</start>
      <end>39</end>
      <status>unmodified</status>
      <modifiedWord/>
      <trackRevisions>false</trackRevisions>
    </reviewItem>
    <reviewItem>
      <errorID>c9730225-304a-46e2-9c59-d24ac63f0301</errorID>
      <errorWord>,</errorWord>
      <group>L1_Format</group>
      <groupName>格式问题</groupName>
      <ability>L2_HalfPunc</ability>
      <abilityName>全半角检查</abilityName>
      <candidateList>
        <item>，</item>
      </candidateList>
      <explain>文本全半角错误。</explain>
      <paraID> 8813BF6</paraID>
      <start>27</start>
      <end>28</end>
      <status>unmodified</status>
      <modifiedWord/>
      <trackRevisions>false</trackRevisions>
    </reviewItem>
    <reviewItem>
      <errorID>de40a3dd-188d-426a-b527-a1893456bcc0</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E2DDBD3</paraID>
      <start>14</start>
      <end>16</end>
      <status>unmodified</status>
      <modifiedWord/>
      <trackRevisions>false</trackRevisions>
    </reviewItem>
    <reviewItem>
      <errorID>aa77cc42-5c82-43a4-a9e5-23bd3e72f95b</errorID>
      <errorWord>雇佣</errorWord>
      <group>L1_Word</group>
      <groupName>字词问题</groupName>
      <ability>L2_Typo</ability>
      <abilityName>字词错误</abilityName>
      <candidateList>
        <item>雇用</item>
      </candidateList>
      <explain>存在发音相同字词的误用。</explain>
      <paraID>7C58A128</paraID>
      <start>32</start>
      <end>34</end>
      <status>unmodified</status>
      <modifiedWord/>
      <trackRevisions>false</trackRevisions>
    </reviewItem>
    <reviewItem>
      <errorID>cc3f1c29-7c9f-4b0b-86c9-eef001eaf2b4</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 5717E8B</paraID>
      <start>53</start>
      <end>54</end>
      <status>unmodified</status>
      <modifiedWord/>
      <trackRevisions>false</trackRevisions>
    </reviewItem>
    <reviewItem>
      <errorID>0e028c9a-a714-4ad0-9cdd-a4b21a576c76</errorID>
      <errorWord>带</errorWord>
      <group>L1_Word</group>
      <groupName>字词问题</groupName>
      <ability>L2_Typo</ability>
      <abilityName>字词错误</abilityName>
      <candidateList>
        <item>戴</item>
      </candidateList>
      <explain>存在发音相同字词的误用。</explain>
      <paraID>27B5A5A6</paraID>
      <start>57</start>
      <end>58</end>
      <status>unmodified</status>
      <modifiedWord/>
      <trackRevisions>false</trackRevisions>
    </reviewItem>
    <reviewItem>
      <errorID>d1061b16-ccbd-4a77-9767-97950e0abb60</errorID>
      <errorWord>佩带</errorWord>
      <group>L1_Word</group>
      <groupName>字词问题</groupName>
      <ability>L2_Typo</ability>
      <abilityName>字词错误</abilityName>
      <candidateList>
        <item>佩戴</item>
      </candidateList>
      <explain>〈动〉（把徽章、符号等）挂在胸前、臂上、肩上等部位：～校徽｜～肩章。也作佩带。</explain>
      <paraID>27B5A5A6</paraID>
      <start>144</start>
      <end>146</end>
      <status>unmodified</status>
      <modifiedWord/>
      <trackRevisions>false</trackRevisions>
    </reviewItem>
    <reviewItem>
      <errorID>f6f3ff7a-50d3-4669-bf16-7c9b94c26c7b</errorID>
      <errorWord>:</errorWord>
      <group>L1_Format</group>
      <groupName>格式问题</groupName>
      <ability>L2_HalfPunc</ability>
      <abilityName>全半角检查</abilityName>
      <candidateList>
        <item>：</item>
      </candidateList>
      <explain>文本全半角错误。</explain>
      <paraID>301C1758</paraID>
      <start>34</start>
      <end>35</end>
      <status>unmodified</status>
      <modifiedWord/>
      <trackRevisions>false</trackRevisions>
    </reviewItem>
    <reviewItem>
      <errorID>0614122b-8936-4679-9620-c8830128353c</errorID>
      <errorWord>标志</errorWord>
      <group>L1_Word</group>
      <groupName>字词问题</groupName>
      <ability>L2_Typo</ability>
      <abilityName>字词错误</abilityName>
      <candidateList>
        <item>标识</item>
      </candidateList>
      <explain>存在发音相近字词的误用。</explain>
      <paraID>2C404019</paraID>
      <start>24</start>
      <end>26</end>
      <status>unmodified</status>
      <modifiedWord/>
      <trackRevisions>false</trackRevisions>
    </reviewItem>
    <reviewItem>
      <errorID>87aa5528-a5da-41e4-9cae-86071efb0e1f</errorID>
      <errorWord>他</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66C05186</paraID>
      <start>114</start>
      <end>115</end>
      <status>unmodified</status>
      <modifiedWord/>
      <trackRevisions>false</trackRevisions>
    </reviewItem>
    <reviewItem>
      <errorID>ca4a26d1-19fc-427c-90e9-4cc9dc9737b9</errorID>
      <errorWord>法律、法规</errorWord>
      <group>L1_Word</group>
      <groupName>字词问题</groupName>
      <ability>L2_Typo</ability>
      <abilityName>字词错误</abilityName>
      <candidateList>
        <item>法律法规</item>
      </candidateList>
      <explain/>
      <paraID>  57095A</paraID>
      <start>13</start>
      <end>18</end>
      <status>unmodified</status>
      <modifiedWord/>
      <trackRevisions>false</trackRevisions>
    </reviewItem>
    <reviewItem>
      <errorID>361bfb30-7b95-44c7-bd2a-114e31aec800</errorID>
      <errorWord>法律、法规</errorWord>
      <group>L1_Word</group>
      <groupName>字词问题</groupName>
      <ability>L2_Typo</ability>
      <abilityName>字词错误</abilityName>
      <candidateList>
        <item>法律法规</item>
      </candidateList>
      <explain/>
      <paraID>36F27F01</paraID>
      <start>6</start>
      <end>11</end>
      <status>unmodified</status>
      <modifiedWord/>
      <trackRevisions>false</trackRevisions>
    </reviewItem>
    <reviewItem>
      <errorID>139ee1d0-fa13-4a72-b14e-5944171c8a49</errorID>
      <errorWord>-</errorWord>
      <group>L1_Format</group>
      <groupName>格式问题</groupName>
      <ability>L2_HalfPunc</ability>
      <abilityName>全半角检查</abilityName>
      <candidateList>
        <item>－</item>
      </candidateList>
      <explain>文本全半角错误。</explain>
      <paraID>678051BC</paraID>
      <start>60</start>
      <end>61</end>
      <status>unmodified</status>
      <modifiedWord/>
      <trackRevisions>false</trackRevisions>
    </reviewItem>
    <reviewItem>
      <errorID>ee888611-2498-4c4a-860f-c6697c45640c</errorID>
      <errorWord>盆移</errorWord>
      <group>L1_Word</group>
      <groupName>字词问题</groupName>
      <ability>L2_Typo</ability>
      <abilityName>字词错误</abilityName>
      <candidateList>
        <item>盆栽</item>
      </candidateList>
      <explain/>
      <paraID>759A8E4C</paraID>
      <start>13</start>
      <end>15</end>
      <status>unmodified</status>
      <modifiedWord/>
      <trackRevisions>false</trackRevisions>
    </reviewItem>
    <reviewItem>
      <errorID>66eed8bd-48c6-4aaf-ab07-30b4f30c194a</errorID>
      <errorWord>必需</errorWord>
      <group>L1_Word</group>
      <groupName>字词问题</groupName>
      <ability>L2_Typo</ability>
      <abilityName>字词错误</abilityName>
      <candidateList>
        <item>必须</item>
      </candidateList>
      <explain>存在发音相同字词的误用。</explain>
      <paraID>54310DB4</paraID>
      <start>157</start>
      <end>159</end>
      <status>unmodified</status>
      <modifiedWord/>
      <trackRevisions>false</trackRevisions>
    </reviewItem>
    <reviewItem>
      <errorID>22a8f4d6-1857-403d-bb7a-e21262214903</errorID>
      <errorWord>纪录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7F025A00</paraID>
      <start>22</start>
      <end>24</end>
      <status>unmodified</status>
      <modifiedWord/>
      <trackRevisions>false</trackRevisions>
    </reviewItem>
    <reviewItem>
      <errorID>8436c5cb-1066-4313-a505-783a2ae4b2ff</errorID>
      <errorWord>有</errorWord>
      <group>L1_Word</group>
      <groupName>字词问题</groupName>
      <ability>L2_Typo</ability>
      <abilityName>字词错误</abilityName>
      <candidateList>
        <item>由</item>
      </candidateList>
      <explain>存在发音相同字词的误用。</explain>
      <paraID>59FC0EF4</paraID>
      <start>15</start>
      <end>16</end>
      <status>unmodified</status>
      <modifiedWord/>
      <trackRevisions>false</trackRevisions>
    </reviewItem>
    <reviewItem>
      <errorID>fde6d9bd-d25e-4e70-888d-f8159979c40e</errorID>
      <errorWord>，</errorWord>
      <group>L1_Word</group>
      <groupName>字词问题</groupName>
      <ability>L2_Typo</ability>
      <abilityName>字词错误</abilityName>
      <candidateList>
        <item>，在</item>
      </candidateList>
      <explain/>
      <paraID>5EE3A122</paraID>
      <start>35</start>
      <end>36</end>
      <status>unmodified</status>
      <modifiedWord/>
      <trackRevisions>false</trackRevisions>
    </reviewItem>
    <reviewItem>
      <errorID>cb9f1a03-614a-4860-b99b-51340805a77a</errorID>
      <errorWord>{</errorWord>
      <group>L1_Format</group>
      <groupName>格式问题</groupName>
      <ability>L2_HalfPunc</ability>
      <abilityName>全半角检查</abilityName>
      <candidateList>
        <item>｛</item>
      </candidateList>
      <explain>文本全半角错误。</explain>
      <paraID>1CE28694</paraID>
      <start>66</start>
      <end>67</end>
      <status>unmodified</status>
      <modifiedWord/>
      <trackRevisions>false</trackRevisions>
    </reviewItem>
    <reviewItem>
      <errorID>749ced80-7156-4258-b465-67f6d452d49e</errorID>
      <errorWord>直观</errorWord>
      <group>L1_Grammar</group>
      <groupName>语法问题</groupName>
      <ability>L2_Grammar</ability>
      <abilityName>语法错误</abilityName>
      <candidateList>
        <item>准确</item>
      </candidateList>
      <explain>“直观～把握”搭配不当，建议修改为“准确～把握”。</explain>
      <paraID>31CD4B19</paraID>
      <start>41</start>
      <end>43</end>
      <status>unmodified</status>
      <modifiedWord/>
      <trackRevisions>false</trackRevisions>
    </reviewItem>
    <reviewItem>
      <errorID>c76e4e68-6e2e-4704-befa-c44d427cbc6c</errorID>
      <errorWord>具</errorWord>
      <group>L1_Word</group>
      <groupName>字词问题</groupName>
      <ability>L2_Typo</ability>
      <abilityName>字词错误</abilityName>
      <candidateList>
        <item>具备</item>
      </candidateList>
      <explain/>
      <paraID>31CD4B19</paraID>
      <start>66</start>
      <end>67</end>
      <status>unmodified</status>
      <modifiedWord/>
      <trackRevisions>false</trackRevisions>
    </reviewItem>
    <reviewItem>
      <errorID>ad99be02-f234-4a9a-a282-438668b32418</errorID>
      <errorWord>-</errorWord>
      <group>L1_Format</group>
      <groupName>格式问题</groupName>
      <ability>L2_HalfPunc</ability>
      <abilityName>全半角检查</abilityName>
      <candidateList>
        <item>－</item>
      </candidateList>
      <explain>文本全半角错误。</explain>
      <paraID>4CC0BCAD</paraID>
      <start>13</start>
      <end>14</end>
      <status>unmodified</status>
      <modifiedWord/>
      <trackRevisions>false</trackRevisions>
    </reviewItem>
    <reviewItem>
      <errorID>7e6cbf45-166d-41d6-b9b8-4a1418118a16</errorID>
      <errorWord>-</errorWord>
      <group>L1_Format</group>
      <groupName>格式问题</groupName>
      <ability>L2_HalfPunc</ability>
      <abilityName>全半角检查</abilityName>
      <candidateList>
        <item>－</item>
      </candidateList>
      <explain>文本全半角错误。</explain>
      <paraID>37AD2A45</paraID>
      <start>13</start>
      <end>14</end>
      <status>unmodified</status>
      <modifiedWord/>
      <trackRevisions>false</trackRevisions>
    </reviewItem>
    <reviewItem>
      <errorID>a20434d8-09ea-4796-8c4a-c2557337c758</errorID>
      <errorWord>北京市绿化条例</errorWord>
      <group>L1_Knowledge</group>
      <groupName>知识性问题</groupName>
      <ability>L2_Knowledge</ability>
      <abilityName>其他知识</abilityName>
      <candidateList>
        <item>《北京市绿化条例》</item>
      </candidateList>
      <explain>完整法律法规名称需要加书名号，请注意检查。</explain>
      <paraID>4C524242</paraID>
      <start>0</start>
      <end>7</end>
      <status>unmodified</status>
      <modifiedWord/>
      <trackRevisions>false</trackRevisions>
    </reviewItem>
    <reviewItem>
      <errorID>07e24a48-357d-4367-b8c4-fcc0633b1ddc</errorID>
      <errorWord>.</errorWord>
      <group>L1_Format</group>
      <groupName>格式问题</groupName>
      <ability>L2_HalfPunc</ability>
      <abilityName>全半角检查</abilityName>
      <candidateList>
        <item>。</item>
      </candidateList>
      <explain>文本全半角错误。</explain>
      <paraID>4C524242</paraID>
      <start>7</start>
      <end>8</end>
      <status>unmodified</status>
      <modifiedWord/>
      <trackRevisions>false</trackRevisions>
    </reviewItem>
    <reviewItem>
      <errorID>d4a935a4-65ec-44df-b0bc-fb5431063bb2</errorID>
      <errorWord>.</errorWord>
      <group>L1_Format</group>
      <groupName>格式问题</groupName>
      <ability>L2_HalfPunc</ability>
      <abilityName>全半角检查</abilityName>
      <candidateList>
        <item>。</item>
      </candidateList>
      <explain>文本全半角错误。</explain>
      <paraID>18F4AA8B</paraID>
      <start>14</start>
      <end>15</end>
      <status>unmodified</status>
      <modifiedWord/>
      <trackRevisions>false</trackRevisions>
    </reviewItem>
    <reviewItem>
      <errorID>6b90533c-cda3-42ac-8cb8-fb046892965f</errorID>
      <errorWord>.</errorWord>
      <group>L1_Format</group>
      <groupName>格式问题</groupName>
      <ability>L2_HalfPunc</ability>
      <abilityName>全半角检查</abilityName>
      <candidateList>
        <item>。</item>
      </candidateList>
      <explain>文本全半角错误。</explain>
      <paraID>27903991</paraID>
      <start>10</start>
      <end>11</end>
      <status>unmodified</status>
      <modifiedWord/>
      <trackRevisions>false</trackRevisions>
    </reviewItem>
    <reviewItem>
      <errorID>543fd194-4402-4b88-b60a-6cadcf1f6e05</errorID>
      <errorWord>.</errorWord>
      <group>L1_Format</group>
      <groupName>格式问题</groupName>
      <ability>L2_HalfPunc</ability>
      <abilityName>全半角检查</abilityName>
      <candidateList>
        <item>。</item>
      </candidateList>
      <explain>文本全半角错误。</explain>
      <paraID>7AF14639</paraID>
      <start>14</start>
      <end>15</end>
      <status>unmodified</status>
      <modifiedWord/>
      <trackRevisions>false</trackRevisions>
    </reviewItem>
    <reviewItem>
      <errorID>ea317573-f377-48f6-8b1b-9d4d3ed00a4e</errorID>
      <errorWord>.</errorWord>
      <group>L1_Format</group>
      <groupName>格式问题</groupName>
      <ability>L2_HalfPunc</ability>
      <abilityName>全半角检查</abilityName>
      <candidateList>
        <item>。</item>
      </candidateList>
      <explain>文本全半角错误。</explain>
      <paraID>39567358</paraID>
      <start>11</start>
      <end>12</end>
      <status>unmodified</status>
      <modifiedWord/>
      <trackRevisions>false</trackRevisions>
    </reviewItem>
    <reviewItem>
      <errorID>b9129436-83e2-4cd7-8fd6-c6cd6f703401</errorID>
      <errorWord>.</errorWord>
      <group>L1_Format</group>
      <groupName>格式问题</groupName>
      <ability>L2_HalfPunc</ability>
      <abilityName>全半角检查</abilityName>
      <candidateList>
        <item>。</item>
      </candidateList>
      <explain>文本全半角错误。</explain>
      <paraID>17137BC4</paraID>
      <start>8</start>
      <end>9</end>
      <status>unmodified</status>
      <modifiedWord/>
      <trackRevisions>false</trackRevisions>
    </reviewItem>
    <reviewItem>
      <errorID>013f994e-c289-427f-862d-279780146364</errorID>
      <errorWord>.</errorWord>
      <group>L1_Format</group>
      <groupName>格式问题</groupName>
      <ability>L2_HalfPunc</ability>
      <abilityName>全半角检查</abilityName>
      <candidateList>
        <item>。</item>
      </candidateList>
      <explain>文本全半角错误。</explain>
      <paraID>3D0CED4D</paraID>
      <start>14</start>
      <end>15</end>
      <status>unmodified</status>
      <modifiedWord/>
      <trackRevisions>false</trackRevisions>
    </reviewItem>
    <reviewItem>
      <errorID>16d54d75-5867-40c0-9787-da36173d6c1b</errorID>
      <errorWord>.</errorWord>
      <group>L1_Format</group>
      <groupName>格式问题</groupName>
      <ability>L2_HalfPunc</ability>
      <abilityName>全半角检查</abilityName>
      <candidateList>
        <item>。</item>
      </candidateList>
      <explain>文本全半角错误。</explain>
      <paraID>7FD0B2FD</paraID>
      <start>10</start>
      <end>11</end>
      <status>unmodified</status>
      <modifiedWord/>
      <trackRevisions>false</trackRevisions>
    </reviewItem>
    <reviewItem>
      <errorID>29125b37-9dcb-41f3-9646-cd0e3aec20a5</errorID>
      <errorWord>）</errorWord>
      <group>L1_Format</group>
      <groupName>格式问题</groupName>
      <ability>L2_HalfPunc</ability>
      <abilityName>全半角检查</abilityName>
      <candidateList>
        <item>)</item>
      </candidateList>
      <explain>文本全半角错误。</explain>
      <paraID>33172D03</paraID>
      <start>13</start>
      <end>14</end>
      <status>unmodified</status>
      <modifiedWord/>
      <trackRevisions>false</trackRevisions>
    </reviewItem>
    <reviewItem>
      <errorID>a62b7a51-4d46-485b-83a9-e77e9c911a67</errorID>
      <errorWord>“/</errorWord>
      <group>L1_Punc</group>
      <groupName>标点问题</groupName>
      <ability>L2_Punc</ability>
      <abilityName>标点符号检查</abilityName>
      <candidateList>
        <item>“</item>
      </candidateList>
      <explain/>
      <paraID>4C7E7F15</paraID>
      <start>81</start>
      <end>83</end>
      <status>unmodified</status>
      <modifiedWord/>
      <trackRevisions>false</trackRevisions>
    </reviewItem>
    <reviewItem>
      <errorID>7e799171-4e35-4644-ac2b-36a2b2fb7e5d</errorID>
      <errorWord>,</errorWord>
      <group>L1_Format</group>
      <groupName>格式问题</groupName>
      <ability>L2_HalfPunc</ability>
      <abilityName>全半角检查</abilityName>
      <candidateList>
        <item>，</item>
      </candidateList>
      <explain>文本全半角错误。</explain>
      <paraID>6CA03024</paraID>
      <start>43</start>
      <end>44</end>
      <status>unmodified</status>
      <modifiedWord/>
      <trackRevisions>false</trackRevisions>
    </reviewItem>
    <reviewItem>
      <errorID>251a1eca-8590-46ad-af62-051f6ba01deb</errorID>
      <errorWord>,</errorWord>
      <group>L1_Format</group>
      <groupName>格式问题</groupName>
      <ability>L2_HalfPunc</ability>
      <abilityName>全半角检查</abilityName>
      <candidateList>
        <item>，</item>
      </candidateList>
      <explain>文本全半角错误。</explain>
      <paraID>792B4E76</paraID>
      <start>13</start>
      <end>14</end>
      <status>unmodified</status>
      <modifiedWord/>
      <trackRevisions>false</trackRevisions>
    </reviewItem>
    <reviewItem>
      <errorID>77272a38-45d2-4775-8098-abe8128ef1d4</errorID>
      <errorWord>社会统一信用代码</errorWord>
      <group>L1_Word</group>
      <groupName>字词问题</groupName>
      <ability>L2_Typo</ability>
      <abilityName>字词错误</abilityName>
      <candidateList>
        <item>统一社会信用代码</item>
      </candidateList>
      <explain/>
      <paraID>3B7984F5</paraID>
      <start>0</start>
      <end>8</end>
      <status>unmodified</status>
      <modifiedWord/>
      <trackRevisions>false</trackRevisions>
    </reviewItem>
    <reviewItem>
      <errorID>88ed6cfe-3ab3-4463-b2f8-dbf28c5875c0</errorID>
      <errorWord>社会统一信用代码</errorWord>
      <group>L1_Word</group>
      <groupName>字词问题</groupName>
      <ability>L2_Typo</ability>
      <abilityName>字词错误</abilityName>
      <candidateList>
        <item>统一社会信用代码</item>
      </candidateList>
      <explain/>
      <paraID>3B7984F5</paraID>
      <start>21</start>
      <end>29</end>
      <status>unmodified</status>
      <modifiedWord/>
      <trackRevisions>false</trackRevisions>
    </reviewItem>
    <reviewItem>
      <errorID>c9a73279-7982-4b63-ac28-17d5fe869485</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49007474</paraID>
      <start>29</start>
      <end>31</end>
      <status>unmodified</status>
      <modifiedWord/>
      <trackRevisions>false</trackRevisions>
    </reviewItem>
    <reviewItem>
      <errorID>95c229a3-b8b1-4291-bbd3-61b060d89dd1</errorID>
      <errorWord>法律、法规</errorWord>
      <group>L1_Word</group>
      <groupName>字词问题</groupName>
      <ability>L2_Typo</ability>
      <abilityName>字词错误</abilityName>
      <candidateList>
        <item>法律法规</item>
      </candidateList>
      <explain/>
      <paraID>28E81FAD</paraID>
      <start>18</start>
      <end>23</end>
      <status>unmodified</status>
      <modifiedWord/>
      <trackRevisions>false</trackRevisions>
    </reviewItem>
    <reviewItem>
      <errorID>3f85b43e-55c0-4757-a06a-f296a94d48f3</errorID>
      <errorWord>:</errorWord>
      <group>L1_Format</group>
      <groupName>格式问题</groupName>
      <ability>L2_HalfPunc</ability>
      <abilityName>全半角检查</abilityName>
      <candidateList>
        <item>：</item>
      </candidateList>
      <explain>文本全半角错误。</explain>
      <paraID>61953946</paraID>
      <start>19</start>
      <end>20</end>
      <status>unmodified</status>
      <modifiedWord/>
      <trackRevisions>false</trackRevisions>
    </reviewItem>
    <reviewItem>
      <errorID>5b58388f-c8ac-4322-a5d9-c01d995573ef</errorID>
      <errorWord>）</errorWord>
      <group>L1_Punc</group>
      <groupName>标点问题</groupName>
      <ability>L2_Punc</ability>
      <abilityName>标点符号检查</abilityName>
      <candidateList/>
      <explain>同一形式括号套用。</explain>
      <paraID>1AA15541</paraID>
      <start>42</start>
      <end>43</end>
      <status>unmodified</status>
      <modifiedWord/>
      <trackRevisions>false</trackRevisions>
    </reviewItem>
    <reviewItem>
      <errorID>04c6746f-0f7b-439c-a640-56d841934be7</errorID>
      <errorWord>：/；</errorWord>
      <group>L1_Punc</group>
      <groupName>标点问题</groupName>
      <ability>L2_Punc</ability>
      <abilityName>标点符号检查</abilityName>
      <candidateList>
        <item>：</item>
      </candidateList>
      <explain/>
      <paraID>247658A0</paraID>
      <start>21</start>
      <end>24</end>
      <status>unmodified</status>
      <modifiedWord/>
      <trackRevisions>false</trackRevisions>
    </reviewItem>
    <reviewItem>
      <errorID>5479ed39-f168-446f-8265-d58f2806685a</errorID>
      <errorWord>：/。</errorWord>
      <group>L1_Punc</group>
      <groupName>标点问题</groupName>
      <ability>L2_Punc</ability>
      <abilityName>标点符号检查</abilityName>
      <candidateList>
        <item>：</item>
      </candidateList>
      <explain/>
      <paraID>67CC9082</paraID>
      <start>15</start>
      <end>18</end>
      <status>unmodified</status>
      <modifiedWord/>
      <trackRevisions>false</trackRevisions>
    </reviewItem>
    <reviewItem>
      <errorID>1f665fae-1210-457c-9ef8-8907a39cbaf4</errorID>
      <errorWord>法律、法规</errorWord>
      <group>L1_Word</group>
      <groupName>字词问题</groupName>
      <ability>L2_Typo</ability>
      <abilityName>字词错误</abilityName>
      <candidateList>
        <item>法律法规</item>
      </candidateList>
      <explain/>
      <paraID>29A3910F</paraID>
      <start>42</start>
      <end>47</end>
      <status>unmodified</status>
      <modifiedWord/>
      <trackRevisions>false</trackRevisions>
    </reviewItem>
    <reviewItem>
      <errorID>5ac29e12-19f3-4f28-9fff-b7eb4b00a4f1</errorID>
      <errorWord>法律、法规</errorWord>
      <group>L1_Word</group>
      <groupName>字词问题</groupName>
      <ability>L2_Typo</ability>
      <abilityName>字词错误</abilityName>
      <candidateList>
        <item>法律法规</item>
      </candidateList>
      <explain/>
      <paraID>404D370A</paraID>
      <start>21</start>
      <end>26</end>
      <status>unmodified</status>
      <modifiedWord/>
      <trackRevisions>false</trackRevisions>
    </reviewItem>
    <reviewItem>
      <errorID>3931e6f3-edd8-4e90-9713-f8d7b90f7a4c</errorID>
      <errorWord>,</errorWord>
      <group>L1_Format</group>
      <groupName>格式问题</groupName>
      <ability>L2_HalfPunc</ability>
      <abilityName>全半角检查</abilityName>
      <candidateList>
        <item>，</item>
      </candidateList>
      <explain>文本全半角错误。</explain>
      <paraID>5247CD36</paraID>
      <start>37</start>
      <end>38</end>
      <status>unmodified</status>
      <modifiedWord/>
      <trackRevisions>false</trackRevisions>
    </reviewItem>
    <reviewItem>
      <errorID>d141a47c-d2b2-422a-9454-a81d05228dbf</errorID>
      <errorWord>，</errorWord>
      <group>L1_Word</group>
      <groupName>字词问题</groupName>
      <ability>L2_Typo</ability>
      <abilityName>字词错误</abilityName>
      <candidateList>
        <item>，经</item>
      </candidateList>
      <explain/>
      <paraID>6D79CB40</paraID>
      <start>51</start>
      <end>52</end>
      <status>unmodified</status>
      <modifiedWord/>
      <trackRevisions>false</trackRevisions>
    </reviewItem>
    <reviewItem>
      <errorID>3bb0c410-963d-4c04-a339-eaecd51db487</errorID>
      <errorWord>。。</errorWord>
      <group>L1_Punc</group>
      <groupName>标点问题</groupName>
      <ability>L2_Punc</ability>
      <abilityName>标点符号检查</abilityName>
      <candidateList>
        <item>。</item>
      </candidateList>
      <explain/>
      <paraID>6D79CB40</paraID>
      <start>66</start>
      <end>68</end>
      <status>unmodified</status>
      <modifiedWord/>
      <trackRevisions>false</trackRevisions>
    </reviewItem>
    <reviewItem>
      <errorID>39e59670-c4ee-4721-81ed-e337aa983aa7</errorID>
      <errorWord>;</errorWord>
      <group>L1_Format</group>
      <groupName>格式问题</groupName>
      <ability>L2_HalfPunc</ability>
      <abilityName>全半角检查</abilityName>
      <candidateList>
        <item>；</item>
      </candidateList>
      <explain>文本全半角错误。</explain>
      <paraID>6D4ADC6F</paraID>
      <start>42</start>
      <end>43</end>
      <status>unmodified</status>
      <modifiedWord/>
      <trackRevisions>false</trackRevisions>
    </reviewItem>
    <reviewItem>
      <errorID>40178152-4a00-4ca9-8d5f-a26ff679caf6</errorID>
      <errorWord>;</errorWord>
      <group>L1_Format</group>
      <groupName>格式问题</groupName>
      <ability>L2_HalfPunc</ability>
      <abilityName>全半角检查</abilityName>
      <candidateList>
        <item>；</item>
      </candidateList>
      <explain>文本全半角错误。</explain>
      <paraID>6D4ADC6F</paraID>
      <start>61</start>
      <end>62</end>
      <status>unmodified</status>
      <modifiedWord/>
      <trackRevisions>false</trackRevisions>
    </reviewItem>
    <reviewItem>
      <errorID>50a7b1f4-1714-4eb8-b162-29c48633082a</errorID>
      <errorWord>;</errorWord>
      <group>L1_Format</group>
      <groupName>格式问题</groupName>
      <ability>L2_HalfPunc</ability>
      <abilityName>全半角检查</abilityName>
      <candidateList>
        <item>；</item>
      </candidateList>
      <explain>文本全半角错误。</explain>
      <paraID>6D4ADC6F</paraID>
      <start>85</start>
      <end>86</end>
      <status>unmodified</status>
      <modifiedWord/>
      <trackRevisions>false</trackRevisions>
    </reviewItem>
    <reviewItem>
      <errorID>494cae32-c273-4ad5-adcf-7883267f1031</errorID>
      <errorWord>：/。</errorWord>
      <group>L1_Punc</group>
      <groupName>标点问题</groupName>
      <ability>L2_Punc</ability>
      <abilityName>标点符号检查</abilityName>
      <candidateList>
        <item>：</item>
      </candidateList>
      <explain/>
      <paraID>6C340314</paraID>
      <start>21</start>
      <end>24</end>
      <status>unmodified</status>
      <modifiedWord/>
      <trackRevisions>false</trackRevisions>
    </reviewItem>
    <reviewItem>
      <errorID>09723f1c-f52d-4924-b976-d346f41f8e5b</errorID>
      <errorWord>结</errorWord>
      <group>L1_Word</group>
      <groupName>字词问题</groupName>
      <ability>L2_Typo</ability>
      <abilityName>字词错误</abilityName>
      <candidateList>
        <item>结算</item>
      </candidateList>
      <explain/>
      <paraID>69C7CAEB</paraID>
      <start>69</start>
      <end>70</end>
      <status>unmodified</status>
      <modifiedWord/>
      <trackRevisions>false</trackRevisions>
    </reviewItem>
    <reviewItem>
      <errorID>e44adb50-7498-4437-af1e-93d0435b7926</errorID>
      <errorWord>:</errorWord>
      <group>L1_Format</group>
      <groupName>格式问题</groupName>
      <ability>L2_HalfPunc</ability>
      <abilityName>全半角检查</abilityName>
      <candidateList>
        <item>：</item>
      </candidateList>
      <explain>文本全半角错误。</explain>
      <paraID>42B01EA4</paraID>
      <start>18</start>
      <end>19</end>
      <status>unmodified</status>
      <modifiedWord/>
      <trackRevisions>false</trackRevisions>
    </reviewItem>
    <reviewItem>
      <errorID>5c9ee5bf-f676-4a2e-824d-4945148bccf5</errorID>
      <errorWord>:</errorWord>
      <group>L1_Format</group>
      <groupName>格式问题</groupName>
      <ability>L2_HalfPunc</ability>
      <abilityName>全半角检查</abilityName>
      <candidateList>
        <item>：</item>
      </candidateList>
      <explain>文本全半角错误。</explain>
      <paraID> BEDD6A6</paraID>
      <start>29</start>
      <end>30</end>
      <status>unmodified</status>
      <modifiedWord/>
      <trackRevisions>false</trackRevisions>
    </reviewItem>
    <reviewItem>
      <errorID>bcf69a9d-69d7-4650-9021-f7d6e17991ca</errorID>
      <errorWord>;</errorWord>
      <group>L1_Format</group>
      <groupName>格式问题</groupName>
      <ability>L2_HalfPunc</ability>
      <abilityName>全半角检查</abilityName>
      <candidateList>
        <item>；</item>
      </candidateList>
      <explain>文本全半角错误。</explain>
      <paraID>3977CFED</paraID>
      <start>28</start>
      <end>29</end>
      <status>unmodified</status>
      <modifiedWord/>
      <trackRevisions>false</trackRevisions>
    </reviewItem>
    <reviewItem>
      <errorID>e88798a0-52c6-4709-ba87-55d06a338ca1</errorID>
      <errorWord>:</errorWord>
      <group>L1_Format</group>
      <groupName>格式问题</groupName>
      <ability>L2_HalfPunc</ability>
      <abilityName>全半角检查</abilityName>
      <candidateList>
        <item>：</item>
      </candidateList>
      <explain>文本全半角错误。</explain>
      <paraID>3977CFED</paraID>
      <start>46</start>
      <end>47</end>
      <status>unmodified</status>
      <modifiedWord/>
      <trackRevisions>false</trackRevisions>
    </reviewItem>
    <reviewItem>
      <errorID>7b744a43-7a8a-45a3-a511-1749d136d0e4</errorID>
      <errorWord>需</errorWord>
      <group>L1_Word</group>
      <groupName>字词问题</groupName>
      <ability>L2_Typo</ability>
      <abilityName>字词错误</abilityName>
      <candidateList>
        <item>须</item>
      </candidateList>
      <explain>存在发音相同字词的误用。</explain>
      <paraID>3977CFED</paraID>
      <start>135</start>
      <end>136</end>
      <status>unmodified</status>
      <modifiedWord/>
      <trackRevisions>false</trackRevisions>
    </reviewItem>
    <reviewItem>
      <errorID>9ea0c8ca-8639-4479-9561-b1c5359f736a</errorID>
      <errorWord>:</errorWord>
      <group>L1_Format</group>
      <groupName>格式问题</groupName>
      <ability>L2_HalfPunc</ability>
      <abilityName>全半角检查</abilityName>
      <candidateList>
        <item>：</item>
      </candidateList>
      <explain>文本全半角错误。</explain>
      <paraID> 47D076C</paraID>
      <start>48</start>
      <end>49</end>
      <status>unmodified</status>
      <modifiedWord/>
      <trackRevisions>false</trackRevisions>
    </reviewItem>
    <reviewItem>
      <errorID>b3442986-2de6-496a-b354-b482d1be47ba</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605EF4D6</paraID>
      <start>24</start>
      <end>26</end>
      <status>unmodified</status>
      <modifiedWord/>
      <trackRevisions>false</trackRevisions>
    </reviewItem>
    <reviewItem>
      <errorID>ff627024-8246-4c50-b2e6-58e2c02c364a</errorID>
      <errorWord>;</errorWord>
      <group>L1_Word</group>
      <groupName>字词问题</groupName>
      <ability>L2_Typo</ability>
      <abilityName>字词错误</abilityName>
      <candidateList>
        <item>;在</item>
      </candidateList>
      <explain/>
      <paraID>605EF4D6</paraID>
      <start>67</start>
      <end>68</end>
      <status>unmodified</status>
      <modifiedWord/>
      <trackRevisions>false</trackRevisions>
    </reviewItem>
    <reviewItem>
      <errorID>2d677078-437c-4e8c-9627-84dae5e72869</errorID>
      <errorWord>:</errorWord>
      <group>L1_Format</group>
      <groupName>格式问题</groupName>
      <ability>L2_HalfPunc</ability>
      <abilityName>全半角检查</abilityName>
      <candidateList>
        <item>：</item>
      </candidateList>
      <explain>文本全半角错误。</explain>
      <paraID> F3EB103</paraID>
      <start>17</start>
      <end>18</end>
      <status>unmodified</status>
      <modifiedWord/>
      <trackRevisions>false</trackRevisions>
    </reviewItem>
    <reviewItem>
      <errorID>0870adc8-c88c-404f-ae86-db9ef48055f2</errorID>
      <errorWord>承担</errorWord>
      <group>L1_Word</group>
      <groupName>字词问题</groupName>
      <ability>L2_Typo</ability>
      <abilityName>字词错误</abilityName>
      <candidateList>
        <item>担</item>
      </candidateList>
      <explain/>
      <paraID> 352E88A</paraID>
      <start>59</start>
      <end>61</end>
      <status>unmodified</status>
      <modifiedWord/>
      <trackRevisions>false</trackRevisions>
    </reviewItem>
    <reviewItem>
      <errorID>0100103b-5aed-4454-bab6-b4625d868368</errorID>
      <errorWord>与</errorWord>
      <group>L1_Word</group>
      <groupName>字词问题</groupName>
      <ability>L2_Typo</ability>
      <abilityName>字词错误</abilityName>
      <candidateList>
        <item>于</item>
      </candidateList>
      <explain>存在发音相同字词的误用。</explain>
      <paraID>56FD828D</paraID>
      <start>32</start>
      <end>33</end>
      <status>unmodified</status>
      <modifiedWord/>
      <trackRevisions>false</trackRevisions>
    </reviewItem>
    <reviewItem>
      <errorID>98f4efb0-cff5-4900-b0a7-28771385268f</errorID>
      <errorWord>:</errorWord>
      <group>L1_Format</group>
      <groupName>格式问题</groupName>
      <ability>L2_HalfPunc</ability>
      <abilityName>全半角检查</abilityName>
      <candidateList>
        <item>：</item>
      </candidateList>
      <explain>文本全半角错误。</explain>
      <paraID>272A3BD4</paraID>
      <start>10</start>
      <end>11</end>
      <status>unmodified</status>
      <modifiedWord/>
      <trackRevisions>false</trackRevisions>
    </reviewItem>
    <reviewItem>
      <errorID>4b4fabf2-c8ba-4d74-87b8-e7252fad33ee</errorID>
      <errorWord>:</errorWord>
      <group>L1_Format</group>
      <groupName>格式问题</groupName>
      <ability>L2_HalfPunc</ability>
      <abilityName>全半角检查</abilityName>
      <candidateList>
        <item>：</item>
      </candidateList>
      <explain>文本全半角错误。</explain>
      <paraID>530A5902</paraID>
      <start>37</start>
      <end>38</end>
      <status>unmodified</status>
      <modifiedWord/>
      <trackRevisions>false</trackRevisions>
    </reviewItem>
    <reviewItem>
      <errorID>0e9d014b-15a7-4b37-891a-4f870a3e93c3</errorID>
      <errorWord>承保人</errorWord>
      <group>L1_Word</group>
      <groupName>字词问题</groupName>
      <ability>L2_Typo</ability>
      <abilityName>字词错误</abilityName>
      <candidateList>
        <item>承包人</item>
      </candidateList>
      <explain/>
      <paraID>3267894C</paraID>
      <start>13</start>
      <end>16</end>
      <status>unmodified</status>
      <modifiedWord/>
      <trackRevisions>false</trackRevisions>
    </reviewItem>
    <reviewItem>
      <errorID>7a2374f8-9754-4905-a7ca-ba729614645b</errorID>
      <errorWord>:</errorWord>
      <group>L1_Format</group>
      <groupName>格式问题</groupName>
      <ability>L2_HalfPunc</ability>
      <abilityName>全半角检查</abilityName>
      <candidateList>
        <item>：</item>
      </candidateList>
      <explain>文本全半角错误。</explain>
      <paraID> 80BDD28</paraID>
      <start>14</start>
      <end>15</end>
      <status>unmodified</status>
      <modifiedWord/>
      <trackRevisions>false</trackRevisions>
    </reviewItem>
    <reviewItem>
      <errorID>a8e893fa-9f1d-460e-8ca5-880a1746a067</errorID>
      <errorWord>噪音</errorWord>
      <group>L1_Word</group>
      <groupName>字词问题</groupName>
      <ability>L2_Alias</ability>
      <abilityName>也作/曾用词</abilityName>
      <candidateList>
        <item>噪声</item>
      </candidateList>
      <explain>词汇[噪音]为不规范表述或旧称，其规范书面表述为[噪声]。</explain>
      <paraID> DEE83FA</paraID>
      <start>37</start>
      <end>39</end>
      <status>unmodified</status>
      <modifiedWord/>
      <trackRevisions>false</trackRevisions>
    </reviewItem>
    <reviewItem>
      <errorID>f53eec4c-2dfd-43d5-a0d0-ae84809376f1</errorID>
      <errorWord>噪音</errorWord>
      <group>L1_Word</group>
      <groupName>字词问题</groupName>
      <ability>L2_Alias</ability>
      <abilityName>也作/曾用词</abilityName>
      <candidateList>
        <item>噪声</item>
      </candidateList>
      <explain>词汇[噪音]为不规范表述或旧称，其规范书面表述为[噪声]。</explain>
      <paraID> DEE83FA</paraID>
      <start>99</start>
      <end>101</end>
      <status>unmodified</status>
      <modifiedWord/>
      <trackRevisions>false</trackRevisions>
    </reviewItem>
    <reviewItem>
      <errorID>30015827-e582-4e48-8b59-67a24f85317b</errorID>
      <errorWord>期</errorWord>
      <group>L1_Word</group>
      <groupName>字词问题</groupName>
      <ability>L2_Typo</ability>
      <abilityName>字词错误</abilityName>
      <candidateList>
        <item>期间</item>
      </candidateList>
      <explain>〈名〉某个时期里面：农忙～｜春节～｜抗战～。</explain>
      <paraID>351DCBCF</paraID>
      <start>9</start>
      <end>10</end>
      <status>unmodified</status>
      <modifiedWord/>
      <trackRevisions>false</trackRevisions>
    </reviewItem>
    <reviewItem>
      <errorID>85ddd4d9-2683-45dc-9c96-fbc87f809cb7</errorID>
      <errorWord>涉及到</errorWord>
      <group>L1_Grammar</group>
      <groupName>语法问题</groupName>
      <ability>L2_Grammar</ability>
      <abilityName>语法错误</abilityName>
      <candidateList>
        <item>涉及</item>
      </candidateList>
      <explain>〈动〉牵涉到；关联到：案子～好几个人｜这个问题～面很广。</explain>
      <paraID>454388AA</paraID>
      <start>53</start>
      <end>56</end>
      <status>unmodified</status>
      <modifiedWord/>
      <trackRevisions>false</trackRevisions>
    </reviewItem>
    <reviewItem>
      <errorID>ab914291-4485-408b-ac5f-ac0176c3ec97</errorID>
      <errorWord>阻扰</errorWord>
      <group>L1_Word</group>
      <groupName>字词问题</groupName>
      <ability>L2_Typo</ability>
      <abilityName>字词错误</abilityName>
      <candidateList>
        <item>阻挠</item>
      </candidateList>
      <explain/>
      <paraID>684A3481</paraID>
      <start>169</start>
      <end>171</end>
      <status>unmodified</status>
      <modifiedWord/>
      <trackRevisions>false</trackRevisions>
    </reviewItem>
    <reviewItem>
      <errorID>35bc59d2-dd15-4816-a109-e4d7b55f5a17</errorID>
      <errorWord>,</errorWord>
      <group>L1_Format</group>
      <groupName>格式问题</groupName>
      <ability>L2_HalfPunc</ability>
      <abilityName>全半角检查</abilityName>
      <candidateList>
        <item>，</item>
      </candidateList>
      <explain>文本全半角错误。</explain>
      <paraID>4A039735</paraID>
      <start>56</start>
      <end>57</end>
      <status>unmodified</status>
      <modifiedWord/>
      <trackRevisions>false</trackRevisions>
    </reviewItem>
    <reviewItem>
      <errorID>fbfa7319-1924-46b8-934c-62d08fae0568</errorID>
      <errorWord>,</errorWord>
      <group>L1_Format</group>
      <groupName>格式问题</groupName>
      <ability>L2_HalfPunc</ability>
      <abilityName>全半角检查</abilityName>
      <candidateList>
        <item>，</item>
      </candidateList>
      <explain>文本全半角错误。</explain>
      <paraID>50D61E17</paraID>
      <start>71</start>
      <end>72</end>
      <status>unmodified</status>
      <modifiedWord/>
      <trackRevisions>false</trackRevisions>
    </reviewItem>
    <reviewItem>
      <errorID>51de11d4-7c4a-4a64-bbf7-04516726c3e6</errorID>
      <errorWord>，</errorWord>
      <group>L1_Word</group>
      <groupName>字词问题</groupName>
      <ability>L2_Typo</ability>
      <abilityName>字词错误</abilityName>
      <candidateList>
        <item>，对</item>
      </candidateList>
      <explain/>
      <paraID> 6E9AC56</paraID>
      <start>31</start>
      <end>32</end>
      <status>unmodified</status>
      <modifiedWord/>
      <trackRevisions>false</trackRevisions>
    </reviewItem>
    <reviewItem>
      <errorID>6b075635-04a2-41f3-8c97-14aa34fbbf33</errorID>
      <errorWord>:</errorWord>
      <group>L1_Format</group>
      <groupName>格式问题</groupName>
      <ability>L2_HalfPunc</ability>
      <abilityName>全半角检查</abilityName>
      <candidateList>
        <item>：</item>
      </candidateList>
      <explain>文本全半角错误。</explain>
      <paraID>3E1A8ECB</paraID>
      <start>27</start>
      <end>28</end>
      <status>unmodified</status>
      <modifiedWord/>
      <trackRevisions>false</trackRevisions>
    </reviewItem>
    <reviewItem>
      <errorID>b27830c6-ae7e-4078-93f5-24ef2571acf1</errorID>
      <errorWord>;</errorWord>
      <group>L1_Format</group>
      <groupName>格式问题</groupName>
      <ability>L2_HalfPunc</ability>
      <abilityName>全半角检查</abilityName>
      <candidateList>
        <item>；</item>
      </candidateList>
      <explain>文本全半角错误。</explain>
      <paraID>3E1A8ECB</paraID>
      <start>54</start>
      <end>55</end>
      <status>unmodified</status>
      <modifiedWord/>
      <trackRevisions>false</trackRevisions>
    </reviewItem>
    <reviewItem>
      <errorID>318f33de-8397-4c15-82e2-17e62efdd25f</errorID>
      <errorWord>;</errorWord>
      <group>L1_Format</group>
      <groupName>格式问题</groupName>
      <ability>L2_HalfPunc</ability>
      <abilityName>全半角检查</abilityName>
      <candidateList>
        <item>；</item>
      </candidateList>
      <explain>文本全半角错误。</explain>
      <paraID>3E1A8ECB</paraID>
      <start>84</start>
      <end>85</end>
      <status>unmodified</status>
      <modifiedWord/>
      <trackRevisions>false</trackRevisions>
    </reviewItem>
    <reviewItem>
      <errorID>d5e58040-736a-4e12-a682-0901d1027cc4</errorID>
      <errorWord>;</errorWord>
      <group>L1_Format</group>
      <groupName>格式问题</groupName>
      <ability>L2_HalfPunc</ability>
      <abilityName>全半角检查</abilityName>
      <candidateList>
        <item>；</item>
      </candidateList>
      <explain>文本全半角错误。</explain>
      <paraID>3E1A8ECB</paraID>
      <start>96</start>
      <end>97</end>
      <status>unmodified</status>
      <modifiedWord/>
      <trackRevisions>false</trackRevisions>
    </reviewItem>
    <reviewItem>
      <errorID>9d8ca95b-ecc6-4ad1-bca0-c8c1cb81b56c</errorID>
      <errorWord>;</errorWord>
      <group>L1_Format</group>
      <groupName>格式问题</groupName>
      <ability>L2_HalfPunc</ability>
      <abilityName>全半角检查</abilityName>
      <candidateList>
        <item>；</item>
      </candidateList>
      <explain>文本全半角错误。</explain>
      <paraID>3E1A8ECB</paraID>
      <start>113</start>
      <end>114</end>
      <status>unmodified</status>
      <modifiedWord/>
      <trackRevisions>false</trackRevisions>
    </reviewItem>
    <reviewItem>
      <errorID>af9da433-32dd-4231-a5c7-22257b8e09aa</errorID>
      <errorWord>;</errorWord>
      <group>L1_Format</group>
      <groupName>格式问题</groupName>
      <ability>L2_HalfPunc</ability>
      <abilityName>全半角检查</abilityName>
      <candidateList>
        <item>；</item>
      </candidateList>
      <explain>文本全半角错误。</explain>
      <paraID>3E1A8ECB</paraID>
      <start>129</start>
      <end>130</end>
      <status>unmodified</status>
      <modifiedWord/>
      <trackRevisions>false</trackRevisions>
    </reviewItem>
    <reviewItem>
      <errorID>04179b14-f7ca-4f80-9dda-e5c4220171e9</errorID>
      <errorWord>;</errorWord>
      <group>L1_Format</group>
      <groupName>格式问题</groupName>
      <ability>L2_HalfPunc</ability>
      <abilityName>全半角检查</abilityName>
      <candidateList>
        <item>；</item>
      </candidateList>
      <explain>文本全半角错误。</explain>
      <paraID>3E1A8ECB</paraID>
      <start>153</start>
      <end>154</end>
      <status>unmodified</status>
      <modifiedWord/>
      <trackRevisions>false</trackRevisions>
    </reviewItem>
    <reviewItem>
      <errorID>268cb335-bb51-4245-82be-e406adc12590</errorID>
      <errorWord>在前</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128E9D59</paraID>
      <start>57</start>
      <end>59</end>
      <status>unmodified</status>
      <modifiedWord/>
      <trackRevisions>false</trackRevisions>
    </reviewItem>
    <reviewItem>
      <errorID>1ee5feb7-1ea5-4c52-a7bb-f77c65591a34</errorID>
      <errorWord>替代的</errorWord>
      <group>L1_Word</group>
      <groupName>字词问题</groupName>
      <ability>L2_Typo</ability>
      <abilityName>字词错误</abilityName>
      <candidateList>
        <item>替代</item>
      </candidateList>
      <explain/>
      <paraID>6E8A91D5</paraID>
      <start>11</start>
      <end>14</end>
      <status>unmodified</status>
      <modifiedWord/>
      <trackRevisions>false</trackRevisions>
    </reviewItem>
    <reviewItem>
      <errorID>15492cd4-dca5-414f-944b-7c595fa46b58</errorID>
      <errorWord>;</errorWord>
      <group>L1_Format</group>
      <groupName>格式问题</groupName>
      <ability>L2_HalfPunc</ability>
      <abilityName>全半角检查</abilityName>
      <candidateList>
        <item>；</item>
      </candidateList>
      <explain>文本全半角错误。</explain>
      <paraID>7CD43463</paraID>
      <start>12</start>
      <end>13</end>
      <status>unmodified</status>
      <modifiedWord/>
      <trackRevisions>false</trackRevisions>
    </reviewItem>
    <reviewItem>
      <errorID>4c1f9612-37a7-46ce-ac5c-4189a862f990</errorID>
      <errorWord>;</errorWord>
      <group>L1_Format</group>
      <groupName>格式问题</groupName>
      <ability>L2_HalfPunc</ability>
      <abilityName>全半角检查</abilityName>
      <candidateList>
        <item>；</item>
      </candidateList>
      <explain>文本全半角错误。</explain>
      <paraID>4F38EEB7</paraID>
      <start>7</start>
      <end>8</end>
      <status>unmodified</status>
      <modifiedWord/>
      <trackRevisions>false</trackRevisions>
    </reviewItem>
    <reviewItem>
      <errorID>f5ebb1bf-ec00-4acd-8db1-092fb37320e7</errorID>
      <errorWord>;</errorWord>
      <group>L1_Format</group>
      <groupName>格式问题</groupName>
      <ability>L2_HalfPunc</ability>
      <abilityName>全半角检查</abilityName>
      <candidateList>
        <item>；</item>
      </candidateList>
      <explain>文本全半角错误。</explain>
      <paraID> FD6570F</paraID>
      <start>12</start>
      <end>13</end>
      <status>unmodified</status>
      <modifiedWord/>
      <trackRevisions>false</trackRevisions>
    </reviewItem>
    <reviewItem>
      <errorID>24c18702-1ef3-4c9d-b4cc-47315989fec9</errorID>
      <errorWord>:</errorWord>
      <group>L1_Format</group>
      <groupName>格式问题</groupName>
      <ability>L2_HalfPunc</ability>
      <abilityName>全半角检查</abilityName>
      <candidateList>
        <item>：</item>
      </candidateList>
      <explain>文本全半角错误。</explain>
      <paraID>218180E6</paraID>
      <start>47</start>
      <end>48</end>
      <status>unmodified</status>
      <modifiedWord/>
      <trackRevisions>false</trackRevisions>
    </reviewItem>
    <reviewItem>
      <errorID>a0eb85f8-d14a-43fd-a923-c87c473466d3</errorID>
      <errorWord>:</errorWord>
      <group>L1_Format</group>
      <groupName>格式问题</groupName>
      <ability>L2_HalfPunc</ability>
      <abilityName>全半角检查</abilityName>
      <candidateList>
        <item>：</item>
      </candidateList>
      <explain>文本全半角错误。</explain>
      <paraID>6AC0B432</paraID>
      <start>23</start>
      <end>24</end>
      <status>unmodified</status>
      <modifiedWord/>
      <trackRevisions>false</trackRevisions>
    </reviewItem>
    <reviewItem>
      <errorID>e14c5ee8-d67d-4a0b-a53c-0bb0e1b9f8ca</errorID>
      <errorWord>;</errorWord>
      <group>L1_Format</group>
      <groupName>格式问题</groupName>
      <ability>L2_HalfPunc</ability>
      <abilityName>全半角检查</abilityName>
      <candidateList>
        <item>；</item>
      </candidateList>
      <explain>文本全半角错误。</explain>
      <paraID> 76BBFBD</paraID>
      <start>56</start>
      <end>57</end>
      <status>unmodified</status>
      <modifiedWord/>
      <trackRevisions>false</trackRevisions>
    </reviewItem>
    <reviewItem>
      <errorID>36cfae8b-4de6-4b73-9b60-d53e9b4ab599</errorID>
      <errorWord>;</errorWord>
      <group>L1_Format</group>
      <groupName>格式问题</groupName>
      <ability>L2_HalfPunc</ability>
      <abilityName>全半角检查</abilityName>
      <candidateList>
        <item>；</item>
      </candidateList>
      <explain>文本全半角错误。</explain>
      <paraID> 76BBFBD</paraID>
      <start>115</start>
      <end>116</end>
      <status>unmodified</status>
      <modifiedWord/>
      <trackRevisions>false</trackRevisions>
    </reviewItem>
    <reviewItem>
      <errorID>19b25df4-1ba5-4ab3-bbd2-b1344b32f94f</errorID>
      <errorWord>;</errorWord>
      <group>L1_Format</group>
      <groupName>格式问题</groupName>
      <ability>L2_HalfPunc</ability>
      <abilityName>全半角检查</abilityName>
      <candidateList>
        <item>；</item>
      </candidateList>
      <explain>文本全半角错误。</explain>
      <paraID> D9129AF</paraID>
      <start>44</start>
      <end>45</end>
      <status>unmodified</status>
      <modifiedWord/>
      <trackRevisions>false</trackRevisions>
    </reviewItem>
    <reviewItem>
      <errorID>4bb5f87a-be67-4b06-bd20-705486fe1522</errorID>
      <errorWord>酒水</errorWord>
      <group>L1_Word</group>
      <groupName>字词问题</groupName>
      <ability>L2_Typo</ability>
      <abilityName>字词错误</abilityName>
      <candidateList>
        <item>洒水</item>
      </candidateList>
      <explain/>
      <paraID>144E8599</paraID>
      <start>19</start>
      <end>21</end>
      <status>unmodified</status>
      <modifiedWord/>
      <trackRevisions>false</trackRevisions>
    </reviewItem>
    <reviewItem>
      <errorID>21513fca-a996-4004-b3fd-c266b47a2106</errorID>
      <errorWord>:</errorWord>
      <group>L1_Format</group>
      <groupName>格式问题</groupName>
      <ability>L2_HalfPunc</ability>
      <abilityName>全半角检查</abilityName>
      <candidateList>
        <item>：</item>
      </candidateList>
      <explain>文本全半角错误。</explain>
      <paraID>144E8599</paraID>
      <start>35</start>
      <end>36</end>
      <status>unmodified</status>
      <modifiedWord/>
      <trackRevisions>false</trackRevisions>
    </reviewItem>
    <reviewItem>
      <errorID>fad4a10e-1545-4bd9-afe7-5b5223ab2052</errorID>
      <errorWord>;</errorWord>
      <group>L1_Format</group>
      <groupName>格式问题</groupName>
      <ability>L2_HalfPunc</ability>
      <abilityName>全半角检查</abilityName>
      <candidateList>
        <item>；</item>
      </candidateList>
      <explain>文本全半角错误。</explain>
      <paraID>406F24C0</paraID>
      <start>58</start>
      <end>59</end>
      <status>unmodified</status>
      <modifiedWord/>
      <trackRevisions>false</trackRevisions>
    </reviewItem>
    <reviewItem>
      <errorID>b9b0109f-3ca0-4ab0-91cf-a08d55bcd148</errorID>
      <errorWord>;</errorWord>
      <group>L1_Format</group>
      <groupName>格式问题</groupName>
      <ability>L2_HalfPunc</ability>
      <abilityName>全半角检查</abilityName>
      <candidateList>
        <item>；</item>
      </candidateList>
      <explain>文本全半角错误。</explain>
      <paraID>388134CE</paraID>
      <start>45</start>
      <end>46</end>
      <status>unmodified</status>
      <modifiedWord/>
      <trackRevisions>false</trackRevisions>
    </reviewItem>
    <reviewItem>
      <errorID>ba18828c-4811-4870-970e-e1e2fb95cbfa</errorID>
      <errorWord>;</errorWord>
      <group>L1_Format</group>
      <groupName>格式问题</groupName>
      <ability>L2_HalfPunc</ability>
      <abilityName>全半角检查</abilityName>
      <candidateList>
        <item>；</item>
      </candidateList>
      <explain>文本全半角错误。</explain>
      <paraID>42938DCE</paraID>
      <start>42</start>
      <end>43</end>
      <status>unmodified</status>
      <modifiedWord/>
      <trackRevisions>false</trackRevisions>
    </reviewItem>
    <reviewItem>
      <errorID>228ca3ee-3382-4b6b-9960-162f701b2c60</errorID>
      <errorWord>;</errorWord>
      <group>L1_Format</group>
      <groupName>格式问题</groupName>
      <ability>L2_HalfPunc</ability>
      <abilityName>全半角检查</abilityName>
      <candidateList>
        <item>；</item>
      </candidateList>
      <explain>文本全半角错误。</explain>
      <paraID>7CB3CD7D</paraID>
      <start>55</start>
      <end>56</end>
      <status>unmodified</status>
      <modifiedWord/>
      <trackRevisions>false</trackRevisions>
    </reviewItem>
    <reviewItem>
      <errorID>e0391b04-5530-4495-bb6a-ef8776b96b71</errorID>
      <errorWord>;</errorWord>
      <group>L1_Format</group>
      <groupName>格式问题</groupName>
      <ability>L2_HalfPunc</ability>
      <abilityName>全半角检查</abilityName>
      <candidateList>
        <item>；</item>
      </candidateList>
      <explain>文本全半角错误。</explain>
      <paraID> 96E21F4</paraID>
      <start>43</start>
      <end>44</end>
      <status>unmodified</status>
      <modifiedWord/>
      <trackRevisions>false</trackRevisions>
    </reviewItem>
    <reviewItem>
      <errorID>e7c5c963-5d20-4c0e-b1b1-4cb0762f3ef0</errorID>
      <errorWord>;</errorWord>
      <group>L1_Format</group>
      <groupName>格式问题</groupName>
      <ability>L2_HalfPunc</ability>
      <abilityName>全半角检查</abilityName>
      <candidateList>
        <item>；</item>
      </candidateList>
      <explain>文本全半角错误。</explain>
      <paraID>7A1123C2</paraID>
      <start>54</start>
      <end>55</end>
      <status>unmodified</status>
      <modifiedWord/>
      <trackRevisions>false</trackRevisions>
    </reviewItem>
    <reviewItem>
      <errorID>dab90646-83a0-4bf8-8eaa-7d73fa29b88c</errorID>
      <errorWord>;</errorWord>
      <group>L1_Format</group>
      <groupName>格式问题</groupName>
      <ability>L2_HalfPunc</ability>
      <abilityName>全半角检查</abilityName>
      <candidateList>
        <item>；</item>
      </candidateList>
      <explain>文本全半角错误。</explain>
      <paraID>250DA019</paraID>
      <start>76</start>
      <end>77</end>
      <status>unmodified</status>
      <modifiedWord/>
      <trackRevisions>false</trackRevisions>
    </reviewItem>
    <reviewItem>
      <errorID>335ba230-9b7e-44b9-ba76-6f4beda24ecd</errorID>
      <errorWord>;</errorWord>
      <group>L1_Format</group>
      <groupName>格式问题</groupName>
      <ability>L2_HalfPunc</ability>
      <abilityName>全半角检查</abilityName>
      <candidateList>
        <item>；</item>
      </candidateList>
      <explain>文本全半角错误。</explain>
      <paraID>6D7892CB</paraID>
      <start>68</start>
      <end>69</end>
      <status>unmodified</status>
      <modifiedWord/>
      <trackRevisions>false</trackRevisions>
    </reviewItem>
    <reviewItem>
      <errorID>35fca375-04dd-4220-8072-00f5ddba66cb</errorID>
      <errorWord>;</errorWord>
      <group>L1_Format</group>
      <groupName>格式问题</groupName>
      <ability>L2_HalfPunc</ability>
      <abilityName>全半角检查</abilityName>
      <candidateList>
        <item>；</item>
      </candidateList>
      <explain>文本全半角错误。</explain>
      <paraID> ECB73F7</paraID>
      <start>42</start>
      <end>43</end>
      <status>unmodified</status>
      <modifiedWord/>
      <trackRevisions>false</trackRevisions>
    </reviewItem>
    <reviewItem>
      <errorID>2c6a41c3-ea1a-4a4d-bfbd-e95d0942bc51</errorID>
      <errorWord>:</errorWord>
      <group>L1_Format</group>
      <groupName>格式问题</groupName>
      <ability>L2_HalfPunc</ability>
      <abilityName>全半角检查</abilityName>
      <candidateList>
        <item>：</item>
      </candidateList>
      <explain>文本全半角错误。</explain>
      <paraID>3C8D82B1</paraID>
      <start>13</start>
      <end>14</end>
      <status>unmodified</status>
      <modifiedWord/>
      <trackRevisions>false</trackRevisions>
    </reviewItem>
    <reviewItem>
      <errorID>434cfba0-43ba-47d6-afa7-58a1dee53299</errorID>
      <errorWord>;</errorWord>
      <group>L1_Format</group>
      <groupName>格式问题</groupName>
      <ability>L2_HalfPunc</ability>
      <abilityName>全半角检查</abilityName>
      <candidateList>
        <item>；</item>
      </candidateList>
      <explain>文本全半角错误。</explain>
      <paraID>17E926BB</paraID>
      <start>42</start>
      <end>43</end>
      <status>unmodified</status>
      <modifiedWord/>
      <trackRevisions>false</trackRevisions>
    </reviewItem>
    <reviewItem>
      <errorID>8bef53b5-81e9-4889-9467-11a91724d6ac</errorID>
      <errorWord>;</errorWord>
      <group>L1_Format</group>
      <groupName>格式问题</groupName>
      <ability>L2_HalfPunc</ability>
      <abilityName>全半角检查</abilityName>
      <candidateList>
        <item>；</item>
      </candidateList>
      <explain>文本全半角错误。</explain>
      <paraID>17E926BB</paraID>
      <start>65</start>
      <end>66</end>
      <status>unmodified</status>
      <modifiedWord/>
      <trackRevisions>false</trackRevisions>
    </reviewItem>
    <reviewItem>
      <errorID>8e107d20-4db2-4e08-ad89-ee25c81bbdb8</errorID>
      <errorWord>;</errorWord>
      <group>L1_Format</group>
      <groupName>格式问题</groupName>
      <ability>L2_HalfPunc</ability>
      <abilityName>全半角检查</abilityName>
      <candidateList>
        <item>；</item>
      </candidateList>
      <explain>文本全半角错误。</explain>
      <paraID> 484A6F1</paraID>
      <start>7</start>
      <end>8</end>
      <status>unmodified</status>
      <modifiedWord/>
      <trackRevisions>false</trackRevisions>
    </reviewItem>
    <reviewItem>
      <errorID>aa67d53e-1a5a-4d08-801d-713932c0c1c4</errorID>
      <errorWord>;</errorWord>
      <group>L1_Format</group>
      <groupName>格式问题</groupName>
      <ability>L2_HalfPunc</ability>
      <abilityName>全半角检查</abilityName>
      <candidateList>
        <item>；</item>
      </candidateList>
      <explain>文本全半角错误。</explain>
      <paraID>45F51468</paraID>
      <start>5</start>
      <end>6</end>
      <status>unmodified</status>
      <modifiedWord/>
      <trackRevisions>false</trackRevisions>
    </reviewItem>
    <reviewItem>
      <errorID>8b0b6b5d-2b05-4f69-a6ac-3b89215105af</errorID>
      <errorWord>：/</errorWord>
      <group>L1_Punc</group>
      <groupName>标点问题</groupName>
      <ability>L2_Punc</ability>
      <abilityName>标点符号检查</abilityName>
      <candidateList>
        <item>：</item>
      </candidateList>
      <explain/>
      <paraID>2E3484F9</paraID>
      <start>20</start>
      <end>22</end>
      <status>unmodified</status>
      <modifiedWord/>
      <trackRevisions>false</trackRevisions>
    </reviewItem>
    <reviewItem>
      <errorID>8ced3b35-7d6b-4ecf-8432-75beb9502031</errorID>
      <errorWord>：/</errorWord>
      <group>L1_Punc</group>
      <groupName>标点问题</groupName>
      <ability>L2_Punc</ability>
      <abilityName>标点符号检查</abilityName>
      <candidateList>
        <item>：</item>
      </candidateList>
      <explain/>
      <paraID>12F8E5B0</paraID>
      <start>20</start>
      <end>22</end>
      <status>unmodified</status>
      <modifiedWord/>
      <trackRevisions>false</trackRevisions>
    </reviewItem>
    <reviewItem>
      <errorID>e34cae08-3b07-4ece-87f9-5fb217ebc9df</errorID>
      <errorWord>：/</errorWord>
      <group>L1_Punc</group>
      <groupName>标点问题</groupName>
      <ability>L2_Punc</ability>
      <abilityName>标点符号检查</abilityName>
      <candidateList>
        <item>：</item>
      </candidateList>
      <explain/>
      <paraID>3DCC4B92</paraID>
      <start>20</start>
      <end>22</end>
      <status>unmodified</status>
      <modifiedWord/>
      <trackRevisions>false</trackRevisions>
    </reviewItem>
    <reviewItem>
      <errorID>49ed85ef-e9f0-4844-901d-baa48b1f25cf</errorID>
      <errorWord>;</errorWord>
      <group>L1_Format</group>
      <groupName>格式问题</groupName>
      <ability>L2_HalfPunc</ability>
      <abilityName>全半角检查</abilityName>
      <candidateList>
        <item>；</item>
      </candidateList>
      <explain>文本全半角错误。</explain>
      <paraID>6DDF152F</paraID>
      <start>144</start>
      <end>145</end>
      <status>unmodified</status>
      <modifiedWord/>
      <trackRevisions>false</trackRevisions>
    </reviewItem>
    <reviewItem>
      <errorID>57bc9dde-ea74-4b9e-bd1e-0ba1277aad6d</errorID>
      <errorWord>）</errorWord>
      <group>L1_Format</group>
      <groupName>格式问题</groupName>
      <ability>L2_HalfPunc</ability>
      <abilityName>全半角检查</abilityName>
      <candidateList>
        <item>)</item>
      </candidateList>
      <explain>文本全半角错误。</explain>
      <paraID> 65CD771</paraID>
      <start>2</start>
      <end>3</end>
      <status>unmodified</status>
      <modifiedWord/>
      <trackRevisions>false</trackRevisions>
    </reviewItem>
    <reviewItem>
      <errorID>7a6de144-c889-4c61-a4ab-b33298cf3451</errorID>
      <errorWord>；</errorWord>
      <group>L1_Format</group>
      <groupName>格式问题</groupName>
      <ability>L2_HalfPunc</ability>
      <abilityName>全半角检查</abilityName>
      <candidateList>
        <item>;</item>
      </candidateList>
      <explain>文本全半角错误。</explain>
      <paraID> 65CD771</paraID>
      <start>10</start>
      <end>11</end>
      <status>unmodified</status>
      <modifiedWord/>
      <trackRevisions>false</trackRevisions>
    </reviewItem>
    <reviewItem>
      <errorID>b15e7dce-e192-4e5c-8575-1cfef67bf679</errorID>
      <errorWord>）</errorWord>
      <group>L1_Format</group>
      <groupName>格式问题</groupName>
      <ability>L2_HalfPunc</ability>
      <abilityName>全半角检查</abilityName>
      <candidateList>
        <item>)</item>
      </candidateList>
      <explain>文本全半角错误。</explain>
      <paraID>19791525</paraID>
      <start>2</start>
      <end>3</end>
      <status>unmodified</status>
      <modifiedWord/>
      <trackRevisions>false</trackRevisions>
    </reviewItem>
    <reviewItem>
      <errorID>efb36942-fb9c-409e-b5cc-b172f9f34f7c</errorID>
      <errorWord>。</errorWord>
      <group>L1_Format</group>
      <groupName>格式问题</groupName>
      <ability>L2_HalfPunc</ability>
      <abilityName>全半角检查</abilityName>
      <candidateList>
        <item>.</item>
      </candidateList>
      <explain>文本全半角错误。</explain>
      <paraID>19791525</paraID>
      <start>11</start>
      <end>12</end>
      <status>unmodified</status>
      <modifiedWord/>
      <trackRevisions>false</trackRevisions>
    </reviewItem>
    <reviewItem>
      <errorID>a0854b6d-50be-4bb2-ab6e-692a24050650</errorID>
      <errorWord>变更的</errorWord>
      <group>L1_Word</group>
      <groupName>字词问题</groupName>
      <ability>L2_Typo</ability>
      <abilityName>字词错误</abilityName>
      <candidateList>
        <item>变更</item>
      </candidateList>
      <explain>〈动〉改变；变动：～原定赛程｜修订版的内容有些～。</explain>
      <paraID>3BC37B8C</paraID>
      <start>2</start>
      <end>5</end>
      <status>unmodified</status>
      <modifiedWord/>
      <trackRevisions>false</trackRevisions>
    </reviewItem>
    <reviewItem>
      <errorID>2a63f1ca-c4d9-46c6-a620-c8d21c6a3e8c</errorID>
      <errorWord>:</errorWord>
      <group>L1_Format</group>
      <groupName>格式问题</groupName>
      <ability>L2_HalfPunc</ability>
      <abilityName>全半角检查</abilityName>
      <candidateList>
        <item>：</item>
      </candidateList>
      <explain>文本全半角错误。</explain>
      <paraID>43B2623E</paraID>
      <start>9</start>
      <end>10</end>
      <status>unmodified</status>
      <modifiedWord/>
      <trackRevisions>false</trackRevisions>
    </reviewItem>
    <reviewItem>
      <errorID>e1ce75e4-438b-423e-9b80-4af6dfb148df</errorID>
      <errorWord>法律、法规</errorWord>
      <group>L1_Word</group>
      <groupName>字词问题</groupName>
      <ability>L2_Typo</ability>
      <abilityName>字词错误</abilityName>
      <candidateList>
        <item>法律法规</item>
      </candidateList>
      <explain/>
      <paraID>4AD79AB5</paraID>
      <start>19</start>
      <end>24</end>
      <status>unmodified</status>
      <modifiedWord/>
      <trackRevisions>false</trackRevisions>
    </reviewItem>
    <reviewItem>
      <errorID>e97abb61-4bb2-4d5a-8803-5b1b71589e9f</errorID>
      <errorWord>其它</errorWord>
      <group>L1_Word</group>
      <groupName>字词问题</groupName>
      <ability>L2_Alias</ability>
      <abilityName>也作/曾用词</abilityName>
      <candidateList>
        <item>其他</item>
      </candidateList>
      <explain>词汇[其它]为不规范表述或旧称，其规范书面表述为[其他]。</explain>
      <paraID>705D3729</paraID>
      <start>2</start>
      <end>4</end>
      <status>unmodified</status>
      <modifiedWord/>
      <trackRevisions>false</trackRevisions>
    </reviewItem>
    <reviewItem>
      <errorID>32f5cff1-ba8e-4a4f-b600-a0d2a08a9a33</errorID>
      <errorWord>法律、法规</errorWord>
      <group>L1_Word</group>
      <groupName>字词问题</groupName>
      <ability>L2_Typo</ability>
      <abilityName>字词错误</abilityName>
      <candidateList>
        <item>法律法规</item>
      </candidateList>
      <explain/>
      <paraID>560B6C82</paraID>
      <start>3</start>
      <end>8</end>
      <status>unmodified</status>
      <modifiedWord/>
      <trackRevisions>false</trackRevisions>
    </reviewItem>
    <reviewItem>
      <errorID>5c14faa8-1acb-4e81-80e4-3a12733a4eda</errorID>
      <errorWord>:</errorWord>
      <group>L1_Format</group>
      <groupName>格式问题</groupName>
      <ability>L2_HalfPunc</ability>
      <abilityName>全半角检查</abilityName>
      <candidateList>
        <item>：</item>
      </candidateList>
      <explain>文本全半角错误。</explain>
      <paraID>5D47773E</paraID>
      <start>14</start>
      <end>15</end>
      <status>unmodified</status>
      <modifiedWord/>
      <trackRevisions>false</trackRevisions>
    </reviewItem>
    <reviewItem>
      <errorID>f2fdb92e-e369-4f88-9ae9-6423cbd69518</errorID>
      <errorWord>其它</errorWord>
      <group>L1_Word</group>
      <groupName>字词问题</groupName>
      <ability>L2_Alias</ability>
      <abilityName>也作/曾用词</abilityName>
      <candidateList>
        <item>其他</item>
      </candidateList>
      <explain>词汇[其它]为不规范表述或旧称，其规范书面表述为[其他]。</explain>
      <paraID>3D02CCA1</paraID>
      <start>2</start>
      <end>4</end>
      <status>unmodified</status>
      <modifiedWord/>
      <trackRevisions>false</trackRevisions>
    </reviewItem>
    <reviewItem>
      <errorID>41e48f8f-1661-456b-a099-8333d476b6b0</errorID>
      <errorWord>:</errorWord>
      <group>L1_Format</group>
      <groupName>格式问题</groupName>
      <ability>L2_HalfPunc</ability>
      <abilityName>全半角检查</abilityName>
      <candidateList>
        <item>：</item>
      </candidateList>
      <explain>文本全半角错误。</explain>
      <paraID>37826FE9</paraID>
      <start>9</start>
      <end>10</end>
      <status>unmodified</status>
      <modifiedWord/>
      <trackRevisions>false</trackRevisions>
    </reviewItem>
    <reviewItem>
      <errorID>1f63876b-2df8-4d67-a6ff-b5c91d7088d3</errorID>
      <errorWord>法律、法规</errorWord>
      <group>L1_Word</group>
      <groupName>字词问题</groupName>
      <ability>L2_Typo</ability>
      <abilityName>字词错误</abilityName>
      <candidateList>
        <item>法律法规</item>
      </candidateList>
      <explain/>
      <paraID>414F0FA2</paraID>
      <start>2</start>
      <end>7</end>
      <status>unmodified</status>
      <modifiedWord/>
      <trackRevisions>false</trackRevisions>
    </reviewItem>
    <reviewItem>
      <errorID>03caa67e-72c4-4b67-b6d9-c1d7b5710b56</errorID>
      <errorWord>指导性的</errorWord>
      <group>L1_Word</group>
      <groupName>字词问题</groupName>
      <ability>L2_Typo</ability>
      <abilityName>字词错误</abilityName>
      <candidateList>
        <item>指导性</item>
      </candidateList>
      <explain/>
      <paraID>414F0FA2</paraID>
      <start>41</start>
      <end>45</end>
      <status>unmodified</status>
      <modifiedWord/>
      <trackRevisions>false</trackRevisions>
    </reviewItem>
    <reviewItem>
      <errorID>2850aed1-a76b-4a1d-add5-e93c6390a7ed</errorID>
      <errorWord>，</errorWord>
      <group>L1_Word</group>
      <groupName>字词问题</groupName>
      <ability>L2_Typo</ability>
      <abilityName>字词错误</abilityName>
      <candidateList>
        <item>，在</item>
      </candidateList>
      <explain/>
      <paraID>3165B0C4</paraID>
      <start>22</start>
      <end>23</end>
      <status>unmodified</status>
      <modifiedWord/>
      <trackRevisions>false</trackRevisions>
    </reviewItem>
    <reviewItem>
      <errorID>25bca7a4-6f3a-43a4-8759-adcfd49922c6</errorID>
      <errorWord>涉及到</errorWord>
      <group>L1_Grammar</group>
      <groupName>语法问题</groupName>
      <ability>L2_Grammar</ability>
      <abilityName>语法错误</abilityName>
      <candidateList>
        <item>涉及</item>
      </candidateList>
      <explain>〈动〉牵涉到；关联到：案子～好几个人｜这个问题～面很广。</explain>
      <paraID>3165B0C4</paraID>
      <start>49</start>
      <end>52</end>
      <status>unmodified</status>
      <modifiedWord/>
      <trackRevisions>false</trackRevisions>
    </reviewItem>
    <reviewItem>
      <errorID>0711fb4a-1603-486b-b7a7-6bd48a278076</errorID>
      <errorWord>-</errorWord>
      <group>L1_Format</group>
      <groupName>格式问题</groupName>
      <ability>L2_HalfPunc</ability>
      <abilityName>全半角检查</abilityName>
      <candidateList>
        <item>－</item>
      </candidateList>
      <explain>文本全半角错误。</explain>
      <paraID>264CBE89</paraID>
      <start>37</start>
      <end>38</end>
      <status>unmodified</status>
      <modifiedWord/>
      <trackRevisions>false</trackRevisions>
    </reviewItem>
    <reviewItem>
      <errorID>607a3b01-7028-42d1-8bc9-54dd05d6d57f</errorID>
      <errorWord>-</errorWord>
      <group>L1_Format</group>
      <groupName>格式问题</groupName>
      <ability>L2_HalfPunc</ability>
      <abilityName>全半角检查</abilityName>
      <candidateList>
        <item>－</item>
      </candidateList>
      <explain>文本全半角错误。</explain>
      <paraID>1603E1D6</paraID>
      <start>69</start>
      <end>70</end>
      <status>unmodified</status>
      <modifiedWord/>
      <trackRevisions>false</trackRevisions>
    </reviewItem>
    <reviewItem>
      <errorID>daf4b137-002e-4a60-a6a9-fdf523384982</errorID>
      <errorWord>。。</errorWord>
      <group>L1_Punc</group>
      <groupName>标点问题</groupName>
      <ability>L2_Punc</ability>
      <abilityName>标点符号检查</abilityName>
      <candidateList>
        <item>。</item>
      </candidateList>
      <explain/>
      <paraID> 1957435</paraID>
      <start>21</start>
      <end>23</end>
      <status>unmodified</status>
      <modifiedWord/>
      <trackRevisions>false</trackRevisions>
    </reviewItem>
    <reviewItem>
      <errorID>90467a4b-a02f-46db-b98a-c18ad3fb41b3</errorID>
      <errorWord>：/</errorWord>
      <group>L1_Punc</group>
      <groupName>标点问题</groupName>
      <ability>L2_Punc</ability>
      <abilityName>标点符号检查</abilityName>
      <candidateList>
        <item>：</item>
      </candidateList>
      <explain/>
      <paraID>200E0E95</paraID>
      <start>23</start>
      <end>25</end>
      <status>unmodified</status>
      <modifiedWord/>
      <trackRevisions>false</trackRevisions>
    </reviewItem>
    <reviewItem>
      <errorID>e29f0b59-2a67-45f9-8d07-72b1f8a255ac</errorID>
      <errorWord>其它</errorWord>
      <group>L1_Word</group>
      <groupName>字词问题</groupName>
      <ability>L2_Alias</ability>
      <abilityName>也作/曾用词</abilityName>
      <candidateList>
        <item>其他</item>
      </candidateList>
      <explain>词汇[其它]为不规范表述或旧称，其规范书面表述为[其他]。</explain>
      <paraID>7CCC289E</paraID>
      <start>1</start>
      <end>3</end>
      <status>unmodified</status>
      <modifiedWord/>
      <trackRevisions>false</trackRevisions>
    </reviewItem>
    <reviewItem>
      <errorID>24096fde-7323-4621-b91a-051586ae861a</errorID>
      <errorWord>提</errorWord>
      <group>L1_Word</group>
      <groupName>字词问题</groupName>
      <ability>L2_Typo</ability>
      <abilityName>字词错误</abilityName>
      <candidateList>
        <item>提供</item>
      </candidateList>
      <explain/>
      <paraID>3306C24A</paraID>
      <start>32</start>
      <end>33</end>
      <status>unmodified</status>
      <modifiedWord/>
      <trackRevisions>false</trackRevisions>
    </reviewItem>
    <reviewItem>
      <errorID>58346dc9-9240-47de-9f26-fbaa1ff55837</errorID>
      <errorWord>巳</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3306C24A</paraID>
      <start>112</start>
      <end>113</end>
      <status>unmodified</status>
      <modifiedWord/>
      <trackRevisions>false</trackRevisions>
    </reviewItem>
    <reviewItem>
      <errorID>65edc8a6-cdf9-4343-8f92-19a871f73583</errorID>
      <errorWord>订力</errorWord>
      <group>L1_Word</group>
      <groupName>字词问题</groupName>
      <ability>L2_Typo</ability>
      <abilityName>字词错误</abilityName>
      <candidateList>
        <item>订立</item>
      </candidateList>
      <explain/>
      <paraID>  865CF2</paraID>
      <start>26</start>
      <end>28</end>
      <status>unmodified</status>
      <modifiedWord/>
      <trackRevisions>false</trackRevisions>
    </reviewItem>
    <reviewItem>
      <errorID>dc16eacf-b334-4ce0-ba1f-71a454d1a1ad</errorID>
      <errorWord>答订</errorWord>
      <group>L1_Word</group>
      <groupName>字词问题</groupName>
      <ability>L2_Typo</ability>
      <abilityName>字词错误</abilityName>
      <candidateList>
        <item>签订</item>
      </candidateList>
      <explain>〈动〉订立条约或合同并签字：两国～了贸易议定书和支付协定。</explain>
      <paraID>2706E8D0</paraID>
      <start>72</start>
      <end>74</end>
      <status>unmodified</status>
      <modifiedWord/>
      <trackRevisions>false</trackRevisions>
    </reviewItem>
    <reviewItem>
      <errorID>4aba1005-7dd5-4084-9083-69fb752ce0e6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79E58188</paraID>
      <start>0</start>
      <end>2</end>
      <status>unmodified</status>
      <modifiedWord/>
      <trackRevisions>false</trackRevisions>
    </reviewItem>
    <reviewItem>
      <errorID>e0735685-fb6a-4294-abaf-d6a0c2c539c3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6C9D94E9</paraID>
      <start>0</start>
      <end>2</end>
      <status>unmodified</status>
      <modifiedWord/>
      <trackRevisions>false</trackRevisions>
    </reviewItem>
    <reviewItem>
      <errorID>ec8b3970-ec4b-4bf0-ac60-1eb863bd454e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13E49381</paraID>
      <start>0</start>
      <end>2</end>
      <status>unmodified</status>
      <modifiedWord/>
      <trackRevisions>false</trackRevisions>
    </reviewItem>
    <reviewItem>
      <errorID>f4e525c7-7119-47ac-9513-b3da17769680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18AA21E6</paraID>
      <start>0</start>
      <end>2</end>
      <status>unmodified</status>
      <modifiedWord/>
      <trackRevisions>false</trackRevisions>
    </reviewItem>
    <reviewItem>
      <errorID>85c8837e-f5f6-4121-84e1-6ccc610377e8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480DD9CA</paraID>
      <start>0</start>
      <end>2</end>
      <status>unmodified</status>
      <modifiedWord/>
      <trackRevisions>false</trackRevisions>
    </reviewItem>
    <reviewItem>
      <errorID>27a8cf90-4f85-4a3f-8b91-24156320273a</errorID>
      <errorWord>限</errorWord>
      <group>L1_Word</group>
      <groupName>字词问题</groupName>
      <ability>L2_Typo</ability>
      <abilityName>字词错误</abilityName>
      <candidateList>
        <item>限内</item>
      </candidateList>
      <explain/>
      <paraID>54978309</paraID>
      <start>16</start>
      <end>17</end>
      <status>unmodified</status>
      <modifiedWord/>
      <trackRevisions>false</trackRevisions>
    </reviewItem>
    <reviewItem>
      <errorID>04c08b4c-21a0-44bd-801d-067e3cf3747e</errorID>
      <errorWord>人</errorWord>
      <group>L1_Word</group>
      <groupName>字词问题</groupName>
      <ability>L2_Typo</ability>
      <abilityName>字词错误</abilityName>
      <candidateList>
        <item>人和</item>
      </candidateList>
      <explain/>
      <paraID>3CB80028</paraID>
      <start>25</start>
      <end>26</end>
      <status>unmodified</status>
      <modifiedWord/>
      <trackRevisions>false</trackRevisions>
    </reviewItem>
    <reviewItem>
      <errorID>5b4e1f0e-cea1-41bc-ae92-30fdeb032a18</errorID>
      <errorWord>法律、法规</errorWord>
      <group>L1_Word</group>
      <groupName>字词问题</groupName>
      <ability>L2_Typo</ability>
      <abilityName>字词错误</abilityName>
      <candidateList>
        <item>法律法规</item>
      </candidateList>
      <explain/>
      <paraID>14CBEE7C</paraID>
      <start>19</start>
      <end>24</end>
      <status>unmodified</status>
      <modifiedWord/>
      <trackRevisions>false</trackRevisions>
    </reviewItem>
    <reviewItem>
      <errorID>04a385eb-c09b-43a1-9a13-f7771739a3bb</errorID>
      <errorWord>法律、法规</errorWord>
      <group>L1_Word</group>
      <groupName>字词问题</groupName>
      <ability>L2_Typo</ability>
      <abilityName>字词错误</abilityName>
      <candidateList>
        <item>法律法规</item>
      </candidateList>
      <explain/>
      <paraID> AA8CD24</paraID>
      <start>32</start>
      <end>37</end>
      <status>unmodified</status>
      <modifiedWord/>
      <trackRevisions>false</trackRevisions>
    </reviewItem>
    <reviewItem>
      <errorID>31b282c4-0a39-4f0c-bd35-56d56d4594ba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165D842</paraID>
      <start>0</start>
      <end>2</end>
      <status>unmodified</status>
      <modifiedWord/>
      <trackRevisions>false</trackRevisions>
    </reviewItem>
    <reviewItem>
      <errorID>d184b454-d44d-4351-8def-679e1337cb28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6388342C</paraID>
      <start>0</start>
      <end>2</end>
      <status>unmodified</status>
      <modifiedWord/>
      <trackRevisions>false</trackRevisions>
    </reviewItem>
    <reviewItem>
      <errorID>d7430909-9d68-4f8f-af96-82ca12d0b8c4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6284CD22</paraID>
      <start>0</start>
      <end>2</end>
      <status>unmodified</status>
      <modifiedWord/>
      <trackRevisions>false</trackRevisions>
    </reviewItem>
    <reviewItem>
      <errorID>49bdeef3-dcf2-46cf-b7ec-873bfa79e14f</errorID>
      <errorWord>:</errorWord>
      <group>L1_Format</group>
      <groupName>格式问题</groupName>
      <ability>L2_HalfPunc</ability>
      <abilityName>全半角检查</abilityName>
      <candidateList>
        <item>：</item>
      </candidateList>
      <explain>文本全半角错误。</explain>
      <paraID>72606F15</paraID>
      <start>4</start>
      <end>5</end>
      <status>unmodified</status>
      <modifiedWord/>
      <trackRevisions>false</trackRevisions>
    </reviewItem>
    <reviewItem>
      <errorID>24ce3582-c905-43d3-b333-13b29ed5d45e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23F48F56</paraID>
      <start>28</start>
      <end>30</end>
      <status>unmodified</status>
      <modifiedWord/>
      <trackRevisions>false</trackRevisions>
    </reviewItem>
    <reviewItem>
      <errorID>7c228e6d-5656-4ace-b95f-fbd5c5a25ac2</errorID>
      <errorWord>《政府采购法》</errorWord>
      <group>L1_Word</group>
      <groupName>字词问题</groupName>
      <ability>L2_Typo</ability>
      <abilityName>字词错误</abilityName>
      <candidateList>
        <item>《中华人民共和国政府采购法》</item>
      </candidateList>
      <explain/>
      <paraID>6825E67B</paraID>
      <start>14</start>
      <end>21</end>
      <status>unmodified</status>
      <modifiedWord/>
      <trackRevisions>false</trackRevisions>
    </reviewItem>
    <reviewItem>
      <errorID>47143b05-fd8e-423d-a96e-645dd1edbd72</errorID>
      <errorWord>〔2017〕 141号</errorWord>
      <group>L1_Knowledge</group>
      <groupName>知识性问题</groupName>
      <ability>L2_Knowledge</ability>
      <abilityName>其他知识</abilityName>
      <candidateList>
        <item>〔2017〕141号</item>
      </candidateList>
      <explain>发文字号格式错误。</explain>
      <paraID>31DC6A91</paraID>
      <start>49</start>
      <end>60</end>
      <status>unmodified</status>
      <modifiedWord/>
      <trackRevisions>false</trackRevisions>
    </reviewItem>
    <reviewItem>
      <errorID>8eb49107-a208-4464-879a-53ebcba40096</errorID>
      <errorWord>其它</errorWord>
      <group>L1_Word</group>
      <groupName>字词问题</groupName>
      <ability>L2_Alias</ability>
      <abilityName>也作/曾用词</abilityName>
      <candidateList>
        <item>其他</item>
      </candidateList>
      <explain>词汇[其它]为不规范表述或旧称，其规范书面表述为[其他]。</explain>
      <paraID>37F9BC4C</paraID>
      <start>4</start>
      <end>6</end>
      <status>unmodified</status>
      <modifiedWord/>
      <trackRevisions>false</trackRevisions>
    </reviewItem>
    <reviewItem>
      <errorID>2f6c0e01-583b-4eb3-aa83-41dbd68f51f3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72204E1B</paraID>
      <start>0</start>
      <end>2</end>
      <status>unmodified</status>
      <modifiedWord/>
      <trackRevisions>false</trackRevisions>
    </reviewItem>
    <reviewItem>
      <errorID>33ec2aa4-b242-4fb1-918a-54e7d7e48b37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472BE7ED</paraID>
      <start>0</start>
      <end>2</end>
      <status>unmodified</status>
      <modifiedWord/>
      <trackRevisions>false</trackRevisions>
    </reviewItem>
    <reviewItem>
      <errorID>59f5b796-c558-4c10-ada2-c30610eb7665</errorID>
      <errorWord>:</errorWord>
      <group>L1_Format</group>
      <groupName>格式问题</groupName>
      <ability>L2_HalfPunc</ability>
      <abilityName>全半角检查</abilityName>
      <candidateList>
        <item>：</item>
      </candidateList>
      <explain>文本全半角错误。</explain>
      <paraID> C23E406</paraID>
      <start>1</start>
      <end>2</end>
      <status>unmodified</status>
      <modifiedWord/>
      <trackRevisions>false</trackRevisions>
    </reviewItem>
    <reviewItem>
      <errorID>c31cc92d-5950-4106-a5e5-507fa9d0bcc5</errorID>
      <errorWord>做</errorWord>
      <group>L1_Word</group>
      <groupName>字词问题</groupName>
      <ability>L2_Typo</ability>
      <abilityName>字词错误</abilityName>
      <candidateList>
        <item>作</item>
      </candidateList>
      <explain>存在发音相同字词的误用。</explain>
      <paraID> C23E406</paraID>
      <start>63</start>
      <end>64</end>
      <status>unmodified</status>
      <modifiedWord/>
      <trackRevisions>false</trackRevisions>
    </reviewItem>
    <reviewItem>
      <errorID>9046026e-85ed-4646-bba6-604659cd214a</errorID>
      <errorWord>:</errorWord>
      <group>L1_Format</group>
      <groupName>格式问题</groupName>
      <ability>L2_HalfPunc</ability>
      <abilityName>全半角检查</abilityName>
      <candidateList>
        <item>：</item>
      </candidateList>
      <explain>文本全半角错误。</explain>
      <paraID>286A9E91</paraID>
      <start>41</start>
      <end>42</end>
      <status>unmodified</status>
      <modifiedWord/>
      <trackRevisions>false</trackRevisions>
    </reviewItem>
    <reviewItem>
      <errorID>caa75e9b-4319-4dfe-a585-c19dea192e90</errorID>
      <errorWord>噪音</errorWord>
      <group>L1_Word</group>
      <groupName>字词问题</groupName>
      <ability>L2_Alias</ability>
      <abilityName>也作/曾用词</abilityName>
      <candidateList>
        <item>噪声</item>
      </candidateList>
      <explain>词汇[噪音]为不规范表述或旧称，其规范书面表述为[噪声]。</explain>
      <paraID>286A9E91</paraID>
      <start>177</start>
      <end>179</end>
      <status>unmodified</status>
      <modifiedWord/>
      <trackRevisions>false</trackRevisions>
    </reviewItem>
    <reviewItem>
      <errorID>19a09b62-0d86-4dad-8c67-0857fadc112d</errorID>
      <errorWord>表</errorWord>
      <group>L1_Word</group>
      <groupName>字词问题</groupName>
      <ability>L2_Typo</ability>
      <abilityName>字词错误</abilityName>
      <candidateList>
        <item/>
      </candidateList>
      <explain/>
      <paraID>40C592B2</paraID>
      <start>15</start>
      <end>16</end>
      <status>unmodified</status>
      <modifiedWord/>
      <trackRevisions>false</trackRevisions>
    </reviewItem>
    <reviewItem>
      <errorID>c88d28f3-ef00-422d-b474-b9c285103deb</errorID>
      <errorWord>KW</errorWord>
      <group>L1_Word</group>
      <groupName>字词问题</groupName>
      <ability>L2_Typo</ability>
      <abilityName>字词错误</abilityName>
      <candidateList>
        <item>kW</item>
      </candidateList>
      <explain/>
      <paraID>4181F1DA</paraID>
      <start>6</start>
      <end>8</end>
      <status>unmodified</status>
      <modifiedWord/>
      <trackRevisions>false</trackRevisions>
    </reviewItem>
    <reviewItem>
      <errorID>202ab6a9-e47f-4fc1-8a17-ccb0b8e5ed9a</errorID>
      <errorWord>:</errorWord>
      <group>L1_Format</group>
      <groupName>格式问题</groupName>
      <ability>L2_HalfPunc</ability>
      <abilityName>全半角检查</abilityName>
      <candidateList>
        <item>：</item>
      </candidateList>
      <explain>文本全半角错误。</explain>
      <paraID>7A36C4AD</paraID>
      <start>37</start>
      <end>38</end>
      <status>unmodified</status>
      <modifiedWord/>
      <trackRevisions>false</trackRevisions>
    </reviewItem>
    <reviewItem>
      <errorID>bb57890c-cc26-446b-9e61-4f4fa81708b9</errorID>
      <errorWord>:</errorWord>
      <group>L1_Format</group>
      <groupName>格式问题</groupName>
      <ability>L2_HalfPunc</ability>
      <abilityName>全半角检查</abilityName>
      <candidateList>
        <item>：</item>
      </candidateList>
      <explain>文本全半角错误。</explain>
      <paraID>77AAA9FF</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E5C87C-8CFB-4101-9DF5-996EAA2DA994}">
  <ds:schemaRefs/>
</ds:datastoreItem>
</file>

<file path=customXml/itemProps3.xml><?xml version="1.0" encoding="utf-8"?>
<ds:datastoreItem xmlns:ds="http://schemas.openxmlformats.org/officeDocument/2006/customXml" ds:itemID="{FDD2E703-5877-4E0D-8762-51FFB3350B3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152</Pages>
  <Words>90695</Words>
  <Characters>96507</Characters>
  <Lines>738</Lines>
  <Paragraphs>207</Paragraphs>
  <TotalTime>324</TotalTime>
  <ScaleCrop>false</ScaleCrop>
  <LinksUpToDate>false</LinksUpToDate>
  <CharactersWithSpaces>108940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Memories。</cp:lastModifiedBy>
  <cp:lastPrinted>2026-03-20T07:36:00Z</cp:lastPrinted>
  <dcterms:modified xsi:type="dcterms:W3CDTF">2026-05-07T19:54:50Z</dcterms:modified>
  <dc:title>政府采购示范文本（2023）</dc:title>
  <cp:revision>332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6F3A7602FC9D4500B87EDE5085696BE2_13</vt:lpwstr>
  </property>
  <property fmtid="{D5CDD505-2E9C-101B-9397-08002B2CF9AE}" pid="4" name="KSOTemplateDocerSaveRecord">
    <vt:lpwstr>eyJoZGlkIjoiODFlMTZmNjMwODQ1ZWU1M2Q5ODY4NjU2ZTgxYzY0ZWQiLCJ1c2VySWQiOiIyNDU5NTc2MjAifQ==</vt:lpwstr>
  </property>
</Properties>
</file>