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 w:firstLineChars="50"/>
        <w:rPr>
          <w:rFonts w:ascii="宋体" w:hAnsi="宋体"/>
          <w:color w:val="000000"/>
          <w:sz w:val="18"/>
          <w:szCs w:val="18"/>
        </w:rPr>
      </w:pPr>
    </w:p>
    <w:p>
      <w:pPr>
        <w:widowControl/>
        <w:jc w:val="center"/>
        <w:rPr>
          <w:rFonts w:ascii="FZShuSong-Z01" w:hAnsi="FZShuSong-Z01" w:eastAsia="FZShuSong-Z01" w:cs="FZShuSong-Z01"/>
          <w:b/>
          <w:bCs/>
          <w:color w:val="000000"/>
          <w:kern w:val="0"/>
          <w:sz w:val="60"/>
          <w:szCs w:val="60"/>
          <w:lang w:bidi="ar"/>
        </w:rPr>
      </w:pPr>
    </w:p>
    <w:p>
      <w:pPr>
        <w:widowControl/>
        <w:jc w:val="center"/>
      </w:pPr>
      <w:r>
        <w:rPr>
          <w:rFonts w:ascii="FZShuSong-Z01" w:hAnsi="FZShuSong-Z01" w:eastAsia="FZShuSong-Z01" w:cs="FZShuSong-Z01"/>
          <w:b/>
          <w:bCs/>
          <w:color w:val="000000"/>
          <w:kern w:val="0"/>
          <w:sz w:val="60"/>
          <w:szCs w:val="60"/>
          <w:lang w:bidi="ar"/>
        </w:rPr>
        <w:t>北京市政府采购项目</w:t>
      </w:r>
    </w:p>
    <w:p>
      <w:pPr>
        <w:widowControl/>
        <w:jc w:val="center"/>
      </w:pPr>
      <w:r>
        <w:rPr>
          <w:rFonts w:ascii="FZShuSong-Z01" w:hAnsi="FZShuSong-Z01" w:eastAsia="FZShuSong-Z01" w:cs="FZShuSong-Z01"/>
          <w:b/>
          <w:bCs/>
          <w:color w:val="000000"/>
          <w:kern w:val="0"/>
          <w:sz w:val="60"/>
          <w:szCs w:val="60"/>
          <w:lang w:bidi="ar"/>
        </w:rPr>
        <w:t>竞争性磋商文件</w:t>
      </w:r>
    </w:p>
    <w:p>
      <w:pPr>
        <w:jc w:val="center"/>
        <w:rPr>
          <w:b/>
          <w:bCs/>
          <w:sz w:val="60"/>
          <w:szCs w:val="60"/>
        </w:rPr>
      </w:pPr>
    </w:p>
    <w:p>
      <w:pPr>
        <w:widowControl/>
        <w:jc w:val="center"/>
      </w:pPr>
    </w:p>
    <w:p>
      <w:pPr>
        <w:widowControl/>
        <w:jc w:val="center"/>
        <w:rPr>
          <w:rFonts w:ascii="FZShuSong-Z01" w:hAnsi="FZShuSong-Z01" w:eastAsia="FZShuSong-Z01" w:cs="FZShuSong-Z01"/>
          <w:color w:val="000000"/>
          <w:kern w:val="0"/>
          <w:sz w:val="36"/>
          <w:szCs w:val="36"/>
          <w:lang w:bidi="ar"/>
        </w:rPr>
      </w:pPr>
    </w:p>
    <w:p>
      <w:pPr>
        <w:widowControl/>
        <w:jc w:val="center"/>
        <w:rPr>
          <w:rFonts w:ascii="FZShuSong-Z01" w:hAnsi="FZShuSong-Z01" w:eastAsia="FZShuSong-Z01" w:cs="FZShuSong-Z01"/>
          <w:color w:val="000000"/>
          <w:kern w:val="0"/>
          <w:sz w:val="36"/>
          <w:szCs w:val="36"/>
          <w:lang w:bidi="ar"/>
        </w:rPr>
      </w:pPr>
    </w:p>
    <w:p>
      <w:pPr>
        <w:widowControl/>
        <w:jc w:val="left"/>
        <w:rPr>
          <w:rFonts w:ascii="FZShuSong-Z01" w:hAnsi="FZShuSong-Z01" w:eastAsia="FZShuSong-Z01" w:cs="FZShuSong-Z01"/>
          <w:color w:val="000000"/>
          <w:kern w:val="0"/>
          <w:sz w:val="36"/>
          <w:szCs w:val="36"/>
          <w:lang w:bidi="ar"/>
        </w:rPr>
      </w:pPr>
    </w:p>
    <w:p>
      <w:pPr>
        <w:pStyle w:val="2"/>
      </w:pPr>
    </w:p>
    <w:p>
      <w:pPr>
        <w:widowControl/>
        <w:jc w:val="left"/>
        <w:rPr>
          <w:rFonts w:ascii="FZShuSong-Z01" w:hAnsi="FZShuSong-Z01" w:eastAsia="FZShuSong-Z01" w:cs="FZShuSong-Z01"/>
          <w:color w:val="000000"/>
          <w:kern w:val="0"/>
          <w:sz w:val="36"/>
          <w:szCs w:val="36"/>
          <w:lang w:bidi="ar"/>
        </w:rPr>
      </w:pPr>
    </w:p>
    <w:p>
      <w:pPr>
        <w:widowControl/>
        <w:jc w:val="left"/>
        <w:rPr>
          <w:rFonts w:ascii="FZShuSong-Z01" w:hAnsi="FZShuSong-Z01" w:eastAsia="FZShuSong-Z01" w:cs="FZShuSong-Z01"/>
          <w:color w:val="000000"/>
          <w:kern w:val="0"/>
          <w:sz w:val="36"/>
          <w:szCs w:val="36"/>
          <w:lang w:bidi="ar"/>
        </w:rPr>
      </w:pPr>
    </w:p>
    <w:p>
      <w:pPr>
        <w:widowControl/>
        <w:spacing w:line="360" w:lineRule="auto"/>
        <w:jc w:val="left"/>
        <w:rPr>
          <w:rFonts w:hint="eastAsia" w:ascii="宋体" w:hAnsi="宋体" w:eastAsia="宋体" w:cs="宋体"/>
          <w:color w:val="000000"/>
          <w:kern w:val="0"/>
          <w:sz w:val="36"/>
          <w:szCs w:val="36"/>
          <w:lang w:bidi="ar"/>
        </w:rPr>
      </w:pPr>
      <w:r>
        <w:rPr>
          <w:rFonts w:hint="eastAsia" w:ascii="宋体" w:hAnsi="宋体" w:cs="宋体"/>
          <w:color w:val="000000"/>
          <w:kern w:val="0"/>
          <w:sz w:val="36"/>
          <w:szCs w:val="36"/>
          <w:lang w:bidi="ar"/>
        </w:rPr>
        <w:t>项目名称：</w:t>
      </w:r>
      <w:r>
        <w:rPr>
          <w:rFonts w:hint="eastAsia" w:ascii="宋体" w:hAnsi="宋体" w:eastAsia="宋体" w:cs="宋体"/>
          <w:color w:val="000000"/>
          <w:kern w:val="0"/>
          <w:sz w:val="36"/>
          <w:szCs w:val="36"/>
          <w:u w:val="single"/>
          <w:lang w:val="en-US" w:eastAsia="zh-CN" w:bidi="ar"/>
        </w:rPr>
        <w:t xml:space="preserve">2026年博物馆物业管理服务采购项目 </w:t>
      </w:r>
    </w:p>
    <w:p>
      <w:pPr>
        <w:widowControl/>
        <w:spacing w:line="360" w:lineRule="auto"/>
        <w:jc w:val="left"/>
        <w:rPr>
          <w:rFonts w:hint="default" w:ascii="宋体" w:hAnsi="宋体" w:eastAsia="宋体" w:cs="宋体"/>
          <w:color w:val="000000"/>
          <w:kern w:val="0"/>
          <w:sz w:val="36"/>
          <w:szCs w:val="36"/>
          <w:highlight w:val="none"/>
          <w:lang w:val="en-US" w:eastAsia="zh-CN" w:bidi="ar"/>
        </w:rPr>
      </w:pPr>
      <w:r>
        <w:rPr>
          <w:rFonts w:hint="eastAsia" w:ascii="宋体" w:hAnsi="宋体" w:cs="宋体"/>
          <w:color w:val="000000"/>
          <w:kern w:val="0"/>
          <w:sz w:val="36"/>
          <w:szCs w:val="36"/>
          <w:highlight w:val="none"/>
          <w:lang w:bidi="ar"/>
        </w:rPr>
        <w:t>项目编号：</w:t>
      </w:r>
      <w:r>
        <w:rPr>
          <w:rFonts w:ascii="宋体" w:hAnsi="宋体" w:cs="宋体"/>
          <w:color w:val="000000"/>
          <w:kern w:val="0"/>
          <w:sz w:val="36"/>
          <w:szCs w:val="36"/>
          <w:highlight w:val="none"/>
          <w:u w:val="single"/>
          <w:lang w:bidi="ar"/>
        </w:rPr>
        <w:t>PGCGZX--</w:t>
      </w:r>
      <w:r>
        <w:rPr>
          <w:rFonts w:hint="eastAsia" w:ascii="宋体" w:hAnsi="宋体" w:cs="宋体"/>
          <w:color w:val="000000"/>
          <w:kern w:val="0"/>
          <w:sz w:val="36"/>
          <w:szCs w:val="36"/>
          <w:highlight w:val="none"/>
          <w:u w:val="single"/>
          <w:lang w:val="en-US" w:eastAsia="zh-CN" w:bidi="ar"/>
        </w:rPr>
        <w:t>26004</w:t>
      </w:r>
    </w:p>
    <w:p>
      <w:pPr>
        <w:widowControl/>
        <w:spacing w:line="360" w:lineRule="auto"/>
        <w:jc w:val="left"/>
        <w:rPr>
          <w:rFonts w:hint="eastAsia" w:ascii="宋体" w:hAnsi="宋体" w:cs="宋体"/>
          <w:color w:val="000000"/>
          <w:kern w:val="0"/>
          <w:sz w:val="36"/>
          <w:szCs w:val="36"/>
          <w:lang w:bidi="ar"/>
        </w:rPr>
      </w:pPr>
      <w:r>
        <w:rPr>
          <w:rFonts w:hint="eastAsia" w:ascii="宋体" w:hAnsi="宋体" w:cs="宋体"/>
          <w:color w:val="000000"/>
          <w:kern w:val="0"/>
          <w:sz w:val="36"/>
          <w:szCs w:val="36"/>
          <w:lang w:bidi="ar"/>
        </w:rPr>
        <w:t>采 购 人：</w:t>
      </w:r>
      <w:r>
        <w:rPr>
          <w:rFonts w:hint="eastAsia" w:ascii="宋体" w:hAnsi="宋体" w:eastAsia="宋体" w:cs="宋体"/>
          <w:color w:val="000000"/>
          <w:kern w:val="0"/>
          <w:sz w:val="36"/>
          <w:szCs w:val="36"/>
          <w:u w:val="single"/>
          <w:lang w:eastAsia="zh-CN" w:bidi="ar"/>
        </w:rPr>
        <w:t>北京市平谷区文物管理所</w:t>
      </w:r>
      <w:r>
        <w:rPr>
          <w:rFonts w:hint="eastAsia" w:ascii="宋体" w:hAnsi="宋体" w:eastAsia="宋体" w:cs="宋体"/>
          <w:spacing w:val="-8"/>
          <w:sz w:val="24"/>
          <w:szCs w:val="24"/>
          <w:u w:val="single"/>
          <w:lang w:eastAsia="zh-CN"/>
        </w:rPr>
        <w:t xml:space="preserve"> </w:t>
      </w:r>
    </w:p>
    <w:p>
      <w:pPr>
        <w:widowControl/>
        <w:spacing w:line="360" w:lineRule="auto"/>
        <w:jc w:val="left"/>
        <w:rPr>
          <w:rFonts w:ascii="宋体" w:hAnsi="宋体" w:cs="宋体"/>
          <w:sz w:val="36"/>
          <w:szCs w:val="36"/>
          <w:u w:val="single"/>
        </w:rPr>
      </w:pPr>
      <w:r>
        <w:rPr>
          <w:rFonts w:hint="eastAsia" w:ascii="宋体" w:hAnsi="宋体" w:cs="宋体"/>
          <w:color w:val="000000"/>
          <w:kern w:val="0"/>
          <w:sz w:val="36"/>
          <w:szCs w:val="36"/>
          <w:lang w:bidi="ar"/>
        </w:rPr>
        <w:t>采购代理机构：</w:t>
      </w:r>
      <w:r>
        <w:rPr>
          <w:rFonts w:hint="eastAsia" w:ascii="宋体" w:hAnsi="宋体" w:cs="宋体"/>
          <w:color w:val="000000"/>
          <w:kern w:val="0"/>
          <w:sz w:val="36"/>
          <w:szCs w:val="36"/>
          <w:u w:val="single"/>
          <w:lang w:bidi="ar"/>
        </w:rPr>
        <w:t>北京市平谷区政府采购中心</w:t>
      </w:r>
    </w:p>
    <w:p>
      <w:pPr>
        <w:widowControl/>
        <w:spacing w:line="360" w:lineRule="auto"/>
        <w:jc w:val="left"/>
        <w:rPr>
          <w:rFonts w:ascii="宋体" w:hAnsi="宋体" w:cs="宋体"/>
          <w:sz w:val="36"/>
          <w:szCs w:val="36"/>
        </w:rPr>
      </w:pPr>
    </w:p>
    <w:p>
      <w:pPr>
        <w:tabs>
          <w:tab w:val="left" w:pos="5609"/>
        </w:tabs>
        <w:spacing w:line="360" w:lineRule="auto"/>
        <w:jc w:val="center"/>
        <w:rPr>
          <w:rFonts w:ascii="宋体" w:hAnsi="宋体" w:cs="宋体"/>
          <w:bCs/>
          <w:color w:val="000000"/>
          <w:sz w:val="30"/>
          <w:szCs w:val="30"/>
        </w:rPr>
      </w:pPr>
    </w:p>
    <w:p>
      <w:pPr>
        <w:tabs>
          <w:tab w:val="left" w:pos="3240"/>
          <w:tab w:val="left" w:pos="3420"/>
        </w:tabs>
        <w:spacing w:line="360" w:lineRule="auto"/>
        <w:ind w:firstLine="424" w:firstLineChars="118"/>
        <w:jc w:val="left"/>
        <w:rPr>
          <w:rFonts w:ascii="宋体" w:hAnsi="宋体"/>
          <w:bCs/>
          <w:color w:val="000000"/>
          <w:sz w:val="36"/>
          <w:szCs w:val="36"/>
          <w:u w:val="single"/>
        </w:rPr>
      </w:pPr>
    </w:p>
    <w:p>
      <w:pPr>
        <w:widowControl/>
        <w:jc w:val="center"/>
        <w:rPr>
          <w:rFonts w:ascii="宋体" w:hAnsi="宋体"/>
          <w:b/>
          <w:color w:val="000000"/>
          <w:sz w:val="36"/>
          <w:szCs w:val="36"/>
        </w:rPr>
        <w:sectPr>
          <w:pgSz w:w="11907" w:h="16840"/>
          <w:pgMar w:top="1418" w:right="1418" w:bottom="1418" w:left="1418" w:header="851" w:footer="851" w:gutter="0"/>
          <w:pgNumType w:start="1"/>
          <w:cols w:space="720" w:num="1"/>
          <w:titlePg/>
          <w:docGrid w:linePitch="462" w:charSpace="0"/>
        </w:sectPr>
      </w:pPr>
    </w:p>
    <w:p>
      <w:pPr>
        <w:widowControl/>
        <w:jc w:val="center"/>
        <w:rPr>
          <w:rFonts w:ascii="宋体" w:hAnsi="宋体"/>
          <w:b/>
          <w:color w:val="000000"/>
          <w:sz w:val="36"/>
          <w:szCs w:val="36"/>
        </w:rPr>
      </w:pPr>
      <w:r>
        <w:rPr>
          <w:rFonts w:hint="eastAsia" w:ascii="宋体" w:hAnsi="宋体"/>
          <w:b/>
          <w:color w:val="000000"/>
          <w:sz w:val="36"/>
          <w:szCs w:val="36"/>
        </w:rPr>
        <w:t>目</w:t>
      </w:r>
      <w:r>
        <w:rPr>
          <w:rFonts w:ascii="宋体" w:hAnsi="宋体"/>
          <w:b/>
          <w:color w:val="000000"/>
          <w:sz w:val="36"/>
          <w:szCs w:val="36"/>
        </w:rPr>
        <w:t xml:space="preserve">      </w:t>
      </w:r>
      <w:r>
        <w:rPr>
          <w:rFonts w:hint="eastAsia" w:ascii="宋体" w:hAnsi="宋体"/>
          <w:b/>
          <w:color w:val="000000"/>
          <w:sz w:val="36"/>
          <w:szCs w:val="36"/>
        </w:rPr>
        <w:t>录</w:t>
      </w:r>
    </w:p>
    <w:p>
      <w:pPr>
        <w:rPr>
          <w:rFonts w:ascii="宋体" w:hAnsi="宋体"/>
          <w:color w:val="000000"/>
        </w:rPr>
      </w:pPr>
    </w:p>
    <w:p>
      <w:pPr>
        <w:pStyle w:val="9"/>
        <w:rPr>
          <w:rFonts w:asciiTheme="minorHAnsi" w:hAnsiTheme="minorHAnsi" w:eastAsiaTheme="minorEastAsia" w:cstheme="minorBidi"/>
          <w:b w:val="0"/>
          <w:sz w:val="21"/>
          <w:szCs w:val="22"/>
        </w:rPr>
      </w:pPr>
      <w:r>
        <w:rPr>
          <w:b w:val="0"/>
          <w:color w:val="000000"/>
        </w:rPr>
        <w:fldChar w:fldCharType="begin"/>
      </w:r>
      <w:r>
        <w:rPr>
          <w:b w:val="0"/>
          <w:color w:val="000000"/>
        </w:rPr>
        <w:instrText xml:space="preserve"> TOC \o "1-1" \h \z \u </w:instrText>
      </w:r>
      <w:r>
        <w:rPr>
          <w:b w:val="0"/>
          <w:color w:val="000000"/>
        </w:rPr>
        <w:fldChar w:fldCharType="separate"/>
      </w:r>
      <w:r>
        <w:fldChar w:fldCharType="begin"/>
      </w:r>
      <w:r>
        <w:instrText xml:space="preserve"> HYPERLINK \l "_Toc226018951" </w:instrText>
      </w:r>
      <w:r>
        <w:fldChar w:fldCharType="separate"/>
      </w:r>
      <w:r>
        <w:rPr>
          <w:rStyle w:val="15"/>
          <w:rFonts w:hint="eastAsia" w:ascii="宋体" w:hAnsi="宋体"/>
        </w:rPr>
        <w:t>第一章</w:t>
      </w:r>
      <w:r>
        <w:rPr>
          <w:rStyle w:val="15"/>
          <w:rFonts w:ascii="宋体" w:hAnsi="宋体"/>
        </w:rPr>
        <w:t xml:space="preserve">   </w:t>
      </w:r>
      <w:r>
        <w:rPr>
          <w:rStyle w:val="15"/>
          <w:rFonts w:hint="eastAsia" w:ascii="宋体" w:hAnsi="宋体"/>
        </w:rPr>
        <w:t>采购邀请</w:t>
      </w:r>
      <w:r>
        <w:tab/>
      </w:r>
      <w:r>
        <w:fldChar w:fldCharType="begin"/>
      </w:r>
      <w:r>
        <w:instrText xml:space="preserve"> PAGEREF _Toc226018951 \h </w:instrText>
      </w:r>
      <w:r>
        <w:fldChar w:fldCharType="separate"/>
      </w:r>
      <w:r>
        <w:t>2</w:t>
      </w:r>
      <w:r>
        <w:fldChar w:fldCharType="end"/>
      </w:r>
      <w:r>
        <w:fldChar w:fldCharType="end"/>
      </w:r>
    </w:p>
    <w:p>
      <w:pPr>
        <w:pStyle w:val="9"/>
        <w:rPr>
          <w:rFonts w:asciiTheme="minorHAnsi" w:hAnsiTheme="minorHAnsi" w:eastAsiaTheme="minorEastAsia" w:cstheme="minorBidi"/>
          <w:b w:val="0"/>
          <w:sz w:val="21"/>
          <w:szCs w:val="22"/>
        </w:rPr>
      </w:pPr>
      <w:r>
        <w:fldChar w:fldCharType="begin"/>
      </w:r>
      <w:r>
        <w:instrText xml:space="preserve"> HYPERLINK \l "_Toc226018952" </w:instrText>
      </w:r>
      <w:r>
        <w:fldChar w:fldCharType="separate"/>
      </w:r>
      <w:r>
        <w:rPr>
          <w:rStyle w:val="15"/>
          <w:rFonts w:hint="eastAsia" w:ascii="宋体" w:hAnsi="宋体"/>
        </w:rPr>
        <w:t>第二章</w:t>
      </w:r>
      <w:r>
        <w:rPr>
          <w:rStyle w:val="15"/>
          <w:rFonts w:ascii="宋体" w:hAnsi="宋体"/>
        </w:rPr>
        <w:t xml:space="preserve">   </w:t>
      </w:r>
      <w:r>
        <w:rPr>
          <w:rStyle w:val="15"/>
          <w:rFonts w:hint="eastAsia" w:ascii="宋体" w:hAnsi="宋体"/>
        </w:rPr>
        <w:t>供应商须知</w:t>
      </w:r>
      <w:r>
        <w:tab/>
      </w:r>
      <w:r>
        <w:fldChar w:fldCharType="begin"/>
      </w:r>
      <w:r>
        <w:instrText xml:space="preserve"> PAGEREF _Toc226018952 \h </w:instrText>
      </w:r>
      <w:r>
        <w:fldChar w:fldCharType="separate"/>
      </w:r>
      <w:r>
        <w:t>7</w:t>
      </w:r>
      <w:r>
        <w:fldChar w:fldCharType="end"/>
      </w:r>
      <w:r>
        <w:fldChar w:fldCharType="end"/>
      </w:r>
    </w:p>
    <w:p>
      <w:pPr>
        <w:pStyle w:val="9"/>
        <w:rPr>
          <w:rFonts w:asciiTheme="minorHAnsi" w:hAnsiTheme="minorHAnsi" w:eastAsiaTheme="minorEastAsia" w:cstheme="minorBidi"/>
          <w:b w:val="0"/>
          <w:sz w:val="21"/>
          <w:szCs w:val="22"/>
        </w:rPr>
      </w:pPr>
      <w:r>
        <w:fldChar w:fldCharType="begin"/>
      </w:r>
      <w:r>
        <w:instrText xml:space="preserve"> HYPERLINK \l "_Toc226018953" </w:instrText>
      </w:r>
      <w:r>
        <w:fldChar w:fldCharType="separate"/>
      </w:r>
      <w:r>
        <w:rPr>
          <w:rStyle w:val="15"/>
          <w:rFonts w:hint="eastAsia" w:ascii="宋体" w:hAnsi="宋体"/>
        </w:rPr>
        <w:t>第三章</w:t>
      </w:r>
      <w:r>
        <w:rPr>
          <w:rStyle w:val="15"/>
          <w:rFonts w:ascii="宋体" w:hAnsi="宋体"/>
        </w:rPr>
        <w:t xml:space="preserve">   </w:t>
      </w:r>
      <w:r>
        <w:rPr>
          <w:rStyle w:val="15"/>
          <w:rFonts w:hint="eastAsia" w:ascii="宋体" w:hAnsi="宋体"/>
        </w:rPr>
        <w:t>评审方法和评审标准</w:t>
      </w:r>
      <w:r>
        <w:tab/>
      </w:r>
      <w:r>
        <w:fldChar w:fldCharType="begin"/>
      </w:r>
      <w:r>
        <w:instrText xml:space="preserve"> PAGEREF _Toc226018953 \h </w:instrText>
      </w:r>
      <w:r>
        <w:fldChar w:fldCharType="separate"/>
      </w:r>
      <w:r>
        <w:t>24</w:t>
      </w:r>
      <w:r>
        <w:fldChar w:fldCharType="end"/>
      </w:r>
      <w:r>
        <w:fldChar w:fldCharType="end"/>
      </w:r>
    </w:p>
    <w:p>
      <w:pPr>
        <w:pStyle w:val="9"/>
        <w:rPr>
          <w:rFonts w:asciiTheme="minorHAnsi" w:hAnsiTheme="minorHAnsi" w:eastAsiaTheme="minorEastAsia" w:cstheme="minorBidi"/>
          <w:b w:val="0"/>
          <w:sz w:val="21"/>
          <w:szCs w:val="22"/>
        </w:rPr>
      </w:pPr>
      <w:r>
        <w:fldChar w:fldCharType="begin"/>
      </w:r>
      <w:r>
        <w:instrText xml:space="preserve"> HYPERLINK \l "_Toc226018954" </w:instrText>
      </w:r>
      <w:r>
        <w:fldChar w:fldCharType="separate"/>
      </w:r>
      <w:r>
        <w:rPr>
          <w:rStyle w:val="15"/>
          <w:rFonts w:hint="eastAsia" w:ascii="宋体" w:hAnsi="宋体"/>
        </w:rPr>
        <w:t>第四章</w:t>
      </w:r>
      <w:r>
        <w:rPr>
          <w:rStyle w:val="15"/>
          <w:rFonts w:ascii="宋体" w:hAnsi="宋体"/>
        </w:rPr>
        <w:t xml:space="preserve">   </w:t>
      </w:r>
      <w:r>
        <w:rPr>
          <w:rStyle w:val="15"/>
          <w:rFonts w:hint="eastAsia" w:ascii="宋体" w:hAnsi="宋体"/>
        </w:rPr>
        <w:t>采购需求</w:t>
      </w:r>
      <w:r>
        <w:tab/>
      </w:r>
      <w:r>
        <w:fldChar w:fldCharType="begin"/>
      </w:r>
      <w:r>
        <w:instrText xml:space="preserve"> PAGEREF _Toc226018954 \h </w:instrText>
      </w:r>
      <w:r>
        <w:fldChar w:fldCharType="separate"/>
      </w:r>
      <w:r>
        <w:t>35</w:t>
      </w:r>
      <w:r>
        <w:fldChar w:fldCharType="end"/>
      </w:r>
      <w:r>
        <w:fldChar w:fldCharType="end"/>
      </w:r>
    </w:p>
    <w:p>
      <w:pPr>
        <w:pStyle w:val="9"/>
        <w:rPr>
          <w:rFonts w:asciiTheme="minorHAnsi" w:hAnsiTheme="minorHAnsi" w:eastAsiaTheme="minorEastAsia" w:cstheme="minorBidi"/>
          <w:b w:val="0"/>
          <w:sz w:val="21"/>
          <w:szCs w:val="22"/>
        </w:rPr>
      </w:pPr>
      <w:r>
        <w:fldChar w:fldCharType="begin"/>
      </w:r>
      <w:r>
        <w:instrText xml:space="preserve"> HYPERLINK \l "_Toc226018955" </w:instrText>
      </w:r>
      <w:r>
        <w:fldChar w:fldCharType="separate"/>
      </w:r>
      <w:r>
        <w:rPr>
          <w:rStyle w:val="15"/>
          <w:rFonts w:hint="eastAsia" w:ascii="宋体" w:hAnsi="宋体"/>
        </w:rPr>
        <w:t>第五章</w:t>
      </w:r>
      <w:r>
        <w:rPr>
          <w:rStyle w:val="15"/>
          <w:rFonts w:ascii="宋体" w:hAnsi="宋体"/>
        </w:rPr>
        <w:t xml:space="preserve">   </w:t>
      </w:r>
      <w:r>
        <w:rPr>
          <w:rStyle w:val="15"/>
          <w:rFonts w:hint="eastAsia" w:ascii="宋体" w:hAnsi="宋体"/>
        </w:rPr>
        <w:t>合同草案条款</w:t>
      </w:r>
      <w:r>
        <w:tab/>
      </w:r>
      <w:r>
        <w:fldChar w:fldCharType="begin"/>
      </w:r>
      <w:r>
        <w:instrText xml:space="preserve"> PAGEREF _Toc226018955 \h </w:instrText>
      </w:r>
      <w:r>
        <w:fldChar w:fldCharType="separate"/>
      </w:r>
      <w:r>
        <w:t>45</w:t>
      </w:r>
      <w:r>
        <w:fldChar w:fldCharType="end"/>
      </w:r>
      <w:r>
        <w:fldChar w:fldCharType="end"/>
      </w:r>
    </w:p>
    <w:p>
      <w:pPr>
        <w:pStyle w:val="9"/>
        <w:rPr>
          <w:rFonts w:asciiTheme="minorHAnsi" w:hAnsiTheme="minorHAnsi" w:eastAsiaTheme="minorEastAsia" w:cstheme="minorBidi"/>
          <w:b w:val="0"/>
          <w:sz w:val="21"/>
          <w:szCs w:val="22"/>
        </w:rPr>
      </w:pPr>
      <w:r>
        <w:fldChar w:fldCharType="begin"/>
      </w:r>
      <w:r>
        <w:instrText xml:space="preserve"> HYPERLINK \l "_Toc226018956" </w:instrText>
      </w:r>
      <w:r>
        <w:fldChar w:fldCharType="separate"/>
      </w:r>
      <w:r>
        <w:rPr>
          <w:rStyle w:val="15"/>
          <w:rFonts w:hint="eastAsia" w:ascii="宋体" w:hAnsi="宋体"/>
        </w:rPr>
        <w:t>第六章</w:t>
      </w:r>
      <w:r>
        <w:rPr>
          <w:rStyle w:val="15"/>
          <w:rFonts w:ascii="宋体" w:hAnsi="宋体"/>
        </w:rPr>
        <w:t xml:space="preserve">   </w:t>
      </w:r>
      <w:r>
        <w:rPr>
          <w:rStyle w:val="15"/>
          <w:rFonts w:hint="eastAsia" w:ascii="宋体" w:hAnsi="宋体"/>
        </w:rPr>
        <w:t>响应文件格式</w:t>
      </w:r>
      <w:r>
        <w:tab/>
      </w:r>
      <w:r>
        <w:fldChar w:fldCharType="begin"/>
      </w:r>
      <w:r>
        <w:instrText xml:space="preserve"> PAGEREF _Toc226018956 \h </w:instrText>
      </w:r>
      <w:r>
        <w:fldChar w:fldCharType="separate"/>
      </w:r>
      <w:r>
        <w:t>73</w:t>
      </w:r>
      <w:r>
        <w:fldChar w:fldCharType="end"/>
      </w:r>
      <w:r>
        <w:fldChar w:fldCharType="end"/>
      </w:r>
    </w:p>
    <w:p>
      <w:pPr>
        <w:rPr>
          <w:rFonts w:ascii="宋体" w:hAnsi="宋体"/>
          <w:color w:val="000000"/>
        </w:rPr>
      </w:pPr>
      <w:r>
        <w:rPr>
          <w:rFonts w:ascii="宋体" w:hAnsi="宋体"/>
          <w:color w:val="000000"/>
        </w:rPr>
        <w:fldChar w:fldCharType="end"/>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r>
        <w:rPr>
          <w:rFonts w:ascii="宋体" w:hAnsi="宋体"/>
          <w:color w:val="000000"/>
        </w:rPr>
        <w:br w:type="page"/>
      </w:r>
    </w:p>
    <w:p>
      <w:pPr>
        <w:pStyle w:val="2"/>
      </w:pPr>
    </w:p>
    <w:p>
      <w:pPr>
        <w:spacing w:line="360" w:lineRule="auto"/>
        <w:jc w:val="center"/>
        <w:outlineLvl w:val="0"/>
        <w:rPr>
          <w:rFonts w:ascii="宋体" w:hAnsi="宋体"/>
          <w:b/>
          <w:color w:val="000000"/>
          <w:sz w:val="36"/>
          <w:szCs w:val="36"/>
        </w:rPr>
      </w:pPr>
      <w:bookmarkStart w:id="0" w:name="_Toc226018951"/>
      <w:r>
        <w:rPr>
          <w:rFonts w:ascii="宋体" w:hAnsi="宋体"/>
          <w:b/>
          <w:color w:val="000000"/>
          <w:sz w:val="36"/>
          <w:szCs w:val="36"/>
        </w:rPr>
        <w:t>第一章   采购邀请</w:t>
      </w:r>
      <w:bookmarkEnd w:id="0"/>
      <w:bookmarkStart w:id="1" w:name="_Hlk24379207"/>
      <w:bookmarkStart w:id="2" w:name="_Toc35393621"/>
      <w:bookmarkStart w:id="3" w:name="_Toc35393790"/>
      <w:bookmarkStart w:id="4" w:name="_Toc28359002"/>
      <w:bookmarkStart w:id="5" w:name="_Toc28359079"/>
    </w:p>
    <w:p>
      <w:pPr>
        <w:pStyle w:val="3"/>
        <w:spacing w:before="0" w:line="360" w:lineRule="auto"/>
        <w:jc w:val="left"/>
        <w:rPr>
          <w:rFonts w:ascii="宋体" w:hAnsi="宋体" w:eastAsia="宋体"/>
          <w:color w:val="000000"/>
          <w:sz w:val="24"/>
          <w:szCs w:val="24"/>
        </w:rPr>
      </w:pPr>
      <w:r>
        <w:rPr>
          <w:rFonts w:ascii="宋体" w:hAnsi="宋体" w:eastAsia="宋体"/>
          <w:color w:val="000000"/>
          <w:sz w:val="24"/>
          <w:szCs w:val="24"/>
        </w:rPr>
        <w:t>一、项目基本情况</w:t>
      </w:r>
    </w:p>
    <w:p>
      <w:pPr>
        <w:spacing w:line="360" w:lineRule="auto"/>
        <w:ind w:firstLine="482" w:firstLineChars="200"/>
        <w:rPr>
          <w:rFonts w:hint="default" w:ascii="宋体" w:hAnsi="宋体" w:eastAsia="宋体"/>
          <w:b/>
          <w:bCs/>
          <w:color w:val="000000"/>
          <w:sz w:val="24"/>
          <w:highlight w:val="none"/>
          <w:lang w:val="en-US" w:eastAsia="zh-CN"/>
        </w:rPr>
      </w:pPr>
      <w:r>
        <w:rPr>
          <w:rFonts w:ascii="宋体" w:hAnsi="宋体"/>
          <w:b/>
          <w:bCs/>
          <w:color w:val="000000"/>
          <w:sz w:val="24"/>
          <w:highlight w:val="none"/>
        </w:rPr>
        <w:t>1.项目编号：</w:t>
      </w:r>
      <w:r>
        <w:rPr>
          <w:rFonts w:ascii="宋体" w:hAnsi="宋体"/>
          <w:b/>
          <w:bCs/>
          <w:color w:val="000000"/>
          <w:sz w:val="24"/>
          <w:highlight w:val="none"/>
          <w:u w:val="single"/>
        </w:rPr>
        <w:t>PGCGZX--</w:t>
      </w:r>
      <w:r>
        <w:rPr>
          <w:rFonts w:hint="eastAsia" w:ascii="宋体" w:hAnsi="宋体"/>
          <w:b/>
          <w:bCs/>
          <w:color w:val="000000"/>
          <w:sz w:val="24"/>
          <w:highlight w:val="none"/>
          <w:u w:val="single"/>
          <w:lang w:val="en-US" w:eastAsia="zh-CN"/>
        </w:rPr>
        <w:t>26004</w:t>
      </w:r>
    </w:p>
    <w:p>
      <w:pPr>
        <w:spacing w:line="360" w:lineRule="auto"/>
        <w:ind w:firstLine="480" w:firstLineChars="200"/>
        <w:rPr>
          <w:rFonts w:ascii="宋体" w:hAnsi="宋体"/>
          <w:color w:val="000000"/>
          <w:sz w:val="24"/>
          <w:u w:val="single"/>
        </w:rPr>
      </w:pPr>
      <w:r>
        <w:rPr>
          <w:rFonts w:ascii="宋体" w:hAnsi="宋体"/>
          <w:color w:val="000000"/>
          <w:sz w:val="24"/>
        </w:rPr>
        <w:t>2.项目名称：</w:t>
      </w:r>
      <w:r>
        <w:rPr>
          <w:rFonts w:hint="eastAsia" w:ascii="宋体" w:hAnsi="宋体" w:eastAsia="宋体" w:cs="Times New Roman"/>
          <w:color w:val="000000"/>
          <w:sz w:val="24"/>
          <w:u w:val="single"/>
          <w:lang w:val="en-US" w:eastAsia="zh-CN"/>
        </w:rPr>
        <w:t xml:space="preserve">2026年博物馆物业管理服务采购项目 </w:t>
      </w:r>
    </w:p>
    <w:p>
      <w:pPr>
        <w:spacing w:line="360" w:lineRule="auto"/>
        <w:ind w:firstLine="480" w:firstLineChars="200"/>
        <w:rPr>
          <w:rFonts w:ascii="宋体" w:hAnsi="宋体"/>
          <w:color w:val="000000"/>
          <w:sz w:val="24"/>
        </w:rPr>
      </w:pPr>
      <w:r>
        <w:rPr>
          <w:rFonts w:ascii="宋体" w:hAnsi="宋体"/>
          <w:color w:val="000000"/>
          <w:sz w:val="24"/>
        </w:rPr>
        <w:t>3.采购方式：</w:t>
      </w:r>
      <w:r>
        <w:rPr>
          <w:rFonts w:ascii="宋体" w:hAnsi="宋体"/>
          <w:color w:val="000000"/>
          <w:sz w:val="24"/>
          <w:u w:val="single"/>
        </w:rPr>
        <w:t>竞争性磋商</w:t>
      </w:r>
    </w:p>
    <w:p>
      <w:pPr>
        <w:spacing w:line="360" w:lineRule="auto"/>
        <w:ind w:firstLine="480" w:firstLineChars="200"/>
        <w:rPr>
          <w:rFonts w:ascii="宋体" w:hAnsi="宋体"/>
          <w:color w:val="000000"/>
          <w:sz w:val="24"/>
        </w:rPr>
      </w:pPr>
      <w:r>
        <w:rPr>
          <w:rFonts w:ascii="宋体" w:hAnsi="宋体"/>
          <w:color w:val="000000"/>
          <w:sz w:val="24"/>
        </w:rPr>
        <w:t>4.项目预算金额：</w:t>
      </w:r>
      <w:r>
        <w:rPr>
          <w:rFonts w:hint="eastAsia" w:ascii="宋体" w:hAnsi="宋体"/>
          <w:color w:val="000000"/>
          <w:sz w:val="24"/>
          <w:u w:val="single"/>
          <w:lang w:val="en-US" w:eastAsia="zh-CN"/>
        </w:rPr>
        <w:t xml:space="preserve"> 195 </w:t>
      </w:r>
      <w:r>
        <w:rPr>
          <w:rFonts w:hint="eastAsia" w:ascii="宋体" w:hAnsi="宋体"/>
          <w:color w:val="000000"/>
          <w:sz w:val="24"/>
          <w:lang w:val="en-US" w:eastAsia="zh-CN"/>
        </w:rPr>
        <w:t xml:space="preserve"> </w:t>
      </w:r>
      <w:r>
        <w:rPr>
          <w:rFonts w:ascii="宋体" w:hAnsi="宋体"/>
          <w:color w:val="000000"/>
          <w:sz w:val="24"/>
        </w:rPr>
        <w:t>万元、项目最高限价（如有）：</w:t>
      </w:r>
      <w:r>
        <w:rPr>
          <w:rFonts w:hint="eastAsia" w:ascii="宋体" w:hAnsi="宋体"/>
          <w:color w:val="000000"/>
          <w:sz w:val="24"/>
          <w:u w:val="single"/>
          <w:lang w:val="en-US" w:eastAsia="zh-CN"/>
        </w:rPr>
        <w:t>195</w:t>
      </w:r>
      <w:r>
        <w:rPr>
          <w:rFonts w:hint="eastAsia" w:ascii="宋体" w:hAnsi="宋体"/>
          <w:color w:val="000000"/>
          <w:sz w:val="24"/>
          <w:lang w:val="en-US" w:eastAsia="zh-CN"/>
        </w:rPr>
        <w:t xml:space="preserve">  </w:t>
      </w:r>
      <w:r>
        <w:rPr>
          <w:rFonts w:ascii="宋体" w:hAnsi="宋体"/>
          <w:color w:val="000000"/>
          <w:sz w:val="24"/>
          <w:highlight w:val="none"/>
        </w:rPr>
        <w:t>万元</w:t>
      </w:r>
    </w:p>
    <w:p>
      <w:pPr>
        <w:spacing w:line="360" w:lineRule="auto"/>
        <w:ind w:firstLine="480" w:firstLineChars="200"/>
        <w:rPr>
          <w:rFonts w:ascii="宋体" w:hAnsi="宋体"/>
          <w:color w:val="000000"/>
          <w:sz w:val="24"/>
        </w:rPr>
      </w:pPr>
      <w:r>
        <w:rPr>
          <w:rFonts w:ascii="宋体" w:hAnsi="宋体"/>
          <w:color w:val="000000"/>
          <w:sz w:val="24"/>
        </w:rPr>
        <w:t>5.采购需求：</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661"/>
        <w:gridCol w:w="1114"/>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456" w:type="dxa"/>
            <w:vAlign w:val="center"/>
          </w:tcPr>
          <w:p>
            <w:pPr>
              <w:jc w:val="center"/>
              <w:rPr>
                <w:rFonts w:ascii="宋体" w:hAnsi="宋体"/>
                <w:bCs/>
                <w:color w:val="000000"/>
                <w:sz w:val="24"/>
              </w:rPr>
            </w:pPr>
            <w:r>
              <w:rPr>
                <w:rFonts w:ascii="宋体" w:hAnsi="宋体"/>
                <w:bCs/>
                <w:color w:val="000000"/>
                <w:sz w:val="24"/>
              </w:rPr>
              <w:t>标的名称</w:t>
            </w:r>
          </w:p>
        </w:tc>
        <w:tc>
          <w:tcPr>
            <w:tcW w:w="1661" w:type="dxa"/>
            <w:vAlign w:val="center"/>
          </w:tcPr>
          <w:p>
            <w:pPr>
              <w:jc w:val="center"/>
              <w:rPr>
                <w:rFonts w:ascii="宋体" w:hAnsi="宋体"/>
                <w:bCs/>
                <w:color w:val="000000"/>
                <w:sz w:val="24"/>
              </w:rPr>
            </w:pPr>
            <w:r>
              <w:rPr>
                <w:rFonts w:ascii="宋体" w:hAnsi="宋体"/>
                <w:bCs/>
                <w:color w:val="000000"/>
                <w:sz w:val="24"/>
              </w:rPr>
              <w:t>预算金额</w:t>
            </w:r>
          </w:p>
          <w:p>
            <w:pPr>
              <w:jc w:val="center"/>
              <w:rPr>
                <w:rFonts w:ascii="宋体" w:hAnsi="宋体"/>
                <w:bCs/>
                <w:color w:val="000000"/>
                <w:sz w:val="24"/>
              </w:rPr>
            </w:pPr>
            <w:r>
              <w:rPr>
                <w:rFonts w:ascii="宋体" w:hAnsi="宋体"/>
                <w:bCs/>
                <w:color w:val="000000"/>
                <w:sz w:val="24"/>
              </w:rPr>
              <w:t>（万元）</w:t>
            </w:r>
          </w:p>
        </w:tc>
        <w:tc>
          <w:tcPr>
            <w:tcW w:w="1114" w:type="dxa"/>
            <w:vAlign w:val="center"/>
          </w:tcPr>
          <w:p>
            <w:pPr>
              <w:jc w:val="center"/>
              <w:rPr>
                <w:rFonts w:ascii="宋体" w:hAnsi="宋体"/>
                <w:bCs/>
                <w:color w:val="000000"/>
                <w:sz w:val="24"/>
              </w:rPr>
            </w:pPr>
            <w:r>
              <w:rPr>
                <w:rFonts w:ascii="宋体" w:hAnsi="宋体"/>
                <w:bCs/>
                <w:color w:val="000000"/>
                <w:sz w:val="24"/>
              </w:rPr>
              <w:t>数量</w:t>
            </w:r>
          </w:p>
        </w:tc>
        <w:tc>
          <w:tcPr>
            <w:tcW w:w="3830" w:type="dxa"/>
            <w:vAlign w:val="center"/>
          </w:tcPr>
          <w:p>
            <w:pPr>
              <w:jc w:val="center"/>
              <w:rPr>
                <w:rFonts w:ascii="宋体" w:hAnsi="宋体"/>
                <w:color w:val="000000"/>
                <w:sz w:val="24"/>
              </w:rPr>
            </w:pPr>
            <w:r>
              <w:rPr>
                <w:rFonts w:ascii="宋体" w:hAnsi="宋体"/>
                <w:color w:val="000000"/>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2" w:hRule="atLeast"/>
        </w:trPr>
        <w:tc>
          <w:tcPr>
            <w:tcW w:w="2456" w:type="dxa"/>
            <w:vAlign w:val="center"/>
          </w:tcPr>
          <w:p>
            <w:pPr>
              <w:jc w:val="center"/>
              <w:rPr>
                <w:rFonts w:ascii="宋体" w:hAnsi="宋体"/>
                <w:bCs/>
                <w:color w:val="000000"/>
                <w:sz w:val="24"/>
              </w:rPr>
            </w:pPr>
            <w:r>
              <w:rPr>
                <w:rFonts w:hint="eastAsia" w:ascii="宋体" w:hAnsi="宋体" w:eastAsia="宋体" w:cs="Times New Roman"/>
                <w:color w:val="000000"/>
                <w:sz w:val="24"/>
                <w:lang w:val="en-US" w:eastAsia="zh-CN"/>
              </w:rPr>
              <w:t>2026年博物馆物业管理服务采购项目</w:t>
            </w:r>
          </w:p>
        </w:tc>
        <w:tc>
          <w:tcPr>
            <w:tcW w:w="1661" w:type="dxa"/>
            <w:vAlign w:val="center"/>
          </w:tcPr>
          <w:p>
            <w:pPr>
              <w:jc w:val="center"/>
              <w:rPr>
                <w:rFonts w:hint="default" w:ascii="宋体" w:hAnsi="宋体" w:eastAsia="宋体"/>
                <w:bCs/>
                <w:color w:val="000000"/>
                <w:sz w:val="24"/>
                <w:lang w:val="en-US" w:eastAsia="zh-CN"/>
              </w:rPr>
            </w:pPr>
            <w:r>
              <w:rPr>
                <w:rFonts w:hint="eastAsia" w:ascii="宋体" w:hAnsi="宋体"/>
                <w:bCs/>
                <w:color w:val="000000"/>
                <w:sz w:val="24"/>
                <w:lang w:val="en-US" w:eastAsia="zh-CN"/>
              </w:rPr>
              <w:t>195</w:t>
            </w:r>
          </w:p>
        </w:tc>
        <w:tc>
          <w:tcPr>
            <w:tcW w:w="1114" w:type="dxa"/>
            <w:vAlign w:val="center"/>
          </w:tcPr>
          <w:p>
            <w:pPr>
              <w:jc w:val="center"/>
              <w:rPr>
                <w:rFonts w:ascii="宋体" w:hAnsi="宋体"/>
                <w:bCs/>
                <w:color w:val="000000"/>
                <w:sz w:val="24"/>
              </w:rPr>
            </w:pPr>
            <w:r>
              <w:rPr>
                <w:rFonts w:hint="eastAsia" w:ascii="宋体" w:hAnsi="宋体"/>
                <w:bCs/>
                <w:color w:val="000000"/>
                <w:sz w:val="24"/>
              </w:rPr>
              <w:t>1项</w:t>
            </w:r>
          </w:p>
        </w:tc>
        <w:tc>
          <w:tcPr>
            <w:tcW w:w="3830" w:type="dxa"/>
            <w:vAlign w:val="center"/>
          </w:tcPr>
          <w:p>
            <w:pPr>
              <w:jc w:val="center"/>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包括博物馆公共区域保洁、水电等公共设施的维修维护、消防中控运行值班、高压配电室运行值班、中央空调机组运行值班、绿化养护等工作内容。详见采购需求。</w:t>
            </w:r>
          </w:p>
          <w:p>
            <w:pPr>
              <w:jc w:val="left"/>
              <w:rPr>
                <w:rFonts w:ascii="宋体" w:hAnsi="宋体"/>
                <w:color w:val="000000"/>
                <w:kern w:val="0"/>
                <w:sz w:val="24"/>
              </w:rPr>
            </w:pPr>
          </w:p>
        </w:tc>
      </w:tr>
    </w:tbl>
    <w:p>
      <w:pPr>
        <w:spacing w:line="360" w:lineRule="auto"/>
        <w:ind w:firstLine="480" w:firstLineChars="200"/>
        <w:rPr>
          <w:rFonts w:ascii="宋体" w:hAnsi="宋体"/>
          <w:sz w:val="24"/>
        </w:rPr>
      </w:pPr>
      <w:r>
        <w:rPr>
          <w:rFonts w:ascii="宋体" w:hAnsi="宋体"/>
          <w:sz w:val="24"/>
          <w:highlight w:val="green"/>
        </w:rPr>
        <w:t>注：超出本项目最高限价的供应商将被拒绝。</w:t>
      </w:r>
    </w:p>
    <w:p>
      <w:pPr>
        <w:spacing w:line="360" w:lineRule="auto"/>
        <w:ind w:firstLine="960" w:firstLineChars="400"/>
        <w:rPr>
          <w:rFonts w:ascii="宋体" w:hAnsi="宋体"/>
          <w:sz w:val="24"/>
        </w:rPr>
      </w:pPr>
      <w:r>
        <w:rPr>
          <w:rFonts w:hint="eastAsia"/>
          <w:sz w:val="24"/>
        </w:rPr>
        <w:t>仅划分 1 个采购包的项目，投标人编制投标文件可以不填写包号。</w:t>
      </w:r>
    </w:p>
    <w:p>
      <w:pPr>
        <w:spacing w:line="360" w:lineRule="auto"/>
        <w:ind w:firstLine="480" w:firstLineChars="200"/>
        <w:rPr>
          <w:rFonts w:ascii="宋体" w:hAnsi="宋体"/>
          <w:sz w:val="24"/>
          <w:u w:val="single"/>
        </w:rPr>
      </w:pPr>
      <w:r>
        <w:rPr>
          <w:rFonts w:ascii="宋体" w:hAnsi="宋体"/>
          <w:sz w:val="24"/>
        </w:rPr>
        <w:t>6.合同履行期限：</w:t>
      </w:r>
      <w:r>
        <w:rPr>
          <w:rFonts w:ascii="宋体" w:hAnsi="宋体" w:eastAsia="宋体"/>
          <w:sz w:val="28"/>
          <w:szCs w:val="28"/>
          <w:u w:val="single"/>
          <w:lang w:eastAsia="zh-CN"/>
        </w:rPr>
        <w:t>自</w:t>
      </w:r>
      <w:r>
        <w:rPr>
          <w:rFonts w:hint="eastAsia" w:ascii="宋体" w:hAnsi="宋体" w:eastAsia="宋体"/>
          <w:sz w:val="28"/>
          <w:szCs w:val="28"/>
          <w:u w:val="single"/>
          <w:lang w:val="en-US" w:eastAsia="zh-CN"/>
        </w:rPr>
        <w:t>2026</w:t>
      </w:r>
      <w:r>
        <w:rPr>
          <w:rFonts w:ascii="宋体" w:hAnsi="宋体" w:eastAsia="宋体"/>
          <w:sz w:val="28"/>
          <w:szCs w:val="28"/>
          <w:u w:val="single"/>
          <w:lang w:eastAsia="zh-CN"/>
        </w:rPr>
        <w:t>年</w:t>
      </w:r>
      <w:r>
        <w:rPr>
          <w:rFonts w:hint="eastAsia" w:ascii="宋体" w:hAnsi="宋体" w:eastAsia="宋体"/>
          <w:sz w:val="28"/>
          <w:szCs w:val="28"/>
          <w:u w:val="single"/>
          <w:lang w:val="en-US" w:eastAsia="zh-CN"/>
        </w:rPr>
        <w:t>6</w:t>
      </w:r>
      <w:r>
        <w:rPr>
          <w:rFonts w:ascii="宋体" w:hAnsi="宋体" w:eastAsia="宋体"/>
          <w:sz w:val="28"/>
          <w:szCs w:val="28"/>
          <w:u w:val="single"/>
          <w:lang w:eastAsia="zh-CN"/>
        </w:rPr>
        <w:t>月</w:t>
      </w:r>
      <w:r>
        <w:rPr>
          <w:rFonts w:hint="eastAsia" w:ascii="宋体" w:hAnsi="宋体" w:eastAsia="宋体"/>
          <w:sz w:val="28"/>
          <w:szCs w:val="28"/>
          <w:u w:val="single"/>
          <w:lang w:val="en-US" w:eastAsia="zh-CN"/>
        </w:rPr>
        <w:t>7</w:t>
      </w:r>
      <w:r>
        <w:rPr>
          <w:rFonts w:ascii="宋体" w:hAnsi="宋体" w:eastAsia="宋体"/>
          <w:sz w:val="28"/>
          <w:szCs w:val="28"/>
          <w:u w:val="single"/>
          <w:lang w:eastAsia="zh-CN"/>
        </w:rPr>
        <w:t>日至</w:t>
      </w:r>
      <w:r>
        <w:rPr>
          <w:rFonts w:hint="eastAsia" w:ascii="宋体" w:hAnsi="宋体" w:eastAsia="宋体"/>
          <w:sz w:val="28"/>
          <w:szCs w:val="28"/>
          <w:u w:val="single"/>
          <w:lang w:val="en-US" w:eastAsia="zh-CN"/>
        </w:rPr>
        <w:t>2027</w:t>
      </w:r>
      <w:r>
        <w:rPr>
          <w:rFonts w:ascii="宋体" w:hAnsi="宋体" w:eastAsia="宋体"/>
          <w:sz w:val="28"/>
          <w:szCs w:val="28"/>
          <w:u w:val="single"/>
          <w:lang w:eastAsia="zh-CN"/>
        </w:rPr>
        <w:t>年</w:t>
      </w:r>
      <w:r>
        <w:rPr>
          <w:rFonts w:hint="eastAsia" w:ascii="宋体" w:hAnsi="宋体" w:eastAsia="宋体"/>
          <w:sz w:val="28"/>
          <w:szCs w:val="28"/>
          <w:u w:val="single"/>
          <w:lang w:val="en-US" w:eastAsia="zh-CN"/>
        </w:rPr>
        <w:t>6</w:t>
      </w:r>
      <w:r>
        <w:rPr>
          <w:rFonts w:ascii="宋体" w:hAnsi="宋体" w:eastAsia="宋体"/>
          <w:sz w:val="28"/>
          <w:szCs w:val="28"/>
          <w:u w:val="single"/>
          <w:lang w:eastAsia="zh-CN"/>
        </w:rPr>
        <w:t>月</w:t>
      </w:r>
      <w:r>
        <w:rPr>
          <w:rFonts w:hint="eastAsia" w:ascii="宋体" w:hAnsi="宋体" w:eastAsia="宋体"/>
          <w:sz w:val="28"/>
          <w:szCs w:val="28"/>
          <w:u w:val="single"/>
          <w:lang w:val="en-US" w:eastAsia="zh-CN"/>
        </w:rPr>
        <w:t>6</w:t>
      </w:r>
      <w:r>
        <w:rPr>
          <w:rFonts w:ascii="宋体" w:hAnsi="宋体" w:eastAsia="宋体"/>
          <w:sz w:val="28"/>
          <w:szCs w:val="28"/>
          <w:u w:val="single"/>
          <w:lang w:eastAsia="zh-CN"/>
        </w:rPr>
        <w:t>日止</w:t>
      </w:r>
      <w:r>
        <w:rPr>
          <w:rFonts w:ascii="宋体" w:hAnsi="宋体"/>
          <w:sz w:val="24"/>
          <w:u w:val="single"/>
        </w:rPr>
        <w:t xml:space="preserve"> </w:t>
      </w:r>
    </w:p>
    <w:p>
      <w:pPr>
        <w:tabs>
          <w:tab w:val="right" w:pos="8591"/>
        </w:tabs>
        <w:spacing w:line="360" w:lineRule="auto"/>
        <w:ind w:firstLine="480" w:firstLineChars="200"/>
        <w:rPr>
          <w:rFonts w:ascii="宋体" w:hAnsi="宋体"/>
          <w:color w:val="000000"/>
          <w:sz w:val="24"/>
        </w:rPr>
      </w:pPr>
      <w:r>
        <w:rPr>
          <w:rFonts w:ascii="宋体" w:hAnsi="宋体"/>
          <w:color w:val="000000"/>
          <w:sz w:val="24"/>
        </w:rPr>
        <w:t>7.本项目是否接受联合体：</w:t>
      </w:r>
      <w:r>
        <w:rPr>
          <w:rFonts w:hint="eastAsia" w:ascii="宋体" w:hAnsi="宋体"/>
          <w:color w:val="000000"/>
        </w:rPr>
        <w:t>□</w:t>
      </w:r>
      <w:r>
        <w:rPr>
          <w:rFonts w:ascii="宋体" w:hAnsi="宋体"/>
          <w:color w:val="000000"/>
          <w:sz w:val="24"/>
        </w:rPr>
        <w:t xml:space="preserve">是  </w:t>
      </w:r>
      <w:r>
        <w:rPr>
          <w:rFonts w:ascii="宋体" w:hAnsi="宋体"/>
          <w:color w:val="000000"/>
        </w:rPr>
        <w:t>■</w:t>
      </w:r>
      <w:r>
        <w:rPr>
          <w:rFonts w:ascii="宋体" w:hAnsi="宋体"/>
          <w:color w:val="000000"/>
          <w:sz w:val="24"/>
        </w:rPr>
        <w:t>否。</w:t>
      </w:r>
      <w:r>
        <w:rPr>
          <w:rFonts w:hint="eastAsia" w:ascii="宋体" w:hAnsi="宋体"/>
          <w:color w:val="000000"/>
          <w:sz w:val="24"/>
        </w:rPr>
        <w:tab/>
      </w:r>
    </w:p>
    <w:bookmarkEnd w:id="1"/>
    <w:bookmarkEnd w:id="2"/>
    <w:bookmarkEnd w:id="3"/>
    <w:bookmarkEnd w:id="4"/>
    <w:bookmarkEnd w:id="5"/>
    <w:p>
      <w:pPr>
        <w:pStyle w:val="3"/>
        <w:spacing w:before="0" w:line="360" w:lineRule="auto"/>
        <w:jc w:val="left"/>
        <w:rPr>
          <w:rFonts w:ascii="宋体" w:hAnsi="宋体" w:eastAsia="宋体"/>
          <w:color w:val="000000"/>
          <w:sz w:val="24"/>
          <w:szCs w:val="24"/>
        </w:rPr>
      </w:pPr>
      <w:bookmarkStart w:id="6" w:name="_Toc28359080"/>
      <w:bookmarkStart w:id="7" w:name="_Toc35393622"/>
      <w:bookmarkStart w:id="8" w:name="_Toc28359003"/>
      <w:bookmarkStart w:id="9" w:name="_Toc35393791"/>
      <w:r>
        <w:rPr>
          <w:rFonts w:ascii="宋体" w:hAnsi="宋体" w:eastAsia="宋体"/>
          <w:color w:val="000000"/>
          <w:sz w:val="24"/>
          <w:szCs w:val="24"/>
        </w:rPr>
        <w:t>二、申请人的资格要求（须同时满足）</w:t>
      </w:r>
      <w:bookmarkEnd w:id="6"/>
      <w:bookmarkEnd w:id="7"/>
      <w:bookmarkEnd w:id="8"/>
      <w:bookmarkEnd w:id="9"/>
    </w:p>
    <w:p>
      <w:pPr>
        <w:spacing w:line="360" w:lineRule="auto"/>
        <w:ind w:firstLine="480" w:firstLineChars="200"/>
        <w:rPr>
          <w:rFonts w:ascii="宋体" w:hAnsi="宋体"/>
          <w:color w:val="000000"/>
          <w:sz w:val="24"/>
        </w:rPr>
      </w:pPr>
      <w:r>
        <w:rPr>
          <w:rFonts w:ascii="宋体" w:hAnsi="宋体"/>
          <w:color w:val="000000"/>
          <w:sz w:val="24"/>
        </w:rPr>
        <w:t>1.满足《中华人民共和国政府采购法》第二十二条规定；</w:t>
      </w:r>
    </w:p>
    <w:p>
      <w:pPr>
        <w:spacing w:line="360" w:lineRule="auto"/>
        <w:ind w:firstLine="480" w:firstLineChars="200"/>
        <w:rPr>
          <w:rFonts w:ascii="宋体" w:hAnsi="宋体"/>
          <w:color w:val="000000"/>
          <w:sz w:val="24"/>
        </w:rPr>
      </w:pPr>
      <w:bookmarkStart w:id="10" w:name="_Toc28359081"/>
      <w:bookmarkStart w:id="11" w:name="_Toc28359004"/>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20" w:firstLineChars="200"/>
        <w:rPr>
          <w:rFonts w:ascii="宋体" w:hAnsi="宋体"/>
          <w:color w:val="000000"/>
          <w:sz w:val="24"/>
        </w:rPr>
      </w:pPr>
      <w:r>
        <w:rPr>
          <w:rFonts w:ascii="宋体" w:hAnsi="宋体"/>
          <w:color w:val="000000"/>
        </w:rPr>
        <w:t>□</w:t>
      </w:r>
      <w:r>
        <w:rPr>
          <w:rFonts w:ascii="宋体" w:hAnsi="宋体"/>
          <w:color w:val="000000"/>
          <w:sz w:val="24"/>
        </w:rPr>
        <w:t>本项目不专门面向中小企业预留采购份额。</w:t>
      </w:r>
    </w:p>
    <w:p>
      <w:pPr>
        <w:spacing w:line="360" w:lineRule="auto"/>
        <w:ind w:firstLine="420" w:firstLineChars="200"/>
        <w:rPr>
          <w:rFonts w:ascii="宋体" w:hAnsi="宋体"/>
          <w:color w:val="000000"/>
          <w:sz w:val="24"/>
        </w:rPr>
      </w:pPr>
      <w:r>
        <w:rPr>
          <w:rFonts w:ascii="宋体" w:hAnsi="宋体"/>
          <w:color w:val="000000"/>
          <w:highlight w:val="yellow"/>
        </w:rPr>
        <w:t>■</w:t>
      </w:r>
      <w:r>
        <w:rPr>
          <w:rFonts w:ascii="宋体" w:hAnsi="宋体"/>
          <w:color w:val="000000"/>
          <w:sz w:val="24"/>
          <w:highlight w:val="yellow"/>
        </w:rPr>
        <w:t xml:space="preserve">本项目专门面向  </w:t>
      </w:r>
      <w:r>
        <w:rPr>
          <w:rFonts w:ascii="宋体" w:hAnsi="宋体"/>
          <w:color w:val="000000"/>
          <w:highlight w:val="yellow"/>
        </w:rPr>
        <w:t>■</w:t>
      </w:r>
      <w:r>
        <w:rPr>
          <w:rFonts w:ascii="宋体" w:hAnsi="宋体"/>
          <w:color w:val="000000"/>
          <w:sz w:val="24"/>
          <w:highlight w:val="yellow"/>
        </w:rPr>
        <w:t>中小</w:t>
      </w:r>
      <w:r>
        <w:rPr>
          <w:rFonts w:hint="eastAsia" w:ascii="宋体" w:hAnsi="宋体"/>
          <w:color w:val="000000"/>
          <w:sz w:val="24"/>
          <w:highlight w:val="yellow"/>
        </w:rPr>
        <w:t xml:space="preserve"> </w:t>
      </w:r>
      <w:r>
        <w:rPr>
          <w:rFonts w:ascii="宋体" w:hAnsi="宋体"/>
          <w:color w:val="000000"/>
          <w:highlight w:val="yellow"/>
        </w:rPr>
        <w:t>□</w:t>
      </w:r>
      <w:r>
        <w:rPr>
          <w:rFonts w:ascii="宋体" w:hAnsi="宋体"/>
          <w:color w:val="000000"/>
          <w:sz w:val="24"/>
          <w:highlight w:val="yellow"/>
        </w:rPr>
        <w:t>小微企业  采购。即：提供的货物全部由符合政策要</w:t>
      </w:r>
      <w:r>
        <w:rPr>
          <w:rFonts w:ascii="宋体" w:hAnsi="宋体"/>
          <w:color w:val="000000"/>
          <w:sz w:val="24"/>
        </w:rPr>
        <w:t>求的中小/小微企业制造、服务全部由符合政策要求的中小/小微企业承接。</w:t>
      </w:r>
    </w:p>
    <w:p>
      <w:pPr>
        <w:spacing w:line="360" w:lineRule="auto"/>
        <w:ind w:firstLine="420" w:firstLineChars="200"/>
        <w:rPr>
          <w:rFonts w:ascii="宋体" w:hAnsi="宋体"/>
          <w:color w:val="000000"/>
          <w:sz w:val="24"/>
        </w:rPr>
      </w:pPr>
      <w:r>
        <w:rPr>
          <w:rFonts w:ascii="宋体" w:hAnsi="宋体"/>
          <w:color w:val="000000"/>
        </w:rPr>
        <w:t>□</w:t>
      </w:r>
      <w:r>
        <w:rPr>
          <w:rFonts w:ascii="宋体" w:hAnsi="宋体"/>
          <w:color w:val="000000"/>
          <w:sz w:val="24"/>
        </w:rPr>
        <w:t>本项目预留部分采购项目预算专门面向中小企业采购。对于预留份额，提供的货物由符合政策要求的中小企业制造、服务由符合政策要求的中小企业承接。预留份额通过以下措施进行：___</w:t>
      </w:r>
      <w:r>
        <w:rPr>
          <w:rFonts w:ascii="宋体" w:hAnsi="宋体"/>
          <w:color w:val="000000"/>
          <w:sz w:val="24"/>
          <w:u w:val="single"/>
        </w:rPr>
        <w:t>_</w:t>
      </w:r>
      <w:r>
        <w:rPr>
          <w:rFonts w:hint="eastAsia" w:ascii="宋体" w:hAnsi="宋体"/>
          <w:color w:val="000000"/>
          <w:sz w:val="24"/>
          <w:u w:val="single"/>
        </w:rPr>
        <w:t>/</w:t>
      </w:r>
      <w:r>
        <w:rPr>
          <w:rFonts w:ascii="宋体" w:hAnsi="宋体"/>
          <w:color w:val="000000"/>
          <w:sz w:val="24"/>
          <w:u w:val="single"/>
        </w:rPr>
        <w:t>_</w:t>
      </w:r>
      <w:r>
        <w:rPr>
          <w:rFonts w:ascii="宋体" w:hAnsi="宋体"/>
          <w:color w:val="000000"/>
          <w:sz w:val="24"/>
        </w:rPr>
        <w:t>______</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2.2其它落实政府采购政策的资格要求：</w:t>
      </w:r>
      <w:r>
        <w:rPr>
          <w:rFonts w:hint="eastAsia" w:ascii="宋体" w:hAnsi="宋体"/>
          <w:color w:val="000000"/>
          <w:sz w:val="24"/>
          <w:u w:val="single"/>
        </w:rPr>
        <w:t>被“信用中国”网站（www.creditchina.gov.cn）列入失信被执行人、重大税收违法失信主体和政府采购严重违法失信行为记录名单、被“中国政府采购网”（www.ccgp.gov.cn）网站列入政府采购严重违法失信行为信息记录的供应商，拒绝其参与本次政府采购活动</w:t>
      </w:r>
      <w:r>
        <w:rPr>
          <w:rFonts w:hint="eastAsia" w:ascii="宋体" w:hAnsi="宋体"/>
          <w:color w:val="000000"/>
          <w:sz w:val="24"/>
        </w:rPr>
        <w:t>。</w:t>
      </w:r>
    </w:p>
    <w:p>
      <w:pPr>
        <w:spacing w:line="360" w:lineRule="auto"/>
        <w:ind w:firstLine="480" w:firstLineChars="200"/>
        <w:rPr>
          <w:rFonts w:ascii="宋体" w:hAnsi="宋体"/>
          <w:i/>
          <w:iCs/>
          <w:color w:val="000000"/>
          <w:sz w:val="24"/>
          <w:u w:val="single"/>
        </w:rPr>
      </w:pPr>
      <w:r>
        <w:rPr>
          <w:rFonts w:ascii="宋体" w:hAnsi="宋体"/>
          <w:color w:val="000000"/>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color w:val="000000"/>
          <w:sz w:val="24"/>
          <w:highlight w:val="yellow"/>
        </w:rPr>
      </w:pPr>
      <w:r>
        <w:rPr>
          <w:rFonts w:ascii="宋体" w:hAnsi="宋体"/>
          <w:color w:val="000000"/>
          <w:sz w:val="24"/>
          <w:highlight w:val="yellow"/>
        </w:rPr>
        <w:t>3.1本项目是否属于政府购买服务：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color w:val="000000"/>
          <w:sz w:val="24"/>
          <w:highlight w:val="yellow"/>
        </w:rPr>
      </w:pPr>
      <w:r>
        <w:rPr>
          <w:rFonts w:ascii="宋体" w:hAnsi="宋体"/>
          <w:color w:val="000000"/>
          <w:highlight w:val="yellow"/>
        </w:rPr>
        <w:t>■</w:t>
      </w:r>
      <w:r>
        <w:rPr>
          <w:rFonts w:ascii="宋体" w:hAnsi="宋体"/>
          <w:color w:val="000000"/>
          <w:sz w:val="24"/>
          <w:highlight w:val="yellow"/>
        </w:rPr>
        <w:t>否</w:t>
      </w:r>
    </w:p>
    <w:p>
      <w:pPr>
        <w:tabs>
          <w:tab w:val="left" w:pos="900"/>
          <w:tab w:val="left" w:pos="1134"/>
          <w:tab w:val="left" w:pos="1589"/>
          <w:tab w:val="left" w:pos="5521"/>
        </w:tabs>
        <w:snapToGrid w:val="0"/>
        <w:spacing w:line="360" w:lineRule="auto"/>
        <w:ind w:left="991" w:leftChars="472" w:firstLine="2"/>
        <w:rPr>
          <w:rFonts w:ascii="宋体" w:hAnsi="宋体"/>
          <w:color w:val="000000"/>
          <w:sz w:val="24"/>
          <w:highlight w:val="yellow"/>
        </w:rPr>
      </w:pPr>
      <w:r>
        <w:rPr>
          <w:rFonts w:ascii="宋体" w:hAnsi="宋体"/>
          <w:color w:val="000000"/>
          <w:highlight w:val="yellow"/>
        </w:rPr>
        <w:t>□</w:t>
      </w:r>
      <w:r>
        <w:rPr>
          <w:rFonts w:ascii="宋体" w:hAnsi="宋体"/>
          <w:color w:val="000000"/>
          <w:sz w:val="24"/>
          <w:highlight w:val="yellow"/>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ascii="宋体" w:hAnsi="宋体"/>
          <w:color w:val="000000"/>
          <w:sz w:val="24"/>
          <w:u w:val="single"/>
        </w:rPr>
      </w:pPr>
      <w:r>
        <w:rPr>
          <w:rFonts w:ascii="宋体" w:hAnsi="宋体"/>
          <w:color w:val="000000"/>
          <w:sz w:val="24"/>
        </w:rPr>
        <w:t>3.2其他特定资格要求：</w:t>
      </w:r>
      <w:bookmarkStart w:id="12" w:name="_Hlk154669655"/>
      <w:r>
        <w:rPr>
          <w:rFonts w:hint="eastAsia" w:ascii="宋体" w:hAnsi="宋体"/>
          <w:color w:val="000000"/>
          <w:sz w:val="24"/>
          <w:u w:val="single"/>
        </w:rPr>
        <w:t>（1）单位负责人为同一人或者存在直接控股、管理关系的</w:t>
      </w:r>
    </w:p>
    <w:p>
      <w:pPr>
        <w:tabs>
          <w:tab w:val="left" w:pos="900"/>
          <w:tab w:val="left" w:pos="1134"/>
          <w:tab w:val="left" w:pos="1589"/>
          <w:tab w:val="left" w:pos="5521"/>
        </w:tabs>
        <w:snapToGrid w:val="0"/>
        <w:spacing w:line="360" w:lineRule="auto"/>
        <w:ind w:firstLine="480" w:firstLineChars="200"/>
        <w:rPr>
          <w:rFonts w:ascii="宋体" w:hAnsi="宋体"/>
          <w:color w:val="000000"/>
          <w:sz w:val="24"/>
          <w:u w:val="single"/>
        </w:rPr>
      </w:pPr>
      <w:r>
        <w:rPr>
          <w:rFonts w:hint="eastAsia" w:ascii="宋体" w:hAnsi="宋体"/>
          <w:color w:val="000000"/>
          <w:sz w:val="24"/>
          <w:u w:val="single"/>
        </w:rPr>
        <w:t>不同供应商，不得参加同一合同项下的政府采购活动；（2）为本项目提供整体设计、规范编制或者项目管理、监理、检测等服务的供应商，不得再参加本采购项目的其他采购活动。</w:t>
      </w:r>
      <w:bookmarkEnd w:id="12"/>
    </w:p>
    <w:bookmarkEnd w:id="10"/>
    <w:bookmarkEnd w:id="11"/>
    <w:p>
      <w:pPr>
        <w:pStyle w:val="3"/>
        <w:widowControl/>
        <w:spacing w:before="0" w:line="360" w:lineRule="auto"/>
        <w:jc w:val="left"/>
        <w:rPr>
          <w:rFonts w:ascii="宋体" w:hAnsi="宋体" w:eastAsia="宋体"/>
          <w:color w:val="000000"/>
          <w:sz w:val="24"/>
          <w:szCs w:val="24"/>
        </w:rPr>
      </w:pPr>
      <w:bookmarkStart w:id="13" w:name="_Toc35393792"/>
      <w:bookmarkStart w:id="14" w:name="_Toc35393623"/>
      <w:bookmarkStart w:id="15" w:name="_Toc28359085"/>
      <w:bookmarkStart w:id="16" w:name="_Toc28359008"/>
      <w:bookmarkStart w:id="17" w:name="_Toc35393627"/>
      <w:bookmarkStart w:id="18" w:name="_Toc35393796"/>
      <w:r>
        <w:rPr>
          <w:rFonts w:ascii="宋体" w:hAnsi="宋体" w:eastAsia="宋体"/>
          <w:color w:val="000000"/>
          <w:sz w:val="24"/>
          <w:szCs w:val="24"/>
        </w:rPr>
        <w:t>三、获取采购文件</w:t>
      </w:r>
      <w:bookmarkEnd w:id="13"/>
      <w:bookmarkEnd w:id="14"/>
    </w:p>
    <w:p>
      <w:pPr>
        <w:adjustRightInd w:val="0"/>
        <w:snapToGrid w:val="0"/>
        <w:spacing w:line="360" w:lineRule="auto"/>
        <w:ind w:firstLine="480" w:firstLineChars="200"/>
        <w:rPr>
          <w:rFonts w:ascii="宋体" w:hAnsi="宋体"/>
          <w:color w:val="000000"/>
          <w:sz w:val="24"/>
          <w:lang w:bidi="ar"/>
        </w:rPr>
      </w:pPr>
      <w:r>
        <w:rPr>
          <w:rFonts w:ascii="宋体" w:hAnsi="宋体"/>
          <w:color w:val="000000"/>
          <w:sz w:val="24"/>
          <w:lang w:bidi="ar"/>
        </w:rPr>
        <w:t>1.时间：</w:t>
      </w:r>
      <w:r>
        <w:rPr>
          <w:rFonts w:ascii="宋体" w:hAnsi="宋体"/>
          <w:color w:val="000000"/>
          <w:sz w:val="24"/>
          <w:highlight w:val="yellow"/>
          <w:u w:val="single"/>
        </w:rPr>
        <w:t>2026</w:t>
      </w:r>
      <w:r>
        <w:rPr>
          <w:rFonts w:ascii="宋体" w:hAnsi="宋体"/>
          <w:color w:val="000000"/>
          <w:sz w:val="24"/>
          <w:highlight w:val="yellow"/>
          <w:lang w:bidi="ar"/>
        </w:rPr>
        <w:t>年</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 xml:space="preserve">4 </w:t>
      </w:r>
      <w:r>
        <w:rPr>
          <w:rFonts w:ascii="宋体" w:hAnsi="宋体"/>
          <w:color w:val="000000"/>
          <w:sz w:val="24"/>
          <w:highlight w:val="yellow"/>
          <w:lang w:bidi="ar"/>
        </w:rPr>
        <w:t>月</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 xml:space="preserve">28 </w:t>
      </w:r>
      <w:r>
        <w:rPr>
          <w:rFonts w:ascii="宋体" w:hAnsi="宋体"/>
          <w:color w:val="000000"/>
          <w:sz w:val="24"/>
          <w:highlight w:val="yellow"/>
          <w:u w:val="single"/>
        </w:rPr>
        <w:t xml:space="preserve"> </w:t>
      </w:r>
      <w:r>
        <w:rPr>
          <w:rFonts w:ascii="宋体" w:hAnsi="宋体"/>
          <w:color w:val="000000"/>
          <w:sz w:val="24"/>
          <w:highlight w:val="yellow"/>
          <w:lang w:bidi="ar"/>
        </w:rPr>
        <w:t>日至</w:t>
      </w:r>
      <w:r>
        <w:rPr>
          <w:rFonts w:hint="eastAsia" w:ascii="宋体" w:hAnsi="宋体"/>
          <w:color w:val="000000"/>
          <w:sz w:val="24"/>
          <w:highlight w:val="yellow"/>
          <w:u w:val="single"/>
        </w:rPr>
        <w:t>202</w:t>
      </w:r>
      <w:r>
        <w:rPr>
          <w:rFonts w:ascii="宋体" w:hAnsi="宋体"/>
          <w:color w:val="000000"/>
          <w:sz w:val="24"/>
          <w:highlight w:val="yellow"/>
          <w:u w:val="single"/>
        </w:rPr>
        <w:t>6</w:t>
      </w:r>
      <w:r>
        <w:rPr>
          <w:rFonts w:ascii="宋体" w:hAnsi="宋体"/>
          <w:color w:val="000000"/>
          <w:sz w:val="24"/>
          <w:highlight w:val="yellow"/>
          <w:lang w:bidi="ar"/>
        </w:rPr>
        <w:t>年</w:t>
      </w:r>
      <w:r>
        <w:rPr>
          <w:rFonts w:hint="eastAsia" w:ascii="宋体" w:hAnsi="宋体"/>
          <w:color w:val="000000"/>
          <w:sz w:val="24"/>
          <w:highlight w:val="yellow"/>
          <w:lang w:val="en-US" w:eastAsia="zh-CN" w:bidi="ar"/>
        </w:rPr>
        <w:t xml:space="preserve"> 5</w:t>
      </w:r>
      <w:r>
        <w:rPr>
          <w:rFonts w:ascii="宋体" w:hAnsi="宋体"/>
          <w:color w:val="000000"/>
          <w:sz w:val="24"/>
          <w:highlight w:val="yellow"/>
          <w:lang w:bidi="ar"/>
        </w:rPr>
        <w:t>月</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 xml:space="preserve"> 7</w:t>
      </w:r>
      <w:r>
        <w:rPr>
          <w:rFonts w:ascii="宋体" w:hAnsi="宋体"/>
          <w:color w:val="000000"/>
          <w:sz w:val="24"/>
          <w:highlight w:val="yellow"/>
          <w:u w:val="single"/>
        </w:rPr>
        <w:t xml:space="preserve"> </w:t>
      </w:r>
      <w:r>
        <w:rPr>
          <w:rFonts w:ascii="宋体" w:hAnsi="宋体"/>
          <w:color w:val="000000"/>
          <w:sz w:val="24"/>
          <w:highlight w:val="yellow"/>
          <w:lang w:bidi="ar"/>
        </w:rPr>
        <w:t>日，</w:t>
      </w:r>
      <w:r>
        <w:rPr>
          <w:rFonts w:ascii="宋体" w:hAnsi="宋体"/>
          <w:color w:val="000000"/>
          <w:sz w:val="24"/>
          <w:lang w:bidi="ar"/>
        </w:rPr>
        <w:t>每天</w:t>
      </w:r>
      <w:r>
        <w:rPr>
          <w:rFonts w:hint="eastAsia" w:ascii="宋体" w:hAnsi="宋体"/>
          <w:color w:val="000000"/>
          <w:sz w:val="24"/>
          <w:u w:val="single"/>
        </w:rPr>
        <w:t>8:30</w:t>
      </w:r>
      <w:r>
        <w:rPr>
          <w:rFonts w:ascii="宋体" w:hAnsi="宋体"/>
          <w:color w:val="000000"/>
          <w:sz w:val="24"/>
          <w:lang w:bidi="ar"/>
        </w:rPr>
        <w:t>至</w:t>
      </w:r>
      <w:r>
        <w:rPr>
          <w:rFonts w:hint="eastAsia" w:ascii="宋体" w:hAnsi="宋体"/>
          <w:color w:val="000000"/>
          <w:sz w:val="24"/>
          <w:u w:val="single"/>
        </w:rPr>
        <w:t>11:</w:t>
      </w:r>
      <w:r>
        <w:rPr>
          <w:rFonts w:hint="eastAsia" w:ascii="宋体" w:hAnsi="宋体"/>
          <w:color w:val="000000"/>
          <w:sz w:val="24"/>
          <w:u w:val="single"/>
          <w:lang w:val="en-US" w:eastAsia="zh-CN"/>
        </w:rPr>
        <w:t>0</w:t>
      </w:r>
      <w:r>
        <w:rPr>
          <w:rFonts w:hint="eastAsia" w:ascii="宋体" w:hAnsi="宋体"/>
          <w:color w:val="000000"/>
          <w:sz w:val="24"/>
          <w:u w:val="single"/>
        </w:rPr>
        <w:t>0</w:t>
      </w:r>
      <w:r>
        <w:rPr>
          <w:rFonts w:ascii="宋体" w:hAnsi="宋体"/>
          <w:color w:val="000000"/>
          <w:sz w:val="24"/>
          <w:lang w:bidi="ar"/>
        </w:rPr>
        <w:t>，</w:t>
      </w:r>
      <w:r>
        <w:rPr>
          <w:rFonts w:hint="eastAsia" w:ascii="宋体" w:hAnsi="宋体"/>
          <w:color w:val="000000"/>
          <w:sz w:val="24"/>
          <w:u w:val="single"/>
        </w:rPr>
        <w:t>13:30</w:t>
      </w:r>
      <w:r>
        <w:rPr>
          <w:rFonts w:ascii="宋体" w:hAnsi="宋体"/>
          <w:color w:val="000000"/>
          <w:sz w:val="24"/>
          <w:lang w:bidi="ar"/>
        </w:rPr>
        <w:t>至</w:t>
      </w:r>
      <w:r>
        <w:rPr>
          <w:rFonts w:hint="eastAsia" w:ascii="宋体" w:hAnsi="宋体"/>
          <w:color w:val="000000"/>
          <w:sz w:val="24"/>
          <w:u w:val="single"/>
        </w:rPr>
        <w:t>17:</w:t>
      </w:r>
      <w:r>
        <w:rPr>
          <w:rFonts w:hint="eastAsia" w:ascii="宋体" w:hAnsi="宋体"/>
          <w:color w:val="000000"/>
          <w:sz w:val="24"/>
          <w:u w:val="single"/>
          <w:lang w:val="en-US" w:eastAsia="zh-CN"/>
        </w:rPr>
        <w:t>0</w:t>
      </w:r>
      <w:r>
        <w:rPr>
          <w:rFonts w:hint="eastAsia" w:ascii="宋体" w:hAnsi="宋体"/>
          <w:color w:val="000000"/>
          <w:sz w:val="24"/>
          <w:u w:val="single"/>
        </w:rPr>
        <w:t>0</w:t>
      </w:r>
      <w:r>
        <w:rPr>
          <w:rFonts w:ascii="宋体" w:hAnsi="宋体"/>
          <w:color w:val="000000"/>
          <w:sz w:val="24"/>
          <w:lang w:bidi="ar"/>
        </w:rPr>
        <w:t>（北京时间，法定节假日除外）。</w:t>
      </w:r>
    </w:p>
    <w:p>
      <w:pPr>
        <w:adjustRightInd w:val="0"/>
        <w:snapToGrid w:val="0"/>
        <w:spacing w:line="360" w:lineRule="auto"/>
        <w:ind w:firstLine="480" w:firstLineChars="200"/>
        <w:rPr>
          <w:rFonts w:ascii="宋体" w:hAnsi="宋体"/>
          <w:color w:val="000000"/>
          <w:sz w:val="24"/>
        </w:rPr>
      </w:pPr>
      <w:r>
        <w:rPr>
          <w:rFonts w:ascii="宋体" w:hAnsi="宋体"/>
          <w:color w:val="000000"/>
          <w:sz w:val="24"/>
          <w:lang w:bidi="ar"/>
        </w:rPr>
        <w:t>2.地点：</w:t>
      </w:r>
      <w:r>
        <w:rPr>
          <w:rFonts w:hint="eastAsia" w:ascii="宋体" w:hAnsi="宋体"/>
          <w:sz w:val="24"/>
          <w:lang w:bidi="ar"/>
        </w:rPr>
        <w:t>北京市政府采购电子交易平台</w:t>
      </w:r>
    </w:p>
    <w:p>
      <w:pPr>
        <w:widowControl/>
        <w:adjustRightInd w:val="0"/>
        <w:snapToGrid w:val="0"/>
        <w:spacing w:line="360" w:lineRule="auto"/>
        <w:ind w:firstLine="480" w:firstLineChars="200"/>
        <w:jc w:val="left"/>
        <w:rPr>
          <w:rFonts w:ascii="宋体" w:hAnsi="宋体"/>
          <w:color w:val="000000"/>
          <w:sz w:val="24"/>
          <w:lang w:bidi="ar"/>
        </w:rPr>
      </w:pPr>
      <w:r>
        <w:rPr>
          <w:rFonts w:ascii="宋体" w:hAnsi="宋体"/>
          <w:color w:val="000000"/>
          <w:sz w:val="24"/>
          <w:lang w:bidi="ar"/>
        </w:rPr>
        <w:t>3.方式：</w:t>
      </w:r>
      <w:r>
        <w:rPr>
          <w:rFonts w:hint="eastAsia" w:ascii="宋体" w:hAnsi="宋体"/>
          <w:sz w:val="24"/>
          <w:lang w:bidi="ar"/>
        </w:rPr>
        <w:t>供应商使用 CA 数字证书或电子营业执照登录北京市政府采购电子交易平台（http://zbcg-bjzc.zhongcy.com/bjczj-portal-site/index.html#/home）获取电子版竞争性磋商文件。</w:t>
      </w:r>
    </w:p>
    <w:p>
      <w:pPr>
        <w:widowControl/>
        <w:adjustRightInd w:val="0"/>
        <w:snapToGrid w:val="0"/>
        <w:spacing w:line="360" w:lineRule="auto"/>
        <w:ind w:firstLine="480" w:firstLineChars="200"/>
        <w:jc w:val="left"/>
        <w:rPr>
          <w:rFonts w:ascii="宋体" w:hAnsi="宋体"/>
          <w:color w:val="000000"/>
          <w:sz w:val="24"/>
        </w:rPr>
      </w:pPr>
      <w:r>
        <w:rPr>
          <w:rFonts w:ascii="宋体" w:hAnsi="宋体"/>
          <w:color w:val="000000"/>
          <w:sz w:val="24"/>
          <w:lang w:bidi="ar"/>
        </w:rPr>
        <w:t>4.售价：0元。</w:t>
      </w:r>
    </w:p>
    <w:p>
      <w:pPr>
        <w:pStyle w:val="3"/>
        <w:widowControl/>
        <w:spacing w:before="0" w:line="360" w:lineRule="auto"/>
        <w:jc w:val="left"/>
        <w:rPr>
          <w:rFonts w:ascii="宋体" w:hAnsi="宋体" w:eastAsia="宋体"/>
          <w:color w:val="000000"/>
          <w:sz w:val="24"/>
          <w:szCs w:val="24"/>
        </w:rPr>
      </w:pPr>
      <w:bookmarkStart w:id="19" w:name="_Toc28359082"/>
      <w:bookmarkStart w:id="20" w:name="_Toc35393793"/>
      <w:bookmarkStart w:id="21" w:name="_Toc28359005"/>
      <w:bookmarkStart w:id="22" w:name="_Toc35393624"/>
      <w:r>
        <w:rPr>
          <w:rFonts w:ascii="宋体" w:hAnsi="宋体" w:eastAsia="宋体"/>
          <w:color w:val="000000"/>
          <w:sz w:val="24"/>
          <w:szCs w:val="24"/>
        </w:rPr>
        <w:t>四、</w:t>
      </w:r>
      <w:bookmarkEnd w:id="19"/>
      <w:bookmarkEnd w:id="20"/>
      <w:bookmarkEnd w:id="21"/>
      <w:bookmarkEnd w:id="22"/>
      <w:r>
        <w:rPr>
          <w:rFonts w:ascii="宋体" w:hAnsi="宋体" w:eastAsia="宋体"/>
          <w:color w:val="000000"/>
          <w:sz w:val="24"/>
          <w:szCs w:val="24"/>
        </w:rPr>
        <w:t>响应文件提交</w:t>
      </w:r>
    </w:p>
    <w:p>
      <w:pPr>
        <w:spacing w:line="360" w:lineRule="auto"/>
        <w:ind w:firstLine="480" w:firstLineChars="200"/>
        <w:rPr>
          <w:rFonts w:ascii="宋体" w:hAnsi="宋体"/>
          <w:bCs/>
          <w:color w:val="000000"/>
          <w:sz w:val="24"/>
          <w:u w:val="single"/>
        </w:rPr>
      </w:pPr>
      <w:r>
        <w:rPr>
          <w:rFonts w:ascii="宋体" w:hAnsi="宋体"/>
          <w:color w:val="000000"/>
          <w:sz w:val="24"/>
          <w:lang w:bidi="ar"/>
        </w:rPr>
        <w:t>截止时间：</w:t>
      </w:r>
      <w:r>
        <w:rPr>
          <w:rFonts w:hint="eastAsia" w:ascii="宋体" w:hAnsi="宋体"/>
          <w:color w:val="000000"/>
          <w:sz w:val="24"/>
          <w:highlight w:val="yellow"/>
          <w:u w:val="single"/>
        </w:rPr>
        <w:t>202</w:t>
      </w:r>
      <w:r>
        <w:rPr>
          <w:rFonts w:ascii="宋体" w:hAnsi="宋体"/>
          <w:color w:val="000000"/>
          <w:sz w:val="24"/>
          <w:highlight w:val="yellow"/>
          <w:u w:val="single"/>
        </w:rPr>
        <w:t>6</w:t>
      </w:r>
      <w:r>
        <w:rPr>
          <w:rFonts w:ascii="宋体" w:hAnsi="宋体"/>
          <w:color w:val="000000"/>
          <w:sz w:val="24"/>
          <w:highlight w:val="yellow"/>
          <w:lang w:bidi="ar"/>
        </w:rPr>
        <w:t>年</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5</w:t>
      </w:r>
      <w:r>
        <w:rPr>
          <w:rFonts w:ascii="宋体" w:hAnsi="宋体"/>
          <w:color w:val="000000"/>
          <w:sz w:val="24"/>
          <w:highlight w:val="yellow"/>
          <w:u w:val="single"/>
        </w:rPr>
        <w:t xml:space="preserve"> </w:t>
      </w:r>
      <w:r>
        <w:rPr>
          <w:rFonts w:ascii="宋体" w:hAnsi="宋体"/>
          <w:color w:val="000000"/>
          <w:sz w:val="24"/>
          <w:highlight w:val="yellow"/>
          <w:lang w:bidi="ar"/>
        </w:rPr>
        <w:t>月</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12</w:t>
      </w:r>
      <w:r>
        <w:rPr>
          <w:rFonts w:ascii="宋体" w:hAnsi="宋体"/>
          <w:color w:val="000000"/>
          <w:sz w:val="24"/>
          <w:highlight w:val="yellow"/>
          <w:lang w:bidi="ar"/>
        </w:rPr>
        <w:t>日</w:t>
      </w:r>
      <w:r>
        <w:rPr>
          <w:rFonts w:hint="eastAsia" w:ascii="宋体" w:hAnsi="宋体"/>
          <w:color w:val="000000"/>
          <w:sz w:val="24"/>
          <w:highlight w:val="yellow"/>
          <w:u w:val="single"/>
          <w:lang w:val="en-US" w:eastAsia="zh-CN"/>
        </w:rPr>
        <w:t>09</w:t>
      </w:r>
      <w:r>
        <w:rPr>
          <w:rFonts w:ascii="宋体" w:hAnsi="宋体"/>
          <w:color w:val="000000"/>
          <w:sz w:val="24"/>
          <w:highlight w:val="yellow"/>
          <w:lang w:bidi="ar"/>
        </w:rPr>
        <w:t>点</w:t>
      </w:r>
      <w:r>
        <w:rPr>
          <w:rFonts w:hint="eastAsia" w:ascii="宋体" w:hAnsi="宋体"/>
          <w:color w:val="000000"/>
          <w:sz w:val="24"/>
          <w:highlight w:val="yellow"/>
          <w:u w:val="single"/>
          <w:lang w:val="en-US" w:eastAsia="zh-CN"/>
        </w:rPr>
        <w:t>0</w:t>
      </w:r>
      <w:r>
        <w:rPr>
          <w:rFonts w:hint="eastAsia" w:ascii="宋体" w:hAnsi="宋体"/>
          <w:color w:val="000000"/>
          <w:sz w:val="24"/>
          <w:highlight w:val="yellow"/>
          <w:u w:val="single"/>
        </w:rPr>
        <w:t>0</w:t>
      </w:r>
      <w:r>
        <w:rPr>
          <w:rFonts w:ascii="宋体" w:hAnsi="宋体"/>
          <w:color w:val="000000"/>
          <w:sz w:val="24"/>
          <w:highlight w:val="yellow"/>
          <w:lang w:bidi="ar"/>
        </w:rPr>
        <w:t>分</w:t>
      </w:r>
      <w:r>
        <w:rPr>
          <w:rFonts w:ascii="宋体" w:hAnsi="宋体"/>
          <w:bCs/>
          <w:color w:val="000000"/>
          <w:sz w:val="24"/>
          <w:lang w:bidi="ar"/>
        </w:rPr>
        <w:t>（北京时间）</w:t>
      </w:r>
      <w:r>
        <w:rPr>
          <w:rFonts w:ascii="宋体" w:hAnsi="宋体"/>
          <w:iCs/>
          <w:color w:val="000000"/>
          <w:sz w:val="24"/>
          <w:lang w:bidi="ar"/>
        </w:rPr>
        <w:t>。</w:t>
      </w:r>
    </w:p>
    <w:p>
      <w:pPr>
        <w:spacing w:line="360" w:lineRule="auto"/>
        <w:ind w:firstLine="480" w:firstLineChars="200"/>
        <w:jc w:val="left"/>
        <w:rPr>
          <w:rFonts w:ascii="宋体" w:hAnsi="宋体"/>
          <w:color w:val="000000"/>
          <w:sz w:val="24"/>
          <w:u w:val="single"/>
        </w:rPr>
      </w:pPr>
      <w:r>
        <w:rPr>
          <w:rFonts w:ascii="宋体" w:hAnsi="宋体"/>
          <w:color w:val="000000"/>
          <w:sz w:val="24"/>
          <w:lang w:bidi="ar"/>
        </w:rPr>
        <w:t>地点：</w:t>
      </w:r>
      <w:r>
        <w:rPr>
          <w:rFonts w:hint="eastAsia" w:ascii="宋体" w:hAnsi="宋体"/>
          <w:color w:val="000000"/>
          <w:sz w:val="24"/>
          <w:u w:val="single"/>
        </w:rPr>
        <w:t>北京市政府采购电子交易平台</w:t>
      </w:r>
    </w:p>
    <w:p>
      <w:pPr>
        <w:pStyle w:val="3"/>
        <w:widowControl/>
        <w:spacing w:before="0" w:line="360" w:lineRule="auto"/>
        <w:jc w:val="left"/>
        <w:rPr>
          <w:rFonts w:ascii="宋体" w:hAnsi="宋体" w:eastAsia="宋体"/>
          <w:color w:val="000000"/>
          <w:sz w:val="24"/>
          <w:szCs w:val="24"/>
        </w:rPr>
      </w:pPr>
      <w:r>
        <w:rPr>
          <w:rFonts w:ascii="宋体" w:hAnsi="宋体" w:eastAsia="宋体"/>
          <w:color w:val="000000"/>
          <w:sz w:val="24"/>
          <w:szCs w:val="24"/>
        </w:rPr>
        <w:t>五、开启</w:t>
      </w:r>
      <w:bookmarkStart w:id="758" w:name="_GoBack"/>
      <w:bookmarkEnd w:id="758"/>
    </w:p>
    <w:p>
      <w:pPr>
        <w:spacing w:line="360" w:lineRule="auto"/>
        <w:ind w:firstLine="480" w:firstLineChars="200"/>
        <w:rPr>
          <w:rFonts w:ascii="宋体" w:hAnsi="宋体"/>
          <w:bCs/>
          <w:color w:val="000000"/>
          <w:sz w:val="24"/>
          <w:u w:val="single"/>
        </w:rPr>
      </w:pPr>
      <w:r>
        <w:rPr>
          <w:rFonts w:ascii="宋体" w:hAnsi="宋体"/>
          <w:color w:val="000000"/>
          <w:sz w:val="24"/>
          <w:lang w:bidi="ar"/>
        </w:rPr>
        <w:t>时间：</w:t>
      </w:r>
      <w:r>
        <w:rPr>
          <w:rFonts w:hint="eastAsia" w:ascii="宋体" w:hAnsi="宋体"/>
          <w:color w:val="000000"/>
          <w:sz w:val="24"/>
          <w:highlight w:val="yellow"/>
          <w:u w:val="single"/>
        </w:rPr>
        <w:t>202</w:t>
      </w:r>
      <w:r>
        <w:rPr>
          <w:rFonts w:ascii="宋体" w:hAnsi="宋体"/>
          <w:color w:val="000000"/>
          <w:sz w:val="24"/>
          <w:highlight w:val="yellow"/>
          <w:u w:val="single"/>
        </w:rPr>
        <w:t>6</w:t>
      </w:r>
      <w:r>
        <w:rPr>
          <w:rFonts w:ascii="宋体" w:hAnsi="宋体"/>
          <w:color w:val="000000"/>
          <w:sz w:val="24"/>
          <w:highlight w:val="yellow"/>
          <w:lang w:bidi="ar"/>
        </w:rPr>
        <w:t>年</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5</w:t>
      </w:r>
      <w:r>
        <w:rPr>
          <w:rFonts w:ascii="宋体" w:hAnsi="宋体"/>
          <w:color w:val="000000"/>
          <w:sz w:val="24"/>
          <w:highlight w:val="yellow"/>
          <w:u w:val="single"/>
        </w:rPr>
        <w:t xml:space="preserve"> </w:t>
      </w:r>
      <w:r>
        <w:rPr>
          <w:rFonts w:ascii="宋体" w:hAnsi="宋体"/>
          <w:color w:val="000000"/>
          <w:sz w:val="24"/>
          <w:highlight w:val="yellow"/>
          <w:lang w:bidi="ar"/>
        </w:rPr>
        <w:t>月</w:t>
      </w:r>
      <w:r>
        <w:rPr>
          <w:rFonts w:ascii="宋体" w:hAnsi="宋体"/>
          <w:color w:val="000000"/>
          <w:sz w:val="24"/>
          <w:highlight w:val="yellow"/>
          <w:u w:val="single"/>
        </w:rPr>
        <w:t xml:space="preserve"> </w:t>
      </w:r>
      <w:r>
        <w:rPr>
          <w:rFonts w:hint="eastAsia" w:ascii="宋体" w:hAnsi="宋体"/>
          <w:color w:val="000000"/>
          <w:sz w:val="24"/>
          <w:highlight w:val="yellow"/>
          <w:u w:val="single"/>
          <w:lang w:val="en-US" w:eastAsia="zh-CN"/>
        </w:rPr>
        <w:t>12</w:t>
      </w:r>
      <w:r>
        <w:rPr>
          <w:rFonts w:ascii="宋体" w:hAnsi="宋体"/>
          <w:color w:val="000000"/>
          <w:sz w:val="24"/>
          <w:highlight w:val="yellow"/>
          <w:u w:val="single"/>
        </w:rPr>
        <w:t xml:space="preserve"> </w:t>
      </w:r>
      <w:r>
        <w:rPr>
          <w:rFonts w:ascii="宋体" w:hAnsi="宋体"/>
          <w:color w:val="000000"/>
          <w:sz w:val="24"/>
          <w:highlight w:val="yellow"/>
          <w:lang w:bidi="ar"/>
        </w:rPr>
        <w:t>日</w:t>
      </w:r>
      <w:r>
        <w:rPr>
          <w:rFonts w:hint="eastAsia" w:ascii="宋体" w:hAnsi="宋体"/>
          <w:color w:val="000000"/>
          <w:sz w:val="24"/>
          <w:highlight w:val="yellow"/>
          <w:u w:val="single"/>
          <w:lang w:val="en-US" w:eastAsia="zh-CN"/>
        </w:rPr>
        <w:t>09</w:t>
      </w:r>
      <w:r>
        <w:rPr>
          <w:rFonts w:ascii="宋体" w:hAnsi="宋体"/>
          <w:color w:val="000000"/>
          <w:sz w:val="24"/>
          <w:highlight w:val="yellow"/>
          <w:lang w:bidi="ar"/>
        </w:rPr>
        <w:t>点</w:t>
      </w:r>
      <w:r>
        <w:rPr>
          <w:rFonts w:hint="eastAsia" w:ascii="宋体" w:hAnsi="宋体"/>
          <w:color w:val="000000"/>
          <w:sz w:val="24"/>
          <w:highlight w:val="yellow"/>
          <w:u w:val="single"/>
          <w:lang w:val="en-US" w:eastAsia="zh-CN"/>
        </w:rPr>
        <w:t>0</w:t>
      </w:r>
      <w:r>
        <w:rPr>
          <w:rFonts w:hint="eastAsia" w:ascii="宋体" w:hAnsi="宋体"/>
          <w:color w:val="000000"/>
          <w:sz w:val="24"/>
          <w:highlight w:val="yellow"/>
          <w:u w:val="single"/>
        </w:rPr>
        <w:t>0</w:t>
      </w:r>
      <w:r>
        <w:rPr>
          <w:rFonts w:ascii="宋体" w:hAnsi="宋体"/>
          <w:color w:val="000000"/>
          <w:sz w:val="24"/>
          <w:highlight w:val="yellow"/>
          <w:lang w:bidi="ar"/>
        </w:rPr>
        <w:t>分</w:t>
      </w:r>
      <w:r>
        <w:rPr>
          <w:rFonts w:ascii="宋体" w:hAnsi="宋体"/>
          <w:bCs/>
          <w:color w:val="000000"/>
          <w:sz w:val="24"/>
          <w:lang w:bidi="ar"/>
        </w:rPr>
        <w:t>（北京时间）</w:t>
      </w:r>
      <w:r>
        <w:rPr>
          <w:rFonts w:ascii="宋体" w:hAnsi="宋体"/>
          <w:iCs/>
          <w:color w:val="000000"/>
          <w:sz w:val="24"/>
          <w:lang w:bidi="ar"/>
        </w:rPr>
        <w:t>。</w:t>
      </w:r>
    </w:p>
    <w:p>
      <w:pPr>
        <w:spacing w:line="360" w:lineRule="auto"/>
        <w:ind w:firstLine="480" w:firstLineChars="200"/>
        <w:rPr>
          <w:rFonts w:ascii="宋体" w:hAnsi="宋体"/>
          <w:color w:val="C00000"/>
          <w:sz w:val="24"/>
          <w:u w:val="single"/>
        </w:rPr>
      </w:pPr>
      <w:bookmarkStart w:id="23" w:name="_Toc35393625"/>
      <w:bookmarkStart w:id="24" w:name="_Toc28359007"/>
      <w:bookmarkStart w:id="25" w:name="_Toc35393794"/>
      <w:bookmarkStart w:id="26" w:name="_Toc28359084"/>
      <w:r>
        <w:rPr>
          <w:rFonts w:ascii="宋体" w:hAnsi="宋体"/>
          <w:color w:val="C00000"/>
          <w:sz w:val="24"/>
          <w:lang w:bidi="ar"/>
        </w:rPr>
        <w:t>地点：</w:t>
      </w:r>
      <w:r>
        <w:rPr>
          <w:rFonts w:ascii="微软雅黑" w:hAnsi="微软雅黑" w:eastAsia="微软雅黑" w:cs="微软雅黑"/>
          <w:i w:val="0"/>
          <w:caps w:val="0"/>
          <w:color w:val="C00000"/>
          <w:spacing w:val="0"/>
          <w:sz w:val="24"/>
          <w:szCs w:val="24"/>
          <w:shd w:val="clear" w:fill="FFFFFF"/>
        </w:rPr>
        <w:t>北京市政府采购电子交易平台。（供应商可自主选择是否前往北京市平谷区社会服务中心后配楼4层现场开启,现场开启地点不提供解密设备，供应商如选择现场开启，应在磋商文件规定的时间内携带计算机设备及CA数字证书或电子营业执照登录北京市政府采购电子交易平台解密并开启响应文件。）</w:t>
      </w:r>
    </w:p>
    <w:p>
      <w:pPr>
        <w:spacing w:line="360" w:lineRule="auto"/>
        <w:ind w:firstLine="480" w:firstLineChars="200"/>
        <w:rPr>
          <w:rFonts w:ascii="宋体" w:hAnsi="宋体"/>
          <w:color w:val="000000"/>
          <w:sz w:val="24"/>
          <w:u w:val="single"/>
        </w:rPr>
      </w:pPr>
    </w:p>
    <w:p>
      <w:pPr>
        <w:pStyle w:val="3"/>
        <w:widowControl/>
        <w:spacing w:before="0" w:line="360" w:lineRule="auto"/>
        <w:jc w:val="left"/>
        <w:rPr>
          <w:rFonts w:ascii="宋体" w:hAnsi="宋体" w:eastAsia="宋体"/>
          <w:color w:val="000000"/>
          <w:sz w:val="24"/>
          <w:szCs w:val="24"/>
        </w:rPr>
      </w:pPr>
      <w:r>
        <w:rPr>
          <w:rFonts w:ascii="宋体" w:hAnsi="宋体" w:eastAsia="宋体"/>
          <w:color w:val="000000"/>
          <w:sz w:val="24"/>
          <w:szCs w:val="24"/>
        </w:rPr>
        <w:t>六、公告期限</w:t>
      </w:r>
      <w:bookmarkEnd w:id="23"/>
      <w:bookmarkEnd w:id="24"/>
      <w:bookmarkEnd w:id="25"/>
      <w:bookmarkEnd w:id="26"/>
    </w:p>
    <w:p>
      <w:pPr>
        <w:spacing w:line="360" w:lineRule="auto"/>
        <w:ind w:firstLine="480" w:firstLineChars="200"/>
        <w:rPr>
          <w:rFonts w:ascii="宋体" w:hAnsi="宋体"/>
          <w:color w:val="000000"/>
          <w:kern w:val="0"/>
          <w:sz w:val="24"/>
        </w:rPr>
      </w:pPr>
      <w:r>
        <w:rPr>
          <w:rFonts w:ascii="宋体" w:hAnsi="宋体"/>
          <w:color w:val="000000"/>
          <w:kern w:val="0"/>
          <w:sz w:val="24"/>
        </w:rPr>
        <w:t>自本公告发布之日起3个工作日。</w:t>
      </w:r>
    </w:p>
    <w:p>
      <w:pPr>
        <w:pStyle w:val="3"/>
        <w:spacing w:before="0" w:line="360" w:lineRule="auto"/>
        <w:jc w:val="left"/>
        <w:rPr>
          <w:rFonts w:ascii="宋体" w:hAnsi="宋体" w:eastAsia="宋体"/>
          <w:color w:val="000000"/>
          <w:sz w:val="24"/>
          <w:szCs w:val="24"/>
        </w:rPr>
      </w:pPr>
      <w:bookmarkStart w:id="27" w:name="_Toc35393626"/>
      <w:bookmarkStart w:id="28" w:name="_Toc35393795"/>
      <w:r>
        <w:rPr>
          <w:rFonts w:ascii="宋体" w:hAnsi="宋体" w:eastAsia="宋体"/>
          <w:color w:val="000000"/>
          <w:sz w:val="24"/>
          <w:szCs w:val="24"/>
        </w:rPr>
        <w:t>七、其他补充事宜</w:t>
      </w:r>
      <w:bookmarkEnd w:id="27"/>
      <w:bookmarkEnd w:id="28"/>
    </w:p>
    <w:p>
      <w:pPr>
        <w:spacing w:line="360" w:lineRule="auto"/>
        <w:ind w:firstLine="480" w:firstLineChars="200"/>
        <w:rPr>
          <w:rFonts w:ascii="宋体" w:hAnsi="宋体"/>
          <w:color w:val="000000"/>
          <w:sz w:val="24"/>
          <w:lang w:val="en" w:bidi="ar"/>
        </w:rPr>
      </w:pPr>
      <w:bookmarkStart w:id="29" w:name="_Hlk147837218"/>
      <w:r>
        <w:rPr>
          <w:rFonts w:ascii="宋体" w:hAnsi="宋体"/>
          <w:color w:val="000000"/>
          <w:sz w:val="24"/>
        </w:rPr>
        <w:t>1.本项目需要落实的政府采购政策：（</w:t>
      </w:r>
      <w:r>
        <w:rPr>
          <w:rFonts w:hint="eastAsia" w:ascii="宋体" w:hAnsi="宋体"/>
          <w:color w:val="000000"/>
          <w:sz w:val="24"/>
        </w:rPr>
        <w:t>1</w:t>
      </w:r>
      <w:r>
        <w:rPr>
          <w:rFonts w:ascii="宋体" w:hAnsi="宋体"/>
          <w:color w:val="000000"/>
          <w:sz w:val="24"/>
        </w:rPr>
        <w:t>）</w:t>
      </w:r>
      <w:r>
        <w:rPr>
          <w:rFonts w:hint="eastAsia" w:ascii="宋体" w:hAnsi="宋体"/>
          <w:color w:val="000000"/>
          <w:sz w:val="24"/>
          <w:lang w:bidi="ar"/>
        </w:rPr>
        <w:t>《关于调整优化节能产品、环境标志产品政府采购执行机制的通知》（财库〔2019〕9号）；（2）《关于印发环境标志产品政府采购品目清单的通知》（财库[2019]18号）；（3）《财政部发展改革委关于印发节能产品政府采购品目清单的通知》（财库[2019]19号）、财政部、国家环保总局联合印发《关于环境标志产品政府采购实施的意见》（财库[2006]90号）；政府采购工程以及与工程建设有关的货物采购，应当按照最新《环境标志产品政府采购清单》执行环境标志产品政府优先采购政策；（4）《国务院办公厅关于建立政府强制采购节能产品制度的通知》（国办发[2007]51号）；（</w:t>
      </w:r>
      <w:r>
        <w:rPr>
          <w:rFonts w:ascii="宋体" w:hAnsi="宋体"/>
          <w:color w:val="000000"/>
          <w:sz w:val="24"/>
          <w:lang w:bidi="ar"/>
        </w:rPr>
        <w:t>5</w:t>
      </w:r>
      <w:r>
        <w:rPr>
          <w:rFonts w:hint="eastAsia" w:ascii="宋体" w:hAnsi="宋体"/>
          <w:color w:val="000000"/>
          <w:sz w:val="24"/>
          <w:lang w:bidi="ar"/>
        </w:rPr>
        <w:t>）《工业和信息化部、国家统计局、国家发展和改革委员会、财政部关于印发中小企业划型标准规定的通知》（工信部联企业[2011]300号）；（6）关于印发《政府采购促进中小企业发展管理办法》的通知（财库﹝2020﹞46号）；（7）《关于进一步加大政府采购支持中小企业力度的通知》（财库【2022】19号）；（8）《关于政府采购支持监狱企业发展有关问题的通知》（财库[2014]68号）；（9）《财政部民政部中国残疾人联合会关于促进残疾人就业政府采购政策的通知》（财库[2017]141号）；（1</w:t>
      </w:r>
      <w:r>
        <w:rPr>
          <w:rFonts w:ascii="宋体" w:hAnsi="宋体"/>
          <w:color w:val="000000"/>
          <w:sz w:val="24"/>
          <w:lang w:bidi="ar"/>
        </w:rPr>
        <w:t>0</w:t>
      </w:r>
      <w:r>
        <w:rPr>
          <w:rFonts w:hint="eastAsia" w:ascii="宋体" w:hAnsi="宋体"/>
          <w:color w:val="000000"/>
          <w:sz w:val="24"/>
          <w:lang w:bidi="ar"/>
        </w:rPr>
        <w:t>）财政部办公厅《关于在相关自由贸易试验区和自由贸易港开展推动解决政府采购异常低价问题试点工作的通知》财办库〔2024〕265号；</w:t>
      </w:r>
    </w:p>
    <w:bookmarkEnd w:id="29"/>
    <w:p>
      <w:pPr>
        <w:spacing w:line="360" w:lineRule="auto"/>
        <w:ind w:firstLine="480" w:firstLineChars="200"/>
        <w:rPr>
          <w:rFonts w:ascii="宋体" w:hAnsi="宋体"/>
          <w:color w:val="000000"/>
          <w:sz w:val="24"/>
          <w:lang w:bidi="ar"/>
        </w:rPr>
      </w:pPr>
      <w:r>
        <w:rPr>
          <w:rFonts w:hint="eastAsia" w:ascii="宋体" w:hAnsi="宋体"/>
          <w:color w:val="000000"/>
          <w:sz w:val="24"/>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adjustRightInd w:val="0"/>
        <w:snapToGrid w:val="0"/>
        <w:spacing w:line="360" w:lineRule="auto"/>
        <w:ind w:firstLine="480" w:firstLineChars="200"/>
        <w:rPr>
          <w:rFonts w:ascii="宋体" w:hAnsi="宋体"/>
          <w:sz w:val="24"/>
          <w:lang w:bidi="ar"/>
        </w:rPr>
      </w:pPr>
      <w:r>
        <w:rPr>
          <w:rFonts w:ascii="宋体" w:hAnsi="宋体"/>
          <w:sz w:val="24"/>
          <w:lang w:bidi="ar"/>
        </w:rPr>
        <w:t>CA认证证书服务热线 010-58511086</w:t>
      </w:r>
    </w:p>
    <w:p>
      <w:pPr>
        <w:adjustRightInd w:val="0"/>
        <w:snapToGrid w:val="0"/>
        <w:spacing w:line="360" w:lineRule="auto"/>
        <w:ind w:firstLine="480" w:firstLineChars="200"/>
        <w:rPr>
          <w:lang w:bidi="ar"/>
        </w:rPr>
      </w:pPr>
      <w:r>
        <w:rPr>
          <w:rFonts w:hint="eastAsia" w:ascii="宋体" w:hAnsi="宋体"/>
          <w:sz w:val="24"/>
          <w:lang w:bidi="ar"/>
        </w:rPr>
        <w:t>电子营业执照服务热线 400-699-7000</w:t>
      </w:r>
    </w:p>
    <w:p>
      <w:pPr>
        <w:adjustRightInd w:val="0"/>
        <w:snapToGrid w:val="0"/>
        <w:spacing w:line="360" w:lineRule="auto"/>
        <w:ind w:firstLine="480" w:firstLineChars="200"/>
        <w:rPr>
          <w:rFonts w:ascii="宋体" w:hAnsi="宋体"/>
          <w:sz w:val="24"/>
        </w:rPr>
      </w:pPr>
      <w:r>
        <w:rPr>
          <w:rFonts w:ascii="宋体" w:hAnsi="宋体"/>
          <w:sz w:val="24"/>
          <w:lang w:bidi="ar"/>
        </w:rPr>
        <w:t>技术支持服务热线 010-86483801</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（1）</w:t>
      </w:r>
      <w:bookmarkStart w:id="30" w:name="_Hlk110935813"/>
      <w:r>
        <w:rPr>
          <w:rFonts w:ascii="宋体" w:hAnsi="宋体"/>
          <w:sz w:val="24"/>
          <w:lang w:bidi="ar"/>
        </w:rPr>
        <w:t>办理CA认证证书</w:t>
      </w:r>
      <w:bookmarkEnd w:id="30"/>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供应商登录北京市政府采购电子交易平台查阅“用户指南”—“操作</w:t>
      </w:r>
      <w:r>
        <w:rPr>
          <w:rFonts w:hint="eastAsia" w:ascii="宋体" w:hAnsi="宋体"/>
          <w:sz w:val="24"/>
          <w:lang w:bidi="ar"/>
        </w:rPr>
        <w:t>指</w:t>
      </w:r>
      <w:r>
        <w:rPr>
          <w:rFonts w:ascii="宋体" w:hAnsi="宋体"/>
          <w:sz w:val="24"/>
          <w:lang w:bidi="ar"/>
        </w:rPr>
        <w:t>南”-“市场主体CA办理操作流程指引”</w:t>
      </w:r>
      <w:r>
        <w:rPr>
          <w:rFonts w:hint="eastAsia" w:ascii="宋体" w:hAnsi="宋体"/>
          <w:sz w:val="24"/>
          <w:lang w:bidi="ar"/>
        </w:rPr>
        <w:t>/“电子营业执照使用指南”</w:t>
      </w:r>
      <w:r>
        <w:rPr>
          <w:rFonts w:ascii="宋体" w:hAnsi="宋体"/>
          <w:sz w:val="24"/>
          <w:lang w:bidi="ar"/>
        </w:rPr>
        <w:t>，按照程序要求办理。</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（2）</w:t>
      </w:r>
      <w:r>
        <w:rPr>
          <w:rFonts w:ascii="宋体" w:hAnsi="宋体"/>
          <w:sz w:val="24"/>
          <w:lang w:bidi="ar"/>
        </w:rPr>
        <w:t>注册</w:t>
      </w:r>
    </w:p>
    <w:p>
      <w:pPr>
        <w:adjustRightInd w:val="0"/>
        <w:snapToGrid w:val="0"/>
        <w:spacing w:line="360" w:lineRule="auto"/>
        <w:ind w:firstLine="480" w:firstLineChars="200"/>
        <w:rPr>
          <w:rFonts w:ascii="宋体" w:hAnsi="宋体"/>
          <w:sz w:val="24"/>
        </w:rPr>
      </w:pPr>
      <w:r>
        <w:rPr>
          <w:rFonts w:ascii="宋体" w:hAnsi="宋体"/>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（3）</w:t>
      </w:r>
      <w:r>
        <w:rPr>
          <w:rFonts w:ascii="宋体" w:hAnsi="宋体"/>
          <w:sz w:val="24"/>
          <w:lang w:bidi="ar"/>
        </w:rPr>
        <w:t>驱动、客户端下载</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ascii="宋体" w:hAnsi="宋体"/>
          <w:sz w:val="24"/>
          <w:lang w:bidi="ar"/>
        </w:rPr>
      </w:pPr>
      <w:r>
        <w:rPr>
          <w:rFonts w:ascii="宋体" w:hAnsi="宋体"/>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（4）</w:t>
      </w:r>
      <w:r>
        <w:rPr>
          <w:rFonts w:ascii="宋体" w:hAnsi="宋体"/>
          <w:sz w:val="24"/>
          <w:lang w:bidi="ar"/>
        </w:rPr>
        <w:t>获取电子</w:t>
      </w:r>
      <w:r>
        <w:rPr>
          <w:rFonts w:hint="eastAsia" w:ascii="宋体" w:hAnsi="宋体"/>
          <w:sz w:val="24"/>
          <w:lang w:bidi="ar"/>
        </w:rPr>
        <w:t>采购</w:t>
      </w:r>
      <w:r>
        <w:rPr>
          <w:rFonts w:ascii="宋体" w:hAnsi="宋体"/>
          <w:sz w:val="24"/>
          <w:lang w:bidi="ar"/>
        </w:rPr>
        <w:t>文件</w:t>
      </w:r>
    </w:p>
    <w:p>
      <w:pPr>
        <w:spacing w:line="360" w:lineRule="auto"/>
        <w:ind w:firstLine="480" w:firstLineChars="200"/>
        <w:rPr>
          <w:rFonts w:ascii="宋体" w:hAnsi="宋体"/>
          <w:sz w:val="24"/>
          <w:lang w:bidi="ar"/>
        </w:rPr>
      </w:pPr>
      <w:r>
        <w:rPr>
          <w:rFonts w:ascii="宋体" w:hAnsi="宋体"/>
          <w:sz w:val="24"/>
          <w:lang w:bidi="ar"/>
        </w:rPr>
        <w:t>供应商持CA数字认证证书或电子营业执照登录北京市政府采购电子交易平台获取电子</w:t>
      </w:r>
      <w:r>
        <w:rPr>
          <w:rFonts w:hint="eastAsia" w:ascii="宋体" w:hAnsi="宋体"/>
          <w:sz w:val="24"/>
          <w:lang w:bidi="ar"/>
        </w:rPr>
        <w:t>采购</w:t>
      </w:r>
      <w:r>
        <w:rPr>
          <w:rFonts w:ascii="宋体" w:hAnsi="宋体"/>
          <w:sz w:val="24"/>
          <w:lang w:bidi="ar"/>
        </w:rPr>
        <w:t>文件。</w:t>
      </w:r>
    </w:p>
    <w:p>
      <w:pPr>
        <w:spacing w:line="360" w:lineRule="auto"/>
        <w:ind w:firstLine="480" w:firstLineChars="200"/>
        <w:rPr>
          <w:rFonts w:ascii="宋体" w:hAnsi="宋体"/>
          <w:sz w:val="24"/>
          <w:lang w:bidi="ar"/>
        </w:rPr>
      </w:pPr>
      <w:r>
        <w:rPr>
          <w:rFonts w:hint="eastAsia" w:ascii="宋体" w:hAnsi="宋体"/>
          <w:sz w:val="24"/>
          <w:lang w:bidi="ar"/>
        </w:rPr>
        <w:t>（</w:t>
      </w:r>
      <w:r>
        <w:rPr>
          <w:rFonts w:ascii="宋体" w:hAnsi="宋体"/>
          <w:sz w:val="24"/>
          <w:lang w:bidi="ar"/>
        </w:rPr>
        <w:t>5</w:t>
      </w:r>
      <w:r>
        <w:rPr>
          <w:rFonts w:hint="eastAsia" w:ascii="宋体" w:hAnsi="宋体"/>
          <w:sz w:val="24"/>
          <w:lang w:bidi="ar"/>
        </w:rPr>
        <w:t>）编制电子响应文件</w:t>
      </w:r>
    </w:p>
    <w:p>
      <w:pPr>
        <w:spacing w:line="360" w:lineRule="auto"/>
        <w:ind w:firstLine="480" w:firstLineChars="200"/>
        <w:rPr>
          <w:rFonts w:ascii="宋体" w:hAnsi="宋体"/>
          <w:sz w:val="24"/>
          <w:lang w:bidi="ar"/>
        </w:rPr>
      </w:pPr>
      <w:r>
        <w:rPr>
          <w:rFonts w:hint="eastAsia" w:ascii="宋体" w:hAnsi="宋体"/>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spacing w:line="360" w:lineRule="auto"/>
        <w:ind w:firstLine="480" w:firstLineChars="200"/>
        <w:rPr>
          <w:rFonts w:ascii="宋体" w:hAnsi="宋体"/>
          <w:sz w:val="24"/>
          <w:lang w:bidi="ar"/>
        </w:rPr>
      </w:pPr>
      <w:r>
        <w:rPr>
          <w:rFonts w:hint="eastAsia" w:ascii="宋体" w:hAnsi="宋体"/>
          <w:sz w:val="24"/>
          <w:lang w:bidi="ar"/>
        </w:rPr>
        <w:t>（6）提交电子响应文件</w:t>
      </w:r>
    </w:p>
    <w:p>
      <w:pPr>
        <w:spacing w:line="360" w:lineRule="auto"/>
        <w:ind w:firstLine="480" w:firstLineChars="200"/>
        <w:rPr>
          <w:rFonts w:ascii="宋体" w:hAnsi="宋体"/>
          <w:sz w:val="24"/>
          <w:lang w:bidi="ar"/>
        </w:rPr>
      </w:pPr>
      <w:r>
        <w:rPr>
          <w:rFonts w:hint="eastAsia" w:ascii="宋体" w:hAnsi="宋体"/>
          <w:sz w:val="24"/>
          <w:lang w:bidi="ar"/>
        </w:rPr>
        <w:t>供应商应于响应文件提交截止时间前在北京市政府采购电子交易平台提交电子响应文件，上传电子响应文件过程中请保持与互联网的连接畅通。</w:t>
      </w:r>
    </w:p>
    <w:p>
      <w:pPr>
        <w:spacing w:line="360" w:lineRule="auto"/>
        <w:ind w:firstLine="480" w:firstLineChars="200"/>
        <w:rPr>
          <w:rFonts w:ascii="宋体" w:hAnsi="宋体"/>
          <w:sz w:val="24"/>
          <w:lang w:bidi="ar"/>
        </w:rPr>
      </w:pPr>
      <w:r>
        <w:rPr>
          <w:rFonts w:hint="eastAsia" w:ascii="宋体" w:hAnsi="宋体"/>
          <w:sz w:val="24"/>
          <w:lang w:bidi="ar"/>
        </w:rPr>
        <w:t>（7）开启响应文件</w:t>
      </w:r>
    </w:p>
    <w:p>
      <w:pPr>
        <w:spacing w:line="360" w:lineRule="auto"/>
        <w:ind w:firstLine="480" w:firstLineChars="200"/>
        <w:rPr>
          <w:rFonts w:ascii="宋体" w:hAnsi="宋体"/>
          <w:sz w:val="24"/>
          <w:lang w:bidi="ar"/>
        </w:rPr>
      </w:pPr>
      <w:r>
        <w:rPr>
          <w:rFonts w:hint="eastAsia" w:ascii="宋体" w:hAnsi="宋体"/>
          <w:sz w:val="24"/>
          <w:lang w:bidi="ar"/>
        </w:rPr>
        <w:t>供应商于磋商文件规定的开启时间、在开启地点使用 CA 数字证书或电子营业执照登录北京市政府采购电子交易平台解密并开启响应文件。如因供应商问题，解密不成功，则响应无效。</w:t>
      </w:r>
    </w:p>
    <w:p>
      <w:pPr>
        <w:pStyle w:val="3"/>
        <w:spacing w:before="0" w:line="360" w:lineRule="auto"/>
        <w:jc w:val="left"/>
        <w:rPr>
          <w:rFonts w:ascii="宋体" w:hAnsi="宋体" w:eastAsia="宋体"/>
          <w:color w:val="000000"/>
          <w:sz w:val="24"/>
          <w:szCs w:val="24"/>
        </w:rPr>
      </w:pPr>
      <w:r>
        <w:rPr>
          <w:rFonts w:ascii="宋体" w:hAnsi="宋体" w:eastAsia="宋体"/>
          <w:color w:val="000000"/>
          <w:sz w:val="24"/>
          <w:szCs w:val="24"/>
        </w:rPr>
        <w:t>八、对本项目提出询问，请按以下方式联系。</w:t>
      </w:r>
      <w:bookmarkEnd w:id="15"/>
      <w:bookmarkEnd w:id="16"/>
      <w:bookmarkEnd w:id="17"/>
      <w:bookmarkEnd w:id="18"/>
    </w:p>
    <w:p>
      <w:pPr>
        <w:widowControl/>
        <w:spacing w:line="360" w:lineRule="auto"/>
        <w:ind w:firstLine="482" w:firstLineChars="200"/>
        <w:jc w:val="left"/>
        <w:rPr>
          <w:rFonts w:ascii="宋体" w:hAnsi="宋体"/>
          <w:b/>
          <w:color w:val="000000"/>
          <w:sz w:val="24"/>
        </w:rPr>
      </w:pPr>
      <w:r>
        <w:rPr>
          <w:rFonts w:ascii="宋体" w:hAnsi="宋体"/>
          <w:b/>
          <w:color w:val="000000"/>
          <w:sz w:val="24"/>
        </w:rPr>
        <w:t>1.采购人信息</w:t>
      </w:r>
    </w:p>
    <w:p>
      <w:pPr>
        <w:widowControl w:val="0"/>
        <w:pBdr>
          <w:top w:val="none" w:color="auto" w:sz="0" w:space="0"/>
          <w:left w:val="none" w:color="auto" w:sz="0" w:space="0"/>
          <w:bottom w:val="none" w:color="auto" w:sz="0" w:space="0"/>
          <w:right w:val="none" w:color="auto" w:sz="0" w:space="0"/>
        </w:pBdr>
        <w:spacing w:line="600" w:lineRule="exact"/>
        <w:ind w:firstLine="720" w:firstLineChars="300"/>
        <w:jc w:val="both"/>
        <w:rPr>
          <w:rFonts w:hint="eastAsia" w:ascii="宋体" w:hAnsi="宋体" w:eastAsia="宋体" w:cs="Arial Unicode MS"/>
          <w:color w:val="000000"/>
          <w:kern w:val="2"/>
          <w:sz w:val="22"/>
          <w:szCs w:val="22"/>
          <w:u w:color="000000"/>
          <w:lang w:val="en-US" w:eastAsia="zh-CN" w:bidi="ar-SA"/>
        </w:rPr>
      </w:pPr>
      <w:bookmarkStart w:id="31" w:name="_Toc28359086"/>
      <w:bookmarkStart w:id="32" w:name="_Toc28359009"/>
      <w:r>
        <w:rPr>
          <w:rFonts w:ascii="宋体" w:hAnsi="宋体" w:eastAsia="Times New Roman" w:cs="Arial Unicode MS"/>
          <w:color w:val="000000"/>
          <w:kern w:val="2"/>
          <w:sz w:val="24"/>
          <w:szCs w:val="21"/>
          <w:u w:color="000000"/>
          <w:lang w:val="en-US" w:eastAsia="zh-CN" w:bidi="ar-SA"/>
        </w:rPr>
        <w:t>名    称：</w:t>
      </w:r>
      <w:r>
        <w:rPr>
          <w:rFonts w:hint="eastAsia" w:ascii="宋体" w:hAnsi="宋体" w:eastAsia="宋体" w:cs="宋体"/>
          <w:snapToGrid w:val="0"/>
          <w:color w:val="000000"/>
          <w:spacing w:val="-8"/>
          <w:kern w:val="0"/>
          <w:sz w:val="24"/>
          <w:szCs w:val="24"/>
          <w:u w:val="single" w:color="000000"/>
          <w:lang w:val="en-US" w:eastAsia="zh-CN" w:bidi="ar-SA"/>
        </w:rPr>
        <w:t xml:space="preserve"> </w:t>
      </w:r>
      <w:r>
        <w:rPr>
          <w:rFonts w:hint="eastAsia" w:ascii="宋体" w:hAnsi="宋体" w:eastAsia="宋体" w:cs="宋体"/>
          <w:color w:val="000000"/>
          <w:spacing w:val="-8"/>
          <w:kern w:val="2"/>
          <w:sz w:val="24"/>
          <w:szCs w:val="24"/>
          <w:u w:val="single" w:color="000000"/>
          <w:lang w:val="en-US" w:eastAsia="zh-CN" w:bidi="ar-SA"/>
        </w:rPr>
        <w:t xml:space="preserve">北京市平谷区文物管理所 </w:t>
      </w:r>
    </w:p>
    <w:p>
      <w:pPr>
        <w:spacing w:line="360" w:lineRule="auto"/>
        <w:ind w:firstLine="720" w:firstLineChars="300"/>
        <w:jc w:val="left"/>
        <w:rPr>
          <w:rFonts w:ascii="宋体" w:hAnsi="宋体" w:eastAsia="宋体" w:cs="Times New Roman"/>
          <w:color w:val="000000"/>
          <w:sz w:val="24"/>
        </w:rPr>
      </w:pPr>
      <w:r>
        <w:rPr>
          <w:rFonts w:ascii="宋体" w:hAnsi="宋体" w:eastAsia="宋体" w:cs="Times New Roman"/>
          <w:color w:val="000000"/>
          <w:sz w:val="24"/>
        </w:rPr>
        <w:t>地    址：</w:t>
      </w:r>
      <w:r>
        <w:rPr>
          <w:rFonts w:hint="eastAsia" w:ascii="宋体" w:hAnsi="宋体" w:eastAsia="宋体" w:cs="宋体"/>
          <w:snapToGrid w:val="0"/>
          <w:color w:val="000000"/>
          <w:spacing w:val="-8"/>
          <w:kern w:val="0"/>
          <w:sz w:val="24"/>
          <w:szCs w:val="24"/>
          <w:u w:val="single"/>
          <w:lang w:val="en-US" w:eastAsia="zh-CN" w:bidi="ar-SA"/>
        </w:rPr>
        <w:t>北京市平谷区渔阳地区平谷体育中心西路3号院2号楼101</w:t>
      </w:r>
    </w:p>
    <w:p>
      <w:pPr>
        <w:spacing w:line="360" w:lineRule="auto"/>
        <w:ind w:left="1079" w:leftChars="371" w:hanging="300" w:hangingChars="125"/>
        <w:jc w:val="left"/>
        <w:rPr>
          <w:rFonts w:ascii="宋体" w:hAnsi="宋体" w:eastAsia="宋体" w:cs="Times New Roman"/>
          <w:color w:val="000000"/>
          <w:sz w:val="24"/>
          <w:u w:val="single"/>
        </w:rPr>
      </w:pPr>
      <w:r>
        <w:rPr>
          <w:rFonts w:ascii="宋体" w:hAnsi="宋体" w:eastAsia="宋体" w:cs="Times New Roman"/>
          <w:color w:val="000000"/>
          <w:sz w:val="24"/>
        </w:rPr>
        <w:t>联系方式：</w:t>
      </w:r>
      <w:r>
        <w:rPr>
          <w:rFonts w:ascii="宋体" w:hAnsi="宋体" w:eastAsia="宋体" w:cs="Times New Roman"/>
          <w:color w:val="000000"/>
          <w:sz w:val="24"/>
          <w:u w:val="single"/>
        </w:rPr>
        <w:t>010-</w:t>
      </w:r>
      <w:r>
        <w:rPr>
          <w:rFonts w:hint="eastAsia" w:ascii="宋体" w:hAnsi="宋体" w:eastAsia="宋体" w:cs="Times New Roman"/>
          <w:color w:val="000000"/>
          <w:sz w:val="24"/>
          <w:u w:val="single"/>
          <w:lang w:val="en-US" w:eastAsia="zh-CN"/>
        </w:rPr>
        <w:t>60953101</w:t>
      </w:r>
    </w:p>
    <w:p>
      <w:pPr>
        <w:spacing w:line="360" w:lineRule="auto"/>
        <w:ind w:firstLine="482" w:firstLineChars="200"/>
        <w:jc w:val="left"/>
        <w:rPr>
          <w:rFonts w:ascii="宋体" w:hAnsi="宋体"/>
          <w:b/>
          <w:color w:val="000000"/>
          <w:sz w:val="24"/>
        </w:rPr>
      </w:pPr>
      <w:r>
        <w:rPr>
          <w:rFonts w:ascii="宋体" w:hAnsi="宋体"/>
          <w:b/>
          <w:color w:val="000000"/>
          <w:sz w:val="24"/>
        </w:rPr>
        <w:t>2.采购代理机构信息</w:t>
      </w:r>
      <w:bookmarkEnd w:id="31"/>
      <w:bookmarkEnd w:id="32"/>
    </w:p>
    <w:p>
      <w:pPr>
        <w:spacing w:line="360" w:lineRule="auto"/>
        <w:ind w:firstLine="480" w:firstLineChars="200"/>
        <w:jc w:val="left"/>
        <w:rPr>
          <w:rFonts w:ascii="宋体" w:hAnsi="宋体"/>
          <w:color w:val="000000"/>
          <w:sz w:val="24"/>
        </w:rPr>
      </w:pPr>
      <w:bookmarkStart w:id="33" w:name="_Toc28359010"/>
      <w:bookmarkStart w:id="34" w:name="_Toc28359087"/>
      <w:r>
        <w:rPr>
          <w:rFonts w:ascii="宋体" w:hAnsi="宋体"/>
          <w:color w:val="000000"/>
          <w:sz w:val="24"/>
        </w:rPr>
        <w:t>名    称：</w:t>
      </w:r>
      <w:r>
        <w:rPr>
          <w:rFonts w:hint="eastAsia" w:ascii="宋体" w:hAnsi="宋体"/>
          <w:color w:val="000000"/>
          <w:sz w:val="24"/>
          <w:u w:val="single"/>
        </w:rPr>
        <w:t>北京市平谷区政府采购中心</w:t>
      </w:r>
    </w:p>
    <w:p>
      <w:pPr>
        <w:spacing w:line="360" w:lineRule="auto"/>
        <w:ind w:firstLine="480" w:firstLineChars="200"/>
        <w:jc w:val="left"/>
        <w:rPr>
          <w:rFonts w:ascii="宋体" w:hAnsi="宋体"/>
          <w:color w:val="000000"/>
          <w:sz w:val="24"/>
        </w:rPr>
      </w:pPr>
      <w:r>
        <w:rPr>
          <w:rFonts w:ascii="宋体" w:hAnsi="宋体"/>
          <w:color w:val="000000"/>
          <w:sz w:val="24"/>
        </w:rPr>
        <w:t>地    址：</w:t>
      </w:r>
      <w:r>
        <w:rPr>
          <w:rFonts w:hint="eastAsia" w:ascii="宋体" w:hAnsi="宋体"/>
          <w:color w:val="000000"/>
          <w:sz w:val="24"/>
          <w:u w:val="single"/>
        </w:rPr>
        <w:t>北京市平谷区府前西街17号社会服务中心后配楼4层</w:t>
      </w:r>
    </w:p>
    <w:p>
      <w:pPr>
        <w:spacing w:line="360" w:lineRule="auto"/>
        <w:ind w:firstLine="480" w:firstLineChars="200"/>
        <w:jc w:val="left"/>
        <w:rPr>
          <w:rFonts w:ascii="宋体" w:hAnsi="宋体"/>
          <w:color w:val="000000"/>
          <w:sz w:val="24"/>
          <w:u w:val="single"/>
        </w:rPr>
      </w:pPr>
      <w:r>
        <w:rPr>
          <w:rFonts w:ascii="宋体" w:hAnsi="宋体"/>
          <w:color w:val="000000"/>
          <w:sz w:val="24"/>
        </w:rPr>
        <w:t>联系方式：</w:t>
      </w:r>
      <w:r>
        <w:rPr>
          <w:rFonts w:ascii="宋体" w:hAnsi="宋体"/>
          <w:color w:val="000000"/>
          <w:sz w:val="24"/>
          <w:u w:val="single"/>
        </w:rPr>
        <w:t>010-89991119</w:t>
      </w:r>
    </w:p>
    <w:p>
      <w:pPr>
        <w:spacing w:line="360" w:lineRule="auto"/>
        <w:ind w:firstLine="482" w:firstLineChars="200"/>
        <w:rPr>
          <w:rFonts w:ascii="宋体" w:hAnsi="宋体"/>
          <w:b/>
          <w:color w:val="000000"/>
          <w:sz w:val="24"/>
          <w:u w:val="single"/>
        </w:rPr>
      </w:pPr>
      <w:r>
        <w:rPr>
          <w:rFonts w:ascii="宋体" w:hAnsi="宋体"/>
          <w:b/>
          <w:color w:val="000000"/>
          <w:sz w:val="24"/>
        </w:rPr>
        <w:t>3.项目联系方式</w:t>
      </w:r>
      <w:bookmarkEnd w:id="33"/>
      <w:bookmarkEnd w:id="34"/>
    </w:p>
    <w:p>
      <w:pPr>
        <w:pStyle w:val="6"/>
        <w:spacing w:line="360" w:lineRule="auto"/>
        <w:ind w:firstLine="480" w:firstLineChars="200"/>
        <w:rPr>
          <w:rFonts w:hint="eastAsia" w:hAnsi="宋体" w:eastAsia="宋体"/>
          <w:color w:val="000000"/>
          <w:sz w:val="24"/>
          <w:lang w:eastAsia="zh-CN"/>
        </w:rPr>
      </w:pPr>
      <w:r>
        <w:rPr>
          <w:rFonts w:hAnsi="宋体"/>
          <w:color w:val="000000"/>
          <w:sz w:val="24"/>
          <w:szCs w:val="24"/>
        </w:rPr>
        <w:t>项目联系人：</w:t>
      </w:r>
      <w:r>
        <w:rPr>
          <w:rFonts w:hint="eastAsia" w:hAnsi="宋体"/>
          <w:color w:val="000000"/>
          <w:sz w:val="24"/>
          <w:u w:val="single"/>
        </w:rPr>
        <w:t>白金雷</w:t>
      </w:r>
      <w:r>
        <w:rPr>
          <w:rFonts w:hint="eastAsia" w:hAnsi="宋体"/>
          <w:color w:val="000000"/>
          <w:sz w:val="24"/>
          <w:u w:val="single"/>
          <w:lang w:eastAsia="zh-CN"/>
        </w:rPr>
        <w:t>、闫潇</w:t>
      </w:r>
    </w:p>
    <w:p>
      <w:pPr>
        <w:pStyle w:val="6"/>
        <w:spacing w:line="360" w:lineRule="auto"/>
        <w:ind w:firstLine="480" w:firstLineChars="200"/>
        <w:rPr>
          <w:rFonts w:hAnsi="宋体"/>
          <w:color w:val="000000"/>
          <w:sz w:val="24"/>
          <w:szCs w:val="24"/>
        </w:rPr>
      </w:pPr>
      <w:r>
        <w:rPr>
          <w:rFonts w:hAnsi="宋体"/>
          <w:color w:val="000000"/>
          <w:sz w:val="24"/>
        </w:rPr>
        <w:t>电      话：</w:t>
      </w:r>
      <w:r>
        <w:rPr>
          <w:rFonts w:hAnsi="宋体"/>
          <w:color w:val="000000"/>
          <w:sz w:val="24"/>
          <w:u w:val="single"/>
        </w:rPr>
        <w:t>010-89991119</w:t>
      </w:r>
    </w:p>
    <w:p>
      <w:pPr>
        <w:spacing w:line="360" w:lineRule="auto"/>
        <w:ind w:firstLine="5880" w:firstLineChars="2450"/>
        <w:jc w:val="right"/>
        <w:rPr>
          <w:rFonts w:ascii="宋体" w:hAnsi="宋体"/>
          <w:color w:val="000000"/>
          <w:sz w:val="24"/>
        </w:rPr>
      </w:pPr>
    </w:p>
    <w:p>
      <w:pPr>
        <w:spacing w:line="360" w:lineRule="auto"/>
        <w:jc w:val="center"/>
        <w:outlineLvl w:val="0"/>
        <w:rPr>
          <w:rFonts w:ascii="宋体" w:hAnsi="宋体"/>
          <w:b/>
          <w:color w:val="000000"/>
          <w:sz w:val="32"/>
          <w:szCs w:val="32"/>
        </w:rPr>
      </w:pPr>
      <w:r>
        <w:rPr>
          <w:rFonts w:ascii="宋体" w:hAnsi="宋体"/>
          <w:color w:val="000000"/>
          <w:sz w:val="24"/>
        </w:rPr>
        <w:br w:type="page"/>
      </w:r>
      <w:bookmarkStart w:id="35" w:name="_Toc127151777"/>
      <w:bookmarkStart w:id="36" w:name="_Toc195842950"/>
      <w:bookmarkStart w:id="37" w:name="_Toc226965856"/>
      <w:bookmarkStart w:id="38" w:name="_Toc264969275"/>
      <w:bookmarkStart w:id="39" w:name="_Toc353825548"/>
      <w:bookmarkStart w:id="40" w:name="_Toc305158928"/>
      <w:bookmarkStart w:id="41" w:name="_Toc127161488"/>
      <w:bookmarkStart w:id="42" w:name="_Toc150774783"/>
      <w:bookmarkStart w:id="43" w:name="_Toc226018952"/>
      <w:bookmarkStart w:id="44" w:name="_Toc353873938"/>
      <w:bookmarkStart w:id="45" w:name="_Toc265228423"/>
      <w:bookmarkStart w:id="46" w:name="_Toc305158854"/>
      <w:bookmarkStart w:id="47" w:name="_Toc512937850"/>
      <w:r>
        <w:rPr>
          <w:rFonts w:ascii="宋体" w:hAnsi="宋体"/>
          <w:b/>
          <w:color w:val="000000"/>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3"/>
        <w:tabs>
          <w:tab w:val="center" w:pos="4592"/>
          <w:tab w:val="left" w:pos="7860"/>
        </w:tabs>
        <w:spacing w:before="0" w:line="360" w:lineRule="auto"/>
        <w:rPr>
          <w:rFonts w:ascii="宋体" w:hAnsi="宋体" w:eastAsia="宋体"/>
          <w:b w:val="0"/>
          <w:color w:val="000000"/>
          <w:sz w:val="28"/>
        </w:rPr>
      </w:pPr>
      <w:bookmarkStart w:id="48" w:name="_Toc226309763"/>
      <w:bookmarkStart w:id="49" w:name="_Toc151193689"/>
      <w:bookmarkStart w:id="50" w:name="_Toc150774619"/>
      <w:bookmarkStart w:id="51" w:name="_Toc164229360"/>
      <w:bookmarkStart w:id="52" w:name="_Toc520356144"/>
      <w:bookmarkStart w:id="53" w:name="_Toc127151720"/>
      <w:bookmarkStart w:id="54" w:name="_Toc151190146"/>
      <w:bookmarkStart w:id="55" w:name="_Toc127151519"/>
      <w:bookmarkStart w:id="56" w:name="_Toc151193617"/>
      <w:bookmarkStart w:id="57" w:name="_Toc164351613"/>
      <w:bookmarkStart w:id="58" w:name="_Toc150480757"/>
      <w:bookmarkStart w:id="59" w:name="_Toc150509270"/>
      <w:bookmarkStart w:id="60" w:name="_Toc151193907"/>
      <w:bookmarkStart w:id="61" w:name="_Toc226965792"/>
      <w:bookmarkStart w:id="62" w:name="_Toc149720812"/>
      <w:bookmarkStart w:id="63" w:name="_Toc151193833"/>
      <w:bookmarkStart w:id="64" w:name="_Toc142311021"/>
      <w:bookmarkStart w:id="65" w:name="_Toc127161433"/>
      <w:bookmarkStart w:id="66" w:name="_Toc226337215"/>
      <w:bookmarkStart w:id="67" w:name="_Toc151193761"/>
      <w:bookmarkStart w:id="68" w:name="_Toc150774724"/>
      <w:bookmarkStart w:id="69" w:name="_Toc164608788"/>
      <w:bookmarkStart w:id="70" w:name="_Toc226965709"/>
      <w:bookmarkStart w:id="71" w:name="_Toc164608633"/>
      <w:bookmarkStart w:id="72" w:name="_Toc195842884"/>
      <w:bookmarkStart w:id="73" w:name="_Toc164229214"/>
      <w:r>
        <w:rPr>
          <w:rFonts w:ascii="宋体" w:hAnsi="宋体" w:eastAsia="宋体"/>
          <w:color w:val="000000"/>
          <w:sz w:val="28"/>
        </w:rPr>
        <w:t>供应商须知资料表</w:t>
      </w:r>
    </w:p>
    <w:p>
      <w:pPr>
        <w:jc w:val="center"/>
        <w:rPr>
          <w:rFonts w:ascii="宋体" w:hAnsi="宋体"/>
          <w:b/>
          <w:color w:val="000000"/>
          <w:sz w:val="28"/>
          <w:szCs w:val="28"/>
        </w:rPr>
      </w:pPr>
    </w:p>
    <w:p>
      <w:pPr>
        <w:spacing w:line="360" w:lineRule="auto"/>
        <w:ind w:firstLine="480"/>
        <w:rPr>
          <w:rFonts w:ascii="宋体" w:hAnsi="宋体"/>
          <w:color w:val="000000"/>
          <w:sz w:val="24"/>
        </w:rPr>
      </w:pPr>
      <w:r>
        <w:rPr>
          <w:rFonts w:ascii="宋体" w:hAnsi="宋体"/>
          <w:color w:val="000000"/>
          <w:sz w:val="24"/>
        </w:rPr>
        <w:t>本表是对供应商须知的具体补充和修改，如有矛盾，均以本资料表为准。标记“</w:t>
      </w:r>
      <w:r>
        <w:rPr>
          <w:rFonts w:ascii="宋体" w:hAnsi="宋体"/>
          <w:b/>
          <w:color w:val="000000"/>
          <w:sz w:val="24"/>
        </w:rPr>
        <w:t>■</w:t>
      </w:r>
      <w:r>
        <w:rPr>
          <w:rFonts w:ascii="宋体" w:hAnsi="宋体"/>
          <w:color w:val="000000"/>
          <w:sz w:val="24"/>
        </w:rPr>
        <w:t>”的选项意为适用于本项目，标记“</w:t>
      </w:r>
      <w:r>
        <w:rPr>
          <w:rFonts w:ascii="宋体" w:hAnsi="宋体"/>
          <w:color w:val="000000"/>
        </w:rPr>
        <w:t>□</w:t>
      </w:r>
      <w:r>
        <w:rPr>
          <w:rFonts w:ascii="宋体" w:hAnsi="宋体"/>
          <w:color w:val="000000"/>
          <w:sz w:val="24"/>
        </w:rPr>
        <w:t>”的选项意为不适用于本项目。</w:t>
      </w:r>
    </w:p>
    <w:tbl>
      <w:tblPr>
        <w:tblStyle w:val="1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33"/>
        <w:gridCol w:w="6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1094" w:type="dxa"/>
            <w:vAlign w:val="center"/>
          </w:tcPr>
          <w:p>
            <w:pPr>
              <w:jc w:val="center"/>
              <w:rPr>
                <w:rFonts w:ascii="宋体" w:hAnsi="宋体"/>
                <w:b/>
                <w:bCs/>
                <w:color w:val="000000"/>
                <w:sz w:val="24"/>
              </w:rPr>
            </w:pPr>
            <w:r>
              <w:rPr>
                <w:rFonts w:ascii="宋体" w:hAnsi="宋体"/>
                <w:b/>
                <w:color w:val="000000"/>
                <w:sz w:val="24"/>
              </w:rPr>
              <w:t>条款号</w:t>
            </w:r>
          </w:p>
        </w:tc>
        <w:tc>
          <w:tcPr>
            <w:tcW w:w="1433" w:type="dxa"/>
            <w:vAlign w:val="center"/>
          </w:tcPr>
          <w:p>
            <w:pPr>
              <w:jc w:val="center"/>
              <w:rPr>
                <w:rFonts w:ascii="宋体" w:hAnsi="宋体"/>
                <w:b/>
                <w:bCs/>
                <w:color w:val="000000"/>
                <w:sz w:val="24"/>
              </w:rPr>
            </w:pPr>
            <w:r>
              <w:rPr>
                <w:rFonts w:ascii="宋体" w:hAnsi="宋体"/>
                <w:b/>
                <w:bCs/>
                <w:color w:val="000000"/>
                <w:sz w:val="24"/>
              </w:rPr>
              <w:t>条目</w:t>
            </w:r>
          </w:p>
        </w:tc>
        <w:tc>
          <w:tcPr>
            <w:tcW w:w="6534" w:type="dxa"/>
            <w:vAlign w:val="center"/>
          </w:tcPr>
          <w:p>
            <w:pPr>
              <w:jc w:val="center"/>
              <w:rPr>
                <w:rFonts w:ascii="宋体" w:hAnsi="宋体"/>
                <w:b/>
                <w:bCs/>
                <w:color w:val="000000"/>
                <w:sz w:val="24"/>
              </w:rPr>
            </w:pPr>
            <w:r>
              <w:rPr>
                <w:rFonts w:ascii="宋体" w:hAnsi="宋体"/>
                <w:b/>
                <w:bCs/>
                <w:color w:val="00000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2.2</w:t>
            </w:r>
          </w:p>
        </w:tc>
        <w:tc>
          <w:tcPr>
            <w:tcW w:w="1433" w:type="dxa"/>
            <w:vAlign w:val="center"/>
          </w:tcPr>
          <w:p>
            <w:pPr>
              <w:jc w:val="center"/>
              <w:rPr>
                <w:rFonts w:ascii="宋体" w:hAnsi="宋体"/>
                <w:color w:val="000000"/>
                <w:sz w:val="24"/>
              </w:rPr>
            </w:pPr>
            <w:r>
              <w:rPr>
                <w:rFonts w:ascii="宋体" w:hAnsi="宋体"/>
                <w:color w:val="000000"/>
                <w:sz w:val="24"/>
              </w:rPr>
              <w:t>项目属性</w:t>
            </w:r>
          </w:p>
        </w:tc>
        <w:tc>
          <w:tcPr>
            <w:tcW w:w="6534" w:type="dxa"/>
            <w:vAlign w:val="center"/>
          </w:tcPr>
          <w:p>
            <w:pPr>
              <w:jc w:val="left"/>
              <w:rPr>
                <w:rFonts w:ascii="宋体" w:hAnsi="宋体"/>
                <w:color w:val="000000"/>
                <w:sz w:val="24"/>
              </w:rPr>
            </w:pPr>
            <w:r>
              <w:rPr>
                <w:rFonts w:ascii="宋体" w:hAnsi="宋体"/>
                <w:color w:val="000000"/>
                <w:sz w:val="24"/>
              </w:rPr>
              <w:t>项目属性：</w:t>
            </w:r>
          </w:p>
          <w:p>
            <w:pPr>
              <w:jc w:val="left"/>
              <w:rPr>
                <w:rFonts w:ascii="宋体" w:hAnsi="宋体"/>
                <w:color w:val="000000"/>
                <w:sz w:val="24"/>
              </w:rPr>
            </w:pPr>
            <w:r>
              <w:rPr>
                <w:rFonts w:ascii="宋体" w:hAnsi="宋体"/>
                <w:b/>
                <w:color w:val="000000"/>
                <w:sz w:val="24"/>
              </w:rPr>
              <w:t>■</w:t>
            </w:r>
            <w:r>
              <w:rPr>
                <w:rFonts w:ascii="宋体" w:hAnsi="宋体"/>
                <w:color w:val="000000"/>
                <w:sz w:val="24"/>
              </w:rPr>
              <w:t>服务</w:t>
            </w:r>
          </w:p>
          <w:p>
            <w:pPr>
              <w:jc w:val="left"/>
              <w:rPr>
                <w:rFonts w:ascii="宋体" w:hAnsi="宋体"/>
                <w:color w:val="000000"/>
                <w:sz w:val="24"/>
              </w:rPr>
            </w:pPr>
            <w:r>
              <w:rPr>
                <w:rFonts w:ascii="宋体" w:hAnsi="宋体"/>
                <w:color w:val="000000"/>
              </w:rPr>
              <w:t>□</w:t>
            </w:r>
            <w:r>
              <w:rPr>
                <w:rFonts w:ascii="宋体" w:hAnsi="宋体"/>
                <w:color w:val="000000"/>
                <w:sz w:val="24"/>
              </w:rPr>
              <w:t>货物</w:t>
            </w:r>
          </w:p>
          <w:p>
            <w:pPr>
              <w:jc w:val="left"/>
              <w:rPr>
                <w:rFonts w:ascii="宋体" w:hAnsi="宋体"/>
                <w:color w:val="000000"/>
                <w:sz w:val="24"/>
                <w:u w:val="single"/>
              </w:rPr>
            </w:pPr>
            <w:r>
              <w:rPr>
                <w:rFonts w:ascii="宋体" w:hAnsi="宋体"/>
                <w:color w:val="000000"/>
              </w:rPr>
              <w:t>□</w:t>
            </w:r>
            <w:r>
              <w:rPr>
                <w:rFonts w:hint="eastAsia" w:ascii="宋体" w:hAnsi="宋体"/>
                <w:color w:val="000000"/>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2.3</w:t>
            </w:r>
          </w:p>
        </w:tc>
        <w:tc>
          <w:tcPr>
            <w:tcW w:w="1433" w:type="dxa"/>
            <w:vAlign w:val="center"/>
          </w:tcPr>
          <w:p>
            <w:pPr>
              <w:jc w:val="center"/>
              <w:rPr>
                <w:rFonts w:ascii="宋体" w:hAnsi="宋体"/>
                <w:color w:val="000000"/>
                <w:sz w:val="24"/>
              </w:rPr>
            </w:pPr>
            <w:r>
              <w:rPr>
                <w:rFonts w:ascii="宋体" w:hAnsi="宋体"/>
                <w:color w:val="000000"/>
                <w:sz w:val="24"/>
              </w:rPr>
              <w:t>科研仪器设备</w:t>
            </w:r>
          </w:p>
        </w:tc>
        <w:tc>
          <w:tcPr>
            <w:tcW w:w="6534" w:type="dxa"/>
            <w:vAlign w:val="center"/>
          </w:tcPr>
          <w:p>
            <w:pPr>
              <w:jc w:val="left"/>
              <w:rPr>
                <w:rFonts w:ascii="宋体" w:hAnsi="宋体"/>
                <w:color w:val="000000"/>
                <w:sz w:val="24"/>
              </w:rPr>
            </w:pPr>
            <w:r>
              <w:rPr>
                <w:rFonts w:ascii="宋体" w:hAnsi="宋体"/>
                <w:color w:val="000000"/>
                <w:sz w:val="24"/>
              </w:rPr>
              <w:t>是否属于科研仪器设备采购项目：</w:t>
            </w:r>
          </w:p>
          <w:p>
            <w:pPr>
              <w:tabs>
                <w:tab w:val="left" w:pos="2702"/>
              </w:tabs>
              <w:jc w:val="left"/>
              <w:rPr>
                <w:rFonts w:ascii="宋体" w:hAnsi="宋体"/>
                <w:color w:val="000000"/>
                <w:sz w:val="24"/>
              </w:rPr>
            </w:pPr>
            <w:r>
              <w:rPr>
                <w:rFonts w:ascii="宋体" w:hAnsi="宋体"/>
                <w:color w:val="000000"/>
              </w:rPr>
              <w:t>□</w:t>
            </w:r>
            <w:r>
              <w:rPr>
                <w:rFonts w:ascii="宋体" w:hAnsi="宋体"/>
                <w:color w:val="000000"/>
                <w:sz w:val="24"/>
              </w:rPr>
              <w:t>是</w:t>
            </w:r>
            <w:r>
              <w:rPr>
                <w:rFonts w:hint="eastAsia" w:ascii="宋体" w:hAnsi="宋体"/>
                <w:color w:val="000000"/>
                <w:sz w:val="24"/>
              </w:rPr>
              <w:tab/>
            </w:r>
          </w:p>
          <w:p>
            <w:pPr>
              <w:jc w:val="left"/>
              <w:rPr>
                <w:rFonts w:ascii="宋体" w:hAnsi="宋体"/>
                <w:color w:val="000000"/>
                <w:sz w:val="24"/>
              </w:rPr>
            </w:pPr>
            <w:r>
              <w:rPr>
                <w:rFonts w:ascii="宋体" w:hAnsi="宋体"/>
                <w:b/>
                <w:color w:val="000000"/>
                <w:sz w:val="24"/>
              </w:rPr>
              <w:t>■</w:t>
            </w:r>
            <w:r>
              <w:rPr>
                <w:rFonts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Merge w:val="restart"/>
            <w:vAlign w:val="center"/>
          </w:tcPr>
          <w:p>
            <w:pPr>
              <w:pStyle w:val="6"/>
              <w:adjustRightInd w:val="0"/>
              <w:snapToGrid w:val="0"/>
              <w:jc w:val="center"/>
              <w:rPr>
                <w:rFonts w:hAnsi="宋体"/>
                <w:color w:val="000000"/>
                <w:sz w:val="24"/>
                <w:szCs w:val="24"/>
              </w:rPr>
            </w:pPr>
            <w:r>
              <w:rPr>
                <w:rFonts w:hAnsi="宋体"/>
                <w:color w:val="000000"/>
                <w:sz w:val="24"/>
                <w:szCs w:val="24"/>
              </w:rPr>
              <w:t>3.1</w:t>
            </w:r>
          </w:p>
        </w:tc>
        <w:tc>
          <w:tcPr>
            <w:tcW w:w="1433" w:type="dxa"/>
            <w:vAlign w:val="center"/>
          </w:tcPr>
          <w:p>
            <w:pPr>
              <w:jc w:val="center"/>
              <w:rPr>
                <w:rFonts w:ascii="宋体" w:hAnsi="宋体"/>
                <w:color w:val="000000"/>
                <w:sz w:val="24"/>
              </w:rPr>
            </w:pPr>
            <w:r>
              <w:rPr>
                <w:rFonts w:ascii="宋体" w:hAnsi="宋体"/>
                <w:color w:val="000000"/>
                <w:sz w:val="24"/>
              </w:rPr>
              <w:t>现场考察</w:t>
            </w:r>
          </w:p>
        </w:tc>
        <w:tc>
          <w:tcPr>
            <w:tcW w:w="6534" w:type="dxa"/>
            <w:vAlign w:val="center"/>
          </w:tcPr>
          <w:p>
            <w:pPr>
              <w:jc w:val="left"/>
              <w:rPr>
                <w:rFonts w:ascii="宋体" w:hAnsi="宋体"/>
                <w:color w:val="000000"/>
                <w:sz w:val="24"/>
              </w:rPr>
            </w:pPr>
            <w:r>
              <w:rPr>
                <w:rFonts w:ascii="宋体" w:hAnsi="宋体"/>
                <w:b/>
                <w:color w:val="000000"/>
                <w:sz w:val="24"/>
              </w:rPr>
              <w:t>■</w:t>
            </w:r>
            <w:r>
              <w:rPr>
                <w:rFonts w:ascii="宋体" w:hAnsi="宋体"/>
                <w:color w:val="000000"/>
                <w:sz w:val="24"/>
              </w:rPr>
              <w:t>不组织</w:t>
            </w:r>
          </w:p>
          <w:p>
            <w:pPr>
              <w:jc w:val="left"/>
              <w:rPr>
                <w:rFonts w:ascii="宋体" w:hAnsi="宋体"/>
                <w:bCs/>
                <w:color w:val="000000"/>
                <w:sz w:val="24"/>
              </w:rPr>
            </w:pPr>
            <w:r>
              <w:rPr>
                <w:rFonts w:ascii="宋体" w:hAnsi="宋体"/>
                <w:color w:val="000000"/>
              </w:rPr>
              <w:t>□</w:t>
            </w:r>
            <w:r>
              <w:rPr>
                <w:rFonts w:ascii="宋体" w:hAnsi="宋体"/>
                <w:color w:val="000000"/>
                <w:sz w:val="24"/>
              </w:rPr>
              <w:t>组织，考察时间：___</w:t>
            </w:r>
            <w:r>
              <w:rPr>
                <w:rFonts w:ascii="宋体" w:hAnsi="宋体"/>
                <w:color w:val="000000"/>
                <w:sz w:val="24"/>
                <w:lang w:bidi="ar"/>
              </w:rPr>
              <w:t>年</w:t>
            </w:r>
            <w:r>
              <w:rPr>
                <w:rFonts w:ascii="宋体" w:hAnsi="宋体"/>
                <w:color w:val="000000"/>
                <w:sz w:val="24"/>
              </w:rPr>
              <w:t>___</w:t>
            </w:r>
            <w:r>
              <w:rPr>
                <w:rFonts w:ascii="宋体" w:hAnsi="宋体"/>
                <w:color w:val="000000"/>
                <w:sz w:val="24"/>
                <w:lang w:bidi="ar"/>
              </w:rPr>
              <w:t>月</w:t>
            </w:r>
            <w:r>
              <w:rPr>
                <w:rFonts w:ascii="宋体" w:hAnsi="宋体"/>
                <w:color w:val="000000"/>
                <w:sz w:val="24"/>
              </w:rPr>
              <w:t>___</w:t>
            </w:r>
            <w:r>
              <w:rPr>
                <w:rFonts w:ascii="宋体" w:hAnsi="宋体"/>
                <w:color w:val="000000"/>
                <w:sz w:val="24"/>
                <w:lang w:bidi="ar"/>
              </w:rPr>
              <w:t>日</w:t>
            </w:r>
            <w:r>
              <w:rPr>
                <w:rFonts w:ascii="宋体" w:hAnsi="宋体"/>
                <w:color w:val="000000"/>
                <w:sz w:val="24"/>
              </w:rPr>
              <w:t>___</w:t>
            </w:r>
            <w:r>
              <w:rPr>
                <w:rFonts w:ascii="宋体" w:hAnsi="宋体"/>
                <w:color w:val="000000"/>
                <w:sz w:val="24"/>
                <w:lang w:bidi="ar"/>
              </w:rPr>
              <w:t>点</w:t>
            </w:r>
            <w:r>
              <w:rPr>
                <w:rFonts w:ascii="宋体" w:hAnsi="宋体"/>
                <w:color w:val="000000"/>
                <w:sz w:val="24"/>
              </w:rPr>
              <w:t>___</w:t>
            </w:r>
            <w:r>
              <w:rPr>
                <w:rFonts w:ascii="宋体" w:hAnsi="宋体"/>
                <w:color w:val="000000"/>
                <w:sz w:val="24"/>
                <w:lang w:bidi="ar"/>
              </w:rPr>
              <w:t>分</w:t>
            </w:r>
          </w:p>
          <w:p>
            <w:pPr>
              <w:pStyle w:val="6"/>
              <w:adjustRightInd w:val="0"/>
              <w:snapToGrid w:val="0"/>
              <w:rPr>
                <w:rFonts w:hAnsi="宋体"/>
                <w:color w:val="000000"/>
                <w:sz w:val="24"/>
                <w:szCs w:val="24"/>
              </w:rPr>
            </w:pPr>
            <w:r>
              <w:rPr>
                <w:rFonts w:hAnsi="宋体"/>
                <w:color w:val="000000"/>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Merge w:val="continue"/>
            <w:vAlign w:val="center"/>
          </w:tcPr>
          <w:p>
            <w:pPr>
              <w:pStyle w:val="6"/>
              <w:adjustRightInd w:val="0"/>
              <w:snapToGrid w:val="0"/>
              <w:jc w:val="center"/>
              <w:rPr>
                <w:rFonts w:hAnsi="宋体"/>
                <w:color w:val="000000"/>
                <w:sz w:val="24"/>
                <w:szCs w:val="24"/>
              </w:rPr>
            </w:pPr>
          </w:p>
        </w:tc>
        <w:tc>
          <w:tcPr>
            <w:tcW w:w="1433" w:type="dxa"/>
            <w:vAlign w:val="center"/>
          </w:tcPr>
          <w:p>
            <w:pPr>
              <w:jc w:val="center"/>
              <w:rPr>
                <w:rFonts w:ascii="宋体" w:hAnsi="宋体"/>
                <w:color w:val="000000"/>
                <w:sz w:val="24"/>
              </w:rPr>
            </w:pPr>
            <w:r>
              <w:rPr>
                <w:rFonts w:ascii="宋体" w:hAnsi="宋体"/>
                <w:color w:val="000000"/>
                <w:sz w:val="24"/>
              </w:rPr>
              <w:t>磋商前答疑会</w:t>
            </w:r>
          </w:p>
        </w:tc>
        <w:tc>
          <w:tcPr>
            <w:tcW w:w="6534" w:type="dxa"/>
            <w:vAlign w:val="center"/>
          </w:tcPr>
          <w:p>
            <w:pPr>
              <w:jc w:val="left"/>
              <w:rPr>
                <w:rFonts w:ascii="宋体" w:hAnsi="宋体"/>
                <w:color w:val="000000"/>
                <w:sz w:val="24"/>
              </w:rPr>
            </w:pPr>
            <w:r>
              <w:rPr>
                <w:rFonts w:ascii="宋体" w:hAnsi="宋体"/>
                <w:b/>
                <w:color w:val="000000"/>
                <w:sz w:val="24"/>
              </w:rPr>
              <w:t>■</w:t>
            </w:r>
            <w:r>
              <w:rPr>
                <w:rFonts w:ascii="宋体" w:hAnsi="宋体"/>
                <w:color w:val="000000"/>
                <w:sz w:val="24"/>
              </w:rPr>
              <w:t>不召开</w:t>
            </w:r>
          </w:p>
          <w:p>
            <w:pPr>
              <w:jc w:val="left"/>
              <w:rPr>
                <w:rFonts w:ascii="宋体" w:hAnsi="宋体"/>
                <w:color w:val="000000"/>
                <w:sz w:val="24"/>
              </w:rPr>
            </w:pPr>
            <w:r>
              <w:rPr>
                <w:rFonts w:ascii="宋体" w:hAnsi="宋体"/>
                <w:color w:val="000000"/>
              </w:rPr>
              <w:t>□</w:t>
            </w:r>
            <w:r>
              <w:rPr>
                <w:rFonts w:ascii="宋体" w:hAnsi="宋体"/>
                <w:color w:val="000000"/>
                <w:sz w:val="24"/>
              </w:rPr>
              <w:t>召开，召开时间：___</w:t>
            </w:r>
            <w:r>
              <w:rPr>
                <w:rFonts w:ascii="宋体" w:hAnsi="宋体"/>
                <w:color w:val="000000"/>
                <w:sz w:val="24"/>
                <w:lang w:bidi="ar"/>
              </w:rPr>
              <w:t>年</w:t>
            </w:r>
            <w:r>
              <w:rPr>
                <w:rFonts w:ascii="宋体" w:hAnsi="宋体"/>
                <w:color w:val="000000"/>
                <w:sz w:val="24"/>
              </w:rPr>
              <w:t>___</w:t>
            </w:r>
            <w:r>
              <w:rPr>
                <w:rFonts w:ascii="宋体" w:hAnsi="宋体"/>
                <w:color w:val="000000"/>
                <w:sz w:val="24"/>
                <w:lang w:bidi="ar"/>
              </w:rPr>
              <w:t>月</w:t>
            </w:r>
            <w:r>
              <w:rPr>
                <w:rFonts w:ascii="宋体" w:hAnsi="宋体"/>
                <w:color w:val="000000"/>
                <w:sz w:val="24"/>
              </w:rPr>
              <w:t>___</w:t>
            </w:r>
            <w:r>
              <w:rPr>
                <w:rFonts w:ascii="宋体" w:hAnsi="宋体"/>
                <w:color w:val="000000"/>
                <w:sz w:val="24"/>
                <w:lang w:bidi="ar"/>
              </w:rPr>
              <w:t>日</w:t>
            </w:r>
            <w:r>
              <w:rPr>
                <w:rFonts w:ascii="宋体" w:hAnsi="宋体"/>
                <w:color w:val="000000"/>
                <w:sz w:val="24"/>
              </w:rPr>
              <w:t>___</w:t>
            </w:r>
            <w:r>
              <w:rPr>
                <w:rFonts w:ascii="宋体" w:hAnsi="宋体"/>
                <w:color w:val="000000"/>
                <w:sz w:val="24"/>
                <w:lang w:bidi="ar"/>
              </w:rPr>
              <w:t>点</w:t>
            </w:r>
            <w:r>
              <w:rPr>
                <w:rFonts w:ascii="宋体" w:hAnsi="宋体"/>
                <w:color w:val="000000"/>
                <w:sz w:val="24"/>
              </w:rPr>
              <w:t>___</w:t>
            </w:r>
            <w:r>
              <w:rPr>
                <w:rFonts w:ascii="宋体" w:hAnsi="宋体"/>
                <w:color w:val="000000"/>
                <w:sz w:val="24"/>
                <w:lang w:bidi="ar"/>
              </w:rPr>
              <w:t>分</w:t>
            </w:r>
          </w:p>
          <w:p>
            <w:pPr>
              <w:jc w:val="left"/>
              <w:rPr>
                <w:rFonts w:ascii="宋体" w:hAnsi="宋体"/>
                <w:color w:val="000000"/>
                <w:sz w:val="24"/>
              </w:rPr>
            </w:pPr>
            <w:r>
              <w:rPr>
                <w:rFonts w:ascii="宋体" w:hAnsi="宋体"/>
                <w:color w:val="000000"/>
                <w:sz w:val="24"/>
              </w:rPr>
              <w:t>召开地点：___________</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6"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4.2.5</w:t>
            </w:r>
          </w:p>
        </w:tc>
        <w:tc>
          <w:tcPr>
            <w:tcW w:w="1433" w:type="dxa"/>
            <w:vAlign w:val="center"/>
          </w:tcPr>
          <w:p>
            <w:pPr>
              <w:jc w:val="center"/>
              <w:rPr>
                <w:rFonts w:ascii="宋体" w:hAnsi="宋体"/>
                <w:color w:val="000000"/>
                <w:sz w:val="24"/>
              </w:rPr>
            </w:pPr>
            <w:r>
              <w:rPr>
                <w:rFonts w:ascii="宋体" w:hAnsi="宋体"/>
                <w:color w:val="000000"/>
                <w:sz w:val="24"/>
              </w:rPr>
              <w:t>标的所属行业</w:t>
            </w:r>
          </w:p>
        </w:tc>
        <w:tc>
          <w:tcPr>
            <w:tcW w:w="6534" w:type="dxa"/>
            <w:vAlign w:val="center"/>
          </w:tcPr>
          <w:p>
            <w:pPr>
              <w:jc w:val="left"/>
              <w:rPr>
                <w:rFonts w:ascii="宋体" w:hAnsi="宋体"/>
                <w:color w:val="000000"/>
                <w:sz w:val="24"/>
              </w:rPr>
            </w:pPr>
            <w:r>
              <w:rPr>
                <w:rFonts w:ascii="宋体" w:hAnsi="宋体"/>
                <w:color w:val="000000"/>
                <w:sz w:val="24"/>
              </w:rPr>
              <w:t>本项目采购标的对应的中小企业划分标准所属行业：</w:t>
            </w:r>
          </w:p>
          <w:tbl>
            <w:tblPr>
              <w:tblStyle w:val="11"/>
              <w:tblW w:w="6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ascii="宋体" w:hAnsi="宋体"/>
                      <w:bCs/>
                      <w:color w:val="000000"/>
                      <w:sz w:val="24"/>
                    </w:rPr>
                    <w:t>标的名称</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r>
                    <w:rPr>
                      <w:rFonts w:ascii="宋体" w:hAnsi="宋体"/>
                      <w:color w:val="000000"/>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color w:val="000000"/>
                      <w:sz w:val="24"/>
                    </w:rPr>
                  </w:pPr>
                  <w:r>
                    <w:rPr>
                      <w:rFonts w:hint="eastAsia" w:ascii="宋体" w:hAnsi="宋体"/>
                      <w:bCs/>
                      <w:color w:val="000000"/>
                      <w:sz w:val="24"/>
                    </w:rPr>
                    <w:t>2026年博物馆物业管理服务采购项目</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kern w:val="0"/>
                      <w:sz w:val="24"/>
                    </w:rPr>
                  </w:pPr>
                  <w:r>
                    <w:rPr>
                      <w:rFonts w:hint="eastAsia" w:ascii="宋体" w:hAnsi="宋体" w:cs="宋体"/>
                      <w:color w:val="000000"/>
                      <w:kern w:val="0"/>
                      <w:sz w:val="24"/>
                    </w:rPr>
                    <w:t>物业管理</w:t>
                  </w:r>
                </w:p>
              </w:tc>
            </w:tr>
          </w:tbl>
          <w:p>
            <w:pPr>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10.2</w:t>
            </w:r>
          </w:p>
        </w:tc>
        <w:tc>
          <w:tcPr>
            <w:tcW w:w="1433" w:type="dxa"/>
            <w:vAlign w:val="center"/>
          </w:tcPr>
          <w:p>
            <w:pPr>
              <w:jc w:val="center"/>
              <w:rPr>
                <w:rFonts w:ascii="宋体" w:hAnsi="宋体"/>
                <w:color w:val="000000"/>
                <w:sz w:val="24"/>
              </w:rPr>
            </w:pPr>
            <w:r>
              <w:rPr>
                <w:rFonts w:ascii="宋体" w:hAnsi="宋体"/>
                <w:color w:val="000000"/>
                <w:sz w:val="24"/>
              </w:rPr>
              <w:t>报价</w:t>
            </w:r>
          </w:p>
        </w:tc>
        <w:tc>
          <w:tcPr>
            <w:tcW w:w="6534" w:type="dxa"/>
            <w:vAlign w:val="center"/>
          </w:tcPr>
          <w:p>
            <w:pPr>
              <w:jc w:val="left"/>
              <w:rPr>
                <w:rFonts w:ascii="宋体" w:hAnsi="宋体"/>
                <w:color w:val="000000"/>
                <w:sz w:val="24"/>
              </w:rPr>
            </w:pPr>
            <w:r>
              <w:rPr>
                <w:rFonts w:ascii="宋体" w:hAnsi="宋体"/>
                <w:color w:val="000000"/>
                <w:sz w:val="24"/>
              </w:rPr>
              <w:t>报价的特殊规定：</w:t>
            </w:r>
          </w:p>
          <w:p>
            <w:pPr>
              <w:jc w:val="left"/>
              <w:rPr>
                <w:rFonts w:ascii="宋体" w:hAnsi="宋体"/>
                <w:color w:val="000000"/>
                <w:sz w:val="24"/>
              </w:rPr>
            </w:pPr>
            <w:r>
              <w:rPr>
                <w:rFonts w:ascii="宋体" w:hAnsi="宋体"/>
                <w:b/>
                <w:color w:val="000000"/>
                <w:sz w:val="24"/>
              </w:rPr>
              <w:t>■</w:t>
            </w:r>
            <w:r>
              <w:rPr>
                <w:rFonts w:ascii="宋体" w:hAnsi="宋体"/>
                <w:color w:val="000000"/>
                <w:sz w:val="24"/>
              </w:rPr>
              <w:t>无</w:t>
            </w:r>
          </w:p>
          <w:p>
            <w:pPr>
              <w:jc w:val="left"/>
              <w:rPr>
                <w:rFonts w:ascii="宋体" w:hAnsi="宋体"/>
                <w:color w:val="000000"/>
                <w:sz w:val="24"/>
              </w:rPr>
            </w:pPr>
            <w:r>
              <w:rPr>
                <w:rFonts w:ascii="宋体" w:hAnsi="宋体"/>
                <w:color w:val="000000"/>
              </w:rPr>
              <w:t>□</w:t>
            </w:r>
            <w:r>
              <w:rPr>
                <w:rFonts w:ascii="宋体" w:hAnsi="宋体"/>
                <w:color w:val="000000"/>
                <w:sz w:val="24"/>
              </w:rPr>
              <w:t>有，具体情形：</w:t>
            </w:r>
            <w:r>
              <w:rPr>
                <w:rFonts w:hint="eastAsia" w:ascii="宋体" w:hAnsi="宋体"/>
                <w:color w:val="000000"/>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11.1</w:t>
            </w:r>
          </w:p>
        </w:tc>
        <w:tc>
          <w:tcPr>
            <w:tcW w:w="1433" w:type="dxa"/>
            <w:vMerge w:val="restart"/>
            <w:vAlign w:val="center"/>
          </w:tcPr>
          <w:p>
            <w:pPr>
              <w:jc w:val="center"/>
              <w:rPr>
                <w:rFonts w:ascii="宋体" w:hAnsi="宋体"/>
                <w:color w:val="000000"/>
                <w:sz w:val="24"/>
              </w:rPr>
            </w:pPr>
            <w:r>
              <w:rPr>
                <w:rFonts w:ascii="宋体" w:hAnsi="宋体"/>
                <w:color w:val="000000"/>
                <w:sz w:val="24"/>
              </w:rPr>
              <w:t>磋商保证金</w:t>
            </w:r>
          </w:p>
        </w:tc>
        <w:tc>
          <w:tcPr>
            <w:tcW w:w="6534" w:type="dxa"/>
            <w:vAlign w:val="center"/>
          </w:tcPr>
          <w:p>
            <w:pPr>
              <w:pStyle w:val="6"/>
              <w:adjustRightInd w:val="0"/>
              <w:snapToGrid w:val="0"/>
              <w:rPr>
                <w:rFonts w:hAnsi="宋体"/>
                <w:color w:val="000000"/>
                <w:sz w:val="24"/>
                <w:szCs w:val="24"/>
              </w:rPr>
            </w:pPr>
            <w:r>
              <w:rPr>
                <w:rFonts w:hAnsi="宋体"/>
                <w:color w:val="000000"/>
                <w:sz w:val="24"/>
                <w:szCs w:val="24"/>
              </w:rPr>
              <w:t>磋商保证金金额</w:t>
            </w:r>
            <w:r>
              <w:rPr>
                <w:rFonts w:hAnsi="宋体"/>
                <w:color w:val="000000"/>
                <w:sz w:val="24"/>
                <w:szCs w:val="24"/>
                <w:u w:val="single"/>
              </w:rPr>
              <w:t>：</w:t>
            </w:r>
            <w:r>
              <w:rPr>
                <w:rFonts w:hint="eastAsia" w:hAnsi="宋体"/>
                <w:color w:val="000000"/>
                <w:sz w:val="24"/>
                <w:u w:val="single"/>
              </w:rPr>
              <w:t xml:space="preserve">/ </w:t>
            </w:r>
            <w:r>
              <w:rPr>
                <w:rFonts w:hAnsi="宋体"/>
                <w:color w:val="000000"/>
                <w:sz w:val="24"/>
                <w:szCs w:val="24"/>
              </w:rPr>
              <w:t>；</w:t>
            </w:r>
          </w:p>
          <w:p>
            <w:pPr>
              <w:pStyle w:val="6"/>
              <w:adjustRightInd w:val="0"/>
              <w:snapToGrid w:val="0"/>
              <w:rPr>
                <w:rFonts w:hAnsi="宋体"/>
                <w:color w:val="000000"/>
                <w:sz w:val="24"/>
              </w:rPr>
            </w:pPr>
            <w:r>
              <w:rPr>
                <w:rFonts w:hAnsi="宋体"/>
                <w:color w:val="000000"/>
                <w:sz w:val="24"/>
              </w:rPr>
              <w:t>磋商保证金收受人信息：</w:t>
            </w:r>
          </w:p>
          <w:p>
            <w:pPr>
              <w:pStyle w:val="6"/>
              <w:adjustRightInd w:val="0"/>
              <w:snapToGrid w:val="0"/>
              <w:rPr>
                <w:rFonts w:hAnsi="宋体"/>
                <w:color w:val="000000"/>
                <w:sz w:val="24"/>
              </w:rPr>
            </w:pPr>
            <w:r>
              <w:rPr>
                <w:rFonts w:hAnsi="宋体"/>
                <w:color w:val="000000"/>
                <w:sz w:val="24"/>
              </w:rPr>
              <w:t xml:space="preserve">账户名称： </w:t>
            </w:r>
          </w:p>
          <w:p>
            <w:pPr>
              <w:pStyle w:val="6"/>
              <w:adjustRightInd w:val="0"/>
              <w:snapToGrid w:val="0"/>
              <w:rPr>
                <w:rFonts w:hAnsi="宋体"/>
                <w:color w:val="000000"/>
                <w:sz w:val="24"/>
              </w:rPr>
            </w:pPr>
            <w:r>
              <w:rPr>
                <w:rFonts w:hAnsi="宋体"/>
                <w:color w:val="000000"/>
                <w:sz w:val="24"/>
              </w:rPr>
              <w:t>开户行：</w:t>
            </w:r>
          </w:p>
          <w:p>
            <w:pPr>
              <w:pStyle w:val="6"/>
              <w:adjustRightInd w:val="0"/>
              <w:snapToGrid w:val="0"/>
              <w:rPr>
                <w:rFonts w:hAnsi="宋体"/>
                <w:color w:val="000000"/>
                <w:sz w:val="24"/>
                <w:szCs w:val="24"/>
              </w:rPr>
            </w:pPr>
            <w:r>
              <w:rPr>
                <w:rFonts w:hAnsi="宋体"/>
                <w:color w:val="000000"/>
                <w:sz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11.</w:t>
            </w:r>
            <w:r>
              <w:rPr>
                <w:rFonts w:hint="eastAsia" w:hAnsi="宋体"/>
                <w:color w:val="000000"/>
                <w:sz w:val="24"/>
                <w:szCs w:val="24"/>
              </w:rPr>
              <w:t>8</w:t>
            </w:r>
            <w:r>
              <w:rPr>
                <w:rFonts w:hAnsi="宋体"/>
                <w:color w:val="000000"/>
                <w:sz w:val="24"/>
                <w:szCs w:val="24"/>
              </w:rPr>
              <w:t>.5</w:t>
            </w:r>
          </w:p>
        </w:tc>
        <w:tc>
          <w:tcPr>
            <w:tcW w:w="1433" w:type="dxa"/>
            <w:vMerge w:val="continue"/>
            <w:vAlign w:val="center"/>
          </w:tcPr>
          <w:p>
            <w:pPr>
              <w:jc w:val="center"/>
              <w:rPr>
                <w:rFonts w:ascii="宋体" w:hAnsi="宋体"/>
                <w:color w:val="000000"/>
                <w:sz w:val="24"/>
              </w:rPr>
            </w:pPr>
          </w:p>
        </w:tc>
        <w:tc>
          <w:tcPr>
            <w:tcW w:w="6534" w:type="dxa"/>
            <w:vAlign w:val="center"/>
          </w:tcPr>
          <w:p>
            <w:pPr>
              <w:jc w:val="left"/>
              <w:rPr>
                <w:rFonts w:ascii="宋体" w:hAnsi="宋体"/>
                <w:color w:val="000000"/>
                <w:sz w:val="24"/>
              </w:rPr>
            </w:pPr>
            <w:r>
              <w:rPr>
                <w:rFonts w:ascii="宋体" w:hAnsi="宋体"/>
                <w:color w:val="000000"/>
                <w:sz w:val="24"/>
              </w:rPr>
              <w:t>磋商保证金不予退还的其他情形：</w:t>
            </w:r>
          </w:p>
          <w:p>
            <w:pPr>
              <w:jc w:val="left"/>
              <w:rPr>
                <w:rFonts w:ascii="宋体" w:hAnsi="宋体"/>
                <w:color w:val="000000"/>
                <w:sz w:val="24"/>
              </w:rPr>
            </w:pPr>
            <w:r>
              <w:rPr>
                <w:rFonts w:ascii="宋体" w:hAnsi="宋体"/>
                <w:b/>
                <w:color w:val="000000"/>
                <w:sz w:val="24"/>
              </w:rPr>
              <w:t>■</w:t>
            </w:r>
            <w:r>
              <w:rPr>
                <w:rFonts w:ascii="宋体" w:hAnsi="宋体"/>
                <w:color w:val="000000"/>
                <w:sz w:val="24"/>
              </w:rPr>
              <w:t>无</w:t>
            </w:r>
          </w:p>
          <w:p>
            <w:pPr>
              <w:pStyle w:val="6"/>
              <w:adjustRightInd w:val="0"/>
              <w:snapToGrid w:val="0"/>
              <w:rPr>
                <w:rFonts w:hAnsi="宋体"/>
                <w:color w:val="000000"/>
                <w:sz w:val="24"/>
                <w:szCs w:val="24"/>
              </w:rPr>
            </w:pPr>
            <w:r>
              <w:rPr>
                <w:rFonts w:hAnsi="宋体"/>
                <w:color w:val="000000"/>
              </w:rPr>
              <w:t>□</w:t>
            </w:r>
            <w:r>
              <w:rPr>
                <w:rFonts w:hAnsi="宋体"/>
                <w:color w:val="000000"/>
                <w:sz w:val="24"/>
              </w:rPr>
              <w:t>有，具体情形：___________</w:t>
            </w:r>
            <w:r>
              <w:rPr>
                <w:rFonts w:hAnsi="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12.1</w:t>
            </w:r>
          </w:p>
        </w:tc>
        <w:tc>
          <w:tcPr>
            <w:tcW w:w="1433" w:type="dxa"/>
            <w:vAlign w:val="center"/>
          </w:tcPr>
          <w:p>
            <w:pPr>
              <w:jc w:val="center"/>
              <w:rPr>
                <w:rFonts w:ascii="宋体" w:hAnsi="宋体"/>
                <w:color w:val="000000"/>
                <w:sz w:val="24"/>
              </w:rPr>
            </w:pPr>
            <w:r>
              <w:rPr>
                <w:rFonts w:ascii="宋体" w:hAnsi="宋体"/>
                <w:color w:val="000000"/>
                <w:sz w:val="24"/>
              </w:rPr>
              <w:t>响应有效期</w:t>
            </w:r>
          </w:p>
        </w:tc>
        <w:tc>
          <w:tcPr>
            <w:tcW w:w="6534" w:type="dxa"/>
            <w:vAlign w:val="center"/>
          </w:tcPr>
          <w:p>
            <w:pPr>
              <w:jc w:val="left"/>
              <w:rPr>
                <w:rFonts w:ascii="宋体" w:hAnsi="宋体"/>
                <w:color w:val="000000"/>
                <w:sz w:val="24"/>
              </w:rPr>
            </w:pPr>
            <w:r>
              <w:rPr>
                <w:rFonts w:ascii="宋体" w:hAnsi="宋体"/>
                <w:color w:val="000000"/>
                <w:sz w:val="24"/>
              </w:rPr>
              <w:t>自提交响应文件的截止之日起算</w:t>
            </w:r>
            <w:r>
              <w:rPr>
                <w:rFonts w:hint="eastAsia" w:ascii="宋体" w:hAnsi="宋体"/>
                <w:color w:val="000000"/>
                <w:sz w:val="24"/>
                <w:u w:val="single"/>
              </w:rPr>
              <w:t xml:space="preserve"> 90 </w:t>
            </w:r>
            <w:r>
              <w:rPr>
                <w:rFonts w:ascii="宋体" w:hAnsi="宋体"/>
                <w:color w:val="00000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int="eastAsia" w:hAnsi="宋体"/>
                <w:color w:val="000000"/>
                <w:sz w:val="24"/>
                <w:szCs w:val="24"/>
              </w:rPr>
              <w:t>17.2</w:t>
            </w:r>
          </w:p>
        </w:tc>
        <w:tc>
          <w:tcPr>
            <w:tcW w:w="1433" w:type="dxa"/>
            <w:vAlign w:val="center"/>
          </w:tcPr>
          <w:p>
            <w:pPr>
              <w:jc w:val="center"/>
              <w:rPr>
                <w:rFonts w:ascii="宋体" w:hAnsi="宋体"/>
                <w:color w:val="000000"/>
                <w:sz w:val="24"/>
              </w:rPr>
            </w:pPr>
            <w:r>
              <w:rPr>
                <w:rFonts w:ascii="宋体" w:hAnsi="宋体"/>
                <w:color w:val="000000"/>
                <w:sz w:val="24"/>
              </w:rPr>
              <w:t>解密时间</w:t>
            </w:r>
          </w:p>
        </w:tc>
        <w:tc>
          <w:tcPr>
            <w:tcW w:w="6534" w:type="dxa"/>
            <w:vAlign w:val="center"/>
          </w:tcPr>
          <w:p>
            <w:pPr>
              <w:jc w:val="left"/>
              <w:rPr>
                <w:rFonts w:ascii="宋体" w:hAnsi="宋体"/>
                <w:color w:val="000000"/>
                <w:sz w:val="24"/>
              </w:rPr>
            </w:pPr>
            <w:r>
              <w:rPr>
                <w:rFonts w:ascii="宋体" w:hAnsi="宋体"/>
                <w:color w:val="000000"/>
                <w:sz w:val="24"/>
              </w:rPr>
              <w:t>解密时间：</w:t>
            </w:r>
            <w:r>
              <w:rPr>
                <w:rFonts w:hint="eastAsia" w:ascii="宋体" w:hAnsi="宋体"/>
                <w:color w:val="000000"/>
                <w:sz w:val="24"/>
                <w:u w:val="single"/>
              </w:rPr>
              <w:t xml:space="preserve"> </w:t>
            </w:r>
            <w:r>
              <w:rPr>
                <w:rFonts w:ascii="宋体" w:hAnsi="宋体"/>
                <w:color w:val="000000"/>
                <w:sz w:val="24"/>
                <w:u w:val="single"/>
              </w:rPr>
              <w:t>30</w:t>
            </w:r>
            <w:r>
              <w:rPr>
                <w:rFonts w:hint="eastAsia" w:ascii="宋体" w:hAnsi="宋体"/>
                <w:color w:val="000000"/>
                <w:sz w:val="24"/>
                <w:u w:val="single"/>
              </w:rPr>
              <w:t xml:space="preserve"> </w:t>
            </w:r>
            <w:r>
              <w:rPr>
                <w:rFonts w:ascii="宋体" w:hAnsi="宋体"/>
                <w:color w:val="000000"/>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20.1</w:t>
            </w:r>
          </w:p>
        </w:tc>
        <w:tc>
          <w:tcPr>
            <w:tcW w:w="1433" w:type="dxa"/>
            <w:vAlign w:val="center"/>
          </w:tcPr>
          <w:p>
            <w:pPr>
              <w:jc w:val="center"/>
              <w:rPr>
                <w:rFonts w:ascii="宋体" w:hAnsi="宋体"/>
                <w:color w:val="000000"/>
                <w:sz w:val="24"/>
              </w:rPr>
            </w:pPr>
            <w:r>
              <w:rPr>
                <w:rFonts w:hint="eastAsia" w:ascii="宋体" w:hAnsi="宋体"/>
                <w:color w:val="000000"/>
                <w:sz w:val="24"/>
              </w:rPr>
              <w:t>确定成交供应商</w:t>
            </w:r>
          </w:p>
        </w:tc>
        <w:tc>
          <w:tcPr>
            <w:tcW w:w="6534" w:type="dxa"/>
            <w:vAlign w:val="center"/>
          </w:tcPr>
          <w:p>
            <w:pPr>
              <w:pStyle w:val="6"/>
              <w:adjustRightInd w:val="0"/>
              <w:snapToGrid w:val="0"/>
              <w:rPr>
                <w:rFonts w:hAnsi="宋体"/>
                <w:color w:val="000000"/>
                <w:sz w:val="24"/>
              </w:rPr>
            </w:pPr>
            <w:r>
              <w:rPr>
                <w:rFonts w:hAnsi="宋体"/>
                <w:color w:val="000000"/>
                <w:sz w:val="24"/>
              </w:rPr>
              <w:t>采购人是否授权磋商小组直接确定成交供应商：</w:t>
            </w:r>
          </w:p>
          <w:p>
            <w:pPr>
              <w:pStyle w:val="6"/>
              <w:adjustRightInd w:val="0"/>
              <w:snapToGrid w:val="0"/>
              <w:rPr>
                <w:rFonts w:hAnsi="宋体"/>
                <w:color w:val="000000"/>
                <w:sz w:val="24"/>
              </w:rPr>
            </w:pPr>
            <w:r>
              <w:rPr>
                <w:rFonts w:hAnsi="宋体"/>
                <w:b/>
                <w:color w:val="000000"/>
                <w:sz w:val="24"/>
              </w:rPr>
              <w:t>■</w:t>
            </w:r>
            <w:r>
              <w:rPr>
                <w:rFonts w:hAnsi="宋体"/>
                <w:color w:val="000000"/>
                <w:sz w:val="24"/>
              </w:rPr>
              <w:t>否</w:t>
            </w:r>
          </w:p>
          <w:p>
            <w:pPr>
              <w:jc w:val="left"/>
              <w:rPr>
                <w:rFonts w:ascii="宋体" w:hAnsi="宋体"/>
                <w:color w:val="000000"/>
                <w:sz w:val="24"/>
              </w:rPr>
            </w:pPr>
            <w:r>
              <w:rPr>
                <w:rFonts w:hAnsi="宋体"/>
                <w:color w:val="000000"/>
              </w:rPr>
              <w:t>□</w:t>
            </w:r>
            <w:r>
              <w:rPr>
                <w:rFonts w:ascii="宋体" w:hAnsi="宋体"/>
                <w:color w:val="000000"/>
                <w:sz w:val="24"/>
              </w:rPr>
              <w:t>是</w:t>
            </w:r>
          </w:p>
          <w:p>
            <w:pPr>
              <w:jc w:val="left"/>
              <w:rPr>
                <w:rFonts w:ascii="宋体" w:hAnsi="宋体"/>
                <w:color w:val="000000"/>
                <w:sz w:val="24"/>
                <w:u w:val="single"/>
              </w:rPr>
            </w:pPr>
            <w:r>
              <w:rPr>
                <w:rFonts w:ascii="宋体" w:hAnsi="宋体"/>
                <w:color w:val="000000"/>
                <w:sz w:val="24"/>
              </w:rPr>
              <w:t>成交候选人并列的，按照以下方式确定</w:t>
            </w:r>
            <w:r>
              <w:rPr>
                <w:rFonts w:hint="eastAsia" w:ascii="宋体" w:hAnsi="宋体"/>
                <w:color w:val="000000"/>
                <w:sz w:val="24"/>
              </w:rPr>
              <w:t>成交供应商</w:t>
            </w:r>
            <w:r>
              <w:rPr>
                <w:rFonts w:ascii="宋体" w:hAnsi="宋体"/>
                <w:color w:val="000000"/>
                <w:sz w:val="24"/>
              </w:rPr>
              <w:t>：</w:t>
            </w:r>
            <w:r>
              <w:rPr>
                <w:rFonts w:hint="eastAsia" w:ascii="宋体" w:hAnsi="宋体"/>
                <w:color w:val="000000"/>
                <w:sz w:val="24"/>
              </w:rPr>
              <w:t>评审得分相同的，按照最后报价由低到高的顺序推荐。评审得分且最后报价相同的，按照技术指标优劣顺序推荐</w:t>
            </w: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23.5</w:t>
            </w:r>
          </w:p>
        </w:tc>
        <w:tc>
          <w:tcPr>
            <w:tcW w:w="1433" w:type="dxa"/>
            <w:vAlign w:val="center"/>
          </w:tcPr>
          <w:p>
            <w:pPr>
              <w:jc w:val="center"/>
              <w:rPr>
                <w:rFonts w:ascii="宋体" w:hAnsi="宋体"/>
                <w:color w:val="000000"/>
                <w:sz w:val="24"/>
              </w:rPr>
            </w:pPr>
            <w:r>
              <w:rPr>
                <w:rFonts w:ascii="宋体" w:hAnsi="宋体"/>
                <w:color w:val="000000"/>
                <w:sz w:val="24"/>
              </w:rPr>
              <w:t>分包</w:t>
            </w:r>
          </w:p>
        </w:tc>
        <w:tc>
          <w:tcPr>
            <w:tcW w:w="6534" w:type="dxa"/>
            <w:vAlign w:val="center"/>
          </w:tcPr>
          <w:p>
            <w:pPr>
              <w:jc w:val="left"/>
              <w:rPr>
                <w:rFonts w:ascii="宋体" w:hAnsi="宋体"/>
                <w:color w:val="000000"/>
                <w:sz w:val="24"/>
              </w:rPr>
            </w:pPr>
            <w:r>
              <w:rPr>
                <w:rFonts w:ascii="宋体" w:hAnsi="宋体"/>
                <w:color w:val="000000"/>
                <w:sz w:val="24"/>
              </w:rPr>
              <w:t xml:space="preserve">本项目是否允许分包： </w:t>
            </w:r>
          </w:p>
          <w:p>
            <w:pPr>
              <w:jc w:val="left"/>
              <w:rPr>
                <w:rFonts w:ascii="宋体" w:hAnsi="宋体"/>
                <w:color w:val="000000"/>
                <w:sz w:val="24"/>
              </w:rPr>
            </w:pPr>
            <w:r>
              <w:rPr>
                <w:rFonts w:ascii="宋体" w:hAnsi="宋体"/>
                <w:b/>
                <w:color w:val="000000"/>
                <w:sz w:val="24"/>
              </w:rPr>
              <w:t>■</w:t>
            </w:r>
            <w:r>
              <w:rPr>
                <w:rFonts w:ascii="宋体" w:hAnsi="宋体"/>
                <w:color w:val="000000"/>
                <w:sz w:val="24"/>
              </w:rPr>
              <w:t>不允许</w:t>
            </w:r>
          </w:p>
          <w:p>
            <w:pPr>
              <w:jc w:val="left"/>
              <w:rPr>
                <w:rFonts w:ascii="宋体" w:hAnsi="宋体"/>
                <w:color w:val="000000"/>
                <w:sz w:val="24"/>
              </w:rPr>
            </w:pPr>
            <w:r>
              <w:rPr>
                <w:rFonts w:ascii="宋体" w:hAnsi="宋体"/>
                <w:color w:val="000000"/>
              </w:rPr>
              <w:t>□</w:t>
            </w:r>
            <w:r>
              <w:rPr>
                <w:rFonts w:ascii="宋体" w:hAnsi="宋体"/>
                <w:color w:val="000000"/>
                <w:sz w:val="24"/>
              </w:rPr>
              <w:t>允许，具体要求：_______。</w:t>
            </w:r>
          </w:p>
          <w:p>
            <w:pPr>
              <w:jc w:val="left"/>
              <w:rPr>
                <w:rFonts w:ascii="宋体" w:hAnsi="宋体"/>
                <w:color w:val="000000"/>
                <w:sz w:val="24"/>
              </w:rPr>
            </w:pPr>
            <w:r>
              <w:rPr>
                <w:rFonts w:ascii="宋体" w:hAnsi="宋体"/>
                <w:color w:val="000000"/>
                <w:sz w:val="24"/>
              </w:rPr>
              <w:t>（1）可以分包履行的具体内容：_______；</w:t>
            </w:r>
          </w:p>
          <w:p>
            <w:pPr>
              <w:jc w:val="left"/>
              <w:rPr>
                <w:rFonts w:ascii="宋体" w:hAnsi="宋体"/>
                <w:color w:val="000000"/>
                <w:sz w:val="24"/>
              </w:rPr>
            </w:pPr>
            <w:r>
              <w:rPr>
                <w:rFonts w:ascii="宋体" w:hAnsi="宋体"/>
                <w:color w:val="000000"/>
                <w:sz w:val="24"/>
              </w:rPr>
              <w:t>（2）允许分包的金额或者比例：_______；</w:t>
            </w:r>
          </w:p>
          <w:p>
            <w:pPr>
              <w:jc w:val="left"/>
              <w:rPr>
                <w:rFonts w:ascii="宋体" w:hAnsi="宋体"/>
                <w:color w:val="000000"/>
                <w:sz w:val="24"/>
                <w:u w:val="single"/>
              </w:rPr>
            </w:pPr>
            <w:r>
              <w:rPr>
                <w:rFonts w:ascii="宋体" w:hAnsi="宋体"/>
                <w:color w:val="000000"/>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int="eastAsia" w:hAnsi="宋体"/>
                <w:color w:val="000000"/>
                <w:sz w:val="24"/>
                <w:szCs w:val="24"/>
              </w:rPr>
              <w:t>23.6</w:t>
            </w:r>
          </w:p>
        </w:tc>
        <w:tc>
          <w:tcPr>
            <w:tcW w:w="1433" w:type="dxa"/>
            <w:vAlign w:val="center"/>
          </w:tcPr>
          <w:p>
            <w:pPr>
              <w:jc w:val="center"/>
              <w:rPr>
                <w:rFonts w:ascii="宋体" w:hAnsi="宋体"/>
                <w:color w:val="000000"/>
                <w:sz w:val="24"/>
              </w:rPr>
            </w:pPr>
            <w:r>
              <w:rPr>
                <w:rFonts w:ascii="宋体" w:hAnsi="宋体"/>
                <w:color w:val="000000"/>
                <w:sz w:val="24"/>
              </w:rPr>
              <w:t>政采贷</w:t>
            </w:r>
          </w:p>
        </w:tc>
        <w:tc>
          <w:tcPr>
            <w:tcW w:w="6534" w:type="dxa"/>
            <w:vAlign w:val="center"/>
          </w:tcPr>
          <w:p>
            <w:pPr>
              <w:jc w:val="left"/>
              <w:rPr>
                <w:rFonts w:ascii="宋体" w:hAnsi="宋体"/>
                <w:color w:val="000000"/>
                <w:sz w:val="24"/>
              </w:rPr>
            </w:pPr>
            <w:r>
              <w:rPr>
                <w:rFonts w:ascii="宋体" w:hAnsi="宋体"/>
                <w:color w:val="000000"/>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24.1.1</w:t>
            </w:r>
          </w:p>
        </w:tc>
        <w:tc>
          <w:tcPr>
            <w:tcW w:w="1433" w:type="dxa"/>
            <w:vAlign w:val="center"/>
          </w:tcPr>
          <w:p>
            <w:pPr>
              <w:jc w:val="center"/>
              <w:rPr>
                <w:rFonts w:ascii="宋体" w:hAnsi="宋体"/>
                <w:color w:val="000000"/>
                <w:sz w:val="24"/>
              </w:rPr>
            </w:pPr>
            <w:r>
              <w:rPr>
                <w:rFonts w:ascii="宋体" w:hAnsi="宋体"/>
                <w:color w:val="000000"/>
                <w:sz w:val="24"/>
              </w:rPr>
              <w:t>询问</w:t>
            </w:r>
          </w:p>
        </w:tc>
        <w:tc>
          <w:tcPr>
            <w:tcW w:w="6534" w:type="dxa"/>
            <w:vAlign w:val="center"/>
          </w:tcPr>
          <w:p>
            <w:pPr>
              <w:jc w:val="left"/>
              <w:rPr>
                <w:rFonts w:ascii="宋体" w:hAnsi="宋体"/>
                <w:color w:val="000000"/>
                <w:sz w:val="24"/>
              </w:rPr>
            </w:pPr>
            <w:r>
              <w:rPr>
                <w:rFonts w:ascii="宋体" w:hAnsi="宋体"/>
                <w:color w:val="000000"/>
                <w:sz w:val="24"/>
              </w:rPr>
              <w:t>询问送达形式：</w:t>
            </w:r>
            <w:r>
              <w:rPr>
                <w:rFonts w:hint="eastAsia" w:ascii="宋体" w:hAnsi="宋体"/>
                <w:color w:val="000000"/>
                <w:sz w:val="24"/>
                <w:lang w:eastAsia="zh-CN"/>
              </w:rPr>
              <w:t>线下</w:t>
            </w:r>
            <w:r>
              <w:rPr>
                <w:rFonts w:hint="eastAsia" w:ascii="宋体" w:hAnsi="宋体"/>
                <w:color w:val="000000"/>
                <w:sz w:val="24"/>
              </w:rPr>
              <w:t>现场</w:t>
            </w:r>
            <w:r>
              <w:rPr>
                <w:rFonts w:ascii="宋体" w:hAnsi="宋体"/>
                <w:color w:val="000000"/>
                <w:sz w:val="24"/>
              </w:rPr>
              <w:t>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24.3</w:t>
            </w:r>
          </w:p>
        </w:tc>
        <w:tc>
          <w:tcPr>
            <w:tcW w:w="1433" w:type="dxa"/>
            <w:vAlign w:val="center"/>
          </w:tcPr>
          <w:p>
            <w:pPr>
              <w:jc w:val="center"/>
              <w:rPr>
                <w:rFonts w:ascii="宋体" w:hAnsi="宋体"/>
                <w:color w:val="000000"/>
                <w:sz w:val="24"/>
              </w:rPr>
            </w:pPr>
            <w:r>
              <w:rPr>
                <w:rFonts w:ascii="宋体" w:hAnsi="宋体"/>
                <w:color w:val="000000"/>
                <w:sz w:val="24"/>
              </w:rPr>
              <w:t>联系方式</w:t>
            </w:r>
          </w:p>
        </w:tc>
        <w:tc>
          <w:tcPr>
            <w:tcW w:w="6534" w:type="dxa"/>
            <w:vAlign w:val="center"/>
          </w:tcPr>
          <w:p>
            <w:pPr>
              <w:jc w:val="left"/>
              <w:rPr>
                <w:rFonts w:ascii="宋体" w:hAnsi="宋体"/>
                <w:color w:val="000000"/>
                <w:sz w:val="24"/>
              </w:rPr>
            </w:pPr>
            <w:r>
              <w:rPr>
                <w:rFonts w:ascii="宋体" w:hAnsi="宋体"/>
                <w:color w:val="000000"/>
                <w:sz w:val="24"/>
              </w:rPr>
              <w:t>接收询问和质疑的联系方式</w:t>
            </w:r>
          </w:p>
          <w:p>
            <w:pPr>
              <w:jc w:val="left"/>
              <w:rPr>
                <w:rFonts w:ascii="宋体" w:hAnsi="宋体"/>
                <w:color w:val="000000"/>
                <w:sz w:val="24"/>
              </w:rPr>
            </w:pPr>
            <w:r>
              <w:rPr>
                <w:rFonts w:ascii="宋体" w:hAnsi="宋体"/>
                <w:color w:val="000000"/>
                <w:sz w:val="24"/>
              </w:rPr>
              <w:t>联系部门：</w:t>
            </w:r>
            <w:r>
              <w:rPr>
                <w:rFonts w:hint="eastAsia" w:ascii="宋体" w:hAnsi="宋体"/>
                <w:color w:val="000000"/>
                <w:sz w:val="24"/>
                <w:u w:val="single"/>
              </w:rPr>
              <w:t>北京市平谷区政府采购中心</w:t>
            </w:r>
            <w:r>
              <w:rPr>
                <w:rFonts w:ascii="宋体" w:hAnsi="宋体"/>
                <w:color w:val="000000"/>
                <w:sz w:val="24"/>
                <w:u w:val="single"/>
              </w:rPr>
              <w:t>；</w:t>
            </w:r>
          </w:p>
          <w:p>
            <w:pPr>
              <w:jc w:val="left"/>
              <w:rPr>
                <w:rFonts w:ascii="宋体" w:hAnsi="宋体"/>
                <w:color w:val="000000"/>
                <w:sz w:val="24"/>
              </w:rPr>
            </w:pPr>
            <w:r>
              <w:rPr>
                <w:rFonts w:ascii="宋体" w:hAnsi="宋体"/>
                <w:color w:val="000000"/>
                <w:sz w:val="24"/>
              </w:rPr>
              <w:t>联系电话：</w:t>
            </w:r>
            <w:r>
              <w:rPr>
                <w:rFonts w:hint="eastAsia" w:ascii="宋体" w:hAnsi="宋体"/>
                <w:color w:val="000000"/>
                <w:sz w:val="24"/>
                <w:u w:val="single"/>
              </w:rPr>
              <w:t>010-</w:t>
            </w:r>
            <w:r>
              <w:rPr>
                <w:rFonts w:ascii="宋体" w:hAnsi="宋体"/>
                <w:color w:val="000000"/>
                <w:sz w:val="24"/>
                <w:u w:val="single"/>
              </w:rPr>
              <w:t>89991119；</w:t>
            </w:r>
          </w:p>
          <w:p>
            <w:pPr>
              <w:jc w:val="left"/>
              <w:rPr>
                <w:rFonts w:ascii="宋体" w:hAnsi="宋体"/>
                <w:sz w:val="24"/>
              </w:rPr>
            </w:pPr>
            <w:r>
              <w:rPr>
                <w:rFonts w:ascii="宋体" w:hAnsi="宋体"/>
                <w:color w:val="000000"/>
                <w:sz w:val="24"/>
              </w:rPr>
              <w:t>通讯地址：</w:t>
            </w:r>
            <w:r>
              <w:rPr>
                <w:rFonts w:hint="eastAsia" w:ascii="宋体" w:hAnsi="宋体"/>
                <w:color w:val="000000"/>
                <w:sz w:val="24"/>
                <w:u w:val="single"/>
              </w:rPr>
              <w:t>北京市平谷区府前西街17号社会服务中心后配</w:t>
            </w:r>
            <w:r>
              <w:rPr>
                <w:rFonts w:hint="eastAsia" w:ascii="宋体" w:hAnsi="宋体"/>
                <w:sz w:val="24"/>
                <w:u w:val="single"/>
              </w:rPr>
              <w:t>楼4层</w:t>
            </w:r>
            <w:r>
              <w:rPr>
                <w:rFonts w:ascii="宋体" w:hAnsi="宋体"/>
                <w:sz w:val="24"/>
                <w:u w:val="single"/>
              </w:rPr>
              <w:t>。</w:t>
            </w:r>
          </w:p>
          <w:p>
            <w:pPr>
              <w:jc w:val="left"/>
              <w:rPr>
                <w:rFonts w:hint="eastAsia" w:ascii="宋体" w:hAnsi="宋体"/>
                <w:sz w:val="24"/>
                <w:u w:val="single"/>
              </w:rPr>
            </w:pPr>
            <w:r>
              <w:rPr>
                <w:rFonts w:ascii="宋体" w:hAnsi="宋体"/>
                <w:sz w:val="24"/>
              </w:rPr>
              <w:t>联系部门：</w:t>
            </w:r>
            <w:r>
              <w:rPr>
                <w:rFonts w:hint="eastAsia" w:ascii="宋体" w:hAnsi="宋体"/>
                <w:sz w:val="24"/>
                <w:u w:val="single"/>
              </w:rPr>
              <w:t xml:space="preserve"> 北京市平谷区文物管理所 </w:t>
            </w:r>
          </w:p>
          <w:p>
            <w:pPr>
              <w:jc w:val="left"/>
              <w:rPr>
                <w:rFonts w:ascii="宋体" w:hAnsi="宋体"/>
                <w:sz w:val="24"/>
              </w:rPr>
            </w:pPr>
            <w:r>
              <w:rPr>
                <w:rFonts w:ascii="宋体" w:hAnsi="宋体"/>
                <w:sz w:val="24"/>
              </w:rPr>
              <w:t>联系电话：</w:t>
            </w:r>
            <w:r>
              <w:rPr>
                <w:rFonts w:hint="eastAsia" w:ascii="宋体" w:hAnsi="宋体"/>
                <w:sz w:val="24"/>
                <w:u w:val="single"/>
              </w:rPr>
              <w:t>010-60953101</w:t>
            </w:r>
            <w:r>
              <w:rPr>
                <w:rFonts w:ascii="宋体" w:hAnsi="宋体"/>
                <w:sz w:val="24"/>
              </w:rPr>
              <w:t>；</w:t>
            </w:r>
          </w:p>
          <w:p>
            <w:pPr>
              <w:jc w:val="left"/>
              <w:rPr>
                <w:rFonts w:ascii="宋体" w:hAnsi="宋体"/>
                <w:color w:val="000000"/>
                <w:sz w:val="24"/>
              </w:rPr>
            </w:pPr>
            <w:r>
              <w:rPr>
                <w:rFonts w:ascii="宋体" w:hAnsi="宋体"/>
                <w:color w:val="000000"/>
                <w:sz w:val="24"/>
              </w:rPr>
              <w:t>通讯地址：</w:t>
            </w:r>
            <w:r>
              <w:rPr>
                <w:rFonts w:hint="eastAsia" w:ascii="宋体" w:hAnsi="宋体"/>
                <w:sz w:val="24"/>
                <w:u w:val="single"/>
              </w:rPr>
              <w:t>北京市平谷区渔阳地区平谷体育中心西路3号院2号楼101</w:t>
            </w: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25</w:t>
            </w:r>
          </w:p>
        </w:tc>
        <w:tc>
          <w:tcPr>
            <w:tcW w:w="1433" w:type="dxa"/>
            <w:shd w:val="clear" w:color="auto" w:fill="auto"/>
            <w:vAlign w:val="center"/>
          </w:tcPr>
          <w:p>
            <w:pPr>
              <w:jc w:val="center"/>
              <w:rPr>
                <w:rFonts w:ascii="宋体" w:hAnsi="宋体"/>
                <w:color w:val="000000"/>
                <w:sz w:val="24"/>
              </w:rPr>
            </w:pPr>
            <w:r>
              <w:rPr>
                <w:rFonts w:ascii="宋体" w:hAnsi="宋体"/>
                <w:color w:val="000000"/>
                <w:sz w:val="24"/>
              </w:rPr>
              <w:t>代理费</w:t>
            </w:r>
          </w:p>
        </w:tc>
        <w:tc>
          <w:tcPr>
            <w:tcW w:w="6534" w:type="dxa"/>
            <w:shd w:val="clear" w:color="auto" w:fill="auto"/>
            <w:vAlign w:val="center"/>
          </w:tcPr>
          <w:p>
            <w:pPr>
              <w:jc w:val="left"/>
              <w:rPr>
                <w:rFonts w:ascii="宋体" w:hAnsi="宋体"/>
                <w:color w:val="000000"/>
                <w:sz w:val="24"/>
              </w:rPr>
            </w:pPr>
            <w:r>
              <w:rPr>
                <w:rFonts w:hint="eastAsia" w:ascii="宋体" w:hAnsi="宋体"/>
                <w:color w:val="000000"/>
                <w:sz w:val="24"/>
              </w:rPr>
              <w:t>不收取代理费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补充1</w:t>
            </w:r>
          </w:p>
        </w:tc>
        <w:tc>
          <w:tcPr>
            <w:tcW w:w="1433" w:type="dxa"/>
            <w:vAlign w:val="center"/>
          </w:tcPr>
          <w:p>
            <w:pPr>
              <w:jc w:val="center"/>
              <w:rPr>
                <w:rFonts w:ascii="宋体" w:hAnsi="宋体"/>
                <w:color w:val="000000"/>
                <w:sz w:val="24"/>
              </w:rPr>
            </w:pPr>
            <w:r>
              <w:rPr>
                <w:rFonts w:hint="eastAsia" w:ascii="宋体" w:hAnsi="宋体"/>
                <w:color w:val="000000"/>
                <w:sz w:val="24"/>
              </w:rPr>
              <w:t>供应商信用记录</w:t>
            </w:r>
          </w:p>
        </w:tc>
        <w:tc>
          <w:tcPr>
            <w:tcW w:w="6534" w:type="dxa"/>
            <w:vAlign w:val="center"/>
          </w:tcPr>
          <w:p>
            <w:pPr>
              <w:jc w:val="left"/>
              <w:rPr>
                <w:rFonts w:ascii="宋体" w:hAnsi="宋体"/>
                <w:color w:val="000000"/>
                <w:sz w:val="24"/>
              </w:rPr>
            </w:pPr>
            <w:r>
              <w:rPr>
                <w:rFonts w:ascii="宋体" w:hAnsi="宋体"/>
                <w:color w:val="000000"/>
                <w:sz w:val="24"/>
              </w:rPr>
              <w:t>查询渠道：信用中国网站和中国政府采购网（www.creditchina.gov.cn、www.ccgp.gov.cn）；</w:t>
            </w:r>
          </w:p>
          <w:p>
            <w:pPr>
              <w:jc w:val="left"/>
              <w:rPr>
                <w:rFonts w:ascii="宋体" w:hAnsi="宋体"/>
                <w:color w:val="000000"/>
                <w:sz w:val="24"/>
              </w:rPr>
            </w:pPr>
            <w:r>
              <w:rPr>
                <w:rFonts w:ascii="宋体" w:hAnsi="宋体"/>
                <w:color w:val="000000"/>
                <w:sz w:val="24"/>
              </w:rPr>
              <w:t>截止时点：首次响应文件提交截止时间以后、资格性检查阶段采购人或采购代理机构的实际查询时间；</w:t>
            </w:r>
          </w:p>
          <w:p>
            <w:pPr>
              <w:jc w:val="left"/>
              <w:rPr>
                <w:rFonts w:ascii="宋体" w:hAnsi="宋体"/>
                <w:color w:val="000000"/>
                <w:sz w:val="24"/>
              </w:rPr>
            </w:pPr>
            <w:r>
              <w:rPr>
                <w:rFonts w:ascii="宋体" w:hAnsi="宋体"/>
                <w:color w:val="000000"/>
                <w:sz w:val="24"/>
              </w:rPr>
              <w:t>信用信息查询记录和证据留存具体方式：查询结果网页打印页作为查询记录和证据，与其他竞争性磋商文件一并保存；</w:t>
            </w:r>
          </w:p>
          <w:p>
            <w:pPr>
              <w:jc w:val="left"/>
              <w:rPr>
                <w:rFonts w:ascii="宋体" w:hAnsi="宋体"/>
                <w:color w:val="000000"/>
                <w:sz w:val="24"/>
              </w:rPr>
            </w:pPr>
            <w:r>
              <w:rPr>
                <w:rFonts w:ascii="宋体" w:hAnsi="宋体"/>
                <w:color w:val="000000"/>
                <w:sz w:val="24"/>
              </w:rPr>
              <w:t>信用信息的使用原则：经认定的被列入失信被执行人、重大税收违法失信主体名单、政府采购严重违法失信行为记录名单的供应商，其</w:t>
            </w:r>
            <w:r>
              <w:rPr>
                <w:rFonts w:ascii="宋体" w:hAnsi="宋体"/>
                <w:b/>
                <w:color w:val="000000"/>
                <w:sz w:val="24"/>
              </w:rPr>
              <w:t>响应无效</w:t>
            </w: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补充2</w:t>
            </w:r>
          </w:p>
        </w:tc>
        <w:tc>
          <w:tcPr>
            <w:tcW w:w="1433" w:type="dxa"/>
            <w:vAlign w:val="center"/>
          </w:tcPr>
          <w:p>
            <w:pPr>
              <w:jc w:val="center"/>
              <w:rPr>
                <w:rFonts w:ascii="宋体" w:hAnsi="宋体"/>
                <w:color w:val="000000"/>
                <w:sz w:val="24"/>
              </w:rPr>
            </w:pPr>
            <w:r>
              <w:rPr>
                <w:rFonts w:hint="eastAsia" w:ascii="宋体" w:hAnsi="宋体"/>
                <w:color w:val="000000"/>
                <w:sz w:val="24"/>
              </w:rPr>
              <w:t>响应无效</w:t>
            </w:r>
          </w:p>
        </w:tc>
        <w:tc>
          <w:tcPr>
            <w:tcW w:w="6534" w:type="dxa"/>
            <w:vAlign w:val="center"/>
          </w:tcPr>
          <w:p>
            <w:pPr>
              <w:jc w:val="left"/>
              <w:rPr>
                <w:rFonts w:ascii="宋体" w:hAnsi="宋体"/>
                <w:color w:val="000000"/>
                <w:sz w:val="24"/>
              </w:rPr>
            </w:pPr>
            <w:r>
              <w:rPr>
                <w:rFonts w:hint="eastAsia" w:ascii="宋体" w:hAnsi="宋体"/>
                <w:b/>
                <w:color w:val="000000"/>
                <w:sz w:val="24"/>
              </w:rPr>
              <w:t>一、 供应商存在下列情况之一的，响应无效</w:t>
            </w:r>
            <w:r>
              <w:rPr>
                <w:rFonts w:hint="eastAsia" w:ascii="宋体" w:hAnsi="宋体"/>
                <w:color w:val="000000"/>
                <w:sz w:val="24"/>
              </w:rPr>
              <w:t xml:space="preserve">： </w:t>
            </w:r>
          </w:p>
          <w:p>
            <w:pPr>
              <w:jc w:val="left"/>
              <w:rPr>
                <w:rFonts w:ascii="宋体" w:hAnsi="宋体"/>
                <w:color w:val="000000"/>
                <w:sz w:val="24"/>
              </w:rPr>
            </w:pPr>
            <w:r>
              <w:rPr>
                <w:rFonts w:hint="eastAsia" w:ascii="宋体" w:hAnsi="宋体"/>
                <w:color w:val="000000"/>
                <w:sz w:val="24"/>
              </w:rPr>
              <w:t xml:space="preserve">（1）未按照竞争性磋商文件的规定提交磋商保证金的； </w:t>
            </w:r>
          </w:p>
          <w:p>
            <w:pPr>
              <w:jc w:val="left"/>
              <w:rPr>
                <w:rFonts w:ascii="宋体" w:hAnsi="宋体"/>
                <w:color w:val="000000"/>
                <w:sz w:val="24"/>
              </w:rPr>
            </w:pPr>
            <w:r>
              <w:rPr>
                <w:rFonts w:hint="eastAsia" w:ascii="宋体" w:hAnsi="宋体"/>
                <w:color w:val="000000"/>
                <w:sz w:val="24"/>
              </w:rPr>
              <w:t xml:space="preserve">（2）响应文件未按竞争性磋商文件要求签署、盖章的； </w:t>
            </w:r>
          </w:p>
          <w:p>
            <w:pPr>
              <w:jc w:val="left"/>
              <w:rPr>
                <w:rFonts w:ascii="宋体" w:hAnsi="宋体"/>
                <w:color w:val="000000"/>
                <w:sz w:val="24"/>
              </w:rPr>
            </w:pPr>
            <w:r>
              <w:rPr>
                <w:rFonts w:hint="eastAsia" w:ascii="宋体" w:hAnsi="宋体"/>
                <w:color w:val="000000"/>
                <w:sz w:val="24"/>
              </w:rPr>
              <w:t xml:space="preserve">（3）不具备竞争性磋商文件中规定的资格要求的； </w:t>
            </w:r>
          </w:p>
          <w:p>
            <w:pPr>
              <w:jc w:val="left"/>
              <w:rPr>
                <w:rFonts w:ascii="宋体" w:hAnsi="宋体"/>
                <w:color w:val="000000"/>
                <w:sz w:val="24"/>
              </w:rPr>
            </w:pPr>
            <w:r>
              <w:rPr>
                <w:rFonts w:hint="eastAsia" w:ascii="宋体" w:hAnsi="宋体"/>
                <w:color w:val="000000"/>
                <w:sz w:val="24"/>
              </w:rPr>
              <w:t>（4）报价超过竞争性磋商文件中规定的预算金额或者最高限价的；</w:t>
            </w:r>
          </w:p>
          <w:p>
            <w:pPr>
              <w:jc w:val="left"/>
              <w:rPr>
                <w:rFonts w:ascii="宋体" w:hAnsi="宋体"/>
                <w:color w:val="000000"/>
                <w:sz w:val="24"/>
              </w:rPr>
            </w:pPr>
            <w:r>
              <w:rPr>
                <w:rFonts w:hint="eastAsia" w:ascii="宋体" w:hAnsi="宋体"/>
                <w:color w:val="000000"/>
                <w:sz w:val="24"/>
              </w:rPr>
              <w:t>（5）响应文件含有采购人不能接受的附加条件的；</w:t>
            </w:r>
          </w:p>
          <w:p>
            <w:pPr>
              <w:jc w:val="left"/>
              <w:rPr>
                <w:rFonts w:ascii="宋体" w:hAnsi="宋体"/>
                <w:color w:val="000000"/>
                <w:sz w:val="24"/>
              </w:rPr>
            </w:pPr>
            <w:r>
              <w:rPr>
                <w:rFonts w:hint="eastAsia" w:ascii="宋体" w:hAnsi="宋体"/>
                <w:color w:val="000000"/>
                <w:sz w:val="24"/>
              </w:rPr>
              <w:t xml:space="preserve">（6）法律、法规和竞争性磋商文件规定的其他无效情形。 </w:t>
            </w:r>
          </w:p>
          <w:p>
            <w:pPr>
              <w:jc w:val="left"/>
              <w:rPr>
                <w:rFonts w:ascii="宋体" w:hAnsi="宋体"/>
                <w:b/>
                <w:bCs/>
                <w:color w:val="000000"/>
                <w:sz w:val="24"/>
              </w:rPr>
            </w:pPr>
            <w:r>
              <w:rPr>
                <w:rFonts w:hint="eastAsia" w:ascii="宋体" w:hAnsi="宋体"/>
                <w:b/>
                <w:bCs/>
                <w:color w:val="000000"/>
                <w:sz w:val="24"/>
              </w:rPr>
              <w:t>二、有下列情形之一的，属于供应商相互串通投标：</w:t>
            </w:r>
          </w:p>
          <w:p>
            <w:pPr>
              <w:jc w:val="left"/>
              <w:rPr>
                <w:rFonts w:ascii="宋体" w:hAnsi="宋体"/>
                <w:color w:val="000000"/>
                <w:sz w:val="24"/>
              </w:rPr>
            </w:pPr>
            <w:r>
              <w:rPr>
                <w:rFonts w:hint="eastAsia" w:ascii="宋体" w:hAnsi="宋体"/>
                <w:color w:val="000000"/>
                <w:sz w:val="24"/>
              </w:rPr>
              <w:t>（一）供应商之间协商投标报价等响应文件的实质性内容；</w:t>
            </w:r>
          </w:p>
          <w:p>
            <w:pPr>
              <w:jc w:val="left"/>
              <w:rPr>
                <w:rFonts w:ascii="宋体" w:hAnsi="宋体"/>
                <w:color w:val="000000"/>
                <w:sz w:val="24"/>
              </w:rPr>
            </w:pPr>
            <w:r>
              <w:rPr>
                <w:rFonts w:hint="eastAsia" w:ascii="宋体" w:hAnsi="宋体"/>
                <w:color w:val="000000"/>
                <w:sz w:val="24"/>
              </w:rPr>
              <w:t>（二）供应商之间约定成交供应商；</w:t>
            </w:r>
          </w:p>
          <w:p>
            <w:pPr>
              <w:jc w:val="left"/>
              <w:rPr>
                <w:rFonts w:ascii="宋体" w:hAnsi="宋体"/>
                <w:color w:val="000000"/>
                <w:sz w:val="24"/>
              </w:rPr>
            </w:pPr>
            <w:r>
              <w:rPr>
                <w:rFonts w:hint="eastAsia" w:ascii="宋体" w:hAnsi="宋体"/>
                <w:color w:val="000000"/>
                <w:sz w:val="24"/>
              </w:rPr>
              <w:t>（三）供应商之间约定部分供应商放弃投标或者中标；</w:t>
            </w:r>
          </w:p>
          <w:p>
            <w:pPr>
              <w:jc w:val="left"/>
              <w:rPr>
                <w:rFonts w:ascii="宋体" w:hAnsi="宋体"/>
                <w:color w:val="000000"/>
                <w:sz w:val="24"/>
              </w:rPr>
            </w:pPr>
            <w:r>
              <w:rPr>
                <w:rFonts w:hint="eastAsia" w:ascii="宋体" w:hAnsi="宋体"/>
                <w:color w:val="000000"/>
                <w:sz w:val="24"/>
              </w:rPr>
              <w:t>（四）属于同一集团、协会、商会等组织成员的供应商按照该组织要求协同投标；</w:t>
            </w:r>
          </w:p>
          <w:p>
            <w:pPr>
              <w:jc w:val="left"/>
              <w:rPr>
                <w:rFonts w:ascii="宋体" w:hAnsi="宋体"/>
                <w:color w:val="000000"/>
                <w:sz w:val="24"/>
              </w:rPr>
            </w:pPr>
            <w:r>
              <w:rPr>
                <w:rFonts w:hint="eastAsia" w:ascii="宋体" w:hAnsi="宋体"/>
                <w:color w:val="000000"/>
                <w:sz w:val="24"/>
              </w:rPr>
              <w:t>（五）供应商之间为谋取中标或者排斥特定供应商而采取的其他联合行动。</w:t>
            </w:r>
          </w:p>
          <w:p>
            <w:pPr>
              <w:jc w:val="left"/>
              <w:rPr>
                <w:rFonts w:ascii="宋体" w:hAnsi="宋体"/>
                <w:color w:val="000000"/>
                <w:sz w:val="24"/>
              </w:rPr>
            </w:pPr>
            <w:r>
              <w:rPr>
                <w:rFonts w:hint="eastAsia" w:ascii="宋体" w:hAnsi="宋体"/>
                <w:b/>
                <w:color w:val="000000"/>
                <w:sz w:val="24"/>
              </w:rPr>
              <w:t>三、 有下列情形之一的，视为供应商串通，其响应无效</w:t>
            </w:r>
            <w:r>
              <w:rPr>
                <w:rFonts w:hint="eastAsia" w:ascii="宋体" w:hAnsi="宋体"/>
                <w:color w:val="000000"/>
                <w:sz w:val="24"/>
              </w:rPr>
              <w:t xml:space="preserve">： </w:t>
            </w:r>
          </w:p>
          <w:p>
            <w:pPr>
              <w:jc w:val="left"/>
              <w:rPr>
                <w:rFonts w:ascii="宋体" w:hAnsi="宋体"/>
                <w:color w:val="000000"/>
                <w:sz w:val="24"/>
              </w:rPr>
            </w:pPr>
            <w:r>
              <w:rPr>
                <w:rFonts w:hint="eastAsia" w:ascii="宋体" w:hAnsi="宋体"/>
                <w:color w:val="000000"/>
                <w:sz w:val="24"/>
              </w:rPr>
              <w:t xml:space="preserve">（1）不同供应商的响应文件由同一单位或者个人编制； </w:t>
            </w:r>
          </w:p>
          <w:p>
            <w:pPr>
              <w:jc w:val="left"/>
              <w:rPr>
                <w:rFonts w:ascii="宋体" w:hAnsi="宋体"/>
                <w:color w:val="000000"/>
                <w:sz w:val="24"/>
              </w:rPr>
            </w:pPr>
            <w:r>
              <w:rPr>
                <w:rFonts w:hint="eastAsia" w:ascii="宋体" w:hAnsi="宋体"/>
                <w:color w:val="000000"/>
                <w:sz w:val="24"/>
              </w:rPr>
              <w:t xml:space="preserve">（2）不同供应商委托同一单位或者个人办理投标事宜； </w:t>
            </w:r>
          </w:p>
          <w:p>
            <w:pPr>
              <w:jc w:val="left"/>
              <w:rPr>
                <w:rFonts w:ascii="宋体" w:hAnsi="宋体"/>
                <w:color w:val="000000"/>
                <w:sz w:val="24"/>
              </w:rPr>
            </w:pPr>
            <w:r>
              <w:rPr>
                <w:rFonts w:hint="eastAsia" w:ascii="宋体" w:hAnsi="宋体"/>
                <w:color w:val="000000"/>
                <w:sz w:val="24"/>
              </w:rPr>
              <w:t>（3）不同供应商的响应文件载明的项目管理成员或者联系人员为同一人；</w:t>
            </w:r>
          </w:p>
          <w:p>
            <w:pPr>
              <w:jc w:val="left"/>
              <w:rPr>
                <w:rFonts w:ascii="宋体" w:hAnsi="宋体"/>
                <w:color w:val="000000"/>
                <w:sz w:val="24"/>
              </w:rPr>
            </w:pPr>
            <w:r>
              <w:rPr>
                <w:rFonts w:hint="eastAsia" w:ascii="宋体" w:hAnsi="宋体"/>
                <w:color w:val="000000"/>
                <w:sz w:val="24"/>
              </w:rPr>
              <w:t>（4）不同供应商的响应文件异常一致或者响应报价呈规律性差异；</w:t>
            </w:r>
          </w:p>
          <w:p>
            <w:pPr>
              <w:jc w:val="left"/>
              <w:rPr>
                <w:rFonts w:ascii="宋体" w:hAnsi="宋体"/>
                <w:color w:val="000000"/>
                <w:sz w:val="24"/>
              </w:rPr>
            </w:pPr>
            <w:r>
              <w:rPr>
                <w:rFonts w:hint="eastAsia" w:ascii="宋体" w:hAnsi="宋体"/>
                <w:color w:val="000000"/>
                <w:sz w:val="24"/>
              </w:rPr>
              <w:t>（5）不同供应商的响应文件相互混装；</w:t>
            </w:r>
          </w:p>
          <w:p>
            <w:pPr>
              <w:jc w:val="left"/>
              <w:rPr>
                <w:rFonts w:ascii="宋体" w:hAnsi="宋体"/>
                <w:color w:val="000000"/>
                <w:sz w:val="24"/>
              </w:rPr>
            </w:pPr>
            <w:r>
              <w:rPr>
                <w:rFonts w:hint="eastAsia" w:ascii="宋体" w:hAnsi="宋体"/>
                <w:color w:val="000000"/>
                <w:sz w:val="24"/>
              </w:rPr>
              <w:t>（6）不同投供应商的磋商保证金从同一单位或者个人的账户转出。</w:t>
            </w:r>
          </w:p>
          <w:p>
            <w:pPr>
              <w:jc w:val="left"/>
              <w:rPr>
                <w:rFonts w:ascii="宋体" w:hAnsi="宋体"/>
                <w:color w:val="000000"/>
                <w:sz w:val="24"/>
              </w:rPr>
            </w:pPr>
            <w:r>
              <w:rPr>
                <w:rFonts w:hint="eastAsia" w:ascii="宋体" w:hAnsi="宋体"/>
                <w:color w:val="000000"/>
                <w:sz w:val="24"/>
              </w:rPr>
              <w:t xml:space="preserve"> </w:t>
            </w:r>
            <w:r>
              <w:rPr>
                <w:rFonts w:hint="eastAsia" w:ascii="宋体" w:hAnsi="宋体"/>
                <w:b/>
                <w:color w:val="000000"/>
                <w:sz w:val="24"/>
              </w:rPr>
              <w:t>四、其他响应无效情形</w:t>
            </w:r>
            <w:r>
              <w:rPr>
                <w:rFonts w:hint="eastAsia" w:ascii="宋体" w:hAnsi="宋体"/>
                <w:color w:val="000000"/>
                <w:sz w:val="24"/>
              </w:rPr>
              <w:t>：</w:t>
            </w:r>
          </w:p>
          <w:p>
            <w:pPr>
              <w:jc w:val="left"/>
              <w:rPr>
                <w:rFonts w:ascii="宋体" w:hAnsi="宋体"/>
                <w:color w:val="000000"/>
                <w:sz w:val="24"/>
              </w:rPr>
            </w:pPr>
            <w:r>
              <w:rPr>
                <w:rFonts w:hint="eastAsia" w:ascii="宋体" w:hAnsi="宋体"/>
                <w:color w:val="000000"/>
                <w:sz w:val="24"/>
              </w:rPr>
              <w:t>（1）为本次采购项目提供整体设计、规范编制或者项目管理、监理、检测等服务的供应商参加磋商的；</w:t>
            </w:r>
          </w:p>
          <w:p>
            <w:pPr>
              <w:jc w:val="left"/>
              <w:rPr>
                <w:rFonts w:ascii="宋体" w:hAnsi="宋体"/>
                <w:color w:val="000000"/>
                <w:sz w:val="24"/>
              </w:rPr>
            </w:pPr>
            <w:r>
              <w:rPr>
                <w:rFonts w:hint="eastAsia" w:ascii="宋体" w:hAnsi="宋体"/>
                <w:color w:val="000000"/>
                <w:sz w:val="24"/>
              </w:rPr>
              <w:t>（2）单位负责人为同一人或者存在直接控股、管理关系的不同供应商， 参加同一合同项下政府采购投标的，相关投标均无效；</w:t>
            </w:r>
          </w:p>
          <w:p>
            <w:pPr>
              <w:jc w:val="left"/>
              <w:rPr>
                <w:rFonts w:ascii="宋体" w:hAnsi="宋体"/>
                <w:color w:val="000000"/>
                <w:sz w:val="24"/>
              </w:rPr>
            </w:pPr>
            <w:r>
              <w:rPr>
                <w:rFonts w:hint="eastAsia" w:ascii="宋体" w:hAnsi="宋体"/>
                <w:color w:val="000000"/>
                <w:sz w:val="24"/>
              </w:rPr>
              <w:t xml:space="preserve">（3）响应有效期不满足要求的； </w:t>
            </w:r>
          </w:p>
          <w:p>
            <w:pPr>
              <w:jc w:val="left"/>
              <w:rPr>
                <w:rFonts w:ascii="宋体" w:hAnsi="宋体"/>
                <w:color w:val="000000"/>
                <w:sz w:val="24"/>
              </w:rPr>
            </w:pPr>
            <w:r>
              <w:rPr>
                <w:rFonts w:hint="eastAsia" w:ascii="宋体" w:hAnsi="宋体"/>
                <w:color w:val="000000"/>
                <w:sz w:val="24"/>
              </w:rPr>
              <w:t>（4）磋商小组认为供应商的报价明显低于其他通过符合性审查供应商的报价，有可能影响产品质量或者不能诚信履约的，供应商不能证明其报价合理性的；</w:t>
            </w:r>
          </w:p>
          <w:p>
            <w:pPr>
              <w:jc w:val="left"/>
              <w:rPr>
                <w:rFonts w:ascii="宋体" w:hAnsi="宋体"/>
                <w:color w:val="000000"/>
                <w:sz w:val="24"/>
              </w:rPr>
            </w:pPr>
            <w:r>
              <w:rPr>
                <w:rFonts w:hint="eastAsia" w:ascii="宋体" w:hAnsi="宋体"/>
                <w:color w:val="000000"/>
                <w:sz w:val="24"/>
              </w:rPr>
              <w:t xml:space="preserve">（5）响应文件报价出现前后不一致，供应商不确认修正后的报价的； </w:t>
            </w:r>
          </w:p>
          <w:p>
            <w:pPr>
              <w:jc w:val="left"/>
              <w:rPr>
                <w:rFonts w:ascii="宋体" w:hAnsi="宋体"/>
                <w:color w:val="000000"/>
                <w:sz w:val="24"/>
              </w:rPr>
            </w:pPr>
            <w:r>
              <w:rPr>
                <w:rFonts w:hint="eastAsia" w:ascii="宋体" w:hAnsi="宋体"/>
                <w:color w:val="000000"/>
                <w:sz w:val="24"/>
              </w:rPr>
              <w:t>（6）不满足竞争性磋商文件“★”条款要求或不允许偏离的实质性要求和条件的。</w:t>
            </w:r>
          </w:p>
          <w:p>
            <w:pPr>
              <w:jc w:val="left"/>
              <w:rPr>
                <w:rFonts w:ascii="宋体" w:hAnsi="宋体"/>
                <w:color w:val="000000"/>
                <w:sz w:val="24"/>
              </w:rPr>
            </w:pPr>
            <w:r>
              <w:rPr>
                <w:rFonts w:hint="eastAsia" w:ascii="宋体" w:hAnsi="宋体"/>
                <w:b/>
                <w:color w:val="000000"/>
                <w:sz w:val="24"/>
              </w:rPr>
              <w:t>五、在采购中，出现下列情形之一的，应予废标</w:t>
            </w:r>
            <w:r>
              <w:rPr>
                <w:rFonts w:hint="eastAsia" w:ascii="宋体" w:hAnsi="宋体"/>
                <w:color w:val="000000"/>
                <w:sz w:val="24"/>
              </w:rPr>
              <w:t xml:space="preserve">： </w:t>
            </w:r>
          </w:p>
          <w:p>
            <w:pPr>
              <w:jc w:val="left"/>
              <w:rPr>
                <w:rFonts w:ascii="宋体" w:hAnsi="宋体"/>
                <w:color w:val="000000"/>
                <w:sz w:val="24"/>
              </w:rPr>
            </w:pPr>
            <w:r>
              <w:rPr>
                <w:rFonts w:hint="eastAsia" w:ascii="宋体" w:hAnsi="宋体"/>
                <w:color w:val="000000"/>
                <w:sz w:val="24"/>
              </w:rPr>
              <w:t>（1）符合专业条件的供应商或者对竞争性磋商文件作实质响应的供应商不足三家；</w:t>
            </w:r>
          </w:p>
          <w:p>
            <w:pPr>
              <w:jc w:val="left"/>
              <w:rPr>
                <w:rFonts w:ascii="宋体" w:hAnsi="宋体"/>
                <w:color w:val="000000"/>
                <w:sz w:val="24"/>
              </w:rPr>
            </w:pPr>
            <w:r>
              <w:rPr>
                <w:rFonts w:hint="eastAsia" w:ascii="宋体" w:hAnsi="宋体"/>
                <w:color w:val="000000"/>
                <w:sz w:val="24"/>
              </w:rPr>
              <w:t>（2）出现影响采购公正的违法、违规行为的；</w:t>
            </w:r>
          </w:p>
          <w:p>
            <w:pPr>
              <w:jc w:val="left"/>
              <w:rPr>
                <w:rFonts w:ascii="宋体" w:hAnsi="宋体"/>
                <w:color w:val="000000"/>
                <w:sz w:val="24"/>
              </w:rPr>
            </w:pPr>
            <w:r>
              <w:rPr>
                <w:rFonts w:hint="eastAsia" w:ascii="宋体" w:hAnsi="宋体"/>
                <w:color w:val="000000"/>
                <w:sz w:val="24"/>
              </w:rPr>
              <w:t>（3）供应商的报价均超过了采购预算或者最高限价的，采购人不能支付的；</w:t>
            </w:r>
          </w:p>
          <w:p>
            <w:pPr>
              <w:jc w:val="left"/>
              <w:rPr>
                <w:rFonts w:ascii="宋体" w:hAnsi="宋体"/>
                <w:color w:val="000000"/>
                <w:sz w:val="24"/>
              </w:rPr>
            </w:pPr>
            <w:r>
              <w:rPr>
                <w:rFonts w:hint="eastAsia" w:ascii="宋体" w:hAnsi="宋体"/>
                <w:color w:val="000000"/>
                <w:sz w:val="24"/>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094" w:type="dxa"/>
            <w:vAlign w:val="center"/>
          </w:tcPr>
          <w:p>
            <w:pPr>
              <w:pStyle w:val="6"/>
              <w:adjustRightInd w:val="0"/>
              <w:snapToGrid w:val="0"/>
              <w:jc w:val="center"/>
              <w:rPr>
                <w:rFonts w:hAnsi="宋体"/>
                <w:color w:val="000000"/>
                <w:sz w:val="24"/>
                <w:szCs w:val="24"/>
              </w:rPr>
            </w:pPr>
            <w:r>
              <w:rPr>
                <w:rFonts w:hAnsi="宋体"/>
                <w:color w:val="000000"/>
                <w:sz w:val="24"/>
                <w:szCs w:val="24"/>
              </w:rPr>
              <w:t>补充3</w:t>
            </w:r>
          </w:p>
        </w:tc>
        <w:tc>
          <w:tcPr>
            <w:tcW w:w="1433" w:type="dxa"/>
            <w:vAlign w:val="center"/>
          </w:tcPr>
          <w:p>
            <w:pPr>
              <w:jc w:val="center"/>
              <w:rPr>
                <w:rFonts w:ascii="宋体" w:hAnsi="宋体"/>
                <w:color w:val="000000"/>
                <w:sz w:val="24"/>
              </w:rPr>
            </w:pPr>
            <w:r>
              <w:rPr>
                <w:rFonts w:hint="eastAsia" w:ascii="宋体" w:hAnsi="宋体"/>
                <w:color w:val="000000"/>
                <w:sz w:val="24"/>
              </w:rPr>
              <w:t>其他</w:t>
            </w:r>
          </w:p>
        </w:tc>
        <w:tc>
          <w:tcPr>
            <w:tcW w:w="6534" w:type="dxa"/>
            <w:vAlign w:val="center"/>
          </w:tcPr>
          <w:p>
            <w:pPr>
              <w:jc w:val="left"/>
              <w:rPr>
                <w:rFonts w:ascii="宋体" w:hAnsi="宋体"/>
                <w:color w:val="000000"/>
                <w:sz w:val="24"/>
              </w:rPr>
            </w:pPr>
            <w:r>
              <w:rPr>
                <w:rFonts w:hint="eastAsia" w:ascii="宋体" w:hAnsi="宋体"/>
                <w:color w:val="000000"/>
                <w:sz w:val="24"/>
              </w:rPr>
              <w:t>成交后，成交供应商须向采购人提供纸质响应文件正本1份，副本2份。</w:t>
            </w:r>
          </w:p>
        </w:tc>
      </w:tr>
    </w:tbl>
    <w:p>
      <w:pPr>
        <w:tabs>
          <w:tab w:val="left" w:pos="5580"/>
        </w:tabs>
        <w:adjustRightInd w:val="0"/>
        <w:spacing w:line="360" w:lineRule="auto"/>
        <w:rPr>
          <w:rFonts w:ascii="宋体" w:hAnsi="宋体"/>
          <w:color w:val="000000"/>
          <w:sz w:val="24"/>
        </w:rPr>
        <w:sectPr>
          <w:footerReference r:id="rId4" w:type="first"/>
          <w:footerReference r:id="rId3" w:type="default"/>
          <w:pgSz w:w="11907" w:h="16840"/>
          <w:pgMar w:top="1418" w:right="1418" w:bottom="1418" w:left="1418" w:header="851" w:footer="851" w:gutter="0"/>
          <w:pgNumType w:start="1"/>
          <w:cols w:space="720" w:num="1"/>
          <w:docGrid w:linePitch="462" w:charSpace="0"/>
        </w:sectPr>
      </w:pPr>
    </w:p>
    <w:p>
      <w:pPr>
        <w:spacing w:before="240" w:beforeLines="100" w:after="240" w:afterLines="100"/>
        <w:jc w:val="center"/>
        <w:rPr>
          <w:rFonts w:ascii="宋体" w:hAnsi="宋体"/>
          <w:b/>
          <w:color w:val="000000"/>
          <w:sz w:val="28"/>
          <w:szCs w:val="28"/>
        </w:rPr>
      </w:pPr>
      <w:bookmarkStart w:id="74" w:name="_1.8_计量单位"/>
      <w:bookmarkEnd w:id="74"/>
      <w:bookmarkStart w:id="75" w:name="_Toc150774727"/>
      <w:bookmarkStart w:id="76" w:name="_Toc305158790"/>
      <w:bookmarkStart w:id="77" w:name="_Toc226965712"/>
      <w:bookmarkStart w:id="78" w:name="_Toc265228360"/>
      <w:bookmarkStart w:id="79" w:name="_Toc305158864"/>
      <w:bookmarkStart w:id="80" w:name="_Toc151193692"/>
      <w:bookmarkStart w:id="81" w:name="_Toc151190149"/>
      <w:bookmarkStart w:id="82" w:name="_Toc150509273"/>
      <w:bookmarkStart w:id="83" w:name="_Toc151193620"/>
      <w:bookmarkStart w:id="84" w:name="_Toc226337218"/>
      <w:bookmarkStart w:id="85" w:name="_Toc150480760"/>
      <w:bookmarkStart w:id="86" w:name="_Toc226965795"/>
      <w:bookmarkStart w:id="87" w:name="_Toc226309766"/>
      <w:bookmarkStart w:id="88" w:name="_Toc520356146"/>
      <w:bookmarkStart w:id="89" w:name="_Toc127151522"/>
      <w:bookmarkStart w:id="90" w:name="_Toc142311024"/>
      <w:bookmarkStart w:id="91" w:name="_Toc150774622"/>
      <w:bookmarkStart w:id="92" w:name="_Toc151193910"/>
      <w:bookmarkStart w:id="93" w:name="_Toc151193764"/>
      <w:bookmarkStart w:id="94" w:name="_Toc264969212"/>
      <w:bookmarkStart w:id="95" w:name="_Toc151193836"/>
      <w:bookmarkStart w:id="96" w:name="_Toc195842887"/>
      <w:r>
        <w:rPr>
          <w:rFonts w:ascii="宋体" w:hAnsi="宋体"/>
          <w:b/>
          <w:color w:val="000000"/>
          <w:sz w:val="28"/>
          <w:szCs w:val="28"/>
        </w:rPr>
        <w:t>供应商须知</w:t>
      </w:r>
    </w:p>
    <w:p>
      <w:pPr>
        <w:pStyle w:val="3"/>
        <w:tabs>
          <w:tab w:val="center" w:pos="4592"/>
          <w:tab w:val="left" w:pos="7860"/>
        </w:tabs>
        <w:spacing w:before="0" w:line="360" w:lineRule="auto"/>
        <w:jc w:val="left"/>
        <w:rPr>
          <w:rFonts w:ascii="宋体" w:hAnsi="宋体" w:eastAsia="宋体"/>
          <w:color w:val="000000"/>
          <w:sz w:val="28"/>
        </w:rPr>
      </w:pPr>
      <w:bookmarkStart w:id="97" w:name="_Toc127151518"/>
      <w:bookmarkStart w:id="98" w:name="_Toc520356143"/>
      <w:r>
        <w:rPr>
          <w:rFonts w:ascii="宋体" w:hAnsi="宋体" w:eastAsia="宋体"/>
          <w:color w:val="000000"/>
          <w:sz w:val="28"/>
        </w:rPr>
        <w:tab/>
      </w:r>
      <w:bookmarkStart w:id="99" w:name="_Toc151193688"/>
      <w:bookmarkStart w:id="100" w:name="_Toc150774723"/>
      <w:bookmarkStart w:id="101" w:name="_Toc264969208"/>
      <w:bookmarkStart w:id="102" w:name="_Toc150480756"/>
      <w:bookmarkStart w:id="103" w:name="_Toc151190145"/>
      <w:bookmarkStart w:id="104" w:name="_Toc305158786"/>
      <w:bookmarkStart w:id="105" w:name="_Toc305158860"/>
      <w:bookmarkStart w:id="106" w:name="_Toc150774618"/>
      <w:bookmarkStart w:id="107" w:name="_Toc226337214"/>
      <w:bookmarkStart w:id="108" w:name="_Toc195842883"/>
      <w:bookmarkStart w:id="109" w:name="_Toc151193832"/>
      <w:bookmarkStart w:id="110" w:name="_Toc142311020"/>
      <w:bookmarkStart w:id="111" w:name="_Toc226965791"/>
      <w:bookmarkStart w:id="112" w:name="_Toc265228356"/>
      <w:bookmarkStart w:id="113" w:name="_Toc226309762"/>
      <w:bookmarkStart w:id="114" w:name="_Toc150509269"/>
      <w:bookmarkStart w:id="115" w:name="_Toc151193616"/>
      <w:bookmarkStart w:id="116" w:name="_Toc151193906"/>
      <w:bookmarkStart w:id="117" w:name="_Toc151193760"/>
      <w:bookmarkStart w:id="118" w:name="_Toc226965708"/>
      <w:r>
        <w:rPr>
          <w:rFonts w:ascii="宋体" w:hAnsi="宋体" w:eastAsia="宋体"/>
          <w:color w:val="000000"/>
          <w:sz w:val="28"/>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宋体" w:hAnsi="宋体" w:eastAsia="宋体"/>
          <w:color w:val="000000"/>
          <w:sz w:val="28"/>
        </w:rPr>
        <w:tab/>
      </w:r>
    </w:p>
    <w:p>
      <w:pPr>
        <w:numPr>
          <w:ilvl w:val="0"/>
          <w:numId w:val="1"/>
        </w:numPr>
        <w:tabs>
          <w:tab w:val="left" w:pos="360"/>
          <w:tab w:val="clear" w:pos="900"/>
        </w:tabs>
        <w:adjustRightInd w:val="0"/>
        <w:snapToGrid w:val="0"/>
        <w:spacing w:line="440" w:lineRule="exact"/>
        <w:ind w:left="357" w:hanging="357"/>
        <w:outlineLvl w:val="1"/>
        <w:rPr>
          <w:rFonts w:ascii="宋体" w:hAnsi="宋体"/>
          <w:color w:val="000000"/>
          <w:sz w:val="24"/>
        </w:rPr>
      </w:pPr>
      <w:bookmarkStart w:id="119" w:name="_Toc305158861"/>
      <w:bookmarkStart w:id="120" w:name="_Toc264969209"/>
      <w:bookmarkStart w:id="121" w:name="_Toc265228357"/>
      <w:bookmarkStart w:id="122" w:name="_Toc305158787"/>
      <w:r>
        <w:rPr>
          <w:rFonts w:ascii="宋体" w:hAnsi="宋体"/>
          <w:color w:val="000000"/>
          <w:sz w:val="24"/>
        </w:rPr>
        <w:t>采购人、采购代理机构、</w:t>
      </w:r>
      <w:bookmarkEnd w:id="119"/>
      <w:bookmarkEnd w:id="120"/>
      <w:bookmarkEnd w:id="121"/>
      <w:bookmarkEnd w:id="122"/>
      <w:r>
        <w:rPr>
          <w:rFonts w:ascii="宋体" w:hAnsi="宋体"/>
          <w:color w:val="000000"/>
          <w:sz w:val="24"/>
        </w:rPr>
        <w:t>供应商、联合体</w:t>
      </w:r>
    </w:p>
    <w:p>
      <w:pPr>
        <w:numPr>
          <w:ilvl w:val="1"/>
          <w:numId w:val="1"/>
        </w:numPr>
        <w:tabs>
          <w:tab w:val="left" w:pos="1080"/>
          <w:tab w:val="left" w:pos="1589"/>
          <w:tab w:val="left" w:pos="2014"/>
          <w:tab w:val="left" w:pos="5521"/>
        </w:tabs>
        <w:adjustRightInd w:val="0"/>
        <w:snapToGrid w:val="0"/>
        <w:spacing w:line="440" w:lineRule="exact"/>
        <w:ind w:left="1080" w:hanging="720"/>
        <w:rPr>
          <w:rFonts w:ascii="宋体" w:hAnsi="宋体"/>
          <w:color w:val="000000"/>
          <w:sz w:val="24"/>
        </w:rPr>
      </w:pPr>
      <w:r>
        <w:rPr>
          <w:rFonts w:ascii="宋体" w:hAnsi="宋体"/>
          <w:color w:val="000000"/>
          <w:sz w:val="24"/>
        </w:rPr>
        <w:t>采购人、采购代理机构：指依法进行政府采购的国家机关、事业单位、团体组织，及其委托的采购代理机构。本项目采购人、采购代理机构见第一章《采购邀请》。</w:t>
      </w:r>
    </w:p>
    <w:p>
      <w:pPr>
        <w:numPr>
          <w:ilvl w:val="1"/>
          <w:numId w:val="1"/>
        </w:numPr>
        <w:tabs>
          <w:tab w:val="left" w:pos="1080"/>
          <w:tab w:val="left" w:pos="1589"/>
          <w:tab w:val="left" w:pos="2014"/>
          <w:tab w:val="left" w:pos="5521"/>
        </w:tabs>
        <w:adjustRightInd w:val="0"/>
        <w:snapToGrid w:val="0"/>
        <w:spacing w:line="440" w:lineRule="exact"/>
        <w:ind w:left="1080" w:hanging="720"/>
        <w:rPr>
          <w:rFonts w:ascii="宋体" w:hAnsi="宋体"/>
          <w:color w:val="000000"/>
          <w:sz w:val="24"/>
        </w:rPr>
      </w:pPr>
      <w:r>
        <w:rPr>
          <w:rFonts w:ascii="宋体" w:hAnsi="宋体"/>
          <w:color w:val="000000"/>
          <w:sz w:val="24"/>
        </w:rPr>
        <w:t>供应商（也称“申请人”）：指向采购人提供货物、工程或者服务的法人、其他组织或者自然人。</w:t>
      </w:r>
    </w:p>
    <w:p>
      <w:pPr>
        <w:numPr>
          <w:ilvl w:val="1"/>
          <w:numId w:val="1"/>
        </w:numPr>
        <w:tabs>
          <w:tab w:val="left" w:pos="1080"/>
          <w:tab w:val="left" w:pos="1589"/>
          <w:tab w:val="left" w:pos="2014"/>
          <w:tab w:val="left" w:pos="5521"/>
        </w:tabs>
        <w:adjustRightInd w:val="0"/>
        <w:snapToGrid w:val="0"/>
        <w:spacing w:line="440" w:lineRule="exact"/>
        <w:ind w:left="1080" w:hanging="720"/>
        <w:rPr>
          <w:rFonts w:ascii="宋体" w:hAnsi="宋体"/>
          <w:color w:val="000000"/>
          <w:sz w:val="24"/>
        </w:rPr>
      </w:pPr>
      <w:r>
        <w:rPr>
          <w:rFonts w:ascii="宋体" w:hAnsi="宋体"/>
          <w:color w:val="000000"/>
          <w:sz w:val="24"/>
        </w:rPr>
        <w:t>联合体：指两个以上的自然人、法人或者其他组织组成一个联合体，以一个供应商的身份共同参加政府采购。</w:t>
      </w:r>
    </w:p>
    <w:p>
      <w:pPr>
        <w:numPr>
          <w:ilvl w:val="0"/>
          <w:numId w:val="1"/>
        </w:numPr>
        <w:tabs>
          <w:tab w:val="left" w:pos="360"/>
          <w:tab w:val="clear" w:pos="900"/>
        </w:tabs>
        <w:adjustRightInd w:val="0"/>
        <w:snapToGrid w:val="0"/>
        <w:spacing w:line="440" w:lineRule="exact"/>
        <w:ind w:left="357" w:hanging="357"/>
        <w:outlineLvl w:val="1"/>
        <w:rPr>
          <w:rFonts w:ascii="宋体" w:hAnsi="宋体"/>
          <w:color w:val="000000"/>
          <w:sz w:val="24"/>
        </w:rPr>
      </w:pPr>
      <w:bookmarkStart w:id="123" w:name="_Toc195842885"/>
      <w:bookmarkStart w:id="124" w:name="_Toc164229361"/>
      <w:bookmarkStart w:id="125" w:name="_Toc164608789"/>
      <w:bookmarkStart w:id="126" w:name="_Toc127151721"/>
      <w:bookmarkStart w:id="127" w:name="_Toc226965793"/>
      <w:bookmarkStart w:id="128" w:name="_Toc151193908"/>
      <w:bookmarkStart w:id="129" w:name="_Toc226309764"/>
      <w:bookmarkStart w:id="130" w:name="_Toc151193834"/>
      <w:bookmarkStart w:id="131" w:name="_Toc151190147"/>
      <w:bookmarkStart w:id="132" w:name="_Toc150774725"/>
      <w:bookmarkStart w:id="133" w:name="_Toc226337216"/>
      <w:bookmarkStart w:id="134" w:name="_Toc305158862"/>
      <w:bookmarkStart w:id="135" w:name="_Toc151193618"/>
      <w:bookmarkStart w:id="136" w:name="_Toc150774620"/>
      <w:bookmarkStart w:id="137" w:name="_Toc164229215"/>
      <w:bookmarkStart w:id="138" w:name="_Toc127161434"/>
      <w:bookmarkStart w:id="139" w:name="_Toc164351614"/>
      <w:bookmarkStart w:id="140" w:name="_Toc127151520"/>
      <w:bookmarkStart w:id="141" w:name="_Toc264969210"/>
      <w:bookmarkStart w:id="142" w:name="_Toc151193762"/>
      <w:bookmarkStart w:id="143" w:name="_Toc142311022"/>
      <w:bookmarkStart w:id="144" w:name="_Toc305158788"/>
      <w:bookmarkStart w:id="145" w:name="_Toc150480758"/>
      <w:bookmarkStart w:id="146" w:name="_Toc226965710"/>
      <w:bookmarkStart w:id="147" w:name="_Toc265228358"/>
      <w:bookmarkStart w:id="148" w:name="_Toc149720813"/>
      <w:bookmarkStart w:id="149" w:name="_Toc164608634"/>
      <w:bookmarkStart w:id="150" w:name="_Toc150509271"/>
      <w:bookmarkStart w:id="151" w:name="_Toc151193690"/>
      <w:r>
        <w:rPr>
          <w:rFonts w:ascii="宋体" w:hAnsi="宋体"/>
          <w:color w:val="000000"/>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ascii="宋体" w:hAnsi="宋体"/>
          <w:color w:val="000000"/>
          <w:sz w:val="24"/>
        </w:rPr>
        <w:t>、项目属性、科研仪器设备采购</w:t>
      </w:r>
    </w:p>
    <w:p>
      <w:pPr>
        <w:numPr>
          <w:ilvl w:val="1"/>
          <w:numId w:val="1"/>
        </w:numPr>
        <w:tabs>
          <w:tab w:val="left" w:pos="1080"/>
          <w:tab w:val="left" w:pos="1589"/>
          <w:tab w:val="left" w:pos="2014"/>
        </w:tabs>
        <w:adjustRightInd w:val="0"/>
        <w:snapToGrid w:val="0"/>
        <w:spacing w:line="440" w:lineRule="exact"/>
        <w:rPr>
          <w:rFonts w:ascii="宋体" w:hAnsi="宋体"/>
          <w:color w:val="000000"/>
          <w:sz w:val="24"/>
        </w:rPr>
      </w:pPr>
      <w:r>
        <w:rPr>
          <w:rFonts w:hint="eastAsia" w:ascii="宋体" w:hAnsi="宋体"/>
          <w:color w:val="000000"/>
          <w:sz w:val="24"/>
        </w:rPr>
        <w:t>资金来源为财政性资金和/或本项目采购中无法与财政性资金分割的非财政性资金。</w:t>
      </w:r>
    </w:p>
    <w:p>
      <w:pPr>
        <w:numPr>
          <w:ilvl w:val="1"/>
          <w:numId w:val="1"/>
        </w:numPr>
        <w:tabs>
          <w:tab w:val="left" w:pos="1080"/>
          <w:tab w:val="left" w:pos="1589"/>
          <w:tab w:val="left" w:pos="2014"/>
        </w:tabs>
        <w:adjustRightInd w:val="0"/>
        <w:snapToGrid w:val="0"/>
        <w:spacing w:line="440" w:lineRule="exact"/>
        <w:ind w:left="1080" w:hanging="720"/>
        <w:rPr>
          <w:rFonts w:ascii="宋体" w:hAnsi="宋体"/>
          <w:color w:val="000000"/>
          <w:sz w:val="24"/>
        </w:rPr>
      </w:pPr>
      <w:r>
        <w:rPr>
          <w:rFonts w:ascii="宋体" w:hAnsi="宋体"/>
          <w:color w:val="000000"/>
          <w:sz w:val="24"/>
        </w:rPr>
        <w:t>项目属性见《供应商须知资料表》。</w:t>
      </w:r>
    </w:p>
    <w:p>
      <w:pPr>
        <w:numPr>
          <w:ilvl w:val="1"/>
          <w:numId w:val="1"/>
        </w:numPr>
        <w:tabs>
          <w:tab w:val="left" w:pos="1080"/>
          <w:tab w:val="left" w:pos="1589"/>
          <w:tab w:val="left" w:pos="2014"/>
        </w:tabs>
        <w:adjustRightInd w:val="0"/>
        <w:snapToGrid w:val="0"/>
        <w:spacing w:line="440" w:lineRule="exact"/>
        <w:ind w:left="1080" w:hanging="720"/>
        <w:rPr>
          <w:rFonts w:ascii="宋体" w:hAnsi="宋体"/>
          <w:color w:val="000000"/>
          <w:sz w:val="24"/>
        </w:rPr>
      </w:pPr>
      <w:r>
        <w:rPr>
          <w:rFonts w:ascii="宋体" w:hAnsi="宋体"/>
          <w:color w:val="000000"/>
          <w:sz w:val="24"/>
        </w:rPr>
        <w:t>是否属于科研仪器设备采购见《供应商须知资料表》。</w:t>
      </w:r>
    </w:p>
    <w:p>
      <w:pPr>
        <w:numPr>
          <w:ilvl w:val="0"/>
          <w:numId w:val="1"/>
        </w:numPr>
        <w:tabs>
          <w:tab w:val="left" w:pos="360"/>
        </w:tabs>
        <w:adjustRightInd w:val="0"/>
        <w:snapToGrid w:val="0"/>
        <w:spacing w:line="440" w:lineRule="exact"/>
        <w:ind w:left="357" w:hanging="357"/>
        <w:outlineLvl w:val="1"/>
        <w:rPr>
          <w:rFonts w:ascii="宋体" w:hAnsi="宋体"/>
          <w:color w:val="000000"/>
          <w:sz w:val="24"/>
        </w:rPr>
      </w:pPr>
      <w:r>
        <w:rPr>
          <w:rFonts w:ascii="宋体" w:hAnsi="宋体"/>
          <w:color w:val="000000"/>
          <w:sz w:val="24"/>
        </w:rPr>
        <w:t>现场考察、磋商前答疑会</w:t>
      </w:r>
    </w:p>
    <w:p>
      <w:pPr>
        <w:numPr>
          <w:ilvl w:val="1"/>
          <w:numId w:val="1"/>
        </w:numPr>
        <w:tabs>
          <w:tab w:val="left" w:pos="1080"/>
          <w:tab w:val="left" w:pos="1589"/>
          <w:tab w:val="left" w:pos="2014"/>
        </w:tabs>
        <w:adjustRightInd w:val="0"/>
        <w:snapToGrid w:val="0"/>
        <w:spacing w:line="440" w:lineRule="exact"/>
        <w:ind w:left="1080" w:hanging="720"/>
        <w:rPr>
          <w:rFonts w:ascii="宋体" w:hAnsi="宋体"/>
          <w:color w:val="000000"/>
          <w:sz w:val="28"/>
        </w:rPr>
      </w:pPr>
      <w:r>
        <w:rPr>
          <w:rFonts w:ascii="宋体" w:hAnsi="宋体"/>
          <w:color w:val="000000"/>
          <w:sz w:val="24"/>
        </w:rPr>
        <w:t>若《供应商须知资料表》中规定了组织现场考察、召开磋商前答疑会，则供应商应按要求在规定的时间和地点参加。</w:t>
      </w:r>
    </w:p>
    <w:p>
      <w:pPr>
        <w:numPr>
          <w:ilvl w:val="1"/>
          <w:numId w:val="1"/>
        </w:numPr>
        <w:tabs>
          <w:tab w:val="left" w:pos="1080"/>
          <w:tab w:val="left" w:pos="1589"/>
          <w:tab w:val="left" w:pos="2014"/>
        </w:tabs>
        <w:adjustRightInd w:val="0"/>
        <w:snapToGrid w:val="0"/>
        <w:spacing w:line="440" w:lineRule="exact"/>
        <w:ind w:left="1080" w:hanging="720"/>
        <w:rPr>
          <w:rFonts w:ascii="宋体" w:hAnsi="宋体"/>
          <w:color w:val="000000"/>
          <w:sz w:val="24"/>
        </w:rPr>
      </w:pPr>
      <w:r>
        <w:rPr>
          <w:rFonts w:ascii="宋体" w:hAnsi="宋体"/>
          <w:color w:val="000000"/>
          <w:sz w:val="24"/>
        </w:rPr>
        <w:t>由于未参加现场考察或磋商前答疑会而导致对项目实际情况不了解，影响响应文件编制、报价准确性、综合因素响应不全面等问题的，由供应商自行承担不利评审后果。</w:t>
      </w:r>
    </w:p>
    <w:p>
      <w:pPr>
        <w:numPr>
          <w:ilvl w:val="0"/>
          <w:numId w:val="1"/>
        </w:numPr>
        <w:tabs>
          <w:tab w:val="left" w:pos="360"/>
          <w:tab w:val="clear" w:pos="900"/>
        </w:tabs>
        <w:adjustRightInd w:val="0"/>
        <w:snapToGrid w:val="0"/>
        <w:spacing w:line="440" w:lineRule="exact"/>
        <w:ind w:left="357" w:hanging="357"/>
        <w:outlineLvl w:val="1"/>
        <w:rPr>
          <w:rFonts w:ascii="宋体" w:hAnsi="宋体"/>
          <w:color w:val="000000"/>
          <w:sz w:val="24"/>
        </w:rPr>
      </w:pPr>
      <w:r>
        <w:rPr>
          <w:rFonts w:ascii="宋体" w:hAnsi="宋体"/>
          <w:color w:val="000000"/>
          <w:sz w:val="24"/>
        </w:rPr>
        <w:t>政府采购政策（包括但不限于下列具体政策要求）</w:t>
      </w:r>
    </w:p>
    <w:p>
      <w:pPr>
        <w:numPr>
          <w:ilvl w:val="1"/>
          <w:numId w:val="1"/>
        </w:numPr>
        <w:tabs>
          <w:tab w:val="left" w:pos="1080"/>
          <w:tab w:val="left" w:pos="1589"/>
          <w:tab w:val="left" w:pos="2014"/>
        </w:tabs>
        <w:adjustRightInd w:val="0"/>
        <w:snapToGrid w:val="0"/>
        <w:spacing w:line="440" w:lineRule="exact"/>
        <w:ind w:left="1080" w:hanging="720"/>
        <w:rPr>
          <w:rFonts w:ascii="宋体" w:hAnsi="宋体"/>
          <w:color w:val="000000"/>
          <w:sz w:val="24"/>
        </w:rPr>
      </w:pPr>
      <w:r>
        <w:rPr>
          <w:rFonts w:hint="eastAsia" w:ascii="宋体" w:hAnsi="宋体"/>
          <w:color w:val="000000"/>
          <w:sz w:val="24"/>
        </w:rPr>
        <w:t>采购本国货物、工程和服务</w:t>
      </w:r>
    </w:p>
    <w:p>
      <w:pPr>
        <w:numPr>
          <w:ilvl w:val="2"/>
          <w:numId w:val="1"/>
        </w:numPr>
        <w:tabs>
          <w:tab w:val="left" w:pos="2014"/>
        </w:tabs>
        <w:adjustRightInd w:val="0"/>
        <w:snapToGrid w:val="0"/>
        <w:spacing w:line="440" w:lineRule="exact"/>
        <w:rPr>
          <w:rFonts w:ascii="宋体" w:hAnsi="宋体"/>
          <w:color w:val="000000"/>
          <w:sz w:val="24"/>
        </w:rPr>
      </w:pPr>
      <w:r>
        <w:rPr>
          <w:rFonts w:hint="eastAsia" w:ascii="宋体" w:hAnsi="宋体"/>
          <w:color w:val="000000"/>
          <w:sz w:val="24"/>
        </w:rPr>
        <w:t>政府采购应当采购本国货物、工程和服务。但有《中华人民共和国政府采购法》第十条规定情形的除外。</w:t>
      </w:r>
    </w:p>
    <w:p>
      <w:pPr>
        <w:numPr>
          <w:ilvl w:val="2"/>
          <w:numId w:val="1"/>
        </w:numPr>
        <w:tabs>
          <w:tab w:val="left" w:pos="2014"/>
        </w:tabs>
        <w:adjustRightInd w:val="0"/>
        <w:snapToGrid w:val="0"/>
        <w:spacing w:line="440" w:lineRule="exact"/>
        <w:rPr>
          <w:rFonts w:ascii="宋体" w:hAnsi="宋体"/>
          <w:color w:val="000000"/>
          <w:sz w:val="24"/>
        </w:rPr>
      </w:pPr>
      <w:r>
        <w:rPr>
          <w:rFonts w:hint="eastAsia" w:ascii="宋体" w:hAnsi="宋体"/>
          <w:color w:val="000000"/>
          <w:sz w:val="24"/>
        </w:rPr>
        <w:t>本项目如接受非本国货物、工程、服务参与投标，则具体要求见第四章《采购需求》。</w:t>
      </w:r>
    </w:p>
    <w:p>
      <w:pPr>
        <w:numPr>
          <w:ilvl w:val="2"/>
          <w:numId w:val="1"/>
        </w:numPr>
        <w:adjustRightInd w:val="0"/>
        <w:snapToGrid w:val="0"/>
        <w:spacing w:line="440" w:lineRule="exact"/>
        <w:ind w:left="1979" w:hanging="902"/>
        <w:rPr>
          <w:rFonts w:ascii="宋体" w:hAnsi="宋体"/>
          <w:color w:val="000000"/>
          <w:sz w:val="24"/>
        </w:rPr>
      </w:pPr>
      <w:r>
        <w:rPr>
          <w:rFonts w:hint="eastAsia" w:ascii="宋体" w:hAnsi="宋体"/>
          <w:color w:val="000000"/>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
        </w:numPr>
        <w:tabs>
          <w:tab w:val="left" w:pos="1080"/>
          <w:tab w:val="left" w:pos="1589"/>
          <w:tab w:val="clear" w:pos="1304"/>
        </w:tabs>
        <w:snapToGrid w:val="0"/>
        <w:spacing w:line="360" w:lineRule="auto"/>
        <w:ind w:left="1468"/>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1"/>
        </w:numPr>
        <w:snapToGrid w:val="0"/>
        <w:spacing w:line="360" w:lineRule="auto"/>
        <w:rPr>
          <w:rFonts w:ascii="宋体" w:hAnsi="宋体"/>
          <w:vanish/>
          <w:color w:val="000000" w:themeColor="text1"/>
          <w:sz w:val="24"/>
          <w14:textFill>
            <w14:solidFill>
              <w14:schemeClr w14:val="tx1"/>
            </w14:solidFill>
          </w14:textFill>
        </w:rPr>
      </w:pPr>
      <w:r>
        <w:rPr>
          <w:rFonts w:ascii="宋体" w:hAnsi="宋体"/>
          <w:sz w:val="24"/>
        </w:rPr>
        <w:t>中小企业定义：</w:t>
      </w:r>
    </w:p>
    <w:p>
      <w:pPr>
        <w:numPr>
          <w:ilvl w:val="3"/>
          <w:numId w:val="1"/>
        </w:numPr>
        <w:tabs>
          <w:tab w:val="left" w:pos="1589"/>
          <w:tab w:val="left" w:pos="1988"/>
          <w:tab w:val="left" w:pos="2035"/>
          <w:tab w:val="left" w:pos="2977"/>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color w:val="000000" w:themeColor="text1"/>
          <w:sz w:val="24"/>
          <w14:textFill>
            <w14:solidFill>
              <w14:schemeClr w14:val="tx1"/>
            </w14:solidFill>
          </w14:textFill>
        </w:rPr>
        <w:t>判定</w:t>
      </w:r>
      <w:r>
        <w:rPr>
          <w:rFonts w:ascii="宋体" w:hAnsi="宋体"/>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color w:val="000000" w:themeColor="text1"/>
          <w:sz w:val="24"/>
          <w14:textFill>
            <w14:solidFill>
              <w14:schemeClr w14:val="tx1"/>
            </w14:solidFill>
          </w14:textFill>
        </w:rPr>
        <w:t>、《金融业企业划型标准规定》（银发〔</w:t>
      </w:r>
      <w:r>
        <w:rPr>
          <w:rFonts w:ascii="宋体" w:hAnsi="宋体"/>
          <w:color w:val="000000" w:themeColor="text1"/>
          <w:sz w:val="24"/>
          <w14:textFill>
            <w14:solidFill>
              <w14:schemeClr w14:val="tx1"/>
            </w14:solidFill>
          </w14:textFill>
        </w:rPr>
        <w:t>2015</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 xml:space="preserve">309 </w:t>
      </w:r>
      <w:r>
        <w:rPr>
          <w:rFonts w:hint="eastAsia" w:ascii="宋体" w:hAnsi="宋体"/>
          <w:color w:val="000000" w:themeColor="text1"/>
          <w:sz w:val="24"/>
          <w14:textFill>
            <w14:solidFill>
              <w14:schemeClr w14:val="tx1"/>
            </w14:solidFill>
          </w14:textFill>
        </w:rPr>
        <w:t>号）等国务院批准的中小企业划分标准执行</w:t>
      </w:r>
      <w:r>
        <w:rPr>
          <w:rFonts w:ascii="宋体" w:hAnsi="宋体"/>
          <w:color w:val="000000" w:themeColor="text1"/>
          <w:sz w:val="24"/>
          <w14:textFill>
            <w14:solidFill>
              <w14:schemeClr w14:val="tx1"/>
            </w14:solidFill>
          </w14:textFill>
        </w:rPr>
        <w:t>。</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sz w:val="24"/>
        </w:rPr>
      </w:pPr>
      <w:r>
        <w:rPr>
          <w:rFonts w:ascii="宋体" w:hAnsi="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1"/>
        </w:numPr>
        <w:snapToGrid w:val="0"/>
        <w:spacing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snapToGrid w:val="0"/>
        <w:spacing w:line="360" w:lineRule="auto"/>
        <w:rPr>
          <w:rFonts w:ascii="宋体" w:hAnsi="宋体"/>
          <w:vanish/>
          <w:color w:val="000000" w:themeColor="text1"/>
          <w:sz w:val="24"/>
          <w14:textFill>
            <w14:solidFill>
              <w14:schemeClr w14:val="tx1"/>
            </w14:solidFill>
          </w14:textFill>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安置的残疾人占本单位在职职工人数的比例不低于25%（含25%），并且安置的残疾人人数不少于10人（含10人）；</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依法与安置的每位残疾人签订了一年以上（含一年）的劳动合同或服务协议；</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为安置的每位残疾人按月足额缴纳了基本养老保险、基本医疗保险、失业保险、工伤保险和生育保险等社会保险费；</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通过银行等金融机构向安置的每位残疾人，按月支付了不低于单位所在区县适用的经省级人民政府批准的月最低工资标准的工资；</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提供本单位制造的货物、承担的工程或者服务（以下简称产品），或者提供其他残疾人福利性单位制造的货物（不包括使用非残疾人福利性单位注册商标的货物）；</w:t>
      </w:r>
    </w:p>
    <w:p>
      <w:pPr>
        <w:numPr>
          <w:ilvl w:val="3"/>
          <w:numId w:val="1"/>
        </w:numPr>
        <w:tabs>
          <w:tab w:val="left" w:pos="1980"/>
          <w:tab w:val="left" w:pos="2035"/>
          <w:tab w:val="left" w:pos="2885"/>
          <w:tab w:val="left" w:pos="2977"/>
          <w:tab w:val="clear" w:pos="900"/>
        </w:tabs>
        <w:snapToGrid w:val="0"/>
        <w:spacing w:line="360" w:lineRule="auto"/>
        <w:ind w:left="2885"/>
        <w:rPr>
          <w:rFonts w:ascii="宋体" w:hAnsi="宋体"/>
          <w:color w:val="000000" w:themeColor="text1"/>
          <w:sz w:val="24"/>
          <w14:textFill>
            <w14:solidFill>
              <w14:schemeClr w14:val="tx1"/>
            </w14:solidFill>
          </w14:textFill>
        </w:rPr>
      </w:pPr>
      <w:r>
        <w:rPr>
          <w:rFonts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正版软件</w:t>
      </w:r>
    </w:p>
    <w:p>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网络安全专用产品</w:t>
      </w:r>
    </w:p>
    <w:p>
      <w:pPr>
        <w:numPr>
          <w:ilvl w:val="2"/>
          <w:numId w:val="1"/>
        </w:numPr>
        <w:tabs>
          <w:tab w:val="left" w:pos="900"/>
          <w:tab w:val="left" w:pos="2014"/>
        </w:tabs>
        <w:snapToGrid w:val="0"/>
        <w:spacing w:line="360" w:lineRule="auto"/>
        <w:rPr>
          <w:rFonts w:ascii="宋体" w:hAnsi="宋体"/>
          <w:sz w:val="24"/>
        </w:rPr>
      </w:pPr>
      <w:r>
        <w:rPr>
          <w:rFonts w:hint="eastAsia" w:ascii="宋体" w:hAnsi="宋体"/>
          <w:sz w:val="24"/>
        </w:rPr>
        <w:t>根据《关于调整网络安全专用产品安全管理有关事项的公告》（2023年第1号），</w:t>
      </w:r>
      <w:r>
        <w:rPr>
          <w:rFonts w:ascii="宋体" w:hAnsi="宋体"/>
          <w:sz w:val="24"/>
        </w:rPr>
        <w:t>所</w:t>
      </w:r>
      <w:r>
        <w:rPr>
          <w:rFonts w:hint="eastAsia" w:ascii="宋体" w:hAnsi="宋体"/>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rPr>
        <w:t>。</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pPr>
        <w:numPr>
          <w:ilvl w:val="1"/>
          <w:numId w:val="1"/>
        </w:numPr>
        <w:tabs>
          <w:tab w:val="left" w:pos="1080"/>
          <w:tab w:val="left" w:pos="1589"/>
          <w:tab w:val="clear" w:pos="1304"/>
        </w:tabs>
        <w:snapToGrid w:val="0"/>
        <w:spacing w:line="360" w:lineRule="auto"/>
        <w:ind w:left="1468"/>
        <w:rPr>
          <w:rFonts w:ascii="宋体" w:hAnsi="宋体"/>
          <w:sz w:val="24"/>
        </w:rPr>
      </w:pPr>
      <w:r>
        <w:rPr>
          <w:rFonts w:ascii="宋体" w:hAnsi="宋体"/>
          <w:sz w:val="24"/>
        </w:rPr>
        <w:t>采购需求标准</w:t>
      </w:r>
    </w:p>
    <w:p>
      <w:pPr>
        <w:numPr>
          <w:ilvl w:val="2"/>
          <w:numId w:val="1"/>
        </w:numPr>
        <w:snapToGrid w:val="0"/>
        <w:spacing w:line="360" w:lineRule="auto"/>
        <w:rPr>
          <w:rFonts w:ascii="宋体" w:hAnsi="宋体"/>
          <w:sz w:val="24"/>
        </w:rPr>
      </w:pPr>
      <w:r>
        <w:rPr>
          <w:rFonts w:ascii="宋体" w:hAnsi="宋体"/>
          <w:sz w:val="24"/>
        </w:rPr>
        <w:t>商品包装、快递包装政府采购需求标准（试行）</w:t>
      </w:r>
    </w:p>
    <w:p>
      <w:pPr>
        <w:tabs>
          <w:tab w:val="left" w:pos="900"/>
          <w:tab w:val="left" w:pos="1980"/>
        </w:tabs>
        <w:snapToGrid w:val="0"/>
        <w:spacing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1"/>
        </w:numPr>
        <w:tabs>
          <w:tab w:val="left" w:pos="2014"/>
        </w:tabs>
        <w:snapToGrid w:val="0"/>
        <w:spacing w:line="360" w:lineRule="auto"/>
        <w:rPr>
          <w:rFonts w:ascii="宋体" w:hAnsi="宋体"/>
          <w:sz w:val="24"/>
        </w:rPr>
      </w:pPr>
      <w:r>
        <w:rPr>
          <w:rFonts w:hint="eastAsia" w:ascii="宋体" w:hAnsi="宋体"/>
          <w:sz w:val="24"/>
        </w:rPr>
        <w:t>其他</w:t>
      </w:r>
      <w:r>
        <w:rPr>
          <w:rFonts w:ascii="宋体" w:hAnsi="宋体"/>
          <w:sz w:val="24"/>
        </w:rPr>
        <w:t>政府采购需求标准</w:t>
      </w:r>
      <w:r>
        <w:rPr>
          <w:rFonts w:hint="eastAsia" w:ascii="宋体" w:hAnsi="宋体"/>
          <w:sz w:val="24"/>
        </w:rPr>
        <w:t xml:space="preserve"> </w:t>
      </w:r>
    </w:p>
    <w:p>
      <w:pPr>
        <w:tabs>
          <w:tab w:val="left" w:pos="900"/>
          <w:tab w:val="left" w:pos="1980"/>
        </w:tabs>
        <w:snapToGrid w:val="0"/>
        <w:spacing w:line="360" w:lineRule="auto"/>
        <w:ind w:left="1980"/>
        <w:rPr>
          <w:rFonts w:ascii="宋体" w:hAnsi="宋体"/>
          <w:sz w:val="24"/>
        </w:rPr>
      </w:pPr>
      <w:r>
        <w:rPr>
          <w:rFonts w:hint="eastAsia" w:ascii="宋体" w:hAnsi="宋体"/>
          <w:sz w:val="24"/>
        </w:rPr>
        <w:t>为贯彻落实《深化政府采购制度改革方案》有关要求，推动政府采购需求标准建设，</w:t>
      </w:r>
      <w:bookmarkStart w:id="152" w:name="_Hlk168431650"/>
      <w:r>
        <w:rPr>
          <w:rFonts w:hint="eastAsia" w:ascii="宋体" w:hAnsi="宋体"/>
          <w:sz w:val="24"/>
        </w:rPr>
        <w:t>财政部门会同有关部门制定发布的</w:t>
      </w:r>
      <w:bookmarkEnd w:id="152"/>
      <w:r>
        <w:rPr>
          <w:rFonts w:hint="eastAsia" w:ascii="宋体" w:hAnsi="宋体"/>
          <w:sz w:val="24"/>
        </w:rPr>
        <w:t>其他政府采购需求标准，</w:t>
      </w:r>
      <w:r>
        <w:rPr>
          <w:rFonts w:ascii="宋体" w:hAnsi="宋体"/>
          <w:sz w:val="24"/>
        </w:rPr>
        <w:t>本项目如涉及，则具体要求见第四章《采购需求》。</w:t>
      </w:r>
    </w:p>
    <w:p>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pPr>
        <w:numPr>
          <w:ilvl w:val="1"/>
          <w:numId w:val="1"/>
        </w:numPr>
        <w:tabs>
          <w:tab w:val="left" w:pos="1080"/>
          <w:tab w:val="left" w:pos="1589"/>
          <w:tab w:val="left" w:pos="2014"/>
          <w:tab w:val="clear" w:pos="130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pPr>
        <w:pStyle w:val="3"/>
        <w:spacing w:before="0" w:line="360" w:lineRule="auto"/>
        <w:rPr>
          <w:rFonts w:ascii="宋体" w:hAnsi="宋体" w:eastAsia="宋体"/>
          <w:color w:val="000000"/>
          <w:sz w:val="28"/>
        </w:rPr>
      </w:pPr>
      <w:r>
        <w:rPr>
          <w:rFonts w:ascii="宋体" w:hAnsi="宋体" w:eastAsia="宋体"/>
          <w:color w:val="000000"/>
          <w:sz w:val="28"/>
        </w:rPr>
        <w:t>二   竞争性磋商文件</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0"/>
          <w:numId w:val="1"/>
        </w:numPr>
        <w:tabs>
          <w:tab w:val="left" w:pos="360"/>
        </w:tabs>
        <w:snapToGrid w:val="0"/>
        <w:spacing w:line="360" w:lineRule="auto"/>
        <w:ind w:left="357" w:hanging="357"/>
        <w:outlineLvl w:val="1"/>
        <w:rPr>
          <w:rFonts w:ascii="宋体" w:hAnsi="宋体"/>
          <w:color w:val="000000"/>
          <w:sz w:val="24"/>
        </w:rPr>
      </w:pPr>
      <w:bookmarkStart w:id="153" w:name="_Toc127151523"/>
      <w:bookmarkStart w:id="154" w:name="_Toc142311025"/>
      <w:bookmarkStart w:id="155" w:name="_Toc150774728"/>
      <w:bookmarkStart w:id="156" w:name="_Toc164608792"/>
      <w:bookmarkStart w:id="157" w:name="_Toc226965713"/>
      <w:bookmarkStart w:id="158" w:name="_Toc150480761"/>
      <w:bookmarkStart w:id="159" w:name="_Toc305158791"/>
      <w:bookmarkStart w:id="160" w:name="_Toc151193765"/>
      <w:bookmarkStart w:id="161" w:name="_Toc127161437"/>
      <w:bookmarkStart w:id="162" w:name="_Toc151190150"/>
      <w:bookmarkStart w:id="163" w:name="_Toc226337219"/>
      <w:bookmarkStart w:id="164" w:name="_Toc226309767"/>
      <w:bookmarkStart w:id="165" w:name="_Toc149720816"/>
      <w:bookmarkStart w:id="166" w:name="_Toc520356147"/>
      <w:bookmarkStart w:id="167" w:name="_Toc264969213"/>
      <w:bookmarkStart w:id="168" w:name="_Toc150509274"/>
      <w:bookmarkStart w:id="169" w:name="_Toc151193911"/>
      <w:bookmarkStart w:id="170" w:name="_Toc265228361"/>
      <w:bookmarkStart w:id="171" w:name="_Toc151193621"/>
      <w:bookmarkStart w:id="172" w:name="_Toc305158865"/>
      <w:bookmarkStart w:id="173" w:name="_Toc195842888"/>
      <w:bookmarkStart w:id="174" w:name="_Toc164351617"/>
      <w:bookmarkStart w:id="175" w:name="_Toc164229364"/>
      <w:bookmarkStart w:id="176" w:name="_Toc164229218"/>
      <w:bookmarkStart w:id="177" w:name="_Toc164608637"/>
      <w:bookmarkStart w:id="178" w:name="_Toc151193693"/>
      <w:bookmarkStart w:id="179" w:name="_Toc151193837"/>
      <w:bookmarkStart w:id="180" w:name="_Toc127151724"/>
      <w:bookmarkStart w:id="181" w:name="_Toc150774623"/>
      <w:bookmarkStart w:id="182" w:name="_Toc226965796"/>
      <w:r>
        <w:rPr>
          <w:rFonts w:ascii="宋体" w:hAnsi="宋体"/>
          <w:color w:val="000000"/>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color w:val="000000"/>
          <w:sz w:val="24"/>
        </w:rPr>
        <w:t>成</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竞争性磋商文件包括以下部分：</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 xml:space="preserve">第一章  </w:t>
      </w:r>
      <w:r>
        <w:rPr>
          <w:rFonts w:ascii="宋体" w:hAnsi="宋体"/>
          <w:color w:val="000000"/>
          <w:sz w:val="24"/>
        </w:rPr>
        <w:t>采购邀请</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 xml:space="preserve">第二章  </w:t>
      </w:r>
      <w:r>
        <w:rPr>
          <w:rFonts w:ascii="宋体" w:hAnsi="宋体"/>
          <w:color w:val="000000"/>
          <w:sz w:val="24"/>
        </w:rPr>
        <w:t>供应商须知</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 xml:space="preserve">第三章  </w:t>
      </w:r>
      <w:r>
        <w:rPr>
          <w:rFonts w:ascii="宋体" w:hAnsi="宋体"/>
          <w:color w:val="000000"/>
          <w:sz w:val="24"/>
        </w:rPr>
        <w:t>评审方法和评审标准</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第四章  采购需求</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第五章  合同草案条款</w:t>
      </w:r>
    </w:p>
    <w:p>
      <w:pPr>
        <w:tabs>
          <w:tab w:val="left" w:pos="1980"/>
          <w:tab w:val="left" w:pos="2520"/>
          <w:tab w:val="left" w:pos="4826"/>
          <w:tab w:val="left" w:pos="4941"/>
        </w:tabs>
        <w:snapToGrid w:val="0"/>
        <w:spacing w:line="360" w:lineRule="auto"/>
        <w:ind w:left="1445"/>
        <w:rPr>
          <w:rFonts w:ascii="宋体" w:hAnsi="宋体"/>
          <w:color w:val="000000"/>
          <w:sz w:val="24"/>
        </w:rPr>
      </w:pPr>
      <w:r>
        <w:rPr>
          <w:rFonts w:hint="eastAsia" w:ascii="宋体" w:hAnsi="宋体"/>
          <w:color w:val="000000"/>
          <w:sz w:val="24"/>
        </w:rPr>
        <w:t xml:space="preserve">第六章 </w:t>
      </w:r>
      <w:r>
        <w:rPr>
          <w:rFonts w:ascii="宋体" w:hAnsi="宋体"/>
          <w:color w:val="000000"/>
          <w:sz w:val="24"/>
        </w:rPr>
        <w:t xml:space="preserve"> </w:t>
      </w:r>
      <w:r>
        <w:rPr>
          <w:rFonts w:hint="eastAsia" w:ascii="宋体" w:hAnsi="宋体"/>
          <w:color w:val="000000"/>
          <w:sz w:val="24"/>
        </w:rPr>
        <w:t>响应文件格式</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000000"/>
          <w:sz w:val="24"/>
        </w:rPr>
        <w:t>响应无效</w:t>
      </w:r>
      <w:r>
        <w:rPr>
          <w:rFonts w:ascii="宋体" w:hAnsi="宋体"/>
          <w:color w:val="000000"/>
          <w:sz w:val="24"/>
        </w:rPr>
        <w:t>。</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对竞争性磋商文件的澄清或修改</w:t>
      </w:r>
    </w:p>
    <w:p>
      <w:pPr>
        <w:numPr>
          <w:ilvl w:val="1"/>
          <w:numId w:val="1"/>
        </w:numPr>
        <w:tabs>
          <w:tab w:val="left" w:pos="1080"/>
          <w:tab w:val="left" w:pos="1561"/>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采购人</w:t>
      </w:r>
      <w:r>
        <w:rPr>
          <w:rFonts w:hint="eastAsia" w:ascii="宋体" w:hAnsi="宋体"/>
          <w:color w:val="000000"/>
          <w:sz w:val="24"/>
        </w:rPr>
        <w:t>、</w:t>
      </w:r>
      <w:r>
        <w:rPr>
          <w:rFonts w:ascii="宋体" w:hAnsi="宋体"/>
          <w:color w:val="000000"/>
          <w:sz w:val="24"/>
        </w:rPr>
        <w:t>采购代理机构</w:t>
      </w:r>
      <w:r>
        <w:rPr>
          <w:rFonts w:hint="eastAsia" w:ascii="宋体" w:hAnsi="宋体"/>
          <w:color w:val="000000"/>
          <w:sz w:val="24"/>
        </w:rPr>
        <w:t>或者磋商小组</w:t>
      </w:r>
      <w:r>
        <w:rPr>
          <w:rFonts w:ascii="宋体" w:hAnsi="宋体"/>
          <w:color w:val="000000"/>
          <w:sz w:val="24"/>
        </w:rPr>
        <w:t>对已发出的竞争性磋商文件进行必要澄清或者修改的，</w:t>
      </w:r>
      <w:r>
        <w:rPr>
          <w:rFonts w:hint="eastAsia" w:ascii="宋体" w:hAnsi="宋体"/>
          <w:color w:val="000000"/>
          <w:sz w:val="24"/>
        </w:rPr>
        <w:t>将</w:t>
      </w:r>
      <w:r>
        <w:rPr>
          <w:rFonts w:ascii="宋体" w:hAnsi="宋体"/>
          <w:color w:val="000000"/>
          <w:sz w:val="24"/>
        </w:rPr>
        <w:t>以书面形式通知所有获取竞争性磋商文件的潜在供应商。</w:t>
      </w:r>
      <w:r>
        <w:rPr>
          <w:rFonts w:hint="eastAsia" w:ascii="宋体" w:hAnsi="宋体"/>
          <w:color w:val="000000"/>
          <w:sz w:val="24"/>
        </w:rPr>
        <w:t>采用公告方式邀请供应商参与的，还将</w:t>
      </w:r>
      <w:r>
        <w:rPr>
          <w:rFonts w:ascii="宋体" w:hAnsi="宋体"/>
          <w:color w:val="000000"/>
          <w:sz w:val="24"/>
        </w:rPr>
        <w:t>在原公告发布媒体上发布更正公告</w:t>
      </w:r>
      <w:r>
        <w:rPr>
          <w:rFonts w:hint="eastAsia" w:ascii="宋体" w:hAnsi="宋体"/>
          <w:color w:val="000000"/>
          <w:sz w:val="24"/>
        </w:rPr>
        <w:t>。</w:t>
      </w:r>
    </w:p>
    <w:p>
      <w:pPr>
        <w:numPr>
          <w:ilvl w:val="1"/>
          <w:numId w:val="1"/>
        </w:numPr>
        <w:tabs>
          <w:tab w:val="left" w:pos="1080"/>
          <w:tab w:val="left" w:pos="1561"/>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上述书面通知，按照获取竞争性磋商文件的潜在供应商提供的联系方式发出，因提供的信息有误导致通知延迟或无法通知的，采购人或采购代理机构不承担责任。</w:t>
      </w:r>
    </w:p>
    <w:p>
      <w:pPr>
        <w:numPr>
          <w:ilvl w:val="1"/>
          <w:numId w:val="1"/>
        </w:numPr>
        <w:tabs>
          <w:tab w:val="left" w:pos="1080"/>
          <w:tab w:val="left" w:pos="1561"/>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000000"/>
          <w:sz w:val="24"/>
        </w:rPr>
        <w:t>，以书面形式通知所有获取磋商文件的供应商；</w:t>
      </w:r>
      <w:r>
        <w:rPr>
          <w:rFonts w:ascii="宋体" w:hAnsi="宋体"/>
          <w:color w:val="000000"/>
          <w:sz w:val="24"/>
        </w:rPr>
        <w:t>不足上述时间的，将顺延提交响应文件截止时间。</w:t>
      </w:r>
    </w:p>
    <w:p>
      <w:pPr>
        <w:pStyle w:val="3"/>
        <w:spacing w:before="0" w:line="360" w:lineRule="auto"/>
        <w:rPr>
          <w:rFonts w:ascii="宋体" w:hAnsi="宋体" w:eastAsia="宋体"/>
          <w:color w:val="000000"/>
          <w:sz w:val="28"/>
        </w:rPr>
      </w:pPr>
      <w:bookmarkStart w:id="183" w:name="_Toc516367020"/>
      <w:bookmarkStart w:id="184" w:name="_Toc151193840"/>
      <w:bookmarkStart w:id="185" w:name="_Toc195842891"/>
      <w:bookmarkStart w:id="186" w:name="_Toc305158794"/>
      <w:bookmarkStart w:id="187" w:name="_Toc265228364"/>
      <w:bookmarkStart w:id="188" w:name="_Toc151193624"/>
      <w:bookmarkStart w:id="189" w:name="_Toc142311028"/>
      <w:bookmarkStart w:id="190" w:name="_Toc264969216"/>
      <w:bookmarkStart w:id="191" w:name="_Toc151193768"/>
      <w:bookmarkStart w:id="192" w:name="_Toc127151526"/>
      <w:bookmarkStart w:id="193" w:name="_Toc150774731"/>
      <w:bookmarkStart w:id="194" w:name="_Toc150774626"/>
      <w:bookmarkStart w:id="195" w:name="_Toc226965799"/>
      <w:bookmarkStart w:id="196" w:name="_Toc226309770"/>
      <w:bookmarkStart w:id="197" w:name="_Toc226965716"/>
      <w:bookmarkStart w:id="198" w:name="_Toc151190153"/>
      <w:bookmarkStart w:id="199" w:name="_Toc520356150"/>
      <w:bookmarkStart w:id="200" w:name="_Toc305158868"/>
      <w:bookmarkStart w:id="201" w:name="_Toc151193696"/>
      <w:bookmarkStart w:id="202" w:name="_Toc150480764"/>
      <w:bookmarkStart w:id="203" w:name="_Toc226337222"/>
      <w:bookmarkStart w:id="204" w:name="_Toc150509277"/>
      <w:bookmarkStart w:id="205" w:name="_Toc151193914"/>
      <w:r>
        <w:rPr>
          <w:rFonts w:ascii="宋体" w:hAnsi="宋体" w:eastAsia="宋体"/>
          <w:color w:val="000000"/>
          <w:sz w:val="28"/>
        </w:rPr>
        <w:t>三   响应文件</w:t>
      </w:r>
      <w:bookmarkEnd w:id="183"/>
      <w:r>
        <w:rPr>
          <w:rFonts w:ascii="宋体" w:hAnsi="宋体" w:eastAsia="宋体"/>
          <w:color w:val="000000"/>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numPr>
          <w:ilvl w:val="0"/>
          <w:numId w:val="1"/>
        </w:numPr>
        <w:tabs>
          <w:tab w:val="left" w:pos="360"/>
        </w:tabs>
        <w:snapToGrid w:val="0"/>
        <w:spacing w:line="360" w:lineRule="auto"/>
        <w:ind w:left="357" w:hanging="357"/>
        <w:outlineLvl w:val="1"/>
        <w:rPr>
          <w:rFonts w:ascii="宋体" w:hAnsi="宋体"/>
          <w:color w:val="000000"/>
          <w:sz w:val="24"/>
        </w:rPr>
      </w:pPr>
      <w:bookmarkStart w:id="206" w:name="_Toc164229222"/>
      <w:bookmarkStart w:id="207" w:name="_Toc164229368"/>
      <w:bookmarkStart w:id="208" w:name="_Toc151193697"/>
      <w:bookmarkStart w:id="209" w:name="_Toc150509278"/>
      <w:bookmarkStart w:id="210" w:name="_Toc305158869"/>
      <w:bookmarkStart w:id="211" w:name="_Toc150774732"/>
      <w:bookmarkStart w:id="212" w:name="_Toc149720820"/>
      <w:bookmarkStart w:id="213" w:name="_Toc150480765"/>
      <w:bookmarkStart w:id="214" w:name="_Toc226337223"/>
      <w:bookmarkStart w:id="215" w:name="_Toc150774627"/>
      <w:bookmarkStart w:id="216" w:name="_Toc164351621"/>
      <w:bookmarkStart w:id="217" w:name="_Toc226965717"/>
      <w:bookmarkStart w:id="218" w:name="_Toc264969217"/>
      <w:bookmarkStart w:id="219" w:name="_Toc151193915"/>
      <w:bookmarkStart w:id="220" w:name="_Toc305158795"/>
      <w:bookmarkStart w:id="221" w:name="_Toc516367021"/>
      <w:bookmarkStart w:id="222" w:name="_Toc195842892"/>
      <w:bookmarkStart w:id="223" w:name="_Toc226309771"/>
      <w:bookmarkStart w:id="224" w:name="_Toc151190154"/>
      <w:bookmarkStart w:id="225" w:name="_Toc151193625"/>
      <w:bookmarkStart w:id="226" w:name="_Toc164608796"/>
      <w:bookmarkStart w:id="227" w:name="_Toc127151728"/>
      <w:bookmarkStart w:id="228" w:name="_Toc151193841"/>
      <w:bookmarkStart w:id="229" w:name="_Toc164608641"/>
      <w:bookmarkStart w:id="230" w:name="_Toc127151527"/>
      <w:bookmarkStart w:id="231" w:name="_Toc127161441"/>
      <w:bookmarkStart w:id="232" w:name="_Toc520356151"/>
      <w:bookmarkStart w:id="233" w:name="_Toc226965800"/>
      <w:bookmarkStart w:id="234" w:name="_Toc265228365"/>
      <w:bookmarkStart w:id="235" w:name="_Toc142311029"/>
      <w:bookmarkStart w:id="236" w:name="_Toc151193769"/>
      <w:r>
        <w:rPr>
          <w:rFonts w:ascii="宋体" w:hAnsi="宋体"/>
          <w:color w:val="000000"/>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宋体" w:hAnsi="宋体"/>
          <w:color w:val="000000"/>
          <w:sz w:val="24"/>
        </w:rPr>
        <w:t>及磋商语言</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本项目如划分采购包，供应商可以对本项目的其中一个采购包进行响应，也可同时对多个采购包进行响应。</w:t>
      </w:r>
      <w:r>
        <w:rPr>
          <w:rFonts w:hint="eastAsia" w:ascii="宋体" w:hAnsi="宋体"/>
          <w:color w:val="000000"/>
          <w:sz w:val="24"/>
        </w:rPr>
        <w:t>供应商应当对所参与采购包对应第四章</w:t>
      </w:r>
      <w:r>
        <w:rPr>
          <w:rFonts w:ascii="宋体" w:hAnsi="宋体"/>
          <w:color w:val="000000"/>
          <w:sz w:val="24"/>
        </w:rPr>
        <w:t>《</w:t>
      </w:r>
      <w:r>
        <w:rPr>
          <w:rFonts w:hint="eastAsia" w:ascii="宋体" w:hAnsi="宋体"/>
          <w:color w:val="000000"/>
          <w:sz w:val="24"/>
        </w:rPr>
        <w:t>采购需求</w:t>
      </w:r>
      <w:r>
        <w:rPr>
          <w:rFonts w:ascii="宋体" w:hAnsi="宋体"/>
          <w:color w:val="000000"/>
          <w:sz w:val="24"/>
        </w:rPr>
        <w:t>》所列的全部内容进行响应，不得将一个采购包中的内容拆</w:t>
      </w:r>
      <w:r>
        <w:rPr>
          <w:rFonts w:hint="eastAsia" w:ascii="宋体" w:hAnsi="宋体"/>
          <w:color w:val="000000"/>
          <w:sz w:val="24"/>
        </w:rPr>
        <w:t>分</w:t>
      </w:r>
      <w:r>
        <w:rPr>
          <w:rFonts w:ascii="宋体" w:hAnsi="宋体"/>
          <w:color w:val="000000"/>
          <w:sz w:val="24"/>
        </w:rPr>
        <w:t>响应，</w:t>
      </w:r>
      <w:r>
        <w:rPr>
          <w:rFonts w:hint="eastAsia" w:ascii="宋体" w:hAnsi="宋体"/>
          <w:color w:val="000000"/>
          <w:sz w:val="24"/>
        </w:rPr>
        <w:t>否则其对该采购包的响应将被认定为</w:t>
      </w:r>
      <w:r>
        <w:rPr>
          <w:rFonts w:hint="eastAsia" w:ascii="宋体" w:hAnsi="宋体"/>
          <w:b/>
          <w:bCs/>
          <w:color w:val="000000"/>
          <w:sz w:val="24"/>
        </w:rPr>
        <w:t>无效响应</w:t>
      </w:r>
      <w:r>
        <w:rPr>
          <w:rFonts w:hint="eastAsia" w:ascii="宋体" w:hAnsi="宋体"/>
          <w:color w:val="000000"/>
          <w:sz w:val="24"/>
        </w:rPr>
        <w:t>。</w:t>
      </w:r>
      <w:r>
        <w:rPr>
          <w:rFonts w:ascii="宋体" w:hAnsi="宋体"/>
          <w:color w:val="000000"/>
          <w:sz w:val="24"/>
        </w:rPr>
        <w:t xml:space="preserve"> </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除竞争性磋商文件有特殊要求外，本项目磋商所使用的计量单位，应采用中华人民共和国法定计量单位。</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
        </w:numPr>
        <w:tabs>
          <w:tab w:val="left" w:pos="360"/>
        </w:tabs>
        <w:snapToGrid w:val="0"/>
        <w:spacing w:line="360" w:lineRule="auto"/>
        <w:ind w:left="357" w:hanging="357"/>
        <w:outlineLvl w:val="1"/>
        <w:rPr>
          <w:rFonts w:ascii="宋体" w:hAnsi="宋体"/>
          <w:color w:val="000000"/>
          <w:sz w:val="24"/>
        </w:rPr>
      </w:pPr>
      <w:bookmarkStart w:id="237" w:name="_Toc516367022"/>
      <w:bookmarkStart w:id="238" w:name="_Ref467306195"/>
      <w:bookmarkStart w:id="239" w:name="_Ref467306676"/>
      <w:bookmarkStart w:id="240" w:name="_Toc164229223"/>
      <w:bookmarkStart w:id="241" w:name="_Toc164351622"/>
      <w:bookmarkStart w:id="242" w:name="_Toc164229369"/>
      <w:bookmarkStart w:id="243" w:name="_Toc264969218"/>
      <w:bookmarkStart w:id="244" w:name="_Toc226337224"/>
      <w:bookmarkStart w:id="245" w:name="_Toc164608797"/>
      <w:bookmarkStart w:id="246" w:name="_Toc305158796"/>
      <w:bookmarkStart w:id="247" w:name="_Toc164608642"/>
      <w:bookmarkStart w:id="248" w:name="_Toc305158870"/>
      <w:bookmarkStart w:id="249" w:name="_Toc265228366"/>
      <w:bookmarkStart w:id="250" w:name="_Toc151193842"/>
      <w:bookmarkStart w:id="251" w:name="_Toc127151729"/>
      <w:bookmarkStart w:id="252" w:name="_Toc226309772"/>
      <w:bookmarkStart w:id="253" w:name="_Toc151193916"/>
      <w:bookmarkStart w:id="254" w:name="_Toc150774628"/>
      <w:bookmarkStart w:id="255" w:name="_Toc151190155"/>
      <w:bookmarkStart w:id="256" w:name="_Toc150774733"/>
      <w:bookmarkStart w:id="257" w:name="_Toc151193626"/>
      <w:bookmarkStart w:id="258" w:name="_Toc226965718"/>
      <w:bookmarkStart w:id="259" w:name="_Toc127161442"/>
      <w:bookmarkStart w:id="260" w:name="_Toc127151528"/>
      <w:bookmarkStart w:id="261" w:name="_Toc150509279"/>
      <w:bookmarkStart w:id="262" w:name="_Toc149720821"/>
      <w:bookmarkStart w:id="263" w:name="_Toc150480766"/>
      <w:bookmarkStart w:id="264" w:name="_Toc142311030"/>
      <w:bookmarkStart w:id="265" w:name="_Toc520356152"/>
      <w:bookmarkStart w:id="266" w:name="_Toc226965801"/>
      <w:bookmarkStart w:id="267" w:name="_Toc151193698"/>
      <w:bookmarkStart w:id="268" w:name="_Toc195842893"/>
      <w:bookmarkStart w:id="269" w:name="_Toc151193770"/>
      <w:r>
        <w:rPr>
          <w:rFonts w:ascii="宋体" w:hAnsi="宋体"/>
          <w:color w:val="000000"/>
          <w:sz w:val="24"/>
        </w:rPr>
        <w:t>响应文件</w:t>
      </w:r>
      <w:bookmarkEnd w:id="237"/>
      <w:bookmarkEnd w:id="238"/>
      <w:bookmarkEnd w:id="239"/>
      <w:r>
        <w:rPr>
          <w:rFonts w:ascii="宋体" w:hAnsi="宋体"/>
          <w:color w:val="000000"/>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bookmarkStart w:id="270" w:name="_Ref467052588"/>
      <w:r>
        <w:rPr>
          <w:rFonts w:ascii="宋体" w:hAnsi="宋体"/>
          <w:color w:val="000000"/>
          <w:sz w:val="24"/>
        </w:rPr>
        <w:t>供应商应当按照竞争性磋商文件的要求编制响应文件，</w:t>
      </w:r>
      <w:r>
        <w:rPr>
          <w:rFonts w:ascii="宋体" w:hAnsi="宋体"/>
          <w:color w:val="000000"/>
          <w:kern w:val="0"/>
          <w:sz w:val="24"/>
        </w:rPr>
        <w:t>并对其提交的响应文件的真实性、合法性承担法律责任</w:t>
      </w:r>
      <w:r>
        <w:rPr>
          <w:rFonts w:ascii="宋体" w:hAnsi="宋体"/>
          <w:color w:val="000000"/>
          <w:sz w:val="24"/>
        </w:rPr>
        <w:t>。响应文件的部分格式要求，见第六章《响应文件格式》。</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kern w:val="0"/>
          <w:sz w:val="24"/>
        </w:rPr>
        <w:t>对于竞争性磋商文件中标记了“实质性格式”文件的，</w:t>
      </w:r>
      <w:r>
        <w:rPr>
          <w:rFonts w:ascii="宋体" w:hAnsi="宋体"/>
          <w:color w:val="000000"/>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000000"/>
          <w:kern w:val="0"/>
          <w:sz w:val="24"/>
        </w:rPr>
        <w:t>否则响应无效</w:t>
      </w:r>
      <w:r>
        <w:rPr>
          <w:rFonts w:ascii="宋体" w:hAnsi="宋体"/>
          <w:color w:val="000000"/>
          <w:kern w:val="0"/>
          <w:sz w:val="24"/>
        </w:rPr>
        <w:t>。未标记“实质性格式”的文件和竞争性磋商文件未提供格式的内容，可由供应商自行编写。</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第三章《评审方法和评审标准》中涉及的证明文件。</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对照第四章《</w:t>
      </w:r>
      <w:r>
        <w:rPr>
          <w:rFonts w:hint="eastAsia" w:ascii="宋体" w:hAnsi="宋体"/>
          <w:color w:val="000000"/>
          <w:sz w:val="24"/>
        </w:rPr>
        <w:t>采购需求</w:t>
      </w:r>
      <w:r>
        <w:rPr>
          <w:rFonts w:ascii="宋体" w:hAnsi="宋体"/>
          <w:color w:val="000000"/>
          <w:sz w:val="24"/>
        </w:rPr>
        <w:t>》，说明所提供服务已对第四章《</w:t>
      </w:r>
      <w:r>
        <w:rPr>
          <w:rFonts w:hint="eastAsia" w:ascii="宋体" w:hAnsi="宋体"/>
          <w:color w:val="000000"/>
          <w:sz w:val="24"/>
        </w:rPr>
        <w:t>采购需求</w:t>
      </w:r>
      <w:r>
        <w:rPr>
          <w:rFonts w:ascii="宋体" w:hAnsi="宋体"/>
          <w:color w:val="000000"/>
          <w:sz w:val="24"/>
        </w:rPr>
        <w:t>》做出了响应，或申明与第四章《</w:t>
      </w:r>
      <w:r>
        <w:rPr>
          <w:rFonts w:hint="eastAsia" w:ascii="宋体" w:hAnsi="宋体"/>
          <w:color w:val="000000"/>
          <w:sz w:val="24"/>
        </w:rPr>
        <w:t>采购需求</w:t>
      </w:r>
      <w:r>
        <w:rPr>
          <w:rFonts w:ascii="宋体" w:hAnsi="宋体"/>
          <w:color w:val="000000"/>
          <w:sz w:val="24"/>
        </w:rPr>
        <w:t>》的偏差和例外。如第四章《</w:t>
      </w:r>
      <w:r>
        <w:rPr>
          <w:rFonts w:hint="eastAsia" w:ascii="宋体" w:hAnsi="宋体"/>
          <w:color w:val="000000"/>
          <w:sz w:val="24"/>
        </w:rPr>
        <w:t>采购需求</w:t>
      </w:r>
      <w:r>
        <w:rPr>
          <w:rFonts w:ascii="宋体" w:hAnsi="宋体"/>
          <w:color w:val="000000"/>
          <w:sz w:val="24"/>
        </w:rPr>
        <w:t>》中要求提供证明文件的，供应商应当按具体要求提供证明文件。</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供应商认为应附的其他材料。</w:t>
      </w:r>
      <w:bookmarkEnd w:id="270"/>
    </w:p>
    <w:p>
      <w:pPr>
        <w:numPr>
          <w:ilvl w:val="0"/>
          <w:numId w:val="1"/>
        </w:numPr>
        <w:tabs>
          <w:tab w:val="left" w:pos="360"/>
        </w:tabs>
        <w:snapToGrid w:val="0"/>
        <w:spacing w:line="360" w:lineRule="auto"/>
        <w:ind w:left="357" w:hanging="357"/>
        <w:outlineLvl w:val="1"/>
        <w:rPr>
          <w:rFonts w:ascii="宋体" w:hAnsi="宋体"/>
          <w:color w:val="000000"/>
          <w:sz w:val="24"/>
        </w:rPr>
      </w:pPr>
      <w:bookmarkStart w:id="271" w:name="_Toc151193628"/>
      <w:bookmarkStart w:id="272" w:name="_Toc150774630"/>
      <w:bookmarkStart w:id="273" w:name="_Toc150509281"/>
      <w:bookmarkStart w:id="274" w:name="_Toc164229225"/>
      <w:bookmarkStart w:id="275" w:name="_Toc164608644"/>
      <w:bookmarkStart w:id="276" w:name="_Toc151190157"/>
      <w:bookmarkStart w:id="277" w:name="_Toc151193772"/>
      <w:bookmarkStart w:id="278" w:name="_Toc149720823"/>
      <w:bookmarkStart w:id="279" w:name="_Toc127151731"/>
      <w:bookmarkStart w:id="280" w:name="_Toc151193700"/>
      <w:bookmarkStart w:id="281" w:name="_Toc151193918"/>
      <w:bookmarkStart w:id="282" w:name="_Toc164229371"/>
      <w:bookmarkStart w:id="283" w:name="_Toc164351624"/>
      <w:bookmarkStart w:id="284" w:name="_Toc195842895"/>
      <w:bookmarkStart w:id="285" w:name="_Toc164608799"/>
      <w:bookmarkStart w:id="286" w:name="_Toc150480768"/>
      <w:bookmarkStart w:id="287" w:name="_Toc151193844"/>
      <w:bookmarkStart w:id="288" w:name="_Toc150774735"/>
      <w:bookmarkStart w:id="289" w:name="_Toc142311032"/>
      <w:bookmarkStart w:id="290" w:name="_Toc127161444"/>
      <w:bookmarkStart w:id="291" w:name="_Toc127151530"/>
      <w:bookmarkStart w:id="292" w:name="_Toc520356155"/>
      <w:r>
        <w:rPr>
          <w:rFonts w:ascii="宋体" w:hAnsi="宋体"/>
          <w:color w:val="000000"/>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所有响应均以人民币报价。</w:t>
      </w:r>
    </w:p>
    <w:p>
      <w:pPr>
        <w:numPr>
          <w:ilvl w:val="1"/>
          <w:numId w:val="1"/>
        </w:numPr>
        <w:tabs>
          <w:tab w:val="left" w:pos="1080"/>
          <w:tab w:val="left" w:pos="1589"/>
        </w:tabs>
        <w:snapToGrid w:val="0"/>
        <w:spacing w:line="360" w:lineRule="auto"/>
        <w:ind w:left="1134" w:hanging="708"/>
        <w:rPr>
          <w:rFonts w:ascii="宋体" w:hAnsi="宋体"/>
          <w:color w:val="000000"/>
          <w:sz w:val="24"/>
        </w:rPr>
      </w:pPr>
      <w:r>
        <w:rPr>
          <w:rFonts w:ascii="宋体" w:hAnsi="宋体"/>
          <w:color w:val="000000"/>
          <w:sz w:val="24"/>
        </w:rPr>
        <w:t>供应商的报价应包括为完成本项目所发生的一切费用和税费，采购人将不再支付报价以外的任何费用。</w:t>
      </w:r>
      <w:r>
        <w:rPr>
          <w:rFonts w:hint="eastAsia" w:ascii="宋体" w:hAnsi="宋体"/>
          <w:color w:val="000000"/>
          <w:sz w:val="24"/>
        </w:rPr>
        <w:t>供应商的报价应包括但不限于下列内容，《供应商须知资料表》中有特殊规定的，从其规定。</w:t>
      </w:r>
    </w:p>
    <w:p>
      <w:pPr>
        <w:numPr>
          <w:ilvl w:val="2"/>
          <w:numId w:val="1"/>
        </w:numPr>
        <w:snapToGrid w:val="0"/>
        <w:spacing w:line="360" w:lineRule="auto"/>
        <w:rPr>
          <w:rFonts w:ascii="宋体" w:hAnsi="宋体"/>
          <w:color w:val="000000"/>
          <w:sz w:val="24"/>
        </w:rPr>
      </w:pPr>
      <w:r>
        <w:rPr>
          <w:rFonts w:hint="eastAsia" w:ascii="宋体" w:hAnsi="宋体"/>
          <w:color w:val="000000"/>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
        </w:numPr>
        <w:snapToGrid w:val="0"/>
        <w:spacing w:line="360" w:lineRule="auto"/>
        <w:rPr>
          <w:rFonts w:ascii="宋体" w:hAnsi="宋体"/>
          <w:color w:val="000000"/>
          <w:sz w:val="24"/>
        </w:rPr>
      </w:pPr>
      <w:r>
        <w:rPr>
          <w:rFonts w:ascii="宋体" w:hAnsi="宋体"/>
          <w:color w:val="000000"/>
          <w:sz w:val="24"/>
        </w:rPr>
        <w:t>按照竞争性磋商文件要求完成本项</w:t>
      </w:r>
      <w:r>
        <w:rPr>
          <w:rFonts w:hint="eastAsia" w:ascii="宋体" w:hAnsi="宋体"/>
          <w:color w:val="000000"/>
          <w:sz w:val="24"/>
        </w:rPr>
        <w:t>目的全部相关费用。</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采购人不得向供应商索要或者接受其给予的赠品、回扣或者与采购无关的其他商品、服务。</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ascii="宋体" w:hAnsi="宋体"/>
          <w:color w:val="000000"/>
          <w:sz w:val="24"/>
        </w:rPr>
        <w:t>供应商不能提供任何有选择性或可调整的最后报价（</w:t>
      </w:r>
      <w:r>
        <w:rPr>
          <w:rFonts w:ascii="宋体" w:hAnsi="宋体"/>
          <w:color w:val="000000"/>
          <w:kern w:val="0"/>
          <w:sz w:val="24"/>
        </w:rPr>
        <w:t>竞争性磋商文件</w:t>
      </w:r>
      <w:r>
        <w:rPr>
          <w:rFonts w:ascii="宋体" w:hAnsi="宋体"/>
          <w:color w:val="000000"/>
          <w:sz w:val="24"/>
        </w:rPr>
        <w:t>另有规定的除外），否则其</w:t>
      </w:r>
      <w:r>
        <w:rPr>
          <w:rFonts w:ascii="宋体" w:hAnsi="宋体"/>
          <w:b/>
          <w:color w:val="000000"/>
          <w:sz w:val="24"/>
        </w:rPr>
        <w:t>响应无效</w:t>
      </w:r>
      <w:r>
        <w:rPr>
          <w:rFonts w:ascii="宋体" w:hAnsi="宋体"/>
          <w:color w:val="000000"/>
          <w:sz w:val="24"/>
        </w:rPr>
        <w:t>。</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磋商保证金</w:t>
      </w:r>
      <w:r>
        <w:rPr>
          <w:rFonts w:hint="eastAsia" w:ascii="宋体" w:hAnsi="宋体"/>
          <w:color w:val="000000"/>
          <w:sz w:val="24"/>
        </w:rPr>
        <w:t>（本项目不涉及）</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bookmarkStart w:id="293" w:name="_Ref467306302"/>
      <w:bookmarkStart w:id="294" w:name="_Toc226309778"/>
      <w:bookmarkStart w:id="295" w:name="_Toc226965724"/>
      <w:bookmarkStart w:id="296" w:name="_Toc520356159"/>
      <w:bookmarkStart w:id="297" w:name="_Toc150774739"/>
      <w:bookmarkStart w:id="298" w:name="_Toc305158802"/>
      <w:bookmarkStart w:id="299" w:name="_Toc226965807"/>
      <w:bookmarkStart w:id="300" w:name="_Toc151193704"/>
      <w:bookmarkStart w:id="301" w:name="_Toc150774634"/>
      <w:bookmarkStart w:id="302" w:name="_Toc151193776"/>
      <w:bookmarkStart w:id="303" w:name="_Toc150509285"/>
      <w:bookmarkStart w:id="304" w:name="_Toc151193848"/>
      <w:bookmarkStart w:id="305" w:name="_Toc151193632"/>
      <w:bookmarkStart w:id="306" w:name="_Toc142311036"/>
      <w:bookmarkStart w:id="307" w:name="_Toc150480772"/>
      <w:bookmarkStart w:id="308" w:name="_Toc305158876"/>
      <w:bookmarkStart w:id="309" w:name="_Toc264969224"/>
      <w:bookmarkStart w:id="310" w:name="_Toc265228372"/>
      <w:bookmarkStart w:id="311" w:name="_Toc127151534"/>
      <w:bookmarkStart w:id="312" w:name="_Toc151193922"/>
      <w:bookmarkStart w:id="313" w:name="_Toc151190161"/>
      <w:bookmarkStart w:id="314" w:name="_Toc195842899"/>
      <w:bookmarkStart w:id="315" w:name="_Toc226337230"/>
      <w:r>
        <w:rPr>
          <w:rFonts w:ascii="宋体" w:hAnsi="宋体"/>
          <w:sz w:val="24"/>
        </w:rPr>
        <w:t>供应商应按《供应商须知资料表》中规定的金额及要求交纳磋商保证金</w:t>
      </w:r>
      <w:bookmarkEnd w:id="293"/>
      <w:r>
        <w:rPr>
          <w:rFonts w:ascii="宋体" w:hAnsi="宋体"/>
          <w:sz w:val="24"/>
        </w:rPr>
        <w:t>。</w:t>
      </w:r>
      <w:r>
        <w:rPr>
          <w:rFonts w:hint="eastAsia" w:ascii="宋体" w:hAnsi="宋体"/>
          <w:sz w:val="24"/>
        </w:rPr>
        <w:t>供应商自愿超额缴纳磋商保证金的，响应文件不做无效处理。</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rPr>
        <w:t>纸质</w:t>
      </w:r>
      <w:r>
        <w:rPr>
          <w:rFonts w:ascii="宋体" w:hAnsi="宋体"/>
          <w:sz w:val="24"/>
        </w:rPr>
        <w:t>保函等形式提交磋商保证金的，应在首次响应文件提交截止时间前将原件提交至采购代理机构；</w:t>
      </w:r>
      <w:bookmarkStart w:id="316" w:name="_Hlk164959831"/>
      <w:r>
        <w:rPr>
          <w:rFonts w:hint="eastAsia" w:ascii="宋体" w:hAnsi="宋体"/>
          <w:sz w:val="24"/>
        </w:rPr>
        <w:t>以电子保函形式提交磋商保证金的，应在</w:t>
      </w:r>
      <w:r>
        <w:rPr>
          <w:rFonts w:ascii="宋体" w:hAnsi="宋体"/>
          <w:sz w:val="24"/>
        </w:rPr>
        <w:t>首次响应文件提交截止时间前</w:t>
      </w:r>
      <w:r>
        <w:rPr>
          <w:rFonts w:hint="eastAsia" w:ascii="宋体" w:hAnsi="宋体"/>
          <w:sz w:val="24"/>
        </w:rPr>
        <w:t>通过</w:t>
      </w:r>
      <w:r>
        <w:rPr>
          <w:rFonts w:ascii="宋体" w:hAnsi="宋体"/>
          <w:sz w:val="24"/>
          <w:lang w:bidi="ar"/>
        </w:rPr>
        <w:t>北京市政府采购电子交易平台</w:t>
      </w:r>
      <w:r>
        <w:rPr>
          <w:rFonts w:hint="eastAsia" w:ascii="宋体" w:hAnsi="宋体"/>
          <w:sz w:val="24"/>
          <w:lang w:bidi="ar"/>
        </w:rPr>
        <w:t>完成电子保函在线办理。</w:t>
      </w:r>
      <w:bookmarkEnd w:id="316"/>
      <w:r>
        <w:rPr>
          <w:rFonts w:hint="eastAsia" w:ascii="宋体" w:hAnsi="宋体"/>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bookmarkStart w:id="317" w:name="_Hlk168432698"/>
      <w:r>
        <w:rPr>
          <w:rFonts w:hint="eastAsia" w:ascii="宋体" w:hAnsi="宋体"/>
          <w:sz w:val="24"/>
        </w:rPr>
        <w:t>供应商</w:t>
      </w:r>
      <w:r>
        <w:rPr>
          <w:rFonts w:ascii="宋体" w:hAnsi="宋体"/>
          <w:color w:val="000000"/>
          <w:sz w:val="24"/>
        </w:rPr>
        <w:t>除</w:t>
      </w:r>
      <w:r>
        <w:rPr>
          <w:rFonts w:hint="eastAsia" w:ascii="宋体" w:hAnsi="宋体"/>
          <w:color w:val="000000"/>
          <w:sz w:val="24"/>
        </w:rPr>
        <w:t>需在响应</w:t>
      </w:r>
      <w:r>
        <w:rPr>
          <w:rFonts w:ascii="宋体" w:hAnsi="宋体"/>
          <w:color w:val="000000"/>
          <w:sz w:val="24"/>
        </w:rPr>
        <w:t>文件中</w:t>
      </w:r>
      <w:r>
        <w:rPr>
          <w:rFonts w:hint="eastAsia" w:ascii="宋体" w:hAnsi="宋体"/>
          <w:color w:val="000000"/>
          <w:sz w:val="24"/>
        </w:rPr>
        <w:t>提供“</w:t>
      </w:r>
      <w:r>
        <w:rPr>
          <w:rFonts w:hint="eastAsia" w:ascii="宋体" w:hAnsi="宋体"/>
          <w:color w:val="000000"/>
          <w:sz w:val="24"/>
          <w:szCs w:val="20"/>
        </w:rPr>
        <w:t>磋商</w:t>
      </w:r>
      <w:r>
        <w:rPr>
          <w:rFonts w:ascii="宋体" w:hAnsi="宋体"/>
          <w:color w:val="000000"/>
          <w:sz w:val="24"/>
          <w:szCs w:val="20"/>
        </w:rPr>
        <w:t>保证金凭证/交款单据电子件</w:t>
      </w:r>
      <w:r>
        <w:rPr>
          <w:rFonts w:hint="eastAsia" w:ascii="宋体" w:hAnsi="宋体"/>
          <w:color w:val="000000"/>
          <w:sz w:val="24"/>
        </w:rPr>
        <w:t>”</w:t>
      </w:r>
      <w:r>
        <w:rPr>
          <w:rFonts w:ascii="宋体" w:hAnsi="宋体"/>
          <w:color w:val="000000"/>
          <w:sz w:val="24"/>
        </w:rPr>
        <w:t>，</w:t>
      </w:r>
      <w:r>
        <w:rPr>
          <w:rFonts w:hint="eastAsia" w:ascii="宋体" w:hAnsi="宋体"/>
          <w:sz w:val="24"/>
        </w:rPr>
        <w:t>还需在</w:t>
      </w:r>
      <w:r>
        <w:rPr>
          <w:rFonts w:ascii="宋体" w:hAnsi="宋体"/>
          <w:sz w:val="24"/>
        </w:rPr>
        <w:t>首次响应文件提交截止时间</w:t>
      </w:r>
      <w:r>
        <w:rPr>
          <w:rFonts w:hint="eastAsia" w:ascii="宋体" w:hAnsi="宋体"/>
          <w:sz w:val="24"/>
        </w:rPr>
        <w:t>前，通过电子交易平台上传“</w:t>
      </w:r>
      <w:r>
        <w:rPr>
          <w:rFonts w:hint="eastAsia" w:ascii="宋体" w:hAnsi="宋体"/>
          <w:color w:val="000000"/>
          <w:sz w:val="24"/>
          <w:szCs w:val="20"/>
        </w:rPr>
        <w:t>磋商</w:t>
      </w:r>
      <w:r>
        <w:rPr>
          <w:rFonts w:ascii="宋体" w:hAnsi="宋体"/>
          <w:color w:val="000000"/>
          <w:sz w:val="24"/>
          <w:szCs w:val="20"/>
        </w:rPr>
        <w:t>保证金凭证/交款单据电子件</w:t>
      </w:r>
      <w:r>
        <w:rPr>
          <w:rFonts w:hint="eastAsia" w:ascii="宋体" w:hAnsi="宋体"/>
          <w:sz w:val="24"/>
        </w:rPr>
        <w:t>”。</w:t>
      </w:r>
    </w:p>
    <w:bookmarkEnd w:id="317"/>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磋商保证金有效期同响应有效期。</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p>
    <w:p>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pPr>
        <w:numPr>
          <w:ilvl w:val="2"/>
          <w:numId w:val="1"/>
        </w:numPr>
        <w:snapToGrid w:val="0"/>
        <w:spacing w:line="360" w:lineRule="auto"/>
        <w:rPr>
          <w:rFonts w:ascii="宋体" w:hAnsi="宋体"/>
          <w:sz w:val="24"/>
        </w:rPr>
      </w:pPr>
      <w:r>
        <w:rPr>
          <w:rFonts w:ascii="宋体" w:hAnsi="宋体"/>
          <w:sz w:val="24"/>
        </w:rPr>
        <w:t>供应商在响应文件提交截止时间后撤回响应文件的；</w:t>
      </w:r>
    </w:p>
    <w:p>
      <w:pPr>
        <w:numPr>
          <w:ilvl w:val="2"/>
          <w:numId w:val="1"/>
        </w:numPr>
        <w:snapToGrid w:val="0"/>
        <w:spacing w:line="360" w:lineRule="auto"/>
        <w:rPr>
          <w:rFonts w:ascii="宋体" w:hAnsi="宋体"/>
          <w:sz w:val="24"/>
        </w:rPr>
      </w:pPr>
      <w:r>
        <w:rPr>
          <w:rFonts w:ascii="宋体" w:hAnsi="宋体"/>
          <w:sz w:val="24"/>
        </w:rPr>
        <w:t>供应商在响应文件中提供虚假材料的；</w:t>
      </w:r>
    </w:p>
    <w:p>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pPr>
        <w:numPr>
          <w:ilvl w:val="2"/>
          <w:numId w:val="1"/>
        </w:numPr>
        <w:snapToGrid w:val="0"/>
        <w:spacing w:line="360" w:lineRule="auto"/>
        <w:rPr>
          <w:rFonts w:ascii="宋体" w:hAnsi="宋体"/>
          <w:sz w:val="24"/>
        </w:rPr>
      </w:pPr>
      <w:r>
        <w:rPr>
          <w:rFonts w:ascii="宋体" w:hAnsi="宋体"/>
          <w:sz w:val="24"/>
        </w:rPr>
        <w:t>《供应商须知资料表》规定的其他情形。</w:t>
      </w:r>
    </w:p>
    <w:p>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pPr>
        <w:numPr>
          <w:ilvl w:val="0"/>
          <w:numId w:val="1"/>
        </w:numPr>
        <w:tabs>
          <w:tab w:val="left" w:pos="360"/>
        </w:tabs>
        <w:snapToGrid w:val="0"/>
        <w:spacing w:line="360" w:lineRule="auto"/>
        <w:ind w:left="357" w:hanging="357"/>
        <w:outlineLvl w:val="1"/>
        <w:rPr>
          <w:rFonts w:ascii="宋体" w:hAnsi="宋体"/>
          <w:sz w:val="24"/>
        </w:rPr>
      </w:pPr>
      <w:bookmarkStart w:id="318" w:name="_Toc305158875"/>
      <w:bookmarkStart w:id="319" w:name="_Toc127161447"/>
      <w:bookmarkStart w:id="320" w:name="_Toc150774738"/>
      <w:bookmarkStart w:id="321" w:name="_Toc195842898"/>
      <w:bookmarkStart w:id="322" w:name="_Toc127151533"/>
      <w:bookmarkStart w:id="323" w:name="_Toc226965806"/>
      <w:bookmarkStart w:id="324" w:name="_Toc264969223"/>
      <w:bookmarkStart w:id="325" w:name="_Toc164608647"/>
      <w:bookmarkStart w:id="326" w:name="_Toc226309777"/>
      <w:bookmarkStart w:id="327" w:name="_Toc164608802"/>
      <w:bookmarkStart w:id="328" w:name="_Toc164351627"/>
      <w:bookmarkStart w:id="329" w:name="_Toc164229228"/>
      <w:bookmarkStart w:id="330" w:name="_Toc149720826"/>
      <w:bookmarkStart w:id="331" w:name="_Toc226337229"/>
      <w:bookmarkStart w:id="332" w:name="_Toc226965723"/>
      <w:bookmarkStart w:id="333" w:name="_Toc151193921"/>
      <w:bookmarkStart w:id="334" w:name="_Toc151190160"/>
      <w:bookmarkStart w:id="335" w:name="_Toc127151734"/>
      <w:bookmarkStart w:id="336" w:name="_Toc305158801"/>
      <w:bookmarkStart w:id="337" w:name="_Toc151193703"/>
      <w:bookmarkStart w:id="338" w:name="_Toc150480771"/>
      <w:bookmarkStart w:id="339" w:name="_Toc151193631"/>
      <w:bookmarkStart w:id="340" w:name="_Toc150509284"/>
      <w:bookmarkStart w:id="341" w:name="_Toc520356158"/>
      <w:bookmarkStart w:id="342" w:name="_Toc150774633"/>
      <w:bookmarkStart w:id="343" w:name="_Toc151193847"/>
      <w:bookmarkStart w:id="344" w:name="_Toc142311035"/>
      <w:bookmarkStart w:id="345" w:name="_Toc164229374"/>
      <w:bookmarkStart w:id="346" w:name="_Toc265228371"/>
      <w:bookmarkStart w:id="347" w:name="_Toc151193775"/>
      <w:r>
        <w:rPr>
          <w:rFonts w:ascii="宋体" w:hAnsi="宋体"/>
          <w:sz w:val="24"/>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宋体" w:hAnsi="宋体"/>
          <w:sz w:val="24"/>
        </w:rPr>
        <w:t>、盖章</w:t>
      </w:r>
    </w:p>
    <w:p>
      <w:pPr>
        <w:numPr>
          <w:ilvl w:val="1"/>
          <w:numId w:val="1"/>
        </w:numPr>
        <w:tabs>
          <w:tab w:val="left" w:pos="1080"/>
          <w:tab w:val="left" w:pos="1589"/>
          <w:tab w:val="clear" w:pos="1304"/>
        </w:tabs>
        <w:snapToGrid w:val="0"/>
        <w:spacing w:line="360" w:lineRule="auto"/>
        <w:ind w:left="1468"/>
        <w:rPr>
          <w:rFonts w:ascii="宋体" w:hAnsi="宋体"/>
          <w:sz w:val="24"/>
        </w:rPr>
      </w:pPr>
      <w:r>
        <w:rPr>
          <w:rFonts w:ascii="宋体" w:hAnsi="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竞争性磋商文件要求盖章的内容，一般通过投标文件编制工具加盖电子签章。</w:t>
      </w:r>
    </w:p>
    <w:p>
      <w:pPr>
        <w:pStyle w:val="3"/>
        <w:spacing w:before="0" w:line="360" w:lineRule="auto"/>
        <w:rPr>
          <w:rFonts w:ascii="宋体" w:hAnsi="宋体" w:eastAsia="宋体"/>
          <w:color w:val="000000"/>
          <w:sz w:val="28"/>
        </w:rPr>
      </w:pPr>
      <w:r>
        <w:rPr>
          <w:rFonts w:ascii="宋体" w:hAnsi="宋体" w:eastAsia="宋体"/>
          <w:color w:val="000000"/>
          <w:sz w:val="28"/>
        </w:rPr>
        <w:t>四   响应文件的提交</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pPr>
        <w:numPr>
          <w:ilvl w:val="0"/>
          <w:numId w:val="1"/>
        </w:numPr>
        <w:tabs>
          <w:tab w:val="left" w:pos="360"/>
        </w:tabs>
        <w:snapToGrid w:val="0"/>
        <w:spacing w:line="360" w:lineRule="auto"/>
        <w:ind w:left="357" w:hanging="357"/>
        <w:outlineLvl w:val="1"/>
        <w:rPr>
          <w:rFonts w:ascii="宋体" w:hAnsi="宋体"/>
          <w:color w:val="000000"/>
          <w:sz w:val="24"/>
        </w:rPr>
      </w:pPr>
      <w:bookmarkStart w:id="348" w:name="_Toc226337231"/>
      <w:bookmarkStart w:id="349" w:name="_Toc226965725"/>
      <w:bookmarkStart w:id="350" w:name="_Toc164229376"/>
      <w:bookmarkStart w:id="351" w:name="_Toc226309779"/>
      <w:bookmarkStart w:id="352" w:name="_Toc149720828"/>
      <w:bookmarkStart w:id="353" w:name="_Toc127161449"/>
      <w:bookmarkStart w:id="354" w:name="_Toc151193705"/>
      <w:bookmarkStart w:id="355" w:name="_Toc305158803"/>
      <w:bookmarkStart w:id="356" w:name="_Toc127151736"/>
      <w:bookmarkStart w:id="357" w:name="_Toc151190162"/>
      <w:bookmarkStart w:id="358" w:name="_Toc127151535"/>
      <w:bookmarkStart w:id="359" w:name="_Toc151193777"/>
      <w:bookmarkStart w:id="360" w:name="_Toc151193923"/>
      <w:bookmarkStart w:id="361" w:name="_Toc142311037"/>
      <w:bookmarkStart w:id="362" w:name="_Toc150480773"/>
      <w:bookmarkStart w:id="363" w:name="_Toc164229230"/>
      <w:bookmarkStart w:id="364" w:name="_Toc164608804"/>
      <w:bookmarkStart w:id="365" w:name="_Toc226965808"/>
      <w:bookmarkStart w:id="366" w:name="_Toc150774740"/>
      <w:bookmarkStart w:id="367" w:name="_Toc151193633"/>
      <w:bookmarkStart w:id="368" w:name="_Toc520356160"/>
      <w:bookmarkStart w:id="369" w:name="_Toc305158877"/>
      <w:bookmarkStart w:id="370" w:name="_Toc151193849"/>
      <w:bookmarkStart w:id="371" w:name="_Toc164608649"/>
      <w:bookmarkStart w:id="372" w:name="_Toc264969225"/>
      <w:bookmarkStart w:id="373" w:name="_Toc195842900"/>
      <w:bookmarkStart w:id="374" w:name="_Toc150509286"/>
      <w:bookmarkStart w:id="375" w:name="_Toc265228373"/>
      <w:bookmarkStart w:id="376" w:name="_Toc164351629"/>
      <w:bookmarkStart w:id="377" w:name="_Toc150774635"/>
      <w:bookmarkStart w:id="378" w:name="_Toc150774743"/>
      <w:bookmarkStart w:id="379" w:name="_Toc151193780"/>
      <w:bookmarkStart w:id="380" w:name="_Toc151193636"/>
      <w:bookmarkStart w:id="381" w:name="_Toc151190165"/>
      <w:bookmarkStart w:id="382" w:name="_Toc151193852"/>
      <w:bookmarkStart w:id="383" w:name="_Toc142311040"/>
      <w:bookmarkStart w:id="384" w:name="_Toc264969228"/>
      <w:bookmarkStart w:id="385" w:name="_Toc150480776"/>
      <w:bookmarkStart w:id="386" w:name="_Toc226965811"/>
      <w:bookmarkStart w:id="387" w:name="_Toc520356163"/>
      <w:bookmarkStart w:id="388" w:name="_Toc305158880"/>
      <w:bookmarkStart w:id="389" w:name="_Toc305158806"/>
      <w:bookmarkStart w:id="390" w:name="_Toc226309782"/>
      <w:bookmarkStart w:id="391" w:name="_Toc195842903"/>
      <w:bookmarkStart w:id="392" w:name="_Toc151193708"/>
      <w:bookmarkStart w:id="393" w:name="_Toc226337234"/>
      <w:bookmarkStart w:id="394" w:name="_Toc150509289"/>
      <w:bookmarkStart w:id="395" w:name="_Toc150774638"/>
      <w:bookmarkStart w:id="396" w:name="_Toc226965728"/>
      <w:bookmarkStart w:id="397" w:name="_Toc127151538"/>
      <w:bookmarkStart w:id="398" w:name="_Toc265228376"/>
      <w:bookmarkStart w:id="399" w:name="_Toc151193926"/>
      <w:r>
        <w:rPr>
          <w:rFonts w:ascii="宋体" w:hAnsi="宋体"/>
          <w:color w:val="000000"/>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color w:val="000000"/>
          <w:sz w:val="24"/>
        </w:rPr>
        <w:t>提交</w:t>
      </w:r>
    </w:p>
    <w:p>
      <w:pPr>
        <w:numPr>
          <w:ilvl w:val="1"/>
          <w:numId w:val="1"/>
        </w:numPr>
        <w:tabs>
          <w:tab w:val="left" w:pos="1080"/>
          <w:tab w:val="left" w:pos="1589"/>
          <w:tab w:val="left" w:pos="2014"/>
        </w:tabs>
        <w:snapToGrid w:val="0"/>
        <w:spacing w:line="360" w:lineRule="auto"/>
        <w:rPr>
          <w:rFonts w:ascii="宋体" w:hAnsi="宋体"/>
          <w:sz w:val="24"/>
        </w:rPr>
      </w:pPr>
      <w:bookmarkStart w:id="400" w:name="_Toc150480774"/>
      <w:bookmarkStart w:id="401" w:name="_Toc151193850"/>
      <w:bookmarkStart w:id="402" w:name="_Toc226337232"/>
      <w:bookmarkStart w:id="403" w:name="_Toc151193706"/>
      <w:bookmarkStart w:id="404" w:name="_Toc164608805"/>
      <w:bookmarkStart w:id="405" w:name="_Toc151190163"/>
      <w:bookmarkStart w:id="406" w:name="_Toc195842901"/>
      <w:bookmarkStart w:id="407" w:name="_Toc164351630"/>
      <w:bookmarkStart w:id="408" w:name="_Toc127151737"/>
      <w:bookmarkStart w:id="409" w:name="_Toc150774636"/>
      <w:bookmarkStart w:id="410" w:name="_Toc305158878"/>
      <w:bookmarkStart w:id="411" w:name="_Toc520356161"/>
      <w:bookmarkStart w:id="412" w:name="_Toc226965809"/>
      <w:bookmarkStart w:id="413" w:name="_Toc142311038"/>
      <w:bookmarkStart w:id="414" w:name="_Toc151193778"/>
      <w:bookmarkStart w:id="415" w:name="_Toc150774741"/>
      <w:bookmarkStart w:id="416" w:name="_Toc127151536"/>
      <w:bookmarkStart w:id="417" w:name="_Toc305158804"/>
      <w:bookmarkStart w:id="418" w:name="_Toc151193634"/>
      <w:bookmarkStart w:id="419" w:name="_Toc127161450"/>
      <w:bookmarkStart w:id="420" w:name="_Toc226965726"/>
      <w:bookmarkStart w:id="421" w:name="_Toc164608650"/>
      <w:bookmarkStart w:id="422" w:name="_Toc164229231"/>
      <w:bookmarkStart w:id="423" w:name="_Toc164229377"/>
      <w:bookmarkStart w:id="424" w:name="_Toc150509287"/>
      <w:bookmarkStart w:id="425" w:name="_Toc226309780"/>
      <w:bookmarkStart w:id="426" w:name="_Toc265228374"/>
      <w:bookmarkStart w:id="427" w:name="_Toc264969226"/>
      <w:bookmarkStart w:id="428" w:name="_Toc149720829"/>
      <w:bookmarkStart w:id="429" w:name="_Toc151193924"/>
      <w:r>
        <w:rPr>
          <w:rFonts w:hint="eastAsia" w:ascii="宋体" w:hAnsi="宋体"/>
          <w:sz w:val="24"/>
        </w:rPr>
        <w:t>本项目使用北京市政府采购电子交易平台。供应商根据竞争性磋商文件及电子交易平台供应商操作手册要求编制、生成并提交电子响应文件。</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采购人及采购代理机构拒绝接受通过电子交易平台以外任何形式提交的响应文件，磋商保证金除外。</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w:t>
      </w:r>
      <w:r>
        <w:rPr>
          <w:rFonts w:hint="eastAsia" w:ascii="宋体" w:hAnsi="宋体"/>
          <w:sz w:val="24"/>
        </w:rPr>
        <w:t>供应商法定代表人或其委托代理人应当作为供应商代表按时参加磋商会议，在提交响应文件时提交法定代表人身份证明文件或法定代表人授权委托书，出示本人有效身份证明文件原件并签到。</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响应文件</w:t>
      </w:r>
      <w:r>
        <w:rPr>
          <w:rFonts w:hint="eastAsia" w:ascii="宋体" w:hAnsi="宋体"/>
          <w:color w:val="000000"/>
          <w:sz w:val="24"/>
        </w:rPr>
        <w:t>提交</w:t>
      </w:r>
      <w:r>
        <w:rPr>
          <w:rFonts w:ascii="宋体" w:hAnsi="宋体"/>
          <w:color w:val="000000"/>
          <w:sz w:val="24"/>
        </w:rPr>
        <w:t>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color w:val="000000"/>
          <w:sz w:val="24"/>
        </w:rPr>
        <w:t>时间</w:t>
      </w:r>
    </w:p>
    <w:p>
      <w:pPr>
        <w:numPr>
          <w:ilvl w:val="1"/>
          <w:numId w:val="1"/>
        </w:numPr>
        <w:tabs>
          <w:tab w:val="left" w:pos="1080"/>
          <w:tab w:val="left" w:pos="1589"/>
          <w:tab w:val="left" w:pos="2014"/>
        </w:tabs>
        <w:snapToGrid w:val="0"/>
        <w:spacing w:line="360" w:lineRule="auto"/>
        <w:rPr>
          <w:rFonts w:ascii="宋体" w:hAnsi="宋体"/>
          <w:sz w:val="24"/>
        </w:rPr>
      </w:pPr>
      <w:bookmarkStart w:id="430" w:name="_Toc151193635"/>
      <w:bookmarkStart w:id="431" w:name="_Toc164229232"/>
      <w:bookmarkStart w:id="432" w:name="_Toc151193851"/>
      <w:bookmarkStart w:id="433" w:name="_Toc164608806"/>
      <w:bookmarkStart w:id="434" w:name="_Toc142311039"/>
      <w:bookmarkStart w:id="435" w:name="_Toc150774742"/>
      <w:bookmarkStart w:id="436" w:name="_Toc226309781"/>
      <w:bookmarkStart w:id="437" w:name="_Toc150480775"/>
      <w:bookmarkStart w:id="438" w:name="_Toc305158805"/>
      <w:bookmarkStart w:id="439" w:name="_Toc226965810"/>
      <w:bookmarkStart w:id="440" w:name="_Toc127151738"/>
      <w:bookmarkStart w:id="441" w:name="_Toc150509288"/>
      <w:bookmarkStart w:id="442" w:name="_Toc264969227"/>
      <w:bookmarkStart w:id="443" w:name="_Toc151193707"/>
      <w:bookmarkStart w:id="444" w:name="_Toc520356162"/>
      <w:bookmarkStart w:id="445" w:name="_Toc305158879"/>
      <w:bookmarkStart w:id="446" w:name="_Toc164229378"/>
      <w:bookmarkStart w:id="447" w:name="_Toc226337233"/>
      <w:bookmarkStart w:id="448" w:name="_Toc151193925"/>
      <w:bookmarkStart w:id="449" w:name="_Toc151193779"/>
      <w:bookmarkStart w:id="450" w:name="_Toc149720830"/>
      <w:bookmarkStart w:id="451" w:name="_Toc265228375"/>
      <w:bookmarkStart w:id="452" w:name="_Toc150774637"/>
      <w:bookmarkStart w:id="453" w:name="_Toc226965727"/>
      <w:bookmarkStart w:id="454" w:name="_Toc127151537"/>
      <w:bookmarkStart w:id="455" w:name="_Toc164608651"/>
      <w:bookmarkStart w:id="456" w:name="_Toc195842902"/>
      <w:bookmarkStart w:id="457" w:name="_Toc164351631"/>
      <w:bookmarkStart w:id="458" w:name="_Toc127161451"/>
      <w:bookmarkStart w:id="459" w:name="_Toc151190164"/>
      <w:r>
        <w:rPr>
          <w:rFonts w:hint="eastAsia" w:ascii="宋体" w:hAnsi="宋体"/>
          <w:sz w:val="24"/>
        </w:rPr>
        <w:t>供应商应在竞争性磋商文件要求响应文件提交截止时间前，将电子响应文件提交至北京市政府采购电子交易平台。</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响应文件的修改与撤回</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提交</w:t>
      </w:r>
      <w:r>
        <w:rPr>
          <w:rFonts w:ascii="宋体" w:hAnsi="宋体"/>
          <w:color w:val="000000"/>
          <w:sz w:val="24"/>
        </w:rPr>
        <w:t>响应文件截止时间前，供应商可以通过电子交易平台对所提交的响应文件进行补充、修改或者撤回。磋商保证金</w:t>
      </w:r>
      <w:r>
        <w:rPr>
          <w:rFonts w:hint="eastAsia" w:ascii="宋体" w:hAnsi="宋体"/>
          <w:color w:val="000000"/>
          <w:sz w:val="24"/>
        </w:rPr>
        <w:t>的</w:t>
      </w:r>
      <w:r>
        <w:rPr>
          <w:rFonts w:ascii="宋体" w:hAnsi="宋体"/>
          <w:color w:val="000000"/>
          <w:sz w:val="24"/>
        </w:rPr>
        <w:t>补充、修改或者撤回</w:t>
      </w:r>
      <w:r>
        <w:rPr>
          <w:rFonts w:hint="eastAsia" w:ascii="宋体" w:hAnsi="宋体"/>
          <w:color w:val="000000"/>
          <w:sz w:val="24"/>
        </w:rPr>
        <w:t>无需</w:t>
      </w:r>
      <w:r>
        <w:rPr>
          <w:rFonts w:ascii="宋体" w:hAnsi="宋体"/>
          <w:color w:val="000000"/>
          <w:sz w:val="24"/>
        </w:rPr>
        <w:t>通过电子交易平台</w:t>
      </w:r>
      <w:r>
        <w:rPr>
          <w:rFonts w:hint="eastAsia" w:ascii="宋体" w:hAnsi="宋体"/>
          <w:color w:val="000000"/>
          <w:sz w:val="24"/>
        </w:rPr>
        <w:t>，</w:t>
      </w:r>
      <w:r>
        <w:rPr>
          <w:rFonts w:ascii="宋体" w:hAnsi="宋体"/>
          <w:color w:val="000000"/>
          <w:sz w:val="24"/>
        </w:rPr>
        <w:t>但应</w:t>
      </w:r>
      <w:r>
        <w:rPr>
          <w:rFonts w:hint="eastAsia" w:ascii="宋体" w:hAnsi="宋体"/>
          <w:color w:val="000000"/>
          <w:sz w:val="24"/>
        </w:rPr>
        <w:t>就其</w:t>
      </w:r>
      <w:r>
        <w:rPr>
          <w:rFonts w:ascii="宋体" w:hAnsi="宋体"/>
          <w:color w:val="000000"/>
          <w:sz w:val="24"/>
        </w:rPr>
        <w:t>补充、修改或者撤回</w:t>
      </w:r>
      <w:r>
        <w:rPr>
          <w:rFonts w:hint="eastAsia" w:ascii="宋体" w:hAnsi="宋体"/>
          <w:color w:val="000000"/>
          <w:sz w:val="24"/>
        </w:rPr>
        <w:t>通知</w:t>
      </w:r>
      <w:r>
        <w:rPr>
          <w:rFonts w:ascii="宋体" w:hAnsi="宋体"/>
          <w:color w:val="000000"/>
          <w:sz w:val="24"/>
        </w:rPr>
        <w:t>采购人或采购代理机构。</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pPr>
        <w:pStyle w:val="3"/>
        <w:spacing w:before="0" w:line="360" w:lineRule="auto"/>
        <w:rPr>
          <w:rFonts w:ascii="宋体" w:hAnsi="宋体" w:eastAsia="宋体"/>
          <w:color w:val="000000"/>
          <w:sz w:val="28"/>
        </w:rPr>
      </w:pPr>
      <w:r>
        <w:rPr>
          <w:rFonts w:ascii="宋体" w:hAnsi="宋体" w:eastAsia="宋体"/>
          <w:color w:val="000000"/>
          <w:sz w:val="28"/>
        </w:rPr>
        <w:t xml:space="preserve">五   </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eastAsia="宋体"/>
          <w:color w:val="000000"/>
          <w:sz w:val="28"/>
        </w:rPr>
        <w:t>评审</w:t>
      </w:r>
    </w:p>
    <w:p>
      <w:pPr>
        <w:numPr>
          <w:ilvl w:val="0"/>
          <w:numId w:val="1"/>
        </w:numPr>
        <w:tabs>
          <w:tab w:val="left" w:pos="360"/>
        </w:tabs>
        <w:snapToGrid w:val="0"/>
        <w:spacing w:line="360" w:lineRule="auto"/>
        <w:ind w:left="357" w:hanging="357"/>
        <w:outlineLvl w:val="1"/>
        <w:rPr>
          <w:rFonts w:ascii="宋体" w:hAnsi="宋体"/>
          <w:sz w:val="24"/>
        </w:rPr>
      </w:pPr>
      <w:bookmarkStart w:id="460" w:name="_Toc520356169"/>
      <w:bookmarkStart w:id="461" w:name="_Toc305158813"/>
      <w:bookmarkStart w:id="462" w:name="_Toc150509296"/>
      <w:bookmarkStart w:id="463" w:name="_Toc150774750"/>
      <w:bookmarkStart w:id="464" w:name="_Toc150480783"/>
      <w:bookmarkStart w:id="465" w:name="_Toc127151545"/>
      <w:bookmarkStart w:id="466" w:name="_Toc151193933"/>
      <w:bookmarkStart w:id="467" w:name="_Toc151193787"/>
      <w:bookmarkStart w:id="468" w:name="_Toc195842910"/>
      <w:bookmarkStart w:id="469" w:name="_Toc226965735"/>
      <w:bookmarkStart w:id="470" w:name="_Toc150774645"/>
      <w:bookmarkStart w:id="471" w:name="_Toc142311047"/>
      <w:bookmarkStart w:id="472" w:name="_Toc264969235"/>
      <w:bookmarkStart w:id="473" w:name="_Toc151193859"/>
      <w:bookmarkStart w:id="474" w:name="_Toc151193643"/>
      <w:bookmarkStart w:id="475" w:name="_Toc226309789"/>
      <w:bookmarkStart w:id="476" w:name="_Toc226337241"/>
      <w:bookmarkStart w:id="477" w:name="_Toc226965818"/>
      <w:bookmarkStart w:id="478" w:name="_Toc265228383"/>
      <w:bookmarkStart w:id="479" w:name="_Toc151193715"/>
      <w:bookmarkStart w:id="480" w:name="_Toc151190172"/>
      <w:bookmarkStart w:id="481" w:name="_Toc305158887"/>
      <w:r>
        <w:rPr>
          <w:rFonts w:ascii="宋体" w:hAnsi="宋体"/>
          <w:sz w:val="24"/>
        </w:rPr>
        <w:t>响应文件的解密与开启</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sz w:val="24"/>
        </w:rPr>
        <w:t>无效响应</w:t>
      </w:r>
      <w:r>
        <w:rPr>
          <w:rFonts w:ascii="宋体" w:hAnsi="宋体"/>
          <w:sz w:val="24"/>
        </w:rPr>
        <w:t>。</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供应商不足3家的，不予解密。</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bookmarkStart w:id="482" w:name="_Toc520356165"/>
      <w:r>
        <w:rPr>
          <w:rFonts w:ascii="宋体" w:hAnsi="宋体"/>
          <w:sz w:val="24"/>
        </w:rPr>
        <w:t>本项目不公开报价。</w:t>
      </w:r>
    </w:p>
    <w:bookmarkEnd w:id="482"/>
    <w:p>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w:t>
      </w:r>
      <w:r>
        <w:rPr>
          <w:rFonts w:hint="eastAsia" w:ascii="宋体" w:hAnsi="宋体"/>
          <w:sz w:val="24"/>
        </w:rPr>
        <w:t>与磋商</w:t>
      </w:r>
      <w:r>
        <w:rPr>
          <w:rFonts w:ascii="宋体" w:hAnsi="宋体"/>
          <w:sz w:val="24"/>
        </w:rPr>
        <w:t>事务，独立履行职责。</w:t>
      </w:r>
      <w:bookmarkStart w:id="483" w:name="_Toc520356166"/>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83"/>
    </w:p>
    <w:p>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pPr>
        <w:numPr>
          <w:ilvl w:val="1"/>
          <w:numId w:val="1"/>
        </w:numPr>
        <w:tabs>
          <w:tab w:val="left" w:pos="1080"/>
          <w:tab w:val="left" w:pos="1589"/>
          <w:tab w:val="left" w:pos="2014"/>
          <w:tab w:val="clear" w:pos="1304"/>
        </w:tabs>
        <w:snapToGrid w:val="0"/>
        <w:spacing w:line="360" w:lineRule="auto"/>
        <w:ind w:left="1077" w:hanging="720"/>
        <w:rPr>
          <w:rFonts w:ascii="宋体" w:hAnsi="宋体"/>
          <w:sz w:val="24"/>
        </w:rPr>
      </w:pPr>
      <w:r>
        <w:rPr>
          <w:rFonts w:ascii="宋体" w:hAnsi="宋体"/>
          <w:sz w:val="24"/>
        </w:rPr>
        <w:t>见第三章《评审方法和评审标准》。</w:t>
      </w:r>
    </w:p>
    <w:p>
      <w:pPr>
        <w:pStyle w:val="3"/>
        <w:spacing w:before="0" w:line="360" w:lineRule="auto"/>
        <w:rPr>
          <w:rFonts w:ascii="宋体" w:hAnsi="宋体" w:eastAsia="宋体"/>
          <w:color w:val="000000"/>
          <w:sz w:val="28"/>
        </w:rPr>
      </w:pPr>
      <w:r>
        <w:rPr>
          <w:rFonts w:ascii="宋体" w:hAnsi="宋体" w:eastAsia="宋体"/>
          <w:color w:val="000000"/>
          <w:sz w:val="28"/>
        </w:rPr>
        <w:t xml:space="preserve">六   </w:t>
      </w:r>
      <w:bookmarkEnd w:id="460"/>
      <w:r>
        <w:rPr>
          <w:rFonts w:ascii="宋体" w:hAnsi="宋体" w:eastAsia="宋体"/>
          <w:color w:val="000000"/>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eastAsia="宋体"/>
          <w:color w:val="000000"/>
          <w:sz w:val="28"/>
        </w:rPr>
        <w:t>成交</w:t>
      </w:r>
    </w:p>
    <w:p>
      <w:pPr>
        <w:numPr>
          <w:ilvl w:val="0"/>
          <w:numId w:val="1"/>
        </w:numPr>
        <w:tabs>
          <w:tab w:val="left" w:pos="360"/>
        </w:tabs>
        <w:snapToGrid w:val="0"/>
        <w:spacing w:line="360" w:lineRule="auto"/>
        <w:ind w:left="357" w:hanging="357"/>
        <w:outlineLvl w:val="1"/>
        <w:rPr>
          <w:rFonts w:ascii="宋体" w:hAnsi="宋体"/>
          <w:color w:val="000000"/>
          <w:sz w:val="24"/>
        </w:rPr>
      </w:pPr>
      <w:bookmarkStart w:id="484" w:name="_Toc151193789"/>
      <w:bookmarkStart w:id="485" w:name="_Toc164229242"/>
      <w:bookmarkStart w:id="486" w:name="_Toc195842912"/>
      <w:bookmarkStart w:id="487" w:name="_Toc149720840"/>
      <w:bookmarkStart w:id="488" w:name="_Toc305158815"/>
      <w:bookmarkStart w:id="489" w:name="_Toc151190174"/>
      <w:bookmarkStart w:id="490" w:name="_Toc142311049"/>
      <w:bookmarkStart w:id="491" w:name="_Toc151193645"/>
      <w:bookmarkStart w:id="492" w:name="_Toc127161461"/>
      <w:bookmarkStart w:id="493" w:name="_Toc226965820"/>
      <w:bookmarkStart w:id="494" w:name="_Toc151193717"/>
      <w:bookmarkStart w:id="495" w:name="_Toc305158889"/>
      <w:bookmarkStart w:id="496" w:name="_Toc150509298"/>
      <w:bookmarkStart w:id="497" w:name="_Toc226965737"/>
      <w:bookmarkStart w:id="498" w:name="_Toc164351641"/>
      <w:bookmarkStart w:id="499" w:name="_Toc164608816"/>
      <w:bookmarkStart w:id="500" w:name="_Toc127151748"/>
      <w:bookmarkStart w:id="501" w:name="_Toc127151547"/>
      <w:bookmarkStart w:id="502" w:name="_Toc150480785"/>
      <w:bookmarkStart w:id="503" w:name="_Toc264969237"/>
      <w:bookmarkStart w:id="504" w:name="_Toc164608661"/>
      <w:bookmarkStart w:id="505" w:name="_Toc226309791"/>
      <w:bookmarkStart w:id="506" w:name="_Toc265228385"/>
      <w:bookmarkStart w:id="507" w:name="_Toc150774647"/>
      <w:bookmarkStart w:id="508" w:name="_Toc150774752"/>
      <w:bookmarkStart w:id="509" w:name="_Toc226337243"/>
      <w:bookmarkStart w:id="510" w:name="_Toc164229388"/>
      <w:bookmarkStart w:id="511" w:name="_Toc151193861"/>
      <w:bookmarkStart w:id="512" w:name="_Toc151193935"/>
      <w:r>
        <w:rPr>
          <w:rFonts w:ascii="宋体" w:hAnsi="宋体"/>
          <w:color w:val="000000"/>
          <w:sz w:val="24"/>
        </w:rPr>
        <w:t>确定</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Pr>
          <w:rFonts w:ascii="宋体" w:hAnsi="宋体"/>
          <w:color w:val="000000"/>
          <w:sz w:val="24"/>
        </w:rPr>
        <w:t>成交</w:t>
      </w:r>
      <w:r>
        <w:rPr>
          <w:rFonts w:hint="eastAsia" w:ascii="宋体" w:hAnsi="宋体"/>
          <w:color w:val="000000"/>
          <w:sz w:val="24"/>
        </w:rPr>
        <w:t>供应商</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采购人将在收到评审报告后，从评审报告提出的成交候选</w:t>
      </w:r>
      <w:r>
        <w:rPr>
          <w:rFonts w:hint="eastAsia" w:ascii="宋体" w:hAnsi="宋体"/>
          <w:color w:val="000000"/>
          <w:sz w:val="24"/>
        </w:rPr>
        <w:t>供应商</w:t>
      </w:r>
      <w:r>
        <w:rPr>
          <w:rFonts w:ascii="宋体" w:hAnsi="宋体"/>
          <w:color w:val="000000"/>
          <w:sz w:val="24"/>
        </w:rPr>
        <w:t>中，按照排序由高到低的原则确定成交</w:t>
      </w:r>
      <w:r>
        <w:rPr>
          <w:rFonts w:hint="eastAsia" w:ascii="宋体" w:hAnsi="宋体"/>
          <w:color w:val="000000"/>
          <w:sz w:val="24"/>
        </w:rPr>
        <w:t>供应商。</w:t>
      </w:r>
      <w:r>
        <w:rPr>
          <w:rFonts w:ascii="宋体" w:hAnsi="宋体"/>
          <w:color w:val="000000"/>
          <w:sz w:val="24"/>
        </w:rPr>
        <w:t>采购人是否授权</w:t>
      </w:r>
      <w:r>
        <w:rPr>
          <w:rFonts w:hint="eastAsia" w:ascii="宋体" w:hAnsi="宋体"/>
          <w:color w:val="000000"/>
          <w:sz w:val="24"/>
        </w:rPr>
        <w:t>磋商</w:t>
      </w:r>
      <w:r>
        <w:rPr>
          <w:rFonts w:ascii="宋体" w:hAnsi="宋体"/>
          <w:color w:val="000000"/>
          <w:sz w:val="24"/>
        </w:rPr>
        <w:t>小组直接确定成交</w:t>
      </w:r>
      <w:r>
        <w:rPr>
          <w:rFonts w:hint="eastAsia" w:ascii="宋体" w:hAnsi="宋体"/>
          <w:color w:val="000000"/>
          <w:sz w:val="24"/>
        </w:rPr>
        <w:t>供应商</w:t>
      </w:r>
      <w:r>
        <w:rPr>
          <w:rFonts w:ascii="宋体" w:hAnsi="宋体"/>
          <w:color w:val="000000"/>
          <w:sz w:val="24"/>
        </w:rPr>
        <w:t>，见《供应商须知资料表》。成交候选人并列的，按照《供应商须知资料表》要求确定成交</w:t>
      </w:r>
      <w:r>
        <w:rPr>
          <w:rFonts w:hint="eastAsia" w:ascii="宋体" w:hAnsi="宋体"/>
          <w:color w:val="000000"/>
          <w:sz w:val="24"/>
        </w:rPr>
        <w:t>供应商</w:t>
      </w:r>
      <w:r>
        <w:rPr>
          <w:rFonts w:ascii="宋体" w:hAnsi="宋体"/>
          <w:color w:val="000000"/>
          <w:sz w:val="24"/>
        </w:rPr>
        <w:t>。</w:t>
      </w:r>
    </w:p>
    <w:p>
      <w:pPr>
        <w:numPr>
          <w:ilvl w:val="0"/>
          <w:numId w:val="1"/>
        </w:numPr>
        <w:tabs>
          <w:tab w:val="left" w:pos="360"/>
        </w:tabs>
        <w:snapToGrid w:val="0"/>
        <w:spacing w:line="360" w:lineRule="auto"/>
        <w:ind w:left="357" w:hanging="357"/>
        <w:outlineLvl w:val="1"/>
        <w:rPr>
          <w:rFonts w:ascii="宋体" w:hAnsi="宋体"/>
          <w:color w:val="000000"/>
          <w:sz w:val="24"/>
        </w:rPr>
      </w:pPr>
      <w:bookmarkStart w:id="513" w:name="_Toc305158817"/>
      <w:bookmarkStart w:id="514" w:name="_Toc305158891"/>
      <w:bookmarkStart w:id="515" w:name="_Toc151193863"/>
      <w:bookmarkStart w:id="516" w:name="_Toc127151549"/>
      <w:bookmarkStart w:id="517" w:name="_Toc164608663"/>
      <w:bookmarkStart w:id="518" w:name="_Toc150774754"/>
      <w:bookmarkStart w:id="519" w:name="_Toc149720842"/>
      <w:bookmarkStart w:id="520" w:name="_Toc127161463"/>
      <w:bookmarkStart w:id="521" w:name="_Toc226309793"/>
      <w:bookmarkStart w:id="522" w:name="_Toc150509300"/>
      <w:bookmarkStart w:id="523" w:name="_Toc151193719"/>
      <w:bookmarkStart w:id="524" w:name="_Toc150774649"/>
      <w:bookmarkStart w:id="525" w:name="_Toc164229390"/>
      <w:bookmarkStart w:id="526" w:name="_Toc226965822"/>
      <w:bookmarkStart w:id="527" w:name="_Toc164229244"/>
      <w:bookmarkStart w:id="528" w:name="_Toc164351643"/>
      <w:bookmarkStart w:id="529" w:name="_Toc264969239"/>
      <w:bookmarkStart w:id="530" w:name="_Toc164608818"/>
      <w:bookmarkStart w:id="531" w:name="_Toc150480787"/>
      <w:bookmarkStart w:id="532" w:name="_Toc127151750"/>
      <w:bookmarkStart w:id="533" w:name="_Toc142311051"/>
      <w:bookmarkStart w:id="534" w:name="_Toc151193937"/>
      <w:bookmarkStart w:id="535" w:name="_Toc151190176"/>
      <w:bookmarkStart w:id="536" w:name="_Toc151193647"/>
      <w:bookmarkStart w:id="537" w:name="_Toc265228387"/>
      <w:bookmarkStart w:id="538" w:name="_Toc151193791"/>
      <w:bookmarkStart w:id="539" w:name="_Toc226337245"/>
      <w:bookmarkStart w:id="540" w:name="_Toc226965739"/>
      <w:bookmarkStart w:id="541" w:name="_Toc195842914"/>
      <w:bookmarkStart w:id="542" w:name="_Ref467306425"/>
      <w:bookmarkStart w:id="543" w:name="_Toc520356176"/>
      <w:bookmarkStart w:id="544" w:name="_Ref467307090"/>
      <w:r>
        <w:rPr>
          <w:rFonts w:ascii="宋体" w:hAnsi="宋体"/>
          <w:color w:val="000000"/>
          <w:sz w:val="24"/>
        </w:rPr>
        <w:t>成交公告与成交通知书</w:t>
      </w:r>
      <w:bookmarkEnd w:id="513"/>
      <w:bookmarkEnd w:id="514"/>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采购人或采购代理机构将</w:t>
      </w:r>
      <w:r>
        <w:rPr>
          <w:rFonts w:ascii="宋体" w:hAnsi="宋体"/>
          <w:color w:val="000000"/>
          <w:kern w:val="0"/>
          <w:sz w:val="24"/>
        </w:rPr>
        <w:t>在成交</w:t>
      </w:r>
      <w:r>
        <w:rPr>
          <w:rFonts w:hint="eastAsia" w:ascii="宋体" w:hAnsi="宋体"/>
          <w:color w:val="000000"/>
          <w:kern w:val="0"/>
          <w:sz w:val="24"/>
        </w:rPr>
        <w:t>供应商</w:t>
      </w:r>
      <w:r>
        <w:rPr>
          <w:rFonts w:ascii="宋体" w:hAnsi="宋体"/>
          <w:color w:val="000000"/>
          <w:kern w:val="0"/>
          <w:sz w:val="24"/>
        </w:rPr>
        <w:t>确定后2个工作日内，在</w:t>
      </w:r>
      <w:r>
        <w:rPr>
          <w:rFonts w:hint="eastAsia" w:ascii="宋体" w:hAnsi="宋体"/>
          <w:color w:val="000000"/>
          <w:sz w:val="24"/>
        </w:rPr>
        <w:t>北京市政府采购网</w:t>
      </w:r>
      <w:r>
        <w:rPr>
          <w:rFonts w:ascii="宋体" w:hAnsi="宋体"/>
          <w:color w:val="000000"/>
          <w:kern w:val="0"/>
          <w:sz w:val="24"/>
        </w:rPr>
        <w:t>公告成交结果，同时向成交</w:t>
      </w:r>
      <w:r>
        <w:rPr>
          <w:rFonts w:hint="eastAsia" w:ascii="宋体" w:hAnsi="宋体"/>
          <w:color w:val="000000"/>
          <w:kern w:val="0"/>
          <w:sz w:val="24"/>
        </w:rPr>
        <w:t>供应商</w:t>
      </w:r>
      <w:r>
        <w:rPr>
          <w:rFonts w:ascii="宋体" w:hAnsi="宋体"/>
          <w:color w:val="000000"/>
          <w:kern w:val="0"/>
          <w:sz w:val="24"/>
        </w:rPr>
        <w:t>发出成交通知书，</w:t>
      </w:r>
      <w:r>
        <w:rPr>
          <w:rFonts w:ascii="宋体" w:hAnsi="宋体"/>
          <w:color w:val="000000"/>
          <w:sz w:val="24"/>
        </w:rPr>
        <w:t>成交公告期限为1个工作日。</w:t>
      </w:r>
    </w:p>
    <w:p>
      <w:pPr>
        <w:numPr>
          <w:ilvl w:val="1"/>
          <w:numId w:val="1"/>
        </w:numPr>
        <w:tabs>
          <w:tab w:val="left" w:pos="1080"/>
          <w:tab w:val="left" w:pos="1589"/>
          <w:tab w:val="left" w:pos="2014"/>
        </w:tabs>
        <w:snapToGrid w:val="0"/>
        <w:spacing w:line="360" w:lineRule="auto"/>
        <w:ind w:left="1080" w:hanging="720"/>
        <w:rPr>
          <w:rFonts w:ascii="宋体" w:hAnsi="宋体"/>
          <w:color w:val="000000"/>
          <w:sz w:val="24"/>
        </w:rPr>
      </w:pPr>
      <w:r>
        <w:rPr>
          <w:rFonts w:hint="eastAsia" w:ascii="宋体" w:hAnsi="宋体"/>
          <w:color w:val="000000"/>
          <w:sz w:val="24"/>
        </w:rPr>
        <w:t>成交通知书对采购人和成交供应商均具有法律效力。成交通知书发出后，采购人改变成交结果的，或者成交供应商放弃成交项目的，应当依法承担法律责任。</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终止</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出现下列情形之一的，采购人或采购代理机构将终止竞争性磋商采购活动，发布项目终止公告并说明原因，重新开展采购活动：</w:t>
      </w:r>
    </w:p>
    <w:p>
      <w:pPr>
        <w:numPr>
          <w:ilvl w:val="2"/>
          <w:numId w:val="1"/>
        </w:numPr>
        <w:snapToGrid w:val="0"/>
        <w:spacing w:line="360" w:lineRule="auto"/>
        <w:rPr>
          <w:rFonts w:ascii="宋体" w:hAnsi="宋体"/>
          <w:color w:val="000000"/>
          <w:sz w:val="24"/>
        </w:rPr>
      </w:pPr>
      <w:r>
        <w:rPr>
          <w:rFonts w:ascii="宋体" w:hAnsi="宋体"/>
          <w:color w:val="000000"/>
          <w:sz w:val="24"/>
        </w:rPr>
        <w:t>因情况变化，不再符合规定的竞争性磋商采购方式适用情形的；</w:t>
      </w:r>
    </w:p>
    <w:p>
      <w:pPr>
        <w:numPr>
          <w:ilvl w:val="2"/>
          <w:numId w:val="1"/>
        </w:numPr>
        <w:snapToGrid w:val="0"/>
        <w:spacing w:line="360" w:lineRule="auto"/>
        <w:rPr>
          <w:rFonts w:ascii="宋体" w:hAnsi="宋体"/>
          <w:color w:val="000000"/>
          <w:sz w:val="24"/>
        </w:rPr>
      </w:pPr>
      <w:r>
        <w:rPr>
          <w:rFonts w:ascii="宋体" w:hAnsi="宋体"/>
          <w:color w:val="000000"/>
          <w:sz w:val="24"/>
        </w:rPr>
        <w:t>出现影响采购公正的违法、违规行为的；</w:t>
      </w:r>
    </w:p>
    <w:p>
      <w:pPr>
        <w:numPr>
          <w:ilvl w:val="2"/>
          <w:numId w:val="1"/>
        </w:numPr>
        <w:snapToGrid w:val="0"/>
        <w:spacing w:line="360" w:lineRule="auto"/>
        <w:rPr>
          <w:rFonts w:ascii="宋体" w:hAnsi="宋体"/>
          <w:color w:val="000000"/>
          <w:sz w:val="24"/>
        </w:rPr>
      </w:pPr>
      <w:r>
        <w:rPr>
          <w:rFonts w:ascii="宋体" w:hAnsi="宋体"/>
          <w:snapToGrid w:val="0"/>
          <w:color w:val="00000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Pr>
        <w:numPr>
          <w:ilvl w:val="0"/>
          <w:numId w:val="1"/>
        </w:numPr>
        <w:tabs>
          <w:tab w:val="left" w:pos="360"/>
        </w:tabs>
        <w:snapToGrid w:val="0"/>
        <w:spacing w:line="360" w:lineRule="auto"/>
        <w:ind w:left="357" w:hanging="357"/>
        <w:outlineLvl w:val="1"/>
        <w:rPr>
          <w:rFonts w:ascii="宋体" w:hAnsi="宋体"/>
          <w:color w:val="000000"/>
          <w:sz w:val="24"/>
        </w:rPr>
      </w:pPr>
      <w:bookmarkStart w:id="545" w:name="_Toc520356175"/>
      <w:bookmarkStart w:id="546" w:name="_Toc127161464"/>
      <w:bookmarkStart w:id="547" w:name="_Toc164608664"/>
      <w:bookmarkStart w:id="548" w:name="_Toc226309794"/>
      <w:bookmarkStart w:id="549" w:name="_Toc150509301"/>
      <w:bookmarkStart w:id="550" w:name="_Toc264969240"/>
      <w:bookmarkStart w:id="551" w:name="_Toc150774650"/>
      <w:bookmarkStart w:id="552" w:name="_Toc127151751"/>
      <w:bookmarkStart w:id="553" w:name="_Toc164229391"/>
      <w:bookmarkStart w:id="554" w:name="_Toc150480788"/>
      <w:bookmarkStart w:id="555" w:name="_Toc151190177"/>
      <w:bookmarkStart w:id="556" w:name="_Toc305158818"/>
      <w:bookmarkStart w:id="557" w:name="_Toc226965823"/>
      <w:bookmarkStart w:id="558" w:name="_Toc127151550"/>
      <w:bookmarkStart w:id="559" w:name="_Toc226965740"/>
      <w:bookmarkStart w:id="560" w:name="_Toc265228388"/>
      <w:bookmarkStart w:id="561" w:name="_Toc164351644"/>
      <w:bookmarkStart w:id="562" w:name="_Toc164608819"/>
      <w:bookmarkStart w:id="563" w:name="_Toc150774755"/>
      <w:bookmarkStart w:id="564" w:name="_Toc151193864"/>
      <w:bookmarkStart w:id="565" w:name="_Toc151193720"/>
      <w:bookmarkStart w:id="566" w:name="_Toc149720843"/>
      <w:bookmarkStart w:id="567" w:name="_Toc142311052"/>
      <w:bookmarkStart w:id="568" w:name="_Toc151193792"/>
      <w:bookmarkStart w:id="569" w:name="_Ref467307062"/>
      <w:bookmarkStart w:id="570" w:name="_Ref467306978"/>
      <w:bookmarkStart w:id="571" w:name="_Toc151193938"/>
      <w:bookmarkStart w:id="572" w:name="_Toc164229245"/>
      <w:bookmarkStart w:id="573" w:name="_Toc151193648"/>
      <w:bookmarkStart w:id="574" w:name="_Ref467307204"/>
      <w:bookmarkStart w:id="575" w:name="_Toc226337246"/>
      <w:bookmarkStart w:id="576" w:name="_Ref467306377"/>
      <w:bookmarkStart w:id="577" w:name="_Toc305158892"/>
      <w:bookmarkStart w:id="578" w:name="_Toc195842915"/>
      <w:r>
        <w:rPr>
          <w:rFonts w:ascii="宋体" w:hAnsi="宋体"/>
          <w:color w:val="000000"/>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采购人与成交</w:t>
      </w:r>
      <w:r>
        <w:rPr>
          <w:rFonts w:hint="eastAsia" w:ascii="宋体" w:hAnsi="宋体"/>
          <w:color w:val="000000"/>
          <w:sz w:val="24"/>
        </w:rPr>
        <w:t>供应商应当</w:t>
      </w:r>
      <w:r>
        <w:rPr>
          <w:rFonts w:ascii="宋体" w:hAnsi="宋体"/>
          <w:color w:val="000000"/>
          <w:sz w:val="24"/>
        </w:rPr>
        <w:t>在成交通知书发出之日起30日内，按照磋商文件确定的合同文本以及采购标的、规格型号、采购金额、采购数量、技术和服务要求等事项签订政府采购合同。</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bookmarkStart w:id="579" w:name="_Hlk145431536"/>
      <w:r>
        <w:rPr>
          <w:rFonts w:ascii="宋体" w:hAnsi="宋体"/>
          <w:color w:val="000000"/>
          <w:sz w:val="24"/>
        </w:rPr>
        <w:t>成交</w:t>
      </w:r>
      <w:r>
        <w:rPr>
          <w:rFonts w:hint="eastAsia" w:ascii="宋体" w:hAnsi="宋体"/>
          <w:color w:val="000000"/>
          <w:sz w:val="24"/>
        </w:rPr>
        <w:t>供</w:t>
      </w:r>
      <w:bookmarkEnd w:id="579"/>
      <w:r>
        <w:rPr>
          <w:rFonts w:hint="eastAsia" w:ascii="宋体" w:hAnsi="宋体"/>
          <w:color w:val="000000"/>
          <w:sz w:val="24"/>
        </w:rPr>
        <w:t>应商</w:t>
      </w:r>
      <w:r>
        <w:rPr>
          <w:rFonts w:ascii="宋体" w:hAnsi="宋体"/>
          <w:color w:val="000000"/>
          <w:sz w:val="24"/>
        </w:rPr>
        <w:t>拒绝签订政府采购合同的，采购人可以按照评审报告推荐的成交候选人名单排序，确定下一候选人为成交</w:t>
      </w:r>
      <w:r>
        <w:rPr>
          <w:rFonts w:hint="eastAsia" w:ascii="宋体" w:hAnsi="宋体"/>
          <w:color w:val="000000"/>
          <w:sz w:val="24"/>
        </w:rPr>
        <w:t>供应商</w:t>
      </w:r>
      <w:r>
        <w:rPr>
          <w:rFonts w:ascii="宋体" w:hAnsi="宋体"/>
          <w:color w:val="000000"/>
          <w:sz w:val="24"/>
        </w:rPr>
        <w:t>，也可以重新开展采购活动。拒绝签订政府采购合同的成交</w:t>
      </w:r>
      <w:r>
        <w:rPr>
          <w:rFonts w:hint="eastAsia" w:ascii="宋体" w:hAnsi="宋体"/>
          <w:color w:val="000000"/>
          <w:sz w:val="24"/>
        </w:rPr>
        <w:t>供应商</w:t>
      </w:r>
      <w:r>
        <w:rPr>
          <w:rFonts w:ascii="宋体" w:hAnsi="宋体"/>
          <w:color w:val="000000"/>
          <w:sz w:val="24"/>
        </w:rPr>
        <w:t>不得参加对该项目重新开展的采购活动。</w:t>
      </w:r>
    </w:p>
    <w:p>
      <w:pPr>
        <w:numPr>
          <w:ilvl w:val="1"/>
          <w:numId w:val="1"/>
        </w:numPr>
        <w:tabs>
          <w:tab w:val="left" w:pos="1080"/>
          <w:tab w:val="left" w:pos="1589"/>
          <w:tab w:val="left" w:pos="2014"/>
        </w:tabs>
        <w:snapToGrid w:val="0"/>
        <w:spacing w:line="360" w:lineRule="auto"/>
        <w:rPr>
          <w:rFonts w:ascii="宋体" w:hAnsi="宋体"/>
          <w:color w:val="000000"/>
          <w:sz w:val="24"/>
        </w:rPr>
      </w:pPr>
      <w:r>
        <w:rPr>
          <w:rFonts w:hint="eastAsia" w:ascii="宋体" w:hAnsi="宋体"/>
          <w:color w:val="000000"/>
          <w:sz w:val="24"/>
        </w:rPr>
        <w:t>联合体成交的，联合体各方应当共同与采购人签订合同，就采购合同约定的事项向采购人承担连带责任</w:t>
      </w:r>
      <w:r>
        <w:rPr>
          <w:rFonts w:ascii="宋体" w:hAnsi="宋体"/>
          <w:color w:val="000000"/>
          <w:sz w:val="24"/>
        </w:rPr>
        <w:t>。</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政府采购合同不能转包。</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采购人允许采用分包方式履行合同的，成交供应商可以依法采取分包方式履行合同。本项目</w:t>
      </w:r>
      <w:r>
        <w:rPr>
          <w:rFonts w:hint="eastAsia" w:ascii="宋体" w:hAnsi="宋体"/>
          <w:color w:val="000000"/>
          <w:sz w:val="24"/>
        </w:rPr>
        <w:t>是</w:t>
      </w:r>
      <w:r>
        <w:rPr>
          <w:rFonts w:ascii="宋体" w:hAnsi="宋体"/>
          <w:color w:val="000000"/>
          <w:sz w:val="24"/>
        </w:rPr>
        <w:t>否允许分包，见《供应商须知资料表》。政府采购合同分包履行的，应当在响应文件中载明分包承担主体，分包承担主体应当具备相应资质条件且不得再次分包，</w:t>
      </w:r>
      <w:r>
        <w:rPr>
          <w:rFonts w:ascii="宋体" w:hAnsi="宋体"/>
          <w:b/>
          <w:color w:val="000000"/>
          <w:sz w:val="24"/>
        </w:rPr>
        <w:t>否则响应无效</w:t>
      </w:r>
      <w:r>
        <w:rPr>
          <w:rFonts w:ascii="宋体" w:hAnsi="宋体"/>
          <w:color w:val="000000"/>
          <w:sz w:val="24"/>
        </w:rPr>
        <w:t>。成交供应商就采购项目和分包项目向采购人负责，分包供应商就分包项目承担责任。</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“政采贷”融资指引：详见《供应商须知资料表》</w:t>
      </w:r>
      <w:r>
        <w:rPr>
          <w:rFonts w:hint="eastAsia" w:ascii="宋体" w:hAnsi="宋体"/>
          <w:color w:val="000000"/>
          <w:sz w:val="24"/>
        </w:rPr>
        <w:t>。</w:t>
      </w:r>
    </w:p>
    <w:bookmarkEnd w:id="542"/>
    <w:bookmarkEnd w:id="543"/>
    <w:bookmarkEnd w:id="544"/>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询问与质疑</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询问</w:t>
      </w:r>
    </w:p>
    <w:p>
      <w:pPr>
        <w:numPr>
          <w:ilvl w:val="2"/>
          <w:numId w:val="1"/>
        </w:numPr>
        <w:snapToGrid w:val="0"/>
        <w:spacing w:line="360" w:lineRule="auto"/>
        <w:rPr>
          <w:rFonts w:ascii="宋体" w:hAnsi="宋体"/>
          <w:color w:val="000000"/>
          <w:sz w:val="24"/>
        </w:rPr>
      </w:pPr>
      <w:r>
        <w:rPr>
          <w:rFonts w:ascii="宋体" w:hAnsi="宋体"/>
          <w:color w:val="000000"/>
          <w:sz w:val="24"/>
        </w:rPr>
        <w:t>供应商对政府采购活动事项有疑问的，可依法提出询问，并按《供应商须知资料表》载明的形式送达采购人或采购代理机构。</w:t>
      </w:r>
    </w:p>
    <w:p>
      <w:pPr>
        <w:numPr>
          <w:ilvl w:val="2"/>
          <w:numId w:val="1"/>
        </w:numPr>
        <w:snapToGrid w:val="0"/>
        <w:spacing w:line="360" w:lineRule="auto"/>
        <w:rPr>
          <w:rFonts w:ascii="宋体" w:hAnsi="宋体"/>
          <w:color w:val="000000"/>
          <w:sz w:val="24"/>
        </w:rPr>
      </w:pPr>
      <w:r>
        <w:rPr>
          <w:rFonts w:ascii="宋体" w:hAnsi="宋体"/>
          <w:color w:val="000000"/>
          <w:sz w:val="24"/>
        </w:rPr>
        <w:t>采购人或采购代理机构对供应商依法提出的询问，在3个工作日内作出答复，但答复的内容不得涉及商业秘密。</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质疑</w:t>
      </w:r>
    </w:p>
    <w:p>
      <w:pPr>
        <w:numPr>
          <w:ilvl w:val="2"/>
          <w:numId w:val="1"/>
        </w:numPr>
        <w:snapToGrid w:val="0"/>
        <w:spacing w:line="360" w:lineRule="auto"/>
        <w:rPr>
          <w:rFonts w:ascii="宋体" w:hAnsi="宋体"/>
          <w:color w:val="000000"/>
          <w:sz w:val="24"/>
        </w:rPr>
      </w:pPr>
      <w:r>
        <w:rPr>
          <w:rFonts w:ascii="宋体" w:hAnsi="宋体"/>
          <w:color w:val="000000"/>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snapToGrid w:val="0"/>
        <w:spacing w:line="360" w:lineRule="auto"/>
        <w:rPr>
          <w:rFonts w:ascii="宋体" w:hAnsi="宋体"/>
          <w:color w:val="000000"/>
          <w:sz w:val="24"/>
        </w:rPr>
      </w:pPr>
      <w:r>
        <w:rPr>
          <w:rFonts w:hint="eastAsia" w:ascii="宋体" w:hAnsi="宋体"/>
          <w:color w:val="000000"/>
          <w:sz w:val="24"/>
        </w:rPr>
        <w:t>质疑函须使用财政部制定的范本文件。供应商为自然人的，质疑函应当由本人签字；供应商为法人或者其他组织的，质疑函应当由法定代表人、主要负责人，或者其授权代表签字或者盖章，并加盖公章</w:t>
      </w:r>
      <w:r>
        <w:rPr>
          <w:rFonts w:ascii="宋体" w:hAnsi="宋体"/>
          <w:color w:val="000000"/>
          <w:sz w:val="24"/>
        </w:rPr>
        <w:t>。</w:t>
      </w:r>
    </w:p>
    <w:p>
      <w:pPr>
        <w:numPr>
          <w:ilvl w:val="2"/>
          <w:numId w:val="1"/>
        </w:numPr>
        <w:snapToGrid w:val="0"/>
        <w:spacing w:line="360" w:lineRule="auto"/>
        <w:rPr>
          <w:rFonts w:ascii="宋体" w:hAnsi="宋体"/>
          <w:color w:val="000000"/>
          <w:sz w:val="24"/>
        </w:rPr>
      </w:pPr>
      <w:r>
        <w:rPr>
          <w:rFonts w:hint="eastAsia" w:ascii="宋体" w:hAnsi="宋体"/>
          <w:color w:val="000000"/>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color w:val="000000"/>
          <w:sz w:val="24"/>
        </w:rPr>
        <w:t>。</w:t>
      </w:r>
    </w:p>
    <w:p>
      <w:pPr>
        <w:numPr>
          <w:ilvl w:val="2"/>
          <w:numId w:val="1"/>
        </w:numPr>
        <w:snapToGrid w:val="0"/>
        <w:spacing w:line="360" w:lineRule="auto"/>
        <w:rPr>
          <w:rFonts w:ascii="宋体" w:hAnsi="宋体"/>
          <w:color w:val="000000"/>
          <w:sz w:val="24"/>
        </w:rPr>
      </w:pPr>
      <w:r>
        <w:rPr>
          <w:rFonts w:ascii="宋体" w:hAnsi="宋体"/>
          <w:color w:val="000000"/>
          <w:sz w:val="24"/>
        </w:rPr>
        <w:t>供应商应在法定质疑期内一次性提出针对同一采购程序环节的质疑，法定质疑期内针对同一采购程序环节再次提出的质疑，采购人、采购代理机构有权不予答复。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接收询问和质疑的联系部门、联系电话和通讯地址见《供应商须知资料表》</w:t>
      </w:r>
      <w:r>
        <w:rPr>
          <w:rFonts w:hint="eastAsia" w:ascii="宋体" w:hAnsi="宋体"/>
          <w:color w:val="000000"/>
          <w:sz w:val="24"/>
        </w:rPr>
        <w:t>。</w:t>
      </w:r>
    </w:p>
    <w:p>
      <w:pPr>
        <w:numPr>
          <w:ilvl w:val="0"/>
          <w:numId w:val="1"/>
        </w:numPr>
        <w:tabs>
          <w:tab w:val="left" w:pos="360"/>
        </w:tabs>
        <w:snapToGrid w:val="0"/>
        <w:spacing w:line="360" w:lineRule="auto"/>
        <w:ind w:left="357" w:hanging="357"/>
        <w:outlineLvl w:val="1"/>
        <w:rPr>
          <w:rFonts w:ascii="宋体" w:hAnsi="宋体"/>
          <w:color w:val="000000"/>
          <w:sz w:val="24"/>
        </w:rPr>
      </w:pPr>
      <w:r>
        <w:rPr>
          <w:rFonts w:ascii="宋体" w:hAnsi="宋体"/>
          <w:color w:val="000000"/>
          <w:sz w:val="24"/>
        </w:rPr>
        <w:t>代理费</w:t>
      </w:r>
    </w:p>
    <w:p>
      <w:pPr>
        <w:numPr>
          <w:ilvl w:val="1"/>
          <w:numId w:val="1"/>
        </w:numPr>
        <w:tabs>
          <w:tab w:val="left" w:pos="1080"/>
          <w:tab w:val="left" w:pos="1589"/>
          <w:tab w:val="left" w:pos="2014"/>
        </w:tabs>
        <w:snapToGrid w:val="0"/>
        <w:spacing w:line="360" w:lineRule="auto"/>
        <w:ind w:left="1077" w:hanging="720"/>
        <w:rPr>
          <w:rFonts w:ascii="宋体" w:hAnsi="宋体"/>
          <w:color w:val="000000"/>
          <w:sz w:val="24"/>
        </w:rPr>
      </w:pPr>
      <w:r>
        <w:rPr>
          <w:rFonts w:ascii="宋体" w:hAnsi="宋体"/>
          <w:color w:val="000000"/>
          <w:sz w:val="24"/>
        </w:rPr>
        <w:t>收费对象、收费标准及缴纳时间见《供应商须知资料表》。由成交供应商支付的，成交供应商须一次性向采购代理机构缴纳代理费，报价应包含代理费用。</w:t>
      </w:r>
    </w:p>
    <w:p>
      <w:pPr>
        <w:spacing w:line="360" w:lineRule="auto"/>
        <w:jc w:val="center"/>
        <w:outlineLvl w:val="0"/>
        <w:rPr>
          <w:rFonts w:ascii="宋体" w:hAnsi="宋体"/>
          <w:b/>
          <w:color w:val="000000"/>
          <w:sz w:val="36"/>
          <w:szCs w:val="36"/>
        </w:rPr>
      </w:pPr>
      <w:bookmarkStart w:id="580" w:name="_Toc353873934"/>
      <w:bookmarkStart w:id="581" w:name="_Toc226965827"/>
      <w:bookmarkStart w:id="582" w:name="_Toc265228392"/>
      <w:bookmarkStart w:id="583" w:name="_Toc150480792"/>
      <w:bookmarkStart w:id="584" w:name="_Toc305158822"/>
      <w:bookmarkStart w:id="585" w:name="_Toc142311056"/>
      <w:bookmarkStart w:id="586" w:name="_Toc264969244"/>
      <w:bookmarkStart w:id="587" w:name="_Toc305158896"/>
      <w:bookmarkStart w:id="588" w:name="_Toc150774759"/>
      <w:bookmarkStart w:id="589" w:name="_Toc226337250"/>
      <w:bookmarkStart w:id="590" w:name="_Toc353825544"/>
      <w:bookmarkStart w:id="591" w:name="_Toc353873664"/>
      <w:bookmarkStart w:id="592" w:name="_Toc127151554"/>
      <w:r>
        <w:rPr>
          <w:rFonts w:ascii="宋体" w:hAnsi="宋体"/>
          <w:color w:val="000000"/>
          <w:sz w:val="24"/>
        </w:rPr>
        <w:br w:type="page"/>
      </w:r>
      <w:bookmarkStart w:id="593" w:name="_Toc226018953"/>
      <w:r>
        <w:rPr>
          <w:rFonts w:ascii="宋体" w:hAnsi="宋体"/>
          <w:b/>
          <w:color w:val="000000"/>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ascii="宋体" w:hAnsi="宋体"/>
          <w:b/>
          <w:color w:val="000000"/>
          <w:sz w:val="36"/>
          <w:szCs w:val="36"/>
        </w:rPr>
        <w:t>评审方法和评审标准</w:t>
      </w:r>
      <w:bookmarkEnd w:id="593"/>
      <w:bookmarkStart w:id="594" w:name="_Toc487900382"/>
    </w:p>
    <w:p>
      <w:pPr>
        <w:pStyle w:val="3"/>
        <w:spacing w:before="0" w:line="360" w:lineRule="auto"/>
        <w:rPr>
          <w:rFonts w:ascii="宋体" w:hAnsi="宋体" w:eastAsia="宋体"/>
          <w:color w:val="000000"/>
          <w:sz w:val="24"/>
          <w:szCs w:val="24"/>
        </w:rPr>
      </w:pPr>
      <w:r>
        <w:rPr>
          <w:rFonts w:ascii="宋体" w:hAnsi="宋体" w:eastAsia="宋体"/>
          <w:color w:val="000000"/>
          <w:sz w:val="24"/>
          <w:szCs w:val="24"/>
        </w:rPr>
        <w:t>一、资格审查程序</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p>
      <w:pPr>
        <w:numPr>
          <w:ilvl w:val="0"/>
          <w:numId w:val="2"/>
        </w:numPr>
        <w:tabs>
          <w:tab w:val="left" w:pos="360"/>
        </w:tabs>
        <w:snapToGrid w:val="0"/>
        <w:spacing w:line="360" w:lineRule="auto"/>
        <w:outlineLvl w:val="1"/>
        <w:rPr>
          <w:rFonts w:ascii="宋体" w:hAnsi="宋体"/>
          <w:color w:val="000000"/>
          <w:sz w:val="24"/>
        </w:rPr>
      </w:pPr>
      <w:bookmarkStart w:id="595" w:name="_Toc150774641"/>
      <w:bookmarkStart w:id="596" w:name="_Toc151193711"/>
      <w:bookmarkStart w:id="597" w:name="_Toc226965814"/>
      <w:bookmarkStart w:id="598" w:name="_Toc151190168"/>
      <w:bookmarkStart w:id="599" w:name="_Toc226965731"/>
      <w:bookmarkStart w:id="600" w:name="_Toc305158883"/>
      <w:bookmarkStart w:id="601" w:name="_Toc127161455"/>
      <w:bookmarkStart w:id="602" w:name="_Toc149720834"/>
      <w:bookmarkStart w:id="603" w:name="_Toc164229236"/>
      <w:bookmarkStart w:id="604" w:name="_Toc151193783"/>
      <w:bookmarkStart w:id="605" w:name="_Toc150480779"/>
      <w:bookmarkStart w:id="606" w:name="_Toc142311043"/>
      <w:bookmarkStart w:id="607" w:name="_Toc127151742"/>
      <w:bookmarkStart w:id="608" w:name="_Toc265228379"/>
      <w:bookmarkStart w:id="609" w:name="_Toc164608655"/>
      <w:bookmarkStart w:id="610" w:name="_Toc164608810"/>
      <w:bookmarkStart w:id="611" w:name="_Toc164229382"/>
      <w:bookmarkStart w:id="612" w:name="_Toc164351635"/>
      <w:bookmarkStart w:id="613" w:name="_Toc264969231"/>
      <w:bookmarkStart w:id="614" w:name="_Toc150509292"/>
      <w:bookmarkStart w:id="615" w:name="_Toc226309785"/>
      <w:bookmarkStart w:id="616" w:name="_Toc195842906"/>
      <w:bookmarkStart w:id="617" w:name="_Toc151193855"/>
      <w:bookmarkStart w:id="618" w:name="_Toc150774746"/>
      <w:bookmarkStart w:id="619" w:name="_Toc151193929"/>
      <w:bookmarkStart w:id="620" w:name="_Toc226337237"/>
      <w:bookmarkStart w:id="621" w:name="_Toc305158809"/>
      <w:bookmarkStart w:id="622" w:name="_Toc151193639"/>
      <w:bookmarkStart w:id="623" w:name="_Toc127151541"/>
      <w:bookmarkStart w:id="624" w:name="_Toc353873941"/>
      <w:bookmarkStart w:id="625" w:name="_Toc353825551"/>
      <w:bookmarkStart w:id="626" w:name="_Toc150774760"/>
      <w:bookmarkStart w:id="627" w:name="_Toc353825545"/>
      <w:bookmarkStart w:id="628" w:name="_Toc264969245"/>
      <w:bookmarkStart w:id="629" w:name="_Toc127151555"/>
      <w:bookmarkStart w:id="630" w:name="_Toc305158823"/>
      <w:bookmarkStart w:id="631" w:name="_Toc265228393"/>
      <w:bookmarkStart w:id="632" w:name="_Toc195842920"/>
      <w:bookmarkStart w:id="633" w:name="_Toc150480793"/>
      <w:bookmarkStart w:id="634" w:name="_Toc305158897"/>
      <w:bookmarkStart w:id="635" w:name="_Toc353873935"/>
      <w:bookmarkStart w:id="636" w:name="_Toc226965828"/>
      <w:bookmarkStart w:id="637" w:name="_Toc226337251"/>
      <w:bookmarkStart w:id="638" w:name="_Toc353873665"/>
      <w:bookmarkStart w:id="639" w:name="_Toc142311057"/>
      <w:r>
        <w:rPr>
          <w:rFonts w:ascii="宋体" w:hAnsi="宋体"/>
          <w:color w:val="000000"/>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宋体" w:hAnsi="宋体"/>
          <w:color w:val="000000"/>
          <w:sz w:val="24"/>
        </w:rPr>
        <w:t>资格审查和符合性审查</w:t>
      </w:r>
    </w:p>
    <w:p>
      <w:pPr>
        <w:numPr>
          <w:ilvl w:val="1"/>
          <w:numId w:val="2"/>
        </w:numPr>
        <w:tabs>
          <w:tab w:val="left" w:pos="1080"/>
        </w:tabs>
        <w:snapToGrid w:val="0"/>
        <w:spacing w:line="360" w:lineRule="auto"/>
        <w:ind w:left="1077" w:hanging="720"/>
        <w:rPr>
          <w:rFonts w:ascii="宋体" w:hAnsi="宋体"/>
          <w:color w:val="000000"/>
          <w:sz w:val="24"/>
        </w:rPr>
      </w:pPr>
      <w:r>
        <w:rPr>
          <w:rFonts w:ascii="宋体" w:hAnsi="宋体"/>
          <w:color w:val="000000"/>
          <w:sz w:val="24"/>
        </w:rPr>
        <w:t>磋商小组将根据《资格审查要求》和《符合</w:t>
      </w:r>
      <w:r>
        <w:rPr>
          <w:rFonts w:hint="eastAsia" w:ascii="宋体" w:hAnsi="宋体"/>
          <w:color w:val="000000"/>
          <w:sz w:val="24"/>
        </w:rPr>
        <w:t>性</w:t>
      </w:r>
      <w:r>
        <w:rPr>
          <w:rFonts w:ascii="宋体" w:hAnsi="宋体"/>
          <w:color w:val="000000"/>
          <w:sz w:val="24"/>
        </w:rPr>
        <w:t>审查要求》中规定的内容，对供应商进行检查，并形成检查结果。供应商《响应文件》有任何一项不符合《资格审查要求》和《符合</w:t>
      </w:r>
      <w:r>
        <w:rPr>
          <w:rFonts w:hint="eastAsia" w:ascii="宋体" w:hAnsi="宋体"/>
          <w:color w:val="000000"/>
          <w:sz w:val="24"/>
        </w:rPr>
        <w:t>性</w:t>
      </w:r>
      <w:r>
        <w:rPr>
          <w:rFonts w:ascii="宋体" w:hAnsi="宋体"/>
          <w:color w:val="000000"/>
          <w:sz w:val="24"/>
        </w:rPr>
        <w:t>审查要求》要求的，视为未实质性响应磋商文件。未实质性响应磋商文件的响应文件按</w:t>
      </w:r>
      <w:r>
        <w:rPr>
          <w:rFonts w:ascii="宋体" w:hAnsi="宋体"/>
          <w:b/>
          <w:color w:val="000000"/>
          <w:sz w:val="24"/>
        </w:rPr>
        <w:t>无效响应</w:t>
      </w:r>
      <w:r>
        <w:rPr>
          <w:rFonts w:ascii="宋体" w:hAnsi="宋体"/>
          <w:color w:val="000000"/>
          <w:sz w:val="24"/>
        </w:rPr>
        <w:t>处理，磋商小组应当告知提交响应文件的供应商。</w:t>
      </w:r>
    </w:p>
    <w:p>
      <w:pPr>
        <w:numPr>
          <w:ilvl w:val="1"/>
          <w:numId w:val="2"/>
        </w:numPr>
        <w:tabs>
          <w:tab w:val="left" w:pos="1080"/>
        </w:tabs>
        <w:snapToGrid w:val="0"/>
        <w:spacing w:line="360" w:lineRule="auto"/>
        <w:ind w:left="1077" w:hanging="720"/>
        <w:rPr>
          <w:rFonts w:ascii="宋体" w:hAnsi="宋体"/>
          <w:color w:val="000000"/>
          <w:sz w:val="24"/>
        </w:rPr>
      </w:pPr>
      <w:r>
        <w:rPr>
          <w:rFonts w:ascii="宋体" w:hAnsi="宋体"/>
          <w:color w:val="000000"/>
          <w:sz w:val="24"/>
        </w:rPr>
        <w:t>《资格审查要求》中对格式有要求的，除竞争性磋商文件另有规定外，均为“实质性格式”文件。</w:t>
      </w:r>
    </w:p>
    <w:p>
      <w:pPr>
        <w:numPr>
          <w:ilvl w:val="1"/>
          <w:numId w:val="2"/>
        </w:numPr>
        <w:tabs>
          <w:tab w:val="left" w:pos="1080"/>
        </w:tabs>
        <w:snapToGrid w:val="0"/>
        <w:spacing w:line="360" w:lineRule="auto"/>
        <w:ind w:left="1077" w:hanging="720"/>
        <w:rPr>
          <w:rFonts w:ascii="宋体" w:hAnsi="宋体"/>
          <w:color w:val="000000"/>
          <w:sz w:val="24"/>
        </w:rPr>
      </w:pPr>
      <w:r>
        <w:rPr>
          <w:rFonts w:ascii="宋体" w:hAnsi="宋体"/>
          <w:color w:val="000000"/>
          <w:sz w:val="24"/>
        </w:rPr>
        <w:t>《</w:t>
      </w:r>
      <w:bookmarkStart w:id="640" w:name="_Hlk145573408"/>
      <w:r>
        <w:rPr>
          <w:rFonts w:ascii="宋体" w:hAnsi="宋体"/>
          <w:color w:val="000000"/>
          <w:sz w:val="24"/>
        </w:rPr>
        <w:t>资格审查要求</w:t>
      </w:r>
      <w:bookmarkEnd w:id="640"/>
      <w:r>
        <w:rPr>
          <w:rFonts w:ascii="宋体" w:hAnsi="宋体"/>
          <w:color w:val="000000"/>
          <w:sz w:val="24"/>
        </w:rPr>
        <w:t>》见下表：</w:t>
      </w:r>
    </w:p>
    <w:p>
      <w:pPr>
        <w:tabs>
          <w:tab w:val="left" w:pos="900"/>
          <w:tab w:val="left" w:pos="1080"/>
        </w:tabs>
        <w:snapToGrid w:val="0"/>
        <w:spacing w:line="360" w:lineRule="auto"/>
        <w:ind w:left="1077" w:firstLine="2650" w:firstLineChars="1100"/>
        <w:rPr>
          <w:rFonts w:ascii="宋体" w:hAnsi="宋体"/>
          <w:b/>
          <w:color w:val="000000"/>
          <w:sz w:val="24"/>
        </w:rPr>
      </w:pPr>
      <w:r>
        <w:rPr>
          <w:rFonts w:hint="eastAsia" w:ascii="宋体" w:hAnsi="宋体"/>
          <w:b/>
          <w:color w:val="000000"/>
          <w:sz w:val="24"/>
        </w:rPr>
        <w:t>资格审查要求</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62"/>
        <w:gridCol w:w="4870"/>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blHeader/>
        </w:trPr>
        <w:tc>
          <w:tcPr>
            <w:tcW w:w="948" w:type="dxa"/>
            <w:vAlign w:val="center"/>
          </w:tcPr>
          <w:p>
            <w:pPr>
              <w:tabs>
                <w:tab w:val="left" w:pos="1080"/>
              </w:tabs>
              <w:snapToGrid w:val="0"/>
              <w:jc w:val="center"/>
              <w:rPr>
                <w:rFonts w:ascii="宋体" w:hAnsi="宋体"/>
                <w:b/>
                <w:color w:val="000000"/>
                <w:sz w:val="24"/>
              </w:rPr>
            </w:pPr>
            <w:bookmarkStart w:id="641" w:name="_Hlt487972895"/>
            <w:bookmarkEnd w:id="641"/>
            <w:r>
              <w:rPr>
                <w:rFonts w:ascii="宋体" w:hAnsi="宋体"/>
                <w:b/>
                <w:color w:val="000000"/>
                <w:sz w:val="24"/>
              </w:rPr>
              <w:t>序号</w:t>
            </w:r>
          </w:p>
        </w:tc>
        <w:tc>
          <w:tcPr>
            <w:tcW w:w="1562" w:type="dxa"/>
            <w:vAlign w:val="center"/>
          </w:tcPr>
          <w:p>
            <w:pPr>
              <w:tabs>
                <w:tab w:val="left" w:pos="1080"/>
              </w:tabs>
              <w:snapToGrid w:val="0"/>
              <w:jc w:val="center"/>
              <w:rPr>
                <w:rFonts w:ascii="宋体" w:hAnsi="宋体"/>
                <w:b/>
                <w:color w:val="000000"/>
                <w:sz w:val="24"/>
              </w:rPr>
            </w:pPr>
            <w:r>
              <w:rPr>
                <w:rFonts w:ascii="宋体" w:hAnsi="宋体"/>
                <w:b/>
                <w:color w:val="000000"/>
                <w:sz w:val="24"/>
              </w:rPr>
              <w:t>检查因素</w:t>
            </w:r>
          </w:p>
        </w:tc>
        <w:tc>
          <w:tcPr>
            <w:tcW w:w="4870" w:type="dxa"/>
            <w:vAlign w:val="center"/>
          </w:tcPr>
          <w:p>
            <w:pPr>
              <w:tabs>
                <w:tab w:val="left" w:pos="1080"/>
              </w:tabs>
              <w:snapToGrid w:val="0"/>
              <w:jc w:val="center"/>
              <w:rPr>
                <w:rFonts w:ascii="宋体" w:hAnsi="宋体"/>
                <w:b/>
                <w:color w:val="000000"/>
                <w:sz w:val="24"/>
              </w:rPr>
            </w:pPr>
            <w:r>
              <w:rPr>
                <w:rFonts w:ascii="宋体" w:hAnsi="宋体"/>
                <w:b/>
                <w:color w:val="000000"/>
                <w:sz w:val="24"/>
              </w:rPr>
              <w:t>检查内容</w:t>
            </w:r>
          </w:p>
        </w:tc>
        <w:tc>
          <w:tcPr>
            <w:tcW w:w="1681" w:type="dxa"/>
            <w:vAlign w:val="center"/>
          </w:tcPr>
          <w:p>
            <w:pPr>
              <w:tabs>
                <w:tab w:val="left" w:pos="1080"/>
              </w:tabs>
              <w:snapToGrid w:val="0"/>
              <w:jc w:val="center"/>
              <w:rPr>
                <w:rFonts w:ascii="宋体" w:hAnsi="宋体"/>
                <w:b/>
                <w:color w:val="000000"/>
                <w:sz w:val="24"/>
              </w:rPr>
            </w:pPr>
            <w:r>
              <w:rPr>
                <w:rFonts w:ascii="宋体" w:hAnsi="宋体"/>
                <w:b/>
                <w:color w:val="000000"/>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1</w:t>
            </w:r>
          </w:p>
        </w:tc>
        <w:tc>
          <w:tcPr>
            <w:tcW w:w="1562" w:type="dxa"/>
            <w:vAlign w:val="center"/>
          </w:tcPr>
          <w:p>
            <w:pPr>
              <w:tabs>
                <w:tab w:val="left" w:pos="1080"/>
              </w:tabs>
              <w:snapToGrid w:val="0"/>
              <w:jc w:val="left"/>
              <w:rPr>
                <w:rFonts w:ascii="宋体" w:hAnsi="宋体"/>
                <w:color w:val="000000"/>
                <w:sz w:val="24"/>
              </w:rPr>
            </w:pPr>
            <w:r>
              <w:rPr>
                <w:rFonts w:ascii="宋体" w:hAnsi="宋体"/>
                <w:color w:val="000000"/>
                <w:sz w:val="24"/>
              </w:rPr>
              <w:t>满足《中华人民共和国政府采购法》第二十二条规定</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具体规定见第一章《采购邀请》</w:t>
            </w:r>
          </w:p>
        </w:tc>
        <w:tc>
          <w:tcPr>
            <w:tcW w:w="1681" w:type="dxa"/>
            <w:vAlign w:val="center"/>
          </w:tcPr>
          <w:p>
            <w:pPr>
              <w:tabs>
                <w:tab w:val="left" w:pos="1080"/>
              </w:tabs>
              <w:snapToGrid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1-1</w:t>
            </w:r>
          </w:p>
        </w:tc>
        <w:tc>
          <w:tcPr>
            <w:tcW w:w="1562" w:type="dxa"/>
            <w:vAlign w:val="center"/>
          </w:tcPr>
          <w:p>
            <w:pPr>
              <w:tabs>
                <w:tab w:val="left" w:pos="1080"/>
              </w:tabs>
              <w:snapToGrid w:val="0"/>
              <w:jc w:val="left"/>
              <w:rPr>
                <w:rFonts w:ascii="宋体" w:hAnsi="宋体"/>
                <w:color w:val="000000"/>
                <w:sz w:val="24"/>
              </w:rPr>
            </w:pPr>
            <w:r>
              <w:rPr>
                <w:rFonts w:ascii="宋体" w:hAnsi="宋体"/>
                <w:color w:val="000000"/>
                <w:sz w:val="24"/>
              </w:rPr>
              <w:t>营业执照等证明文件</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供应商为企业（包括合伙企业）的，应提供有效的“营业执照”；</w:t>
            </w:r>
          </w:p>
          <w:p>
            <w:pPr>
              <w:tabs>
                <w:tab w:val="left" w:pos="1080"/>
              </w:tabs>
              <w:snapToGrid w:val="0"/>
              <w:jc w:val="left"/>
              <w:rPr>
                <w:rFonts w:ascii="宋体" w:hAnsi="宋体"/>
                <w:color w:val="000000"/>
                <w:sz w:val="24"/>
              </w:rPr>
            </w:pPr>
            <w:r>
              <w:rPr>
                <w:rFonts w:ascii="宋体" w:hAnsi="宋体"/>
                <w:color w:val="000000"/>
                <w:sz w:val="24"/>
              </w:rPr>
              <w:t>供应商为事业单位的，应提供有效的“事业单位法人证书”；</w:t>
            </w:r>
          </w:p>
          <w:p>
            <w:pPr>
              <w:tabs>
                <w:tab w:val="left" w:pos="1080"/>
              </w:tabs>
              <w:snapToGrid w:val="0"/>
              <w:jc w:val="left"/>
              <w:rPr>
                <w:rFonts w:ascii="宋体" w:hAnsi="宋体"/>
                <w:color w:val="000000"/>
                <w:sz w:val="24"/>
              </w:rPr>
            </w:pPr>
            <w:r>
              <w:rPr>
                <w:rFonts w:ascii="宋体" w:hAnsi="宋体"/>
                <w:color w:val="000000"/>
                <w:sz w:val="24"/>
              </w:rPr>
              <w:t>供应商</w:t>
            </w:r>
            <w:r>
              <w:rPr>
                <w:rFonts w:hint="eastAsia" w:ascii="宋体" w:hAnsi="宋体"/>
                <w:color w:val="000000"/>
                <w:sz w:val="24"/>
              </w:rPr>
              <w:t>是非企业机构的，应提供有效的“执业许可证”、“登记证书”等证明文件</w:t>
            </w:r>
            <w:r>
              <w:rPr>
                <w:rFonts w:ascii="宋体" w:hAnsi="宋体"/>
                <w:color w:val="000000"/>
                <w:sz w:val="24"/>
              </w:rPr>
              <w:t>；</w:t>
            </w:r>
          </w:p>
          <w:p>
            <w:pPr>
              <w:tabs>
                <w:tab w:val="left" w:pos="1080"/>
              </w:tabs>
              <w:snapToGrid w:val="0"/>
              <w:jc w:val="left"/>
              <w:rPr>
                <w:rFonts w:ascii="宋体" w:hAnsi="宋体"/>
                <w:color w:val="000000"/>
                <w:sz w:val="24"/>
              </w:rPr>
            </w:pPr>
            <w:r>
              <w:rPr>
                <w:rFonts w:ascii="宋体" w:hAnsi="宋体"/>
                <w:color w:val="000000"/>
                <w:sz w:val="24"/>
              </w:rPr>
              <w:t>供应商是个体工商户的，应提供有效的“个体工商户营业执照”；</w:t>
            </w:r>
          </w:p>
          <w:p>
            <w:pPr>
              <w:tabs>
                <w:tab w:val="left" w:pos="1080"/>
              </w:tabs>
              <w:snapToGrid w:val="0"/>
              <w:jc w:val="left"/>
              <w:rPr>
                <w:rFonts w:ascii="宋体" w:hAnsi="宋体"/>
                <w:color w:val="000000"/>
                <w:sz w:val="24"/>
              </w:rPr>
            </w:pPr>
            <w:r>
              <w:rPr>
                <w:rFonts w:ascii="宋体" w:hAnsi="宋体"/>
                <w:color w:val="000000"/>
                <w:sz w:val="24"/>
              </w:rPr>
              <w:t>供应商是自然人的，应提供有效的自然人身份证明。</w:t>
            </w:r>
          </w:p>
          <w:p>
            <w:pPr>
              <w:tabs>
                <w:tab w:val="left" w:pos="1080"/>
              </w:tabs>
              <w:snapToGrid w:val="0"/>
              <w:jc w:val="left"/>
              <w:rPr>
                <w:rFonts w:ascii="宋体" w:hAnsi="宋体"/>
                <w:color w:val="000000"/>
                <w:sz w:val="24"/>
              </w:rPr>
            </w:pPr>
            <w:r>
              <w:rPr>
                <w:rFonts w:hint="eastAsia" w:ascii="宋体" w:hAnsi="宋体"/>
                <w:color w:val="000000"/>
                <w:sz w:val="24"/>
              </w:rPr>
              <w:t>分支机构参加响应的，应提供该分支机构或其所属法人/其他组织的相应证明文件；同时还应提供其所属法人/其他组织出具的授权其参与本项目的授权书(格式自拟，须加盖其所属法人/其他组织的公章)；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1681" w:type="dxa"/>
            <w:vAlign w:val="center"/>
          </w:tcPr>
          <w:p>
            <w:pPr>
              <w:tabs>
                <w:tab w:val="left" w:pos="1080"/>
              </w:tabs>
              <w:snapToGrid w:val="0"/>
              <w:jc w:val="left"/>
              <w:rPr>
                <w:rFonts w:ascii="宋体" w:hAnsi="宋体"/>
                <w:color w:val="000000"/>
                <w:sz w:val="24"/>
              </w:rPr>
            </w:pPr>
            <w:r>
              <w:rPr>
                <w:rFonts w:hint="eastAsia" w:ascii="宋体" w:hAnsi="宋体"/>
                <w:color w:val="000000"/>
                <w:sz w:val="24"/>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1-2</w:t>
            </w:r>
          </w:p>
        </w:tc>
        <w:tc>
          <w:tcPr>
            <w:tcW w:w="1562" w:type="dxa"/>
            <w:vAlign w:val="center"/>
          </w:tcPr>
          <w:p>
            <w:pPr>
              <w:tabs>
                <w:tab w:val="left" w:pos="1080"/>
              </w:tabs>
              <w:snapToGrid w:val="0"/>
              <w:jc w:val="left"/>
              <w:rPr>
                <w:rFonts w:ascii="宋体" w:hAnsi="宋体"/>
                <w:color w:val="000000"/>
                <w:sz w:val="24"/>
              </w:rPr>
            </w:pPr>
            <w:r>
              <w:rPr>
                <w:rFonts w:ascii="宋体" w:hAnsi="宋体"/>
                <w:color w:val="000000"/>
                <w:sz w:val="24"/>
              </w:rPr>
              <w:t>供应商资格声明书</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提供了符合竞争性磋商文件要求的《供应商资格声明书》。</w:t>
            </w:r>
          </w:p>
        </w:tc>
        <w:tc>
          <w:tcPr>
            <w:tcW w:w="1681" w:type="dxa"/>
            <w:vAlign w:val="center"/>
          </w:tcPr>
          <w:p>
            <w:pPr>
              <w:tabs>
                <w:tab w:val="left" w:pos="1080"/>
              </w:tabs>
              <w:snapToGrid w:val="0"/>
              <w:jc w:val="left"/>
              <w:rPr>
                <w:rFonts w:ascii="宋体" w:hAnsi="宋体"/>
                <w:color w:val="000000"/>
                <w:sz w:val="24"/>
              </w:rPr>
            </w:pPr>
            <w:r>
              <w:rPr>
                <w:rFonts w:ascii="宋体" w:hAnsi="宋体"/>
                <w:color w:val="000000"/>
                <w:sz w:val="24"/>
              </w:rPr>
              <w:t>格式见《响应文件格式》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1-3</w:t>
            </w:r>
          </w:p>
        </w:tc>
        <w:tc>
          <w:tcPr>
            <w:tcW w:w="1562" w:type="dxa"/>
            <w:vAlign w:val="center"/>
          </w:tcPr>
          <w:p>
            <w:pPr>
              <w:tabs>
                <w:tab w:val="left" w:pos="1080"/>
              </w:tabs>
              <w:snapToGrid w:val="0"/>
              <w:rPr>
                <w:rFonts w:ascii="宋体" w:hAnsi="宋体"/>
                <w:color w:val="000000"/>
                <w:sz w:val="24"/>
              </w:rPr>
            </w:pPr>
            <w:r>
              <w:rPr>
                <w:rFonts w:ascii="宋体" w:hAnsi="宋体"/>
                <w:color w:val="000000"/>
                <w:sz w:val="24"/>
              </w:rPr>
              <w:t>供应商信用记录</w:t>
            </w:r>
          </w:p>
        </w:tc>
        <w:tc>
          <w:tcPr>
            <w:tcW w:w="4870" w:type="dxa"/>
            <w:vAlign w:val="center"/>
          </w:tcPr>
          <w:p>
            <w:pPr>
              <w:tabs>
                <w:tab w:val="left" w:pos="1080"/>
              </w:tabs>
              <w:snapToGrid w:val="0"/>
              <w:rPr>
                <w:rFonts w:ascii="宋体" w:hAnsi="宋体"/>
                <w:color w:val="000000"/>
                <w:sz w:val="24"/>
              </w:rPr>
            </w:pPr>
            <w:r>
              <w:rPr>
                <w:rFonts w:ascii="宋体" w:hAnsi="宋体"/>
                <w:color w:val="000000"/>
                <w:sz w:val="24"/>
              </w:rPr>
              <w:t>查询渠道：信用中国网站和中国政府采购网（</w:t>
            </w:r>
            <w:r>
              <w:rPr>
                <w:rFonts w:ascii="宋体" w:hAnsi="宋体"/>
                <w:color w:val="000000"/>
              </w:rPr>
              <w:t>www.creditchina.gov.cn</w:t>
            </w:r>
            <w:r>
              <w:rPr>
                <w:rFonts w:ascii="宋体" w:hAnsi="宋体"/>
                <w:color w:val="000000"/>
                <w:sz w:val="24"/>
              </w:rPr>
              <w:t>、</w:t>
            </w:r>
            <w:r>
              <w:rPr>
                <w:rFonts w:ascii="宋体" w:hAnsi="宋体"/>
                <w:color w:val="000000"/>
              </w:rPr>
              <w:t>www.ccgp.gov.cn</w:t>
            </w:r>
            <w:r>
              <w:rPr>
                <w:rFonts w:ascii="宋体" w:hAnsi="宋体"/>
                <w:color w:val="000000"/>
                <w:sz w:val="24"/>
              </w:rPr>
              <w:t>）；</w:t>
            </w:r>
          </w:p>
          <w:p>
            <w:pPr>
              <w:tabs>
                <w:tab w:val="left" w:pos="900"/>
                <w:tab w:val="left" w:pos="1980"/>
              </w:tabs>
              <w:snapToGrid w:val="0"/>
              <w:rPr>
                <w:rFonts w:ascii="宋体" w:hAnsi="宋体"/>
                <w:color w:val="000000"/>
                <w:sz w:val="24"/>
              </w:rPr>
            </w:pPr>
            <w:r>
              <w:rPr>
                <w:rFonts w:ascii="宋体" w:hAnsi="宋体"/>
                <w:color w:val="000000"/>
                <w:sz w:val="24"/>
              </w:rPr>
              <w:t>截止时点：</w:t>
            </w:r>
            <w:r>
              <w:rPr>
                <w:rFonts w:ascii="宋体" w:hAnsi="宋体"/>
                <w:color w:val="000000"/>
                <w:kern w:val="0"/>
                <w:sz w:val="24"/>
                <w:szCs w:val="20"/>
              </w:rPr>
              <w:t>首次响应文件提交截止时间以后</w:t>
            </w:r>
            <w:r>
              <w:rPr>
                <w:rFonts w:ascii="宋体" w:hAnsi="宋体"/>
                <w:color w:val="000000"/>
                <w:sz w:val="24"/>
              </w:rPr>
              <w:t>、资格</w:t>
            </w:r>
            <w:r>
              <w:rPr>
                <w:rFonts w:hint="eastAsia" w:ascii="宋体" w:hAnsi="宋体"/>
                <w:color w:val="000000"/>
                <w:sz w:val="24"/>
              </w:rPr>
              <w:t>审查</w:t>
            </w:r>
            <w:r>
              <w:rPr>
                <w:rFonts w:ascii="宋体" w:hAnsi="宋体"/>
                <w:color w:val="000000"/>
                <w:sz w:val="24"/>
              </w:rPr>
              <w:t>阶段采购人或采购代理机构的实际查询时间；</w:t>
            </w:r>
          </w:p>
          <w:p>
            <w:pPr>
              <w:tabs>
                <w:tab w:val="left" w:pos="900"/>
                <w:tab w:val="left" w:pos="1980"/>
              </w:tabs>
              <w:snapToGrid w:val="0"/>
              <w:rPr>
                <w:rFonts w:ascii="宋体" w:hAnsi="宋体"/>
                <w:color w:val="000000"/>
                <w:sz w:val="24"/>
              </w:rPr>
            </w:pPr>
            <w:r>
              <w:rPr>
                <w:rFonts w:ascii="宋体" w:hAnsi="宋体"/>
                <w:color w:val="000000"/>
                <w:sz w:val="24"/>
              </w:rPr>
              <w:t>信用信息查询记录和证据留存具体方式：查询结果网页打印页作为查询记录和证据，与其他竞争性磋商文件一并保存；</w:t>
            </w:r>
          </w:p>
          <w:p>
            <w:pPr>
              <w:tabs>
                <w:tab w:val="left" w:pos="1080"/>
              </w:tabs>
              <w:snapToGrid w:val="0"/>
              <w:rPr>
                <w:rFonts w:ascii="宋体" w:hAnsi="宋体"/>
                <w:color w:val="000000"/>
                <w:sz w:val="24"/>
              </w:rPr>
            </w:pPr>
            <w:r>
              <w:rPr>
                <w:rFonts w:ascii="宋体" w:hAnsi="宋体"/>
                <w:color w:val="000000"/>
                <w:sz w:val="24"/>
              </w:rPr>
              <w:t>信用信息的使用原则：</w:t>
            </w:r>
            <w:r>
              <w:rPr>
                <w:rFonts w:hint="eastAsia" w:ascii="宋体" w:hAnsi="宋体"/>
                <w:color w:val="000000"/>
                <w:sz w:val="24"/>
              </w:rPr>
              <w:t>经认定的被列入失信被执行人、重大税收违法案件当事人名单、政府采购严重违法失信行为记录名单的供应商</w:t>
            </w:r>
            <w:r>
              <w:rPr>
                <w:rFonts w:ascii="宋体" w:hAnsi="宋体"/>
                <w:color w:val="000000"/>
                <w:sz w:val="24"/>
              </w:rPr>
              <w:t>，其</w:t>
            </w:r>
            <w:r>
              <w:rPr>
                <w:rFonts w:ascii="宋体" w:hAnsi="宋体"/>
                <w:b/>
                <w:color w:val="000000"/>
                <w:sz w:val="24"/>
              </w:rPr>
              <w:t>响应无效</w:t>
            </w:r>
            <w:r>
              <w:rPr>
                <w:rFonts w:ascii="宋体" w:hAnsi="宋体"/>
                <w:color w:val="000000"/>
                <w:sz w:val="24"/>
              </w:rPr>
              <w:t>。</w:t>
            </w:r>
          </w:p>
        </w:tc>
        <w:tc>
          <w:tcPr>
            <w:tcW w:w="1681" w:type="dxa"/>
            <w:vAlign w:val="center"/>
          </w:tcPr>
          <w:p>
            <w:pPr>
              <w:tabs>
                <w:tab w:val="left" w:pos="1080"/>
              </w:tabs>
              <w:snapToGrid w:val="0"/>
              <w:rPr>
                <w:rFonts w:ascii="宋体" w:hAnsi="宋体"/>
                <w:color w:val="000000"/>
                <w:sz w:val="24"/>
              </w:rPr>
            </w:pPr>
            <w:r>
              <w:rPr>
                <w:rFonts w:ascii="宋体" w:hAnsi="宋体"/>
                <w:color w:val="000000"/>
                <w:sz w:val="24"/>
              </w:rPr>
              <w:t>无须供应商提供，由采购人或采购代理机构查询。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1-4</w:t>
            </w:r>
          </w:p>
        </w:tc>
        <w:tc>
          <w:tcPr>
            <w:tcW w:w="1562" w:type="dxa"/>
            <w:vAlign w:val="center"/>
          </w:tcPr>
          <w:p>
            <w:pPr>
              <w:tabs>
                <w:tab w:val="left" w:pos="1080"/>
              </w:tabs>
              <w:snapToGrid w:val="0"/>
              <w:jc w:val="left"/>
              <w:rPr>
                <w:rFonts w:ascii="宋体" w:hAnsi="宋体"/>
                <w:color w:val="000000"/>
                <w:sz w:val="24"/>
              </w:rPr>
            </w:pPr>
            <w:r>
              <w:rPr>
                <w:rFonts w:hint="eastAsia" w:ascii="宋体" w:hAnsi="宋体"/>
                <w:color w:val="000000"/>
                <w:sz w:val="24"/>
              </w:rPr>
              <w:t>法律、行政法规规定的其他条件</w:t>
            </w:r>
          </w:p>
        </w:tc>
        <w:tc>
          <w:tcPr>
            <w:tcW w:w="4870" w:type="dxa"/>
            <w:vAlign w:val="center"/>
          </w:tcPr>
          <w:p>
            <w:pPr>
              <w:tabs>
                <w:tab w:val="left" w:pos="1080"/>
              </w:tabs>
              <w:snapToGrid w:val="0"/>
              <w:jc w:val="left"/>
              <w:rPr>
                <w:rFonts w:ascii="宋体" w:hAnsi="宋体"/>
                <w:color w:val="000000"/>
                <w:sz w:val="24"/>
              </w:rPr>
            </w:pPr>
            <w:r>
              <w:rPr>
                <w:rFonts w:hint="eastAsia" w:ascii="宋体" w:hAnsi="宋体"/>
                <w:color w:val="000000"/>
                <w:sz w:val="24"/>
              </w:rPr>
              <w:t>法律、行政法规规定的其他条件</w:t>
            </w:r>
          </w:p>
        </w:tc>
        <w:tc>
          <w:tcPr>
            <w:tcW w:w="1681" w:type="dxa"/>
            <w:vAlign w:val="center"/>
          </w:tcPr>
          <w:p>
            <w:pPr>
              <w:tabs>
                <w:tab w:val="left" w:pos="1080"/>
              </w:tabs>
              <w:snapToGrid w:val="0"/>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2</w:t>
            </w:r>
          </w:p>
        </w:tc>
        <w:tc>
          <w:tcPr>
            <w:tcW w:w="1562" w:type="dxa"/>
            <w:vAlign w:val="center"/>
          </w:tcPr>
          <w:p>
            <w:pPr>
              <w:tabs>
                <w:tab w:val="left" w:pos="1080"/>
              </w:tabs>
              <w:snapToGrid w:val="0"/>
              <w:jc w:val="left"/>
              <w:rPr>
                <w:rFonts w:ascii="宋体" w:hAnsi="宋体"/>
                <w:color w:val="000000"/>
                <w:sz w:val="24"/>
              </w:rPr>
            </w:pPr>
            <w:r>
              <w:rPr>
                <w:rFonts w:ascii="宋体" w:hAnsi="宋体"/>
                <w:color w:val="000000"/>
                <w:sz w:val="24"/>
              </w:rPr>
              <w:t>落实政府采购政策需满足的资格要求</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具体要求见第一章《采购邀请》</w:t>
            </w:r>
          </w:p>
        </w:tc>
        <w:tc>
          <w:tcPr>
            <w:tcW w:w="1681" w:type="dxa"/>
            <w:vAlign w:val="center"/>
          </w:tcPr>
          <w:p>
            <w:pPr>
              <w:tabs>
                <w:tab w:val="left" w:pos="1080"/>
              </w:tabs>
              <w:snapToGrid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hint="eastAsia" w:ascii="宋体" w:hAnsi="宋体"/>
                <w:color w:val="000000"/>
                <w:sz w:val="24"/>
              </w:rPr>
              <w:t>2</w:t>
            </w:r>
            <w:r>
              <w:rPr>
                <w:rFonts w:ascii="宋体" w:hAnsi="宋体"/>
                <w:color w:val="000000"/>
                <w:sz w:val="24"/>
              </w:rPr>
              <w:t>-1</w:t>
            </w:r>
          </w:p>
        </w:tc>
        <w:tc>
          <w:tcPr>
            <w:tcW w:w="1562" w:type="dxa"/>
            <w:vAlign w:val="center"/>
          </w:tcPr>
          <w:p>
            <w:pPr>
              <w:tabs>
                <w:tab w:val="left" w:pos="1080"/>
              </w:tabs>
              <w:snapToGrid w:val="0"/>
              <w:jc w:val="left"/>
              <w:rPr>
                <w:rFonts w:ascii="宋体" w:hAnsi="宋体"/>
                <w:color w:val="000000"/>
                <w:sz w:val="24"/>
              </w:rPr>
            </w:pPr>
            <w:r>
              <w:rPr>
                <w:rFonts w:hint="eastAsia" w:ascii="宋体" w:hAnsi="宋体"/>
                <w:color w:val="000000"/>
                <w:sz w:val="24"/>
              </w:rPr>
              <w:t>中小企业政策</w:t>
            </w:r>
          </w:p>
        </w:tc>
        <w:tc>
          <w:tcPr>
            <w:tcW w:w="4870" w:type="dxa"/>
            <w:vAlign w:val="center"/>
          </w:tcPr>
          <w:p>
            <w:pPr>
              <w:tabs>
                <w:tab w:val="left" w:pos="1080"/>
              </w:tabs>
              <w:snapToGrid w:val="0"/>
              <w:jc w:val="left"/>
              <w:rPr>
                <w:rFonts w:ascii="宋体" w:hAnsi="宋体"/>
                <w:color w:val="000000"/>
                <w:sz w:val="24"/>
              </w:rPr>
            </w:pPr>
            <w:r>
              <w:rPr>
                <w:rFonts w:hint="eastAsia" w:ascii="宋体" w:hAnsi="宋体"/>
                <w:color w:val="000000"/>
                <w:sz w:val="24"/>
              </w:rPr>
              <w:t>具体要求见第一章《采购邀请》</w:t>
            </w:r>
          </w:p>
        </w:tc>
        <w:tc>
          <w:tcPr>
            <w:tcW w:w="1681" w:type="dxa"/>
            <w:vAlign w:val="center"/>
          </w:tcPr>
          <w:p>
            <w:pPr>
              <w:tabs>
                <w:tab w:val="left" w:pos="1080"/>
              </w:tabs>
              <w:snapToGrid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2-1-1</w:t>
            </w:r>
          </w:p>
        </w:tc>
        <w:tc>
          <w:tcPr>
            <w:tcW w:w="1562" w:type="dxa"/>
            <w:vAlign w:val="center"/>
          </w:tcPr>
          <w:p>
            <w:pPr>
              <w:tabs>
                <w:tab w:val="left" w:pos="1080"/>
              </w:tabs>
              <w:snapToGrid w:val="0"/>
              <w:jc w:val="left"/>
              <w:rPr>
                <w:rFonts w:ascii="宋体" w:hAnsi="宋体"/>
                <w:color w:val="000000"/>
                <w:sz w:val="24"/>
              </w:rPr>
            </w:pPr>
            <w:r>
              <w:rPr>
                <w:rFonts w:hint="eastAsia" w:ascii="宋体" w:hAnsi="宋体"/>
                <w:color w:val="000000"/>
                <w:sz w:val="24"/>
              </w:rPr>
              <w:t>中小企业证明文件</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 xml:space="preserve">当本项目涉及预留份额专门面向中小企业采购，提供如下资料： </w:t>
            </w:r>
          </w:p>
          <w:p>
            <w:pPr>
              <w:tabs>
                <w:tab w:val="left" w:pos="1080"/>
              </w:tabs>
              <w:snapToGrid w:val="0"/>
              <w:jc w:val="left"/>
              <w:rPr>
                <w:rFonts w:ascii="宋体" w:hAnsi="宋体"/>
                <w:color w:val="000000"/>
                <w:sz w:val="24"/>
              </w:rPr>
            </w:pPr>
            <w:r>
              <w:rPr>
                <w:rFonts w:hint="eastAsia" w:ascii="宋体" w:hAnsi="宋体"/>
                <w:color w:val="000000"/>
                <w:sz w:val="24"/>
              </w:rPr>
              <w:t>1、供应商单独响应的，应提供《中小企业声明函》或《残疾人福利性单位声明函》或由省级以上监狱管理局、戒毒管理局（含新疆生产建设兵团）出具的属于监狱企业的证明文件。</w:t>
            </w:r>
          </w:p>
          <w:p>
            <w:pPr>
              <w:tabs>
                <w:tab w:val="left" w:pos="1080"/>
              </w:tabs>
              <w:snapToGrid w:val="0"/>
              <w:jc w:val="left"/>
              <w:rPr>
                <w:rFonts w:ascii="宋体" w:hAnsi="宋体"/>
                <w:color w:val="000000"/>
                <w:sz w:val="24"/>
              </w:rPr>
            </w:pPr>
            <w:r>
              <w:rPr>
                <w:rFonts w:hint="eastAsia" w:ascii="宋体" w:hAnsi="宋体"/>
                <w:color w:val="000000"/>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81" w:type="dxa"/>
            <w:vAlign w:val="center"/>
          </w:tcPr>
          <w:p>
            <w:pPr>
              <w:tabs>
                <w:tab w:val="left" w:pos="1080"/>
              </w:tabs>
              <w:snapToGrid w:val="0"/>
              <w:jc w:val="left"/>
              <w:rPr>
                <w:rFonts w:ascii="宋体" w:hAnsi="宋体"/>
                <w:color w:val="000000"/>
                <w:sz w:val="24"/>
              </w:rPr>
            </w:pPr>
            <w:r>
              <w:rPr>
                <w:rFonts w:ascii="宋体" w:hAnsi="宋体"/>
                <w:color w:val="000000"/>
                <w:sz w:val="24"/>
              </w:rPr>
              <w:t>格式见《响应文件格式》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ascii="宋体" w:hAnsi="宋体"/>
                <w:color w:val="000000"/>
                <w:sz w:val="24"/>
              </w:rPr>
              <w:t>3</w:t>
            </w:r>
          </w:p>
        </w:tc>
        <w:tc>
          <w:tcPr>
            <w:tcW w:w="1562" w:type="dxa"/>
            <w:vAlign w:val="center"/>
          </w:tcPr>
          <w:p>
            <w:pPr>
              <w:tabs>
                <w:tab w:val="left" w:pos="1080"/>
              </w:tabs>
              <w:snapToGrid w:val="0"/>
              <w:jc w:val="left"/>
              <w:rPr>
                <w:rFonts w:ascii="宋体" w:hAnsi="宋体"/>
                <w:color w:val="000000"/>
                <w:sz w:val="24"/>
              </w:rPr>
            </w:pPr>
            <w:r>
              <w:rPr>
                <w:rFonts w:ascii="宋体" w:hAnsi="宋体"/>
                <w:color w:val="000000"/>
                <w:sz w:val="24"/>
              </w:rPr>
              <w:t>本项目的特定资格要求</w:t>
            </w:r>
          </w:p>
        </w:tc>
        <w:tc>
          <w:tcPr>
            <w:tcW w:w="4870" w:type="dxa"/>
            <w:vAlign w:val="center"/>
          </w:tcPr>
          <w:p>
            <w:pPr>
              <w:tabs>
                <w:tab w:val="left" w:pos="1080"/>
              </w:tabs>
              <w:snapToGrid w:val="0"/>
              <w:jc w:val="left"/>
              <w:rPr>
                <w:rFonts w:ascii="宋体" w:hAnsi="宋体"/>
                <w:color w:val="000000"/>
                <w:sz w:val="24"/>
              </w:rPr>
            </w:pPr>
            <w:r>
              <w:rPr>
                <w:rFonts w:ascii="宋体" w:hAnsi="宋体"/>
                <w:color w:val="000000"/>
                <w:sz w:val="24"/>
              </w:rPr>
              <w:t>见第一章《采购邀请》</w:t>
            </w:r>
          </w:p>
        </w:tc>
        <w:tc>
          <w:tcPr>
            <w:tcW w:w="1681" w:type="dxa"/>
            <w:vAlign w:val="center"/>
          </w:tcPr>
          <w:p>
            <w:pPr>
              <w:tabs>
                <w:tab w:val="left" w:pos="1080"/>
              </w:tabs>
              <w:snapToGrid w:val="0"/>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948" w:type="dxa"/>
            <w:vAlign w:val="center"/>
          </w:tcPr>
          <w:p>
            <w:pPr>
              <w:tabs>
                <w:tab w:val="left" w:pos="1080"/>
              </w:tabs>
              <w:snapToGrid w:val="0"/>
              <w:jc w:val="center"/>
              <w:rPr>
                <w:rFonts w:ascii="宋体" w:hAnsi="宋体"/>
                <w:color w:val="000000"/>
                <w:sz w:val="24"/>
              </w:rPr>
            </w:pPr>
            <w:r>
              <w:rPr>
                <w:rFonts w:hint="eastAsia" w:ascii="宋体" w:hAnsi="宋体"/>
                <w:color w:val="000000"/>
                <w:sz w:val="24"/>
              </w:rPr>
              <w:t>4</w:t>
            </w:r>
          </w:p>
        </w:tc>
        <w:tc>
          <w:tcPr>
            <w:tcW w:w="1562" w:type="dxa"/>
            <w:vAlign w:val="center"/>
          </w:tcPr>
          <w:p>
            <w:pPr>
              <w:tabs>
                <w:tab w:val="left" w:pos="1080"/>
              </w:tabs>
              <w:snapToGrid w:val="0"/>
              <w:rPr>
                <w:rFonts w:ascii="宋体" w:hAnsi="宋体"/>
                <w:color w:val="000000"/>
                <w:kern w:val="0"/>
                <w:sz w:val="24"/>
              </w:rPr>
            </w:pPr>
            <w:r>
              <w:rPr>
                <w:rFonts w:hint="eastAsia" w:ascii="宋体" w:hAnsi="宋体"/>
                <w:color w:val="000000"/>
                <w:kern w:val="0"/>
                <w:sz w:val="24"/>
              </w:rPr>
              <w:t>获取磋商文件</w:t>
            </w:r>
          </w:p>
        </w:tc>
        <w:tc>
          <w:tcPr>
            <w:tcW w:w="4870" w:type="dxa"/>
            <w:vAlign w:val="center"/>
          </w:tcPr>
          <w:p>
            <w:pPr>
              <w:tabs>
                <w:tab w:val="left" w:pos="1080"/>
              </w:tabs>
              <w:snapToGrid w:val="0"/>
              <w:rPr>
                <w:rFonts w:ascii="宋体" w:hAnsi="宋体"/>
                <w:color w:val="000000"/>
                <w:kern w:val="0"/>
                <w:sz w:val="24"/>
              </w:rPr>
            </w:pPr>
            <w:r>
              <w:rPr>
                <w:rFonts w:hint="eastAsia" w:ascii="宋体" w:hAnsi="宋体"/>
                <w:color w:val="000000"/>
                <w:kern w:val="0"/>
                <w:sz w:val="24"/>
              </w:rPr>
              <w:t>在规定期限内通过北京市政府采购电子交易平台获取所参与包的磋商文件。</w:t>
            </w:r>
          </w:p>
        </w:tc>
        <w:tc>
          <w:tcPr>
            <w:tcW w:w="1681" w:type="dxa"/>
            <w:vAlign w:val="center"/>
          </w:tcPr>
          <w:p>
            <w:pPr>
              <w:tabs>
                <w:tab w:val="left" w:pos="1080"/>
              </w:tabs>
              <w:snapToGrid w:val="0"/>
              <w:jc w:val="left"/>
              <w:rPr>
                <w:rFonts w:ascii="宋体" w:hAnsi="宋体"/>
                <w:color w:val="000000"/>
                <w:sz w:val="24"/>
              </w:rPr>
            </w:pPr>
          </w:p>
        </w:tc>
      </w:tr>
    </w:tbl>
    <w:p>
      <w:pPr>
        <w:numPr>
          <w:ilvl w:val="1"/>
          <w:numId w:val="2"/>
        </w:numPr>
        <w:tabs>
          <w:tab w:val="left" w:pos="1080"/>
        </w:tabs>
        <w:snapToGrid w:val="0"/>
        <w:spacing w:line="360" w:lineRule="auto"/>
        <w:ind w:left="1077" w:hanging="720"/>
        <w:rPr>
          <w:rFonts w:ascii="宋体" w:hAnsi="宋体"/>
          <w:color w:val="000000"/>
          <w:sz w:val="24"/>
        </w:rPr>
      </w:pPr>
      <w:r>
        <w:rPr>
          <w:rFonts w:hint="eastAsia" w:ascii="宋体" w:hAnsi="宋体"/>
          <w:color w:val="000000"/>
          <w:sz w:val="24"/>
        </w:rPr>
        <w:br w:type="page"/>
      </w:r>
      <w:r>
        <w:rPr>
          <w:rFonts w:ascii="宋体" w:hAnsi="宋体"/>
          <w:color w:val="000000"/>
          <w:sz w:val="24"/>
        </w:rPr>
        <w:t>《符合性审查要求》见下表：</w:t>
      </w:r>
    </w:p>
    <w:p>
      <w:pPr>
        <w:widowControl/>
        <w:spacing w:line="360" w:lineRule="auto"/>
        <w:jc w:val="center"/>
        <w:rPr>
          <w:rFonts w:ascii="宋体" w:hAnsi="宋体"/>
          <w:b/>
          <w:color w:val="000000"/>
          <w:kern w:val="0"/>
          <w:sz w:val="24"/>
        </w:rPr>
      </w:pPr>
      <w:r>
        <w:rPr>
          <w:rFonts w:ascii="宋体" w:hAnsi="宋体"/>
          <w:b/>
          <w:color w:val="000000"/>
          <w:kern w:val="0"/>
          <w:sz w:val="24"/>
        </w:rPr>
        <w:t>符合性审查要求</w:t>
      </w:r>
    </w:p>
    <w:tbl>
      <w:tblPr>
        <w:tblStyle w:val="11"/>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881"/>
        <w:gridCol w:w="503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88" w:type="dxa"/>
            <w:vAlign w:val="center"/>
          </w:tcPr>
          <w:p>
            <w:pPr>
              <w:widowControl/>
              <w:jc w:val="center"/>
              <w:rPr>
                <w:rFonts w:ascii="宋体" w:hAnsi="宋体"/>
                <w:b/>
                <w:color w:val="000000"/>
                <w:kern w:val="0"/>
                <w:sz w:val="24"/>
              </w:rPr>
            </w:pPr>
            <w:r>
              <w:rPr>
                <w:rFonts w:ascii="宋体" w:hAnsi="宋体"/>
                <w:b/>
                <w:color w:val="000000"/>
                <w:kern w:val="0"/>
                <w:sz w:val="24"/>
              </w:rPr>
              <w:t>序号</w:t>
            </w:r>
          </w:p>
        </w:tc>
        <w:tc>
          <w:tcPr>
            <w:tcW w:w="1881" w:type="dxa"/>
            <w:vAlign w:val="center"/>
          </w:tcPr>
          <w:p>
            <w:pPr>
              <w:widowControl/>
              <w:jc w:val="center"/>
              <w:rPr>
                <w:rFonts w:ascii="宋体" w:hAnsi="宋体"/>
                <w:b/>
                <w:color w:val="000000"/>
                <w:kern w:val="0"/>
                <w:sz w:val="24"/>
              </w:rPr>
            </w:pPr>
            <w:r>
              <w:rPr>
                <w:rFonts w:hint="eastAsia" w:ascii="宋体" w:hAnsi="宋体"/>
                <w:b/>
                <w:color w:val="000000"/>
                <w:kern w:val="0"/>
                <w:sz w:val="24"/>
              </w:rPr>
              <w:t>检查因素</w:t>
            </w:r>
          </w:p>
        </w:tc>
        <w:tc>
          <w:tcPr>
            <w:tcW w:w="5036" w:type="dxa"/>
            <w:vAlign w:val="center"/>
          </w:tcPr>
          <w:p>
            <w:pPr>
              <w:widowControl/>
              <w:jc w:val="center"/>
              <w:rPr>
                <w:rFonts w:ascii="宋体" w:hAnsi="宋体"/>
                <w:b/>
                <w:color w:val="000000"/>
                <w:kern w:val="0"/>
                <w:sz w:val="24"/>
              </w:rPr>
            </w:pPr>
            <w:r>
              <w:rPr>
                <w:rFonts w:hint="eastAsia" w:ascii="宋体" w:hAnsi="宋体"/>
                <w:b/>
                <w:color w:val="000000"/>
                <w:kern w:val="0"/>
                <w:sz w:val="24"/>
              </w:rPr>
              <w:t>检查内容</w:t>
            </w:r>
          </w:p>
        </w:tc>
        <w:tc>
          <w:tcPr>
            <w:tcW w:w="1656" w:type="dxa"/>
            <w:vAlign w:val="center"/>
          </w:tcPr>
          <w:p>
            <w:pPr>
              <w:widowControl/>
              <w:jc w:val="center"/>
              <w:rPr>
                <w:rFonts w:ascii="宋体" w:hAnsi="宋体"/>
                <w:b/>
                <w:color w:val="000000"/>
                <w:kern w:val="0"/>
                <w:sz w:val="24"/>
              </w:rPr>
            </w:pPr>
            <w:r>
              <w:rPr>
                <w:rFonts w:hint="eastAsia" w:ascii="宋体" w:hAnsi="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1</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授权委托书</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按竞争性磋商文件要求提供授权委托书；</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2</w:t>
            </w:r>
          </w:p>
        </w:tc>
        <w:tc>
          <w:tcPr>
            <w:tcW w:w="1881" w:type="dxa"/>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完整性</w:t>
            </w:r>
          </w:p>
        </w:tc>
        <w:tc>
          <w:tcPr>
            <w:tcW w:w="5036" w:type="dxa"/>
            <w:vAlign w:val="center"/>
          </w:tcPr>
          <w:p>
            <w:pPr>
              <w:widowControl/>
              <w:jc w:val="left"/>
              <w:rPr>
                <w:rFonts w:ascii="宋体" w:hAnsi="宋体"/>
                <w:color w:val="000000"/>
                <w:kern w:val="0"/>
                <w:sz w:val="24"/>
              </w:rPr>
            </w:pPr>
            <w:r>
              <w:rPr>
                <w:rFonts w:hint="eastAsia" w:ascii="宋体" w:hAnsi="宋体"/>
                <w:color w:val="000000"/>
                <w:sz w:val="24"/>
              </w:rPr>
              <w:t>未</w:t>
            </w:r>
            <w:r>
              <w:rPr>
                <w:rFonts w:ascii="宋体" w:hAnsi="宋体"/>
                <w:color w:val="000000"/>
                <w:sz w:val="24"/>
              </w:rPr>
              <w:t>将一个采购包中的内容拆开</w:t>
            </w:r>
            <w:r>
              <w:rPr>
                <w:rFonts w:hint="eastAsia" w:ascii="宋体" w:hAnsi="宋体"/>
                <w:color w:val="000000"/>
                <w:sz w:val="24"/>
              </w:rPr>
              <w:t>响应</w:t>
            </w:r>
            <w:r>
              <w:rPr>
                <w:rFonts w:ascii="宋体" w:hAnsi="宋体"/>
                <w:color w:val="000000"/>
                <w:sz w:val="24"/>
              </w:rPr>
              <w:t>；</w:t>
            </w:r>
          </w:p>
        </w:tc>
        <w:tc>
          <w:tcPr>
            <w:tcW w:w="1656" w:type="dxa"/>
            <w:vAlign w:val="center"/>
          </w:tcPr>
          <w:p>
            <w:pPr>
              <w:widowControl/>
              <w:jc w:val="center"/>
              <w:rPr>
                <w:rFonts w:ascii="宋体" w:hAnsi="宋体"/>
                <w:color w:val="00000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3</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投标报价</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投标报价</w:t>
            </w:r>
            <w:r>
              <w:rPr>
                <w:rFonts w:hint="eastAsia" w:ascii="宋体" w:hAnsi="宋体"/>
                <w:color w:val="000000"/>
                <w:kern w:val="0"/>
                <w:sz w:val="24"/>
              </w:rPr>
              <w:t>未</w:t>
            </w:r>
            <w:r>
              <w:rPr>
                <w:rFonts w:ascii="宋体" w:hAnsi="宋体"/>
                <w:color w:val="000000"/>
                <w:sz w:val="24"/>
              </w:rPr>
              <w:t>超过竞争性磋商文件中规定的预算金额或者最高限价</w:t>
            </w:r>
            <w:r>
              <w:rPr>
                <w:rFonts w:ascii="宋体" w:hAnsi="宋体"/>
                <w:color w:val="000000"/>
                <w:kern w:val="0"/>
                <w:sz w:val="24"/>
              </w:rPr>
              <w:t>；</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4</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报价唯一性</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响应文件</w:t>
            </w:r>
            <w:r>
              <w:rPr>
                <w:rFonts w:hint="eastAsia" w:ascii="宋体" w:hAnsi="宋体"/>
                <w:color w:val="000000"/>
                <w:kern w:val="0"/>
                <w:sz w:val="24"/>
              </w:rPr>
              <w:t>未</w:t>
            </w:r>
            <w:r>
              <w:rPr>
                <w:rFonts w:hint="eastAsia" w:ascii="宋体" w:hAnsi="宋体"/>
                <w:color w:val="000000"/>
                <w:sz w:val="24"/>
              </w:rPr>
              <w:t>出现可选择性或可调整的报价（竞争性磋商文件另有规定的除外）</w:t>
            </w:r>
            <w:r>
              <w:rPr>
                <w:rFonts w:ascii="宋体" w:hAnsi="宋体"/>
                <w:color w:val="000000"/>
                <w:kern w:val="0"/>
                <w:sz w:val="24"/>
              </w:rPr>
              <w:t>；</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5</w:t>
            </w:r>
          </w:p>
        </w:tc>
        <w:tc>
          <w:tcPr>
            <w:tcW w:w="1881" w:type="dxa"/>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有效期</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响应文件中承诺的</w:t>
            </w:r>
            <w:r>
              <w:rPr>
                <w:rFonts w:hint="eastAsia" w:ascii="宋体" w:hAnsi="宋体"/>
                <w:color w:val="000000"/>
                <w:kern w:val="0"/>
                <w:sz w:val="24"/>
              </w:rPr>
              <w:t>响应</w:t>
            </w:r>
            <w:r>
              <w:rPr>
                <w:rFonts w:ascii="宋体" w:hAnsi="宋体"/>
                <w:color w:val="000000"/>
                <w:kern w:val="0"/>
                <w:sz w:val="24"/>
              </w:rPr>
              <w:t>有效期</w:t>
            </w:r>
            <w:r>
              <w:rPr>
                <w:rFonts w:hint="eastAsia" w:ascii="宋体" w:hAnsi="宋体"/>
                <w:color w:val="000000"/>
                <w:kern w:val="0"/>
                <w:sz w:val="24"/>
              </w:rPr>
              <w:t>满足</w:t>
            </w:r>
            <w:r>
              <w:rPr>
                <w:rFonts w:ascii="宋体" w:hAnsi="宋体"/>
                <w:color w:val="000000"/>
                <w:kern w:val="0"/>
                <w:sz w:val="24"/>
              </w:rPr>
              <w:t>竞争性磋商文件中载明的</w:t>
            </w:r>
            <w:r>
              <w:rPr>
                <w:rFonts w:hint="eastAsia" w:ascii="宋体" w:hAnsi="宋体"/>
                <w:color w:val="000000"/>
                <w:kern w:val="0"/>
                <w:sz w:val="24"/>
              </w:rPr>
              <w:t>响应</w:t>
            </w:r>
            <w:r>
              <w:rPr>
                <w:rFonts w:ascii="宋体" w:hAnsi="宋体"/>
                <w:color w:val="000000"/>
                <w:kern w:val="0"/>
                <w:sz w:val="24"/>
              </w:rPr>
              <w:t>有效期的；</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6</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签署、盖章</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按照竞争性磋商文件要求签署、盖章的；</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hint="eastAsia" w:ascii="宋体" w:hAnsi="宋体"/>
                <w:color w:val="000000"/>
                <w:kern w:val="0"/>
                <w:sz w:val="24"/>
              </w:rPr>
              <w:t>7</w:t>
            </w:r>
          </w:p>
        </w:tc>
        <w:tc>
          <w:tcPr>
            <w:tcW w:w="1881" w:type="dxa"/>
            <w:vAlign w:val="center"/>
          </w:tcPr>
          <w:p>
            <w:pPr>
              <w:widowControl/>
              <w:jc w:val="left"/>
              <w:rPr>
                <w:rFonts w:ascii="宋体" w:hAnsi="宋体"/>
                <w:color w:val="000000"/>
                <w:kern w:val="0"/>
                <w:sz w:val="24"/>
              </w:rPr>
            </w:pPr>
            <w:r>
              <w:rPr>
                <w:rFonts w:hint="eastAsia" w:ascii="宋体" w:hAnsi="宋体"/>
                <w:color w:val="000000"/>
                <w:kern w:val="0"/>
                <w:sz w:val="24"/>
              </w:rPr>
              <w:t>实质性格式</w:t>
            </w:r>
          </w:p>
        </w:tc>
        <w:tc>
          <w:tcPr>
            <w:tcW w:w="5036" w:type="dxa"/>
            <w:vAlign w:val="center"/>
          </w:tcPr>
          <w:p>
            <w:pPr>
              <w:widowControl/>
              <w:jc w:val="left"/>
              <w:rPr>
                <w:rFonts w:ascii="宋体" w:hAnsi="宋体"/>
                <w:color w:val="000000"/>
                <w:kern w:val="0"/>
                <w:sz w:val="24"/>
              </w:rPr>
            </w:pPr>
            <w:r>
              <w:rPr>
                <w:rFonts w:hint="eastAsia" w:ascii="宋体" w:hAnsi="宋体"/>
                <w:color w:val="000000"/>
                <w:kern w:val="0"/>
                <w:sz w:val="24"/>
              </w:rPr>
              <w:t>标记为</w:t>
            </w:r>
            <w:r>
              <w:rPr>
                <w:rFonts w:ascii="宋体" w:hAnsi="宋体"/>
                <w:color w:val="000000"/>
                <w:kern w:val="0"/>
                <w:sz w:val="24"/>
              </w:rPr>
              <w:t>“实质性格式”的</w:t>
            </w:r>
            <w:r>
              <w:rPr>
                <w:rFonts w:hint="eastAsia" w:ascii="宋体" w:hAnsi="宋体"/>
                <w:color w:val="000000"/>
                <w:kern w:val="0"/>
                <w:sz w:val="24"/>
              </w:rPr>
              <w:t>文件均按</w:t>
            </w:r>
            <w:r>
              <w:rPr>
                <w:rFonts w:ascii="宋体" w:hAnsi="宋体"/>
                <w:color w:val="000000"/>
                <w:kern w:val="0"/>
                <w:sz w:val="24"/>
              </w:rPr>
              <w:t>竞争性磋商文件</w:t>
            </w:r>
            <w:r>
              <w:rPr>
                <w:rFonts w:hint="eastAsia" w:ascii="宋体" w:hAnsi="宋体"/>
                <w:color w:val="000000"/>
                <w:kern w:val="0"/>
                <w:sz w:val="24"/>
              </w:rPr>
              <w:t>要求提供；</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8</w:t>
            </w:r>
          </w:p>
        </w:tc>
        <w:tc>
          <w:tcPr>
            <w:tcW w:w="1881" w:type="dxa"/>
            <w:vAlign w:val="center"/>
          </w:tcPr>
          <w:p>
            <w:pPr>
              <w:widowControl/>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满足竞争性磋商文件</w:t>
            </w:r>
            <w:r>
              <w:rPr>
                <w:rFonts w:ascii="宋体" w:hAnsi="宋体" w:cs="Segoe UI Symbol"/>
                <w:color w:val="000000"/>
                <w:kern w:val="0"/>
                <w:sz w:val="24"/>
              </w:rPr>
              <w:t>★</w:t>
            </w:r>
            <w:r>
              <w:rPr>
                <w:rFonts w:ascii="宋体" w:hAnsi="宋体"/>
                <w:color w:val="000000"/>
                <w:kern w:val="0"/>
                <w:sz w:val="24"/>
              </w:rPr>
              <w:t>号条款要求的；</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9</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报价合理性</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报价合理，或</w:t>
            </w:r>
            <w:r>
              <w:rPr>
                <w:rFonts w:hint="eastAsia" w:ascii="宋体" w:hAnsi="宋体"/>
                <w:color w:val="000000"/>
                <w:sz w:val="24"/>
              </w:rPr>
              <w:t>供应商的报价明显低于其他通过符合性审查供应商的报价，</w:t>
            </w:r>
            <w:r>
              <w:rPr>
                <w:rFonts w:ascii="宋体" w:hAnsi="宋体"/>
                <w:color w:val="000000"/>
                <w:sz w:val="24"/>
              </w:rPr>
              <w:t>有可能影响产品质量或者不能诚信履约的</w:t>
            </w:r>
            <w:r>
              <w:rPr>
                <w:rFonts w:hint="eastAsia" w:ascii="宋体" w:hAnsi="宋体"/>
                <w:color w:val="000000"/>
                <w:sz w:val="24"/>
              </w:rPr>
              <w:t>，能够应评标委员会要求在规定时间内证明其报价合理性的</w:t>
            </w:r>
            <w:r>
              <w:rPr>
                <w:rFonts w:ascii="宋体" w:hAnsi="宋体"/>
                <w:color w:val="000000"/>
                <w:kern w:val="0"/>
                <w:sz w:val="24"/>
              </w:rPr>
              <w:t>；</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10</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公平竞争</w:t>
            </w:r>
          </w:p>
        </w:tc>
        <w:tc>
          <w:tcPr>
            <w:tcW w:w="5036" w:type="dxa"/>
            <w:vAlign w:val="center"/>
          </w:tcPr>
          <w:p>
            <w:pPr>
              <w:widowControl/>
              <w:jc w:val="left"/>
              <w:rPr>
                <w:rFonts w:ascii="宋体" w:hAnsi="宋体"/>
                <w:color w:val="000000"/>
                <w:kern w:val="0"/>
                <w:sz w:val="24"/>
              </w:rPr>
            </w:pPr>
            <w:r>
              <w:rPr>
                <w:rFonts w:ascii="宋体" w:hAnsi="宋体"/>
                <w:color w:val="000000"/>
                <w:sz w:val="24"/>
              </w:rPr>
              <w:t>供应商遵循公平竞争的原则，不存在恶意串通，妨碍其他供应商的竞争行为，不存在损害采购人或者其他供应商的合法权益情形的；</w:t>
            </w:r>
          </w:p>
        </w:tc>
        <w:tc>
          <w:tcPr>
            <w:tcW w:w="1656" w:type="dxa"/>
            <w:vAlign w:val="center"/>
          </w:tcPr>
          <w:p>
            <w:pPr>
              <w:widowControl/>
              <w:jc w:val="center"/>
              <w:rPr>
                <w:rFonts w:ascii="宋体" w:hAnsi="宋体"/>
                <w:color w:val="00000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11</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串通投标</w:t>
            </w:r>
          </w:p>
        </w:tc>
        <w:tc>
          <w:tcPr>
            <w:tcW w:w="5036" w:type="dxa"/>
            <w:vAlign w:val="center"/>
          </w:tcPr>
          <w:p>
            <w:pPr>
              <w:widowControl/>
              <w:jc w:val="left"/>
              <w:rPr>
                <w:rFonts w:ascii="宋体" w:hAnsi="宋体"/>
                <w:color w:val="000000"/>
                <w:kern w:val="0"/>
                <w:sz w:val="24"/>
              </w:rPr>
            </w:pPr>
            <w:r>
              <w:rPr>
                <w:rFonts w:hint="eastAsia" w:ascii="宋体" w:hAnsi="宋体"/>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rFonts w:ascii="宋体" w:hAnsi="宋体"/>
                <w:color w:val="000000"/>
                <w:sz w:val="24"/>
              </w:rPr>
              <w:t>；</w:t>
            </w:r>
          </w:p>
        </w:tc>
        <w:tc>
          <w:tcPr>
            <w:tcW w:w="1656" w:type="dxa"/>
            <w:vAlign w:val="center"/>
          </w:tcPr>
          <w:p>
            <w:pPr>
              <w:widowControl/>
              <w:jc w:val="center"/>
              <w:rPr>
                <w:rFonts w:ascii="宋体" w:hAnsi="宋体"/>
                <w:color w:val="00000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ascii="宋体" w:hAnsi="宋体"/>
                <w:color w:val="000000"/>
                <w:kern w:val="0"/>
                <w:sz w:val="24"/>
              </w:rPr>
              <w:t>12</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附加条件</w:t>
            </w:r>
          </w:p>
        </w:tc>
        <w:tc>
          <w:tcPr>
            <w:tcW w:w="5036" w:type="dxa"/>
            <w:vAlign w:val="center"/>
          </w:tcPr>
          <w:p>
            <w:pPr>
              <w:widowControl/>
              <w:jc w:val="left"/>
              <w:rPr>
                <w:rFonts w:ascii="宋体" w:hAnsi="宋体"/>
                <w:color w:val="000000"/>
                <w:kern w:val="0"/>
                <w:sz w:val="24"/>
              </w:rPr>
            </w:pPr>
            <w:r>
              <w:rPr>
                <w:rFonts w:ascii="宋体" w:hAnsi="宋体"/>
                <w:color w:val="000000"/>
                <w:kern w:val="0"/>
                <w:sz w:val="24"/>
              </w:rPr>
              <w:t>响应文件</w:t>
            </w:r>
            <w:r>
              <w:rPr>
                <w:rFonts w:hint="eastAsia" w:ascii="宋体" w:hAnsi="宋体"/>
                <w:color w:val="000000"/>
                <w:kern w:val="0"/>
                <w:sz w:val="24"/>
              </w:rPr>
              <w:t>未</w:t>
            </w:r>
            <w:r>
              <w:rPr>
                <w:rFonts w:ascii="宋体" w:hAnsi="宋体"/>
                <w:color w:val="000000"/>
                <w:kern w:val="0"/>
                <w:sz w:val="24"/>
              </w:rPr>
              <w:t>含有采购人不能接受的附加条件的；</w:t>
            </w:r>
          </w:p>
        </w:tc>
        <w:tc>
          <w:tcPr>
            <w:tcW w:w="1656" w:type="dxa"/>
            <w:vAlign w:val="center"/>
          </w:tcPr>
          <w:p>
            <w:pPr>
              <w:widowControl/>
              <w:jc w:val="center"/>
              <w:rPr>
                <w:rFonts w:ascii="宋体" w:hAnsi="宋体"/>
                <w:color w:val="000000"/>
                <w:kern w:val="0"/>
                <w:sz w:val="24"/>
              </w:rPr>
            </w:pPr>
            <w:r>
              <w:rPr>
                <w:rFonts w:hint="eastAsia" w:ascii="宋体" w:hAnsi="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488" w:type="dxa"/>
            <w:vAlign w:val="center"/>
          </w:tcPr>
          <w:p>
            <w:pPr>
              <w:widowControl/>
              <w:jc w:val="center"/>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3</w:t>
            </w:r>
          </w:p>
        </w:tc>
        <w:tc>
          <w:tcPr>
            <w:tcW w:w="1881" w:type="dxa"/>
            <w:vAlign w:val="center"/>
          </w:tcPr>
          <w:p>
            <w:pPr>
              <w:widowControl/>
              <w:jc w:val="left"/>
              <w:rPr>
                <w:rFonts w:ascii="宋体" w:hAnsi="宋体"/>
                <w:color w:val="000000"/>
                <w:kern w:val="0"/>
                <w:sz w:val="24"/>
              </w:rPr>
            </w:pPr>
            <w:r>
              <w:rPr>
                <w:rFonts w:ascii="宋体" w:hAnsi="宋体"/>
                <w:color w:val="000000"/>
                <w:kern w:val="0"/>
                <w:sz w:val="24"/>
              </w:rPr>
              <w:t>其他无效情形</w:t>
            </w:r>
          </w:p>
        </w:tc>
        <w:tc>
          <w:tcPr>
            <w:tcW w:w="5036" w:type="dxa"/>
            <w:vAlign w:val="center"/>
          </w:tcPr>
          <w:p>
            <w:pPr>
              <w:widowControl/>
              <w:jc w:val="left"/>
              <w:rPr>
                <w:rFonts w:ascii="宋体" w:hAnsi="宋体"/>
                <w:color w:val="000000"/>
                <w:kern w:val="0"/>
                <w:sz w:val="24"/>
              </w:rPr>
            </w:pPr>
            <w:r>
              <w:rPr>
                <w:rFonts w:ascii="宋体" w:hAnsi="宋体"/>
                <w:color w:val="000000"/>
                <w:sz w:val="24"/>
              </w:rPr>
              <w:t>供应商、响应文件</w:t>
            </w:r>
            <w:r>
              <w:rPr>
                <w:rFonts w:hint="eastAsia" w:ascii="宋体" w:hAnsi="宋体"/>
                <w:color w:val="000000"/>
                <w:sz w:val="24"/>
              </w:rPr>
              <w:t>不存在</w:t>
            </w:r>
            <w:r>
              <w:rPr>
                <w:rFonts w:ascii="宋体" w:hAnsi="宋体"/>
                <w:color w:val="000000"/>
                <w:sz w:val="24"/>
              </w:rPr>
              <w:t>不符合法律、法规和竞争性磋商文件规定的其他无效情形。</w:t>
            </w:r>
          </w:p>
        </w:tc>
        <w:tc>
          <w:tcPr>
            <w:tcW w:w="1656" w:type="dxa"/>
            <w:vAlign w:val="center"/>
          </w:tcPr>
          <w:p>
            <w:pPr>
              <w:widowControl/>
              <w:jc w:val="center"/>
              <w:rPr>
                <w:rFonts w:ascii="宋体" w:hAnsi="宋体"/>
                <w:color w:val="000000"/>
                <w:sz w:val="24"/>
              </w:rPr>
            </w:pPr>
            <w:r>
              <w:rPr>
                <w:rFonts w:hint="eastAsia" w:ascii="宋体" w:hAnsi="宋体"/>
                <w:color w:val="000000"/>
                <w:kern w:val="0"/>
                <w:sz w:val="24"/>
              </w:rPr>
              <w:t>否</w:t>
            </w:r>
          </w:p>
        </w:tc>
      </w:tr>
    </w:tbl>
    <w:p>
      <w:pPr>
        <w:widowControl/>
        <w:spacing w:line="360" w:lineRule="auto"/>
        <w:jc w:val="center"/>
        <w:rPr>
          <w:rFonts w:ascii="宋体" w:hAnsi="宋体"/>
          <w:b/>
          <w:color w:val="000000"/>
          <w:kern w:val="0"/>
          <w:sz w:val="24"/>
        </w:rPr>
      </w:pPr>
    </w:p>
    <w:p>
      <w:pPr>
        <w:numPr>
          <w:ilvl w:val="0"/>
          <w:numId w:val="2"/>
        </w:numPr>
        <w:tabs>
          <w:tab w:val="left" w:pos="360"/>
        </w:tabs>
        <w:snapToGrid w:val="0"/>
        <w:spacing w:line="360" w:lineRule="auto"/>
        <w:outlineLvl w:val="1"/>
        <w:rPr>
          <w:rFonts w:ascii="宋体" w:hAnsi="宋体"/>
          <w:color w:val="000000"/>
          <w:sz w:val="24"/>
        </w:rPr>
      </w:pPr>
      <w:r>
        <w:rPr>
          <w:rFonts w:ascii="宋体" w:hAnsi="宋体"/>
          <w:color w:val="000000"/>
          <w:sz w:val="24"/>
        </w:rPr>
        <w:t>磋商、响应文件有关事项的澄清、说明或者更正和最后报价</w:t>
      </w:r>
    </w:p>
    <w:bookmarkEnd w:id="624"/>
    <w:bookmarkEnd w:id="625"/>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pPr>
        <w:numPr>
          <w:ilvl w:val="1"/>
          <w:numId w:val="2"/>
        </w:numPr>
        <w:tabs>
          <w:tab w:val="left" w:pos="1080"/>
          <w:tab w:val="left" w:pos="1872"/>
        </w:tabs>
        <w:snapToGrid w:val="0"/>
        <w:spacing w:line="360" w:lineRule="auto"/>
        <w:ind w:left="1077" w:hanging="720"/>
        <w:rPr>
          <w:rFonts w:ascii="宋体" w:hAnsi="宋体"/>
          <w:sz w:val="24"/>
        </w:rPr>
      </w:pPr>
      <w:r>
        <w:rPr>
          <w:rFonts w:hint="eastAsia"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2"/>
        </w:numPr>
        <w:tabs>
          <w:tab w:val="left" w:pos="1080"/>
          <w:tab w:val="left" w:pos="1872"/>
        </w:tabs>
        <w:snapToGrid w:val="0"/>
        <w:spacing w:line="360" w:lineRule="auto"/>
        <w:ind w:left="1077" w:hanging="720"/>
        <w:rPr>
          <w:rFonts w:ascii="宋体" w:hAnsi="宋体"/>
          <w:kern w:val="0"/>
          <w:sz w:val="24"/>
        </w:rPr>
      </w:pPr>
      <w:r>
        <w:rPr>
          <w:rFonts w:hint="eastAsia" w:ascii="宋体" w:hAnsi="宋体"/>
          <w:kern w:val="0"/>
          <w:sz w:val="24"/>
        </w:rPr>
        <w:t>对磋商文件作出的实质性变动是磋商文件的有效组成部分，磋商小组应当及时以书面形式同时通知所有参加磋商的供应商。</w:t>
      </w:r>
    </w:p>
    <w:p>
      <w:pPr>
        <w:numPr>
          <w:ilvl w:val="1"/>
          <w:numId w:val="2"/>
        </w:numPr>
        <w:tabs>
          <w:tab w:val="left" w:pos="1080"/>
          <w:tab w:val="left" w:pos="1872"/>
        </w:tabs>
        <w:snapToGrid w:val="0"/>
        <w:spacing w:line="360" w:lineRule="auto"/>
        <w:ind w:left="1077" w:hanging="720"/>
        <w:rPr>
          <w:rFonts w:ascii="宋体" w:hAnsi="宋体"/>
          <w:kern w:val="0"/>
          <w:sz w:val="24"/>
        </w:rPr>
      </w:pPr>
      <w:r>
        <w:rPr>
          <w:rFonts w:hint="eastAsia" w:ascii="宋体" w:hAnsi="宋体"/>
          <w:kern w:val="0"/>
          <w:sz w:val="24"/>
        </w:rPr>
        <w:t>供应商应当按照磋商文件的变动情况和磋商小组的要求重新提交响应文件，并由其法定代表人（</w:t>
      </w:r>
      <w:r>
        <w:rPr>
          <w:rFonts w:hint="eastAsia" w:ascii="宋体" w:hAnsi="宋体"/>
          <w:color w:val="000000"/>
          <w:sz w:val="24"/>
        </w:rPr>
        <w:t>若供应商为事业单位或其他组织或分支机构，可为单位负责人</w:t>
      </w:r>
      <w:r>
        <w:rPr>
          <w:rFonts w:hint="eastAsia" w:ascii="宋体" w:hAnsi="宋体"/>
          <w:kern w:val="0"/>
          <w:sz w:val="24"/>
        </w:rPr>
        <w:t>）或授权代表签字或者加盖公章。由授权代表签字的，应当附授权委托书。供应商为自然人的，应当由本人签字并附身份证明。</w:t>
      </w:r>
    </w:p>
    <w:p>
      <w:pPr>
        <w:numPr>
          <w:ilvl w:val="1"/>
          <w:numId w:val="2"/>
        </w:numPr>
        <w:tabs>
          <w:tab w:val="left" w:pos="1080"/>
          <w:tab w:val="left" w:pos="1872"/>
        </w:tabs>
        <w:snapToGrid w:val="0"/>
        <w:spacing w:line="360" w:lineRule="auto"/>
        <w:ind w:left="1077" w:hanging="720"/>
        <w:rPr>
          <w:rFonts w:ascii="宋体" w:hAnsi="宋体"/>
          <w:sz w:val="24"/>
        </w:rPr>
      </w:pPr>
      <w:r>
        <w:rPr>
          <w:rFonts w:hint="eastAsia" w:ascii="宋体" w:hAnsi="宋体"/>
          <w:sz w:val="24"/>
        </w:rPr>
        <w:t>响应文件的澄清、说明或者更正：</w:t>
      </w:r>
    </w:p>
    <w:p>
      <w:pPr>
        <w:numPr>
          <w:ilvl w:val="2"/>
          <w:numId w:val="2"/>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2"/>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pPr>
        <w:numPr>
          <w:ilvl w:val="2"/>
          <w:numId w:val="2"/>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rPr>
        <w:t>（</w:t>
      </w:r>
      <w:r>
        <w:rPr>
          <w:rFonts w:ascii="宋体" w:hAnsi="宋体"/>
          <w:color w:val="000000"/>
          <w:sz w:val="24"/>
        </w:rPr>
        <w:t>若</w:t>
      </w:r>
      <w:r>
        <w:rPr>
          <w:rFonts w:hint="eastAsia" w:ascii="宋体" w:hAnsi="宋体"/>
          <w:color w:val="000000"/>
          <w:sz w:val="24"/>
        </w:rPr>
        <w:t>供应商</w:t>
      </w:r>
      <w:r>
        <w:rPr>
          <w:rFonts w:ascii="宋体" w:hAnsi="宋体"/>
          <w:color w:val="000000"/>
          <w:sz w:val="24"/>
        </w:rPr>
        <w:t>为事业单位或其他组织或分支机构，可为单位负责人</w:t>
      </w:r>
      <w:r>
        <w:rPr>
          <w:rFonts w:ascii="宋体" w:hAnsi="宋体"/>
          <w:kern w:val="0"/>
          <w:sz w:val="24"/>
        </w:rPr>
        <w:t>）</w:t>
      </w:r>
      <w:r>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pPr>
        <w:numPr>
          <w:ilvl w:val="1"/>
          <w:numId w:val="2"/>
        </w:numPr>
        <w:tabs>
          <w:tab w:val="left" w:pos="1080"/>
          <w:tab w:val="left" w:pos="1872"/>
        </w:tabs>
        <w:snapToGrid w:val="0"/>
        <w:spacing w:line="360" w:lineRule="auto"/>
        <w:ind w:left="1077" w:hanging="720"/>
        <w:rPr>
          <w:rFonts w:ascii="宋体" w:hAnsi="宋体"/>
          <w:snapToGrid w:val="0"/>
          <w:sz w:val="24"/>
        </w:rPr>
      </w:pPr>
      <w:bookmarkStart w:id="642" w:name="_Hlk220085436"/>
      <w:r>
        <w:rPr>
          <w:rFonts w:hint="eastAsia" w:ascii="宋体" w:hAnsi="宋体"/>
          <w:snapToGrid w:val="0"/>
          <w:sz w:val="24"/>
        </w:rPr>
        <w:t>异常低价处理</w:t>
      </w:r>
    </w:p>
    <w:p>
      <w:pPr>
        <w:numPr>
          <w:ilvl w:val="2"/>
          <w:numId w:val="2"/>
        </w:numPr>
        <w:snapToGrid w:val="0"/>
        <w:spacing w:line="360" w:lineRule="auto"/>
        <w:rPr>
          <w:rFonts w:ascii="宋体" w:hAnsi="宋体"/>
          <w:sz w:val="24"/>
        </w:rPr>
      </w:pPr>
      <w:r>
        <w:rPr>
          <w:rFonts w:hint="eastAsia" w:ascii="宋体" w:hAnsi="宋体"/>
          <w:sz w:val="24"/>
        </w:rPr>
        <w:t>政府采购评审中出现下列情形之一的，评审委员会应当启动异常低价投标（响应）审查程序：</w:t>
      </w:r>
    </w:p>
    <w:p>
      <w:pPr>
        <w:snapToGrid w:val="0"/>
        <w:spacing w:line="360" w:lineRule="auto"/>
        <w:ind w:left="198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）投标（响应）报价低于全部通过符合性审查供应商投标（响应）报价平均值</w:t>
      </w:r>
      <w:r>
        <w:rPr>
          <w:rFonts w:ascii="宋体" w:hAnsi="宋体"/>
          <w:sz w:val="24"/>
          <w:u w:val="single"/>
        </w:rPr>
        <w:t xml:space="preserve">  50  </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全部通过符合性审查供应商投标（响应）报价平均值×</w:t>
      </w:r>
      <w:r>
        <w:rPr>
          <w:rFonts w:ascii="宋体" w:hAnsi="宋体"/>
          <w:sz w:val="24"/>
          <w:u w:val="single"/>
        </w:rPr>
        <w:t xml:space="preserve">  50  </w:t>
      </w:r>
      <w:r>
        <w:rPr>
          <w:rFonts w:ascii="宋体" w:hAnsi="宋体"/>
          <w:sz w:val="24"/>
        </w:rPr>
        <w:t>%</w:t>
      </w:r>
      <w:r>
        <w:rPr>
          <w:rFonts w:hint="eastAsia" w:ascii="宋体" w:hAnsi="宋体"/>
          <w:sz w:val="24"/>
        </w:rPr>
        <w:t>；</w:t>
      </w:r>
    </w:p>
    <w:p>
      <w:pPr>
        <w:snapToGrid w:val="0"/>
        <w:spacing w:line="360" w:lineRule="auto"/>
        <w:ind w:left="19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）投标（响应）报价低于通过符合性审查的次低报价供应商投标（响应）报价</w:t>
      </w:r>
      <w:r>
        <w:rPr>
          <w:rFonts w:ascii="宋体" w:hAnsi="宋体"/>
          <w:sz w:val="24"/>
          <w:u w:val="single"/>
        </w:rPr>
        <w:t xml:space="preserve">  50  </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通过符合性审查的次低报价供应商投标（响应）报价×</w:t>
      </w:r>
      <w:r>
        <w:rPr>
          <w:rFonts w:ascii="宋体" w:hAnsi="宋体"/>
          <w:sz w:val="24"/>
          <w:u w:val="single"/>
        </w:rPr>
        <w:t xml:space="preserve">  50  </w:t>
      </w:r>
      <w:r>
        <w:rPr>
          <w:rFonts w:ascii="宋体" w:hAnsi="宋体"/>
          <w:sz w:val="24"/>
        </w:rPr>
        <w:t>%</w:t>
      </w:r>
      <w:r>
        <w:rPr>
          <w:rFonts w:hint="eastAsia" w:ascii="宋体" w:hAnsi="宋体"/>
          <w:sz w:val="24"/>
        </w:rPr>
        <w:t>；</w:t>
      </w:r>
    </w:p>
    <w:p>
      <w:pPr>
        <w:snapToGrid w:val="0"/>
        <w:spacing w:line="360" w:lineRule="auto"/>
        <w:ind w:left="19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）投标（响应）报价低于采购项目最高限价</w:t>
      </w:r>
      <w:r>
        <w:rPr>
          <w:rFonts w:ascii="宋体" w:hAnsi="宋体"/>
          <w:sz w:val="24"/>
          <w:u w:val="single"/>
        </w:rPr>
        <w:t xml:space="preserve">  45  </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采购项目最高限价×</w:t>
      </w:r>
      <w:r>
        <w:rPr>
          <w:rFonts w:ascii="宋体" w:hAnsi="宋体"/>
          <w:sz w:val="24"/>
          <w:u w:val="single"/>
        </w:rPr>
        <w:t xml:space="preserve">  45  </w:t>
      </w:r>
      <w:r>
        <w:rPr>
          <w:rFonts w:ascii="宋体" w:hAnsi="宋体"/>
          <w:sz w:val="24"/>
        </w:rPr>
        <w:t>%</w:t>
      </w:r>
      <w:r>
        <w:rPr>
          <w:rFonts w:hint="eastAsia" w:ascii="宋体" w:hAnsi="宋体"/>
          <w:sz w:val="24"/>
        </w:rPr>
        <w:t>；未设定最高限价的采购项目，以采购项目预算金额作为最高限价；</w:t>
      </w:r>
    </w:p>
    <w:p>
      <w:pPr>
        <w:snapToGrid w:val="0"/>
        <w:spacing w:line="360" w:lineRule="auto"/>
        <w:ind w:left="198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）评审委员会基于专业判断，认为供应商报价过低，有可能影响产品质量或者不能诚信履约的其他情形 。</w:t>
      </w:r>
    </w:p>
    <w:p>
      <w:pPr>
        <w:numPr>
          <w:ilvl w:val="2"/>
          <w:numId w:val="2"/>
        </w:numPr>
        <w:snapToGrid w:val="0"/>
        <w:spacing w:line="360" w:lineRule="auto"/>
        <w:rPr>
          <w:rFonts w:ascii="宋体" w:hAnsi="宋体"/>
          <w:sz w:val="24"/>
        </w:rPr>
      </w:pPr>
      <w:r>
        <w:rPr>
          <w:rFonts w:hint="eastAsia" w:ascii="宋体" w:hAnsi="宋体"/>
          <w:sz w:val="24"/>
        </w:rPr>
        <w:t>评审委员会启动异常低价投标（响应）审查后，属于前述第（</w:t>
      </w:r>
      <w:r>
        <w:rPr>
          <w:rFonts w:ascii="宋体" w:hAnsi="宋体"/>
          <w:sz w:val="24"/>
        </w:rPr>
        <w:t>1</w:t>
      </w:r>
      <w:r>
        <w:rPr>
          <w:rFonts w:hint="eastAsia" w:ascii="宋体" w:hAnsi="宋体"/>
          <w:sz w:val="24"/>
        </w:rPr>
        <w:t>）项至第（</w:t>
      </w:r>
      <w:r>
        <w:rPr>
          <w:rFonts w:ascii="宋体" w:hAnsi="宋体"/>
          <w:sz w:val="24"/>
        </w:rPr>
        <w:t>4</w:t>
      </w:r>
      <w:r>
        <w:rPr>
          <w:rFonts w:hint="eastAsia" w:ascii="宋体" w:hAnsi="宋体"/>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hint="eastAsia" w:ascii="宋体" w:hAnsi="宋体"/>
          <w:sz w:val="24"/>
        </w:rPr>
        <w:t>分钟。其中，属于第（</w:t>
      </w:r>
      <w:r>
        <w:rPr>
          <w:rFonts w:ascii="宋体" w:hAnsi="宋体"/>
          <w:sz w:val="24"/>
        </w:rPr>
        <w:t>3</w:t>
      </w:r>
      <w:r>
        <w:rPr>
          <w:rFonts w:hint="eastAsia" w:ascii="宋体" w:hAnsi="宋体"/>
          <w:sz w:val="24"/>
        </w:rPr>
        <w:t>）项情形，供应商已随投标（响应）文件一并提交相关书面说明及必要的证明材料的，在评审现场可不再重复提交。</w:t>
      </w:r>
    </w:p>
    <w:p>
      <w:pPr>
        <w:numPr>
          <w:ilvl w:val="2"/>
          <w:numId w:val="2"/>
        </w:numPr>
        <w:snapToGrid w:val="0"/>
        <w:spacing w:line="360" w:lineRule="auto"/>
        <w:rPr>
          <w:rFonts w:ascii="宋体" w:hAnsi="宋体"/>
          <w:sz w:val="24"/>
        </w:rPr>
      </w:pPr>
      <w:r>
        <w:rPr>
          <w:rFonts w:hint="eastAsia" w:ascii="宋体" w:hAnsi="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2"/>
        </w:numPr>
        <w:snapToGrid w:val="0"/>
        <w:spacing w:line="360" w:lineRule="auto"/>
        <w:rPr>
          <w:rFonts w:ascii="宋体" w:hAnsi="宋体"/>
          <w:sz w:val="24"/>
        </w:rPr>
      </w:pPr>
      <w:bookmarkStart w:id="643" w:name="_Hlk190337965"/>
      <w:r>
        <w:rPr>
          <w:rFonts w:hint="eastAsia" w:ascii="宋体" w:hAnsi="宋体"/>
          <w:sz w:val="24"/>
        </w:rPr>
        <w:t>上述投标（响应）报价指按照本章</w:t>
      </w:r>
      <w:r>
        <w:rPr>
          <w:rFonts w:ascii="宋体" w:hAnsi="宋体"/>
          <w:sz w:val="24"/>
        </w:rPr>
        <w:t>3.2</w:t>
      </w:r>
      <w:r>
        <w:rPr>
          <w:rFonts w:hint="eastAsia" w:ascii="宋体" w:hAnsi="宋体"/>
          <w:sz w:val="24"/>
        </w:rPr>
        <w:t>修正后的报价</w:t>
      </w:r>
      <w:bookmarkEnd w:id="643"/>
      <w:r>
        <w:rPr>
          <w:rFonts w:hint="eastAsia" w:ascii="宋体" w:hAnsi="宋体"/>
          <w:sz w:val="24"/>
        </w:rPr>
        <w:t>。</w:t>
      </w:r>
      <w:bookmarkEnd w:id="642"/>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pPr>
        <w:numPr>
          <w:ilvl w:val="0"/>
          <w:numId w:val="2"/>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pPr>
        <w:tabs>
          <w:tab w:val="left" w:pos="1080"/>
          <w:tab w:val="left" w:pos="1589"/>
          <w:tab w:val="left" w:pos="2035"/>
          <w:tab w:val="left" w:pos="2114"/>
        </w:tabs>
        <w:snapToGrid w:val="0"/>
        <w:spacing w:line="360" w:lineRule="auto"/>
        <w:ind w:left="2035"/>
        <w:rPr>
          <w:rFonts w:ascii="宋体" w:hAnsi="宋体"/>
          <w:sz w:val="24"/>
        </w:rPr>
      </w:pPr>
      <w:r>
        <w:rPr>
          <w:rFonts w:ascii="宋体" w:hAnsi="宋体"/>
          <w:color w:val="000000"/>
          <w:sz w:val="24"/>
        </w:rPr>
        <w:t>■</w:t>
      </w:r>
      <w:r>
        <w:rPr>
          <w:rFonts w:ascii="宋体" w:hAnsi="宋体"/>
          <w:sz w:val="24"/>
        </w:rPr>
        <w:t>无，按下述3.2.2-3.2.5项规定修正。</w:t>
      </w:r>
    </w:p>
    <w:p>
      <w:pPr>
        <w:numPr>
          <w:ilvl w:val="2"/>
          <w:numId w:val="2"/>
        </w:numPr>
        <w:tabs>
          <w:tab w:val="left" w:pos="2035"/>
          <w:tab w:val="left" w:pos="2114"/>
          <w:tab w:val="left" w:pos="2977"/>
        </w:tabs>
        <w:snapToGrid w:val="0"/>
        <w:spacing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大写金额和小写金额不一致的，以大写金额为准；</w:t>
      </w:r>
    </w:p>
    <w:p>
      <w:pPr>
        <w:numPr>
          <w:ilvl w:val="2"/>
          <w:numId w:val="2"/>
        </w:numPr>
        <w:tabs>
          <w:tab w:val="left" w:pos="2035"/>
          <w:tab w:val="left" w:pos="2114"/>
          <w:tab w:val="left" w:pos="2977"/>
        </w:tabs>
        <w:snapToGrid w:val="0"/>
        <w:spacing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单价金额小数点或者百分比有明显错位的，以总价为准，并修改单价；</w:t>
      </w:r>
    </w:p>
    <w:p>
      <w:pPr>
        <w:numPr>
          <w:ilvl w:val="2"/>
          <w:numId w:val="2"/>
        </w:numPr>
        <w:tabs>
          <w:tab w:val="left" w:pos="2035"/>
          <w:tab w:val="left" w:pos="2114"/>
          <w:tab w:val="left" w:pos="2977"/>
        </w:tabs>
        <w:snapToGrid w:val="0"/>
        <w:spacing w:line="360" w:lineRule="auto"/>
        <w:ind w:left="203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总价金额与按单价汇总金额不一致的，以单价金额计算结果为准。</w:t>
      </w:r>
    </w:p>
    <w:p>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w:t>
      </w:r>
    </w:p>
    <w:p>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对于未预留份额专门面向中小企业采购的采购项目，以及预留份额项目中的非预留部分采购包，对小微企业报价给予___/___%的扣除，用扣除后的价格参加评审。</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pPr>
        <w:numPr>
          <w:ilvl w:val="2"/>
          <w:numId w:val="2"/>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pPr>
        <w:numPr>
          <w:ilvl w:val="1"/>
          <w:numId w:val="2"/>
        </w:numPr>
        <w:tabs>
          <w:tab w:val="left" w:pos="1080"/>
        </w:tabs>
        <w:snapToGrid w:val="0"/>
        <w:spacing w:line="360" w:lineRule="auto"/>
        <w:ind w:left="1077" w:hanging="720"/>
        <w:rPr>
          <w:rFonts w:ascii="宋体" w:hAnsi="宋体"/>
          <w:sz w:val="24"/>
        </w:rPr>
      </w:pPr>
      <w:r>
        <w:rPr>
          <w:rFonts w:hint="eastAsia" w:ascii="宋体" w:hAnsi="宋体"/>
          <w:sz w:val="24"/>
        </w:rPr>
        <w:t>支持本国产品政府采购</w:t>
      </w:r>
      <w:r>
        <w:rPr>
          <w:rFonts w:ascii="宋体" w:hAnsi="宋体"/>
          <w:sz w:val="24"/>
        </w:rPr>
        <w:t>的价格调整：只有符合第二章《</w:t>
      </w:r>
      <w:r>
        <w:rPr>
          <w:rFonts w:hint="eastAsia" w:ascii="宋体" w:hAnsi="宋体"/>
          <w:sz w:val="24"/>
        </w:rPr>
        <w:t>供应商</w:t>
      </w:r>
      <w:r>
        <w:rPr>
          <w:rFonts w:ascii="宋体" w:hAnsi="宋体"/>
          <w:sz w:val="24"/>
        </w:rPr>
        <w:t>须知》4.2条规定情形的，可以享受</w:t>
      </w:r>
      <w:r>
        <w:rPr>
          <w:rFonts w:hint="eastAsia" w:ascii="宋体" w:hAnsi="宋体"/>
          <w:sz w:val="24"/>
        </w:rPr>
        <w:t>本国产品支持</w:t>
      </w:r>
      <w:r>
        <w:rPr>
          <w:rFonts w:ascii="宋体" w:hAnsi="宋体"/>
          <w:sz w:val="24"/>
        </w:rPr>
        <w:t>政策，用扣除后的价格参加评审；否则，评</w:t>
      </w:r>
      <w:r>
        <w:rPr>
          <w:rFonts w:hint="eastAsia" w:ascii="宋体" w:hAnsi="宋体"/>
          <w:sz w:val="24"/>
        </w:rPr>
        <w:t>审</w:t>
      </w:r>
      <w:r>
        <w:rPr>
          <w:rFonts w:ascii="宋体" w:hAnsi="宋体"/>
          <w:sz w:val="24"/>
        </w:rPr>
        <w:t>时价格不予扣除。</w:t>
      </w:r>
    </w:p>
    <w:p>
      <w:pPr>
        <w:numPr>
          <w:ilvl w:val="2"/>
          <w:numId w:val="2"/>
        </w:numPr>
        <w:tabs>
          <w:tab w:val="left" w:pos="1080"/>
          <w:tab w:val="left" w:pos="2100"/>
          <w:tab w:val="clear" w:pos="1980"/>
        </w:tabs>
        <w:snapToGrid w:val="0"/>
        <w:spacing w:line="360" w:lineRule="auto"/>
        <w:ind w:left="2088" w:leftChars="502" w:hanging="1034" w:hangingChars="431"/>
        <w:rPr>
          <w:rFonts w:ascii="宋体" w:hAnsi="宋体"/>
          <w:sz w:val="24"/>
        </w:rPr>
      </w:pPr>
      <w:r>
        <w:rPr>
          <w:rFonts w:hint="eastAsia" w:ascii="宋体" w:hAnsi="宋体"/>
          <w:sz w:val="24"/>
        </w:rPr>
        <w:t>本项目既有本国产品又有非本国产品参与竞争的，依法对本国产品给予价格评审优惠，对本国产品的报价给予20%的价格扣除，用扣除后的价格参与评审。</w:t>
      </w:r>
    </w:p>
    <w:p>
      <w:pPr>
        <w:numPr>
          <w:ilvl w:val="2"/>
          <w:numId w:val="2"/>
        </w:numPr>
        <w:tabs>
          <w:tab w:val="left" w:pos="1080"/>
          <w:tab w:val="left" w:pos="2100"/>
          <w:tab w:val="clear" w:pos="1980"/>
        </w:tabs>
        <w:snapToGrid w:val="0"/>
        <w:spacing w:line="360" w:lineRule="auto"/>
        <w:ind w:left="2088" w:leftChars="502" w:hanging="1034" w:hangingChars="431"/>
        <w:rPr>
          <w:rFonts w:ascii="宋体" w:hAnsi="宋体"/>
          <w:sz w:val="24"/>
        </w:rPr>
      </w:pPr>
      <w:r>
        <w:rPr>
          <w:rFonts w:hint="eastAsia" w:ascii="宋体" w:hAnsi="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2"/>
        </w:numPr>
        <w:tabs>
          <w:tab w:val="left" w:pos="1080"/>
          <w:tab w:val="left" w:pos="2100"/>
          <w:tab w:val="clear" w:pos="1980"/>
        </w:tabs>
        <w:snapToGrid w:val="0"/>
        <w:spacing w:line="360" w:lineRule="auto"/>
        <w:ind w:left="2088" w:leftChars="502" w:hanging="1034" w:hangingChars="431"/>
        <w:rPr>
          <w:rFonts w:ascii="宋体" w:hAnsi="宋体"/>
          <w:sz w:val="24"/>
        </w:rPr>
      </w:pPr>
      <w:r>
        <w:rPr>
          <w:rFonts w:hint="eastAsia" w:ascii="宋体" w:hAnsi="宋体"/>
          <w:sz w:val="24"/>
        </w:rPr>
        <w:t>供应商提供本国产品参加政府采购活动的，</w:t>
      </w:r>
      <w:r>
        <w:rPr>
          <w:rFonts w:ascii="宋体" w:hAnsi="宋体"/>
          <w:sz w:val="24"/>
        </w:rPr>
        <w:t>应当按照</w:t>
      </w:r>
      <w:r>
        <w:rPr>
          <w:rFonts w:hint="eastAsia" w:ascii="宋体" w:hAnsi="宋体"/>
          <w:sz w:val="24"/>
        </w:rPr>
        <w:t>采购</w:t>
      </w:r>
      <w:r>
        <w:rPr>
          <w:rFonts w:ascii="宋体" w:hAnsi="宋体"/>
          <w:sz w:val="24"/>
        </w:rPr>
        <w:t>文件给定的格式出具《</w:t>
      </w:r>
      <w:r>
        <w:rPr>
          <w:rFonts w:hint="eastAsia" w:ascii="宋体" w:hAnsi="宋体"/>
          <w:sz w:val="24"/>
        </w:rPr>
        <w:t>关于符合本国产品标准的声明函》或提供财政部会同有关部门规定的有关证明文件，否则视为非本国产品。</w:t>
      </w:r>
    </w:p>
    <w:p>
      <w:pPr>
        <w:numPr>
          <w:ilvl w:val="0"/>
          <w:numId w:val="2"/>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号条款或磋商文件技术指标超出磋商文件《采购需求》中主要技术参数允许偏差的最大范围的（如有）；</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pPr>
        <w:numPr>
          <w:ilvl w:val="1"/>
          <w:numId w:val="2"/>
        </w:numPr>
        <w:tabs>
          <w:tab w:val="left" w:pos="1080"/>
        </w:tabs>
        <w:snapToGrid w:val="0"/>
        <w:spacing w:line="360" w:lineRule="auto"/>
        <w:ind w:left="1077" w:hanging="720"/>
        <w:rPr>
          <w:rFonts w:ascii="宋体" w:hAnsi="宋体"/>
          <w:sz w:val="24"/>
        </w:rPr>
      </w:pPr>
      <w:r>
        <w:rPr>
          <w:rFonts w:ascii="宋体" w:hAnsi="宋体"/>
          <w:sz w:val="24"/>
        </w:rPr>
        <w:t>其他：___/___。</w:t>
      </w:r>
    </w:p>
    <w:p>
      <w:pPr>
        <w:numPr>
          <w:ilvl w:val="0"/>
          <w:numId w:val="2"/>
        </w:numPr>
        <w:tabs>
          <w:tab w:val="left" w:pos="360"/>
        </w:tabs>
        <w:snapToGrid w:val="0"/>
        <w:spacing w:line="360" w:lineRule="auto"/>
        <w:outlineLvl w:val="1"/>
        <w:rPr>
          <w:rFonts w:ascii="宋体" w:hAnsi="宋体"/>
          <w:sz w:val="24"/>
        </w:rPr>
      </w:pPr>
      <w:r>
        <w:rPr>
          <w:rFonts w:ascii="宋体" w:hAnsi="宋体"/>
          <w:sz w:val="24"/>
        </w:rPr>
        <w:t>评审方法和评审标准</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非政府强制采购的节能产品或环境标志产品，依据品目清单和认证证书实施政府优先采购。优先采购的具体规定（如涉及）___/___。</w:t>
      </w:r>
    </w:p>
    <w:p>
      <w:pPr>
        <w:numPr>
          <w:ilvl w:val="0"/>
          <w:numId w:val="2"/>
        </w:numPr>
        <w:tabs>
          <w:tab w:val="left" w:pos="360"/>
        </w:tabs>
        <w:snapToGrid w:val="0"/>
        <w:spacing w:line="360" w:lineRule="auto"/>
        <w:outlineLvl w:val="1"/>
        <w:rPr>
          <w:rFonts w:ascii="宋体" w:hAnsi="宋体"/>
          <w:sz w:val="24"/>
        </w:rPr>
      </w:pPr>
      <w:r>
        <w:rPr>
          <w:rFonts w:ascii="宋体" w:hAnsi="宋体"/>
          <w:sz w:val="24"/>
        </w:rPr>
        <w:t>确定</w:t>
      </w:r>
      <w:bookmarkStart w:id="644" w:name="_Toc151193788"/>
      <w:bookmarkStart w:id="645" w:name="_Toc164608660"/>
      <w:bookmarkStart w:id="646" w:name="_Toc164229387"/>
      <w:bookmarkStart w:id="647" w:name="_Toc164351640"/>
      <w:bookmarkStart w:id="648" w:name="_Toc150774751"/>
      <w:bookmarkStart w:id="649" w:name="_Toc151193644"/>
      <w:bookmarkStart w:id="650" w:name="_Toc226965736"/>
      <w:bookmarkStart w:id="651" w:name="_Toc127161460"/>
      <w:bookmarkStart w:id="652" w:name="_Toc226965819"/>
      <w:bookmarkStart w:id="653" w:name="_Toc127151747"/>
      <w:bookmarkStart w:id="654" w:name="_Toc305158888"/>
      <w:bookmarkStart w:id="655" w:name="_Toc164229241"/>
      <w:bookmarkStart w:id="656" w:name="_Toc151193716"/>
      <w:bookmarkStart w:id="657" w:name="_Toc151190173"/>
      <w:bookmarkStart w:id="658" w:name="_Toc305158814"/>
      <w:bookmarkStart w:id="659" w:name="_Toc265228384"/>
      <w:bookmarkStart w:id="660" w:name="_Toc195842911"/>
      <w:bookmarkStart w:id="661" w:name="_Toc264969236"/>
      <w:bookmarkStart w:id="662" w:name="_Toc151193860"/>
      <w:bookmarkStart w:id="663" w:name="_Toc151193934"/>
      <w:bookmarkStart w:id="664" w:name="_Toc127151546"/>
      <w:bookmarkStart w:id="665" w:name="_Toc142311048"/>
      <w:bookmarkStart w:id="666" w:name="_Toc150509297"/>
      <w:bookmarkStart w:id="667" w:name="_Toc226337242"/>
      <w:bookmarkStart w:id="668" w:name="_Toc520356170"/>
      <w:bookmarkStart w:id="669" w:name="_Ref467307010"/>
      <w:bookmarkStart w:id="670" w:name="_Toc226309790"/>
      <w:bookmarkStart w:id="671" w:name="_Toc164608815"/>
      <w:bookmarkStart w:id="672" w:name="_Toc150774646"/>
      <w:bookmarkStart w:id="673" w:name="_Toc150480784"/>
      <w:bookmarkStart w:id="674" w:name="_Toc149720839"/>
      <w:r>
        <w:rPr>
          <w:rFonts w:ascii="宋体" w:hAnsi="宋体"/>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sz w:val="24"/>
        </w:rPr>
        <w:t>___3___名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pPr>
        <w:numPr>
          <w:ilvl w:val="1"/>
          <w:numId w:val="2"/>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pPr>
        <w:numPr>
          <w:ilvl w:val="0"/>
          <w:numId w:val="2"/>
        </w:numPr>
        <w:tabs>
          <w:tab w:val="left" w:pos="360"/>
        </w:tabs>
        <w:snapToGrid w:val="0"/>
        <w:spacing w:line="360" w:lineRule="auto"/>
        <w:outlineLvl w:val="1"/>
        <w:rPr>
          <w:rFonts w:ascii="宋体" w:hAnsi="宋体"/>
          <w:sz w:val="24"/>
        </w:rPr>
      </w:pPr>
      <w:r>
        <w:rPr>
          <w:rFonts w:ascii="宋体" w:hAnsi="宋体"/>
          <w:sz w:val="24"/>
        </w:rPr>
        <w:t>报告违法行为</w:t>
      </w:r>
    </w:p>
    <w:p>
      <w:pPr>
        <w:widowControl/>
        <w:numPr>
          <w:ilvl w:val="1"/>
          <w:numId w:val="2"/>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hint="eastAsia" w:ascii="宋体" w:hAnsi="宋体"/>
          <w:sz w:val="24"/>
        </w:rPr>
        <w:t>应当及时向财政部门报告</w:t>
      </w:r>
      <w:r>
        <w:rPr>
          <w:rFonts w:ascii="宋体" w:hAnsi="宋体"/>
          <w:sz w:val="24"/>
        </w:rPr>
        <w:t>。</w:t>
      </w:r>
      <w:r>
        <w:rPr>
          <w:rFonts w:ascii="宋体" w:hAnsi="宋体"/>
          <w:b/>
          <w:sz w:val="24"/>
        </w:rPr>
        <w:br w:type="page"/>
      </w:r>
    </w:p>
    <w:p>
      <w:pPr>
        <w:pStyle w:val="3"/>
        <w:spacing w:before="0" w:line="360" w:lineRule="auto"/>
        <w:rPr>
          <w:rFonts w:ascii="宋体" w:hAnsi="宋体" w:eastAsia="宋体"/>
          <w:color w:val="000000"/>
          <w:sz w:val="24"/>
          <w:szCs w:val="24"/>
        </w:rPr>
      </w:pPr>
      <w:r>
        <w:rPr>
          <w:rFonts w:ascii="宋体" w:hAnsi="宋体" w:eastAsia="宋体"/>
          <w:color w:val="000000"/>
          <w:sz w:val="24"/>
          <w:szCs w:val="24"/>
        </w:rPr>
        <w:t>二、评</w:t>
      </w:r>
      <w:r>
        <w:rPr>
          <w:rFonts w:hint="eastAsia" w:ascii="宋体" w:hAnsi="宋体" w:eastAsia="宋体"/>
          <w:color w:val="000000"/>
          <w:sz w:val="24"/>
          <w:szCs w:val="24"/>
        </w:rPr>
        <w:t>审</w:t>
      </w:r>
      <w:r>
        <w:rPr>
          <w:rFonts w:ascii="宋体" w:hAnsi="宋体" w:eastAsia="宋体"/>
          <w:color w:val="000000"/>
          <w:sz w:val="24"/>
          <w:szCs w:val="24"/>
        </w:rPr>
        <w:t>标准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3"/>
        <w:gridCol w:w="1070"/>
        <w:gridCol w:w="921"/>
        <w:gridCol w:w="3847"/>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eastAsia="zh-CN"/>
              </w:rPr>
            </w:pPr>
            <w:bookmarkStart w:id="675" w:name="_Toc226018954"/>
            <w:r>
              <w:rPr>
                <w:rFonts w:hint="eastAsia" w:eastAsia="宋体"/>
                <w:vertAlign w:val="baseline"/>
                <w:lang w:eastAsia="zh-CN"/>
              </w:rPr>
              <w:t>序号</w:t>
            </w:r>
          </w:p>
        </w:tc>
        <w:tc>
          <w:tcPr>
            <w:tcW w:w="2153" w:type="dxa"/>
            <w:gridSpan w:val="2"/>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评分因素</w:t>
            </w:r>
          </w:p>
        </w:tc>
        <w:tc>
          <w:tcPr>
            <w:tcW w:w="921" w:type="dxa"/>
            <w:vAlign w:val="center"/>
          </w:tcPr>
          <w:p>
            <w:pPr>
              <w:widowControl w:val="0"/>
              <w:jc w:val="center"/>
              <w:rPr>
                <w:rFonts w:hint="eastAsia" w:eastAsia="宋体"/>
                <w:vertAlign w:val="baseline"/>
                <w:lang w:eastAsia="zh-CN"/>
              </w:rPr>
            </w:pPr>
            <w:r>
              <w:rPr>
                <w:rFonts w:hint="eastAsia" w:eastAsia="宋体"/>
                <w:vertAlign w:val="baseline"/>
                <w:lang w:eastAsia="zh-CN"/>
              </w:rPr>
              <w:t>分值</w:t>
            </w:r>
          </w:p>
        </w:tc>
        <w:tc>
          <w:tcPr>
            <w:tcW w:w="3847" w:type="dxa"/>
            <w:vAlign w:val="center"/>
          </w:tcPr>
          <w:p>
            <w:pPr>
              <w:widowControl w:val="0"/>
              <w:jc w:val="center"/>
              <w:rPr>
                <w:rFonts w:hint="eastAsia" w:eastAsia="宋体"/>
                <w:vertAlign w:val="baseline"/>
                <w:lang w:eastAsia="zh-CN"/>
              </w:rPr>
            </w:pPr>
            <w:r>
              <w:rPr>
                <w:rFonts w:hint="eastAsia" w:eastAsia="宋体"/>
                <w:vertAlign w:val="baseline"/>
                <w:lang w:eastAsia="zh-CN"/>
              </w:rPr>
              <w:t>评分标准</w:t>
            </w:r>
          </w:p>
        </w:tc>
        <w:tc>
          <w:tcPr>
            <w:tcW w:w="954" w:type="dxa"/>
            <w:vAlign w:val="center"/>
          </w:tcPr>
          <w:p>
            <w:pPr>
              <w:widowControl w:val="0"/>
              <w:jc w:val="center"/>
              <w:rPr>
                <w:rFonts w:hint="eastAsia" w:eastAsia="宋体"/>
                <w:vertAlign w:val="baseline"/>
                <w:lang w:eastAsia="zh-CN"/>
              </w:rPr>
            </w:pPr>
            <w:r>
              <w:rPr>
                <w:rFonts w:hint="eastAsia" w:eastAsia="宋体"/>
                <w:vertAlign w:val="baseline"/>
                <w:lang w:eastAsia="zh-CN"/>
              </w:rPr>
              <w:t>是否客观分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1</w:t>
            </w:r>
          </w:p>
        </w:tc>
        <w:tc>
          <w:tcPr>
            <w:tcW w:w="1083" w:type="dxa"/>
            <w:vAlign w:val="center"/>
          </w:tcPr>
          <w:p>
            <w:pPr>
              <w:widowControl w:val="0"/>
              <w:jc w:val="center"/>
              <w:rPr>
                <w:rFonts w:hint="eastAsia" w:ascii="宋体" w:hAnsi="宋体" w:eastAsia="宋体" w:cs="宋体"/>
                <w:snapToGrid w:val="0"/>
                <w:color w:val="000000"/>
                <w:spacing w:val="-6"/>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报价部分（10分）</w:t>
            </w:r>
          </w:p>
        </w:tc>
        <w:tc>
          <w:tcPr>
            <w:tcW w:w="1070" w:type="dxa"/>
            <w:vAlign w:val="center"/>
          </w:tcPr>
          <w:p>
            <w:pPr>
              <w:widowControl w:val="0"/>
              <w:jc w:val="both"/>
              <w:rPr>
                <w:rFonts w:hint="eastAsia" w:ascii="宋体" w:hAnsi="宋体" w:eastAsia="宋体" w:cs="宋体"/>
                <w:snapToGrid w:val="0"/>
                <w:color w:val="000000"/>
                <w:spacing w:val="-6"/>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报价</w:t>
            </w:r>
          </w:p>
        </w:tc>
        <w:tc>
          <w:tcPr>
            <w:tcW w:w="921" w:type="dxa"/>
            <w:vAlign w:val="center"/>
          </w:tcPr>
          <w:p>
            <w:pPr>
              <w:widowControl w:val="0"/>
              <w:jc w:val="center"/>
              <w:rPr>
                <w:rFonts w:hint="default" w:ascii="宋体" w:hAnsi="宋体" w:eastAsia="宋体" w:cs="宋体"/>
                <w:snapToGrid w:val="0"/>
                <w:color w:val="000000"/>
                <w:spacing w:val="-6"/>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0-10</w:t>
            </w:r>
          </w:p>
        </w:tc>
        <w:tc>
          <w:tcPr>
            <w:tcW w:w="3847" w:type="dxa"/>
            <w:shd w:val="clear" w:color="auto" w:fill="auto"/>
            <w:vAlign w:val="center"/>
          </w:tcPr>
          <w:p>
            <w:pPr>
              <w:widowControl w:val="0"/>
              <w:ind w:firstLine="28"/>
              <w:jc w:val="left"/>
              <w:rPr>
                <w:rFonts w:ascii="宋体" w:hAnsi="宋体" w:eastAsia="宋体" w:cs="宋体"/>
                <w:snapToGrid w:val="0"/>
                <w:color w:val="000000"/>
                <w:spacing w:val="-6"/>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满足磋商文件要求的最后报价最低的供应商的价格为磋商基准价，其价格分为满分。其他供应商的价格分统一按照下列公式计算：</w:t>
            </w:r>
          </w:p>
          <w:p>
            <w:pPr>
              <w:widowControl w:val="0"/>
              <w:ind w:firstLine="28"/>
              <w:jc w:val="left"/>
              <w:rPr>
                <w:rFonts w:ascii="宋体" w:hAnsi="宋体" w:eastAsia="宋体" w:cs="宋体"/>
                <w:snapToGrid w:val="0"/>
                <w:color w:val="000000"/>
                <w:spacing w:val="-6"/>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磋商报价得分=（磋商基准价/最后报价）×</w:t>
            </w:r>
            <w:r>
              <w:rPr>
                <w:rFonts w:ascii="宋体" w:hAnsi="宋体" w:eastAsia="宋体" w:cs="宋体"/>
                <w:snapToGrid w:val="0"/>
                <w:color w:val="000000"/>
                <w:spacing w:val="-6"/>
                <w:kern w:val="0"/>
                <w:sz w:val="21"/>
                <w:szCs w:val="21"/>
                <w:lang w:val="en-US" w:eastAsia="en-US" w:bidi="ar-SA"/>
              </w:rPr>
              <w:t>1</w:t>
            </w:r>
            <w:r>
              <w:rPr>
                <w:rFonts w:hint="eastAsia" w:ascii="宋体" w:hAnsi="宋体" w:eastAsia="宋体" w:cs="宋体"/>
                <w:snapToGrid w:val="0"/>
                <w:color w:val="000000"/>
                <w:spacing w:val="-6"/>
                <w:kern w:val="0"/>
                <w:sz w:val="21"/>
                <w:szCs w:val="21"/>
                <w:lang w:val="en-US" w:eastAsia="en-US" w:bidi="ar-SA"/>
              </w:rPr>
              <w:t>0</w:t>
            </w:r>
          </w:p>
          <w:p>
            <w:pPr>
              <w:widowControl w:val="0"/>
              <w:ind w:firstLine="28" w:firstLineChars="0"/>
              <w:jc w:val="left"/>
              <w:rPr>
                <w:rFonts w:ascii="宋体" w:hAnsi="宋体" w:eastAsia="宋体" w:cs="宋体"/>
                <w:snapToGrid w:val="0"/>
                <w:color w:val="000000"/>
                <w:spacing w:val="-6"/>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说明：此处最后报价指经过报价修正，及因落实政府采购政策进行价格调整后的报价，详见第三章《评审方法和评审标准》3.2、3.3</w:t>
            </w:r>
          </w:p>
        </w:tc>
        <w:tc>
          <w:tcPr>
            <w:tcW w:w="954" w:type="dxa"/>
            <w:shd w:val="clear" w:color="auto" w:fill="auto"/>
            <w:vAlign w:val="center"/>
          </w:tcPr>
          <w:p>
            <w:pPr>
              <w:widowControl w:val="0"/>
              <w:ind w:firstLine="28" w:firstLineChars="0"/>
              <w:jc w:val="center"/>
              <w:rPr>
                <w:rFonts w:hint="eastAsia" w:ascii="宋体" w:hAnsi="宋体" w:eastAsia="宋体" w:cs="Arial"/>
                <w:snapToGrid w:val="0"/>
                <w:color w:val="000000"/>
                <w:kern w:val="0"/>
                <w:sz w:val="24"/>
                <w:szCs w:val="21"/>
                <w:lang w:val="en-US" w:eastAsia="zh-CN" w:bidi="ar-SA"/>
              </w:rPr>
            </w:pPr>
            <w:r>
              <w:rPr>
                <w:rFonts w:hint="eastAsia" w:ascii="宋体" w:hAnsi="宋体" w:eastAsia="宋体"/>
                <w:color w:val="000000"/>
                <w:sz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2</w:t>
            </w:r>
          </w:p>
        </w:tc>
        <w:tc>
          <w:tcPr>
            <w:tcW w:w="1083" w:type="dxa"/>
            <w:vAlign w:val="center"/>
          </w:tcPr>
          <w:p>
            <w:pPr>
              <w:widowControl w:val="0"/>
              <w:jc w:val="center"/>
              <w:rPr>
                <w:rFonts w:hint="eastAsia" w:ascii="宋体" w:hAnsi="宋体" w:eastAsia="宋体" w:cs="宋体"/>
                <w:snapToGrid w:val="0"/>
                <w:color w:val="000000"/>
                <w:spacing w:val="-6"/>
                <w:kern w:val="0"/>
                <w:sz w:val="21"/>
                <w:szCs w:val="21"/>
                <w:lang w:val="en-US" w:eastAsia="zh-CN" w:bidi="ar-SA"/>
              </w:rPr>
            </w:pPr>
            <w:r>
              <w:rPr>
                <w:rFonts w:hint="eastAsia" w:ascii="宋体" w:hAnsi="宋体" w:eastAsia="宋体" w:cs="宋体"/>
                <w:snapToGrid w:val="0"/>
                <w:color w:val="000000"/>
                <w:spacing w:val="-6"/>
                <w:kern w:val="0"/>
                <w:sz w:val="21"/>
                <w:szCs w:val="21"/>
                <w:lang w:val="en-US" w:eastAsia="zh-CN" w:bidi="ar-SA"/>
              </w:rPr>
              <w:t>商务部分（10分）</w:t>
            </w:r>
          </w:p>
        </w:tc>
        <w:tc>
          <w:tcPr>
            <w:tcW w:w="1070" w:type="dxa"/>
            <w:vAlign w:val="center"/>
          </w:tcPr>
          <w:p>
            <w:pPr>
              <w:pStyle w:val="18"/>
              <w:widowControl w:val="0"/>
              <w:spacing w:before="68" w:line="220" w:lineRule="auto"/>
              <w:jc w:val="both"/>
              <w:rPr>
                <w:rFonts w:ascii="宋体" w:hAnsi="宋体" w:eastAsia="宋体" w:cs="宋体"/>
                <w:snapToGrid w:val="0"/>
                <w:color w:val="000000"/>
                <w:spacing w:val="-6"/>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供应商</w:t>
            </w:r>
          </w:p>
          <w:p>
            <w:pPr>
              <w:pStyle w:val="18"/>
              <w:widowControl w:val="0"/>
              <w:spacing w:before="68" w:line="220" w:lineRule="auto"/>
              <w:jc w:val="both"/>
              <w:rPr>
                <w:rFonts w:ascii="宋体" w:hAnsi="宋体" w:eastAsia="宋体" w:cs="宋体"/>
                <w:snapToGrid w:val="0"/>
                <w:color w:val="000000"/>
                <w:spacing w:val="-6"/>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业绩</w:t>
            </w:r>
          </w:p>
        </w:tc>
        <w:tc>
          <w:tcPr>
            <w:tcW w:w="921" w:type="dxa"/>
            <w:vAlign w:val="center"/>
          </w:tcPr>
          <w:p>
            <w:pPr>
              <w:widowControl w:val="0"/>
              <w:spacing w:line="271" w:lineRule="auto"/>
              <w:jc w:val="center"/>
              <w:rPr>
                <w:rFonts w:ascii="宋体" w:hAnsi="宋体" w:eastAsia="宋体" w:cs="宋体"/>
                <w:snapToGrid w:val="0"/>
                <w:color w:val="000000"/>
                <w:spacing w:val="-6"/>
                <w:kern w:val="0"/>
                <w:sz w:val="21"/>
                <w:szCs w:val="21"/>
                <w:lang w:val="en-US" w:eastAsia="en-US" w:bidi="ar-SA"/>
              </w:rPr>
            </w:pPr>
          </w:p>
          <w:p>
            <w:pPr>
              <w:widowControl w:val="0"/>
              <w:spacing w:line="271" w:lineRule="auto"/>
              <w:jc w:val="center"/>
              <w:rPr>
                <w:rFonts w:ascii="宋体" w:hAnsi="宋体" w:eastAsia="宋体" w:cs="宋体"/>
                <w:snapToGrid w:val="0"/>
                <w:color w:val="000000"/>
                <w:spacing w:val="-6"/>
                <w:kern w:val="0"/>
                <w:sz w:val="21"/>
                <w:szCs w:val="21"/>
                <w:lang w:val="en-US" w:eastAsia="en-US" w:bidi="ar-SA"/>
              </w:rPr>
            </w:pPr>
          </w:p>
          <w:p>
            <w:pPr>
              <w:widowControl w:val="0"/>
              <w:spacing w:line="271" w:lineRule="auto"/>
              <w:jc w:val="center"/>
              <w:rPr>
                <w:rFonts w:ascii="宋体" w:hAnsi="宋体" w:eastAsia="宋体" w:cs="宋体"/>
                <w:snapToGrid w:val="0"/>
                <w:color w:val="000000"/>
                <w:spacing w:val="-6"/>
                <w:kern w:val="0"/>
                <w:sz w:val="21"/>
                <w:szCs w:val="21"/>
                <w:lang w:val="en-US" w:eastAsia="en-US" w:bidi="ar-SA"/>
              </w:rPr>
            </w:pPr>
          </w:p>
          <w:p>
            <w:pPr>
              <w:widowControl w:val="0"/>
              <w:spacing w:line="272" w:lineRule="auto"/>
              <w:jc w:val="center"/>
              <w:rPr>
                <w:rFonts w:ascii="宋体" w:hAnsi="宋体" w:eastAsia="宋体" w:cs="宋体"/>
                <w:snapToGrid w:val="0"/>
                <w:color w:val="000000"/>
                <w:spacing w:val="-6"/>
                <w:kern w:val="0"/>
                <w:sz w:val="21"/>
                <w:szCs w:val="21"/>
                <w:lang w:val="en-US" w:eastAsia="en-US" w:bidi="ar-SA"/>
              </w:rPr>
            </w:pPr>
          </w:p>
          <w:p>
            <w:pPr>
              <w:pStyle w:val="18"/>
              <w:widowControl w:val="0"/>
              <w:spacing w:before="68" w:line="221" w:lineRule="auto"/>
              <w:jc w:val="center"/>
              <w:rPr>
                <w:rFonts w:hint="default" w:ascii="宋体" w:hAnsi="宋体" w:eastAsia="宋体" w:cs="宋体"/>
                <w:snapToGrid w:val="0"/>
                <w:color w:val="000000"/>
                <w:spacing w:val="-6"/>
                <w:kern w:val="0"/>
                <w:sz w:val="21"/>
                <w:szCs w:val="21"/>
                <w:lang w:val="en-US" w:eastAsia="zh-CN" w:bidi="ar-SA"/>
              </w:rPr>
            </w:pPr>
            <w:r>
              <w:rPr>
                <w:rFonts w:hint="eastAsia" w:cs="宋体"/>
                <w:snapToGrid w:val="0"/>
                <w:color w:val="000000"/>
                <w:spacing w:val="-6"/>
                <w:kern w:val="0"/>
                <w:sz w:val="21"/>
                <w:szCs w:val="21"/>
                <w:lang w:val="en-US" w:eastAsia="zh-CN" w:bidi="ar-SA"/>
              </w:rPr>
              <w:t>0-10</w:t>
            </w:r>
          </w:p>
        </w:tc>
        <w:tc>
          <w:tcPr>
            <w:tcW w:w="3847" w:type="dxa"/>
            <w:vAlign w:val="center"/>
          </w:tcPr>
          <w:p>
            <w:pPr>
              <w:pStyle w:val="18"/>
              <w:widowControl w:val="0"/>
              <w:spacing w:before="66" w:line="257" w:lineRule="auto"/>
              <w:ind w:left="113" w:right="92" w:hanging="1"/>
              <w:jc w:val="left"/>
              <w:rPr>
                <w:rFonts w:ascii="宋体" w:hAnsi="宋体" w:eastAsia="宋体" w:cs="宋体"/>
                <w:snapToGrid w:val="0"/>
                <w:color w:val="000000"/>
                <w:spacing w:val="-6"/>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近</w:t>
            </w:r>
            <w:r>
              <w:rPr>
                <w:rFonts w:hint="eastAsia" w:ascii="宋体" w:hAnsi="宋体" w:eastAsia="宋体" w:cs="宋体"/>
                <w:snapToGrid w:val="0"/>
                <w:color w:val="000000"/>
                <w:spacing w:val="-6"/>
                <w:kern w:val="0"/>
                <w:sz w:val="21"/>
                <w:szCs w:val="21"/>
                <w:lang w:val="en-US" w:eastAsia="zh-CN" w:bidi="ar-SA"/>
              </w:rPr>
              <w:t>三</w:t>
            </w:r>
            <w:r>
              <w:rPr>
                <w:rFonts w:ascii="宋体" w:hAnsi="宋体" w:eastAsia="宋体" w:cs="宋体"/>
                <w:snapToGrid w:val="0"/>
                <w:color w:val="000000"/>
                <w:spacing w:val="-6"/>
                <w:kern w:val="0"/>
                <w:sz w:val="21"/>
                <w:szCs w:val="21"/>
                <w:lang w:val="en-US" w:eastAsia="en-US" w:bidi="ar-SA"/>
              </w:rPr>
              <w:t>年（20</w:t>
            </w:r>
            <w:r>
              <w:rPr>
                <w:rFonts w:hint="eastAsia" w:ascii="宋体" w:hAnsi="宋体" w:eastAsia="宋体" w:cs="宋体"/>
                <w:snapToGrid w:val="0"/>
                <w:color w:val="000000"/>
                <w:spacing w:val="-6"/>
                <w:kern w:val="0"/>
                <w:sz w:val="21"/>
                <w:szCs w:val="21"/>
                <w:lang w:val="en-US" w:eastAsia="zh-CN" w:bidi="ar-SA"/>
              </w:rPr>
              <w:t>23</w:t>
            </w:r>
            <w:r>
              <w:rPr>
                <w:rFonts w:ascii="宋体" w:hAnsi="宋体" w:eastAsia="宋体" w:cs="宋体"/>
                <w:snapToGrid w:val="0"/>
                <w:color w:val="000000"/>
                <w:spacing w:val="-6"/>
                <w:kern w:val="0"/>
                <w:sz w:val="21"/>
                <w:szCs w:val="21"/>
                <w:lang w:val="en-US" w:eastAsia="en-US" w:bidi="ar-SA"/>
              </w:rPr>
              <w:t xml:space="preserve"> 年 </w:t>
            </w:r>
            <w:r>
              <w:rPr>
                <w:rFonts w:hint="eastAsia" w:ascii="宋体" w:hAnsi="宋体" w:eastAsia="宋体" w:cs="宋体"/>
                <w:snapToGrid w:val="0"/>
                <w:color w:val="000000"/>
                <w:spacing w:val="-6"/>
                <w:kern w:val="0"/>
                <w:sz w:val="21"/>
                <w:szCs w:val="21"/>
                <w:lang w:val="en-US" w:eastAsia="zh-CN" w:bidi="ar-SA"/>
              </w:rPr>
              <w:t>01</w:t>
            </w:r>
            <w:r>
              <w:rPr>
                <w:rFonts w:ascii="宋体" w:hAnsi="宋体" w:eastAsia="宋体" w:cs="宋体"/>
                <w:snapToGrid w:val="0"/>
                <w:color w:val="000000"/>
                <w:spacing w:val="-6"/>
                <w:kern w:val="0"/>
                <w:sz w:val="21"/>
                <w:szCs w:val="21"/>
                <w:lang w:val="en-US" w:eastAsia="en-US" w:bidi="ar-SA"/>
              </w:rPr>
              <w:t xml:space="preserve"> 月 01 日至响应文件提交截止时间）每承担过 1 项物业管理服务业绩得 </w:t>
            </w:r>
            <w:r>
              <w:rPr>
                <w:rFonts w:hint="eastAsia" w:ascii="宋体" w:hAnsi="宋体" w:eastAsia="宋体" w:cs="宋体"/>
                <w:snapToGrid w:val="0"/>
                <w:color w:val="000000"/>
                <w:spacing w:val="-6"/>
                <w:kern w:val="0"/>
                <w:sz w:val="21"/>
                <w:szCs w:val="21"/>
                <w:lang w:val="en-US" w:eastAsia="zh-CN" w:bidi="ar-SA"/>
              </w:rPr>
              <w:t>2</w:t>
            </w:r>
            <w:r>
              <w:rPr>
                <w:rFonts w:ascii="宋体" w:hAnsi="宋体" w:eastAsia="宋体" w:cs="宋体"/>
                <w:snapToGrid w:val="0"/>
                <w:color w:val="000000"/>
                <w:spacing w:val="-6"/>
                <w:kern w:val="0"/>
                <w:sz w:val="21"/>
                <w:szCs w:val="21"/>
                <w:lang w:val="en-US" w:eastAsia="en-US" w:bidi="ar-SA"/>
              </w:rPr>
              <w:t>分， 最多得 10 分（以合同签订时间为准）。</w:t>
            </w:r>
          </w:p>
          <w:p>
            <w:pPr>
              <w:pStyle w:val="18"/>
              <w:widowControl w:val="0"/>
              <w:spacing w:before="60" w:line="256" w:lineRule="auto"/>
              <w:ind w:left="112" w:right="17"/>
              <w:jc w:val="left"/>
              <w:rPr>
                <w:rFonts w:ascii="宋体" w:hAnsi="宋体" w:eastAsia="宋体" w:cs="宋体"/>
                <w:snapToGrid w:val="0"/>
                <w:color w:val="000000"/>
                <w:spacing w:val="-6"/>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①供应商须提供合同协议书（至少须包含合同首页、合同内容、 合同签订时间及双方签字盖章页等） 的扫描件作为有效证明文件。（有效证明文件须加盖供应商印章）</w:t>
            </w:r>
          </w:p>
          <w:p>
            <w:pPr>
              <w:widowControl w:val="0"/>
              <w:jc w:val="left"/>
              <w:rPr>
                <w:rFonts w:ascii="宋体" w:hAnsi="宋体" w:eastAsia="宋体" w:cs="宋体"/>
                <w:snapToGrid w:val="0"/>
                <w:color w:val="000000"/>
                <w:spacing w:val="-6"/>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②不符合上述要求或未按要求提供有效证明文件在评审时将不予认定。</w:t>
            </w:r>
          </w:p>
        </w:tc>
        <w:tc>
          <w:tcPr>
            <w:tcW w:w="954" w:type="dxa"/>
            <w:vAlign w:val="center"/>
          </w:tcPr>
          <w:p>
            <w:pPr>
              <w:widowControl w:val="0"/>
              <w:jc w:val="center"/>
              <w:rPr>
                <w:rFonts w:hint="eastAsia" w:eastAsia="宋体"/>
                <w:vertAlign w:val="baseline"/>
                <w:lang w:eastAsia="zh-CN"/>
              </w:rPr>
            </w:pPr>
            <w:r>
              <w:rPr>
                <w:rFonts w:hint="eastAsia" w:ascii="宋体" w:hAnsi="宋体"/>
                <w:color w:val="000000"/>
                <w:sz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3</w:t>
            </w:r>
          </w:p>
        </w:tc>
        <w:tc>
          <w:tcPr>
            <w:tcW w:w="1083" w:type="dxa"/>
            <w:vMerge w:val="restart"/>
            <w:vAlign w:val="center"/>
          </w:tcPr>
          <w:p>
            <w:pPr>
              <w:widowControl w:val="0"/>
              <w:jc w:val="center"/>
              <w:rPr>
                <w:rFonts w:hint="eastAsia" w:eastAsia="宋体"/>
                <w:vertAlign w:val="baseline"/>
                <w:lang w:eastAsia="zh-CN"/>
              </w:rPr>
            </w:pPr>
            <w:r>
              <w:rPr>
                <w:spacing w:val="-2"/>
              </w:rPr>
              <w:t>技术部分</w:t>
            </w:r>
            <w:r>
              <w:rPr>
                <w:rFonts w:hint="eastAsia" w:eastAsia="宋体"/>
                <w:spacing w:val="-2"/>
                <w:lang w:eastAsia="zh-CN"/>
              </w:rPr>
              <w:t>（</w:t>
            </w:r>
            <w:r>
              <w:rPr>
                <w:rFonts w:hint="eastAsia" w:eastAsia="宋体"/>
                <w:spacing w:val="-2"/>
                <w:lang w:val="en-US" w:eastAsia="zh-CN"/>
              </w:rPr>
              <w:t>80分</w:t>
            </w:r>
            <w:r>
              <w:rPr>
                <w:rFonts w:hint="eastAsia" w:eastAsia="宋体"/>
                <w:spacing w:val="-2"/>
                <w:lang w:eastAsia="zh-CN"/>
              </w:rPr>
              <w:t>）</w:t>
            </w:r>
          </w:p>
        </w:tc>
        <w:tc>
          <w:tcPr>
            <w:tcW w:w="1070" w:type="dxa"/>
            <w:shd w:val="clear" w:color="auto" w:fill="auto"/>
            <w:vAlign w:val="center"/>
          </w:tcPr>
          <w:p>
            <w:pPr>
              <w:pStyle w:val="18"/>
              <w:widowControl w:val="0"/>
              <w:spacing w:before="68" w:line="221" w:lineRule="auto"/>
              <w:jc w:val="center"/>
              <w:rPr>
                <w:rFonts w:ascii="宋体" w:hAnsi="宋体" w:eastAsia="宋体" w:cs="宋体"/>
                <w:snapToGrid w:val="0"/>
                <w:color w:val="000000"/>
                <w:kern w:val="0"/>
                <w:sz w:val="21"/>
                <w:szCs w:val="21"/>
                <w:lang w:val="en-US" w:eastAsia="en-US" w:bidi="ar-SA"/>
              </w:rPr>
            </w:pPr>
            <w:r>
              <w:rPr>
                <w:spacing w:val="-2"/>
              </w:rPr>
              <w:t>服务方案</w:t>
            </w:r>
          </w:p>
        </w:tc>
        <w:tc>
          <w:tcPr>
            <w:tcW w:w="921" w:type="dxa"/>
            <w:shd w:val="clear" w:color="auto" w:fill="auto"/>
            <w:vAlign w:val="center"/>
          </w:tcPr>
          <w:p>
            <w:pPr>
              <w:pStyle w:val="18"/>
              <w:widowControl w:val="0"/>
              <w:spacing w:before="68" w:line="221" w:lineRule="auto"/>
              <w:jc w:val="both"/>
              <w:rPr>
                <w:rFonts w:hint="default" w:ascii="宋体" w:hAnsi="宋体" w:eastAsia="宋体" w:cs="宋体"/>
                <w:snapToGrid w:val="0"/>
                <w:color w:val="000000"/>
                <w:kern w:val="0"/>
                <w:sz w:val="21"/>
                <w:szCs w:val="21"/>
                <w:lang w:val="en-US" w:eastAsia="zh-CN" w:bidi="ar-SA"/>
              </w:rPr>
            </w:pPr>
            <w:r>
              <w:rPr>
                <w:rFonts w:hint="eastAsia"/>
                <w:spacing w:val="-4"/>
                <w:lang w:val="en-US" w:eastAsia="zh-CN"/>
              </w:rPr>
              <w:t>0-25</w:t>
            </w:r>
          </w:p>
        </w:tc>
        <w:tc>
          <w:tcPr>
            <w:tcW w:w="3847" w:type="dxa"/>
            <w:shd w:val="clear" w:color="auto" w:fill="auto"/>
            <w:vAlign w:val="center"/>
          </w:tcPr>
          <w:p>
            <w:pPr>
              <w:pStyle w:val="18"/>
              <w:widowControl w:val="0"/>
              <w:spacing w:before="55" w:line="221" w:lineRule="auto"/>
              <w:ind w:left="113"/>
              <w:jc w:val="left"/>
            </w:pPr>
            <w:r>
              <w:rPr>
                <w:spacing w:val="-2"/>
              </w:rPr>
              <w:t>服务方案内容全面、可实施性强，具有针对性，得</w:t>
            </w:r>
            <w:r>
              <w:rPr>
                <w:spacing w:val="-38"/>
              </w:rPr>
              <w:t xml:space="preserve"> </w:t>
            </w:r>
            <w:r>
              <w:rPr>
                <w:spacing w:val="-2"/>
              </w:rPr>
              <w:t>25</w:t>
            </w:r>
            <w:r>
              <w:rPr>
                <w:spacing w:val="-42"/>
              </w:rPr>
              <w:t xml:space="preserve"> </w:t>
            </w:r>
            <w:r>
              <w:rPr>
                <w:spacing w:val="-2"/>
              </w:rPr>
              <w:t>分；</w:t>
            </w:r>
          </w:p>
          <w:p>
            <w:pPr>
              <w:pStyle w:val="18"/>
              <w:widowControl w:val="0"/>
              <w:spacing w:before="62" w:line="247" w:lineRule="auto"/>
              <w:ind w:left="113" w:right="130"/>
              <w:jc w:val="left"/>
            </w:pPr>
            <w:r>
              <w:rPr>
                <w:spacing w:val="-4"/>
              </w:rPr>
              <w:t>服务方案内容较全面、可实施性较强，针对性一般，得</w:t>
            </w:r>
            <w:r>
              <w:rPr>
                <w:spacing w:val="-6"/>
              </w:rPr>
              <w:t xml:space="preserve"> </w:t>
            </w:r>
            <w:r>
              <w:rPr>
                <w:spacing w:val="-4"/>
              </w:rPr>
              <w:t>18</w:t>
            </w:r>
            <w:r>
              <w:rPr>
                <w:spacing w:val="-42"/>
              </w:rPr>
              <w:t xml:space="preserve"> </w:t>
            </w:r>
            <w:r>
              <w:rPr>
                <w:spacing w:val="-4"/>
              </w:rPr>
              <w:t>分；</w:t>
            </w:r>
            <w:r>
              <w:t xml:space="preserve"> </w:t>
            </w:r>
            <w:r>
              <w:rPr>
                <w:spacing w:val="-8"/>
              </w:rPr>
              <w:t>服务方案内容一般、可实施性一般，</w:t>
            </w:r>
            <w:r>
              <w:rPr>
                <w:spacing w:val="-22"/>
              </w:rPr>
              <w:t xml:space="preserve"> </w:t>
            </w:r>
            <w:r>
              <w:rPr>
                <w:spacing w:val="-8"/>
              </w:rPr>
              <w:t>针对性一</w:t>
            </w:r>
            <w:r>
              <w:rPr>
                <w:spacing w:val="-9"/>
              </w:rPr>
              <w:t>般，</w:t>
            </w:r>
            <w:r>
              <w:rPr>
                <w:spacing w:val="-22"/>
              </w:rPr>
              <w:t xml:space="preserve"> </w:t>
            </w:r>
            <w:r>
              <w:rPr>
                <w:spacing w:val="-9"/>
              </w:rPr>
              <w:t>得</w:t>
            </w:r>
            <w:r>
              <w:rPr>
                <w:spacing w:val="-28"/>
              </w:rPr>
              <w:t xml:space="preserve"> </w:t>
            </w:r>
            <w:r>
              <w:rPr>
                <w:spacing w:val="-9"/>
              </w:rPr>
              <w:t>12</w:t>
            </w:r>
            <w:r>
              <w:rPr>
                <w:spacing w:val="-44"/>
              </w:rPr>
              <w:t xml:space="preserve"> </w:t>
            </w:r>
            <w:r>
              <w:rPr>
                <w:spacing w:val="-9"/>
              </w:rPr>
              <w:t>分；</w:t>
            </w:r>
          </w:p>
          <w:p>
            <w:pPr>
              <w:pStyle w:val="18"/>
              <w:widowControl w:val="0"/>
              <w:spacing w:before="61" w:line="312" w:lineRule="exact"/>
              <w:ind w:left="113"/>
              <w:jc w:val="left"/>
            </w:pPr>
            <w:r>
              <w:rPr>
                <w:spacing w:val="-6"/>
                <w:position w:val="7"/>
              </w:rPr>
              <w:t>服务方案内容、可实施性、针对性较差，</w:t>
            </w:r>
            <w:r>
              <w:rPr>
                <w:spacing w:val="-16"/>
                <w:position w:val="7"/>
              </w:rPr>
              <w:t xml:space="preserve"> </w:t>
            </w:r>
            <w:r>
              <w:rPr>
                <w:spacing w:val="-6"/>
                <w:position w:val="7"/>
              </w:rPr>
              <w:t>得</w:t>
            </w:r>
            <w:r>
              <w:rPr>
                <w:spacing w:val="-42"/>
                <w:position w:val="7"/>
              </w:rPr>
              <w:t xml:space="preserve"> </w:t>
            </w:r>
            <w:r>
              <w:rPr>
                <w:spacing w:val="-6"/>
                <w:position w:val="7"/>
              </w:rPr>
              <w:t>6</w:t>
            </w:r>
            <w:r>
              <w:rPr>
                <w:spacing w:val="-44"/>
                <w:position w:val="7"/>
              </w:rPr>
              <w:t xml:space="preserve"> </w:t>
            </w:r>
            <w:r>
              <w:rPr>
                <w:spacing w:val="-6"/>
                <w:position w:val="7"/>
              </w:rPr>
              <w:t>分，</w:t>
            </w:r>
          </w:p>
          <w:p>
            <w:pPr>
              <w:pStyle w:val="18"/>
              <w:widowControl w:val="0"/>
              <w:spacing w:line="214" w:lineRule="auto"/>
              <w:ind w:left="114" w:leftChars="0"/>
              <w:jc w:val="left"/>
              <w:rPr>
                <w:rFonts w:ascii="宋体" w:hAnsi="宋体" w:eastAsia="宋体" w:cs="宋体"/>
                <w:snapToGrid w:val="0"/>
                <w:color w:val="000000"/>
                <w:kern w:val="0"/>
                <w:sz w:val="21"/>
                <w:szCs w:val="21"/>
                <w:lang w:val="en-US" w:eastAsia="en-US" w:bidi="ar-SA"/>
              </w:rPr>
            </w:pPr>
            <w:r>
              <w:rPr>
                <w:spacing w:val="-3"/>
              </w:rPr>
              <w:t>有较大欠缺或未提供得</w:t>
            </w:r>
            <w:r>
              <w:rPr>
                <w:spacing w:val="-40"/>
              </w:rPr>
              <w:t xml:space="preserve"> </w:t>
            </w:r>
            <w:r>
              <w:rPr>
                <w:spacing w:val="-3"/>
              </w:rPr>
              <w:t>0</w:t>
            </w:r>
            <w:r>
              <w:rPr>
                <w:spacing w:val="-44"/>
              </w:rPr>
              <w:t xml:space="preserve"> </w:t>
            </w:r>
            <w:r>
              <w:rPr>
                <w:spacing w:val="-3"/>
              </w:rPr>
              <w:t>分。</w:t>
            </w:r>
          </w:p>
        </w:tc>
        <w:tc>
          <w:tcPr>
            <w:tcW w:w="954" w:type="dxa"/>
            <w:shd w:val="clear" w:color="auto" w:fill="auto"/>
            <w:vAlign w:val="center"/>
          </w:tcPr>
          <w:p>
            <w:pPr>
              <w:widowControl w:val="0"/>
              <w:ind w:firstLine="28" w:firstLineChars="0"/>
              <w:jc w:val="center"/>
              <w:rPr>
                <w:rFonts w:hint="eastAsia" w:ascii="宋体" w:hAnsi="宋体" w:eastAsia="Arial" w:cs="Arial"/>
                <w:snapToGrid w:val="0"/>
                <w:color w:val="000000"/>
                <w:kern w:val="0"/>
                <w:sz w:val="24"/>
                <w:szCs w:val="21"/>
                <w:lang w:val="en-US" w:eastAsia="en-US" w:bidi="ar-SA"/>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4</w:t>
            </w:r>
          </w:p>
        </w:tc>
        <w:tc>
          <w:tcPr>
            <w:tcW w:w="1083" w:type="dxa"/>
            <w:vMerge w:val="continue"/>
            <w:vAlign w:val="center"/>
          </w:tcPr>
          <w:p>
            <w:pPr>
              <w:widowControl w:val="0"/>
              <w:jc w:val="center"/>
              <w:rPr>
                <w:vertAlign w:val="baseline"/>
              </w:rPr>
            </w:pPr>
          </w:p>
        </w:tc>
        <w:tc>
          <w:tcPr>
            <w:tcW w:w="1070" w:type="dxa"/>
            <w:shd w:val="clear" w:color="auto" w:fill="auto"/>
            <w:vAlign w:val="center"/>
          </w:tcPr>
          <w:p>
            <w:pPr>
              <w:pStyle w:val="18"/>
              <w:widowControl w:val="0"/>
              <w:spacing w:before="68" w:line="248" w:lineRule="auto"/>
              <w:ind w:right="115"/>
              <w:jc w:val="both"/>
              <w:rPr>
                <w:rFonts w:ascii="宋体" w:hAnsi="宋体" w:eastAsia="宋体" w:cs="宋体"/>
                <w:snapToGrid w:val="0"/>
                <w:color w:val="000000"/>
                <w:kern w:val="0"/>
                <w:sz w:val="21"/>
                <w:szCs w:val="21"/>
                <w:lang w:val="en-US" w:eastAsia="en-US" w:bidi="ar-SA"/>
              </w:rPr>
            </w:pPr>
            <w:r>
              <w:rPr>
                <w:spacing w:val="-1"/>
              </w:rPr>
              <w:t>人员配备及管理</w:t>
            </w:r>
            <w:r>
              <w:rPr>
                <w:spacing w:val="-2"/>
              </w:rPr>
              <w:t>方案</w:t>
            </w:r>
          </w:p>
        </w:tc>
        <w:tc>
          <w:tcPr>
            <w:tcW w:w="921" w:type="dxa"/>
            <w:shd w:val="clear" w:color="auto" w:fill="auto"/>
            <w:vAlign w:val="center"/>
          </w:tcPr>
          <w:p>
            <w:pPr>
              <w:pStyle w:val="18"/>
              <w:widowControl w:val="0"/>
              <w:spacing w:before="69" w:line="221" w:lineRule="auto"/>
              <w:jc w:val="both"/>
              <w:rPr>
                <w:rFonts w:hint="default" w:ascii="宋体" w:hAnsi="宋体" w:eastAsia="宋体" w:cs="宋体"/>
                <w:snapToGrid w:val="0"/>
                <w:color w:val="000000"/>
                <w:kern w:val="0"/>
                <w:sz w:val="21"/>
                <w:szCs w:val="21"/>
                <w:lang w:val="en-US" w:eastAsia="zh-CN" w:bidi="ar-SA"/>
              </w:rPr>
            </w:pPr>
            <w:r>
              <w:rPr>
                <w:rFonts w:hint="eastAsia"/>
                <w:spacing w:val="-8"/>
                <w:lang w:val="en-US" w:eastAsia="zh-CN"/>
              </w:rPr>
              <w:t>0-15</w:t>
            </w:r>
          </w:p>
        </w:tc>
        <w:tc>
          <w:tcPr>
            <w:tcW w:w="3847" w:type="dxa"/>
            <w:shd w:val="clear" w:color="auto" w:fill="auto"/>
            <w:vAlign w:val="center"/>
          </w:tcPr>
          <w:p>
            <w:pPr>
              <w:pStyle w:val="18"/>
              <w:widowControl w:val="0"/>
              <w:spacing w:before="62" w:line="221" w:lineRule="auto"/>
              <w:ind w:left="115"/>
              <w:jc w:val="left"/>
            </w:pPr>
            <w:r>
              <w:rPr>
                <w:spacing w:val="-4"/>
              </w:rPr>
              <w:t>人员配备合理、管理方案全面完善、可实施性强</w:t>
            </w:r>
            <w:r>
              <w:rPr>
                <w:spacing w:val="-5"/>
              </w:rPr>
              <w:t>，</w:t>
            </w:r>
            <w:r>
              <w:rPr>
                <w:spacing w:val="-22"/>
              </w:rPr>
              <w:t xml:space="preserve"> </w:t>
            </w:r>
            <w:r>
              <w:rPr>
                <w:spacing w:val="-5"/>
              </w:rPr>
              <w:t>得15分；</w:t>
            </w:r>
          </w:p>
          <w:p>
            <w:pPr>
              <w:pStyle w:val="18"/>
              <w:widowControl w:val="0"/>
              <w:spacing w:before="60" w:line="221" w:lineRule="auto"/>
              <w:ind w:left="115"/>
              <w:jc w:val="left"/>
            </w:pPr>
            <w:r>
              <w:rPr>
                <w:spacing w:val="-1"/>
              </w:rPr>
              <w:t>人员配备较合理、管理方案较全面、可实施性较强，得11分；</w:t>
            </w:r>
          </w:p>
          <w:p>
            <w:pPr>
              <w:pStyle w:val="18"/>
              <w:widowControl w:val="0"/>
              <w:spacing w:before="62" w:line="247" w:lineRule="auto"/>
              <w:ind w:left="115" w:right="39"/>
              <w:jc w:val="left"/>
            </w:pPr>
            <w:r>
              <w:rPr>
                <w:spacing w:val="-6"/>
              </w:rPr>
              <w:t>人员配备基本合理、管理方案基本全面、可实施性一般，得7分；</w:t>
            </w:r>
          </w:p>
          <w:p>
            <w:pPr>
              <w:pStyle w:val="18"/>
              <w:widowControl w:val="0"/>
              <w:spacing w:before="62" w:line="247" w:lineRule="auto"/>
              <w:ind w:left="115" w:right="39"/>
              <w:jc w:val="left"/>
            </w:pPr>
            <w:r>
              <w:rPr>
                <w:spacing w:val="-1"/>
              </w:rPr>
              <w:t>人员配备不合理、管理方案不全面、可实施性较差，得</w:t>
            </w:r>
            <w:r>
              <w:rPr>
                <w:spacing w:val="-2"/>
              </w:rPr>
              <w:t>3分；</w:t>
            </w:r>
          </w:p>
          <w:p>
            <w:pPr>
              <w:pStyle w:val="18"/>
              <w:widowControl w:val="0"/>
              <w:spacing w:before="61" w:line="209" w:lineRule="auto"/>
              <w:ind w:left="114" w:leftChars="0"/>
              <w:jc w:val="left"/>
              <w:rPr>
                <w:rFonts w:ascii="宋体" w:hAnsi="宋体" w:eastAsia="宋体" w:cs="宋体"/>
                <w:snapToGrid w:val="0"/>
                <w:color w:val="000000"/>
                <w:kern w:val="0"/>
                <w:sz w:val="21"/>
                <w:szCs w:val="21"/>
                <w:lang w:val="en-US" w:eastAsia="en-US" w:bidi="ar-SA"/>
              </w:rPr>
            </w:pPr>
            <w:r>
              <w:rPr>
                <w:spacing w:val="-3"/>
              </w:rPr>
              <w:t>有较大欠缺或未提供得</w:t>
            </w:r>
            <w:r>
              <w:rPr>
                <w:spacing w:val="-40"/>
              </w:rPr>
              <w:t xml:space="preserve"> </w:t>
            </w:r>
            <w:r>
              <w:rPr>
                <w:spacing w:val="-3"/>
              </w:rPr>
              <w:t>0</w:t>
            </w:r>
            <w:r>
              <w:rPr>
                <w:spacing w:val="-44"/>
              </w:rPr>
              <w:t xml:space="preserve"> </w:t>
            </w:r>
            <w:r>
              <w:rPr>
                <w:spacing w:val="-3"/>
              </w:rPr>
              <w:t>分。</w:t>
            </w:r>
          </w:p>
        </w:tc>
        <w:tc>
          <w:tcPr>
            <w:tcW w:w="954" w:type="dxa"/>
            <w:shd w:val="clear" w:color="auto" w:fill="auto"/>
            <w:vAlign w:val="center"/>
          </w:tcPr>
          <w:p>
            <w:pPr>
              <w:widowControl w:val="0"/>
              <w:jc w:val="center"/>
              <w:rPr>
                <w:rFonts w:ascii="Arial" w:hAnsi="Arial" w:eastAsia="Arial" w:cs="Arial"/>
                <w:snapToGrid w:val="0"/>
                <w:color w:val="000000"/>
                <w:kern w:val="0"/>
                <w:sz w:val="21"/>
                <w:szCs w:val="21"/>
                <w:vertAlign w:val="baseline"/>
                <w:lang w:val="en-US" w:eastAsia="en-US" w:bidi="ar-SA"/>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5</w:t>
            </w:r>
          </w:p>
        </w:tc>
        <w:tc>
          <w:tcPr>
            <w:tcW w:w="1083" w:type="dxa"/>
            <w:vMerge w:val="continue"/>
            <w:vAlign w:val="center"/>
          </w:tcPr>
          <w:p>
            <w:pPr>
              <w:widowControl w:val="0"/>
              <w:jc w:val="center"/>
              <w:rPr>
                <w:vertAlign w:val="baseline"/>
              </w:rPr>
            </w:pPr>
          </w:p>
        </w:tc>
        <w:tc>
          <w:tcPr>
            <w:tcW w:w="1070" w:type="dxa"/>
            <w:shd w:val="clear" w:color="auto" w:fill="auto"/>
            <w:vAlign w:val="center"/>
          </w:tcPr>
          <w:p>
            <w:pPr>
              <w:pStyle w:val="18"/>
              <w:widowControl w:val="0"/>
              <w:spacing w:before="68" w:line="220" w:lineRule="auto"/>
              <w:jc w:val="both"/>
              <w:rPr>
                <w:rFonts w:ascii="宋体" w:hAnsi="宋体" w:eastAsia="宋体" w:cs="宋体"/>
                <w:snapToGrid w:val="0"/>
                <w:color w:val="000000"/>
                <w:kern w:val="0"/>
                <w:sz w:val="21"/>
                <w:szCs w:val="21"/>
                <w:lang w:val="en-US" w:eastAsia="en-US" w:bidi="ar-SA"/>
              </w:rPr>
            </w:pPr>
            <w:r>
              <w:rPr>
                <w:spacing w:val="-2"/>
              </w:rPr>
              <w:t>规章制度</w:t>
            </w:r>
          </w:p>
        </w:tc>
        <w:tc>
          <w:tcPr>
            <w:tcW w:w="921" w:type="dxa"/>
            <w:shd w:val="clear" w:color="auto" w:fill="auto"/>
            <w:vAlign w:val="center"/>
          </w:tcPr>
          <w:p>
            <w:pPr>
              <w:pStyle w:val="18"/>
              <w:widowControl w:val="0"/>
              <w:spacing w:before="68" w:line="221" w:lineRule="auto"/>
              <w:jc w:val="both"/>
              <w:rPr>
                <w:rFonts w:hint="default" w:ascii="宋体" w:hAnsi="宋体" w:eastAsia="宋体" w:cs="宋体"/>
                <w:snapToGrid w:val="0"/>
                <w:color w:val="000000"/>
                <w:kern w:val="0"/>
                <w:sz w:val="21"/>
                <w:szCs w:val="21"/>
                <w:lang w:val="en-US" w:eastAsia="zh-CN" w:bidi="ar-SA"/>
              </w:rPr>
            </w:pPr>
            <w:r>
              <w:rPr>
                <w:rFonts w:hint="eastAsia"/>
                <w:spacing w:val="-8"/>
                <w:lang w:val="en-US" w:eastAsia="zh-CN"/>
              </w:rPr>
              <w:t>0-15</w:t>
            </w:r>
          </w:p>
        </w:tc>
        <w:tc>
          <w:tcPr>
            <w:tcW w:w="3847" w:type="dxa"/>
            <w:shd w:val="clear" w:color="auto" w:fill="auto"/>
            <w:vAlign w:val="center"/>
          </w:tcPr>
          <w:p>
            <w:pPr>
              <w:pStyle w:val="18"/>
              <w:widowControl w:val="0"/>
              <w:spacing w:before="68" w:line="248" w:lineRule="auto"/>
              <w:ind w:left="128" w:right="94" w:hanging="14"/>
              <w:jc w:val="left"/>
            </w:pPr>
            <w:r>
              <w:rPr>
                <w:spacing w:val="-5"/>
              </w:rPr>
              <w:t>规章制度、安全操作规程、岗位职责等完善健全、科学合理，得</w:t>
            </w:r>
            <w:r>
              <w:rPr>
                <w:spacing w:val="15"/>
              </w:rPr>
              <w:t xml:space="preserve"> </w:t>
            </w:r>
            <w:r>
              <w:rPr>
                <w:spacing w:val="-14"/>
              </w:rPr>
              <w:t>15</w:t>
            </w:r>
            <w:r>
              <w:rPr>
                <w:spacing w:val="-40"/>
              </w:rPr>
              <w:t xml:space="preserve"> </w:t>
            </w:r>
            <w:r>
              <w:rPr>
                <w:spacing w:val="-14"/>
              </w:rPr>
              <w:t>分；</w:t>
            </w:r>
          </w:p>
          <w:p>
            <w:pPr>
              <w:pStyle w:val="18"/>
              <w:widowControl w:val="0"/>
              <w:spacing w:before="59" w:line="248" w:lineRule="auto"/>
              <w:ind w:left="128" w:right="94" w:hanging="14"/>
              <w:jc w:val="left"/>
            </w:pPr>
            <w:r>
              <w:rPr>
                <w:spacing w:val="-5"/>
              </w:rPr>
              <w:t>规章制度、安全操作规程、岗位职责等比较完善、比较合理，得</w:t>
            </w:r>
            <w:r>
              <w:rPr>
                <w:spacing w:val="15"/>
              </w:rPr>
              <w:t xml:space="preserve"> </w:t>
            </w:r>
            <w:r>
              <w:rPr>
                <w:spacing w:val="-14"/>
              </w:rPr>
              <w:t>11</w:t>
            </w:r>
            <w:r>
              <w:rPr>
                <w:spacing w:val="-40"/>
              </w:rPr>
              <w:t xml:space="preserve"> </w:t>
            </w:r>
            <w:r>
              <w:rPr>
                <w:spacing w:val="-14"/>
              </w:rPr>
              <w:t>分；</w:t>
            </w:r>
          </w:p>
          <w:p>
            <w:pPr>
              <w:pStyle w:val="18"/>
              <w:widowControl w:val="0"/>
              <w:spacing w:before="61" w:line="247" w:lineRule="auto"/>
              <w:ind w:left="114" w:right="37"/>
              <w:jc w:val="left"/>
              <w:rPr>
                <w:spacing w:val="-13"/>
              </w:rPr>
            </w:pPr>
            <w:r>
              <w:rPr>
                <w:spacing w:val="-10"/>
              </w:rPr>
              <w:t>规章制度、安全操作规程、岗位职责等完善性一般、合理性一般，</w:t>
            </w:r>
            <w:r>
              <w:rPr>
                <w:spacing w:val="-13"/>
              </w:rPr>
              <w:t>得</w:t>
            </w:r>
            <w:r>
              <w:rPr>
                <w:spacing w:val="-39"/>
              </w:rPr>
              <w:t xml:space="preserve"> </w:t>
            </w:r>
            <w:r>
              <w:rPr>
                <w:spacing w:val="-13"/>
              </w:rPr>
              <w:t>7</w:t>
            </w:r>
            <w:r>
              <w:rPr>
                <w:spacing w:val="-42"/>
              </w:rPr>
              <w:t xml:space="preserve"> </w:t>
            </w:r>
            <w:r>
              <w:rPr>
                <w:spacing w:val="-13"/>
              </w:rPr>
              <w:t>分；</w:t>
            </w:r>
          </w:p>
          <w:p>
            <w:pPr>
              <w:pStyle w:val="18"/>
              <w:widowControl w:val="0"/>
              <w:spacing w:before="73" w:line="247" w:lineRule="auto"/>
              <w:ind w:left="115" w:right="394" w:hanging="1"/>
              <w:jc w:val="left"/>
            </w:pPr>
            <w:r>
              <w:t>规章制度、安全操作规程、岗位职责等完善性一</w:t>
            </w:r>
            <w:r>
              <w:rPr>
                <w:spacing w:val="-1"/>
              </w:rPr>
              <w:t>般、合理性</w:t>
            </w:r>
            <w:r>
              <w:rPr>
                <w:spacing w:val="-11"/>
              </w:rPr>
              <w:t>差，得</w:t>
            </w:r>
            <w:r>
              <w:rPr>
                <w:spacing w:val="-27"/>
              </w:rPr>
              <w:t xml:space="preserve"> </w:t>
            </w:r>
            <w:r>
              <w:rPr>
                <w:rFonts w:hint="eastAsia"/>
                <w:spacing w:val="-27"/>
                <w:lang w:val="en-US" w:eastAsia="zh-CN"/>
              </w:rPr>
              <w:t>3</w:t>
            </w:r>
            <w:r>
              <w:rPr>
                <w:spacing w:val="-11"/>
              </w:rPr>
              <w:t>分；</w:t>
            </w:r>
          </w:p>
          <w:p>
            <w:pPr>
              <w:pStyle w:val="18"/>
              <w:widowControl w:val="0"/>
              <w:spacing w:before="61" w:line="247" w:lineRule="auto"/>
              <w:ind w:left="114" w:leftChars="0" w:right="37" w:rightChars="0"/>
              <w:jc w:val="left"/>
              <w:rPr>
                <w:rFonts w:ascii="宋体" w:hAnsi="宋体" w:eastAsia="宋体" w:cs="宋体"/>
                <w:snapToGrid w:val="0"/>
                <w:color w:val="000000"/>
                <w:spacing w:val="-13"/>
                <w:kern w:val="0"/>
                <w:sz w:val="21"/>
                <w:szCs w:val="21"/>
                <w:lang w:val="en-US" w:eastAsia="en-US" w:bidi="ar-SA"/>
              </w:rPr>
            </w:pPr>
            <w:r>
              <w:rPr>
                <w:spacing w:val="-3"/>
              </w:rPr>
              <w:t>有较大欠缺或未提供，得</w:t>
            </w:r>
            <w:r>
              <w:rPr>
                <w:spacing w:val="-41"/>
              </w:rPr>
              <w:t xml:space="preserve"> </w:t>
            </w:r>
            <w:r>
              <w:rPr>
                <w:spacing w:val="-3"/>
              </w:rPr>
              <w:t>0</w:t>
            </w:r>
            <w:r>
              <w:rPr>
                <w:spacing w:val="-41"/>
              </w:rPr>
              <w:t xml:space="preserve"> </w:t>
            </w:r>
            <w:r>
              <w:rPr>
                <w:spacing w:val="-3"/>
              </w:rPr>
              <w:t>分。</w:t>
            </w:r>
          </w:p>
        </w:tc>
        <w:tc>
          <w:tcPr>
            <w:tcW w:w="954" w:type="dxa"/>
            <w:shd w:val="clear" w:color="auto" w:fill="auto"/>
            <w:vAlign w:val="center"/>
          </w:tcPr>
          <w:p>
            <w:pPr>
              <w:widowControl w:val="0"/>
              <w:ind w:firstLine="28" w:firstLineChars="0"/>
              <w:jc w:val="center"/>
              <w:rPr>
                <w:rFonts w:hint="eastAsia" w:ascii="宋体" w:hAnsi="宋体" w:eastAsia="Arial" w:cs="Arial"/>
                <w:snapToGrid w:val="0"/>
                <w:color w:val="000000"/>
                <w:kern w:val="0"/>
                <w:sz w:val="24"/>
                <w:szCs w:val="21"/>
                <w:lang w:val="en-US" w:eastAsia="en-US" w:bidi="ar-SA"/>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6</w:t>
            </w:r>
          </w:p>
        </w:tc>
        <w:tc>
          <w:tcPr>
            <w:tcW w:w="1083" w:type="dxa"/>
            <w:vMerge w:val="continue"/>
            <w:vAlign w:val="center"/>
          </w:tcPr>
          <w:p>
            <w:pPr>
              <w:widowControl w:val="0"/>
              <w:jc w:val="center"/>
              <w:rPr>
                <w:vertAlign w:val="baseline"/>
              </w:rPr>
            </w:pPr>
          </w:p>
        </w:tc>
        <w:tc>
          <w:tcPr>
            <w:tcW w:w="1070" w:type="dxa"/>
            <w:shd w:val="clear" w:color="auto" w:fill="auto"/>
            <w:vAlign w:val="center"/>
          </w:tcPr>
          <w:p>
            <w:pPr>
              <w:widowControl w:val="0"/>
              <w:spacing w:line="254" w:lineRule="auto"/>
              <w:jc w:val="center"/>
              <w:rPr>
                <w:rFonts w:ascii="Arial"/>
                <w:sz w:val="21"/>
              </w:rPr>
            </w:pPr>
          </w:p>
          <w:p>
            <w:pPr>
              <w:pStyle w:val="18"/>
              <w:widowControl w:val="0"/>
              <w:spacing w:before="68" w:line="221" w:lineRule="auto"/>
              <w:jc w:val="both"/>
              <w:rPr>
                <w:rFonts w:ascii="宋体" w:hAnsi="宋体" w:eastAsia="宋体" w:cs="宋体"/>
                <w:snapToGrid w:val="0"/>
                <w:color w:val="000000"/>
                <w:kern w:val="0"/>
                <w:sz w:val="21"/>
                <w:szCs w:val="21"/>
                <w:lang w:val="en-US" w:eastAsia="en-US" w:bidi="ar-SA"/>
              </w:rPr>
            </w:pPr>
            <w:r>
              <w:rPr>
                <w:spacing w:val="-2"/>
              </w:rPr>
              <w:t>应急预案</w:t>
            </w:r>
          </w:p>
        </w:tc>
        <w:tc>
          <w:tcPr>
            <w:tcW w:w="921" w:type="dxa"/>
            <w:shd w:val="clear" w:color="auto" w:fill="auto"/>
            <w:vAlign w:val="center"/>
          </w:tcPr>
          <w:p>
            <w:pPr>
              <w:widowControl w:val="0"/>
              <w:spacing w:line="254" w:lineRule="auto"/>
              <w:jc w:val="center"/>
              <w:rPr>
                <w:rFonts w:ascii="Arial"/>
                <w:sz w:val="21"/>
              </w:rPr>
            </w:pPr>
          </w:p>
          <w:p>
            <w:pPr>
              <w:widowControl w:val="0"/>
              <w:spacing w:line="254" w:lineRule="auto"/>
              <w:jc w:val="center"/>
              <w:rPr>
                <w:rFonts w:ascii="Arial"/>
                <w:sz w:val="21"/>
              </w:rPr>
            </w:pPr>
          </w:p>
          <w:p>
            <w:pPr>
              <w:widowControl w:val="0"/>
              <w:spacing w:line="254" w:lineRule="auto"/>
              <w:jc w:val="center"/>
              <w:rPr>
                <w:rFonts w:ascii="Arial"/>
                <w:sz w:val="21"/>
              </w:rPr>
            </w:pPr>
          </w:p>
          <w:p>
            <w:pPr>
              <w:pStyle w:val="18"/>
              <w:widowControl w:val="0"/>
              <w:spacing w:before="68" w:line="221" w:lineRule="auto"/>
              <w:jc w:val="both"/>
              <w:rPr>
                <w:rFonts w:hint="default" w:ascii="宋体" w:hAnsi="宋体" w:eastAsia="宋体" w:cs="宋体"/>
                <w:snapToGrid w:val="0"/>
                <w:color w:val="000000"/>
                <w:kern w:val="0"/>
                <w:sz w:val="21"/>
                <w:szCs w:val="21"/>
                <w:lang w:val="en-US" w:eastAsia="zh-CN" w:bidi="ar-SA"/>
              </w:rPr>
            </w:pPr>
            <w:r>
              <w:rPr>
                <w:rFonts w:hint="eastAsia"/>
                <w:spacing w:val="-8"/>
                <w:lang w:val="en-US" w:eastAsia="zh-CN"/>
              </w:rPr>
              <w:t>0-15</w:t>
            </w:r>
          </w:p>
        </w:tc>
        <w:tc>
          <w:tcPr>
            <w:tcW w:w="3847" w:type="dxa"/>
            <w:shd w:val="clear" w:color="auto" w:fill="auto"/>
            <w:vAlign w:val="center"/>
          </w:tcPr>
          <w:p>
            <w:pPr>
              <w:pStyle w:val="18"/>
              <w:widowControl w:val="0"/>
              <w:spacing w:before="55" w:line="247" w:lineRule="auto"/>
              <w:ind w:left="113" w:right="36"/>
              <w:jc w:val="left"/>
            </w:pPr>
            <w:r>
              <w:rPr>
                <w:spacing w:val="-5"/>
              </w:rPr>
              <w:t>应急预案科学、可行，</w:t>
            </w:r>
            <w:r>
              <w:rPr>
                <w:spacing w:val="-23"/>
              </w:rPr>
              <w:t xml:space="preserve"> </w:t>
            </w:r>
            <w:r>
              <w:rPr>
                <w:spacing w:val="-5"/>
              </w:rPr>
              <w:t>预案措施具体、及时有</w:t>
            </w:r>
            <w:r>
              <w:rPr>
                <w:spacing w:val="-6"/>
              </w:rPr>
              <w:t>效，可执行性强，</w:t>
            </w:r>
            <w:r>
              <w:t xml:space="preserve"> </w:t>
            </w:r>
            <w:r>
              <w:rPr>
                <w:spacing w:val="-12"/>
              </w:rPr>
              <w:t>得</w:t>
            </w:r>
            <w:r>
              <w:rPr>
                <w:spacing w:val="-29"/>
              </w:rPr>
              <w:t xml:space="preserve"> </w:t>
            </w:r>
            <w:r>
              <w:rPr>
                <w:spacing w:val="-12"/>
              </w:rPr>
              <w:t>15</w:t>
            </w:r>
            <w:r>
              <w:rPr>
                <w:spacing w:val="-44"/>
              </w:rPr>
              <w:t xml:space="preserve"> </w:t>
            </w:r>
            <w:r>
              <w:rPr>
                <w:spacing w:val="-12"/>
              </w:rPr>
              <w:t>分；</w:t>
            </w:r>
          </w:p>
          <w:p>
            <w:pPr>
              <w:pStyle w:val="18"/>
              <w:widowControl w:val="0"/>
              <w:spacing w:before="62" w:line="247" w:lineRule="auto"/>
              <w:ind w:left="113" w:right="1181"/>
              <w:jc w:val="left"/>
            </w:pPr>
            <w:r>
              <w:rPr>
                <w:spacing w:val="-8"/>
              </w:rPr>
              <w:t>应急预案比较全面有效、可执行性较强，</w:t>
            </w:r>
            <w:r>
              <w:rPr>
                <w:spacing w:val="-12"/>
              </w:rPr>
              <w:t xml:space="preserve"> </w:t>
            </w:r>
            <w:r>
              <w:rPr>
                <w:spacing w:val="-8"/>
              </w:rPr>
              <w:t>得</w:t>
            </w:r>
            <w:r>
              <w:rPr>
                <w:spacing w:val="-29"/>
              </w:rPr>
              <w:t xml:space="preserve"> </w:t>
            </w:r>
            <w:r>
              <w:rPr>
                <w:spacing w:val="-8"/>
              </w:rPr>
              <w:t>11</w:t>
            </w:r>
            <w:r>
              <w:rPr>
                <w:spacing w:val="-41"/>
              </w:rPr>
              <w:t xml:space="preserve"> </w:t>
            </w:r>
            <w:r>
              <w:rPr>
                <w:spacing w:val="-8"/>
              </w:rPr>
              <w:t>分；</w:t>
            </w:r>
            <w:r>
              <w:t xml:space="preserve"> </w:t>
            </w:r>
            <w:r>
              <w:rPr>
                <w:spacing w:val="-8"/>
              </w:rPr>
              <w:t>应急预案一般、可执行性一般， 得</w:t>
            </w:r>
            <w:r>
              <w:rPr>
                <w:spacing w:val="-39"/>
              </w:rPr>
              <w:t xml:space="preserve"> </w:t>
            </w:r>
            <w:r>
              <w:rPr>
                <w:spacing w:val="-8"/>
              </w:rPr>
              <w:t>7</w:t>
            </w:r>
            <w:r>
              <w:rPr>
                <w:spacing w:val="-44"/>
              </w:rPr>
              <w:t xml:space="preserve"> </w:t>
            </w:r>
            <w:r>
              <w:rPr>
                <w:spacing w:val="-8"/>
              </w:rPr>
              <w:t>分；</w:t>
            </w:r>
          </w:p>
          <w:p>
            <w:pPr>
              <w:pStyle w:val="18"/>
              <w:widowControl w:val="0"/>
              <w:spacing w:before="61" w:line="312" w:lineRule="exact"/>
              <w:ind w:left="113"/>
              <w:jc w:val="left"/>
            </w:pPr>
            <w:r>
              <w:rPr>
                <w:spacing w:val="-8"/>
                <w:position w:val="7"/>
              </w:rPr>
              <w:t>应急预案一般、可执行性差，</w:t>
            </w:r>
            <w:r>
              <w:rPr>
                <w:spacing w:val="-18"/>
                <w:position w:val="7"/>
              </w:rPr>
              <w:t xml:space="preserve"> </w:t>
            </w:r>
            <w:r>
              <w:rPr>
                <w:spacing w:val="-8"/>
                <w:position w:val="7"/>
              </w:rPr>
              <w:t>得</w:t>
            </w:r>
            <w:r>
              <w:rPr>
                <w:spacing w:val="-40"/>
                <w:position w:val="7"/>
              </w:rPr>
              <w:t xml:space="preserve"> </w:t>
            </w:r>
            <w:r>
              <w:rPr>
                <w:spacing w:val="-8"/>
                <w:position w:val="7"/>
              </w:rPr>
              <w:t>3</w:t>
            </w:r>
            <w:r>
              <w:rPr>
                <w:spacing w:val="-41"/>
                <w:position w:val="7"/>
              </w:rPr>
              <w:t xml:space="preserve"> </w:t>
            </w:r>
            <w:r>
              <w:rPr>
                <w:spacing w:val="-8"/>
                <w:position w:val="7"/>
              </w:rPr>
              <w:t>分；</w:t>
            </w:r>
          </w:p>
          <w:p>
            <w:pPr>
              <w:pStyle w:val="18"/>
              <w:widowControl w:val="0"/>
              <w:spacing w:line="218" w:lineRule="auto"/>
              <w:ind w:left="114" w:leftChars="0"/>
              <w:jc w:val="left"/>
              <w:rPr>
                <w:rFonts w:ascii="宋体" w:hAnsi="宋体" w:eastAsia="宋体" w:cs="宋体"/>
                <w:snapToGrid w:val="0"/>
                <w:color w:val="000000"/>
                <w:kern w:val="0"/>
                <w:sz w:val="21"/>
                <w:szCs w:val="21"/>
                <w:lang w:val="en-US" w:eastAsia="en-US" w:bidi="ar-SA"/>
              </w:rPr>
            </w:pPr>
            <w:r>
              <w:rPr>
                <w:spacing w:val="-3"/>
              </w:rPr>
              <w:t>有较大欠缺或未提供，得</w:t>
            </w:r>
            <w:r>
              <w:rPr>
                <w:spacing w:val="-41"/>
              </w:rPr>
              <w:t xml:space="preserve"> </w:t>
            </w:r>
            <w:r>
              <w:rPr>
                <w:spacing w:val="-3"/>
              </w:rPr>
              <w:t>0</w:t>
            </w:r>
            <w:r>
              <w:rPr>
                <w:spacing w:val="-41"/>
              </w:rPr>
              <w:t xml:space="preserve"> </w:t>
            </w:r>
            <w:r>
              <w:rPr>
                <w:spacing w:val="-3"/>
              </w:rPr>
              <w:t>分。</w:t>
            </w:r>
          </w:p>
        </w:tc>
        <w:tc>
          <w:tcPr>
            <w:tcW w:w="954" w:type="dxa"/>
            <w:shd w:val="clear" w:color="auto" w:fill="auto"/>
            <w:vAlign w:val="center"/>
          </w:tcPr>
          <w:p>
            <w:pPr>
              <w:widowControl w:val="0"/>
              <w:jc w:val="center"/>
              <w:rPr>
                <w:rFonts w:ascii="Arial" w:hAnsi="Arial" w:eastAsia="Arial" w:cs="Arial"/>
                <w:snapToGrid w:val="0"/>
                <w:color w:val="000000"/>
                <w:kern w:val="0"/>
                <w:sz w:val="21"/>
                <w:szCs w:val="21"/>
                <w:vertAlign w:val="baseline"/>
                <w:lang w:val="en-US" w:eastAsia="en-US" w:bidi="ar-SA"/>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widowControl w:val="0"/>
              <w:jc w:val="center"/>
              <w:rPr>
                <w:rFonts w:hint="eastAsia" w:eastAsia="宋体"/>
                <w:vertAlign w:val="baseline"/>
                <w:lang w:val="en-US" w:eastAsia="zh-CN"/>
              </w:rPr>
            </w:pPr>
            <w:r>
              <w:rPr>
                <w:rFonts w:hint="eastAsia" w:eastAsia="宋体"/>
                <w:vertAlign w:val="baseline"/>
                <w:lang w:val="en-US" w:eastAsia="zh-CN"/>
              </w:rPr>
              <w:t>7</w:t>
            </w:r>
          </w:p>
        </w:tc>
        <w:tc>
          <w:tcPr>
            <w:tcW w:w="1083" w:type="dxa"/>
            <w:vMerge w:val="continue"/>
            <w:vAlign w:val="center"/>
          </w:tcPr>
          <w:p>
            <w:pPr>
              <w:widowControl w:val="0"/>
              <w:jc w:val="center"/>
              <w:rPr>
                <w:vertAlign w:val="baseline"/>
              </w:rPr>
            </w:pPr>
          </w:p>
        </w:tc>
        <w:tc>
          <w:tcPr>
            <w:tcW w:w="1070" w:type="dxa"/>
            <w:shd w:val="clear" w:color="auto" w:fill="auto"/>
            <w:vAlign w:val="center"/>
          </w:tcPr>
          <w:p>
            <w:pPr>
              <w:widowControl w:val="0"/>
              <w:spacing w:line="269" w:lineRule="auto"/>
              <w:jc w:val="center"/>
              <w:rPr>
                <w:rFonts w:ascii="Arial"/>
                <w:sz w:val="21"/>
              </w:rPr>
            </w:pPr>
          </w:p>
          <w:p>
            <w:pPr>
              <w:widowControl w:val="0"/>
              <w:spacing w:line="270" w:lineRule="auto"/>
              <w:jc w:val="center"/>
              <w:rPr>
                <w:rFonts w:ascii="Arial"/>
                <w:sz w:val="21"/>
              </w:rPr>
            </w:pPr>
          </w:p>
          <w:p>
            <w:pPr>
              <w:pStyle w:val="18"/>
              <w:widowControl w:val="0"/>
              <w:spacing w:before="69" w:line="221" w:lineRule="auto"/>
              <w:jc w:val="both"/>
              <w:rPr>
                <w:rFonts w:ascii="宋体" w:hAnsi="宋体" w:eastAsia="宋体" w:cs="宋体"/>
                <w:snapToGrid w:val="0"/>
                <w:color w:val="000000"/>
                <w:kern w:val="0"/>
                <w:sz w:val="21"/>
                <w:szCs w:val="21"/>
                <w:lang w:val="en-US" w:eastAsia="en-US" w:bidi="ar-SA"/>
              </w:rPr>
            </w:pPr>
            <w:r>
              <w:rPr>
                <w:spacing w:val="-2"/>
              </w:rPr>
              <w:t>服务承诺</w:t>
            </w:r>
          </w:p>
        </w:tc>
        <w:tc>
          <w:tcPr>
            <w:tcW w:w="921" w:type="dxa"/>
            <w:shd w:val="clear" w:color="auto" w:fill="auto"/>
            <w:vAlign w:val="center"/>
          </w:tcPr>
          <w:p>
            <w:pPr>
              <w:widowControl w:val="0"/>
              <w:spacing w:line="269" w:lineRule="auto"/>
              <w:jc w:val="center"/>
              <w:rPr>
                <w:rFonts w:ascii="Arial"/>
                <w:sz w:val="21"/>
              </w:rPr>
            </w:pPr>
          </w:p>
          <w:p>
            <w:pPr>
              <w:widowControl w:val="0"/>
              <w:spacing w:line="269" w:lineRule="auto"/>
              <w:jc w:val="center"/>
              <w:rPr>
                <w:rFonts w:ascii="Arial"/>
                <w:sz w:val="21"/>
              </w:rPr>
            </w:pPr>
          </w:p>
          <w:p>
            <w:pPr>
              <w:widowControl w:val="0"/>
              <w:spacing w:line="270" w:lineRule="auto"/>
              <w:jc w:val="center"/>
              <w:rPr>
                <w:rFonts w:ascii="Arial"/>
                <w:sz w:val="21"/>
              </w:rPr>
            </w:pPr>
          </w:p>
          <w:p>
            <w:pPr>
              <w:widowControl w:val="0"/>
              <w:spacing w:line="270" w:lineRule="auto"/>
              <w:jc w:val="center"/>
              <w:rPr>
                <w:rFonts w:ascii="Arial"/>
                <w:sz w:val="21"/>
              </w:rPr>
            </w:pPr>
          </w:p>
          <w:p>
            <w:pPr>
              <w:pStyle w:val="18"/>
              <w:widowControl w:val="0"/>
              <w:spacing w:before="69" w:line="221" w:lineRule="auto"/>
              <w:jc w:val="both"/>
              <w:rPr>
                <w:rFonts w:hint="default" w:ascii="宋体" w:hAnsi="宋体" w:eastAsia="宋体" w:cs="宋体"/>
                <w:snapToGrid w:val="0"/>
                <w:color w:val="000000"/>
                <w:kern w:val="0"/>
                <w:sz w:val="21"/>
                <w:szCs w:val="21"/>
                <w:lang w:val="en-US" w:eastAsia="zh-CN" w:bidi="ar-SA"/>
              </w:rPr>
            </w:pPr>
            <w:r>
              <w:rPr>
                <w:rFonts w:hint="eastAsia"/>
                <w:spacing w:val="-8"/>
                <w:lang w:val="en-US" w:eastAsia="zh-CN"/>
              </w:rPr>
              <w:t>0-10</w:t>
            </w:r>
          </w:p>
        </w:tc>
        <w:tc>
          <w:tcPr>
            <w:tcW w:w="3847" w:type="dxa"/>
            <w:shd w:val="clear" w:color="auto" w:fill="auto"/>
            <w:vAlign w:val="center"/>
          </w:tcPr>
          <w:p>
            <w:pPr>
              <w:pStyle w:val="18"/>
              <w:widowControl w:val="0"/>
              <w:spacing w:before="59" w:line="257" w:lineRule="auto"/>
              <w:ind w:left="112" w:right="92"/>
              <w:jc w:val="left"/>
            </w:pPr>
            <w:r>
              <w:rPr>
                <w:spacing w:val="-4"/>
              </w:rPr>
              <w:t>对本项目的承诺包括但不限于以下内容：遵</w:t>
            </w:r>
            <w:r>
              <w:rPr>
                <w:spacing w:val="-5"/>
              </w:rPr>
              <w:t>守职业道德、廉洁自律、遵守相关付费标准及规定、确保项目组人员稳定性，严禁出</w:t>
            </w:r>
            <w:r>
              <w:rPr>
                <w:spacing w:val="-1"/>
              </w:rPr>
              <w:t>现拒绝服务的情况、对服务过程及结果的保密等。</w:t>
            </w:r>
          </w:p>
          <w:p>
            <w:pPr>
              <w:pStyle w:val="18"/>
              <w:widowControl w:val="0"/>
              <w:spacing w:before="60" w:line="221" w:lineRule="auto"/>
              <w:ind w:left="139"/>
              <w:jc w:val="left"/>
            </w:pPr>
            <w:r>
              <w:rPr>
                <w:spacing w:val="-6"/>
              </w:rPr>
              <w:t>内容完整充实，</w:t>
            </w:r>
            <w:r>
              <w:rPr>
                <w:spacing w:val="-21"/>
              </w:rPr>
              <w:t xml:space="preserve"> </w:t>
            </w:r>
            <w:r>
              <w:rPr>
                <w:spacing w:val="-6"/>
              </w:rPr>
              <w:t>可实施性强，具有针对性，得</w:t>
            </w:r>
            <w:r>
              <w:rPr>
                <w:spacing w:val="-28"/>
              </w:rPr>
              <w:t xml:space="preserve"> </w:t>
            </w:r>
            <w:r>
              <w:rPr>
                <w:spacing w:val="-7"/>
              </w:rPr>
              <w:t>10</w:t>
            </w:r>
            <w:r>
              <w:rPr>
                <w:spacing w:val="-44"/>
              </w:rPr>
              <w:t xml:space="preserve"> </w:t>
            </w:r>
            <w:r>
              <w:rPr>
                <w:spacing w:val="-7"/>
              </w:rPr>
              <w:t>分；</w:t>
            </w:r>
          </w:p>
          <w:p>
            <w:pPr>
              <w:pStyle w:val="18"/>
              <w:widowControl w:val="0"/>
              <w:spacing w:before="60" w:line="221" w:lineRule="auto"/>
              <w:ind w:left="139"/>
              <w:jc w:val="left"/>
            </w:pPr>
            <w:r>
              <w:rPr>
                <w:spacing w:val="-3"/>
              </w:rPr>
              <w:t>内容完整较充实，可实施性较强，针对性一般</w:t>
            </w:r>
            <w:r>
              <w:rPr>
                <w:rFonts w:hint="eastAsia"/>
                <w:spacing w:val="-3"/>
                <w:lang w:eastAsia="zh-CN"/>
              </w:rPr>
              <w:t>，</w:t>
            </w:r>
            <w:r>
              <w:rPr>
                <w:spacing w:val="-3"/>
              </w:rPr>
              <w:t>得</w:t>
            </w:r>
            <w:r>
              <w:rPr>
                <w:spacing w:val="-40"/>
              </w:rPr>
              <w:t xml:space="preserve"> </w:t>
            </w:r>
            <w:r>
              <w:rPr>
                <w:spacing w:val="-3"/>
              </w:rPr>
              <w:t>8</w:t>
            </w:r>
            <w:r>
              <w:rPr>
                <w:spacing w:val="-42"/>
              </w:rPr>
              <w:t xml:space="preserve"> </w:t>
            </w:r>
            <w:r>
              <w:rPr>
                <w:spacing w:val="-3"/>
              </w:rPr>
              <w:t>分；</w:t>
            </w:r>
          </w:p>
          <w:p>
            <w:pPr>
              <w:pStyle w:val="18"/>
              <w:widowControl w:val="0"/>
              <w:spacing w:before="60" w:line="221" w:lineRule="auto"/>
              <w:ind w:left="139"/>
              <w:jc w:val="left"/>
            </w:pPr>
            <w:r>
              <w:rPr>
                <w:spacing w:val="-13"/>
              </w:rPr>
              <w:t>内容完整但不充实， 可实施性一般，</w:t>
            </w:r>
            <w:r>
              <w:rPr>
                <w:spacing w:val="-21"/>
              </w:rPr>
              <w:t xml:space="preserve"> </w:t>
            </w:r>
            <w:r>
              <w:rPr>
                <w:spacing w:val="-13"/>
              </w:rPr>
              <w:t>针对性一般，得</w:t>
            </w:r>
            <w:r>
              <w:rPr>
                <w:spacing w:val="-43"/>
              </w:rPr>
              <w:t xml:space="preserve"> </w:t>
            </w:r>
            <w:r>
              <w:rPr>
                <w:spacing w:val="-13"/>
              </w:rPr>
              <w:t>6</w:t>
            </w:r>
            <w:r>
              <w:rPr>
                <w:spacing w:val="-41"/>
              </w:rPr>
              <w:t xml:space="preserve"> </w:t>
            </w:r>
            <w:r>
              <w:rPr>
                <w:spacing w:val="-13"/>
              </w:rPr>
              <w:t>分；</w:t>
            </w:r>
          </w:p>
          <w:p>
            <w:pPr>
              <w:pStyle w:val="18"/>
              <w:widowControl w:val="0"/>
              <w:spacing w:before="61" w:line="244" w:lineRule="auto"/>
              <w:ind w:left="114" w:leftChars="0" w:right="862" w:rightChars="0" w:firstLine="24" w:firstLineChars="0"/>
              <w:jc w:val="left"/>
              <w:rPr>
                <w:rFonts w:ascii="宋体" w:hAnsi="宋体" w:eastAsia="宋体" w:cs="宋体"/>
                <w:snapToGrid w:val="0"/>
                <w:color w:val="000000"/>
                <w:kern w:val="0"/>
                <w:sz w:val="21"/>
                <w:szCs w:val="21"/>
                <w:lang w:val="en-US" w:eastAsia="en-US" w:bidi="ar-SA"/>
              </w:rPr>
            </w:pPr>
            <w:r>
              <w:rPr>
                <w:spacing w:val="-12"/>
              </w:rPr>
              <w:t>内容完整但不充实， 可实施性、针对性较差，</w:t>
            </w:r>
            <w:r>
              <w:rPr>
                <w:spacing w:val="-9"/>
              </w:rPr>
              <w:t xml:space="preserve"> </w:t>
            </w:r>
            <w:r>
              <w:rPr>
                <w:spacing w:val="-12"/>
              </w:rPr>
              <w:t>得</w:t>
            </w:r>
            <w:r>
              <w:rPr>
                <w:spacing w:val="-39"/>
              </w:rPr>
              <w:t xml:space="preserve"> </w:t>
            </w:r>
            <w:r>
              <w:rPr>
                <w:spacing w:val="-12"/>
              </w:rPr>
              <w:t>3</w:t>
            </w:r>
            <w:r>
              <w:rPr>
                <w:spacing w:val="-44"/>
              </w:rPr>
              <w:t xml:space="preserve"> </w:t>
            </w:r>
            <w:r>
              <w:rPr>
                <w:spacing w:val="-12"/>
              </w:rPr>
              <w:t>分，</w:t>
            </w:r>
            <w:r>
              <w:rPr>
                <w:rFonts w:hint="eastAsia"/>
                <w:lang w:eastAsia="zh-CN"/>
              </w:rPr>
              <w:t>有</w:t>
            </w:r>
            <w:r>
              <w:rPr>
                <w:spacing w:val="-3"/>
              </w:rPr>
              <w:t>较大欠缺或未提供，得</w:t>
            </w:r>
            <w:r>
              <w:rPr>
                <w:spacing w:val="-41"/>
              </w:rPr>
              <w:t xml:space="preserve"> </w:t>
            </w:r>
            <w:r>
              <w:rPr>
                <w:spacing w:val="-3"/>
              </w:rPr>
              <w:t>0</w:t>
            </w:r>
            <w:r>
              <w:rPr>
                <w:spacing w:val="-41"/>
              </w:rPr>
              <w:t xml:space="preserve"> </w:t>
            </w:r>
            <w:r>
              <w:rPr>
                <w:spacing w:val="-3"/>
              </w:rPr>
              <w:t>分。</w:t>
            </w:r>
          </w:p>
        </w:tc>
        <w:tc>
          <w:tcPr>
            <w:tcW w:w="954" w:type="dxa"/>
            <w:vAlign w:val="center"/>
          </w:tcPr>
          <w:p>
            <w:pPr>
              <w:widowControl w:val="0"/>
              <w:jc w:val="center"/>
              <w:rPr>
                <w:vertAlign w:val="baseline"/>
              </w:rPr>
            </w:pPr>
            <w:r>
              <w:rPr>
                <w:rFonts w:hint="eastAsia" w:ascii="宋体" w:hAnsi="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0" w:type="dxa"/>
            <w:gridSpan w:val="3"/>
            <w:vAlign w:val="center"/>
          </w:tcPr>
          <w:p>
            <w:pPr>
              <w:widowControl w:val="0"/>
              <w:jc w:val="center"/>
              <w:rPr>
                <w:rFonts w:hint="eastAsia" w:eastAsia="宋体"/>
                <w:vertAlign w:val="baseline"/>
                <w:lang w:eastAsia="zh-CN"/>
              </w:rPr>
            </w:pPr>
            <w:r>
              <w:rPr>
                <w:rFonts w:hint="eastAsia" w:eastAsia="宋体"/>
                <w:vertAlign w:val="baseline"/>
                <w:lang w:eastAsia="zh-CN"/>
              </w:rPr>
              <w:t>合计</w:t>
            </w:r>
          </w:p>
        </w:tc>
        <w:tc>
          <w:tcPr>
            <w:tcW w:w="921" w:type="dxa"/>
            <w:vAlign w:val="center"/>
          </w:tcPr>
          <w:p>
            <w:pPr>
              <w:widowControl w:val="0"/>
              <w:jc w:val="center"/>
              <w:rPr>
                <w:rFonts w:hint="default" w:eastAsia="宋体"/>
                <w:vertAlign w:val="baseline"/>
                <w:lang w:val="en-US" w:eastAsia="zh-CN"/>
              </w:rPr>
            </w:pPr>
            <w:r>
              <w:rPr>
                <w:rFonts w:hint="eastAsia" w:eastAsia="宋体"/>
                <w:vertAlign w:val="baseline"/>
                <w:lang w:val="en-US" w:eastAsia="zh-CN"/>
              </w:rPr>
              <w:t>100</w:t>
            </w:r>
          </w:p>
        </w:tc>
        <w:tc>
          <w:tcPr>
            <w:tcW w:w="3847" w:type="dxa"/>
            <w:vAlign w:val="center"/>
          </w:tcPr>
          <w:p>
            <w:pPr>
              <w:widowControl w:val="0"/>
              <w:jc w:val="center"/>
              <w:rPr>
                <w:vertAlign w:val="baseline"/>
              </w:rPr>
            </w:pPr>
          </w:p>
        </w:tc>
        <w:tc>
          <w:tcPr>
            <w:tcW w:w="954" w:type="dxa"/>
            <w:vAlign w:val="center"/>
          </w:tcPr>
          <w:p>
            <w:pPr>
              <w:widowControl w:val="0"/>
              <w:jc w:val="center"/>
              <w:rPr>
                <w:vertAlign w:val="baseline"/>
              </w:rPr>
            </w:pPr>
          </w:p>
        </w:tc>
      </w:tr>
    </w:tbl>
    <w:p/>
    <w:p>
      <w:pPr>
        <w:rPr>
          <w:rFonts w:ascii="宋体" w:hAnsi="宋体"/>
          <w:b/>
          <w:color w:val="000000"/>
          <w:sz w:val="36"/>
          <w:szCs w:val="36"/>
        </w:rPr>
      </w:pPr>
    </w:p>
    <w:p>
      <w:pPr>
        <w:spacing w:line="360" w:lineRule="auto"/>
        <w:jc w:val="center"/>
        <w:outlineLvl w:val="0"/>
        <w:rPr>
          <w:rFonts w:ascii="宋体" w:hAnsi="宋体"/>
          <w:b/>
          <w:color w:val="000000"/>
          <w:sz w:val="36"/>
          <w:szCs w:val="36"/>
        </w:rPr>
      </w:pPr>
    </w:p>
    <w:p>
      <w:pPr>
        <w:spacing w:line="360" w:lineRule="auto"/>
        <w:jc w:val="center"/>
        <w:outlineLvl w:val="0"/>
        <w:rPr>
          <w:rFonts w:ascii="宋体" w:hAnsi="宋体"/>
          <w:b/>
          <w:color w:val="000000"/>
          <w:sz w:val="36"/>
          <w:szCs w:val="36"/>
        </w:rPr>
      </w:pPr>
    </w:p>
    <w:p>
      <w:pPr>
        <w:spacing w:line="360" w:lineRule="auto"/>
        <w:jc w:val="center"/>
        <w:outlineLvl w:val="0"/>
        <w:rPr>
          <w:rFonts w:ascii="宋体" w:hAnsi="宋体"/>
          <w:b/>
          <w:color w:val="000000"/>
          <w:sz w:val="36"/>
          <w:szCs w:val="36"/>
        </w:rPr>
      </w:pPr>
    </w:p>
    <w:p>
      <w:pPr>
        <w:spacing w:line="360" w:lineRule="auto"/>
        <w:jc w:val="center"/>
        <w:outlineLvl w:val="0"/>
        <w:rPr>
          <w:rFonts w:ascii="宋体" w:hAnsi="宋体"/>
          <w:b/>
          <w:color w:val="000000"/>
          <w:sz w:val="36"/>
          <w:szCs w:val="36"/>
        </w:rPr>
      </w:pPr>
    </w:p>
    <w:p>
      <w:pPr>
        <w:spacing w:line="360" w:lineRule="auto"/>
        <w:jc w:val="center"/>
        <w:outlineLvl w:val="0"/>
        <w:rPr>
          <w:rFonts w:ascii="宋体" w:hAnsi="宋体"/>
          <w:b/>
          <w:color w:val="000000"/>
          <w:sz w:val="36"/>
          <w:szCs w:val="36"/>
        </w:rPr>
      </w:pPr>
    </w:p>
    <w:p>
      <w:pPr>
        <w:spacing w:line="360" w:lineRule="auto"/>
        <w:ind w:firstLine="2530" w:firstLineChars="700"/>
        <w:jc w:val="both"/>
        <w:outlineLvl w:val="0"/>
        <w:rPr>
          <w:rFonts w:ascii="宋体" w:hAnsi="宋体"/>
          <w:b/>
          <w:color w:val="000000"/>
          <w:sz w:val="36"/>
          <w:szCs w:val="36"/>
        </w:rPr>
      </w:pPr>
      <w:r>
        <w:rPr>
          <w:rFonts w:ascii="宋体" w:hAnsi="宋体"/>
          <w:b/>
          <w:color w:val="000000"/>
          <w:sz w:val="36"/>
          <w:szCs w:val="36"/>
        </w:rPr>
        <w:t>第四章   采购需求</w:t>
      </w:r>
      <w:bookmarkEnd w:id="675"/>
    </w:p>
    <w:p>
      <w:pPr>
        <w:spacing w:line="480" w:lineRule="exact"/>
        <w:ind w:firstLine="562" w:firstLineChars="200"/>
        <w:rPr>
          <w:rFonts w:ascii="宋体" w:hAnsi="宋体" w:eastAsia="宋体"/>
          <w:b/>
          <w:bCs/>
          <w:sz w:val="28"/>
          <w:szCs w:val="28"/>
          <w:lang w:eastAsia="zh-CN"/>
        </w:rPr>
      </w:pPr>
      <w:bookmarkStart w:id="676" w:name="_Toc135918302"/>
      <w:r>
        <w:rPr>
          <w:rFonts w:hint="eastAsia" w:ascii="宋体" w:hAnsi="宋体" w:eastAsia="宋体"/>
          <w:b/>
          <w:bCs/>
          <w:sz w:val="28"/>
          <w:szCs w:val="28"/>
          <w:lang w:eastAsia="zh-CN"/>
        </w:rPr>
        <w:t>一、项目基本情况</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1、物业项目名称：博物馆物业管理服务项目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2、服务地点：北京市平谷区渔阳地区平谷体育中心西路3号院2号楼101</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3、建筑面积：21727.17㎡</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4、服务期限：自合同签订之日起 1年</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5、服务内容：包括博物馆公共区域保洁、水电等公共设施的维修维护、消防中控运行值班、高压配电室运行值班、中央空调机组运行值班、绿化养护等工作内容。</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6、付款条件（进度和方式）：合同履行期内， 采用季度预付制，每季度的首月支付本季度服务费。乙方应当于甲方付款前为甲方出具符合甲方要求的发票，否则甲方有权迟延付款，且不承担迟延付款的违约责任。因甲方财政资金审批、拨付流程等原因造成甲方未能及时付款的，乙方表示理解，甲方不承担违约责任，付款时间相应顺延。乙方账户变更的应及时告知甲方，因此导致乙方未能收到合同款的，甲方不负责任。</w:t>
      </w:r>
    </w:p>
    <w:p>
      <w:pPr>
        <w:spacing w:line="480" w:lineRule="exact"/>
        <w:ind w:firstLine="562" w:firstLineChars="200"/>
        <w:rPr>
          <w:rFonts w:hint="eastAsia" w:ascii="宋体" w:hAnsi="宋体" w:eastAsia="宋体"/>
          <w:b/>
          <w:bCs/>
          <w:sz w:val="28"/>
          <w:szCs w:val="28"/>
          <w:lang w:eastAsia="zh-CN"/>
        </w:rPr>
      </w:pPr>
      <w:r>
        <w:rPr>
          <w:rFonts w:hint="eastAsia" w:ascii="宋体" w:hAnsi="宋体" w:eastAsia="宋体"/>
          <w:b/>
          <w:bCs/>
          <w:sz w:val="28"/>
          <w:szCs w:val="28"/>
          <w:lang w:eastAsia="zh-CN"/>
        </w:rPr>
        <w:t>二、技术要求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1.服务内容</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主要包括博物馆办公楼庭院（冬季扫雪铲冰、秋季清扫落叶、夏季积水清扫、春季飞絮清理等）、主楼公共区域保洁服务（楼内保洁服务含公共楼道楼梯、卫生间、开水间、公共洗澡间、会议室、多功能厅、展厅）、中央空调运行服务、水电维修服务、高压配电室运行值班、消防中控运行值班等工作。</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2.服务要求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（一）人员管理要求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1、中标人从业人员应无违法犯罪记录，具备忠于职守、尽职尽责的职业道德和操守。</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2、中标人从业人员应当具备相应的物业管理服务知识；专业技术人员、操作人员应当取得相应专业技术证书或者职业技能资格证书。</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3、中标人从业人员必须进行岗前培训，接受保密教育，培训合格后上岗。</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4、中标人从业人员工作时需统一着装，佩戴标志，规范服务，语言文明，仪容仪表整洁，服务主动热情，使用普通话。</w:t>
      </w:r>
    </w:p>
    <w:p>
      <w:pPr>
        <w:spacing w:line="48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5、服务人员由公司按照岗位的需求配置，总人数不得低于28人。</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（二）档案管理要求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1、建立档案管理制度，保证所收集到的房屋及其共用设施设备等档案资料齐全，分类成册，管理完善，以便查阅。</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建立健全办公区消防档案，档案应当详实，全面反映办公区消防工作的基本情况，附有必要的图标，并根据实际情况变化及时更新。消防档案应当包括但不限于以下内容：办公区消防安全基本情况和消防安全管理情况。</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3、做好各类设施设备、安全生产工作的巡查、检查、运行记录表的存档。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4、做好各类设施设备的检查、检测报告的存档工作，并按要求将需要展示在设备间的材料进行悬挂展示。</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5、做好中标人从业人员人事档案存档、管理工作，包括但不限于以下内容：从业人员应聘信息登记表、身份证复印件、照片、职称/技能证书、体检报告、劳动合同、保密协议等。</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（三）房屋、公用部位日常管理及维修养护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1、每周不少于2次对办公楼外立面及附着物进行巡视，外墙饰面、涂料等装饰有脱落、污渍的现象及时向采购人报告，根据采购人要求进行处理，做好相关记录并留档。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2、随时巡视楼顶及室内外各类灯具、牌匾、霓虹灯等，存在安全隐患要及时告知采购人和有关部门，并督促有关部门处理，避免造成安全事故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3、每季度检查1次梁、板、柱等结构构件，外观出现变形、开裂等现象时，应提示采购人申请房屋安全鉴定，同时采取必要的防护措施。按鉴定结果和采购人要求组织修缮。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4、对房屋共用部位进行日常管理和维修养护，做好检修记录和保养记录并留档。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5、根据房屋实际使用年限，适时检查房屋共用部位的使用状况。如需要维修，属于小修范围的，及时组织修复。属于大、中修范围或者需要更新改造的，要向采购人提出报告与建议，并协助实施。</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6、每日不低于2次对楼内外公共区域进行巡查，做好巡查记录，发现安全隐患或破损及时报告采购人，将巡查记录及破损报告进行存档。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发现公共部位玻璃、门窗等出现问题需要维修的，及时向采购人报告并配合采购人指定的专业人员进行维修。内墙面、顶面粉刷层发现剥落或污损，及时向采购人汇报，双方协商进行修补、除污。步行梯、散水、地面、屋面等需要维修的，随时进行修补维修。(墙面、地面等小修指面积2平米高度2米以下的非高空小面积)。</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8、按照有关规定，每年提示采购人进行1次房屋避雷检测，符合避雷规范要求。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9、零活维修及时率达到100%，急修人员10分钟到达现场进行处置，做到一般维修2小时内完毕，复杂维修当日内完成，对在时限内不能完成的，向采购人说明情况。</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（四）设施设备日常运行及维护管理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1、建立24小时维修值班制度，保证维修人员10分钟内到达突发事件现场进行处置。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2、建立设施设备管理制度，如设施设备运行记录、巡检纪录、维修保养纪录、岗位职责等，并制定相应的应急预案。</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3、每季度末对公用设施设备进行全面检查,开展隐患巡查排查和治理,确保公用设施设备运行良好。</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4、特种设备由专业性机构进行维修养护,中标人提供的工作人员中需有一名人员具备特种设备本协助采购人做好日常监督、检查。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设备机房每半月清洁1次,机房整洁有序,室内无杂物；设有挡鼠板、鼠药盒或粘鼠板；在明显易取位置摆放有符合规定的消防器材以及专用工具,确保完好有效；设施设备标识标牌齐全，张贴或悬挂相关制度、证书、检验报告。</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6、元旦、春节、五一、国庆等重大节假日和重大活动前,对供水、供电、供气、供热、空调、排水、消防等各类设备设施进行一次全面巡检工作，保证各类设施设备及其附属设施正常运转，做好巡检记录并留档。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7、对设施设备的总体要求：保证设施设备正常运行、无事故隐患；配备取得相应资格的专业技术人员，严格执行操作规程。</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（五）供电系统日常运行及维护管理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1、建立配送电运行制度和配电室管理制度,制定突发事件应急处理程序，低压配电室；限电、停电按规定时间通知采购人。</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2、建立24小时运行值班监控制度，保证高压配电室值班值守每班不少于2人；对公共区域的电气设备每周巡视3次,保证公共区域的照明、指示灯具、线路、开关保持完好,确保用电安全。</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3、高低压配电室各种安全警示标志齐全，不齐全的，提示采购人及时整改。保证配电操作工具整洁、齐全，便于取用。</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4、加强高低压配电柜、配电箱、控制柜以及线路的重点监测,每日巡查1次运行状况；每半年养护1次，养护内容包括紧固，检测、清扫；每季度不低于2次检查电气安全，做好巡查、养护检修记录并留档。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5、配电室、楼层配电间内防小动物措施完备，穿墙线槽周边封堵严密，锁具完好，电缆进出线和开关标志准确。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6、供电线路故障,10分钟内到达并组织维修，一般故障半小时内修复,复杂故障5日内修复，复杂故障涉及供电部门维修处置的应当及时与供电部门联系,同时向采购人说明情况，并配合供电部门后期维修处置。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（六）给排水系统日常运行及维护管理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1、建立正常给排水制度，提示采购人做好每年二次供水的水质检测工作。</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2、给排水系统管理的总体要求是系统畅通、无泄漏，管理措施规范合理，各种工作有记录。</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3、每日巡查供水泵房2次，检查供水设备运行状况，保证办公区供水正常，做好记录并留档。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4、每日10：00、22:00对办公区内供水管路、用水设备、阀门进行巡查，做到供水管路、用水设备、阀门无跑、冒、滴、漏现象，发现问题及时处理，保证办公区正常用水需求，做好巡查记录并留档。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5、定期对排水管道进行疏通、清污，保证室内外排水系统通畅；每次降雨前后对主要排水口、管井进行检查，保障排水排污管道畅通。</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6、建立防汛预案，每年至少组织一次防汛演练，每年上汛前对雨、污水井、屋面雨水口等排水设施进行检查，组织清理、疏通。</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7、污水泵每周巡视1次，检查设备运行状态，每周进行手动启动测试和养护。</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8、给排水系统遇有故障，维修人员在10分钟内到达现场进行处置。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（七）空调设施日常运行及维护管理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1、建立空调运行管理制度、应急处置预案和安全操作规程，保证空调系统安全运行和正常使用。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2、提醒采购人每年进行1次新风机、新风管道、风机盘管，空气滤网的清洗消毒。</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3、提醒采购人做好空调冷凝机组的维保服务，并对维保单位的维保工作进行监督。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4、空调系统出现运行故障后，中标人人员10分钟内到达现场进行处理，凡涉及到需维保单位进行的维修，中标人应及时通知维保单位并告知采购人，做好相关记录并配合维保单位相关处置工作。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5、制冷、供暖系统温度设定以及启用时间应符合节能要求，每月对能源消耗进行统计。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6、中央空调运行前对冷水机组、循环水泵、冷却塔、风机等附属设施进行全面检查，运行期间每2小时巡查1次设备运行情况；每周检查1次管道、阀门并对管道进行除锈处理；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7、每年制冷、供暖系统运行前，对系统进行1次整体性维修养护，检验1次压力容器、仪表以及冷却塔噪音。</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（八）消防中控日常运行管理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1、建立消防控制室运行管理制度，配合采购人做好博物馆大楼的消防安全管理工作。</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2、严格执行消防法规，建立消防安全管理制度和应急处置预案，确保博物馆大楼消防安全。</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中标人应安排符合和具备从业资格人员负责消防控制室、视频监控室的日常运行管理，设置2人24小时值班值守制度，值班电话保持24小时畅通状态，严格执行消防控制室有关规定，实时查看博物馆大楼安全出入口、内部重点区域的消防安全及监控状态，及时发现问题并进行处置。及时按要求上传消防总队（消防支队）对重点消防单位中控室点名视频。</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5、消防监控视频必须24小时开机，不得关闭任何涉及监控设备的电源，不得随意更改监控系统设置。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6、严禁擅自改变、遮挡视频监控设置的监控区域，旋转摄像头在使用后，须将摄像头恢复到指定方位。</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7、中标人须指定专人负责视频监控系统操作、视频信息回放、备份操作的管理，任何人未经采购人主管负责人许可不得进行视频信息回放、复制拷贝等操作。</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8、每月检查2次消防设施，做好记录并留档，消防设施的维护管理应当符合《建筑消防设施的维护管理》（GB 25201）的要求，保证消防设施安全无故障运行。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9、每周检查2次博物馆大楼内各处消火栓是否损坏，水带、水枪是否在位；各处消防管道、消防水箱、是否有跑、冒、滴、漏；防火门、安全出口指示灯、消防疏散示意图、应急照明是否完好；安全通道是否通畅。 </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10、每月检查一次消防应急电源是否正常，能否及时切换；消防报警按钮、警铃以及指示灯、消防广播系统、烟感探测器、消防控制联动系统是否正常；</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11、每月检查2次手提式、推车式干粉灭火器压力是否正常、是否在年检有效期内；室内外消火栓、室内自动喷淋系统管道水压是否正常；气体灭火装置是否处于正常状态。</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12、消防控制室收到火情、险情等报警信号以及其他异常情况信号后，立即安排人员到场查看，同时根据现场情况按预案进行处置；遇不能处置的情况应及时拨打报警电话，同时告知采购人主管负责人，协助第三方机构做好事件的处置工作，做好相关工作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（九）电梯日常运行管理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1、建立电梯日常运行管理制度，应急措施与救援预案，配合采购人做好电梯日常运行管理。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2、提醒采购人按规定对电梯进行维修保养及定期检验，并对电梯维保单位的电梯维保工作进行监督。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3、电梯发生故障，中标人人员应第一时间到场并及时通知电梯维保单位，并督促维保单位尽快对故障进行修复。</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发生电梯困人或其他重大事故，中标人人员应第一时间到场与被困人员进行沟通，并立即通知电梯维保单位，同时告知采购人物业管理工作负责人，协助维保单位及专业人员开展应急处理和救助工作，做好相关工作记录并留档。</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（十）有限空间日常运行及维护管理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1、建立有限空间运行管理制度、应急处置预案和安全操作规程，杜绝有限空间事故发生。</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2、严格按照《中华人民共和国安全生产法》、《北京市生产经营单位安全生产主体责任规定》、《有限空间作业安全技术规范》（DB11/T 852-2019）等法律法规和采购人要求开展有限空间作业。</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3、完善有限空间基础台账，加强对有限空间作业人员的安全教育培训，提升有限空间作业管理人员的应急处置能力,坚决杜绝安全事故发生。</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4、有限空间从业人员必须具备有限空间作业资格，中标人必须配备有限空间作业个人防护用品及救援设备。</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5、有限空间日常管理应设置专职管理员，明确维护管理的任务和内容，做到责任明确。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6、健全有限空间警示标识，提高日常运行、从业人员的风险辨识和防范能力。</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（十一）保洁服务日常运行管理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1、大厅地面保持干净无水渍，大理石、花岗石等材质每6个月养护1次，进出口地垫干净整洁；</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2、公共通道门框、窗框、窗台、金属件表面光亮无尘无污渍，门窗玻璃干净无尘，透光性好；天花板无蛛网，指示牌干净无污渍，指示醒目。</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3、指定服务的办公室每日清洁1次，地面、桌面干净无污渍，办公家具设备以及门窗整洁；其他办公室，每年春节前对室内环境、门窗、玻璃进行清洁。</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4、楼梯以及楼梯间每日清洁2次，楼梯梯步、扶手栏杆、防火门以及闭门器表面干净无尘无污渍，防滑条（缝）干净，墙面、天花板无积尘、蛛网。</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公共区域卫生间每日不限次循环保洁，保证地面干净，无污渍无积水；洁具洁净，无污渍；门窗、墙壁、隔断、玻璃、窗台表面干净，无污迹，金属饰件有金属光泽，洗手台干净无污垢；天花板表面无蛛网，换气扇表面无积尘，保持空气流通，无明显异味。</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6、开水间以及清洁工具间每日不限次循环保洁，地面干净，无杂物、无积水，各种物品表面干净无渍，清洁工具摆放整齐有序。</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电梯轿厢内每日擦拭2次，不限次循环清拖轿厢地面；不锈钢材料装饰的轿厢每周护理1次，石材装饰的轿厢每月护理1次；轿厢内无污渍无粘贴物；厢内操作指示板明亮，地面干净无异味，电梯门槽内无垃圾无杂物。</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8、办公区室外公共场所每日清扫道路地面2次，保持干净，无杂物无积水无污迹；室外公用设施每半月清洁1次，各种指示牌、路标、标志、宣传栏表面干净，无积尘无水印。</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9、绿化带以及景观每日清洁1次，绿地内无杂物，花台、雕塑、景观表面干净无污渍，景观水质清澈无异味、无漂浮物。</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10、办公楼平台、屋顶，每月清扫1次，雨、雪季期间，每半月清扫1次。</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11、公共场所和周围环境每周进行一次彻底卫生消杀；采取综合措施消灭老鼠、蟑螂，控制室内外蚊虫孳生，达到基本无蝇。</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12、配合有关部门进行有害生物的预防和控制，投放药物应当预先告知采购人，投药位置有明显标识。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13、楼道、楼梯、楼梯间、公共卫生间、电梯轿厢、楼梯护栏扶手、门把手每日至少消毒1次。</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14、根据《北京市生活垃圾管理条例》、《北京市生活垃圾分类工作行动方案》，制定办公区生活垃圾管理制度，严格按照生活垃圾“四分类”方法，配合采购人做好办公区生活垃圾处置、管理工作。</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15、按采购人要求正确摆放垃圾分类桶（箱），张贴垃圾分类标识，自觉进行垃圾分类宣传，桶（箱）身表面干净无污渍，地面无垃圾。</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16、室内垃圾桶（箱）摆放整齐，桶（箱）内放置垃圾收容袋，桶（箱）周围无散落垃圾、无异味。</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17、垃圾中转区域地面每日清洁2次，无明显异味；垃圾袋装，日产日清。</w:t>
      </w:r>
    </w:p>
    <w:p>
      <w:pPr>
        <w:spacing w:line="480" w:lineRule="exact"/>
        <w:ind w:firstLine="560" w:firstLineChars="200"/>
        <w:rPr>
          <w:rFonts w:hint="eastAsia" w:ascii="宋体" w:hAnsi="宋体" w:eastAsia="宋体" w:cs="Arial"/>
          <w:sz w:val="28"/>
          <w:szCs w:val="28"/>
          <w:lang w:eastAsia="zh-CN"/>
        </w:rPr>
      </w:pPr>
      <w:r>
        <w:rPr>
          <w:rFonts w:hint="eastAsia" w:ascii="宋体" w:hAnsi="宋体" w:eastAsia="宋体"/>
          <w:sz w:val="28"/>
          <w:szCs w:val="28"/>
          <w:lang w:val="en-US" w:eastAsia="zh-CN"/>
        </w:rPr>
        <w:t>18、</w:t>
      </w:r>
      <w:r>
        <w:rPr>
          <w:rFonts w:hint="eastAsia" w:ascii="宋体" w:hAnsi="宋体" w:eastAsia="宋体" w:cs="Arial"/>
          <w:sz w:val="28"/>
          <w:szCs w:val="28"/>
          <w:lang w:eastAsia="zh-CN"/>
        </w:rPr>
        <w:t>每日根据需求对展厅地面、展柜外立面进行清理，达到开馆要求；每季度根据需求对展柜内立面进行清理，保障开馆质量。</w:t>
      </w:r>
    </w:p>
    <w:p>
      <w:pPr>
        <w:spacing w:line="480" w:lineRule="exact"/>
        <w:ind w:firstLine="560" w:firstLineChars="200"/>
        <w:rPr>
          <w:rFonts w:hint="default" w:ascii="宋体" w:hAnsi="宋体" w:eastAsia="宋体" w:cs="Arial"/>
          <w:sz w:val="28"/>
          <w:szCs w:val="28"/>
          <w:lang w:val="en-US" w:eastAsia="zh-CN"/>
        </w:rPr>
      </w:pPr>
      <w:r>
        <w:rPr>
          <w:rFonts w:hint="eastAsia" w:ascii="宋体" w:hAnsi="宋体" w:eastAsia="宋体" w:cs="Arial"/>
          <w:sz w:val="28"/>
          <w:szCs w:val="28"/>
          <w:lang w:val="en-US" w:eastAsia="zh-CN"/>
        </w:rPr>
        <w:t>19、中标人配备好相应的清洁用品。</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（十二）绿化美化日常管理及维护</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1、定期巡查室外绿地浇灌设施、绿植景观以及硬质景观，保持完好无损。</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2、有计划地对绿地、绿植、花卉、乔灌木进行浇灌、施肥，灌溉水下渗充足均匀，无明显旱涝情况发生，保证绿地、绿植、花卉、乔灌木长势良好。</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3、根据病虫害发生规律，植物生长季每月至少检查3次病虫害情况并根据检查结果防治病虫害。</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4、定期对绿地、绿植、花卉、乔灌木进行整形修剪，乔木每年冬季修剪1次，灌木每年生长季节和冬季修剪1次，绿篱每年生长季节每月修剪1次，绿地春夏季每月修剪1次、秋冬季每季1次，重点绿地在重大活动、重大节日适时整治，保持美观。</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5、暴风、雨、雪等恶劣天气来临前后，安排专人巡查，及时加固、支撑、修剪高大乔木，排除安全隐患。</w:t>
      </w:r>
    </w:p>
    <w:p>
      <w:pPr>
        <w:spacing w:line="480" w:lineRule="exact"/>
        <w:ind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6、中标人配备好相应的绿化工具。</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（十三）应急事件管理</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1、依据《中华人民共和国安全生产法》、《突发公共卫生事件应急条例》、《北京市突发公共事件总体应急预案》工作要求，制定机关办公区卫生防疫、安全生产规章制度、突发公共事件应急预案。</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每年应当组织不少于1次的突发公共事件应急演练，当发生公共卫生事件、自然灾害、事故灾难或者社会安全事件时，启动应急预案，全力配合有关部门、单位采取相应措施，保障办公区内人身安全和财产损失。</w:t>
      </w:r>
    </w:p>
    <w:p>
      <w:pPr>
        <w:spacing w:line="48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定期开展安全生产培训，建立安全生产责任制，明确各级岗位的安全职责；定期巡视、检查和维护各类基础建设和设备设施，保证基础建设和设施设备正常使用，保持消防通道畅通，对易燃易爆品等重点部位设设置专人专区管理，并在明显位置设置安全警示标志；楼梯出入口、电梯口等醒目位置有安全疏散示意图和指示牌；消火栓和灭火器箱张贴消防设施器材使用方法。</w:t>
      </w:r>
    </w:p>
    <w:p>
      <w:pPr>
        <w:pStyle w:val="10"/>
        <w:adjustRightInd w:val="0"/>
        <w:snapToGrid w:val="0"/>
        <w:spacing w:line="360" w:lineRule="auto"/>
        <w:ind w:firstLine="240"/>
        <w:rPr>
          <w:sz w:val="24"/>
        </w:rPr>
      </w:pPr>
    </w:p>
    <w:p>
      <w:pPr>
        <w:widowControl/>
        <w:jc w:val="left"/>
        <w:rPr>
          <w:rFonts w:ascii="宋体" w:hAnsi="宋体"/>
          <w:b/>
          <w:color w:val="000000"/>
          <w:sz w:val="36"/>
          <w:szCs w:val="36"/>
        </w:rPr>
      </w:pPr>
      <w:r>
        <w:rPr>
          <w:rFonts w:ascii="宋体" w:hAnsi="宋体"/>
          <w:b/>
          <w:color w:val="000000"/>
          <w:sz w:val="36"/>
          <w:szCs w:val="36"/>
        </w:rPr>
        <w:br w:type="page"/>
      </w:r>
    </w:p>
    <w:p>
      <w:pPr>
        <w:spacing w:line="360" w:lineRule="auto"/>
        <w:jc w:val="center"/>
        <w:outlineLvl w:val="0"/>
        <w:rPr>
          <w:rFonts w:ascii="宋体" w:hAnsi="宋体"/>
          <w:b/>
          <w:color w:val="000000"/>
          <w:sz w:val="36"/>
          <w:szCs w:val="36"/>
        </w:rPr>
      </w:pPr>
      <w:bookmarkStart w:id="677" w:name="_Toc226018955"/>
      <w:r>
        <w:rPr>
          <w:rFonts w:ascii="宋体" w:hAnsi="宋体"/>
          <w:b/>
          <w:color w:val="000000"/>
          <w:sz w:val="36"/>
          <w:szCs w:val="36"/>
        </w:rPr>
        <w:t>第</w:t>
      </w:r>
      <w:r>
        <w:rPr>
          <w:rFonts w:hint="eastAsia" w:ascii="宋体" w:hAnsi="宋体"/>
          <w:b/>
          <w:color w:val="000000"/>
          <w:sz w:val="36"/>
          <w:szCs w:val="36"/>
        </w:rPr>
        <w:t>五</w:t>
      </w:r>
      <w:r>
        <w:rPr>
          <w:rFonts w:ascii="宋体" w:hAnsi="宋体"/>
          <w:b/>
          <w:color w:val="000000"/>
          <w:sz w:val="36"/>
          <w:szCs w:val="36"/>
        </w:rPr>
        <w:t xml:space="preserve">章   </w:t>
      </w:r>
      <w:bookmarkEnd w:id="676"/>
      <w:r>
        <w:rPr>
          <w:rFonts w:ascii="宋体" w:hAnsi="宋体"/>
          <w:b/>
          <w:color w:val="000000"/>
          <w:sz w:val="36"/>
          <w:szCs w:val="36"/>
        </w:rPr>
        <w:t>合同草案条款</w:t>
      </w:r>
      <w:bookmarkEnd w:id="677"/>
    </w:p>
    <w:p>
      <w:pPr>
        <w:spacing w:before="54"/>
        <w:ind w:left="2715" w:right="2713"/>
        <w:jc w:val="center"/>
        <w:rPr>
          <w:b/>
          <w:sz w:val="44"/>
          <w:szCs w:val="44"/>
        </w:rPr>
      </w:pPr>
    </w:p>
    <w:p>
      <w:pPr>
        <w:spacing w:line="360" w:lineRule="auto"/>
        <w:jc w:val="center"/>
        <w:rPr>
          <w:rFonts w:ascii="宋体" w:hAnsi="宋体"/>
          <w:b/>
          <w:bCs/>
          <w:sz w:val="24"/>
        </w:rPr>
      </w:pPr>
      <w:r>
        <w:rPr>
          <w:rFonts w:hint="eastAsia" w:ascii="宋体" w:hAnsi="宋体"/>
          <w:b/>
          <w:bCs/>
          <w:sz w:val="24"/>
        </w:rPr>
        <w:t>（此合同格式仅供参考，成交后，经双方协商一致，可对合同条款进行补充完善）</w:t>
      </w:r>
    </w:p>
    <w:p>
      <w:pPr>
        <w:pStyle w:val="2"/>
        <w:jc w:val="center"/>
        <w:rPr>
          <w:rFonts w:cs="宋体"/>
          <w:b/>
          <w:color w:val="000000"/>
          <w:kern w:val="0"/>
          <w:sz w:val="36"/>
          <w:szCs w:val="36"/>
          <w:lang w:bidi="ar"/>
        </w:rPr>
      </w:pPr>
    </w:p>
    <w:p>
      <w:pPr>
        <w:pStyle w:val="2"/>
        <w:jc w:val="center"/>
        <w:rPr>
          <w:rFonts w:cs="宋体"/>
          <w:b/>
          <w:color w:val="000000"/>
          <w:kern w:val="0"/>
          <w:sz w:val="36"/>
          <w:szCs w:val="36"/>
          <w:lang w:bidi="ar"/>
        </w:rPr>
      </w:pPr>
    </w:p>
    <w:p>
      <w:pPr>
        <w:widowControl/>
        <w:kinsoku w:val="0"/>
        <w:autoSpaceDE w:val="0"/>
        <w:autoSpaceDN w:val="0"/>
        <w:adjustRightInd w:val="0"/>
        <w:snapToGrid w:val="0"/>
        <w:spacing w:before="2" w:line="219" w:lineRule="auto"/>
        <w:jc w:val="center"/>
        <w:textAlignment w:val="baseline"/>
        <w:rPr>
          <w:rFonts w:hint="eastAsia" w:ascii="宋体" w:hAnsi="宋体" w:eastAsia="宋体" w:cs="宋体"/>
          <w:snapToGrid w:val="0"/>
          <w:color w:val="000000"/>
          <w:spacing w:val="-1"/>
          <w:kern w:val="0"/>
          <w:sz w:val="52"/>
          <w:szCs w:val="52"/>
          <w:lang w:eastAsia="zh-CN"/>
          <w14:textOutline w14:w="944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1"/>
          <w:kern w:val="0"/>
          <w:sz w:val="52"/>
          <w:szCs w:val="52"/>
          <w:lang w:val="en-US" w:eastAsia="zh-CN"/>
          <w14:textOutline w14:w="9448" w14:cap="flat" w14:cmpd="sng" w14:algn="ctr">
            <w14:solidFill>
              <w14:srgbClr w14:val="000000"/>
            </w14:solidFill>
            <w14:prstDash w14:val="solid"/>
            <w14:miter w14:val="0"/>
          </w14:textOutline>
        </w:rPr>
        <w:t>2026年博物馆物业管理服务采购</w:t>
      </w:r>
      <w:r>
        <w:rPr>
          <w:rFonts w:hint="eastAsia" w:ascii="宋体" w:hAnsi="宋体" w:eastAsia="宋体" w:cs="宋体"/>
          <w:snapToGrid w:val="0"/>
          <w:color w:val="000000"/>
          <w:spacing w:val="-1"/>
          <w:kern w:val="0"/>
          <w:sz w:val="52"/>
          <w:szCs w:val="52"/>
          <w:lang w:eastAsia="zh-CN"/>
          <w14:textOutline w14:w="9448" w14:cap="flat" w14:cmpd="sng" w14:algn="ctr">
            <w14:solidFill>
              <w14:srgbClr w14:val="000000"/>
            </w14:solidFill>
            <w14:prstDash w14:val="solid"/>
            <w14:miter w14:val="0"/>
          </w14:textOutline>
        </w:rPr>
        <w:t>项目</w:t>
      </w:r>
    </w:p>
    <w:p>
      <w:pPr>
        <w:widowControl/>
        <w:kinsoku w:val="0"/>
        <w:autoSpaceDE w:val="0"/>
        <w:autoSpaceDN w:val="0"/>
        <w:adjustRightInd w:val="0"/>
        <w:snapToGrid w:val="0"/>
        <w:spacing w:before="2" w:line="219" w:lineRule="auto"/>
        <w:jc w:val="center"/>
        <w:textAlignment w:val="baseline"/>
        <w:rPr>
          <w:rFonts w:ascii="宋体" w:hAnsi="宋体" w:eastAsia="宋体" w:cs="宋体"/>
          <w:snapToGrid w:val="0"/>
          <w:color w:val="000000"/>
          <w:kern w:val="0"/>
          <w:sz w:val="52"/>
          <w:szCs w:val="52"/>
          <w:lang w:eastAsia="zh-CN"/>
        </w:rPr>
      </w:pPr>
      <w:r>
        <w:rPr>
          <w:rFonts w:ascii="宋体" w:hAnsi="宋体" w:eastAsia="宋体" w:cs="宋体"/>
          <w:snapToGrid w:val="0"/>
          <w:color w:val="000000"/>
          <w:spacing w:val="-1"/>
          <w:kern w:val="0"/>
          <w:sz w:val="52"/>
          <w:szCs w:val="52"/>
          <w:lang w:eastAsia="zh-CN"/>
          <w14:textOutline w14:w="9448" w14:cap="flat" w14:cmpd="sng" w14:algn="ctr">
            <w14:solidFill>
              <w14:srgbClr w14:val="000000"/>
            </w14:solidFill>
            <w14:prstDash w14:val="solid"/>
            <w14:miter w14:val="0"/>
          </w14:textOutline>
        </w:rPr>
        <w:t>物业管理服务合同</w:t>
      </w: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lang w:val="en-US" w:eastAsia="zh-CN" w:bidi="ar-SA"/>
        </w:rPr>
      </w:pPr>
    </w:p>
    <w:p>
      <w:pPr>
        <w:widowControl/>
        <w:kinsoku w:val="0"/>
        <w:autoSpaceDE w:val="0"/>
        <w:autoSpaceDN w:val="0"/>
        <w:adjustRightInd w:val="0"/>
        <w:snapToGrid w:val="0"/>
        <w:spacing w:before="78" w:line="219" w:lineRule="auto"/>
        <w:ind w:left="1597"/>
        <w:jc w:val="left"/>
        <w:textAlignment w:val="baseline"/>
        <w:rPr>
          <w:rFonts w:ascii="宋体" w:hAnsi="宋体" w:eastAsia="宋体" w:cs="宋体"/>
          <w:snapToGrid w:val="0"/>
          <w:color w:val="000000"/>
          <w:kern w:val="0"/>
          <w:sz w:val="24"/>
          <w:szCs w:val="24"/>
          <w:lang w:eastAsia="zh-CN"/>
        </w:rPr>
      </w:pPr>
      <w:r>
        <w:rPr>
          <w:rFonts w:ascii="宋体" w:hAnsi="宋体" w:eastAsia="宋体" w:cs="宋体"/>
          <w:snapToGrid w:val="0"/>
          <w:color w:val="000000"/>
          <w:spacing w:val="-8"/>
          <w:kern w:val="0"/>
          <w:sz w:val="24"/>
          <w:szCs w:val="24"/>
          <w:lang w:eastAsia="zh-CN"/>
        </w:rPr>
        <w:t>采购人（甲方</w:t>
      </w:r>
      <w:r>
        <w:rPr>
          <w:rFonts w:ascii="宋体" w:hAnsi="宋体" w:eastAsia="宋体" w:cs="宋体"/>
          <w:snapToGrid w:val="0"/>
          <w:color w:val="000000"/>
          <w:spacing w:val="11"/>
          <w:kern w:val="0"/>
          <w:sz w:val="24"/>
          <w:szCs w:val="24"/>
          <w:lang w:eastAsia="zh-CN"/>
        </w:rPr>
        <w:t>）：</w:t>
      </w:r>
      <w:r>
        <w:rPr>
          <w:rFonts w:hint="eastAsia" w:ascii="宋体" w:hAnsi="宋体" w:eastAsia="宋体" w:cs="宋体"/>
          <w:snapToGrid w:val="0"/>
          <w:color w:val="000000"/>
          <w:spacing w:val="11"/>
          <w:kern w:val="0"/>
          <w:sz w:val="24"/>
          <w:szCs w:val="24"/>
          <w:u w:val="single"/>
          <w:lang w:val="en-US" w:eastAsia="zh-CN"/>
        </w:rPr>
        <w:t xml:space="preserve"> </w:t>
      </w:r>
      <w:r>
        <w:rPr>
          <w:rFonts w:ascii="宋体" w:hAnsi="宋体" w:eastAsia="宋体" w:cs="宋体"/>
          <w:snapToGrid w:val="0"/>
          <w:color w:val="000000"/>
          <w:spacing w:val="-8"/>
          <w:kern w:val="0"/>
          <w:sz w:val="24"/>
          <w:szCs w:val="24"/>
          <w:u w:val="single"/>
          <w:lang w:eastAsia="zh-CN"/>
        </w:rPr>
        <w:t>北京市平谷</w:t>
      </w:r>
      <w:r>
        <w:rPr>
          <w:rFonts w:hint="eastAsia" w:ascii="宋体" w:hAnsi="宋体" w:eastAsia="宋体" w:cs="宋体"/>
          <w:snapToGrid w:val="0"/>
          <w:color w:val="000000"/>
          <w:spacing w:val="-8"/>
          <w:kern w:val="0"/>
          <w:sz w:val="24"/>
          <w:szCs w:val="24"/>
          <w:u w:val="single"/>
          <w:lang w:eastAsia="zh-CN"/>
        </w:rPr>
        <w:t xml:space="preserve">区文物管理所   </w:t>
      </w:r>
      <w:r>
        <w:rPr>
          <w:rFonts w:ascii="宋体" w:hAnsi="宋体" w:eastAsia="宋体" w:cs="宋体"/>
          <w:snapToGrid w:val="0"/>
          <w:color w:val="000000"/>
          <w:kern w:val="0"/>
          <w:sz w:val="24"/>
          <w:szCs w:val="24"/>
          <w:u w:val="single"/>
          <w:lang w:eastAsia="zh-CN"/>
        </w:rPr>
        <w:t xml:space="preserve"> </w:t>
      </w:r>
      <w:r>
        <w:rPr>
          <w:rFonts w:hint="eastAsia" w:ascii="宋体" w:hAnsi="宋体" w:eastAsia="宋体" w:cs="宋体"/>
          <w:snapToGrid w:val="0"/>
          <w:color w:val="000000"/>
          <w:kern w:val="0"/>
          <w:sz w:val="24"/>
          <w:szCs w:val="24"/>
          <w:u w:val="single"/>
          <w:lang w:val="en-US" w:eastAsia="zh-CN"/>
        </w:rPr>
        <w:t xml:space="preserve"> </w:t>
      </w:r>
      <w:r>
        <w:rPr>
          <w:rFonts w:ascii="宋体" w:hAnsi="宋体" w:eastAsia="宋体" w:cs="宋体"/>
          <w:snapToGrid w:val="0"/>
          <w:color w:val="000000"/>
          <w:kern w:val="0"/>
          <w:sz w:val="24"/>
          <w:szCs w:val="24"/>
          <w:u w:val="single"/>
          <w:lang w:eastAsia="zh-CN"/>
        </w:rPr>
        <w:t xml:space="preserve"> </w:t>
      </w:r>
    </w:p>
    <w:p>
      <w:pPr>
        <w:kinsoku w:val="0"/>
        <w:autoSpaceDE w:val="0"/>
        <w:autoSpaceDN w:val="0"/>
        <w:adjustRightInd w:val="0"/>
        <w:snapToGrid w:val="0"/>
        <w:spacing w:line="249"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9" w:lineRule="auto"/>
        <w:textAlignment w:val="baseline"/>
        <w:rPr>
          <w:rFonts w:ascii="Arial" w:hAnsi="Arial" w:eastAsia="Arial" w:cs="Arial"/>
          <w:snapToGrid w:val="0"/>
          <w:color w:val="000000"/>
          <w:sz w:val="21"/>
          <w:szCs w:val="21"/>
          <w:lang w:val="en-US" w:eastAsia="zh-CN" w:bidi="ar-SA"/>
        </w:rPr>
      </w:pPr>
    </w:p>
    <w:p>
      <w:pPr>
        <w:widowControl/>
        <w:kinsoku w:val="0"/>
        <w:autoSpaceDE w:val="0"/>
        <w:autoSpaceDN w:val="0"/>
        <w:adjustRightInd w:val="0"/>
        <w:snapToGrid w:val="0"/>
        <w:spacing w:before="78" w:line="219" w:lineRule="auto"/>
        <w:ind w:left="1598"/>
        <w:jc w:val="left"/>
        <w:textAlignment w:val="baseline"/>
        <w:rPr>
          <w:rFonts w:ascii="宋体" w:hAnsi="宋体" w:eastAsia="宋体" w:cs="宋体"/>
          <w:snapToGrid w:val="0"/>
          <w:color w:val="000000"/>
          <w:kern w:val="0"/>
          <w:sz w:val="24"/>
          <w:szCs w:val="24"/>
          <w:lang w:eastAsia="zh-CN"/>
        </w:rPr>
      </w:pPr>
      <w:r>
        <w:rPr>
          <w:rFonts w:ascii="宋体" w:hAnsi="宋体" w:eastAsia="宋体" w:cs="宋体"/>
          <w:snapToGrid w:val="0"/>
          <w:color w:val="000000"/>
          <w:spacing w:val="-21"/>
          <w:kern w:val="0"/>
          <w:sz w:val="24"/>
          <w:szCs w:val="24"/>
          <w:lang w:eastAsia="zh-CN"/>
        </w:rPr>
        <w:t>供应商（乙方</w:t>
      </w:r>
      <w:r>
        <w:rPr>
          <w:rFonts w:ascii="宋体" w:hAnsi="宋体" w:eastAsia="宋体" w:cs="宋体"/>
          <w:snapToGrid w:val="0"/>
          <w:color w:val="000000"/>
          <w:spacing w:val="-2"/>
          <w:kern w:val="0"/>
          <w:sz w:val="24"/>
          <w:szCs w:val="24"/>
          <w:lang w:eastAsia="zh-CN"/>
        </w:rPr>
        <w:t>）：</w:t>
      </w:r>
      <w:r>
        <w:rPr>
          <w:rFonts w:ascii="宋体" w:hAnsi="宋体" w:eastAsia="宋体" w:cs="宋体"/>
          <w:snapToGrid w:val="0"/>
          <w:color w:val="000000"/>
          <w:kern w:val="0"/>
          <w:sz w:val="24"/>
          <w:szCs w:val="24"/>
          <w:u w:val="single"/>
          <w:lang w:eastAsia="zh-CN"/>
        </w:rPr>
        <w:t xml:space="preserve"> </w:t>
      </w:r>
      <w:r>
        <w:rPr>
          <w:rFonts w:hint="eastAsia" w:ascii="宋体" w:hAnsi="宋体" w:eastAsia="宋体" w:cs="宋体"/>
          <w:snapToGrid w:val="0"/>
          <w:color w:val="000000"/>
          <w:spacing w:val="-8"/>
          <w:kern w:val="0"/>
          <w:sz w:val="24"/>
          <w:szCs w:val="24"/>
          <w:u w:val="single"/>
          <w:lang w:eastAsia="zh-CN"/>
        </w:rPr>
        <w:t xml:space="preserve"> </w:t>
      </w:r>
      <w:r>
        <w:rPr>
          <w:rFonts w:hint="eastAsia" w:ascii="宋体" w:hAnsi="宋体" w:eastAsia="宋体" w:cs="宋体"/>
          <w:snapToGrid w:val="0"/>
          <w:color w:val="000000"/>
          <w:spacing w:val="-8"/>
          <w:kern w:val="0"/>
          <w:sz w:val="24"/>
          <w:szCs w:val="24"/>
          <w:u w:val="single"/>
          <w:lang w:val="en-US" w:eastAsia="zh-CN"/>
        </w:rPr>
        <w:t xml:space="preserve">                            </w:t>
      </w:r>
      <w:r>
        <w:rPr>
          <w:rFonts w:hint="eastAsia" w:ascii="宋体" w:hAnsi="宋体" w:eastAsia="宋体" w:cs="宋体"/>
          <w:snapToGrid w:val="0"/>
          <w:color w:val="000000"/>
          <w:spacing w:val="-8"/>
          <w:kern w:val="0"/>
          <w:sz w:val="24"/>
          <w:szCs w:val="24"/>
          <w:u w:val="single"/>
          <w:lang w:eastAsia="zh-CN"/>
        </w:rPr>
        <w:t xml:space="preserve">    </w:t>
      </w:r>
    </w:p>
    <w:p>
      <w:pPr>
        <w:kinsoku w:val="0"/>
        <w:autoSpaceDE w:val="0"/>
        <w:autoSpaceDN w:val="0"/>
        <w:adjustRightInd w:val="0"/>
        <w:snapToGrid w:val="0"/>
        <w:spacing w:line="249" w:lineRule="auto"/>
        <w:textAlignment w:val="baseline"/>
        <w:rPr>
          <w:rFonts w:ascii="Arial" w:hAnsi="Arial" w:eastAsia="Arial" w:cs="Arial"/>
          <w:snapToGrid w:val="0"/>
          <w:color w:val="000000"/>
          <w:sz w:val="21"/>
          <w:szCs w:val="21"/>
          <w:lang w:val="en-US" w:eastAsia="zh-CN" w:bidi="ar-SA"/>
        </w:rPr>
      </w:pPr>
    </w:p>
    <w:p>
      <w:pPr>
        <w:kinsoku w:val="0"/>
        <w:autoSpaceDE w:val="0"/>
        <w:autoSpaceDN w:val="0"/>
        <w:adjustRightInd w:val="0"/>
        <w:snapToGrid w:val="0"/>
        <w:spacing w:line="249" w:lineRule="auto"/>
        <w:textAlignment w:val="baseline"/>
        <w:rPr>
          <w:rFonts w:ascii="Arial" w:hAnsi="Arial" w:eastAsia="Arial" w:cs="Arial"/>
          <w:snapToGrid w:val="0"/>
          <w:color w:val="000000"/>
          <w:sz w:val="21"/>
          <w:szCs w:val="21"/>
          <w:lang w:val="en-US" w:eastAsia="zh-CN" w:bidi="ar-SA"/>
        </w:rPr>
      </w:pPr>
    </w:p>
    <w:p>
      <w:pPr>
        <w:widowControl/>
        <w:kinsoku w:val="0"/>
        <w:autoSpaceDE w:val="0"/>
        <w:autoSpaceDN w:val="0"/>
        <w:adjustRightInd w:val="0"/>
        <w:snapToGrid w:val="0"/>
        <w:spacing w:before="78" w:line="220" w:lineRule="auto"/>
        <w:ind w:left="1599"/>
        <w:jc w:val="left"/>
        <w:textAlignment w:val="baseline"/>
        <w:rPr>
          <w:rFonts w:ascii="宋体" w:hAnsi="宋体" w:eastAsia="宋体" w:cs="宋体"/>
          <w:snapToGrid w:val="0"/>
          <w:color w:val="000000"/>
          <w:kern w:val="0"/>
          <w:sz w:val="24"/>
          <w:szCs w:val="24"/>
          <w:lang w:eastAsia="zh-CN"/>
        </w:rPr>
      </w:pPr>
      <w:r>
        <w:rPr>
          <w:rFonts w:ascii="宋体" w:hAnsi="宋体" w:eastAsia="宋体" w:cs="宋体"/>
          <w:snapToGrid w:val="0"/>
          <w:color w:val="000000"/>
          <w:spacing w:val="-2"/>
          <w:kern w:val="0"/>
          <w:sz w:val="24"/>
          <w:szCs w:val="24"/>
          <w:lang w:eastAsia="zh-CN"/>
        </w:rPr>
        <w:t>合同签订日期：       年</w:t>
      </w:r>
      <w:r>
        <w:rPr>
          <w:rFonts w:ascii="宋体" w:hAnsi="宋体" w:eastAsia="宋体" w:cs="宋体"/>
          <w:snapToGrid w:val="0"/>
          <w:color w:val="000000"/>
          <w:spacing w:val="4"/>
          <w:kern w:val="0"/>
          <w:sz w:val="24"/>
          <w:szCs w:val="24"/>
          <w:lang w:eastAsia="zh-CN"/>
        </w:rPr>
        <w:t xml:space="preserve">     </w:t>
      </w:r>
      <w:r>
        <w:rPr>
          <w:rFonts w:ascii="宋体" w:hAnsi="宋体" w:eastAsia="宋体" w:cs="宋体"/>
          <w:snapToGrid w:val="0"/>
          <w:color w:val="000000"/>
          <w:spacing w:val="-2"/>
          <w:kern w:val="0"/>
          <w:sz w:val="24"/>
          <w:szCs w:val="24"/>
          <w:lang w:eastAsia="zh-CN"/>
        </w:rPr>
        <w:t>月</w:t>
      </w:r>
      <w:r>
        <w:rPr>
          <w:rFonts w:ascii="宋体" w:hAnsi="宋体" w:eastAsia="宋体" w:cs="宋体"/>
          <w:snapToGrid w:val="0"/>
          <w:color w:val="000000"/>
          <w:spacing w:val="10"/>
          <w:kern w:val="0"/>
          <w:sz w:val="24"/>
          <w:szCs w:val="24"/>
          <w:lang w:eastAsia="zh-CN"/>
        </w:rPr>
        <w:t xml:space="preserve">     </w:t>
      </w:r>
      <w:r>
        <w:rPr>
          <w:rFonts w:ascii="宋体" w:hAnsi="宋体" w:eastAsia="宋体" w:cs="宋体"/>
          <w:snapToGrid w:val="0"/>
          <w:color w:val="000000"/>
          <w:spacing w:val="-2"/>
          <w:kern w:val="0"/>
          <w:sz w:val="24"/>
          <w:szCs w:val="24"/>
          <w:lang w:eastAsia="zh-CN"/>
        </w:rPr>
        <w:t>日</w:t>
      </w: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kinsoku w:val="0"/>
        <w:autoSpaceDE w:val="0"/>
        <w:autoSpaceDN w:val="0"/>
        <w:adjustRightInd w:val="0"/>
        <w:snapToGrid w:val="0"/>
        <w:spacing w:line="220" w:lineRule="auto"/>
        <w:jc w:val="left"/>
        <w:textAlignment w:val="baseline"/>
        <w:rPr>
          <w:rFonts w:ascii="宋体" w:hAnsi="宋体" w:eastAsia="宋体" w:cs="宋体"/>
          <w:snapToGrid w:val="0"/>
          <w:color w:val="000000"/>
          <w:kern w:val="0"/>
          <w:sz w:val="24"/>
          <w:szCs w:val="24"/>
          <w:lang w:eastAsia="zh-CN"/>
        </w:rPr>
      </w:pPr>
    </w:p>
    <w:p>
      <w:pPr>
        <w:widowControl w:val="0"/>
        <w:kinsoku w:val="0"/>
        <w:autoSpaceDE w:val="0"/>
        <w:autoSpaceDN w:val="0"/>
        <w:adjustRightInd w:val="0"/>
        <w:snapToGrid w:val="0"/>
        <w:spacing w:line="500" w:lineRule="exact"/>
        <w:jc w:val="left"/>
        <w:textAlignment w:val="baseline"/>
        <w:rPr>
          <w:rFonts w:ascii="仿宋_GB2312" w:hAnsi="仿宋_GB2312" w:eastAsia="仿宋_GB2312" w:cs="仿宋_GB2312"/>
          <w:snapToGrid w:val="0"/>
          <w:color w:val="000000"/>
          <w:kern w:val="0"/>
          <w:sz w:val="28"/>
          <w:szCs w:val="28"/>
          <w:lang w:eastAsia="zh-CN"/>
        </w:rPr>
      </w:pPr>
      <w:bookmarkStart w:id="678" w:name="_Hlk75971926"/>
      <w:r>
        <w:rPr>
          <w:rFonts w:hint="eastAsia" w:ascii="仿宋_GB2312" w:hAnsi="仿宋_GB2312" w:eastAsia="仿宋_GB2312" w:cs="仿宋_GB2312"/>
          <w:b/>
          <w:snapToGrid w:val="0"/>
          <w:color w:val="000000"/>
          <w:kern w:val="0"/>
          <w:sz w:val="28"/>
          <w:szCs w:val="28"/>
          <w:lang w:eastAsia="zh-CN"/>
        </w:rPr>
        <w:t>甲方：</w:t>
      </w:r>
      <w:r>
        <w:rPr>
          <w:rFonts w:hint="eastAsia" w:ascii="仿宋_GB2312" w:hAnsi="仿宋_GB2312" w:eastAsia="仿宋_GB2312" w:cs="仿宋_GB2312"/>
          <w:bCs/>
          <w:snapToGrid w:val="0"/>
          <w:color w:val="000000"/>
          <w:kern w:val="0"/>
          <w:sz w:val="28"/>
          <w:szCs w:val="28"/>
          <w:u w:val="single"/>
          <w:lang w:eastAsia="zh-CN"/>
        </w:rPr>
        <w:t xml:space="preserve">  </w:t>
      </w:r>
      <w:r>
        <w:rPr>
          <w:rFonts w:hint="eastAsia" w:ascii="宋体" w:hAnsi="宋体" w:eastAsia="宋体" w:cs="宋体"/>
          <w:snapToGrid w:val="0"/>
          <w:color w:val="000000"/>
          <w:spacing w:val="-8"/>
          <w:kern w:val="0"/>
          <w:sz w:val="24"/>
          <w:szCs w:val="24"/>
          <w:u w:val="single"/>
          <w:lang w:eastAsia="zh-CN"/>
        </w:rPr>
        <w:t xml:space="preserve">北京市平谷区文物管理所 </w:t>
      </w:r>
      <w:r>
        <w:rPr>
          <w:rFonts w:hint="eastAsia" w:ascii="仿宋_GB2312" w:hAnsi="仿宋_GB2312" w:eastAsia="仿宋_GB2312" w:cs="仿宋_GB2312"/>
          <w:bCs/>
          <w:snapToGrid w:val="0"/>
          <w:color w:val="000000"/>
          <w:kern w:val="0"/>
          <w:sz w:val="28"/>
          <w:szCs w:val="28"/>
          <w:u w:val="single"/>
          <w:lang w:eastAsia="zh-CN"/>
        </w:rPr>
        <w:t xml:space="preserve">   </w:t>
      </w:r>
    </w:p>
    <w:p>
      <w:pPr>
        <w:widowControl w:val="0"/>
        <w:pBdr>
          <w:top w:val="none" w:color="auto" w:sz="0" w:space="0"/>
          <w:left w:val="none" w:color="auto" w:sz="0" w:space="0"/>
          <w:bottom w:val="none" w:color="auto" w:sz="0" w:space="0"/>
          <w:right w:val="none" w:color="auto" w:sz="0" w:space="0"/>
        </w:pBdr>
        <w:spacing w:line="600" w:lineRule="exact"/>
        <w:jc w:val="both"/>
        <w:rPr>
          <w:rFonts w:hint="eastAsia" w:ascii="宋体" w:hAnsi="宋体" w:eastAsia="宋体" w:cs="Arial Unicode MS"/>
          <w:color w:val="000000"/>
          <w:kern w:val="2"/>
          <w:sz w:val="22"/>
          <w:szCs w:val="22"/>
          <w:u w:color="000000"/>
          <w:lang w:val="en-US" w:eastAsia="zh-CN" w:bidi="ar-SA"/>
        </w:rPr>
      </w:pPr>
      <w:r>
        <w:rPr>
          <w:rFonts w:hint="eastAsia" w:ascii="仿宋_GB2312" w:hAnsi="仿宋_GB2312" w:eastAsia="仿宋_GB2312" w:cs="仿宋_GB2312"/>
          <w:snapToGrid w:val="0"/>
          <w:color w:val="000000"/>
          <w:kern w:val="0"/>
          <w:sz w:val="28"/>
          <w:szCs w:val="28"/>
          <w:u w:color="000000"/>
          <w:lang w:val="en-US" w:eastAsia="zh-CN" w:bidi="ar-SA"/>
        </w:rPr>
        <w:t xml:space="preserve">联系地址： </w:t>
      </w:r>
      <w:r>
        <w:rPr>
          <w:rFonts w:hint="eastAsia" w:ascii="宋体" w:hAnsi="宋体" w:eastAsia="宋体" w:cs="宋体"/>
          <w:snapToGrid w:val="0"/>
          <w:color w:val="000000"/>
          <w:spacing w:val="-8"/>
          <w:kern w:val="0"/>
          <w:sz w:val="24"/>
          <w:szCs w:val="24"/>
          <w:u w:val="single" w:color="000000"/>
          <w:lang w:val="en-US" w:eastAsia="zh-CN" w:bidi="ar-SA"/>
        </w:rPr>
        <w:t xml:space="preserve"> 北京市平谷区渔阳地区平谷体育中心西路3号院2号楼101</w:t>
      </w:r>
    </w:p>
    <w:p>
      <w:pPr>
        <w:widowControl w:val="0"/>
        <w:kinsoku w:val="0"/>
        <w:autoSpaceDE w:val="0"/>
        <w:autoSpaceDN w:val="0"/>
        <w:adjustRightInd w:val="0"/>
        <w:snapToGrid w:val="0"/>
        <w:spacing w:line="500" w:lineRule="exact"/>
        <w:jc w:val="left"/>
        <w:textAlignment w:val="baseline"/>
        <w:rPr>
          <w:rFonts w:ascii="仿宋_GB2312" w:hAnsi="仿宋_GB2312" w:eastAsia="仿宋_GB2312" w:cs="仿宋_GB2312"/>
          <w:snapToGrid w:val="0"/>
          <w:color w:val="000000"/>
          <w:kern w:val="0"/>
          <w:sz w:val="28"/>
          <w:szCs w:val="28"/>
          <w:u w:val="single"/>
          <w:lang w:eastAsia="zh-CN"/>
        </w:rPr>
      </w:pPr>
      <w:r>
        <w:rPr>
          <w:rFonts w:hint="eastAsia" w:ascii="仿宋_GB2312" w:hAnsi="仿宋_GB2312" w:eastAsia="仿宋_GB2312" w:cs="仿宋_GB2312"/>
          <w:snapToGrid w:val="0"/>
          <w:color w:val="000000"/>
          <w:kern w:val="0"/>
          <w:sz w:val="28"/>
          <w:szCs w:val="28"/>
          <w:lang w:eastAsia="zh-CN"/>
        </w:rPr>
        <w:t>邮政编码：</w:t>
      </w:r>
      <w:r>
        <w:rPr>
          <w:rFonts w:hint="eastAsia" w:ascii="仿宋_GB2312" w:hAnsi="仿宋_GB2312" w:eastAsia="仿宋_GB2312" w:cs="仿宋_GB2312"/>
          <w:snapToGrid w:val="0"/>
          <w:color w:val="000000"/>
          <w:kern w:val="0"/>
          <w:sz w:val="28"/>
          <w:szCs w:val="28"/>
          <w:u w:val="single"/>
          <w:lang w:eastAsia="zh-CN"/>
        </w:rPr>
        <w:t xml:space="preserve"> </w:t>
      </w:r>
      <w:r>
        <w:rPr>
          <w:rFonts w:hint="eastAsia" w:ascii="宋体" w:hAnsi="宋体" w:eastAsia="宋体" w:cs="宋体"/>
          <w:snapToGrid w:val="0"/>
          <w:color w:val="000000"/>
          <w:spacing w:val="-8"/>
          <w:kern w:val="0"/>
          <w:sz w:val="24"/>
          <w:szCs w:val="24"/>
          <w:u w:val="single"/>
          <w:lang w:val="en-US" w:eastAsia="zh-CN"/>
        </w:rPr>
        <w:t>101200</w:t>
      </w:r>
      <w:r>
        <w:rPr>
          <w:rFonts w:hint="eastAsia" w:ascii="仿宋_GB2312" w:hAnsi="仿宋_GB2312" w:eastAsia="仿宋_GB2312" w:cs="仿宋_GB2312"/>
          <w:snapToGrid w:val="0"/>
          <w:color w:val="000000"/>
          <w:kern w:val="0"/>
          <w:sz w:val="28"/>
          <w:szCs w:val="28"/>
          <w:u w:val="single"/>
          <w:lang w:eastAsia="zh-CN"/>
        </w:rPr>
        <w:t xml:space="preserve"> </w:t>
      </w:r>
    </w:p>
    <w:p>
      <w:pPr>
        <w:widowControl/>
        <w:kinsoku w:val="0"/>
        <w:autoSpaceDE w:val="0"/>
        <w:autoSpaceDN w:val="0"/>
        <w:adjustRightInd w:val="0"/>
        <w:snapToGrid w:val="0"/>
        <w:spacing w:line="360" w:lineRule="auto"/>
        <w:jc w:val="left"/>
        <w:textAlignment w:val="baseline"/>
        <w:rPr>
          <w:rFonts w:ascii="仿宋_GB2312" w:hAnsi="仿宋_GB2312" w:eastAsia="仿宋_GB2312" w:cs="仿宋_GB2312"/>
          <w:snapToGrid w:val="0"/>
          <w:color w:val="000000"/>
          <w:kern w:val="0"/>
          <w:sz w:val="28"/>
          <w:szCs w:val="28"/>
          <w:u w:val="single"/>
          <w:lang w:eastAsia="zh-CN"/>
        </w:rPr>
      </w:pPr>
      <w:r>
        <w:rPr>
          <w:rFonts w:hint="eastAsia" w:ascii="仿宋_GB2312" w:hAnsi="仿宋_GB2312" w:eastAsia="仿宋_GB2312" w:cs="仿宋_GB2312"/>
          <w:snapToGrid w:val="0"/>
          <w:color w:val="000000"/>
          <w:kern w:val="0"/>
          <w:sz w:val="28"/>
          <w:szCs w:val="28"/>
          <w:lang w:eastAsia="zh-CN"/>
        </w:rPr>
        <w:t>联系电话：</w:t>
      </w:r>
      <w:r>
        <w:rPr>
          <w:rFonts w:hint="eastAsia" w:ascii="仿宋_GB2312" w:hAnsi="仿宋_GB2312" w:eastAsia="仿宋_GB2312" w:cs="仿宋_GB2312"/>
          <w:snapToGrid w:val="0"/>
          <w:color w:val="000000"/>
          <w:kern w:val="0"/>
          <w:sz w:val="28"/>
          <w:szCs w:val="28"/>
          <w:u w:val="single"/>
          <w:lang w:eastAsia="zh-CN"/>
        </w:rPr>
        <w:t xml:space="preserve">  </w:t>
      </w:r>
      <w:r>
        <w:rPr>
          <w:rFonts w:ascii="宋体" w:hAnsi="宋体" w:eastAsia="Arial" w:cs="Arial"/>
          <w:snapToGrid w:val="0"/>
          <w:color w:val="000000"/>
          <w:kern w:val="0"/>
          <w:sz w:val="24"/>
          <w:szCs w:val="21"/>
          <w:u w:val="single"/>
          <w:lang w:eastAsia="en-US"/>
        </w:rPr>
        <w:t>010-</w:t>
      </w:r>
      <w:r>
        <w:rPr>
          <w:rFonts w:hint="eastAsia" w:ascii="宋体" w:hAnsi="宋体" w:eastAsia="Arial" w:cs="Arial"/>
          <w:snapToGrid w:val="0"/>
          <w:color w:val="000000"/>
          <w:kern w:val="0"/>
          <w:sz w:val="24"/>
          <w:szCs w:val="21"/>
          <w:u w:val="single"/>
          <w:lang w:val="en-US" w:eastAsia="zh-CN"/>
        </w:rPr>
        <w:t xml:space="preserve">60953101   </w:t>
      </w:r>
      <w:r>
        <w:rPr>
          <w:rFonts w:hint="eastAsia" w:ascii="宋体" w:hAnsi="宋体" w:eastAsia="Arial" w:cs="Arial"/>
          <w:snapToGrid w:val="0"/>
          <w:color w:val="000000"/>
          <w:kern w:val="0"/>
          <w:sz w:val="24"/>
          <w:szCs w:val="21"/>
          <w:lang w:val="en-US" w:eastAsia="zh-CN"/>
        </w:rPr>
        <w:t xml:space="preserve"> </w:t>
      </w:r>
      <w:r>
        <w:rPr>
          <w:rFonts w:hint="eastAsia" w:ascii="仿宋_GB2312" w:hAnsi="仿宋_GB2312" w:eastAsia="仿宋_GB2312" w:cs="仿宋_GB2312"/>
          <w:snapToGrid w:val="0"/>
          <w:color w:val="000000"/>
          <w:kern w:val="0"/>
          <w:sz w:val="28"/>
          <w:szCs w:val="28"/>
          <w:lang w:eastAsia="zh-CN"/>
        </w:rPr>
        <w:t xml:space="preserve"> 联系人：</w:t>
      </w:r>
      <w:r>
        <w:rPr>
          <w:rFonts w:hint="eastAsia" w:ascii="仿宋_GB2312" w:hAnsi="仿宋_GB2312" w:eastAsia="仿宋_GB2312" w:cs="仿宋_GB2312"/>
          <w:snapToGrid w:val="0"/>
          <w:color w:val="000000"/>
          <w:kern w:val="0"/>
          <w:sz w:val="28"/>
          <w:szCs w:val="28"/>
          <w:u w:val="single"/>
          <w:lang w:eastAsia="zh-CN"/>
        </w:rPr>
        <w:t xml:space="preserve">  </w:t>
      </w:r>
      <w:r>
        <w:rPr>
          <w:rFonts w:hint="eastAsia" w:ascii="宋体" w:hAnsi="宋体" w:eastAsia="宋体" w:cs="宋体"/>
          <w:snapToGrid w:val="0"/>
          <w:color w:val="000000"/>
          <w:spacing w:val="-8"/>
          <w:kern w:val="0"/>
          <w:sz w:val="24"/>
          <w:szCs w:val="24"/>
          <w:u w:val="single"/>
          <w:lang w:eastAsia="zh-CN"/>
        </w:rPr>
        <w:t>刘海洋</w:t>
      </w:r>
      <w:r>
        <w:rPr>
          <w:rFonts w:hint="eastAsia" w:ascii="仿宋_GB2312" w:hAnsi="仿宋_GB2312" w:eastAsia="仿宋_GB2312" w:cs="仿宋_GB2312"/>
          <w:snapToGrid w:val="0"/>
          <w:color w:val="000000"/>
          <w:kern w:val="0"/>
          <w:sz w:val="28"/>
          <w:szCs w:val="28"/>
          <w:u w:val="single"/>
          <w:lang w:eastAsia="zh-CN"/>
        </w:rPr>
        <w:t xml:space="preserve">   </w:t>
      </w:r>
    </w:p>
    <w:p>
      <w:pPr>
        <w:widowControl w:val="0"/>
        <w:kinsoku w:val="0"/>
        <w:autoSpaceDE w:val="0"/>
        <w:autoSpaceDN w:val="0"/>
        <w:adjustRightInd w:val="0"/>
        <w:snapToGrid w:val="0"/>
        <w:spacing w:line="500" w:lineRule="exact"/>
        <w:jc w:val="left"/>
        <w:textAlignment w:val="baseline"/>
        <w:rPr>
          <w:rFonts w:ascii="仿宋_GB2312" w:hAnsi="仿宋_GB2312" w:eastAsia="仿宋_GB2312" w:cs="仿宋_GB2312"/>
          <w:snapToGrid w:val="0"/>
          <w:color w:val="000000"/>
          <w:kern w:val="0"/>
          <w:sz w:val="28"/>
          <w:szCs w:val="28"/>
          <w:u w:val="single"/>
          <w:lang w:eastAsia="zh-CN"/>
        </w:rPr>
      </w:pPr>
      <w:r>
        <w:rPr>
          <w:rFonts w:hint="eastAsia" w:ascii="仿宋_GB2312" w:hAnsi="仿宋_GB2312" w:eastAsia="仿宋_GB2312" w:cs="仿宋_GB2312"/>
          <w:snapToGrid w:val="0"/>
          <w:color w:val="000000"/>
          <w:kern w:val="0"/>
          <w:sz w:val="28"/>
          <w:szCs w:val="28"/>
          <w:lang w:eastAsia="zh-CN"/>
        </w:rPr>
        <w:t>开户行：</w:t>
      </w:r>
      <w:r>
        <w:rPr>
          <w:rFonts w:hint="eastAsia" w:ascii="仿宋_GB2312" w:hAnsi="仿宋_GB2312" w:eastAsia="仿宋_GB2312" w:cs="仿宋_GB2312"/>
          <w:snapToGrid w:val="0"/>
          <w:color w:val="000000"/>
          <w:kern w:val="0"/>
          <w:sz w:val="28"/>
          <w:szCs w:val="28"/>
          <w:u w:val="single"/>
          <w:lang w:eastAsia="zh-CN"/>
        </w:rPr>
        <w:t xml:space="preserve">   北京农商银行平谷支行     </w:t>
      </w:r>
    </w:p>
    <w:p>
      <w:pPr>
        <w:widowControl w:val="0"/>
        <w:kinsoku w:val="0"/>
        <w:autoSpaceDE w:val="0"/>
        <w:autoSpaceDN w:val="0"/>
        <w:adjustRightInd w:val="0"/>
        <w:snapToGrid w:val="0"/>
        <w:spacing w:line="500" w:lineRule="exact"/>
        <w:jc w:val="left"/>
        <w:textAlignment w:val="baseline"/>
        <w:rPr>
          <w:rFonts w:ascii="仿宋_GB2312" w:hAnsi="仿宋_GB2312" w:eastAsia="仿宋_GB2312" w:cs="仿宋_GB2312"/>
          <w:snapToGrid w:val="0"/>
          <w:color w:val="000000"/>
          <w:kern w:val="0"/>
          <w:sz w:val="28"/>
          <w:szCs w:val="28"/>
          <w:u w:val="single"/>
          <w:lang w:eastAsia="zh-CN"/>
        </w:rPr>
      </w:pPr>
      <w:r>
        <w:rPr>
          <w:rFonts w:hint="eastAsia" w:ascii="仿宋_GB2312" w:hAnsi="仿宋_GB2312" w:eastAsia="仿宋_GB2312" w:cs="仿宋_GB2312"/>
          <w:snapToGrid w:val="0"/>
          <w:color w:val="000000"/>
          <w:kern w:val="0"/>
          <w:sz w:val="28"/>
          <w:szCs w:val="28"/>
          <w:lang w:eastAsia="zh-CN"/>
        </w:rPr>
        <w:t>账  号：</w:t>
      </w:r>
      <w:r>
        <w:rPr>
          <w:rFonts w:hint="eastAsia" w:ascii="仿宋_GB2312" w:hAnsi="仿宋_GB2312" w:eastAsia="仿宋_GB2312" w:cs="仿宋_GB2312"/>
          <w:snapToGrid w:val="0"/>
          <w:color w:val="000000"/>
          <w:kern w:val="0"/>
          <w:sz w:val="28"/>
          <w:szCs w:val="28"/>
          <w:u w:val="single"/>
          <w:lang w:eastAsia="zh-CN"/>
        </w:rPr>
        <w:t xml:space="preserve">  </w:t>
      </w:r>
      <w:r>
        <w:rPr>
          <w:rFonts w:hint="eastAsia" w:ascii="仿宋_GB2312" w:hAnsi="仿宋_GB2312" w:eastAsia="仿宋_GB2312" w:cs="仿宋_GB2312"/>
          <w:snapToGrid w:val="0"/>
          <w:color w:val="000000"/>
          <w:kern w:val="0"/>
          <w:sz w:val="28"/>
          <w:szCs w:val="28"/>
          <w:u w:val="single"/>
          <w:lang w:val="en-US" w:eastAsia="zh-CN"/>
        </w:rPr>
        <w:t>1101000103000022783</w:t>
      </w:r>
      <w:r>
        <w:rPr>
          <w:rFonts w:hint="eastAsia" w:ascii="仿宋_GB2312" w:hAnsi="仿宋_GB2312" w:eastAsia="仿宋_GB2312" w:cs="仿宋_GB2312"/>
          <w:snapToGrid w:val="0"/>
          <w:color w:val="000000"/>
          <w:kern w:val="0"/>
          <w:sz w:val="28"/>
          <w:szCs w:val="28"/>
          <w:u w:val="single"/>
          <w:lang w:eastAsia="zh-CN"/>
        </w:rPr>
        <w:t xml:space="preserve">   </w:t>
      </w:r>
    </w:p>
    <w:p>
      <w:pPr>
        <w:widowControl w:val="0"/>
        <w:kinsoku w:val="0"/>
        <w:autoSpaceDE w:val="0"/>
        <w:autoSpaceDN w:val="0"/>
        <w:adjustRightInd w:val="0"/>
        <w:snapToGrid w:val="0"/>
        <w:spacing w:line="500" w:lineRule="exact"/>
        <w:jc w:val="left"/>
        <w:textAlignment w:val="baseline"/>
        <w:rPr>
          <w:rFonts w:hint="eastAsia" w:ascii="仿宋" w:hAnsi="仿宋" w:eastAsia="仿宋" w:cs="仿宋"/>
          <w:b/>
          <w:bCs/>
          <w:snapToGrid w:val="0"/>
          <w:color w:val="000000"/>
          <w:kern w:val="0"/>
          <w:sz w:val="28"/>
          <w:szCs w:val="28"/>
          <w:lang w:eastAsia="zh-CN"/>
        </w:rPr>
      </w:pPr>
      <w:r>
        <w:rPr>
          <w:rFonts w:hint="eastAsia" w:ascii="仿宋" w:hAnsi="仿宋" w:eastAsia="仿宋" w:cs="仿宋"/>
          <w:b/>
          <w:bCs/>
          <w:snapToGrid w:val="0"/>
          <w:color w:val="000000"/>
          <w:kern w:val="0"/>
          <w:sz w:val="28"/>
          <w:szCs w:val="28"/>
          <w:lang w:eastAsia="zh-CN"/>
        </w:rPr>
        <w:t xml:space="preserve">乙方： </w:t>
      </w:r>
      <w:r>
        <w:rPr>
          <w:rFonts w:hint="eastAsia" w:ascii="仿宋" w:hAnsi="仿宋" w:eastAsia="仿宋" w:cs="仿宋"/>
          <w:bCs/>
          <w:snapToGrid w:val="0"/>
          <w:color w:val="000000"/>
          <w:kern w:val="0"/>
          <w:sz w:val="28"/>
          <w:szCs w:val="28"/>
          <w:u w:val="single"/>
          <w:lang w:eastAsia="zh-CN"/>
        </w:rPr>
        <w:t xml:space="preserve">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bCs/>
          <w:snapToGrid w:val="0"/>
          <w:color w:val="000000"/>
          <w:kern w:val="0"/>
          <w:sz w:val="28"/>
          <w:szCs w:val="28"/>
          <w:u w:val="single"/>
          <w:lang w:eastAsia="zh-CN"/>
        </w:rPr>
        <w:t xml:space="preserve">  </w:t>
      </w:r>
    </w:p>
    <w:p>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spacing w:val="-8"/>
          <w:kern w:val="0"/>
          <w:sz w:val="28"/>
          <w:szCs w:val="28"/>
          <w:u w:val="single"/>
          <w:lang w:eastAsia="zh-CN"/>
        </w:rPr>
      </w:pPr>
      <w:r>
        <w:rPr>
          <w:rFonts w:hint="eastAsia" w:ascii="仿宋" w:hAnsi="仿宋" w:eastAsia="仿宋" w:cs="仿宋"/>
          <w:snapToGrid w:val="0"/>
          <w:color w:val="000000"/>
          <w:spacing w:val="-8"/>
          <w:kern w:val="0"/>
          <w:sz w:val="28"/>
          <w:szCs w:val="28"/>
          <w:u w:val="none"/>
          <w:lang w:eastAsia="zh-CN"/>
        </w:rPr>
        <w:t>联系地址:</w:t>
      </w:r>
      <w:r>
        <w:rPr>
          <w:rFonts w:hint="eastAsia" w:ascii="仿宋" w:hAnsi="仿宋" w:eastAsia="仿宋" w:cs="仿宋"/>
          <w:snapToGrid w:val="0"/>
          <w:color w:val="000000"/>
          <w:spacing w:val="-8"/>
          <w:kern w:val="0"/>
          <w:sz w:val="28"/>
          <w:szCs w:val="28"/>
          <w:u w:val="single"/>
          <w:lang w:eastAsia="zh-CN"/>
        </w:rPr>
        <w:t xml:space="preserve">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邮政编码：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w:t>
      </w:r>
    </w:p>
    <w:p>
      <w:pPr>
        <w:widowControl/>
        <w:kinsoku w:val="0"/>
        <w:autoSpaceDE w:val="0"/>
        <w:autoSpaceDN w:val="0"/>
        <w:adjustRightInd w:val="0"/>
        <w:snapToGrid w:val="0"/>
        <w:spacing w:line="360" w:lineRule="auto"/>
        <w:jc w:val="left"/>
        <w:textAlignment w:val="baseline"/>
        <w:rPr>
          <w:rFonts w:hint="default" w:ascii="仿宋" w:hAnsi="仿宋" w:eastAsia="仿宋" w:cs="仿宋"/>
          <w:snapToGrid w:val="0"/>
          <w:color w:val="000000"/>
          <w:spacing w:val="-8"/>
          <w:kern w:val="0"/>
          <w:sz w:val="28"/>
          <w:szCs w:val="28"/>
          <w:u w:val="single"/>
          <w:lang w:val="en-US" w:eastAsia="zh-CN"/>
        </w:rPr>
      </w:pPr>
      <w:r>
        <w:rPr>
          <w:rFonts w:hint="eastAsia" w:ascii="仿宋" w:hAnsi="仿宋" w:eastAsia="仿宋" w:cs="仿宋"/>
          <w:snapToGrid w:val="0"/>
          <w:color w:val="000000"/>
          <w:spacing w:val="-8"/>
          <w:kern w:val="0"/>
          <w:sz w:val="28"/>
          <w:szCs w:val="28"/>
          <w:u w:val="none"/>
          <w:lang w:eastAsia="zh-CN"/>
        </w:rPr>
        <w:t>联系电话：</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联系人： </w:t>
      </w:r>
      <w:r>
        <w:rPr>
          <w:rFonts w:hint="eastAsia" w:ascii="仿宋" w:hAnsi="仿宋" w:eastAsia="仿宋" w:cs="仿宋"/>
          <w:snapToGrid w:val="0"/>
          <w:color w:val="000000"/>
          <w:spacing w:val="-8"/>
          <w:kern w:val="0"/>
          <w:sz w:val="28"/>
          <w:szCs w:val="28"/>
          <w:u w:val="single"/>
          <w:lang w:val="en-US" w:eastAsia="zh-CN"/>
        </w:rPr>
        <w:t xml:space="preserve">                      </w:t>
      </w:r>
    </w:p>
    <w:p>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spacing w:val="-8"/>
          <w:kern w:val="0"/>
          <w:sz w:val="28"/>
          <w:szCs w:val="28"/>
          <w:u w:val="single"/>
          <w:lang w:eastAsia="zh-CN"/>
        </w:rPr>
      </w:pPr>
      <w:r>
        <w:rPr>
          <w:rFonts w:hint="eastAsia" w:ascii="仿宋" w:hAnsi="仿宋" w:eastAsia="仿宋" w:cs="仿宋"/>
          <w:snapToGrid w:val="0"/>
          <w:color w:val="000000"/>
          <w:spacing w:val="-8"/>
          <w:kern w:val="0"/>
          <w:sz w:val="28"/>
          <w:szCs w:val="28"/>
          <w:u w:val="none"/>
          <w:lang w:eastAsia="zh-CN"/>
        </w:rPr>
        <w:t>开户行：</w:t>
      </w:r>
      <w:r>
        <w:rPr>
          <w:rFonts w:hint="eastAsia" w:ascii="仿宋" w:hAnsi="仿宋" w:eastAsia="仿宋" w:cs="仿宋"/>
          <w:snapToGrid w:val="0"/>
          <w:color w:val="000000"/>
          <w:spacing w:val="-8"/>
          <w:kern w:val="0"/>
          <w:sz w:val="28"/>
          <w:szCs w:val="28"/>
          <w:u w:val="single"/>
          <w:lang w:eastAsia="zh-CN"/>
        </w:rPr>
        <w:t xml:space="preserve">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w:t>
      </w:r>
    </w:p>
    <w:p>
      <w:pPr>
        <w:widowControl/>
        <w:kinsoku w:val="0"/>
        <w:autoSpaceDE w:val="0"/>
        <w:autoSpaceDN w:val="0"/>
        <w:adjustRightInd w:val="0"/>
        <w:snapToGrid w:val="0"/>
        <w:spacing w:line="360" w:lineRule="auto"/>
        <w:jc w:val="left"/>
        <w:textAlignment w:val="baseline"/>
        <w:rPr>
          <w:rFonts w:hint="eastAsia" w:ascii="仿宋" w:hAnsi="仿宋" w:eastAsia="仿宋" w:cs="仿宋"/>
          <w:snapToGrid w:val="0"/>
          <w:color w:val="000000"/>
          <w:spacing w:val="-8"/>
          <w:kern w:val="0"/>
          <w:sz w:val="28"/>
          <w:szCs w:val="28"/>
          <w:u w:val="single"/>
          <w:lang w:eastAsia="zh-CN"/>
        </w:rPr>
      </w:pPr>
      <w:r>
        <w:rPr>
          <w:rFonts w:hint="eastAsia" w:ascii="仿宋" w:hAnsi="仿宋" w:eastAsia="仿宋" w:cs="仿宋"/>
          <w:snapToGrid w:val="0"/>
          <w:color w:val="000000"/>
          <w:spacing w:val="-8"/>
          <w:kern w:val="0"/>
          <w:sz w:val="28"/>
          <w:szCs w:val="28"/>
          <w:u w:val="none"/>
          <w:lang w:eastAsia="zh-CN"/>
        </w:rPr>
        <w:t>账号：</w:t>
      </w:r>
      <w:r>
        <w:rPr>
          <w:rFonts w:hint="eastAsia" w:ascii="仿宋" w:hAnsi="仿宋" w:eastAsia="仿宋" w:cs="仿宋"/>
          <w:snapToGrid w:val="0"/>
          <w:color w:val="000000"/>
          <w:spacing w:val="-8"/>
          <w:kern w:val="0"/>
          <w:sz w:val="28"/>
          <w:szCs w:val="28"/>
          <w:u w:val="single"/>
          <w:lang w:eastAsia="zh-CN"/>
        </w:rPr>
        <w:t xml:space="preserve">    </w:t>
      </w:r>
      <w:r>
        <w:rPr>
          <w:rFonts w:hint="eastAsia" w:ascii="仿宋" w:hAnsi="仿宋" w:eastAsia="仿宋" w:cs="仿宋"/>
          <w:snapToGrid w:val="0"/>
          <w:color w:val="000000"/>
          <w:spacing w:val="-8"/>
          <w:kern w:val="0"/>
          <w:sz w:val="28"/>
          <w:szCs w:val="28"/>
          <w:u w:val="single"/>
          <w:lang w:val="en-US" w:eastAsia="zh-CN"/>
        </w:rPr>
        <w:t xml:space="preserve">                      </w:t>
      </w:r>
      <w:r>
        <w:rPr>
          <w:rFonts w:hint="eastAsia" w:ascii="仿宋" w:hAnsi="仿宋" w:eastAsia="仿宋" w:cs="仿宋"/>
          <w:snapToGrid w:val="0"/>
          <w:color w:val="000000"/>
          <w:spacing w:val="-8"/>
          <w:kern w:val="0"/>
          <w:sz w:val="28"/>
          <w:szCs w:val="28"/>
          <w:u w:val="single"/>
          <w:lang w:eastAsia="zh-CN"/>
        </w:rPr>
        <w:t xml:space="preserve">   </w:t>
      </w:r>
    </w:p>
    <w:p>
      <w:pPr>
        <w:widowControl/>
        <w:kinsoku w:val="0"/>
        <w:autoSpaceDE w:val="0"/>
        <w:autoSpaceDN w:val="0"/>
        <w:adjustRightInd w:val="0"/>
        <w:snapToGrid w:val="0"/>
        <w:spacing w:line="480" w:lineRule="exact"/>
        <w:jc w:val="left"/>
        <w:textAlignment w:val="baseline"/>
        <w:rPr>
          <w:rFonts w:ascii="宋体" w:hAnsi="宋体" w:eastAsia="宋体" w:cs="Arial"/>
          <w:snapToGrid w:val="0"/>
          <w:color w:val="000000"/>
          <w:kern w:val="0"/>
          <w:sz w:val="28"/>
          <w:szCs w:val="28"/>
          <w:lang w:eastAsia="zh-CN"/>
        </w:rPr>
      </w:pPr>
    </w:p>
    <w:bookmarkEnd w:id="678"/>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甲乙双方根据</w:t>
      </w:r>
      <w:r>
        <w:rPr>
          <w:rFonts w:hint="eastAsia" w:ascii="宋体" w:hAnsi="宋体" w:eastAsia="宋体" w:cs="Arial"/>
          <w:snapToGrid w:val="0"/>
          <w:color w:val="000000"/>
          <w:kern w:val="0"/>
          <w:sz w:val="28"/>
          <w:szCs w:val="28"/>
          <w:lang w:eastAsia="zh-CN"/>
        </w:rPr>
        <w:t>《中华人民共和国民法典》</w:t>
      </w:r>
      <w:r>
        <w:rPr>
          <w:rFonts w:ascii="宋体" w:hAnsi="宋体" w:eastAsia="宋体" w:cs="Arial"/>
          <w:snapToGrid w:val="0"/>
          <w:color w:val="000000"/>
          <w:kern w:val="0"/>
          <w:sz w:val="28"/>
          <w:szCs w:val="28"/>
          <w:lang w:eastAsia="zh-CN"/>
        </w:rPr>
        <w:t>、</w:t>
      </w:r>
      <w:r>
        <w:rPr>
          <w:rFonts w:hint="eastAsia" w:ascii="宋体" w:hAnsi="宋体" w:eastAsia="宋体" w:cs="Arial"/>
          <w:snapToGrid w:val="0"/>
          <w:color w:val="000000"/>
          <w:kern w:val="0"/>
          <w:sz w:val="28"/>
          <w:szCs w:val="28"/>
          <w:lang w:eastAsia="zh-CN"/>
        </w:rPr>
        <w:t>《</w:t>
      </w:r>
      <w:r>
        <w:rPr>
          <w:rFonts w:ascii="宋体" w:hAnsi="宋体" w:eastAsia="宋体" w:cs="Arial"/>
          <w:snapToGrid w:val="0"/>
          <w:color w:val="000000"/>
          <w:kern w:val="0"/>
          <w:sz w:val="28"/>
          <w:szCs w:val="28"/>
          <w:lang w:eastAsia="zh-CN"/>
        </w:rPr>
        <w:t>物业管理条例</w:t>
      </w:r>
      <w:r>
        <w:rPr>
          <w:rFonts w:hint="eastAsia" w:ascii="宋体" w:hAnsi="宋体" w:eastAsia="宋体" w:cs="Arial"/>
          <w:snapToGrid w:val="0"/>
          <w:color w:val="000000"/>
          <w:kern w:val="0"/>
          <w:sz w:val="28"/>
          <w:szCs w:val="28"/>
          <w:lang w:eastAsia="zh-CN"/>
        </w:rPr>
        <w:t>》</w:t>
      </w:r>
      <w:r>
        <w:rPr>
          <w:rFonts w:ascii="宋体" w:hAnsi="宋体" w:eastAsia="宋体" w:cs="Arial"/>
          <w:snapToGrid w:val="0"/>
          <w:color w:val="000000"/>
          <w:kern w:val="0"/>
          <w:sz w:val="28"/>
          <w:szCs w:val="28"/>
          <w:lang w:eastAsia="zh-CN"/>
        </w:rPr>
        <w:t>及相关法律法规的有关规定，本着平等自愿、互惠互利的原则，经友好协商，就乙方向甲方提供物业管理服务</w:t>
      </w:r>
      <w:r>
        <w:rPr>
          <w:rFonts w:hint="eastAsia" w:ascii="宋体" w:hAnsi="宋体" w:eastAsia="宋体" w:cs="Arial"/>
          <w:snapToGrid w:val="0"/>
          <w:color w:val="000000"/>
          <w:kern w:val="0"/>
          <w:sz w:val="28"/>
          <w:szCs w:val="28"/>
          <w:lang w:eastAsia="zh-CN"/>
        </w:rPr>
        <w:t>的</w:t>
      </w:r>
      <w:r>
        <w:rPr>
          <w:rFonts w:ascii="宋体" w:hAnsi="宋体" w:eastAsia="宋体" w:cs="Arial"/>
          <w:snapToGrid w:val="0"/>
          <w:color w:val="000000"/>
          <w:kern w:val="0"/>
          <w:sz w:val="28"/>
          <w:szCs w:val="28"/>
          <w:lang w:eastAsia="zh-CN"/>
        </w:rPr>
        <w:t xml:space="preserve">相关事宜达成如下合同：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第一条 物业的基本情况</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1、物业</w:t>
      </w:r>
      <w:r>
        <w:rPr>
          <w:rFonts w:hint="eastAsia" w:ascii="宋体" w:hAnsi="宋体" w:eastAsia="宋体" w:cs="Arial"/>
          <w:snapToGrid w:val="0"/>
          <w:color w:val="000000"/>
          <w:kern w:val="0"/>
          <w:sz w:val="28"/>
          <w:szCs w:val="28"/>
          <w:lang w:eastAsia="zh-CN"/>
        </w:rPr>
        <w:t>项目</w:t>
      </w:r>
      <w:r>
        <w:rPr>
          <w:rFonts w:ascii="宋体" w:hAnsi="宋体" w:eastAsia="宋体" w:cs="Arial"/>
          <w:snapToGrid w:val="0"/>
          <w:color w:val="000000"/>
          <w:kern w:val="0"/>
          <w:sz w:val="28"/>
          <w:szCs w:val="28"/>
          <w:lang w:eastAsia="zh-CN"/>
        </w:rPr>
        <w:t>名称：</w:t>
      </w:r>
      <w:r>
        <w:rPr>
          <w:rFonts w:hint="eastAsia" w:ascii="宋体" w:hAnsi="宋体" w:eastAsia="宋体" w:cs="Arial"/>
          <w:snapToGrid w:val="0"/>
          <w:color w:val="000000"/>
          <w:kern w:val="0"/>
          <w:sz w:val="28"/>
          <w:szCs w:val="28"/>
          <w:lang w:val="en-US" w:eastAsia="zh-CN"/>
        </w:rPr>
        <w:t>2026年</w:t>
      </w:r>
      <w:r>
        <w:rPr>
          <w:rFonts w:hint="eastAsia" w:ascii="宋体" w:hAnsi="宋体" w:eastAsia="宋体" w:cs="Arial"/>
          <w:snapToGrid w:val="0"/>
          <w:color w:val="000000"/>
          <w:kern w:val="0"/>
          <w:sz w:val="28"/>
          <w:szCs w:val="28"/>
          <w:lang w:eastAsia="zh-CN"/>
        </w:rPr>
        <w:t>博物馆物业管理服务采购项目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2、服务地点：</w:t>
      </w:r>
      <w:r>
        <w:rPr>
          <w:rFonts w:hint="eastAsia" w:ascii="宋体" w:hAnsi="宋体" w:eastAsia="宋体" w:cs="Arial"/>
          <w:snapToGrid w:val="0"/>
          <w:color w:val="000000"/>
          <w:kern w:val="0"/>
          <w:sz w:val="28"/>
          <w:szCs w:val="28"/>
          <w:lang w:eastAsia="zh-CN"/>
        </w:rPr>
        <w:t>北京市平谷区渔阳地区平谷体育中心西路3号院2号楼101</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3、建筑面积：</w:t>
      </w:r>
      <w:r>
        <w:rPr>
          <w:rFonts w:hint="eastAsia" w:ascii="宋体" w:hAnsi="宋体" w:eastAsia="宋体" w:cs="Arial"/>
          <w:snapToGrid w:val="0"/>
          <w:color w:val="000000"/>
          <w:kern w:val="0"/>
          <w:sz w:val="28"/>
          <w:szCs w:val="28"/>
          <w:lang w:val="en-US" w:eastAsia="zh-CN"/>
        </w:rPr>
        <w:t>21727.17</w:t>
      </w:r>
      <w:r>
        <w:rPr>
          <w:rFonts w:hint="eastAsia"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第二条 物业管理服务期限</w:t>
      </w:r>
      <w:r>
        <w:rPr>
          <w:rFonts w:hint="eastAsia" w:ascii="宋体" w:hAnsi="宋体" w:eastAsia="宋体" w:cs="Arial"/>
          <w:snapToGrid w:val="0"/>
          <w:color w:val="000000"/>
          <w:kern w:val="0"/>
          <w:sz w:val="28"/>
          <w:szCs w:val="28"/>
          <w:lang w:eastAsia="zh-CN"/>
        </w:rPr>
        <w:t>及人员配备：</w:t>
      </w:r>
      <w:r>
        <w:rPr>
          <w:rFonts w:ascii="宋体" w:hAnsi="宋体" w:eastAsia="宋体" w:cs="Arial"/>
          <w:snapToGrid w:val="0"/>
          <w:color w:val="000000"/>
          <w:kern w:val="0"/>
          <w:sz w:val="28"/>
          <w:szCs w:val="28"/>
          <w:lang w:eastAsia="zh-CN"/>
        </w:rPr>
        <w:t>共计十二个月，自</w:t>
      </w:r>
      <w:r>
        <w:rPr>
          <w:rFonts w:hint="eastAsia" w:ascii="宋体" w:hAnsi="宋体" w:eastAsia="宋体" w:cs="Arial"/>
          <w:snapToGrid w:val="0"/>
          <w:color w:val="000000"/>
          <w:kern w:val="0"/>
          <w:sz w:val="28"/>
          <w:szCs w:val="28"/>
          <w:lang w:val="en-US" w:eastAsia="zh-CN"/>
        </w:rPr>
        <w:t>2026</w:t>
      </w:r>
      <w:r>
        <w:rPr>
          <w:rFonts w:ascii="宋体" w:hAnsi="宋体" w:eastAsia="宋体" w:cs="Arial"/>
          <w:snapToGrid w:val="0"/>
          <w:color w:val="000000"/>
          <w:kern w:val="0"/>
          <w:sz w:val="28"/>
          <w:szCs w:val="28"/>
          <w:lang w:eastAsia="zh-CN"/>
        </w:rPr>
        <w:t>年</w:t>
      </w:r>
      <w:r>
        <w:rPr>
          <w:rFonts w:hint="eastAsia" w:ascii="宋体" w:hAnsi="宋体" w:eastAsia="宋体" w:cs="Arial"/>
          <w:snapToGrid w:val="0"/>
          <w:color w:val="000000"/>
          <w:kern w:val="0"/>
          <w:sz w:val="28"/>
          <w:szCs w:val="28"/>
          <w:lang w:val="en-US" w:eastAsia="zh-CN"/>
        </w:rPr>
        <w:t>6</w:t>
      </w:r>
      <w:r>
        <w:rPr>
          <w:rFonts w:ascii="宋体" w:hAnsi="宋体" w:eastAsia="宋体" w:cs="Arial"/>
          <w:snapToGrid w:val="0"/>
          <w:color w:val="000000"/>
          <w:kern w:val="0"/>
          <w:sz w:val="28"/>
          <w:szCs w:val="28"/>
          <w:lang w:eastAsia="zh-CN"/>
        </w:rPr>
        <w:t>月</w:t>
      </w:r>
      <w:r>
        <w:rPr>
          <w:rFonts w:hint="eastAsia" w:ascii="宋体" w:hAnsi="宋体" w:eastAsia="宋体" w:cs="Arial"/>
          <w:snapToGrid w:val="0"/>
          <w:color w:val="000000"/>
          <w:kern w:val="0"/>
          <w:sz w:val="28"/>
          <w:szCs w:val="28"/>
          <w:lang w:val="en-US" w:eastAsia="zh-CN"/>
        </w:rPr>
        <w:t>7</w:t>
      </w:r>
      <w:r>
        <w:rPr>
          <w:rFonts w:ascii="宋体" w:hAnsi="宋体" w:eastAsia="宋体" w:cs="Arial"/>
          <w:snapToGrid w:val="0"/>
          <w:color w:val="000000"/>
          <w:kern w:val="0"/>
          <w:sz w:val="28"/>
          <w:szCs w:val="28"/>
          <w:lang w:eastAsia="zh-CN"/>
        </w:rPr>
        <w:t>日至</w:t>
      </w:r>
      <w:r>
        <w:rPr>
          <w:rFonts w:hint="eastAsia" w:ascii="宋体" w:hAnsi="宋体" w:eastAsia="宋体" w:cs="Arial"/>
          <w:snapToGrid w:val="0"/>
          <w:color w:val="000000"/>
          <w:kern w:val="0"/>
          <w:sz w:val="28"/>
          <w:szCs w:val="28"/>
          <w:lang w:val="en-US" w:eastAsia="zh-CN"/>
        </w:rPr>
        <w:t>2027</w:t>
      </w:r>
      <w:r>
        <w:rPr>
          <w:rFonts w:ascii="宋体" w:hAnsi="宋体" w:eastAsia="宋体" w:cs="Arial"/>
          <w:snapToGrid w:val="0"/>
          <w:color w:val="000000"/>
          <w:kern w:val="0"/>
          <w:sz w:val="28"/>
          <w:szCs w:val="28"/>
          <w:lang w:eastAsia="zh-CN"/>
        </w:rPr>
        <w:t>年</w:t>
      </w:r>
      <w:r>
        <w:rPr>
          <w:rFonts w:hint="eastAsia" w:ascii="宋体" w:hAnsi="宋体" w:eastAsia="宋体" w:cs="Arial"/>
          <w:snapToGrid w:val="0"/>
          <w:color w:val="000000"/>
          <w:kern w:val="0"/>
          <w:sz w:val="28"/>
          <w:szCs w:val="28"/>
          <w:lang w:val="en-US" w:eastAsia="zh-CN"/>
        </w:rPr>
        <w:t>6</w:t>
      </w:r>
      <w:r>
        <w:rPr>
          <w:rFonts w:ascii="宋体" w:hAnsi="宋体" w:eastAsia="宋体" w:cs="Arial"/>
          <w:snapToGrid w:val="0"/>
          <w:color w:val="000000"/>
          <w:kern w:val="0"/>
          <w:sz w:val="28"/>
          <w:szCs w:val="28"/>
          <w:lang w:eastAsia="zh-CN"/>
        </w:rPr>
        <w:t>月</w:t>
      </w:r>
      <w:r>
        <w:rPr>
          <w:rFonts w:hint="eastAsia" w:ascii="宋体" w:hAnsi="宋体" w:eastAsia="宋体" w:cs="Arial"/>
          <w:snapToGrid w:val="0"/>
          <w:color w:val="000000"/>
          <w:kern w:val="0"/>
          <w:sz w:val="28"/>
          <w:szCs w:val="28"/>
          <w:lang w:val="en-US" w:eastAsia="zh-CN"/>
        </w:rPr>
        <w:t>6</w:t>
      </w:r>
      <w:r>
        <w:rPr>
          <w:rFonts w:ascii="宋体" w:hAnsi="宋体" w:eastAsia="宋体" w:cs="Arial"/>
          <w:snapToGrid w:val="0"/>
          <w:color w:val="000000"/>
          <w:kern w:val="0"/>
          <w:sz w:val="28"/>
          <w:szCs w:val="28"/>
          <w:lang w:eastAsia="zh-CN"/>
        </w:rPr>
        <w:t>日止</w:t>
      </w:r>
      <w:r>
        <w:rPr>
          <w:rFonts w:hint="eastAsia" w:ascii="宋体" w:hAnsi="宋体" w:eastAsia="宋体" w:cs="Arial"/>
          <w:snapToGrid w:val="0"/>
          <w:color w:val="000000"/>
          <w:kern w:val="0"/>
          <w:sz w:val="28"/>
          <w:szCs w:val="28"/>
          <w:lang w:eastAsia="zh-CN"/>
        </w:rPr>
        <w:t>。</w:t>
      </w:r>
      <w:r>
        <w:rPr>
          <w:rFonts w:hint="eastAsia" w:ascii="宋体" w:hAnsi="宋体" w:eastAsia="宋体" w:cs="Arial"/>
          <w:snapToGrid w:val="0"/>
          <w:color w:val="000000"/>
          <w:kern w:val="0"/>
          <w:sz w:val="28"/>
          <w:szCs w:val="28"/>
          <w:lang w:val="en-US" w:eastAsia="zh-CN"/>
        </w:rPr>
        <w:t>服务人员由乙方按照甲方需求配置，总人数不得低于28人。</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第三条 合同价款</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1、物业管理服务总费用为：</w:t>
      </w:r>
      <w:r>
        <w:rPr>
          <w:rFonts w:hint="eastAsia" w:ascii="宋体" w:hAnsi="宋体" w:eastAsia="宋体" w:cs="Arial"/>
          <w:snapToGrid w:val="0"/>
          <w:color w:val="000000"/>
          <w:kern w:val="0"/>
          <w:sz w:val="28"/>
          <w:szCs w:val="28"/>
          <w:lang w:eastAsia="zh-CN"/>
        </w:rPr>
        <w:t>人民币</w:t>
      </w:r>
      <w:r>
        <w:rPr>
          <w:rFonts w:hint="eastAsia" w:ascii="宋体" w:hAnsi="宋体" w:eastAsia="宋体" w:cs="Arial"/>
          <w:snapToGrid w:val="0"/>
          <w:color w:val="000000"/>
          <w:kern w:val="0"/>
          <w:sz w:val="28"/>
          <w:szCs w:val="28"/>
          <w:u w:val="single"/>
          <w:lang w:eastAsia="zh-CN"/>
        </w:rPr>
        <w:t xml:space="preserve"> </w:t>
      </w:r>
      <w:r>
        <w:rPr>
          <w:rFonts w:hint="eastAsia" w:ascii="宋体" w:hAnsi="宋体" w:eastAsia="宋体" w:cs="Arial"/>
          <w:snapToGrid w:val="0"/>
          <w:color w:val="000000"/>
          <w:kern w:val="0"/>
          <w:sz w:val="28"/>
          <w:szCs w:val="28"/>
          <w:u w:val="single"/>
          <w:lang w:val="en-US" w:eastAsia="zh-CN"/>
        </w:rPr>
        <w:t xml:space="preserve">             叁角叁分</w:t>
      </w:r>
      <w:r>
        <w:rPr>
          <w:rFonts w:hint="eastAsia" w:ascii="宋体" w:hAnsi="宋体" w:eastAsia="宋体" w:cs="Arial"/>
          <w:snapToGrid w:val="0"/>
          <w:color w:val="000000"/>
          <w:kern w:val="0"/>
          <w:sz w:val="28"/>
          <w:szCs w:val="28"/>
          <w:u w:val="single"/>
          <w:lang w:eastAsia="zh-CN"/>
        </w:rPr>
        <w:t xml:space="preserve"> </w:t>
      </w:r>
      <w:r>
        <w:rPr>
          <w:rFonts w:hint="eastAsia" w:ascii="宋体" w:hAnsi="宋体" w:eastAsia="宋体" w:cs="Arial"/>
          <w:snapToGrid w:val="0"/>
          <w:color w:val="000000"/>
          <w:kern w:val="0"/>
          <w:sz w:val="28"/>
          <w:szCs w:val="28"/>
          <w:lang w:eastAsia="zh-CN"/>
        </w:rPr>
        <w:t>（</w:t>
      </w:r>
      <w:r>
        <w:rPr>
          <w:rFonts w:hint="eastAsia" w:ascii="宋体" w:hAnsi="宋体" w:eastAsia="宋体" w:cs="Arial"/>
          <w:snapToGrid w:val="0"/>
          <w:color w:val="000000"/>
          <w:kern w:val="0"/>
          <w:sz w:val="28"/>
          <w:szCs w:val="28"/>
          <w:u w:val="single"/>
          <w:lang w:eastAsia="zh-CN"/>
        </w:rPr>
        <w:t>￥：</w:t>
      </w:r>
      <w:r>
        <w:rPr>
          <w:rFonts w:hint="eastAsia" w:ascii="仿宋_GB2312" w:hAnsi="黑体" w:eastAsia="仿宋_GB2312" w:cs="Times New Roman"/>
          <w:snapToGrid w:val="0"/>
          <w:color w:val="000000"/>
          <w:kern w:val="2"/>
          <w:sz w:val="28"/>
          <w:szCs w:val="28"/>
          <w:u w:val="single"/>
          <w:lang w:val="en-US" w:eastAsia="zh-CN" w:bidi="ar-SA"/>
        </w:rPr>
        <w:t xml:space="preserve">  </w:t>
      </w:r>
      <w:r>
        <w:rPr>
          <w:rFonts w:hint="eastAsia" w:ascii="宋体" w:hAnsi="宋体" w:eastAsia="宋体" w:cs="Arial"/>
          <w:snapToGrid w:val="0"/>
          <w:color w:val="000000"/>
          <w:kern w:val="0"/>
          <w:sz w:val="28"/>
          <w:szCs w:val="28"/>
          <w:u w:val="single"/>
          <w:lang w:eastAsia="zh-CN"/>
        </w:rPr>
        <w:t>元）</w:t>
      </w:r>
      <w:r>
        <w:rPr>
          <w:rFonts w:hint="eastAsia"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2、支付方式和支付时间：</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支付方式：</w:t>
      </w:r>
      <w:r>
        <w:rPr>
          <w:rFonts w:ascii="宋体" w:hAnsi="宋体" w:eastAsia="宋体" w:cs="Arial"/>
          <w:snapToGrid w:val="0"/>
          <w:color w:val="000000"/>
          <w:kern w:val="0"/>
          <w:sz w:val="28"/>
          <w:szCs w:val="28"/>
          <w:lang w:eastAsia="zh-CN"/>
        </w:rPr>
        <w:t>甲方以银行转账的方式向乙方支付物业管理服务费</w:t>
      </w:r>
      <w:r>
        <w:rPr>
          <w:rFonts w:hint="eastAsia"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支付时间：</w:t>
      </w:r>
      <w:r>
        <w:rPr>
          <w:rFonts w:hint="eastAsia" w:ascii="宋体" w:hAnsi="宋体" w:eastAsia="宋体" w:cs="Arial"/>
          <w:snapToGrid w:val="0"/>
          <w:color w:val="000000"/>
          <w:kern w:val="0"/>
          <w:sz w:val="28"/>
          <w:szCs w:val="28"/>
          <w:lang w:val="en-US" w:eastAsia="zh-CN"/>
        </w:rPr>
        <w:t xml:space="preserve"> 合同履行期内， 采用季度预付制，每季度的首月支付本季度服务费</w:t>
      </w:r>
      <w:r>
        <w:rPr>
          <w:rFonts w:hint="eastAsia" w:ascii="宋体" w:hAnsi="宋体" w:eastAsia="宋体" w:cs="Arial"/>
          <w:snapToGrid w:val="0"/>
          <w:color w:val="000000"/>
          <w:kern w:val="0"/>
          <w:sz w:val="28"/>
          <w:szCs w:val="28"/>
          <w:lang w:eastAsia="zh-CN"/>
        </w:rPr>
        <w:t>。乙方应当于甲方付款前为甲方出具符合甲方要求的发票，否则甲方有权迟延付款，且不承担迟延付款的违约责任。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因甲方财政资金审批、拨付流程等原因造成甲方未能及时付款的，乙方表示理解，甲方不承担违约责任，付款时间相应顺延。</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乙方账户变更的应及时告知甲方，因此导致乙方未能收到合同款的，甲方不负责任。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第四条 物业委托事项及服务标准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物业管理所含所有事项，包括以下内容</w:t>
      </w:r>
      <w:r>
        <w:rPr>
          <w:rFonts w:hint="eastAsia"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一）服务内容：甲方规定范围内的房屋建筑的维修、养护和管理；设施、设备的维修、养护、运行和管理；建筑物、构筑物的维修、养护和管理、中控值守、卫生保洁、绿化、垃圾分类、防疫消杀、门前三包等内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二）物业服务范围：主要为文物管理所（原博物馆）办公区办公楼楼盖、屋顶、外墙、承重墙体、楼梯间、走廊通道、门厅、水、强弱电、消防、照明、电梯、中央空调等的日常维护与管理并做记录；停车场的维护与物业相关的工程图纸、竣工验收资料(复印件)、中控值守、高压配电室值守、中央空调运行期间值守、消防巡查、垃圾分类、院内外公共绿地、花木绿植的养护管理、所有室内外环境卫生区域及门前三包卫生区域卫生保洁，冬季扫雪铲冰及突发事件应急服务等和临时性工作。</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所有楼内外环境卫生区域及门前三包卫生区域的卫生保洁工作；包括但不限于：</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1.办公楼大厅、走廊、天台、步梯间、卫生间等区域和服务用房、会议室、展厅的日常清洁。</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2.楼外区域、门前三包区域等部位的日常清洁。</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3.生活垃圾进行分类收集，并清运至指定地点。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4.有害生物防制、消杀工作。</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5.遇暴雨、积雪等恶劣天气的应急处理及扫雪铲冰等服务。</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6.对外墙清洁、病媒生物防制、化粪池清掏、隔油池清理、绿化养护、绿植租摆、垃圾清运等专项外委工作配合，根据甲方的要求进行监管及验收，发现异常情况，上报甲方主管人员。</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第五条 甲方权利义务</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1.代表和维护产权人、使用人的合法权益。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2.对乙方履行合同情况进行监督和检查，对乙方的工作提出意见或建议。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3.审定乙方制定的物业管理方案。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4.向乙方提供合理的办公用房及库房等。</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5.负责归集并向乙方提供物业管理所需相关图纸、档案、资料。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6.协调、处理本合同生效前发生的管理遗留问题并协调在合同执行过程中与物业使用人等相关单位的关系。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7.审核乙方提出的大中修更新改造计划。</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8.负责新建、改建、扩建工程项目的具体实施。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9.按时向乙方支付管理服务费用。</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10.定期召开工作沟通会，并听取乙方的工作汇报。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11.有权要求乙方对不能胜任岗位要求的人员进行更换。</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12.甲方有权对乙方服务项目每月进行一次考核，合同履行期间累计两次考核不达标的，甲方有权解除服务合同、并追偿因乙方过错造成的损失。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13.乙方员工有下列行为，甲方有权要求乙方立即更换：</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13.1.乙方员工违反操作流程，造成所负责的工作不能正常运行或不能保证工作质量，或乙方拒绝、拖延按照甲方指示进行相关工作，或乙方员工工作效率明显低于其他员工平均水平的。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13.2.乙方员工违反甲方规章制度，岗位职责和劳动纪律。</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13.3.乙方员工有辱骂领导或与他人发生打架斗殴等情形的。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13.4.乙方员工有前述所列以外的其他行为，影响甲方正常工作秩序的。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第六条 乙方权利义务</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根据有关法律、法规及本合同的约定，全面履行合同。制定物业管理制度，自主开展各项管理经营活动并对其工作人员进行必要的岗位培训和安全教育。乙方应承担其工作人员的工资、劳保、福利、工伤（亡）产生的费用，保证工作人员享有法定的劳动者权益。工作人员离职后，必须第一时间告知甲方，如因未及时履行通知义务导致甲方承担任何责任的，该责任最终由乙方承担。</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2.遵守合同约定的各项责任要求，根据甲方授权对物业实施综合管理并承担相应责任，自觉接受甲方和物业主管部门及有关政府部门监督检查。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3.根据需要制定中修以上和设备、设施更新方案并报甲方决策执行。新建、改建、扩建项目工程由甲方负责组织实施,乙方负责配合。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4.定期向甲方和使用单位告知设备设施使用的有关情况，并负责监督。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5.对集中办公区的设施、设备不得擅自占用和改变使用功能，如需在集中办公区内改扩建或完善配套项目，须与甲方协商，经甲方书面同意后报有关部门批准方可实施。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6.建立物业管理档案并负责及时记载有关变更情况。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7.管理期满向甲方移交全部专用房屋及有关财产、全部物业管理档案及有关资料。</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8.自行配备物业维修、保洁服务、绿化所需日常工具。</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9.自主聘用项目所需员工，承担所聘用员工的工伤、意外等安全责任。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10.经甲方书面同意后选聘服务单位承担本物业的服务业务，但不得将本合同涉及博物馆大楼的物业管理权转让给第三方。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11.乙方应接受甲方的监督检查，对甲方提出的意见或建议2日内书面回复。</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12.乙方应当按照甲方的要求参加项目说明会或其他工作会议，对工作进展情况进行说明。</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为更好的为甲方提供优质物业服务，应委派专人对其工作人员进行日常管理，岗位调动、工作考核、遵守甲方的岗位职责及各项管理制度，按时、保质保量完成甲方交办的工作。未经甲方书面同意不得随意更换项目负责人，不得随意增加、减少在甲方处的工作人员，因擅自变动需承担给甲方造成的经济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14.乙方在履行本合同过程中知悉甲方的任何资料均应当予以保密，保密期限为永久。</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15.乙方从业人员失职、违规或不服从管理的，乙方应及时加以整改，整改情况在一周内书面报告甲方。当月从业人员发生下列违规情况的，按发生次数扣减乙方当月部分或全部服务费：月发生1次，下达整改通知，乙方拿出处理意见；发生2次按当月应付服务费的90%付款；发生3次按当月应付服务费50%付款并解除服务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（1）擅离职守、造成脱岗的，经指出拒不改正的；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（2）工作时间闲聊、睡觉、串岗或干与工作无关事情</w:t>
      </w:r>
      <w:r>
        <w:rPr>
          <w:rFonts w:ascii="宋体" w:hAnsi="宋体" w:eastAsia="宋体" w:cs="Arial"/>
          <w:snapToGrid w:val="0"/>
          <w:color w:val="000000"/>
          <w:kern w:val="0"/>
          <w:sz w:val="28"/>
          <w:szCs w:val="28"/>
          <w:lang w:eastAsia="zh-CN"/>
        </w:rPr>
        <w:t>造成严重</w:t>
      </w:r>
      <w:r>
        <w:rPr>
          <w:rFonts w:hint="eastAsia" w:ascii="宋体" w:hAnsi="宋体" w:eastAsia="宋体" w:cs="Arial"/>
          <w:snapToGrid w:val="0"/>
          <w:color w:val="000000"/>
          <w:kern w:val="0"/>
          <w:sz w:val="28"/>
          <w:szCs w:val="28"/>
          <w:lang w:eastAsia="zh-CN"/>
        </w:rPr>
        <w:t>后果</w:t>
      </w:r>
      <w:r>
        <w:rPr>
          <w:rFonts w:ascii="宋体" w:hAnsi="宋体" w:eastAsia="宋体" w:cs="Arial"/>
          <w:snapToGrid w:val="0"/>
          <w:color w:val="000000"/>
          <w:kern w:val="0"/>
          <w:sz w:val="28"/>
          <w:szCs w:val="28"/>
          <w:lang w:eastAsia="zh-CN"/>
        </w:rPr>
        <w:t>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（3）从业人员失职、违规或不服从管理的；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（4）滥用职权、为他人提供方便的、造成</w:t>
      </w:r>
      <w:r>
        <w:rPr>
          <w:rFonts w:ascii="宋体" w:hAnsi="宋体" w:eastAsia="宋体" w:cs="Arial"/>
          <w:snapToGrid w:val="0"/>
          <w:color w:val="000000"/>
          <w:kern w:val="0"/>
          <w:sz w:val="28"/>
          <w:szCs w:val="28"/>
          <w:lang w:eastAsia="zh-CN"/>
        </w:rPr>
        <w:t>严重后果的</w:t>
      </w:r>
      <w:r>
        <w:rPr>
          <w:rFonts w:hint="eastAsia"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（5）工作懒散、态度恶劣被投诉的；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（6）不听从甲方指挥违规操作的；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（7）发现可能危及安全的问题没有及时处理并对甲方瞒报或不报的；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（8）因乙方管理不当，导致发生安全事故的；</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（9）其他对甲方造成损失的事项。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16.在日常工作中被投诉（出现接诉即办工单），经甲方研判乙方存在过错，出现1次扣减当月服务费1000元、出现2次扣除当月服务费3000元，出现3次扣减当月服务费10%，且给甲方造成严重影响的，解除服务合同、并赔偿甲方因此造成的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17.按照《中华人民共和国消防法》《中华人民共和国安全生产法》《北京市生产经营单位安全生产主体责任规定》等法律法规，履行安全生产主体责任和消防安全职责，全面负责所辖博物馆大楼安全生产和消防安全管理工作。</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18.对甲方要求更换的人员或因乙方原因造成工作岗位空缺的，乙方应自接到甲方通知后2小时补齐，如因此影响甲方的正常工作，造成甲方损失的，乙方应当予以赔偿。</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19.乙方应教导其员工严格按照甲方的工作要求、质量标准进行工作，乙方工作人员违反工作要求、违规操作造成自身或第三方人身、财产损害的，由乙方承担赔偿责任。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20.乙方不得拖欠员工工资，如因拖欠工资引发信访、12345、网络舆情、诉讼等，乙方应在接到甲方通知后24小时内到场，并于一日内对上述请求款项予以核查、判断、确认有效欠款额，并按照欠款额予以解决；如果乙方不予解决亦未在上述时限内对欠款额予以确认的，视为其认可全部请求欠款额，甲方有权按照请求人主张先予支付，相应款项自应付乙方的服务费款中直接扣除。</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21.如因乙方拖欠工资导致员工怠工、罢工的，乙方应在甲方通知后立即整改，如未在限定期限整改完成或出现上述情形三次（含）以上的，甲方有权解除合同。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第七条</w:t>
      </w:r>
      <w:r>
        <w:rPr>
          <w:rFonts w:hint="eastAsia" w:ascii="宋体" w:hAnsi="宋体" w:eastAsia="宋体" w:cs="Arial"/>
          <w:snapToGrid w:val="0"/>
          <w:color w:val="000000"/>
          <w:kern w:val="0"/>
          <w:sz w:val="28"/>
          <w:szCs w:val="28"/>
          <w:lang w:eastAsia="zh-CN"/>
        </w:rPr>
        <w:t xml:space="preserve"> </w:t>
      </w:r>
      <w:r>
        <w:rPr>
          <w:rFonts w:ascii="宋体" w:hAnsi="宋体" w:eastAsia="宋体" w:cs="Arial"/>
          <w:snapToGrid w:val="0"/>
          <w:color w:val="000000"/>
          <w:kern w:val="0"/>
          <w:sz w:val="28"/>
          <w:szCs w:val="28"/>
          <w:lang w:eastAsia="zh-CN"/>
        </w:rPr>
        <w:t xml:space="preserve">违约责任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1.甲方应当遵守并履行本合同约定的各项义务，因甲方原因导致无法正常履行物业管理服务职能，由此引发的责任由甲方承担。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2.乙方违反本合同的约定，或未达到甲方的考核要求，或未能完全履行物业服务职能，甲方有权要求限期整改，乙方必须无条件配合。如拒不配合，甲方有权解除合同，给甲方造成的损失应当由乙方赔偿。</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如因不可归责于甲乙双方的原因导致本合同无法履行，则甲乙任何一方应提前30天通知对方，合同可协商解除。如甲乙任何一方未能履行本合同约定的义务导致本合同解除，则违约方应赔偿守约方未执行月份服务费30%的违约金；造成对方经济损失的，应给予经济赔偿。</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4.乙方无故未按照甲方要求的时间参加项目说明会或其他工作会议的，每发生一次应向甲方支付1000元违约金，发生三次无故甲方要求的时间参加项目说明会或其他工作会议的，甲方有权解除此服务合同。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5.甲方要求更换的工作人员，乙方应当于7日内予以更换，拒绝更换或者怠于更换的，每发生一次应当向甲方支付1000元违约金，发生三次未按照甲方要求更换工作人员，甲方有权解除此服务合同。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6.乙方及工作人员如果违反保密义务，应当赔偿给甲方造成的损失。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7.乙方怠于回复或者拒绝回复甲方提出的意见或者建议的，每发生一次应当向甲方支付1000元违约金，发生三次怠于回复或者拒绝回复甲方提出的意见或建议，甲方有权解除此服务合同。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未经甲方书面允许随意更换项目负责人、擅自增加、减少工作人员的，每发生一次应当向甲方支付1000元违约金，发生三次未经甲方书面允许随意更换项目负责人、擅自增加、减少工作人员的，甲方有权解除此服务合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9.对因以上违约行为产生的违约金，甲方可自服务费中直接予以扣除。</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10.因乙方违约导致合同解除的，乙方应予合同解除后10日内退还甲方已支付但乙方未提供服务部分的服务费。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第八条 约定事项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乙方负责落实安全生产主体责任，建立健全各项安全生产制度，特别是要明确疫情防控、消防、交通、燃气、电力、供水、供热、一氧化碳中毒、坍塌、机械伤害、高空坠落、有限空间、涉爆粉尘、特种作业等方面安全管理措施和应急预案，强化日常监管，发现安全隐患及时整改，并将隐患和整改情况上报甲方，待甲方会同有关部门验收合格后方可继续开展工作。乙方要加强对从业人员日常安全教育，督促、指导从业人员落实办公、居住场所和生活环境中的安全防范措施。因不落实安全生产主体责任发生事故、导致人员伤亡、造成财产损失的，甲方有权终止合同，并由乙方承担全部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乙方负责保障从业人员的薪酬按时足额发放，落实社会保险等有关待遇。应与甲方签订治欠保支承诺函，并建立从业人员实名管理机制，向甲方提供所有从业人员的身份证复印件，以及从业人员与签订的劳务协议或合同（含薪资支付和保险缴纳额度、时间、方式等内容）原件一份。每季度末向中心提供从业人员薪资发放表、保险缴纳表（从业人员签字确认后的表格原件一份并加盖公章、网银支付等凭证）。应建立两个银行账户，并向甲方提供账户开户凭证复印件。其中，一个账户作为从业人员薪资发放账户，另一个账户作为独立的应急储备金账户，</w:t>
      </w:r>
      <w:r>
        <w:rPr>
          <w:rFonts w:ascii="宋体" w:hAnsi="宋体" w:eastAsia="宋体" w:cs="Arial"/>
          <w:snapToGrid w:val="0"/>
          <w:color w:val="000000"/>
          <w:kern w:val="0"/>
          <w:sz w:val="28"/>
          <w:szCs w:val="28"/>
          <w:lang w:eastAsia="zh-CN"/>
        </w:rPr>
        <w:t>该账户存储金额应不低于为甲方开展服务项目总金额的20%，</w:t>
      </w:r>
      <w:r>
        <w:rPr>
          <w:rFonts w:hint="eastAsia" w:ascii="宋体" w:hAnsi="宋体" w:eastAsia="宋体" w:cs="Arial"/>
          <w:snapToGrid w:val="0"/>
          <w:color w:val="000000"/>
          <w:kern w:val="0"/>
          <w:sz w:val="28"/>
          <w:szCs w:val="28"/>
          <w:lang w:eastAsia="zh-CN"/>
        </w:rPr>
        <w:t>作为治欠保支的应急专项资金。必须依法依规缴纳税款，严禁偷税、漏税等不法行为。不落实治欠保支措施，造成从业人员出现信访等不稳定因素，且为甲方造成不良影响的，甲方有权终止合同，并由乙方承担全部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乙方要严格落实中央、北京市、平谷区生态环境保护的各项措施和工作要求，要强化垃圾分类、扬尘、噪音、油烟净化、重柴机车管控等工作，严禁出现噪音污染、损毁绿化植被、污染地下水、超标准排放污染物等各类破坏生态环境的行为。严禁随意倾倒建筑、生活、有害等垃圾，应聘请有资质的单位处理各类垃圾，并将和垃圾处理单位签订的协议或合同向甲方备案。出现违法违规处理各类垃圾行为，甲方有权终止合同，并由乙方承担全部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4.合同期内如</w:t>
      </w:r>
      <w:r>
        <w:rPr>
          <w:rFonts w:ascii="宋体" w:hAnsi="宋体" w:eastAsia="宋体" w:cs="Arial"/>
          <w:snapToGrid w:val="0"/>
          <w:color w:val="000000"/>
          <w:kern w:val="0"/>
          <w:sz w:val="28"/>
          <w:szCs w:val="28"/>
          <w:lang w:eastAsia="zh-CN"/>
        </w:rPr>
        <w:t>甲方单方终止合同，应提前45天通知乙方，并支付乙方已完成服务期限的服务费用（乙方应在付款前提供发票）。</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第九条 其它事项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1.物业服务不包括专项维保及定期检测，包括：高压配电柜的检验/保养、防雷检测、建筑消防设施检测、电气火灾报警设备的检测、水质检测、高处悬吊类作业（窗户外换玻璃、外墙补砖、外墙清洗等）。</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2.因房屋建造质量、设备设施质量或安装技术等原因，达不到使用功能或造成重大事故的，由产权及建设单位承担责任并作善后处理。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3.乙方员工在从事本合同约定的甲方委托事项过程中，不负责公共场所或公共设施因非乙方责任给第三方造成的伤害后果，如因操作不当造成他人或自身出现意外安全事故的由乙方承担责任并赔偿损失。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4.本合同执行期间，如遇不可抗力，致使合同无法履行时，双方按有关法律规定及时协商处理。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5.双方可对本合同的条款进行补充，以书面形式签订补充协议，补充协议与本合同具有同等效力。</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6.本合同正本连同附件一式肆份，甲乙双方各执贰份，本合同的附件为合同的组成部分与合同具有同等法律效力。</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7.本合同在履行中如发生争议，双方应协商解决，协商不成时，可向北京市平谷区人民法院提起诉讼。</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8.合同期满，本合同自然终止。</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9.本合同自双方签字盖章之日起生效。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双方确认本协议所列地址为双方可接收到邮件的有效地址，如地址有变应及时通知对方，如因地址不准确或地址变更导致邮件不能送达（包括拒收、查无此人/址等），邮件发出时间视为送达时间。按照本协议地址送达的，邮件一旦被签收即视为送达，发送人无义务对签收人与合同一方的关系进行查证。</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（以下无正文）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附件：</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1.服务标准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2.安全生产承诺书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3.保密承诺书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（本页为签字页，无正文。）</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甲方：</w:t>
      </w:r>
      <w:r>
        <w:rPr>
          <w:rFonts w:hint="eastAsia" w:ascii="宋体" w:hAnsi="宋体" w:eastAsia="宋体" w:cs="Arial"/>
          <w:snapToGrid w:val="0"/>
          <w:color w:val="000000"/>
          <w:kern w:val="0"/>
          <w:sz w:val="28"/>
          <w:szCs w:val="28"/>
          <w:lang w:eastAsia="zh-CN"/>
        </w:rPr>
        <w:t xml:space="preserve">         </w:t>
      </w:r>
      <w:r>
        <w:rPr>
          <w:rFonts w:ascii="宋体" w:hAnsi="宋体" w:eastAsia="宋体" w:cs="Arial"/>
          <w:snapToGrid w:val="0"/>
          <w:color w:val="000000"/>
          <w:kern w:val="0"/>
          <w:sz w:val="28"/>
          <w:szCs w:val="28"/>
          <w:lang w:eastAsia="zh-CN"/>
        </w:rPr>
        <w:t>（签章）</w:t>
      </w:r>
      <w:r>
        <w:rPr>
          <w:rFonts w:hint="eastAsia" w:ascii="宋体" w:hAnsi="宋体" w:eastAsia="宋体" w:cs="Arial"/>
          <w:snapToGrid w:val="0"/>
          <w:color w:val="000000"/>
          <w:kern w:val="0"/>
          <w:sz w:val="28"/>
          <w:szCs w:val="28"/>
          <w:lang w:eastAsia="zh-CN"/>
        </w:rPr>
        <w:t xml:space="preserve">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280" w:firstLineChars="100"/>
        <w:jc w:val="left"/>
        <w:textAlignment w:val="baseline"/>
        <w:rPr>
          <w:rFonts w:ascii="宋体" w:hAnsi="宋体" w:eastAsia="宋体" w:cs="Arial"/>
          <w:snapToGrid w:val="0"/>
          <w:color w:val="000000"/>
          <w:kern w:val="0"/>
          <w:sz w:val="28"/>
          <w:szCs w:val="28"/>
          <w:lang w:eastAsia="zh-CN"/>
        </w:rPr>
      </w:pPr>
      <w:r>
        <w:rPr>
          <w:rFonts w:ascii="宋体" w:hAnsi="宋体" w:eastAsia="宋体" w:cs="Arial"/>
          <w:snapToGrid w:val="0"/>
          <w:color w:val="000000"/>
          <w:kern w:val="0"/>
          <w:sz w:val="28"/>
          <w:szCs w:val="28"/>
          <w:lang w:eastAsia="zh-CN"/>
        </w:rPr>
        <w:t xml:space="preserve">  </w:t>
      </w:r>
      <w:r>
        <w:rPr>
          <w:rFonts w:hint="eastAsia" w:ascii="宋体" w:hAnsi="宋体" w:eastAsia="宋体" w:cs="Arial"/>
          <w:snapToGrid w:val="0"/>
          <w:color w:val="000000"/>
          <w:kern w:val="0"/>
          <w:sz w:val="28"/>
          <w:szCs w:val="28"/>
          <w:lang w:eastAsia="zh-CN"/>
        </w:rPr>
        <w:t>法定代表人或授权委托人（签字）：</w:t>
      </w:r>
      <w:r>
        <w:rPr>
          <w:rFonts w:ascii="宋体" w:hAnsi="宋体" w:eastAsia="宋体" w:cs="Arial"/>
          <w:snapToGrid w:val="0"/>
          <w:color w:val="000000"/>
          <w:kern w:val="0"/>
          <w:sz w:val="28"/>
          <w:szCs w:val="28"/>
          <w:lang w:eastAsia="zh-CN"/>
        </w:rPr>
        <w:t xml:space="preserve">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1400" w:firstLineChars="5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年    月</w:t>
      </w:r>
      <w:r>
        <w:rPr>
          <w:rFonts w:ascii="宋体" w:hAnsi="宋体" w:eastAsia="宋体" w:cs="Arial"/>
          <w:snapToGrid w:val="0"/>
          <w:color w:val="000000"/>
          <w:kern w:val="0"/>
          <w:sz w:val="28"/>
          <w:szCs w:val="28"/>
          <w:lang w:eastAsia="zh-CN"/>
        </w:rPr>
        <w:t xml:space="preserve">    </w:t>
      </w:r>
      <w:r>
        <w:rPr>
          <w:rFonts w:hint="eastAsia" w:ascii="宋体" w:hAnsi="宋体" w:eastAsia="宋体" w:cs="Arial"/>
          <w:snapToGrid w:val="0"/>
          <w:color w:val="000000"/>
          <w:kern w:val="0"/>
          <w:sz w:val="28"/>
          <w:szCs w:val="28"/>
          <w:lang w:eastAsia="zh-CN"/>
        </w:rPr>
        <w:t>日</w:t>
      </w:r>
      <w:r>
        <w:rPr>
          <w:rFonts w:ascii="宋体" w:hAnsi="宋体" w:eastAsia="宋体" w:cs="Arial"/>
          <w:snapToGrid w:val="0"/>
          <w:color w:val="000000"/>
          <w:kern w:val="0"/>
          <w:sz w:val="28"/>
          <w:szCs w:val="28"/>
          <w:lang w:eastAsia="zh-CN"/>
        </w:rPr>
        <w:t xml:space="preserve">                 </w:t>
      </w:r>
      <w:r>
        <w:rPr>
          <w:rFonts w:hint="eastAsia" w:ascii="宋体" w:hAnsi="宋体" w:eastAsia="宋体" w:cs="Arial"/>
          <w:snapToGrid w:val="0"/>
          <w:color w:val="000000"/>
          <w:kern w:val="0"/>
          <w:sz w:val="28"/>
          <w:szCs w:val="28"/>
          <w:lang w:eastAsia="zh-CN"/>
        </w:rPr>
        <w:t xml:space="preserve">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 </w:t>
      </w:r>
      <w:r>
        <w:rPr>
          <w:rFonts w:ascii="宋体" w:hAnsi="宋体" w:eastAsia="宋体" w:cs="Arial"/>
          <w:snapToGrid w:val="0"/>
          <w:color w:val="000000"/>
          <w:kern w:val="0"/>
          <w:sz w:val="28"/>
          <w:szCs w:val="28"/>
          <w:lang w:eastAsia="zh-CN"/>
        </w:rPr>
        <w:t>乙方：</w:t>
      </w:r>
      <w:r>
        <w:rPr>
          <w:rFonts w:hint="eastAsia" w:ascii="宋体" w:hAnsi="宋体" w:eastAsia="宋体" w:cs="Arial"/>
          <w:snapToGrid w:val="0"/>
          <w:color w:val="000000"/>
          <w:kern w:val="0"/>
          <w:sz w:val="28"/>
          <w:szCs w:val="28"/>
          <w:lang w:eastAsia="zh-CN"/>
        </w:rPr>
        <w:t xml:space="preserve">       </w:t>
      </w:r>
      <w:r>
        <w:rPr>
          <w:rFonts w:ascii="宋体" w:hAnsi="宋体" w:eastAsia="宋体" w:cs="Arial"/>
          <w:snapToGrid w:val="0"/>
          <w:color w:val="000000"/>
          <w:kern w:val="0"/>
          <w:sz w:val="28"/>
          <w:szCs w:val="28"/>
          <w:lang w:eastAsia="zh-CN"/>
        </w:rPr>
        <w:t xml:space="preserve">（签章）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法定代表人或授权委托人（签字）：</w:t>
      </w:r>
      <w:r>
        <w:rPr>
          <w:rFonts w:ascii="宋体" w:hAnsi="宋体" w:eastAsia="宋体" w:cs="Arial"/>
          <w:snapToGrid w:val="0"/>
          <w:color w:val="000000"/>
          <w:kern w:val="0"/>
          <w:sz w:val="28"/>
          <w:szCs w:val="28"/>
          <w:lang w:eastAsia="zh-CN"/>
        </w:rPr>
        <w:t xml:space="preserve">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1400" w:firstLineChars="5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年    月 </w:t>
      </w:r>
      <w:r>
        <w:rPr>
          <w:rFonts w:ascii="宋体" w:hAnsi="宋体" w:eastAsia="宋体" w:cs="Arial"/>
          <w:snapToGrid w:val="0"/>
          <w:color w:val="000000"/>
          <w:kern w:val="0"/>
          <w:sz w:val="28"/>
          <w:szCs w:val="28"/>
          <w:lang w:eastAsia="zh-CN"/>
        </w:rPr>
        <w:t xml:space="preserve">  </w:t>
      </w:r>
      <w:r>
        <w:rPr>
          <w:rFonts w:hint="eastAsia" w:ascii="宋体" w:hAnsi="宋体" w:eastAsia="宋体" w:cs="Arial"/>
          <w:snapToGrid w:val="0"/>
          <w:color w:val="000000"/>
          <w:kern w:val="0"/>
          <w:sz w:val="28"/>
          <w:szCs w:val="28"/>
          <w:lang w:eastAsia="zh-CN"/>
        </w:rPr>
        <w:t>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964" w:firstLineChars="200"/>
        <w:jc w:val="center"/>
        <w:textAlignment w:val="baseline"/>
        <w:rPr>
          <w:rFonts w:ascii="宋体" w:hAnsi="宋体" w:eastAsia="宋体" w:cs="Arial"/>
          <w:b/>
          <w:bCs/>
          <w:snapToGrid w:val="0"/>
          <w:color w:val="000000"/>
          <w:kern w:val="0"/>
          <w:sz w:val="48"/>
          <w:szCs w:val="48"/>
          <w:lang w:eastAsia="zh-CN"/>
        </w:rPr>
      </w:pPr>
      <w:r>
        <w:rPr>
          <w:rFonts w:hint="eastAsia" w:ascii="宋体" w:hAnsi="宋体" w:eastAsia="宋体" w:cs="Arial"/>
          <w:b/>
          <w:bCs/>
          <w:snapToGrid w:val="0"/>
          <w:color w:val="000000"/>
          <w:kern w:val="0"/>
          <w:sz w:val="48"/>
          <w:szCs w:val="48"/>
          <w:lang w:eastAsia="zh-CN"/>
        </w:rPr>
        <w:t>北京市平谷区文物管理所</w:t>
      </w:r>
    </w:p>
    <w:p>
      <w:pPr>
        <w:keepNext w:val="0"/>
        <w:keepLines w:val="0"/>
        <w:pageBreakBefore w:val="0"/>
        <w:widowControl/>
        <w:kinsoku w:val="0"/>
        <w:wordWrap/>
        <w:overflowPunct/>
        <w:topLinePunct w:val="0"/>
        <w:autoSpaceDE w:val="0"/>
        <w:autoSpaceDN w:val="0"/>
        <w:bidi w:val="0"/>
        <w:adjustRightInd w:val="0"/>
        <w:snapToGrid w:val="0"/>
        <w:spacing w:line="620" w:lineRule="exact"/>
        <w:ind w:firstLine="964" w:firstLineChars="200"/>
        <w:jc w:val="center"/>
        <w:textAlignment w:val="baseline"/>
        <w:rPr>
          <w:rFonts w:ascii="宋体" w:hAnsi="宋体" w:eastAsia="宋体" w:cs="Arial"/>
          <w:b/>
          <w:bCs/>
          <w:snapToGrid w:val="0"/>
          <w:color w:val="000000"/>
          <w:kern w:val="0"/>
          <w:sz w:val="48"/>
          <w:szCs w:val="48"/>
          <w:lang w:eastAsia="zh-CN"/>
        </w:rPr>
      </w:pPr>
      <w:r>
        <w:rPr>
          <w:rFonts w:hint="eastAsia" w:ascii="宋体" w:hAnsi="宋体" w:eastAsia="宋体" w:cs="Arial"/>
          <w:b/>
          <w:bCs/>
          <w:snapToGrid w:val="0"/>
          <w:color w:val="000000"/>
          <w:kern w:val="0"/>
          <w:sz w:val="48"/>
          <w:szCs w:val="48"/>
          <w:lang w:eastAsia="zh-CN"/>
        </w:rPr>
        <w:t>物业服务标准</w:t>
      </w:r>
    </w:p>
    <w:p>
      <w:pPr>
        <w:widowControl/>
        <w:kinsoku w:val="0"/>
        <w:autoSpaceDE w:val="0"/>
        <w:autoSpaceDN w:val="0"/>
        <w:adjustRightInd w:val="0"/>
        <w:snapToGrid w:val="0"/>
        <w:spacing w:line="480" w:lineRule="exact"/>
        <w:ind w:firstLine="560" w:firstLineChars="200"/>
        <w:jc w:val="center"/>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（包括但不限于以下内容）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主要服务标准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树立“服务第一，客户至上”的思想，服务从细节入手，以人为本、主动热情；客户综合服务满意率97%以上；客户投诉响应率、解决率、处理满意率分别达到100%。</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1.物业服务从业人员管理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乙方从业人员应当符合以下要求：</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1.1.从业人员上岗前应进行政审，确保人员政治合格，品行端正，身体健康，无违法犯罪记录具备忠于职守、尽职尽责的职业道德和操守。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1.2.从业人员应接受过相关专业知识培训，其中主管级以上人员应具有 5 年以上同等岗位工作经历，且在其管理过程中未有不良记录。</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1.3.从业人员应当具备相应的物业管理服务知识；专业技术人员、操作人员应当取得相应专业技术证书或者职业技能资格证书，定期参加法律法规、安全知识、专业技能等培训。</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1.4.从业人员必须进行岗前培训，接受保密教育，签订保密协议书，培训合格后上岗，熟悉办公区的基本情况，能正确使用相关专用设备。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1.5.从业人员工作时需统一着装，在指定位置佩戴工牌，规范服务，语言文明，仪容仪表整洁，服务主动热情。</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2.物业服务档案管理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乙方档案管理应当符合以下要求：</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2.1.建立档案管理制度，设置专职档案管理员。</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2.2.保证所收集到的房屋及其共用设施设备等档案资料齐全，分类成册，管理完善，以便查阅。</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2.3.做好各类设施设备、安全生产工作的巡查、检查、运行记录表的存档。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2.4.建立健全办公区消防档案，档案应当详实，全面反映办公区消防工作的基本情况，附有必要的图标，并根据实际情况变化及时更新。消防档案应当包括但不限于办公区消防安全基本情况和消防安全管理情况。</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2.5.做好各类设施设备的检查、检测报告的存档工作，并按要求将需要展示在设备间的材料进行悬挂展示。</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2.6.做好从业人员人事档案存档、管理工作，包括但不限于以下内容：从业人员应聘信息登记表、身份证复印件、照片、职称/技能证书、体检报告、劳动合同、保密协议等。</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 xml:space="preserve">3.房屋、公用部位日常管理及维修养护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3.1.每周不少于2次对办公楼外立面及附着物进行巡视，外墙饰面、涂料等装饰有脱落、污渍的现象及时向甲方报告，根据甲方要求进行处理，做好相关记录并留档备查。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3.2.随时巡视楼顶及室内外各类灯具、牌匾、霓虹灯等，存在安全隐患要及时告知甲方和有关部门，并督促有关部门处理，避免造成安全事故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3.3.每季度检查1次梁、板、柱等结构构件，外观出现变形、开裂等现象时，应提示甲方申请房屋安全鉴定，同时采取必要的防护措施。按鉴定结果和甲方指令组织修缮。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3.4.对房屋共用部位进行日常管理和维修养护，做好检修记录和保养记录并留档。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3.5.根据房屋实际使用年限，适时检查房屋共用部位的使用状况。如需要维修，属于小修范围的，及时组织修复。属于大、中修范围或者需要更新改造的，要向甲方提出报告与建议，并协助实施。</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3.6.每日不低于2次对楼内外公共区域进行巡查，做好巡查记录，发现安全隐患或破损及时报告甲方，将巡查记录及破损报告进行存档。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3.7.发现公共部位玻璃、门窗等出现问题的应及时修复，确需专业人员维修的，及时向甲方报告并配合甲方指定的专业人员进行维修。内墙面、顶面粉刷层发现脱落或污损，及时向甲方汇报，双方协商进行修补、除污。步行梯、散水、地面、屋面等需要维修的，随时进行修补维修。(墙面、地面等小修指面积2平米以内，高度2米以下的非高空小面积作业)</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3.8.按照有关定，每年提示甲方进行1次房屋避雷、供电、消防等需要进行的专业检测。</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3.9.日常维修及时率达到100%，应急维修乙方从业人员5分钟到达现场进行处置，做到日常维修2小时内完毕，复杂维修当日内完成，对在时限内不能完成的，向甲方说明情况。</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 xml:space="preserve">4.设施设备日常运行及维护管理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4.1.对设施设备的总体要求：保证设施设备正常运行、无事故隐患；配备取得相应资格的专业技术人员，严格执行操作规程。</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4.2.建立值班制度，设立24小时值班制度，维修人员5分钟内到达突发事件现场进行处置。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4.3.建立设施设备管理制度，内容包括：设施设备运行记录、巡检纪录、维修保养纪录、岗位职责等，并制定相应的应急预案。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4.4.每日2次巡查设施设备机房，做好巡查记录并存档备查；每季度末对公用设施设备进行全面检查,开展隐患巡查排查和治理,确保公用设施设备运行良好。</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4.5.设备机房每半月清洁1次,机房整洁有序,室内无杂物；设有挡鼠板、鼠药盒或粘鼠板；在明显易取位置摆放有符合规定的消防器材以及专用工具,确保完好有效；设施设备标识标牌齐全，张贴或悬挂相关制度、证书、检验报告。</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4.6.元旦、清明、五一、端午、中秋、国庆、春节等重大节假日和重大活动前,对供水、供电、供气、供热、空调、排水、消防等各类设备设施及设备机房进行一次全面巡检工作，保证各类设施设备及其附属设施正常运转，做好巡检记录并存档备查。 </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 xml:space="preserve">5.供电系统日常运行及维护管理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5.1.建立配送电运行制度和低压配电室管理制度,制定突发事件应急处理程序和临时用电管理措施，规范管理低压配电室；根据工作需要做好限电、停电、给电等工作。</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5.2.配电室应建立24小时运行值班监控制度，保证高压配电室值班值守不少于2人，对公共区域的电气设备每周巡视3次,保证公共区域的照明、指示灯具线路、开关保持完好,确保用电安全，做好巡查记录并存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5.3.高低压配电室各种安全警示标志齐全，不齐全的，及时整改。保证配电操作工具整洁、齐全，便于取用。</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5.4.加强低压配电柜、</w:t>
      </w:r>
      <w:r>
        <w:rPr>
          <w:rFonts w:ascii="宋体" w:hAnsi="宋体" w:eastAsia="宋体" w:cs="Arial"/>
          <w:snapToGrid w:val="0"/>
          <w:color w:val="000000"/>
          <w:kern w:val="0"/>
          <w:sz w:val="28"/>
          <w:szCs w:val="28"/>
          <w:lang w:eastAsia="zh-CN"/>
        </w:rPr>
        <w:t>配电箱、控制柜以及线路的重点监测,每日巡查2次运行状况；每半年</w:t>
      </w:r>
      <w:r>
        <w:rPr>
          <w:rFonts w:hint="eastAsia" w:ascii="宋体" w:hAnsi="宋体" w:eastAsia="宋体" w:cs="Arial"/>
          <w:snapToGrid w:val="0"/>
          <w:color w:val="000000"/>
          <w:kern w:val="0"/>
          <w:sz w:val="28"/>
          <w:szCs w:val="28"/>
          <w:lang w:eastAsia="zh-CN"/>
        </w:rPr>
        <w:t>养护1次，养护内容包括紧固、检测、清扫；每季度不低于3次检查电气安全，做好巡查、养护检修记录并存档备查。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5.5.配电室、楼层配电间内应设置挡鼠、灭鼠等设施，穿墙线槽周边封堵严密，锁具完好，电缆进出线孔和开关位置标志准确。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5.6.应急照明故障,5分钟内到达并组织维修，一般故障半小时内修复,复杂故障5日内修复，复杂故障涉及供电部门维修处置的应当及时与供电部门联系,同时向甲方说明情况，并配合供电部门后期维修处置。</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6.给排水系统日常运行及维护管理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6.1.给排水系统管理的总体要求是系统畅通，管理措施规范合理，各种工作有记录。</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6.2.建立正常给排水制度，制定供水事故应急预案。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6.3.每日10：00、22:00对办公区内供水管路、用水设备、阀门进行巡查，做到供水管路、用水设备、阀门无跑、冒、滴、漏现象，发现问题及时处理，保证办公区供水正常，做好巡查记录并留档。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6.4.定期对排水管道进行疏通、清污，保证室内外排水系统通畅；每次降雨前后对主要排水口、管井进行检查，保障排水排污管道畅通。</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6.5.建立防汛预案，每年至少组织一次防汛演练，每年上汛前对雨、污水井、屋面雨水口等排水设施进行检查，组织清理、疏通。</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6.6.化粪池每月检查1次，根据检查情况提示甲方清掏，并做好清淘记录。</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6.7.给排水系统遇有故障，维修人员在5分钟内到达现场进行处置。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6.8.严格落实有限空间作业要求，确保作业安全。</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7.供热和外围燃气设施日常运行及维护管理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7.1.制定供热设备运行管理制度，每年供热开始前完成办公区内供热管路、取暖设备的年度检修保养工作，保障办公区供热需要。</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7.2.做好办公区内供热管线、室内散热设备的维护和管理，做到供热管线及散热设备无跑、冒、滴、漏现象，发现问题应第一时间进行处理，确需专业人员维修的，及时向甲方报告并配合甲方指定的专业人员进行维修，保证办公区正常供热。</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7.3.供热季节，应设置24小时值班制度，每2小时对供热设备、管路巡查1次，及时发现、处置各类故障隐患，做好设备运行记录并存档备查。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7.4.建立外围燃气管道以及燃气设施设备巡查制度、应急处置预案，每日巡查1次外围燃气管道以及燃气设施设备，做好巡查记录并存档备查。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7.5.当巡查中发现或接到燃气泄漏报告时，应第一时间通知甲方，会同甲方、供气等部门，采取有效措施进行处置；如泄漏未能受控，应当立即封锁现场，按照应急预案立即疏散周边人员，并配合有关部门进行处置。</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8.空调设施日常运行及维护管理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8.1.建立空调运行管理制度、应急处置预案和安全操作规程，保证空调系统安全运行和正常使用。</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8.2.提醒并配合甲方每年进行1次新风机、新风管道、风机盘管，空气滤网的清洗消毒。</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8.3.提醒并配合甲方做好空调机（水源热泵机组）的维保服务，并对维保单位的维保工作进行监督。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8.4.空调（水源热泵机组）出现运行故障后，乙方从业人员应5分钟内到达现场维修，凡涉及到需维保单位进行的维修，乙方应及时通知维保单位并告知甲方，做好相关记录并配合维保单位相关处置工作。</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8.5.制冷、供暖系统温度设定以及启用时间应符合节能要求，每月对能源消耗进行统计、分析。</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8.6.中央空调运行前对冷水机组、循环水泵、冷却塔、风机等附属设备进行全面检查，运行期间每2小时巡查1次设备运行情况；每月检查1次管道、阀门并进行除锈。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8.7.每年制冷、供暖系统运行前，对系统进行1次整体性维修养护，检验1次压力容器、仪表以及冷却塔噪音。</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8.8.供冷季节，应设置24小时值班制度，每2小时对供冷设备、管路巡查1次，及时发现、处置各类故障隐患，做好设备运行记录并存档备查。</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9.消防设施日常运行及维护管理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9.1.建立消防运行管理制度，做好办公区的消防安全管理等工作，消防控制室应建立24小时值班值守制度。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9.2.坚持贯彻“预防为主，防消结合”的方针，落实“谁主管，谁负责”的原则。</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9.3.根据办公区消防安全实际，制定总体和年度消防安全工作计划、消防安全制度和应急预案等机制等。</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9.4.消防、中控控制室每天24小时值班，每班不少于2人，且具备专业资格负责消防日常运行管理，值班电话保持24小时畅通状态，严格实行交接班制度，消防系统可随时启用；严格执行有关规定，每日巡查2次办公区内部重点区域的消防安全。及时发现问题并处置，做好巡查记录并留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9.5.每月检查2次消防设施，做好记录并留档，消防设施的维护管理应当符合《建筑消防设施的维护管理》（GB 25201）的要求，保证消防设施安全无故障运行。</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9.6.每周检查2次办公区内各处消火栓是否损坏，水带、水枪是否在位；各处消防管道、消防水箱、是否有跑、冒、滴、漏；防火门、安全出口指示灯、消防疏散图、应急照明是否完好；安全通道是否通畅。</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9.7.每月检查1次消防应急照明及指示灯牌、烟感探测器是否正常。</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9.8.每月检查2次手提式、推车式干粉灭火器压力是否正常、是否在年检有效内；室内外消火栓、室内自动喷淋系统管道水压是否正常。</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9.9.乙方接到火情、险情及其他异常情况后，立即安排人员到场，根据现场情况按预案进行处置；遇不能处置的情况应及时拨打报警电话，同时告知甲方主管负责人，协助做好事件的处置工作，做好相关工作记录并存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9.10.每半年组织一次消防演练，制定演练及疏散应急预案，做好相关工作记录并存档备查。</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10.电梯日常运行管理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10.1.建立电梯日常运行管理制度，应急措施与救援预案，配合甲方做好电梯日常运行管理。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w:t>
      </w:r>
      <w:r>
        <w:rPr>
          <w:rFonts w:ascii="宋体" w:hAnsi="宋体" w:eastAsia="宋体" w:cs="Arial"/>
          <w:snapToGrid w:val="0"/>
          <w:color w:val="000000"/>
          <w:kern w:val="0"/>
          <w:sz w:val="28"/>
          <w:szCs w:val="28"/>
          <w:lang w:eastAsia="zh-CN"/>
        </w:rPr>
        <w:t>.2</w:t>
      </w:r>
      <w:r>
        <w:rPr>
          <w:rFonts w:hint="eastAsia" w:ascii="宋体" w:hAnsi="宋体" w:eastAsia="宋体" w:cs="Arial"/>
          <w:snapToGrid w:val="0"/>
          <w:color w:val="000000"/>
          <w:kern w:val="0"/>
          <w:sz w:val="28"/>
          <w:szCs w:val="28"/>
          <w:lang w:eastAsia="zh-CN"/>
        </w:rPr>
        <w:t>.</w:t>
      </w:r>
      <w:r>
        <w:rPr>
          <w:rFonts w:ascii="宋体" w:hAnsi="宋体" w:eastAsia="宋体" w:cs="Arial"/>
          <w:snapToGrid w:val="0"/>
          <w:color w:val="000000"/>
          <w:kern w:val="0"/>
          <w:sz w:val="28"/>
          <w:szCs w:val="28"/>
          <w:lang w:eastAsia="zh-CN"/>
        </w:rPr>
        <w:t>提醒并配合</w:t>
      </w:r>
      <w:r>
        <w:rPr>
          <w:rFonts w:hint="eastAsia" w:ascii="宋体" w:hAnsi="宋体" w:eastAsia="宋体" w:cs="Arial"/>
          <w:snapToGrid w:val="0"/>
          <w:color w:val="000000"/>
          <w:kern w:val="0"/>
          <w:sz w:val="28"/>
          <w:szCs w:val="28"/>
          <w:lang w:eastAsia="zh-CN"/>
        </w:rPr>
        <w:t>甲方</w:t>
      </w:r>
      <w:r>
        <w:rPr>
          <w:rFonts w:ascii="宋体" w:hAnsi="宋体" w:eastAsia="宋体" w:cs="Arial"/>
          <w:snapToGrid w:val="0"/>
          <w:color w:val="000000"/>
          <w:kern w:val="0"/>
          <w:sz w:val="28"/>
          <w:szCs w:val="28"/>
          <w:lang w:eastAsia="zh-CN"/>
        </w:rPr>
        <w:t>电梯按规定进行维修保养及定期检验，并对电梯维保单位的电梯维保工作进行监督</w:t>
      </w:r>
      <w:r>
        <w:rPr>
          <w:rFonts w:hint="eastAsia" w:ascii="宋体" w:hAnsi="宋体" w:eastAsia="宋体" w:cs="Arial"/>
          <w:snapToGrid w:val="0"/>
          <w:color w:val="000000"/>
          <w:kern w:val="0"/>
          <w:sz w:val="28"/>
          <w:szCs w:val="28"/>
          <w:lang w:eastAsia="zh-CN"/>
        </w:rPr>
        <w:t>并做好相应记录</w:t>
      </w:r>
      <w:r>
        <w:rPr>
          <w:rFonts w:ascii="宋体" w:hAnsi="宋体" w:eastAsia="宋体" w:cs="Arial"/>
          <w:snapToGrid w:val="0"/>
          <w:color w:val="000000"/>
          <w:kern w:val="0"/>
          <w:sz w:val="28"/>
          <w:szCs w:val="28"/>
          <w:lang w:eastAsia="zh-CN"/>
        </w:rPr>
        <w:t>。</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w:t>
      </w:r>
      <w:r>
        <w:rPr>
          <w:rFonts w:ascii="宋体" w:hAnsi="宋体" w:eastAsia="宋体" w:cs="Arial"/>
          <w:snapToGrid w:val="0"/>
          <w:color w:val="000000"/>
          <w:kern w:val="0"/>
          <w:sz w:val="28"/>
          <w:szCs w:val="28"/>
          <w:lang w:eastAsia="zh-CN"/>
        </w:rPr>
        <w:t>.3</w:t>
      </w:r>
      <w:r>
        <w:rPr>
          <w:rFonts w:hint="eastAsia" w:ascii="宋体" w:hAnsi="宋体" w:eastAsia="宋体" w:cs="Arial"/>
          <w:snapToGrid w:val="0"/>
          <w:color w:val="000000"/>
          <w:kern w:val="0"/>
          <w:sz w:val="28"/>
          <w:szCs w:val="28"/>
          <w:lang w:eastAsia="zh-CN"/>
        </w:rPr>
        <w:t>.</w:t>
      </w:r>
      <w:r>
        <w:rPr>
          <w:rFonts w:ascii="宋体" w:hAnsi="宋体" w:eastAsia="宋体" w:cs="Arial"/>
          <w:snapToGrid w:val="0"/>
          <w:color w:val="000000"/>
          <w:kern w:val="0"/>
          <w:sz w:val="28"/>
          <w:szCs w:val="28"/>
          <w:lang w:eastAsia="zh-CN"/>
        </w:rPr>
        <w:t>电梯发生故障，</w:t>
      </w:r>
      <w:r>
        <w:rPr>
          <w:rFonts w:hint="eastAsia" w:ascii="宋体" w:hAnsi="宋体" w:eastAsia="宋体" w:cs="Arial"/>
          <w:snapToGrid w:val="0"/>
          <w:color w:val="000000"/>
          <w:kern w:val="0"/>
          <w:sz w:val="28"/>
          <w:szCs w:val="28"/>
          <w:lang w:eastAsia="zh-CN"/>
        </w:rPr>
        <w:t>乙方</w:t>
      </w:r>
      <w:r>
        <w:rPr>
          <w:rFonts w:ascii="宋体" w:hAnsi="宋体" w:eastAsia="宋体" w:cs="Arial"/>
          <w:snapToGrid w:val="0"/>
          <w:color w:val="000000"/>
          <w:kern w:val="0"/>
          <w:sz w:val="28"/>
          <w:szCs w:val="28"/>
          <w:lang w:eastAsia="zh-CN"/>
        </w:rPr>
        <w:t>应立即通知</w:t>
      </w:r>
      <w:r>
        <w:rPr>
          <w:rFonts w:hint="eastAsia" w:ascii="宋体" w:hAnsi="宋体" w:eastAsia="宋体" w:cs="Arial"/>
          <w:snapToGrid w:val="0"/>
          <w:color w:val="000000"/>
          <w:kern w:val="0"/>
          <w:sz w:val="28"/>
          <w:szCs w:val="28"/>
          <w:lang w:eastAsia="zh-CN"/>
        </w:rPr>
        <w:t>甲方</w:t>
      </w:r>
      <w:r>
        <w:rPr>
          <w:rFonts w:ascii="宋体" w:hAnsi="宋体" w:eastAsia="宋体" w:cs="Arial"/>
          <w:snapToGrid w:val="0"/>
          <w:color w:val="000000"/>
          <w:kern w:val="0"/>
          <w:sz w:val="28"/>
          <w:szCs w:val="28"/>
          <w:lang w:eastAsia="zh-CN"/>
        </w:rPr>
        <w:t>物业管理工作负责人同时通知电梯维保单位，并督促维保单位尽快对故障进行修复。</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w:t>
      </w:r>
      <w:r>
        <w:rPr>
          <w:rFonts w:ascii="宋体" w:hAnsi="宋体" w:eastAsia="宋体" w:cs="Arial"/>
          <w:snapToGrid w:val="0"/>
          <w:color w:val="000000"/>
          <w:kern w:val="0"/>
          <w:sz w:val="28"/>
          <w:szCs w:val="28"/>
          <w:lang w:eastAsia="zh-CN"/>
        </w:rPr>
        <w:t>.4</w:t>
      </w:r>
      <w:r>
        <w:rPr>
          <w:rFonts w:hint="eastAsia" w:ascii="宋体" w:hAnsi="宋体" w:eastAsia="宋体" w:cs="Arial"/>
          <w:snapToGrid w:val="0"/>
          <w:color w:val="000000"/>
          <w:kern w:val="0"/>
          <w:sz w:val="28"/>
          <w:szCs w:val="28"/>
          <w:lang w:eastAsia="zh-CN"/>
        </w:rPr>
        <w:t>.</w:t>
      </w:r>
      <w:r>
        <w:rPr>
          <w:rFonts w:ascii="宋体" w:hAnsi="宋体" w:eastAsia="宋体" w:cs="Arial"/>
          <w:snapToGrid w:val="0"/>
          <w:color w:val="000000"/>
          <w:kern w:val="0"/>
          <w:sz w:val="28"/>
          <w:szCs w:val="28"/>
          <w:lang w:eastAsia="zh-CN"/>
        </w:rPr>
        <w:t>发生电梯困人或其他重大事故，</w:t>
      </w:r>
      <w:r>
        <w:rPr>
          <w:rFonts w:hint="eastAsia" w:ascii="宋体" w:hAnsi="宋体" w:eastAsia="宋体" w:cs="Arial"/>
          <w:snapToGrid w:val="0"/>
          <w:color w:val="000000"/>
          <w:kern w:val="0"/>
          <w:sz w:val="28"/>
          <w:szCs w:val="28"/>
          <w:lang w:eastAsia="zh-CN"/>
        </w:rPr>
        <w:t>乙方</w:t>
      </w:r>
      <w:r>
        <w:rPr>
          <w:rFonts w:ascii="宋体" w:hAnsi="宋体" w:eastAsia="宋体" w:cs="Arial"/>
          <w:snapToGrid w:val="0"/>
          <w:color w:val="000000"/>
          <w:kern w:val="0"/>
          <w:sz w:val="28"/>
          <w:szCs w:val="28"/>
          <w:lang w:eastAsia="zh-CN"/>
        </w:rPr>
        <w:t>应立即通知</w:t>
      </w:r>
      <w:r>
        <w:rPr>
          <w:rFonts w:hint="eastAsia" w:ascii="宋体" w:hAnsi="宋体" w:eastAsia="宋体" w:cs="Arial"/>
          <w:snapToGrid w:val="0"/>
          <w:color w:val="000000"/>
          <w:kern w:val="0"/>
          <w:sz w:val="28"/>
          <w:szCs w:val="28"/>
          <w:lang w:eastAsia="zh-CN"/>
        </w:rPr>
        <w:t>甲方</w:t>
      </w:r>
      <w:r>
        <w:rPr>
          <w:rFonts w:ascii="宋体" w:hAnsi="宋体" w:eastAsia="宋体" w:cs="Arial"/>
          <w:snapToGrid w:val="0"/>
          <w:color w:val="000000"/>
          <w:kern w:val="0"/>
          <w:sz w:val="28"/>
          <w:szCs w:val="28"/>
          <w:lang w:eastAsia="zh-CN"/>
        </w:rPr>
        <w:t>物业管理工作负责人同时通知电梯维保单位，协助维保单位及专业人员开展应急处理和救助工作，做好相关工作记录并留档。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10.有限空间日常运行及维护管理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10.1.建立健全有限空间运行管理制度、应急处置预案和安全操作规程，杜绝有限空间事故发生。</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10.2.严格按照《中华人民共和国安全生产法》、《北京市生产经营单位安全生产主体责任规定》、《有限空间作业安全技术规范》（DB11/T 852-2019）等法律法规和甲方要求开展有限空间作业。</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10.3.完善有限空间基础台账，加强对有限空间作业人员的安全教育培训，提升有限空间作业管理人员的应急处置能力,坚决杜绝安全事故发生。</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10.4.有限空间从业人员必须具备有限空间作业资格，必须配备有限空间作业个人防护用品及救援设备。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10.5.有限空间日常管理应设置专职管理员，明确维护管理的任务和内容，做到责任明确。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10.6.健全有限空间警示标识，提高日常运行、从业人员的风险辨识和防范能力。</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11.绿化美化日常管理及维护</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11.1.定期巡查室外绿地浇灌设施、绿植景观以及硬质景观，保持完好无损。</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11.2.有计划地对绿地、绿植、花卉、乔灌木进行浇灌、施肥、灌溉水下渗充足均匀，无明显旱涝情况发生，保证绿地、绿植、花卉、乔灌木长势良好。</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11.3.根据病虫害发生规律，植物生长季每月至少检查3次病虫害情况并根据检查结果防治病虫害。</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11.4.定期对绿地、绿植、花卉、乔灌木进行整形修剪，乔木每年冬季修剪1次，灌木每年生长季节和冬季修剪1次，绿篱每年生长季节每月修剪1次，绿地春夏季每月修剪1次、秋冬季每季1次，重点绿地在重大活动、重大节日适时整治，保持美观。</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11.5.暴风、雨、雪等恶劣天气来临前后，安排专人巡查，及时加固、支撑、修剪高大乔木，排除安全隐患。</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12.应急事件管理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12.1.依据《中华人民共和国安全生产法》、《突发公共卫生事件应急条例》、《北京市突发公共事件总体应急预案》等工作要求，制定安全生产规章制度、办公区卫生防疫、突发公共事件应急预案。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12.2.每年应当组织不少于1次的突发公共事件应急演练，当发生公共卫生事件、自然灾害、事故灾难或者社会安全事件时，启动应急预案，全力配合有关部门单位采取相应措施，保障机关人身安全和财产损失。</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12.3.定期开展安全生产培训，建立安全生产责任制，明确各级岗位的安全职责；定期巡视、检查和维护各类基础建设和设备设施，保证基础建设和设施设备正常使用，保持消防通道畅通，对易燃易爆品等重点部位设设置专人专区管理，并在明显位置设置安全警示标志；楼梯出入口、电梯口等醒目位置有安全疏散示意图和指示牌；消火栓和灭火器箱张贴消防设施器材使用方法。</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12.4.合理安排巡查路线，排除不安全因素，防止被盗事件的发生，发现违规行为及时制止，发现异常情况立即通知相关部门并现场采取必要措施。</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12.5.收到消防控制室、视频监控室巡查指令后，巡查人员应及时到达并采取相应措施。</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13.标识标牌日常维护管理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13.1.标识标牌应当符合《标志用公共信息图形符号 第 1 部分： 通用符号》（GB/T 10001.1）的要求，消防与安全标识应当符合 《安全标志及其使用导则》（GB 2894）、《消防安全标志 第 1 部分：标志》（GB 13495.1）的要求。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13.2.定期检查指引标识、楼层标识、各功能区标识、 安全警示标识、温馨提醒标识、供配电系统模拟示意图、电气开 关状态标识、给排水管道阀门、管线流向标识、交通标识等， 确保标识标牌规范清晰，安装稳固。</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14.保洁服务日常运行管理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14.1.做好保洁片区巡查工作，除保洁服务主责以外，重点还要对设施设备有无破损、残缺、安全隐患等其他问题及时发现并联系相关部门进行处置；保洁服务满意率达到95%以上。</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14.2.室内区域</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14.2.1.地面应保持干净无水渍，大理石、花岗石等材质每6个月养护1次，进出口地垫干净整洁完好。</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14.2.2.通道门框、窗框、窗台、金属件表面光亮无积尘、无污渍，门窗玻璃干净无尘，透光性好；天花板无蛛网，指示牌干净无污渍，指示醒目。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14.2.3.楼梯每日清洁</w:t>
      </w:r>
      <w:r>
        <w:rPr>
          <w:rFonts w:hint="eastAsia" w:ascii="宋体" w:hAnsi="宋体" w:eastAsia="宋体" w:cs="Arial"/>
          <w:snapToGrid w:val="0"/>
          <w:color w:val="000000"/>
          <w:kern w:val="0"/>
          <w:sz w:val="28"/>
          <w:szCs w:val="28"/>
          <w:lang w:val="en-US" w:eastAsia="zh-CN"/>
        </w:rPr>
        <w:t>1</w:t>
      </w:r>
      <w:r>
        <w:rPr>
          <w:rFonts w:hint="eastAsia" w:ascii="宋体" w:hAnsi="宋体" w:eastAsia="宋体" w:cs="Arial"/>
          <w:snapToGrid w:val="0"/>
          <w:color w:val="000000"/>
          <w:kern w:val="0"/>
          <w:sz w:val="28"/>
          <w:szCs w:val="28"/>
          <w:lang w:eastAsia="zh-CN"/>
        </w:rPr>
        <w:t>次，楼梯梯步、扶手栏杆、防火门以及闭门器表面干净无尘无污渍，防滑条（缝）干净，墙面、天花板无积尘、蛛网。</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14.2.4.卫生间每日不限次循环保洁，保证地面干净，无污渍、无积水；洁具洁净，无污渍，洗手台干净无污垢；换气扇表面无积尘，保持空气流通，无明显异味。</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14.2.5.开水间以及清洁工具间每日不限次循环保洁，地面干净，无杂物、无积水，各种物品表面干净无渍，清洁工具摆放整齐有序。</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14.2.6.每日根据会议室使用频次对地面进行清理，未使用的会议室应每日清洁1次地面，保证地面干净无污渍、无积尘、纸屑等。</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14.2.7.每日根据需求对展厅地面、展柜外立面进行清理，达到开馆要求；每季度根据需求对展柜内立面进行清理，保障开馆质量。</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14.3.室外区域</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14.3.1.室外场所每日清扫道路地面2次，保持干净，无杂物、无积水、无污迹。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14.3.2.室外设施每半月清洁1次，各种指示牌、路标、标志、宣传栏表面干净，无积尘、无水印。</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14.3.3.办公楼平台、屋顶，每月清扫1次，雨、雪季期间，每半月清扫1次。</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14.4.消杀</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14.4.1.每日8：00-10：00、14：00-16：00进行2次通风。</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14.4.2.采取综合措施消灭老鼠、蟑螂，配合有关部门进行有害生物的预防和控制，按要求投放灭杀药物，投药点位应有明显提醒标识。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14.4.3.室内外环境每周进行一次彻底卫生消杀，严控室内外蚊蝇孳生，达到基本无蚊蝇。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14.5.垃圾桶站管理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14.5.1.正确摆放垃圾分类桶（箱），张贴垃圾分类标识，自觉进行垃圾分类宣传，桶（箱）身表面干净无污渍，地面无垃圾。</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14.5.2.室内垃圾桶（箱）摆放整齐，桶（箱）内放置垃圾收容袋，桶（箱）周围无散落垃圾、无异味。</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14.6.垃圾中转区域</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14.6.1.垃圾中转区域地面每日清洁2次，垃圾袋装，日产日清，做好四类垃圾的收集及消纳台账。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14.6.2.垃圾中转区域摆放的垃圾桶（箱）身表面干净无污渍，无明显异味。</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14.7.垃圾分类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14.7.1.按照垃圾分类要求进行分类，做好四分类垃圾收缴，详细清晰记录消纳等台账。</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14.7.2.配合有关部门做好办公区垃圾分类宣传工作。</w:t>
      </w: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hint="eastAsia" w:ascii="宋体" w:hAnsi="宋体" w:eastAsia="宋体" w:cs="Arial"/>
          <w:snapToGrid w:val="0"/>
          <w:color w:val="000000"/>
          <w:kern w:val="0"/>
          <w:sz w:val="28"/>
          <w:szCs w:val="28"/>
          <w:lang w:eastAsia="zh-CN"/>
        </w:rPr>
      </w:pPr>
    </w:p>
    <w:p>
      <w:pPr>
        <w:spacing w:line="480" w:lineRule="exact"/>
        <w:ind w:firstLine="560" w:firstLineChars="200"/>
        <w:rPr>
          <w:rFonts w:ascii="宋体" w:hAnsi="宋体" w:eastAsia="宋体"/>
          <w:sz w:val="28"/>
          <w:szCs w:val="28"/>
          <w:lang w:eastAsia="zh-CN"/>
        </w:rPr>
        <w:sectPr>
          <w:footerReference r:id="rId5" w:type="default"/>
          <w:pgSz w:w="11905" w:h="16838"/>
          <w:pgMar w:top="1689" w:right="1440" w:bottom="1689" w:left="1440" w:header="851" w:footer="992" w:gutter="0"/>
          <w:pgNumType w:fmt="decimal"/>
          <w:cols w:space="0" w:num="1"/>
          <w:docGrid w:linePitch="312" w:charSpace="0"/>
        </w:sectPr>
      </w:pPr>
      <w:r>
        <w:rPr>
          <w:rFonts w:hint="eastAsia" w:ascii="宋体" w:hAnsi="宋体" w:eastAsia="宋体" w:cs="Arial"/>
          <w:snapToGrid w:val="0"/>
          <w:color w:val="000000"/>
          <w:kern w:val="0"/>
          <w:sz w:val="28"/>
          <w:szCs w:val="28"/>
          <w:lang w:eastAsia="zh-CN"/>
        </w:rPr>
        <w:t>承诺单位：   （盖章 ）             承诺日期：  年  月  日</w:t>
      </w:r>
    </w:p>
    <w:p>
      <w:pPr>
        <w:widowControl/>
        <w:kinsoku w:val="0"/>
        <w:autoSpaceDE w:val="0"/>
        <w:autoSpaceDN w:val="0"/>
        <w:adjustRightInd w:val="0"/>
        <w:snapToGrid w:val="0"/>
        <w:spacing w:line="480" w:lineRule="exact"/>
        <w:ind w:firstLine="883" w:firstLineChars="200"/>
        <w:jc w:val="center"/>
        <w:textAlignment w:val="baseline"/>
        <w:rPr>
          <w:rFonts w:hint="eastAsia" w:ascii="宋体" w:hAnsi="宋体" w:eastAsia="宋体" w:cs="Arial"/>
          <w:b/>
          <w:bCs/>
          <w:snapToGrid w:val="0"/>
          <w:color w:val="000000"/>
          <w:kern w:val="0"/>
          <w:sz w:val="44"/>
          <w:szCs w:val="44"/>
          <w:lang w:val="en-US" w:eastAsia="zh-CN"/>
        </w:rPr>
      </w:pPr>
      <w:r>
        <w:rPr>
          <w:rFonts w:hint="eastAsia" w:ascii="宋体" w:hAnsi="宋体" w:eastAsia="宋体" w:cs="Arial"/>
          <w:b/>
          <w:bCs/>
          <w:snapToGrid w:val="0"/>
          <w:color w:val="000000"/>
          <w:kern w:val="0"/>
          <w:sz w:val="44"/>
          <w:szCs w:val="44"/>
          <w:lang w:val="en-US" w:eastAsia="zh-CN"/>
        </w:rPr>
        <w:t>北京市平谷区文物管理所</w:t>
      </w:r>
    </w:p>
    <w:p>
      <w:pPr>
        <w:widowControl/>
        <w:kinsoku w:val="0"/>
        <w:autoSpaceDE w:val="0"/>
        <w:autoSpaceDN w:val="0"/>
        <w:adjustRightInd w:val="0"/>
        <w:snapToGrid w:val="0"/>
        <w:spacing w:line="480" w:lineRule="exact"/>
        <w:ind w:firstLine="883" w:firstLineChars="200"/>
        <w:jc w:val="center"/>
        <w:textAlignment w:val="baseline"/>
        <w:rPr>
          <w:rFonts w:ascii="宋体" w:hAnsi="宋体" w:eastAsia="宋体" w:cs="Arial"/>
          <w:b/>
          <w:bCs/>
          <w:snapToGrid w:val="0"/>
          <w:color w:val="000000"/>
          <w:kern w:val="0"/>
          <w:sz w:val="44"/>
          <w:szCs w:val="44"/>
          <w:lang w:eastAsia="zh-CN"/>
        </w:rPr>
      </w:pPr>
      <w:r>
        <w:rPr>
          <w:rFonts w:hint="eastAsia" w:ascii="宋体" w:hAnsi="宋体" w:eastAsia="宋体" w:cs="Arial"/>
          <w:b/>
          <w:bCs/>
          <w:snapToGrid w:val="0"/>
          <w:color w:val="000000"/>
          <w:kern w:val="0"/>
          <w:sz w:val="44"/>
          <w:szCs w:val="44"/>
          <w:lang w:eastAsia="zh-CN"/>
        </w:rPr>
        <w:t>安全生产承诺书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根据《中华人民共和国安全生产法》、《中华人民共和国消防法》、《北京市安全生产条例》、《北京市生产经营单位安全生产主体责任规定》、《有限空间作业安全技术规范》（DB11/T 852-2019）等法律、法规和相关文件精神，为进一步加强甲方所辖的体育运动接待中心办公区(以下简称服务区域)的安全生产管理，保证人民群众的生命和财产安全，参照《体育运动接待中心办公区物业保洁服务合同》内容，制定此承诺书。</w:t>
      </w:r>
    </w:p>
    <w:p>
      <w:pPr>
        <w:widowControl/>
        <w:kinsoku w:val="0"/>
        <w:autoSpaceDE w:val="0"/>
        <w:autoSpaceDN w:val="0"/>
        <w:adjustRightInd w:val="0"/>
        <w:snapToGrid w:val="0"/>
        <w:spacing w:line="480" w:lineRule="exact"/>
        <w:ind w:firstLine="562" w:firstLineChars="200"/>
        <w:jc w:val="left"/>
        <w:textAlignment w:val="baseline"/>
        <w:rPr>
          <w:rFonts w:ascii="宋体" w:hAnsi="宋体" w:eastAsia="宋体" w:cs="Arial"/>
          <w:b/>
          <w:bCs/>
          <w:snapToGrid w:val="0"/>
          <w:color w:val="000000"/>
          <w:kern w:val="0"/>
          <w:sz w:val="28"/>
          <w:szCs w:val="28"/>
          <w:lang w:eastAsia="zh-CN"/>
        </w:rPr>
      </w:pPr>
      <w:r>
        <w:rPr>
          <w:rFonts w:hint="eastAsia" w:ascii="宋体" w:hAnsi="宋体" w:eastAsia="宋体" w:cs="Arial"/>
          <w:b/>
          <w:bCs/>
          <w:snapToGrid w:val="0"/>
          <w:color w:val="000000"/>
          <w:kern w:val="0"/>
          <w:sz w:val="28"/>
          <w:szCs w:val="28"/>
          <w:lang w:eastAsia="zh-CN"/>
        </w:rPr>
        <w:t>一、乙方承诺</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包括但不限于以下内容：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1.全面落实《北京市生产经营单位主任责任规定》等法律法规，落实安全生产主体责任，制定相应安全生产管理制度及应急预案，并留档备查。</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2.严格遵守安全工作的法律、法规和规定，具备相应的安全生产资质和条件，并服从甲方对其安全工作的统一协调、检查和督促。</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3.自觉遵守各项安全管理制度和规定；要加强从业人员的安全教育和劳动纪律、治安教育。</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4.派出的项目负责人为安全生产主要负责人，负责服务区域内的安全生产、消防安全、设备设施的日常安全管理工作，每日巡查，发现事故隐患或不安全因素应立即报告甲方并配合进行整改。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5.定期开展安全隐患排查工作，属于服务范围内的隐患立即组织落实整改工作，超出服务范围的问题上报甲方，配合做好整改工作；隐患排查工作及整改结果应建立安全隐患管理档案。</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6.从业人员必须具备相应的资质，持证上岗，并按规定进行年检和复审。</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7.不得随意变更场地的用途和破坏建筑物的结构，在铺设、安装水、电、气、热等线路或管道时，须符合有关技术标准和安全生产、消防安全规定的要求。</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9.提供服务的办公区因过失发生安全生产、消防安全、设备设施等安全事故时，必须及时向甲方报告并承当相应责任。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10.从业人员严禁在禁烟区域内吸烟；严禁在宿舍、仓库、办公场所及服务区域内违章使用明火及大功率电器，不违规停放电动车及充电。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11.在提供服务的办公区严禁生产、储存有毒、有害、易燃、易爆及化学危险品等，如确需使用的须经甲方及安监、消防、环保、公安等部门批准，方可使用，并制订严格的管理制度，实行定点存放，专人负责。</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 xml:space="preserve">12.必须保持所服务办公区的各出入口畅通，严禁封闭、堵塞、占用疏散通道和安全出入口。 </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13.因工作失误及设备操作不当造成人员伤亡事故，由自行负责，甲方不负连带责任。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14.按照《有限空间作业安全技术规范》（DB11/T852—2019）及甲方有关要求开展有限空间作业，从业人员必须具备有限空间作业资格，配备有限空间作业个人防护用品及救援设备。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15.针对项目的实际情况，制定应急预案、组织培训演练，并对演练效果进行总结和评估；出现突发事件，按照应急预案的要求立即采取控制措施，并配合使用单位、甲方、政府部门开展救援。</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spacing w:line="480" w:lineRule="exact"/>
        <w:ind w:firstLine="560" w:firstLineChars="200"/>
        <w:rPr>
          <w:rFonts w:ascii="宋体" w:hAnsi="宋体" w:eastAsia="宋体"/>
          <w:sz w:val="28"/>
          <w:szCs w:val="28"/>
          <w:lang w:eastAsia="zh-CN"/>
        </w:rPr>
        <w:sectPr>
          <w:footerReference r:id="rId6" w:type="default"/>
          <w:pgSz w:w="11905" w:h="16838"/>
          <w:pgMar w:top="1689" w:right="1440" w:bottom="1689" w:left="1440" w:header="851" w:footer="992" w:gutter="0"/>
          <w:pgNumType w:fmt="decimal"/>
          <w:cols w:space="0" w:num="1"/>
          <w:docGrid w:linePitch="312" w:charSpace="0"/>
        </w:sectPr>
      </w:pPr>
      <w:r>
        <w:rPr>
          <w:rFonts w:hint="eastAsia" w:ascii="宋体" w:hAnsi="宋体" w:eastAsia="宋体" w:cs="Arial"/>
          <w:snapToGrid w:val="0"/>
          <w:color w:val="000000"/>
          <w:kern w:val="0"/>
          <w:sz w:val="28"/>
          <w:szCs w:val="28"/>
          <w:lang w:eastAsia="zh-CN"/>
        </w:rPr>
        <w:t>承诺单位：   （盖章 ）             承诺日期：  年  月  日</w:t>
      </w:r>
    </w:p>
    <w:p>
      <w:pPr>
        <w:widowControl/>
        <w:kinsoku w:val="0"/>
        <w:autoSpaceDE w:val="0"/>
        <w:autoSpaceDN w:val="0"/>
        <w:adjustRightInd w:val="0"/>
        <w:snapToGrid w:val="0"/>
        <w:spacing w:line="480" w:lineRule="exact"/>
        <w:ind w:firstLine="883" w:firstLineChars="200"/>
        <w:jc w:val="center"/>
        <w:textAlignment w:val="baseline"/>
        <w:rPr>
          <w:rFonts w:hint="eastAsia" w:ascii="宋体" w:hAnsi="宋体" w:eastAsia="宋体" w:cs="Arial"/>
          <w:b/>
          <w:bCs/>
          <w:snapToGrid w:val="0"/>
          <w:color w:val="000000"/>
          <w:kern w:val="0"/>
          <w:sz w:val="44"/>
          <w:szCs w:val="44"/>
          <w:lang w:val="en-US" w:eastAsia="zh-CN"/>
        </w:rPr>
      </w:pPr>
      <w:r>
        <w:rPr>
          <w:rFonts w:hint="eastAsia" w:ascii="宋体" w:hAnsi="宋体" w:eastAsia="宋体" w:cs="Arial"/>
          <w:b/>
          <w:bCs/>
          <w:snapToGrid w:val="0"/>
          <w:color w:val="000000"/>
          <w:kern w:val="0"/>
          <w:sz w:val="44"/>
          <w:szCs w:val="44"/>
          <w:lang w:val="en-US" w:eastAsia="zh-CN"/>
        </w:rPr>
        <w:t>北京市平谷区文物管理所</w:t>
      </w:r>
    </w:p>
    <w:p>
      <w:pPr>
        <w:widowControl/>
        <w:kinsoku w:val="0"/>
        <w:autoSpaceDE w:val="0"/>
        <w:autoSpaceDN w:val="0"/>
        <w:adjustRightInd w:val="0"/>
        <w:snapToGrid w:val="0"/>
        <w:spacing w:line="480" w:lineRule="exact"/>
        <w:ind w:firstLine="883" w:firstLineChars="200"/>
        <w:jc w:val="center"/>
        <w:textAlignment w:val="baseline"/>
        <w:rPr>
          <w:rFonts w:ascii="宋体" w:hAnsi="宋体" w:eastAsia="宋体" w:cs="Arial"/>
          <w:b/>
          <w:bCs/>
          <w:snapToGrid w:val="0"/>
          <w:color w:val="000000"/>
          <w:kern w:val="0"/>
          <w:sz w:val="44"/>
          <w:szCs w:val="44"/>
          <w:lang w:eastAsia="zh-CN"/>
        </w:rPr>
      </w:pPr>
      <w:r>
        <w:rPr>
          <w:rFonts w:hint="eastAsia" w:ascii="宋体" w:hAnsi="宋体" w:eastAsia="宋体" w:cs="Arial"/>
          <w:b/>
          <w:bCs/>
          <w:snapToGrid w:val="0"/>
          <w:color w:val="000000"/>
          <w:kern w:val="0"/>
          <w:sz w:val="44"/>
          <w:szCs w:val="44"/>
          <w:lang w:eastAsia="zh-CN"/>
        </w:rPr>
        <w:t>保密承诺书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鉴于乙方在为甲方提供服务期间，乙方工作人员有可能知悉甲方或甲方指派乙方作业处的第三方的秘密、机密，为明确的保密义务，参照《服务合同》内容，制定此承诺书：</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一、保密的内容和范围</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保密信息指：</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1.本协议的一方（甲方）或甲方指派的服务单位以书面、口头或电子文件的形式存在的任何信息或数据，包括但不限于信函、传真、备忘、纪要、协议、报告、方案、电子邮件、其他纸质或电子材料、信息等。</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2.甲方以口头方式披露并以书面方式确认为保密信息的任何信息或数据。</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3.甲方或服务单位以书面、口头方式产生的任何没有对社会公众进行公布的信息。</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4.乙方在服务过程中知悉的服务单位的公务信息及领导个人信息。</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上述保密信息不包括任何已出版的或其它形式处于公有领域的信息。</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二、乙方承诺</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包括但不限于以下内容：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1.约束其有可能接触保密信息的员工遵守保密义务，提高员工政治思想觉悟，加强保密工作意识。</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2.要求员工严格遵守服务单位的保密制度和相关规定，保证保密措施逐一落实。</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3.员工在进入服务单位领导办公室进行保洁工作时，不得携带手机或其他拍照、录像及通信设备；保洁过程中不得随意翻动、丢弃、处置任何物品、文件、材料及书籍，如有前述行为必须经过领导本人同意。</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4.员工因工作保管、接触的有关单位的文件应妥善保存，未经许可不等超出工作范围使用。</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5.员工不得复制/公开/传输服务单位的文件、信函、正本、副本、磁盘、光盘等。</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6.员工不得刺探、窥视服务单位的保密信息。</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7.员工对于提供服务过程中通过正常途径知悉的服务单位保密信息，应当尽到保密义务，不得对外传播。</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8.员工对于甲方各类领导批示、收发公文、会议纪要等文件以及储存载体，未经甲方许可不得拍照、复制、上传，不得泄露给特定或不特定第三方。</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9.员工因本人工作失职或管理不善，违反承诺发生泄密事件，应负相关法律责任。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三、违约责任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1.乙方所有从业人员均应履行保密义务，因从业人员工作失职或管理不善，违反承诺发生泄密事件，根据违约情况按照年度服务金额的20%-50%向甲方支付违约金，造成其他恶劣影响的，应负相关法律责任。</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2.若乙方利用甲方的信息和载体从事违法活动，由此造成的所有法律责任由承担。</w:t>
      </w: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p>
    <w:p>
      <w:pPr>
        <w:widowControl/>
        <w:kinsoku w:val="0"/>
        <w:autoSpaceDE w:val="0"/>
        <w:autoSpaceDN w:val="0"/>
        <w:adjustRightInd w:val="0"/>
        <w:snapToGrid w:val="0"/>
        <w:spacing w:line="480" w:lineRule="exact"/>
        <w:ind w:firstLine="560" w:firstLineChars="200"/>
        <w:jc w:val="left"/>
        <w:textAlignment w:val="baseline"/>
        <w:rPr>
          <w:rFonts w:ascii="宋体" w:hAnsi="宋体" w:eastAsia="宋体" w:cs="Arial"/>
          <w:snapToGrid w:val="0"/>
          <w:color w:val="000000"/>
          <w:kern w:val="0"/>
          <w:sz w:val="28"/>
          <w:szCs w:val="28"/>
          <w:lang w:eastAsia="zh-CN"/>
        </w:rPr>
      </w:pPr>
      <w:r>
        <w:rPr>
          <w:rFonts w:hint="eastAsia" w:ascii="宋体" w:hAnsi="宋体" w:eastAsia="宋体" w:cs="Arial"/>
          <w:snapToGrid w:val="0"/>
          <w:color w:val="000000"/>
          <w:kern w:val="0"/>
          <w:sz w:val="28"/>
          <w:szCs w:val="28"/>
          <w:lang w:eastAsia="zh-CN"/>
        </w:rPr>
        <w:t>承诺单位：   （盖章 ）              承诺日期：   年  月  日</w:t>
      </w: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widowControl/>
        <w:kinsoku w:val="0"/>
        <w:autoSpaceDE w:val="0"/>
        <w:autoSpaceDN w:val="0"/>
        <w:adjustRightInd w:val="0"/>
        <w:snapToGrid w:val="0"/>
        <w:jc w:val="center"/>
        <w:textAlignment w:val="baseline"/>
        <w:rPr>
          <w:rFonts w:hint="eastAsia" w:ascii="Arial" w:hAnsi="Arial" w:eastAsia="Arial" w:cs="Arial"/>
          <w:b/>
          <w:bCs/>
          <w:snapToGrid w:val="0"/>
          <w:color w:val="000000"/>
          <w:kern w:val="0"/>
          <w:sz w:val="48"/>
          <w:szCs w:val="56"/>
          <w:lang w:val="en-US" w:eastAsia="zh-CN"/>
        </w:rPr>
      </w:pPr>
      <w:r>
        <w:rPr>
          <w:rFonts w:hint="eastAsia" w:ascii="Arial" w:hAnsi="Arial" w:eastAsia="Arial" w:cs="Arial"/>
          <w:b/>
          <w:bCs/>
          <w:snapToGrid w:val="0"/>
          <w:color w:val="000000"/>
          <w:kern w:val="0"/>
          <w:sz w:val="48"/>
          <w:szCs w:val="56"/>
          <w:lang w:val="en-US" w:eastAsia="zh-CN"/>
        </w:rPr>
        <w:t>博物馆物业管理服务项目</w:t>
      </w:r>
    </w:p>
    <w:p>
      <w:pPr>
        <w:widowControl/>
        <w:kinsoku w:val="0"/>
        <w:autoSpaceDE w:val="0"/>
        <w:autoSpaceDN w:val="0"/>
        <w:adjustRightInd w:val="0"/>
        <w:snapToGrid w:val="0"/>
        <w:jc w:val="center"/>
        <w:textAlignment w:val="baseline"/>
        <w:rPr>
          <w:rFonts w:hint="eastAsia" w:ascii="Arial" w:hAnsi="Arial" w:eastAsia="Arial" w:cs="Arial"/>
          <w:b/>
          <w:bCs/>
          <w:snapToGrid w:val="0"/>
          <w:color w:val="000000"/>
          <w:kern w:val="0"/>
          <w:sz w:val="48"/>
          <w:szCs w:val="56"/>
          <w:lang w:val="en-US" w:eastAsia="zh-CN"/>
        </w:rPr>
      </w:pPr>
      <w:r>
        <w:rPr>
          <w:rFonts w:hint="eastAsia" w:ascii="Arial" w:hAnsi="Arial" w:eastAsia="Arial" w:cs="Arial"/>
          <w:b/>
          <w:bCs/>
          <w:snapToGrid w:val="0"/>
          <w:color w:val="000000"/>
          <w:kern w:val="0"/>
          <w:sz w:val="48"/>
          <w:szCs w:val="56"/>
          <w:lang w:val="en-US" w:eastAsia="zh-CN"/>
        </w:rPr>
        <w:t>物业管理服务合同</w:t>
      </w:r>
    </w:p>
    <w:p>
      <w:pPr>
        <w:widowControl/>
        <w:kinsoku w:val="0"/>
        <w:autoSpaceDE w:val="0"/>
        <w:autoSpaceDN w:val="0"/>
        <w:adjustRightInd w:val="0"/>
        <w:snapToGrid w:val="0"/>
        <w:jc w:val="center"/>
        <w:textAlignment w:val="baseline"/>
        <w:rPr>
          <w:rFonts w:hint="eastAsia" w:ascii="Arial" w:hAnsi="Arial" w:eastAsia="Arial" w:cs="Arial"/>
          <w:b/>
          <w:bCs/>
          <w:snapToGrid w:val="0"/>
          <w:color w:val="000000"/>
          <w:kern w:val="0"/>
          <w:sz w:val="48"/>
          <w:szCs w:val="56"/>
          <w:lang w:val="en-US" w:eastAsia="zh-CN"/>
        </w:rPr>
      </w:pPr>
      <w:r>
        <w:rPr>
          <w:rFonts w:hint="eastAsia" w:ascii="Arial" w:hAnsi="Arial" w:eastAsia="Arial" w:cs="Arial"/>
          <w:b/>
          <w:bCs/>
          <w:snapToGrid w:val="0"/>
          <w:color w:val="000000"/>
          <w:kern w:val="0"/>
          <w:sz w:val="48"/>
          <w:szCs w:val="56"/>
          <w:lang w:val="en-US" w:eastAsia="zh-CN"/>
        </w:rPr>
        <w:t>安全生产协议</w:t>
      </w:r>
    </w:p>
    <w:p>
      <w:pPr>
        <w:widowControl/>
        <w:kinsoku w:val="0"/>
        <w:autoSpaceDE w:val="0"/>
        <w:autoSpaceDN w:val="0"/>
        <w:adjustRightInd w:val="0"/>
        <w:snapToGrid w:val="0"/>
        <w:jc w:val="center"/>
        <w:textAlignment w:val="baseline"/>
        <w:rPr>
          <w:rFonts w:hint="eastAsia" w:ascii="Arial" w:hAnsi="Arial" w:eastAsia="Arial" w:cs="Arial"/>
          <w:snapToGrid w:val="0"/>
          <w:color w:val="000000"/>
          <w:kern w:val="0"/>
          <w:szCs w:val="21"/>
          <w:lang w:val="en-US" w:eastAsia="zh-CN"/>
        </w:rPr>
      </w:pPr>
    </w:p>
    <w:p>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rPr>
      </w:pPr>
    </w:p>
    <w:p>
      <w:pPr>
        <w:widowControl/>
        <w:kinsoku w:val="0"/>
        <w:autoSpaceDE w:val="0"/>
        <w:autoSpaceDN w:val="0"/>
        <w:adjustRightInd w:val="0"/>
        <w:snapToGrid w:val="0"/>
        <w:spacing w:line="360" w:lineRule="auto"/>
        <w:ind w:firstLine="560" w:firstLineChars="20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本协议作为博物馆物业管理服务项目物业管理服务合同的补充协议，约定甲乙双方各自生产管理职责。</w:t>
      </w:r>
    </w:p>
    <w:p>
      <w:pPr>
        <w:widowControl w:val="0"/>
        <w:kinsoku w:val="0"/>
        <w:autoSpaceDE w:val="0"/>
        <w:autoSpaceDN w:val="0"/>
        <w:adjustRightInd w:val="0"/>
        <w:snapToGrid w:val="0"/>
        <w:spacing w:line="500" w:lineRule="exact"/>
        <w:jc w:val="left"/>
        <w:textAlignment w:val="baseline"/>
        <w:rPr>
          <w:rFonts w:hint="eastAsia" w:ascii="仿宋" w:hAnsi="仿宋" w:eastAsia="仿宋" w:cs="仿宋"/>
          <w:b/>
          <w:bCs/>
          <w:snapToGrid w:val="0"/>
          <w:color w:val="000000"/>
          <w:kern w:val="0"/>
          <w:sz w:val="28"/>
          <w:szCs w:val="28"/>
          <w:lang w:val="en-US" w:eastAsia="zh-CN"/>
        </w:rPr>
      </w:pPr>
      <w:r>
        <w:rPr>
          <w:rFonts w:hint="eastAsia" w:ascii="仿宋" w:hAnsi="仿宋" w:eastAsia="仿宋" w:cs="仿宋"/>
          <w:b/>
          <w:bCs/>
          <w:snapToGrid w:val="0"/>
          <w:color w:val="000000"/>
          <w:kern w:val="0"/>
          <w:sz w:val="28"/>
          <w:szCs w:val="28"/>
          <w:lang w:val="en-US" w:eastAsia="zh-CN"/>
        </w:rPr>
        <w:t>一、甲方安全生产职责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default" w:ascii="仿宋" w:hAnsi="仿宋" w:eastAsia="仿宋" w:cs="仿宋"/>
          <w:snapToGrid w:val="0"/>
          <w:color w:val="000000"/>
          <w:kern w:val="0"/>
          <w:sz w:val="28"/>
          <w:szCs w:val="28"/>
          <w:lang w:val="en-US" w:eastAsia="zh-CN"/>
        </w:rPr>
        <w:t>1. </w:t>
      </w:r>
      <w:r>
        <w:rPr>
          <w:rFonts w:hint="eastAsia" w:ascii="仿宋" w:hAnsi="仿宋" w:eastAsia="仿宋" w:cs="仿宋"/>
          <w:snapToGrid w:val="0"/>
          <w:color w:val="000000"/>
          <w:kern w:val="0"/>
          <w:sz w:val="28"/>
          <w:szCs w:val="28"/>
          <w:lang w:val="en-US" w:eastAsia="zh-CN"/>
        </w:rPr>
        <w:t>定期对乙方履行合同情况进行监督和检查，对乙方工作提出意见或建议。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2、</w:t>
      </w:r>
      <w:r>
        <w:rPr>
          <w:rFonts w:hint="default" w:ascii="仿宋" w:hAnsi="仿宋" w:eastAsia="仿宋" w:cs="仿宋"/>
          <w:snapToGrid w:val="0"/>
          <w:color w:val="000000"/>
          <w:kern w:val="0"/>
          <w:sz w:val="28"/>
          <w:szCs w:val="28"/>
          <w:lang w:val="en-US" w:eastAsia="zh-CN"/>
        </w:rPr>
        <w:t>向</w:t>
      </w:r>
      <w:r>
        <w:rPr>
          <w:rFonts w:hint="eastAsia" w:ascii="仿宋" w:hAnsi="仿宋" w:eastAsia="仿宋" w:cs="仿宋"/>
          <w:snapToGrid w:val="0"/>
          <w:color w:val="000000"/>
          <w:kern w:val="0"/>
          <w:sz w:val="28"/>
          <w:szCs w:val="28"/>
          <w:lang w:val="en-US" w:eastAsia="zh-CN"/>
        </w:rPr>
        <w:t>乙方</w:t>
      </w:r>
      <w:r>
        <w:rPr>
          <w:rFonts w:hint="default" w:ascii="仿宋" w:hAnsi="仿宋" w:eastAsia="仿宋" w:cs="仿宋"/>
          <w:snapToGrid w:val="0"/>
          <w:color w:val="000000"/>
          <w:kern w:val="0"/>
          <w:sz w:val="28"/>
          <w:szCs w:val="28"/>
          <w:lang w:val="en-US" w:eastAsia="zh-CN"/>
        </w:rPr>
        <w:t>提供建筑物的消防系统布局、电梯等特种设备的技术参数和安全注意事项、地下管网分布</w:t>
      </w:r>
      <w:r>
        <w:rPr>
          <w:rFonts w:hint="eastAsia" w:ascii="仿宋" w:hAnsi="仿宋" w:eastAsia="仿宋" w:cs="仿宋"/>
          <w:snapToGrid w:val="0"/>
          <w:color w:val="000000"/>
          <w:kern w:val="0"/>
          <w:sz w:val="28"/>
          <w:szCs w:val="28"/>
          <w:lang w:val="en-US" w:eastAsia="zh-CN"/>
        </w:rPr>
        <w:t>等</w:t>
      </w:r>
      <w:r>
        <w:rPr>
          <w:rFonts w:hint="default" w:ascii="仿宋" w:hAnsi="仿宋" w:eastAsia="仿宋" w:cs="仿宋"/>
          <w:snapToGrid w:val="0"/>
          <w:color w:val="000000"/>
          <w:kern w:val="0"/>
          <w:sz w:val="28"/>
          <w:szCs w:val="28"/>
          <w:lang w:val="en-US" w:eastAsia="zh-CN"/>
        </w:rPr>
        <w:t>信息。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3、定期对乙方进行</w:t>
      </w:r>
      <w:r>
        <w:rPr>
          <w:rFonts w:hint="default" w:ascii="仿宋" w:hAnsi="仿宋" w:eastAsia="仿宋" w:cs="仿宋"/>
          <w:snapToGrid w:val="0"/>
          <w:color w:val="000000"/>
          <w:kern w:val="0"/>
          <w:sz w:val="28"/>
          <w:szCs w:val="28"/>
          <w:lang w:val="en-US" w:eastAsia="zh-CN"/>
        </w:rPr>
        <w:t>安全生产工作日常监督，检查内容包括外包物业人员的安全资质</w:t>
      </w:r>
      <w:r>
        <w:rPr>
          <w:rFonts w:hint="eastAsia" w:ascii="仿宋" w:hAnsi="仿宋" w:eastAsia="仿宋" w:cs="仿宋"/>
          <w:snapToGrid w:val="0"/>
          <w:color w:val="000000"/>
          <w:kern w:val="0"/>
          <w:sz w:val="28"/>
          <w:szCs w:val="28"/>
          <w:lang w:val="en-US" w:eastAsia="zh-CN"/>
        </w:rPr>
        <w:t>、</w:t>
      </w:r>
      <w:r>
        <w:rPr>
          <w:rFonts w:hint="default" w:ascii="仿宋" w:hAnsi="仿宋" w:eastAsia="仿宋" w:cs="仿宋"/>
          <w:snapToGrid w:val="0"/>
          <w:color w:val="000000"/>
          <w:kern w:val="0"/>
          <w:sz w:val="28"/>
          <w:szCs w:val="28"/>
          <w:lang w:val="en-US" w:eastAsia="zh-CN"/>
        </w:rPr>
        <w:t>设备的安全性和作业流程是否符合安全规范。对于检查中发现的安全问题，甲方有权要求</w:t>
      </w:r>
      <w:r>
        <w:rPr>
          <w:rFonts w:hint="eastAsia" w:ascii="仿宋" w:hAnsi="仿宋" w:eastAsia="仿宋" w:cs="仿宋"/>
          <w:snapToGrid w:val="0"/>
          <w:color w:val="000000"/>
          <w:kern w:val="0"/>
          <w:sz w:val="28"/>
          <w:szCs w:val="28"/>
          <w:lang w:val="en-US" w:eastAsia="zh-CN"/>
        </w:rPr>
        <w:t>乙方</w:t>
      </w:r>
      <w:r>
        <w:rPr>
          <w:rFonts w:hint="default" w:ascii="仿宋" w:hAnsi="仿宋" w:eastAsia="仿宋" w:cs="仿宋"/>
          <w:snapToGrid w:val="0"/>
          <w:color w:val="000000"/>
          <w:kern w:val="0"/>
          <w:sz w:val="28"/>
          <w:szCs w:val="28"/>
          <w:lang w:val="en-US" w:eastAsia="zh-CN"/>
        </w:rPr>
        <w:t>限期整改，并对整改情况进行复查。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4、为乙方提供安全培训</w:t>
      </w:r>
      <w:r>
        <w:rPr>
          <w:rFonts w:hint="default" w:ascii="仿宋" w:hAnsi="仿宋" w:eastAsia="仿宋" w:cs="仿宋"/>
          <w:snapToGrid w:val="0"/>
          <w:color w:val="000000"/>
          <w:kern w:val="0"/>
          <w:sz w:val="28"/>
          <w:szCs w:val="28"/>
          <w:lang w:val="en-US" w:eastAsia="zh-CN"/>
        </w:rPr>
        <w:t>场地</w:t>
      </w:r>
      <w:r>
        <w:rPr>
          <w:rFonts w:hint="eastAsia" w:ascii="仿宋" w:hAnsi="仿宋" w:eastAsia="仿宋" w:cs="仿宋"/>
          <w:snapToGrid w:val="0"/>
          <w:color w:val="000000"/>
          <w:kern w:val="0"/>
          <w:sz w:val="28"/>
          <w:szCs w:val="28"/>
          <w:lang w:val="en-US" w:eastAsia="zh-CN"/>
        </w:rPr>
        <w:t>，并要求乙方</w:t>
      </w:r>
      <w:r>
        <w:rPr>
          <w:rFonts w:hint="default" w:ascii="仿宋" w:hAnsi="仿宋" w:eastAsia="仿宋" w:cs="仿宋"/>
          <w:snapToGrid w:val="0"/>
          <w:color w:val="000000"/>
          <w:kern w:val="0"/>
          <w:sz w:val="28"/>
          <w:szCs w:val="28"/>
          <w:lang w:val="en-US" w:eastAsia="zh-CN"/>
        </w:rPr>
        <w:t>定期对其员工进行安全培训，包括新员工入职安全培训和老员工的定期安全知识更新培训，并将培训记录提交甲方备案。</w:t>
      </w:r>
      <w:r>
        <w:rPr>
          <w:rFonts w:hint="eastAsia" w:ascii="仿宋" w:hAnsi="仿宋" w:eastAsia="仿宋" w:cs="仿宋"/>
          <w:snapToGrid w:val="0"/>
          <w:color w:val="000000"/>
          <w:kern w:val="0"/>
          <w:sz w:val="28"/>
          <w:szCs w:val="28"/>
          <w:lang w:val="en-US" w:eastAsia="zh-CN"/>
        </w:rPr>
        <w:t>乙方职工在工作中造成的意外以及人身伤亡由乙方负责。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w:t>
      </w:r>
      <w:r>
        <w:rPr>
          <w:rFonts w:hint="default" w:ascii="仿宋" w:hAnsi="仿宋" w:eastAsia="仿宋" w:cs="仿宋"/>
          <w:snapToGrid w:val="0"/>
          <w:color w:val="000000"/>
          <w:kern w:val="0"/>
          <w:sz w:val="28"/>
          <w:szCs w:val="28"/>
          <w:lang w:val="en-US" w:eastAsia="zh-CN"/>
        </w:rPr>
        <w:t> </w:t>
      </w:r>
      <w:r>
        <w:rPr>
          <w:rFonts w:hint="eastAsia" w:ascii="仿宋" w:hAnsi="仿宋" w:eastAsia="仿宋" w:cs="仿宋"/>
          <w:snapToGrid w:val="0"/>
          <w:color w:val="000000"/>
          <w:kern w:val="0"/>
          <w:sz w:val="28"/>
          <w:szCs w:val="28"/>
          <w:lang w:val="en-US" w:eastAsia="zh-CN"/>
        </w:rPr>
        <w:t>火灾、地震等紧急情况或制定应急预案，物业人员在紧急情况或应急预案中承担警示、</w:t>
      </w:r>
      <w:r>
        <w:rPr>
          <w:rFonts w:hint="default" w:ascii="仿宋" w:hAnsi="仿宋" w:eastAsia="仿宋" w:cs="仿宋"/>
          <w:snapToGrid w:val="0"/>
          <w:color w:val="000000"/>
          <w:kern w:val="0"/>
          <w:sz w:val="28"/>
          <w:szCs w:val="28"/>
          <w:lang w:val="en-US" w:eastAsia="zh-CN"/>
        </w:rPr>
        <w:t>疏散</w:t>
      </w:r>
      <w:r>
        <w:rPr>
          <w:rFonts w:hint="eastAsia" w:ascii="仿宋" w:hAnsi="仿宋" w:eastAsia="仿宋" w:cs="仿宋"/>
          <w:snapToGrid w:val="0"/>
          <w:color w:val="000000"/>
          <w:kern w:val="0"/>
          <w:sz w:val="28"/>
          <w:szCs w:val="28"/>
          <w:lang w:val="en-US" w:eastAsia="zh-CN"/>
        </w:rPr>
        <w:t>、</w:t>
      </w:r>
      <w:r>
        <w:rPr>
          <w:rFonts w:hint="default" w:ascii="仿宋" w:hAnsi="仿宋" w:eastAsia="仿宋" w:cs="仿宋"/>
          <w:snapToGrid w:val="0"/>
          <w:color w:val="000000"/>
          <w:kern w:val="0"/>
          <w:sz w:val="28"/>
          <w:szCs w:val="28"/>
          <w:lang w:val="en-US" w:eastAsia="zh-CN"/>
        </w:rPr>
        <w:t>引导任务。</w:t>
      </w:r>
      <w:r>
        <w:rPr>
          <w:rFonts w:hint="eastAsia" w:ascii="仿宋" w:hAnsi="仿宋" w:eastAsia="仿宋" w:cs="仿宋"/>
          <w:snapToGrid w:val="0"/>
          <w:color w:val="000000"/>
          <w:kern w:val="0"/>
          <w:sz w:val="28"/>
          <w:szCs w:val="28"/>
          <w:lang w:val="en-US" w:eastAsia="zh-CN"/>
        </w:rPr>
        <w:t>与乙方</w:t>
      </w:r>
      <w:r>
        <w:rPr>
          <w:rFonts w:hint="default" w:ascii="仿宋" w:hAnsi="仿宋" w:eastAsia="仿宋" w:cs="仿宋"/>
          <w:snapToGrid w:val="0"/>
          <w:color w:val="000000"/>
          <w:kern w:val="0"/>
          <w:sz w:val="28"/>
          <w:szCs w:val="28"/>
          <w:lang w:val="en-US" w:eastAsia="zh-CN"/>
        </w:rPr>
        <w:t>共同组织应急演练，提高双方在应急事件中的协同应对能力，确保在紧急情况下能够有效保障人员生命和财产安全。</w:t>
      </w:r>
    </w:p>
    <w:p>
      <w:pPr>
        <w:widowControl w:val="0"/>
        <w:kinsoku w:val="0"/>
        <w:autoSpaceDE w:val="0"/>
        <w:autoSpaceDN w:val="0"/>
        <w:adjustRightInd w:val="0"/>
        <w:snapToGrid w:val="0"/>
        <w:spacing w:line="500" w:lineRule="exact"/>
        <w:jc w:val="left"/>
        <w:textAlignment w:val="baseline"/>
        <w:rPr>
          <w:rFonts w:hint="eastAsia" w:ascii="仿宋" w:hAnsi="仿宋" w:eastAsia="仿宋" w:cs="仿宋"/>
          <w:b/>
          <w:bCs/>
          <w:snapToGrid w:val="0"/>
          <w:color w:val="000000"/>
          <w:kern w:val="0"/>
          <w:sz w:val="28"/>
          <w:szCs w:val="28"/>
          <w:lang w:val="en-US" w:eastAsia="zh-CN"/>
        </w:rPr>
      </w:pPr>
      <w:r>
        <w:rPr>
          <w:rFonts w:hint="eastAsia" w:ascii="仿宋" w:hAnsi="仿宋" w:eastAsia="仿宋" w:cs="仿宋"/>
          <w:b/>
          <w:bCs/>
          <w:snapToGrid w:val="0"/>
          <w:color w:val="000000"/>
          <w:kern w:val="0"/>
          <w:sz w:val="28"/>
          <w:szCs w:val="28"/>
          <w:lang w:val="en-US" w:eastAsia="zh-CN"/>
        </w:rPr>
        <w:t>二、乙方安全生产职责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1、建立健全自身的安全生产规章制度（如保洁服务安全操作流程、中控室安全操作流程等），包括但不限于安全操作流程、安全检查制度、隐患排查治理制度等。并严格执行相关岗位安全制度，确保所有员工熟悉并遵守，定期组织员工学习安全制度，对违反制度的行为进行严肃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2、招聘环节严格把关，确保录用员工无不良犯罪记录等安全隐患因素。对新员工进行全面的安全入职培训，包括基本安全知识、服务区域的安全特点、工作岗位的安全操作规范等，定期开展安全教育培训，更新员工的安全知识和技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3、为员工配备必要的劳动防护用品，如维修人员的绝缘手套、防砸鞋，保洁人员的口罩、手套等，并监督员工正确使用。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4、 使用的设施设备，如清洁设备、维修工具等，进行定期维护和检查。建立设备台账，记录设备的购买日期、维护情况、下次维护时间等信息。确保设施设备符合安全标准，对于存在安全隐患的设备，及时进行维修或更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5、在日常物业服务作业中，如保洁、绿化、维修等，严格按照安全操作规程进行。在进行维修作业时，必须佩戴好安全防护工具，开展作业前对作业环境进行安全评估，识别潜在安全风险，在确保人身安全情况下开展维修作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6、制定安全隐患排查计划，定期对甲方服务区域进行全面的安全隐患排查。包括检查消防通道是否畅通、消防设施是否完好有效、电气设备是否存在老化等问题。对排查出的安全隐患进行及时、有效的治理。对于较小的隐患，如楼道照明损坏，及时安排维修人员修复；对于较大的隐患，如建筑物外立面有脱落风险，制定详细的整改方案报甲方，待甲方同意后按计划实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7、 制定各类应急预案，如火灾应急预案、自然灾害应急预案、公共卫生事件应急预案等。明确在应急情况下员工的职责分工、应急物资的调配使用等内容，定期组织甲方一同参加应急演练，检验应急预案的可行性，提高职工的应急反应能力和协同作战能力。同时，根据演练情况对应急预案进行优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 xml:space="preserve">甲方：       （签章）           乙方：       （签章）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 xml:space="preserve">法定代表人（签字）：            法定代表人（签字）：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年    月    日                  年    月   日</w:t>
      </w:r>
    </w:p>
    <w:p>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pPr>
        <w:pStyle w:val="2"/>
      </w:pPr>
      <w:r>
        <w:br w:type="page"/>
      </w:r>
    </w:p>
    <w:p>
      <w:pPr>
        <w:spacing w:line="360" w:lineRule="auto"/>
        <w:jc w:val="center"/>
        <w:outlineLvl w:val="0"/>
        <w:rPr>
          <w:rFonts w:ascii="宋体" w:hAnsi="宋体"/>
          <w:b/>
          <w:color w:val="000000"/>
          <w:sz w:val="36"/>
          <w:szCs w:val="36"/>
        </w:rPr>
      </w:pPr>
      <w:bookmarkStart w:id="679" w:name="_Toc226018956"/>
      <w:r>
        <w:rPr>
          <w:rFonts w:ascii="宋体" w:hAnsi="宋体"/>
          <w:b/>
          <w:color w:val="000000"/>
          <w:sz w:val="36"/>
          <w:szCs w:val="36"/>
        </w:rPr>
        <w:t>第六章   响应文件格式</w:t>
      </w:r>
      <w:bookmarkEnd w:id="679"/>
    </w:p>
    <w:p>
      <w:pPr>
        <w:widowControl/>
        <w:spacing w:line="360" w:lineRule="auto"/>
        <w:jc w:val="left"/>
        <w:rPr>
          <w:rFonts w:ascii="宋体" w:hAnsi="宋体"/>
          <w:b/>
          <w:color w:val="000000"/>
          <w:sz w:val="24"/>
        </w:rPr>
      </w:pPr>
    </w:p>
    <w:p>
      <w:pPr>
        <w:tabs>
          <w:tab w:val="left" w:pos="900"/>
          <w:tab w:val="left" w:pos="1980"/>
        </w:tabs>
        <w:snapToGrid w:val="0"/>
        <w:spacing w:line="360" w:lineRule="auto"/>
        <w:ind w:left="142"/>
        <w:rPr>
          <w:rFonts w:ascii="宋体" w:hAnsi="宋体"/>
          <w:b/>
          <w:color w:val="000000"/>
          <w:kern w:val="0"/>
          <w:sz w:val="24"/>
        </w:rPr>
      </w:pPr>
      <w:r>
        <w:rPr>
          <w:rFonts w:hint="eastAsia" w:ascii="宋体" w:hAnsi="宋体"/>
          <w:b/>
          <w:color w:val="000000"/>
          <w:kern w:val="0"/>
          <w:sz w:val="24"/>
        </w:rPr>
        <w:t>供应商编制文件须知</w:t>
      </w:r>
    </w:p>
    <w:p>
      <w:pPr>
        <w:tabs>
          <w:tab w:val="left" w:pos="900"/>
          <w:tab w:val="left" w:pos="1980"/>
        </w:tabs>
        <w:snapToGrid w:val="0"/>
        <w:spacing w:line="360" w:lineRule="auto"/>
        <w:ind w:left="142"/>
        <w:rPr>
          <w:rFonts w:ascii="宋体" w:hAnsi="宋体"/>
          <w:color w:val="000000"/>
          <w:sz w:val="24"/>
        </w:rPr>
      </w:pPr>
      <w:r>
        <w:rPr>
          <w:rFonts w:ascii="宋体" w:hAnsi="宋体"/>
          <w:color w:val="000000"/>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olor w:val="000000"/>
          <w:kern w:val="0"/>
          <w:sz w:val="24"/>
        </w:rPr>
      </w:pPr>
      <w:r>
        <w:rPr>
          <w:rFonts w:ascii="宋体" w:hAnsi="宋体"/>
          <w:color w:val="000000"/>
          <w:sz w:val="24"/>
        </w:rPr>
        <w:t>2、</w:t>
      </w:r>
      <w:r>
        <w:rPr>
          <w:rFonts w:ascii="宋体" w:hAnsi="宋体"/>
          <w:color w:val="000000"/>
          <w:kern w:val="0"/>
          <w:sz w:val="24"/>
        </w:rPr>
        <w:t>对于竞争性磋商文件中标记了“实质性格式”文件的，供应商</w:t>
      </w:r>
      <w:r>
        <w:rPr>
          <w:rFonts w:ascii="宋体" w:hAnsi="宋体"/>
          <w:color w:val="000000"/>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000000"/>
          <w:kern w:val="0"/>
          <w:sz w:val="24"/>
        </w:rPr>
        <w:t>否则响应无效</w:t>
      </w:r>
      <w:r>
        <w:rPr>
          <w:rFonts w:ascii="宋体" w:hAnsi="宋体"/>
          <w:color w:val="000000"/>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宋体" w:hAnsi="宋体"/>
          <w:color w:val="000000"/>
          <w:sz w:val="24"/>
        </w:rPr>
      </w:pPr>
      <w:r>
        <w:rPr>
          <w:rFonts w:ascii="宋体" w:hAnsi="宋体"/>
          <w:color w:val="000000"/>
          <w:sz w:val="24"/>
        </w:rPr>
        <w:t>3、全部声明和问题的回答及所附材料必须是真实的、准确的和完整的。</w:t>
      </w:r>
    </w:p>
    <w:p>
      <w:pPr>
        <w:tabs>
          <w:tab w:val="left" w:pos="900"/>
          <w:tab w:val="left" w:pos="1980"/>
        </w:tabs>
        <w:snapToGrid w:val="0"/>
        <w:spacing w:line="360" w:lineRule="auto"/>
        <w:ind w:left="142"/>
        <w:rPr>
          <w:rFonts w:ascii="宋体" w:hAnsi="宋体"/>
          <w:color w:val="000000"/>
          <w:sz w:val="24"/>
        </w:rPr>
      </w:pPr>
    </w:p>
    <w:p>
      <w:pPr>
        <w:pStyle w:val="2"/>
      </w:pPr>
    </w:p>
    <w:p>
      <w:pPr>
        <w:tabs>
          <w:tab w:val="left" w:pos="900"/>
          <w:tab w:val="left" w:pos="1980"/>
        </w:tabs>
        <w:snapToGrid w:val="0"/>
        <w:spacing w:line="360" w:lineRule="auto"/>
        <w:ind w:left="142"/>
        <w:rPr>
          <w:rFonts w:ascii="宋体" w:hAnsi="宋体"/>
          <w:color w:val="000000"/>
          <w:sz w:val="24"/>
        </w:rPr>
      </w:pPr>
    </w:p>
    <w:p>
      <w:pPr>
        <w:widowControl/>
        <w:jc w:val="left"/>
        <w:rPr>
          <w:rFonts w:ascii="宋体" w:hAnsi="宋体"/>
          <w:b/>
          <w:color w:val="000000"/>
          <w:sz w:val="24"/>
        </w:rPr>
      </w:pPr>
      <w:r>
        <w:rPr>
          <w:rFonts w:ascii="宋体" w:hAnsi="宋体"/>
          <w:color w:val="000000"/>
          <w:sz w:val="24"/>
        </w:rPr>
        <w:br w:type="page"/>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ascii="宋体" w:hAnsi="宋体"/>
          <w:b/>
          <w:color w:val="000000"/>
          <w:spacing w:val="20"/>
          <w:sz w:val="24"/>
        </w:rPr>
        <w:t>响应文件</w:t>
      </w:r>
      <w:r>
        <w:rPr>
          <w:rFonts w:ascii="宋体" w:hAnsi="宋体"/>
          <w:b/>
          <w:color w:val="000000"/>
          <w:sz w:val="24"/>
        </w:rPr>
        <w:t>封面（非实质性格式）</w:t>
      </w: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color w:val="000000"/>
          <w:szCs w:val="21"/>
        </w:rPr>
      </w:pPr>
    </w:p>
    <w:p>
      <w:pPr>
        <w:jc w:val="center"/>
        <w:rPr>
          <w:rFonts w:ascii="宋体" w:hAnsi="宋体"/>
          <w:b/>
          <w:color w:val="000000"/>
          <w:spacing w:val="60"/>
          <w:sz w:val="84"/>
          <w:szCs w:val="84"/>
        </w:rPr>
      </w:pPr>
      <w:r>
        <w:rPr>
          <w:rFonts w:ascii="宋体" w:hAnsi="宋体"/>
          <w:b/>
          <w:color w:val="000000"/>
          <w:spacing w:val="60"/>
          <w:sz w:val="84"/>
          <w:szCs w:val="84"/>
        </w:rPr>
        <w:t>响 应 文 件</w:t>
      </w:r>
    </w:p>
    <w:p>
      <w:pPr>
        <w:jc w:val="center"/>
        <w:rPr>
          <w:rFonts w:ascii="宋体" w:hAnsi="宋体"/>
          <w:b/>
          <w:color w:val="000000"/>
          <w:spacing w:val="60"/>
          <w:sz w:val="52"/>
          <w:szCs w:val="52"/>
        </w:rPr>
      </w:pPr>
    </w:p>
    <w:p>
      <w:pPr>
        <w:ind w:firstLine="542" w:firstLineChars="150"/>
        <w:rPr>
          <w:rFonts w:ascii="宋体" w:hAnsi="宋体"/>
          <w:b/>
          <w:color w:val="000000"/>
          <w:spacing w:val="20"/>
          <w:sz w:val="32"/>
          <w:szCs w:val="32"/>
        </w:rPr>
      </w:pPr>
    </w:p>
    <w:p>
      <w:pPr>
        <w:ind w:firstLine="542" w:firstLineChars="150"/>
        <w:rPr>
          <w:rFonts w:ascii="宋体" w:hAnsi="宋体"/>
          <w:b/>
          <w:color w:val="000000"/>
          <w:spacing w:val="20"/>
          <w:sz w:val="32"/>
          <w:szCs w:val="32"/>
        </w:rPr>
      </w:pPr>
    </w:p>
    <w:p>
      <w:pPr>
        <w:ind w:firstLine="542" w:firstLineChars="150"/>
        <w:rPr>
          <w:rFonts w:ascii="宋体" w:hAnsi="宋体"/>
          <w:b/>
          <w:color w:val="000000"/>
          <w:spacing w:val="20"/>
          <w:sz w:val="32"/>
          <w:szCs w:val="32"/>
        </w:rPr>
      </w:pPr>
      <w:r>
        <w:rPr>
          <w:rFonts w:ascii="宋体" w:hAnsi="宋体"/>
          <w:b/>
          <w:color w:val="000000"/>
          <w:spacing w:val="20"/>
          <w:sz w:val="32"/>
          <w:szCs w:val="32"/>
        </w:rPr>
        <w:t>项目名称:</w:t>
      </w:r>
    </w:p>
    <w:p>
      <w:pPr>
        <w:ind w:firstLine="542" w:firstLineChars="150"/>
        <w:rPr>
          <w:rFonts w:ascii="宋体" w:hAnsi="宋体"/>
          <w:b/>
          <w:color w:val="000000"/>
          <w:spacing w:val="20"/>
          <w:sz w:val="32"/>
          <w:szCs w:val="32"/>
        </w:rPr>
      </w:pPr>
      <w:r>
        <w:rPr>
          <w:rFonts w:ascii="宋体" w:hAnsi="宋体"/>
          <w:b/>
          <w:color w:val="000000"/>
          <w:spacing w:val="20"/>
          <w:sz w:val="32"/>
          <w:szCs w:val="32"/>
        </w:rPr>
        <w:t>项目编号：</w:t>
      </w:r>
    </w:p>
    <w:p>
      <w:pPr>
        <w:ind w:firstLine="542" w:firstLineChars="150"/>
        <w:rPr>
          <w:rFonts w:ascii="宋体" w:hAnsi="宋体"/>
          <w:b/>
          <w:color w:val="000000"/>
          <w:spacing w:val="20"/>
          <w:sz w:val="32"/>
          <w:szCs w:val="32"/>
        </w:rPr>
      </w:pPr>
    </w:p>
    <w:p>
      <w:pPr>
        <w:ind w:firstLine="542" w:firstLineChars="150"/>
        <w:rPr>
          <w:rFonts w:ascii="宋体" w:hAnsi="宋体"/>
          <w:b/>
          <w:color w:val="000000"/>
          <w:spacing w:val="20"/>
          <w:sz w:val="32"/>
          <w:szCs w:val="32"/>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pacing w:val="20"/>
          <w:sz w:val="32"/>
          <w:szCs w:val="32"/>
        </w:rPr>
      </w:pPr>
    </w:p>
    <w:p>
      <w:pPr>
        <w:jc w:val="center"/>
        <w:rPr>
          <w:rFonts w:ascii="宋体" w:hAnsi="宋体"/>
          <w:b/>
          <w:color w:val="000000"/>
          <w:spacing w:val="20"/>
          <w:sz w:val="32"/>
          <w:szCs w:val="32"/>
        </w:rPr>
      </w:pPr>
    </w:p>
    <w:p>
      <w:pPr>
        <w:jc w:val="center"/>
        <w:rPr>
          <w:rFonts w:ascii="宋体" w:hAnsi="宋体"/>
          <w:b/>
          <w:color w:val="000000"/>
          <w:spacing w:val="20"/>
          <w:sz w:val="32"/>
          <w:szCs w:val="32"/>
        </w:rPr>
      </w:pPr>
    </w:p>
    <w:p>
      <w:pPr>
        <w:spacing w:line="360" w:lineRule="auto"/>
        <w:ind w:firstLine="1445" w:firstLineChars="400"/>
        <w:jc w:val="left"/>
        <w:rPr>
          <w:rFonts w:ascii="宋体" w:hAnsi="宋体"/>
          <w:b/>
          <w:color w:val="000000"/>
          <w:spacing w:val="20"/>
          <w:sz w:val="32"/>
          <w:szCs w:val="32"/>
        </w:rPr>
      </w:pPr>
      <w:r>
        <w:rPr>
          <w:rFonts w:ascii="宋体" w:hAnsi="宋体"/>
          <w:b/>
          <w:color w:val="000000"/>
          <w:spacing w:val="20"/>
          <w:sz w:val="32"/>
          <w:szCs w:val="32"/>
        </w:rPr>
        <w:t>供应商名称：</w:t>
      </w:r>
    </w:p>
    <w:p>
      <w:pPr>
        <w:jc w:val="center"/>
        <w:rPr>
          <w:rFonts w:ascii="宋体" w:hAnsi="宋体"/>
          <w:b/>
          <w:color w:val="000000"/>
          <w:sz w:val="32"/>
          <w:szCs w:val="32"/>
        </w:rPr>
      </w:pPr>
    </w:p>
    <w:p>
      <w:pPr>
        <w:tabs>
          <w:tab w:val="left" w:pos="360"/>
        </w:tabs>
        <w:snapToGrid w:val="0"/>
        <w:spacing w:line="360" w:lineRule="auto"/>
        <w:outlineLvl w:val="1"/>
        <w:rPr>
          <w:rFonts w:ascii="宋体" w:hAnsi="宋体"/>
          <w:color w:val="000000"/>
          <w:sz w:val="24"/>
        </w:rPr>
      </w:pPr>
      <w:r>
        <w:rPr>
          <w:rFonts w:ascii="宋体" w:hAnsi="宋体"/>
          <w:b/>
          <w:color w:val="000000"/>
          <w:spacing w:val="20"/>
          <w:sz w:val="32"/>
          <w:szCs w:val="32"/>
        </w:rPr>
        <w:br w:type="page"/>
      </w:r>
      <w:r>
        <w:rPr>
          <w:rFonts w:ascii="宋体" w:hAnsi="宋体"/>
          <w:color w:val="000000"/>
          <w:sz w:val="24"/>
        </w:rPr>
        <w:t>1 满足《中华人民共和国政府采购法》第二十二条规定</w:t>
      </w:r>
    </w:p>
    <w:p>
      <w:pPr>
        <w:pStyle w:val="5"/>
        <w:spacing w:line="360" w:lineRule="auto"/>
        <w:rPr>
          <w:rFonts w:hAnsi="宋体"/>
          <w:b w:val="0"/>
          <w:color w:val="000000"/>
          <w:szCs w:val="24"/>
          <w:u w:val="none"/>
        </w:rPr>
      </w:pPr>
      <w:r>
        <w:rPr>
          <w:rFonts w:hAnsi="宋体"/>
          <w:b w:val="0"/>
          <w:color w:val="000000"/>
          <w:szCs w:val="24"/>
          <w:u w:val="none"/>
        </w:rPr>
        <w:t>1-1营业执照等证明文件</w:t>
      </w:r>
    </w:p>
    <w:p>
      <w:pPr>
        <w:tabs>
          <w:tab w:val="left" w:pos="1080"/>
        </w:tabs>
        <w:snapToGrid w:val="0"/>
        <w:spacing w:line="360" w:lineRule="auto"/>
        <w:rPr>
          <w:rFonts w:ascii="宋体" w:hAnsi="宋体"/>
          <w:color w:val="000000"/>
          <w:sz w:val="24"/>
        </w:rPr>
      </w:pPr>
    </w:p>
    <w:p>
      <w:pPr>
        <w:widowControl/>
        <w:spacing w:line="360" w:lineRule="auto"/>
        <w:jc w:val="center"/>
        <w:rPr>
          <w:rFonts w:ascii="宋体" w:hAnsi="宋体"/>
          <w:b/>
          <w:color w:val="000000"/>
          <w:sz w:val="24"/>
          <w:szCs w:val="20"/>
        </w:rPr>
      </w:pPr>
      <w:r>
        <w:rPr>
          <w:rFonts w:hint="eastAsia" w:ascii="宋体" w:hAnsi="宋体"/>
          <w:b/>
          <w:color w:val="000000"/>
          <w:sz w:val="24"/>
          <w:szCs w:val="20"/>
        </w:rPr>
        <w:t>证明文件须内容清晰，并加盖供应商电子印章</w:t>
      </w:r>
    </w:p>
    <w:p>
      <w:pPr>
        <w:widowControl/>
        <w:spacing w:line="360" w:lineRule="auto"/>
        <w:jc w:val="left"/>
        <w:rPr>
          <w:rFonts w:ascii="宋体" w:hAnsi="宋体"/>
          <w:color w:val="000000"/>
          <w:sz w:val="24"/>
          <w:szCs w:val="20"/>
        </w:rPr>
      </w:pPr>
    </w:p>
    <w:p>
      <w:pPr>
        <w:widowControl/>
        <w:spacing w:line="360" w:lineRule="auto"/>
        <w:jc w:val="left"/>
        <w:rPr>
          <w:rFonts w:ascii="宋体" w:hAnsi="宋体"/>
          <w:color w:val="000000"/>
          <w:sz w:val="24"/>
          <w:szCs w:val="20"/>
        </w:rPr>
      </w:pPr>
    </w:p>
    <w:p>
      <w:pPr>
        <w:widowControl/>
        <w:spacing w:line="360" w:lineRule="auto"/>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widowControl/>
        <w:jc w:val="left"/>
        <w:rPr>
          <w:rFonts w:ascii="宋体" w:hAnsi="宋体"/>
          <w:color w:val="000000"/>
          <w:sz w:val="24"/>
          <w:szCs w:val="20"/>
        </w:rPr>
      </w:pPr>
    </w:p>
    <w:p>
      <w:pPr>
        <w:pStyle w:val="5"/>
        <w:rPr>
          <w:rFonts w:hAnsi="宋体"/>
          <w:b w:val="0"/>
          <w:bCs/>
          <w:color w:val="000000"/>
          <w:szCs w:val="24"/>
          <w:u w:val="none"/>
        </w:rPr>
      </w:pPr>
      <w:r>
        <w:rPr>
          <w:rFonts w:hAnsi="宋体"/>
          <w:b w:val="0"/>
          <w:color w:val="000000"/>
          <w:szCs w:val="24"/>
          <w:u w:val="none"/>
        </w:rPr>
        <w:t>1-2 供应商资格声明书</w:t>
      </w:r>
    </w:p>
    <w:p>
      <w:pPr>
        <w:jc w:val="center"/>
        <w:rPr>
          <w:rFonts w:ascii="宋体" w:hAnsi="宋体"/>
          <w:b/>
          <w:color w:val="000000"/>
          <w:sz w:val="28"/>
          <w:szCs w:val="28"/>
        </w:rPr>
      </w:pPr>
      <w:r>
        <w:rPr>
          <w:rFonts w:hint="eastAsia" w:ascii="宋体" w:hAnsi="宋体"/>
          <w:b/>
          <w:color w:val="000000"/>
          <w:sz w:val="28"/>
          <w:szCs w:val="28"/>
        </w:rPr>
        <w:t>供应商资格声明书</w:t>
      </w:r>
    </w:p>
    <w:p>
      <w:pPr>
        <w:tabs>
          <w:tab w:val="left" w:pos="5580"/>
        </w:tabs>
        <w:spacing w:line="360" w:lineRule="auto"/>
        <w:rPr>
          <w:rFonts w:ascii="宋体" w:hAnsi="宋体"/>
          <w:color w:val="000000"/>
          <w:sz w:val="24"/>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spacing w:line="360" w:lineRule="auto"/>
        <w:rPr>
          <w:rFonts w:ascii="宋体" w:hAnsi="宋体"/>
          <w:color w:val="000000"/>
          <w:sz w:val="24"/>
          <w:szCs w:val="22"/>
        </w:rPr>
      </w:pPr>
      <w:r>
        <w:rPr>
          <w:rFonts w:ascii="宋体" w:hAnsi="宋体"/>
          <w:color w:val="000000"/>
          <w:sz w:val="24"/>
          <w:szCs w:val="22"/>
        </w:rPr>
        <w:t>在参与本次项目磋商中，我单位承诺：</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具有良好的商业信誉和健全的财务会计制度；</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具有履行合同所必需的设备和专业技术能力；</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有依法缴纳税收和社会保障资金的良好记录；</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我单位不属于政府采购法律、行政法规规定的公益一类事业单位、或使用事业编制且由财政拨款保障的群团组织（仅适用于政府购买服务项目）；</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我单位不存在为采购项目提供整体设计、规范编制或者项目管理、监理、检测等服务后，再参加该采购项目的其他采购活动的情形（单一来源采购项目除外）；</w:t>
      </w:r>
    </w:p>
    <w:p>
      <w:pPr>
        <w:numPr>
          <w:ilvl w:val="0"/>
          <w:numId w:val="3"/>
        </w:numPr>
        <w:spacing w:line="360" w:lineRule="auto"/>
        <w:ind w:left="1134"/>
        <w:rPr>
          <w:rFonts w:ascii="宋体" w:hAnsi="宋体"/>
          <w:color w:val="000000"/>
          <w:sz w:val="24"/>
          <w:szCs w:val="22"/>
        </w:rPr>
      </w:pPr>
      <w:r>
        <w:rPr>
          <w:rFonts w:ascii="宋体" w:hAnsi="宋体"/>
          <w:color w:val="000000"/>
          <w:sz w:val="24"/>
          <w:szCs w:val="22"/>
        </w:rPr>
        <w:t>与我单位存在“单位负责人为同一人或者存在直接控股、管理关系”的其他法人单位信息如下（如有，不论其是否参加同一合同项下的政府采购活动均须填写）：</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4998"/>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39" w:type="dxa"/>
            <w:vAlign w:val="center"/>
          </w:tcPr>
          <w:p>
            <w:pPr>
              <w:jc w:val="center"/>
              <w:rPr>
                <w:rFonts w:ascii="宋体" w:hAnsi="宋体"/>
                <w:color w:val="000000"/>
                <w:sz w:val="24"/>
              </w:rPr>
            </w:pPr>
            <w:r>
              <w:rPr>
                <w:rFonts w:ascii="宋体" w:hAnsi="宋体"/>
                <w:color w:val="000000"/>
                <w:sz w:val="24"/>
              </w:rPr>
              <w:t>序号</w:t>
            </w:r>
          </w:p>
        </w:tc>
        <w:tc>
          <w:tcPr>
            <w:tcW w:w="4998" w:type="dxa"/>
            <w:vAlign w:val="center"/>
          </w:tcPr>
          <w:p>
            <w:pPr>
              <w:jc w:val="center"/>
              <w:rPr>
                <w:rFonts w:ascii="宋体" w:hAnsi="宋体"/>
                <w:color w:val="000000"/>
                <w:sz w:val="24"/>
              </w:rPr>
            </w:pPr>
            <w:r>
              <w:rPr>
                <w:rFonts w:ascii="宋体" w:hAnsi="宋体"/>
                <w:color w:val="000000"/>
                <w:sz w:val="24"/>
              </w:rPr>
              <w:t>单位名称</w:t>
            </w:r>
          </w:p>
        </w:tc>
        <w:tc>
          <w:tcPr>
            <w:tcW w:w="3250" w:type="dxa"/>
            <w:vAlign w:val="center"/>
          </w:tcPr>
          <w:p>
            <w:pPr>
              <w:jc w:val="center"/>
              <w:rPr>
                <w:rFonts w:ascii="宋体" w:hAnsi="宋体"/>
                <w:color w:val="000000"/>
                <w:sz w:val="24"/>
              </w:rPr>
            </w:pPr>
            <w:r>
              <w:rPr>
                <w:rFonts w:ascii="宋体" w:hAnsi="宋体"/>
                <w:color w:val="000000"/>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39" w:type="dxa"/>
            <w:vAlign w:val="center"/>
          </w:tcPr>
          <w:p>
            <w:pPr>
              <w:jc w:val="center"/>
              <w:rPr>
                <w:rFonts w:ascii="宋体" w:hAnsi="宋体"/>
                <w:color w:val="000000"/>
                <w:sz w:val="24"/>
              </w:rPr>
            </w:pPr>
            <w:r>
              <w:rPr>
                <w:rFonts w:ascii="宋体" w:hAnsi="宋体"/>
                <w:color w:val="000000"/>
                <w:sz w:val="24"/>
              </w:rPr>
              <w:t>1</w:t>
            </w:r>
          </w:p>
        </w:tc>
        <w:tc>
          <w:tcPr>
            <w:tcW w:w="4998" w:type="dxa"/>
            <w:vAlign w:val="center"/>
          </w:tcPr>
          <w:p>
            <w:pPr>
              <w:jc w:val="center"/>
              <w:rPr>
                <w:rFonts w:ascii="宋体" w:hAnsi="宋体"/>
                <w:color w:val="000000"/>
                <w:sz w:val="24"/>
              </w:rPr>
            </w:pPr>
          </w:p>
        </w:tc>
        <w:tc>
          <w:tcPr>
            <w:tcW w:w="325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39" w:type="dxa"/>
            <w:vAlign w:val="center"/>
          </w:tcPr>
          <w:p>
            <w:pPr>
              <w:jc w:val="center"/>
              <w:rPr>
                <w:rFonts w:ascii="宋体" w:hAnsi="宋体"/>
                <w:color w:val="000000"/>
                <w:sz w:val="24"/>
              </w:rPr>
            </w:pPr>
            <w:r>
              <w:rPr>
                <w:rFonts w:ascii="宋体" w:hAnsi="宋体"/>
                <w:color w:val="000000"/>
                <w:sz w:val="24"/>
              </w:rPr>
              <w:t>2</w:t>
            </w:r>
          </w:p>
        </w:tc>
        <w:tc>
          <w:tcPr>
            <w:tcW w:w="4998" w:type="dxa"/>
            <w:vAlign w:val="center"/>
          </w:tcPr>
          <w:p>
            <w:pPr>
              <w:jc w:val="center"/>
              <w:rPr>
                <w:rFonts w:ascii="宋体" w:hAnsi="宋体"/>
                <w:color w:val="000000"/>
                <w:sz w:val="24"/>
              </w:rPr>
            </w:pPr>
          </w:p>
        </w:tc>
        <w:tc>
          <w:tcPr>
            <w:tcW w:w="3250" w:type="dxa"/>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1039" w:type="dxa"/>
            <w:vAlign w:val="center"/>
          </w:tcPr>
          <w:p>
            <w:pPr>
              <w:jc w:val="center"/>
              <w:rPr>
                <w:rFonts w:ascii="宋体" w:hAnsi="宋体"/>
                <w:color w:val="000000"/>
                <w:sz w:val="24"/>
              </w:rPr>
            </w:pPr>
            <w:r>
              <w:rPr>
                <w:rFonts w:ascii="宋体" w:hAnsi="宋体"/>
                <w:color w:val="000000"/>
                <w:sz w:val="24"/>
              </w:rPr>
              <w:t>…</w:t>
            </w:r>
          </w:p>
        </w:tc>
        <w:tc>
          <w:tcPr>
            <w:tcW w:w="4998" w:type="dxa"/>
            <w:vAlign w:val="center"/>
          </w:tcPr>
          <w:p>
            <w:pPr>
              <w:jc w:val="center"/>
              <w:rPr>
                <w:rFonts w:ascii="宋体" w:hAnsi="宋体"/>
                <w:color w:val="000000"/>
                <w:sz w:val="24"/>
              </w:rPr>
            </w:pPr>
          </w:p>
        </w:tc>
        <w:tc>
          <w:tcPr>
            <w:tcW w:w="3250" w:type="dxa"/>
            <w:vAlign w:val="center"/>
          </w:tcPr>
          <w:p>
            <w:pPr>
              <w:jc w:val="center"/>
              <w:rPr>
                <w:rFonts w:ascii="宋体" w:hAnsi="宋体"/>
                <w:color w:val="000000"/>
                <w:sz w:val="24"/>
              </w:rPr>
            </w:pPr>
          </w:p>
        </w:tc>
      </w:tr>
    </w:tbl>
    <w:p>
      <w:pPr>
        <w:rPr>
          <w:rFonts w:ascii="宋体" w:hAnsi="宋体"/>
          <w:color w:val="000000"/>
        </w:rPr>
      </w:pPr>
    </w:p>
    <w:p>
      <w:pPr>
        <w:ind w:firstLine="480" w:firstLineChars="200"/>
        <w:rPr>
          <w:rFonts w:ascii="宋体" w:hAnsi="宋体"/>
          <w:color w:val="000000"/>
          <w:sz w:val="24"/>
          <w:szCs w:val="22"/>
        </w:rPr>
      </w:pPr>
      <w:r>
        <w:rPr>
          <w:rFonts w:ascii="宋体" w:hAnsi="宋体"/>
          <w:color w:val="000000"/>
          <w:sz w:val="24"/>
        </w:rPr>
        <w:t>上述声明真实有效，否则我方负全部责任。</w:t>
      </w:r>
    </w:p>
    <w:p>
      <w:pPr>
        <w:spacing w:line="360" w:lineRule="auto"/>
        <w:rPr>
          <w:rFonts w:ascii="宋体" w:hAnsi="宋体"/>
          <w:color w:val="000000"/>
          <w:sz w:val="24"/>
        </w:rPr>
      </w:pPr>
    </w:p>
    <w:p>
      <w:pPr>
        <w:autoSpaceDE w:val="0"/>
        <w:autoSpaceDN w:val="0"/>
        <w:adjustRightInd w:val="0"/>
        <w:snapToGrid w:val="0"/>
        <w:spacing w:before="25" w:after="25"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w:t>
      </w:r>
    </w:p>
    <w:p>
      <w:pPr>
        <w:spacing w:line="360" w:lineRule="auto"/>
        <w:ind w:right="360" w:firstLine="480"/>
        <w:jc w:val="right"/>
        <w:rPr>
          <w:rFonts w:ascii="宋体" w:hAnsi="宋体"/>
          <w:color w:val="000000"/>
          <w:sz w:val="24"/>
        </w:rPr>
      </w:pPr>
      <w:r>
        <w:rPr>
          <w:rFonts w:ascii="宋体" w:hAnsi="宋体"/>
          <w:color w:val="000000"/>
          <w:sz w:val="24"/>
          <w:szCs w:val="20"/>
        </w:rPr>
        <w:t xml:space="preserve">日期：____年____月____日   </w:t>
      </w:r>
    </w:p>
    <w:p>
      <w:pPr>
        <w:spacing w:line="360" w:lineRule="auto"/>
        <w:rPr>
          <w:rFonts w:ascii="宋体" w:hAnsi="宋体"/>
          <w:color w:val="000000"/>
          <w:sz w:val="24"/>
        </w:rPr>
      </w:pPr>
      <w:r>
        <w:rPr>
          <w:rFonts w:hint="eastAsia" w:ascii="宋体" w:hAnsi="宋体"/>
          <w:color w:val="000000"/>
          <w:sz w:val="24"/>
        </w:rPr>
        <w:t>说明：供应商承诺不实的，依据《政府采购法》第七十七条“提供虚假材料谋取中标、成交的”有关规定予以处理。</w:t>
      </w:r>
    </w:p>
    <w:p>
      <w:pPr>
        <w:tabs>
          <w:tab w:val="left" w:pos="5580"/>
        </w:tabs>
        <w:spacing w:line="360" w:lineRule="auto"/>
        <w:rPr>
          <w:rFonts w:ascii="宋体" w:hAnsi="宋体"/>
          <w:color w:val="000000"/>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418" w:right="1418" w:bottom="1418" w:left="1418" w:header="851" w:footer="851" w:gutter="0"/>
          <w:pgNumType w:fmt="decimal"/>
          <w:cols w:space="720" w:num="1"/>
          <w:docGrid w:linePitch="462" w:charSpace="0"/>
        </w:sectPr>
      </w:pPr>
    </w:p>
    <w:p>
      <w:pPr>
        <w:tabs>
          <w:tab w:val="left" w:pos="360"/>
        </w:tabs>
        <w:snapToGrid w:val="0"/>
        <w:spacing w:line="360" w:lineRule="auto"/>
        <w:outlineLvl w:val="1"/>
        <w:rPr>
          <w:rFonts w:ascii="宋体" w:hAnsi="宋体"/>
          <w:color w:val="000000"/>
          <w:sz w:val="24"/>
        </w:rPr>
      </w:pPr>
      <w:r>
        <w:rPr>
          <w:rFonts w:ascii="宋体" w:hAnsi="宋体"/>
          <w:color w:val="000000"/>
          <w:sz w:val="24"/>
        </w:rPr>
        <w:t>2 落实政府采购政策需满足的资格要求</w:t>
      </w:r>
    </w:p>
    <w:p>
      <w:pPr>
        <w:spacing w:line="360" w:lineRule="auto"/>
        <w:outlineLvl w:val="2"/>
        <w:rPr>
          <w:rFonts w:ascii="宋体" w:hAnsi="宋体"/>
          <w:color w:val="000000"/>
          <w:sz w:val="24"/>
          <w:szCs w:val="20"/>
        </w:rPr>
      </w:pPr>
      <w:r>
        <w:rPr>
          <w:rFonts w:ascii="宋体" w:hAnsi="宋体"/>
          <w:color w:val="000000"/>
          <w:sz w:val="24"/>
          <w:szCs w:val="20"/>
        </w:rPr>
        <w:t>2-1</w:t>
      </w:r>
      <w:r>
        <w:rPr>
          <w:rFonts w:hint="eastAsia" w:ascii="宋体" w:hAnsi="宋体"/>
          <w:color w:val="000000"/>
          <w:sz w:val="24"/>
          <w:szCs w:val="20"/>
        </w:rPr>
        <w:t>中小企业证明文件</w:t>
      </w:r>
    </w:p>
    <w:p>
      <w:pPr>
        <w:tabs>
          <w:tab w:val="left" w:pos="5580"/>
        </w:tabs>
        <w:spacing w:line="360" w:lineRule="auto"/>
        <w:rPr>
          <w:rFonts w:ascii="宋体" w:hAnsi="宋体"/>
          <w:color w:val="000000"/>
          <w:sz w:val="24"/>
        </w:rPr>
      </w:pPr>
      <w:r>
        <w:rPr>
          <w:rFonts w:ascii="宋体" w:hAnsi="宋体"/>
          <w:color w:val="000000"/>
          <w:sz w:val="24"/>
        </w:rPr>
        <w:t>说明：</w:t>
      </w:r>
    </w:p>
    <w:p>
      <w:pPr>
        <w:tabs>
          <w:tab w:val="left" w:pos="5580"/>
        </w:tabs>
        <w:spacing w:line="360" w:lineRule="auto"/>
        <w:rPr>
          <w:rFonts w:ascii="宋体" w:hAnsi="宋体" w:cs="宋体"/>
          <w:color w:val="000000"/>
          <w:kern w:val="0"/>
          <w:sz w:val="24"/>
        </w:rPr>
      </w:pPr>
      <w:r>
        <w:rPr>
          <w:rFonts w:hint="eastAsia" w:ascii="宋体" w:hAnsi="宋体"/>
          <w:color w:val="000000"/>
          <w:sz w:val="24"/>
        </w:rPr>
        <w:t>（1）</w:t>
      </w:r>
      <w:r>
        <w:rPr>
          <w:rFonts w:ascii="宋体" w:hAnsi="宋体" w:cs="宋体"/>
          <w:color w:val="000000"/>
          <w:kern w:val="0"/>
          <w:sz w:val="24"/>
        </w:rPr>
        <w:t>如本项目不专门面向中小企业预留采购份额，供应商无须</w:t>
      </w:r>
      <w:r>
        <w:rPr>
          <w:rFonts w:ascii="宋体" w:hAnsi="宋体" w:cs="Leelawadee UI"/>
          <w:color w:val="000000"/>
          <w:kern w:val="0"/>
          <w:sz w:val="24"/>
        </w:rPr>
        <w:t>提</w:t>
      </w:r>
      <w:r>
        <w:rPr>
          <w:rFonts w:ascii="宋体" w:hAnsi="宋体" w:cs="宋体"/>
          <w:color w:val="000000"/>
          <w:kern w:val="0"/>
          <w:sz w:val="24"/>
        </w:rPr>
        <w:t>供《中小企业</w:t>
      </w:r>
      <w:r>
        <w:rPr>
          <w:rFonts w:hint="eastAsia" w:ascii="宋体" w:hAnsi="宋体" w:cs="宋体"/>
          <w:color w:val="000000"/>
          <w:kern w:val="0"/>
          <w:sz w:val="24"/>
        </w:rPr>
        <w:t>声明函》或《残疾人福利性单位声明函》或由省级以上监狱管理局、戒毒管理局（含新疆生产建设兵团）出具的属于监狱企业的证明文件；当供应商拟享受中小企业扶持政策时，仍应</w:t>
      </w:r>
      <w:r>
        <w:rPr>
          <w:rFonts w:ascii="宋体" w:hAnsi="宋体" w:cs="Leelawadee UI"/>
          <w:color w:val="000000"/>
          <w:kern w:val="0"/>
          <w:sz w:val="24"/>
        </w:rPr>
        <w:t>提</w:t>
      </w:r>
      <w:r>
        <w:rPr>
          <w:rFonts w:ascii="宋体" w:hAnsi="宋体" w:cs="宋体"/>
          <w:color w:val="000000"/>
          <w:kern w:val="0"/>
          <w:sz w:val="24"/>
        </w:rPr>
        <w:t>供上述证明文件，否则不享受相关中小企业扶持政策</w:t>
      </w:r>
      <w:r>
        <w:rPr>
          <w:rFonts w:hint="eastAsia" w:ascii="宋体" w:hAnsi="宋体" w:cs="宋体"/>
          <w:color w:val="000000"/>
          <w:kern w:val="0"/>
          <w:sz w:val="24"/>
        </w:rPr>
        <w:t>。</w:t>
      </w:r>
    </w:p>
    <w:p>
      <w:pPr>
        <w:tabs>
          <w:tab w:val="left" w:pos="5580"/>
        </w:tabs>
        <w:spacing w:line="360" w:lineRule="auto"/>
        <w:rPr>
          <w:rFonts w:ascii="宋体" w:hAnsi="宋体" w:cs="宋体"/>
          <w:color w:val="000000"/>
          <w:kern w:val="0"/>
          <w:sz w:val="24"/>
        </w:rPr>
      </w:pPr>
      <w:r>
        <w:rPr>
          <w:rFonts w:hint="eastAsia" w:ascii="宋体" w:hAnsi="宋体" w:cs="宋体"/>
          <w:color w:val="000000"/>
          <w:kern w:val="0"/>
          <w:sz w:val="24"/>
        </w:rPr>
        <w:t>（2）如本项目专门面向中小企业采购，响应文件中须提供《中小企业声明函》或《残疾人福利性单位声明函》，或提供由省级以上监狱管理局、戒毒管理局（含新疆生产建设兵团）出具的属于监狱企业的证明文件。</w:t>
      </w:r>
    </w:p>
    <w:p>
      <w:pPr>
        <w:tabs>
          <w:tab w:val="left" w:pos="5580"/>
        </w:tabs>
        <w:spacing w:line="360" w:lineRule="auto"/>
        <w:rPr>
          <w:rFonts w:ascii="宋体" w:hAnsi="宋体" w:cs="宋体"/>
          <w:color w:val="000000"/>
          <w:kern w:val="0"/>
          <w:sz w:val="24"/>
        </w:rPr>
      </w:pPr>
      <w:r>
        <w:rPr>
          <w:rFonts w:hint="eastAsia" w:ascii="宋体" w:hAnsi="宋体" w:cs="宋体"/>
          <w:color w:val="000000"/>
          <w:kern w:val="0"/>
          <w:sz w:val="24"/>
        </w:rPr>
        <w:t>（3）如本项目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rFonts w:ascii="宋体" w:hAnsi="宋体" w:cs="宋体"/>
          <w:color w:val="000000"/>
          <w:kern w:val="0"/>
          <w:sz w:val="24"/>
        </w:rPr>
      </w:pPr>
      <w:r>
        <w:rPr>
          <w:rFonts w:hint="eastAsia" w:ascii="宋体" w:hAnsi="宋体" w:cs="宋体"/>
          <w:color w:val="000000"/>
          <w:kern w:val="0"/>
          <w:sz w:val="24"/>
        </w:rPr>
        <w:t>（4）中小企业声明函填写注意事项：1）《中小企业声明函》由参加政府采购活动的供应商出具。联合体参与的，《中小企业声明函》可由牵头人出具。</w:t>
      </w:r>
      <w:r>
        <w:rPr>
          <w:rFonts w:ascii="宋体" w:hAnsi="宋体" w:cs="宋体"/>
          <w:color w:val="000000"/>
          <w:kern w:val="0"/>
          <w:sz w:val="24"/>
        </w:rPr>
        <w:t>2</w:t>
      </w:r>
      <w:r>
        <w:rPr>
          <w:rFonts w:hint="eastAsia" w:ascii="宋体" w:hAnsi="宋体" w:cs="宋体"/>
          <w:color w:val="000000"/>
          <w:kern w:val="0"/>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ascii="宋体" w:hAnsi="宋体" w:cs="宋体"/>
          <w:color w:val="000000"/>
          <w:kern w:val="0"/>
          <w:sz w:val="24"/>
        </w:rPr>
      </w:pPr>
      <w:r>
        <w:rPr>
          <w:rFonts w:hint="eastAsia" w:ascii="宋体" w:hAnsi="宋体" w:cs="宋体"/>
          <w:color w:val="000000"/>
          <w:kern w:val="0"/>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tabs>
          <w:tab w:val="left" w:pos="5580"/>
        </w:tabs>
        <w:spacing w:line="360" w:lineRule="auto"/>
        <w:rPr>
          <w:rFonts w:ascii="宋体" w:hAnsi="宋体"/>
          <w:color w:val="000000"/>
          <w:sz w:val="24"/>
        </w:rPr>
      </w:pPr>
    </w:p>
    <w:p>
      <w:pPr>
        <w:widowControl/>
        <w:spacing w:line="360" w:lineRule="auto"/>
        <w:jc w:val="left"/>
        <w:outlineLvl w:val="2"/>
        <w:rPr>
          <w:rFonts w:ascii="宋体" w:hAnsi="宋体"/>
          <w:b/>
          <w:bCs/>
          <w:color w:val="000000"/>
          <w:sz w:val="24"/>
        </w:rPr>
      </w:pPr>
      <w:r>
        <w:rPr>
          <w:rFonts w:ascii="宋体" w:hAnsi="宋体"/>
          <w:color w:val="000000"/>
          <w:sz w:val="24"/>
        </w:rPr>
        <w:br w:type="page"/>
      </w:r>
      <w:r>
        <w:rPr>
          <w:rFonts w:ascii="宋体" w:hAnsi="宋体"/>
          <w:b/>
          <w:bCs/>
          <w:color w:val="000000"/>
          <w:sz w:val="24"/>
        </w:rPr>
        <w:t>2-1-1</w:t>
      </w:r>
      <w:r>
        <w:rPr>
          <w:rFonts w:hint="eastAsia" w:ascii="宋体" w:hAnsi="宋体"/>
          <w:b/>
          <w:bCs/>
          <w:color w:val="000000"/>
          <w:sz w:val="24"/>
        </w:rPr>
        <w:t>中小企业声明函及残疾人福利性单位声明函格式</w:t>
      </w:r>
    </w:p>
    <w:p>
      <w:pPr>
        <w:widowControl/>
        <w:spacing w:line="360" w:lineRule="auto"/>
        <w:jc w:val="center"/>
        <w:rPr>
          <w:rFonts w:ascii="宋体" w:hAnsi="宋体"/>
          <w:b/>
          <w:bCs/>
          <w:color w:val="000000"/>
          <w:sz w:val="36"/>
          <w:szCs w:val="36"/>
        </w:rPr>
      </w:pPr>
      <w:r>
        <w:rPr>
          <w:rFonts w:ascii="宋体" w:hAnsi="宋体"/>
          <w:b/>
          <w:bCs/>
          <w:color w:val="000000"/>
          <w:sz w:val="36"/>
          <w:szCs w:val="36"/>
        </w:rPr>
        <w:t>中小企业声明函（</w:t>
      </w:r>
      <w:r>
        <w:rPr>
          <w:rFonts w:hint="eastAsia" w:ascii="宋体" w:hAnsi="宋体"/>
          <w:b/>
          <w:bCs/>
          <w:color w:val="000000"/>
          <w:sz w:val="36"/>
          <w:szCs w:val="36"/>
        </w:rPr>
        <w:t>工程、服务</w:t>
      </w:r>
      <w:r>
        <w:rPr>
          <w:rFonts w:ascii="宋体" w:hAnsi="宋体"/>
          <w:b/>
          <w:bCs/>
          <w:color w:val="000000"/>
          <w:sz w:val="36"/>
          <w:szCs w:val="36"/>
        </w:rPr>
        <w:t>）格式</w:t>
      </w:r>
    </w:p>
    <w:p>
      <w:pPr>
        <w:spacing w:line="360" w:lineRule="auto"/>
        <w:ind w:firstLine="504"/>
        <w:rPr>
          <w:rFonts w:ascii="宋体" w:hAnsi="宋体"/>
          <w:color w:val="000000"/>
          <w:spacing w:val="6"/>
          <w:sz w:val="24"/>
        </w:rPr>
      </w:pPr>
      <w:r>
        <w:rPr>
          <w:rFonts w:ascii="宋体" w:hAnsi="宋体"/>
          <w:color w:val="000000"/>
          <w:spacing w:val="6"/>
          <w:sz w:val="24"/>
        </w:rPr>
        <w:t>本公司（联合体）郑重声明，根据《政府采购促进中小企业发展管理办法》（财库﹝2020﹞46 号）的规定，本公司（联合体）参加</w:t>
      </w:r>
      <w:r>
        <w:rPr>
          <w:rFonts w:ascii="宋体" w:hAnsi="宋体"/>
          <w:color w:val="000000"/>
          <w:spacing w:val="6"/>
          <w:sz w:val="24"/>
          <w:u w:val="single"/>
        </w:rPr>
        <w:t>（单位名称）</w:t>
      </w:r>
      <w:r>
        <w:rPr>
          <w:rFonts w:ascii="宋体" w:hAnsi="宋体"/>
          <w:color w:val="000000"/>
          <w:spacing w:val="6"/>
          <w:sz w:val="24"/>
        </w:rPr>
        <w:t>的</w:t>
      </w:r>
      <w:r>
        <w:rPr>
          <w:rFonts w:ascii="宋体" w:hAnsi="宋体"/>
          <w:color w:val="000000"/>
          <w:spacing w:val="6"/>
          <w:sz w:val="24"/>
          <w:u w:val="single"/>
        </w:rPr>
        <w:t>（项目名称）</w:t>
      </w:r>
      <w:r>
        <w:rPr>
          <w:rFonts w:ascii="宋体" w:hAnsi="宋体"/>
          <w:color w:val="000000"/>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ascii="宋体" w:hAnsi="宋体"/>
          <w:color w:val="000000"/>
          <w:spacing w:val="6"/>
          <w:sz w:val="24"/>
        </w:rPr>
      </w:pPr>
      <w:r>
        <w:rPr>
          <w:rFonts w:ascii="宋体" w:hAnsi="宋体"/>
          <w:color w:val="000000"/>
          <w:spacing w:val="6"/>
          <w:sz w:val="24"/>
        </w:rPr>
        <w:t>1.</w:t>
      </w:r>
      <w:r>
        <w:rPr>
          <w:rFonts w:ascii="宋体" w:hAnsi="宋体"/>
          <w:color w:val="000000"/>
          <w:spacing w:val="6"/>
          <w:sz w:val="24"/>
          <w:u w:val="single"/>
        </w:rPr>
        <w:t xml:space="preserve"> （标的名称） </w:t>
      </w:r>
      <w:r>
        <w:rPr>
          <w:rFonts w:ascii="宋体" w:hAnsi="宋体"/>
          <w:color w:val="000000"/>
          <w:spacing w:val="6"/>
          <w:sz w:val="24"/>
        </w:rPr>
        <w:t>，属于</w:t>
      </w:r>
      <w:r>
        <w:rPr>
          <w:rFonts w:ascii="宋体" w:hAnsi="宋体"/>
          <w:color w:val="000000"/>
          <w:spacing w:val="6"/>
          <w:sz w:val="24"/>
          <w:u w:val="single"/>
        </w:rPr>
        <w:t>（</w:t>
      </w:r>
      <w:r>
        <w:rPr>
          <w:rFonts w:hint="eastAsia" w:ascii="宋体" w:hAnsi="宋体"/>
          <w:color w:val="000000"/>
          <w:spacing w:val="6"/>
          <w:sz w:val="24"/>
          <w:u w:val="single"/>
        </w:rPr>
        <w:t>采购文件</w:t>
      </w:r>
      <w:r>
        <w:rPr>
          <w:rFonts w:ascii="宋体" w:hAnsi="宋体"/>
          <w:color w:val="000000"/>
          <w:spacing w:val="6"/>
          <w:sz w:val="24"/>
          <w:u w:val="single"/>
        </w:rPr>
        <w:t>中明确的所属行业）</w:t>
      </w:r>
      <w:r>
        <w:rPr>
          <w:rFonts w:ascii="宋体" w:hAnsi="宋体"/>
          <w:color w:val="000000"/>
          <w:spacing w:val="6"/>
          <w:sz w:val="24"/>
        </w:rPr>
        <w:t>行业；承建（承接）企业为</w:t>
      </w:r>
      <w:r>
        <w:rPr>
          <w:rFonts w:ascii="宋体" w:hAnsi="宋体"/>
          <w:color w:val="000000"/>
          <w:spacing w:val="6"/>
          <w:sz w:val="24"/>
          <w:u w:val="single"/>
        </w:rPr>
        <w:t>（企业名称）</w:t>
      </w:r>
      <w:r>
        <w:rPr>
          <w:rFonts w:ascii="宋体" w:hAnsi="宋体"/>
          <w:color w:val="000000"/>
          <w:spacing w:val="6"/>
          <w:sz w:val="24"/>
        </w:rPr>
        <w:t>，从业人员</w:t>
      </w:r>
      <w:r>
        <w:rPr>
          <w:rFonts w:ascii="宋体" w:hAnsi="宋体"/>
          <w:color w:val="000000"/>
          <w:sz w:val="24"/>
        </w:rPr>
        <w:t>______</w:t>
      </w:r>
      <w:r>
        <w:rPr>
          <w:rFonts w:ascii="宋体" w:hAnsi="宋体"/>
          <w:color w:val="000000"/>
          <w:spacing w:val="6"/>
          <w:sz w:val="24"/>
        </w:rPr>
        <w:t>人，营业收入为</w:t>
      </w:r>
      <w:r>
        <w:rPr>
          <w:rFonts w:ascii="宋体" w:hAnsi="宋体"/>
          <w:color w:val="000000"/>
          <w:sz w:val="24"/>
        </w:rPr>
        <w:t>______</w:t>
      </w:r>
      <w:r>
        <w:rPr>
          <w:rFonts w:ascii="宋体" w:hAnsi="宋体"/>
          <w:color w:val="000000"/>
          <w:spacing w:val="6"/>
          <w:sz w:val="24"/>
        </w:rPr>
        <w:t>万元，资产总额为</w:t>
      </w:r>
      <w:r>
        <w:rPr>
          <w:rFonts w:ascii="宋体" w:hAnsi="宋体"/>
          <w:color w:val="000000"/>
          <w:sz w:val="24"/>
        </w:rPr>
        <w:t>______</w:t>
      </w:r>
      <w:r>
        <w:rPr>
          <w:rFonts w:ascii="宋体" w:hAnsi="宋体"/>
          <w:color w:val="000000"/>
          <w:spacing w:val="6"/>
          <w:sz w:val="24"/>
        </w:rPr>
        <w:t>万元</w:t>
      </w:r>
      <w:r>
        <w:rPr>
          <w:rFonts w:ascii="宋体" w:hAnsi="宋体"/>
          <w:color w:val="000000"/>
          <w:spacing w:val="6"/>
          <w:sz w:val="24"/>
          <w:vertAlign w:val="superscript"/>
        </w:rPr>
        <w:t>1</w:t>
      </w:r>
      <w:r>
        <w:rPr>
          <w:rFonts w:ascii="宋体" w:hAnsi="宋体"/>
          <w:color w:val="000000"/>
          <w:spacing w:val="6"/>
          <w:sz w:val="24"/>
        </w:rPr>
        <w:t>，属于（中型企业、小型企业、微型企业）；</w:t>
      </w:r>
    </w:p>
    <w:p>
      <w:pPr>
        <w:spacing w:line="360" w:lineRule="auto"/>
        <w:ind w:firstLine="504"/>
        <w:rPr>
          <w:rFonts w:ascii="宋体" w:hAnsi="宋体"/>
          <w:color w:val="000000"/>
          <w:spacing w:val="6"/>
          <w:sz w:val="24"/>
        </w:rPr>
      </w:pPr>
      <w:r>
        <w:rPr>
          <w:rFonts w:ascii="宋体" w:hAnsi="宋体"/>
          <w:color w:val="000000"/>
          <w:spacing w:val="6"/>
          <w:sz w:val="24"/>
        </w:rPr>
        <w:t xml:space="preserve">2. </w:t>
      </w:r>
      <w:r>
        <w:rPr>
          <w:rFonts w:ascii="宋体" w:hAnsi="宋体"/>
          <w:color w:val="000000"/>
          <w:spacing w:val="6"/>
          <w:sz w:val="24"/>
          <w:u w:val="single"/>
        </w:rPr>
        <w:t xml:space="preserve">（标的名称） </w:t>
      </w:r>
      <w:r>
        <w:rPr>
          <w:rFonts w:ascii="宋体" w:hAnsi="宋体"/>
          <w:color w:val="000000"/>
          <w:spacing w:val="6"/>
          <w:sz w:val="24"/>
        </w:rPr>
        <w:t>，属于</w:t>
      </w:r>
      <w:r>
        <w:rPr>
          <w:rFonts w:ascii="宋体" w:hAnsi="宋体"/>
          <w:color w:val="000000"/>
          <w:spacing w:val="6"/>
          <w:sz w:val="24"/>
          <w:u w:val="single"/>
        </w:rPr>
        <w:t>（</w:t>
      </w:r>
      <w:r>
        <w:rPr>
          <w:rFonts w:hint="eastAsia" w:ascii="宋体" w:hAnsi="宋体"/>
          <w:color w:val="000000"/>
          <w:spacing w:val="6"/>
          <w:sz w:val="24"/>
          <w:u w:val="single"/>
        </w:rPr>
        <w:t>采购文件</w:t>
      </w:r>
      <w:r>
        <w:rPr>
          <w:rFonts w:ascii="宋体" w:hAnsi="宋体"/>
          <w:color w:val="000000"/>
          <w:spacing w:val="6"/>
          <w:sz w:val="24"/>
          <w:u w:val="single"/>
        </w:rPr>
        <w:t>中明确的所属行业）</w:t>
      </w:r>
      <w:r>
        <w:rPr>
          <w:rFonts w:ascii="宋体" w:hAnsi="宋体"/>
          <w:color w:val="000000"/>
          <w:spacing w:val="6"/>
          <w:sz w:val="24"/>
        </w:rPr>
        <w:t>行业；承建（承接）企业为</w:t>
      </w:r>
      <w:r>
        <w:rPr>
          <w:rFonts w:ascii="宋体" w:hAnsi="宋体"/>
          <w:color w:val="000000"/>
          <w:spacing w:val="6"/>
          <w:sz w:val="24"/>
          <w:u w:val="single"/>
        </w:rPr>
        <w:t>（企业名称）</w:t>
      </w:r>
      <w:r>
        <w:rPr>
          <w:rFonts w:ascii="宋体" w:hAnsi="宋体"/>
          <w:color w:val="000000"/>
          <w:spacing w:val="6"/>
          <w:sz w:val="24"/>
        </w:rPr>
        <w:t>，从业人员</w:t>
      </w:r>
      <w:r>
        <w:rPr>
          <w:rFonts w:ascii="宋体" w:hAnsi="宋体"/>
          <w:color w:val="000000"/>
          <w:sz w:val="24"/>
        </w:rPr>
        <w:t>______</w:t>
      </w:r>
      <w:r>
        <w:rPr>
          <w:rFonts w:ascii="宋体" w:hAnsi="宋体"/>
          <w:color w:val="000000"/>
          <w:spacing w:val="6"/>
          <w:sz w:val="24"/>
        </w:rPr>
        <w:t>人，营业收入为</w:t>
      </w:r>
      <w:r>
        <w:rPr>
          <w:rFonts w:ascii="宋体" w:hAnsi="宋体"/>
          <w:color w:val="000000"/>
          <w:sz w:val="24"/>
        </w:rPr>
        <w:t>______</w:t>
      </w:r>
      <w:r>
        <w:rPr>
          <w:rFonts w:ascii="宋体" w:hAnsi="宋体"/>
          <w:color w:val="000000"/>
          <w:spacing w:val="6"/>
          <w:sz w:val="24"/>
        </w:rPr>
        <w:t>万元，资产总额为</w:t>
      </w:r>
      <w:r>
        <w:rPr>
          <w:rFonts w:ascii="宋体" w:hAnsi="宋体"/>
          <w:color w:val="000000"/>
          <w:sz w:val="24"/>
        </w:rPr>
        <w:t>______</w:t>
      </w:r>
      <w:r>
        <w:rPr>
          <w:rFonts w:ascii="宋体" w:hAnsi="宋体"/>
          <w:color w:val="000000"/>
          <w:spacing w:val="6"/>
          <w:sz w:val="24"/>
        </w:rPr>
        <w:t>万元，属于</w:t>
      </w:r>
      <w:r>
        <w:rPr>
          <w:rFonts w:ascii="宋体" w:hAnsi="宋体"/>
          <w:color w:val="000000"/>
          <w:spacing w:val="6"/>
          <w:sz w:val="24"/>
          <w:u w:val="single"/>
        </w:rPr>
        <w:t>（中型企业、小型企业、微型企业）</w:t>
      </w:r>
      <w:r>
        <w:rPr>
          <w:rFonts w:ascii="宋体" w:hAnsi="宋体"/>
          <w:color w:val="000000"/>
          <w:spacing w:val="6"/>
          <w:sz w:val="24"/>
        </w:rPr>
        <w:t>；</w:t>
      </w:r>
    </w:p>
    <w:p>
      <w:pPr>
        <w:spacing w:line="360" w:lineRule="auto"/>
        <w:ind w:firstLine="504"/>
        <w:rPr>
          <w:rFonts w:ascii="宋体" w:hAnsi="宋体"/>
          <w:color w:val="000000"/>
          <w:spacing w:val="6"/>
          <w:sz w:val="24"/>
        </w:rPr>
      </w:pPr>
    </w:p>
    <w:p>
      <w:pPr>
        <w:spacing w:line="360" w:lineRule="auto"/>
        <w:ind w:firstLine="504"/>
        <w:rPr>
          <w:rFonts w:ascii="宋体" w:hAnsi="宋体"/>
          <w:color w:val="000000"/>
          <w:spacing w:val="6"/>
          <w:sz w:val="24"/>
        </w:rPr>
      </w:pPr>
      <w:r>
        <w:rPr>
          <w:rFonts w:ascii="宋体" w:hAnsi="宋体"/>
          <w:color w:val="000000"/>
          <w:spacing w:val="6"/>
          <w:sz w:val="24"/>
        </w:rPr>
        <w:t>……</w:t>
      </w:r>
    </w:p>
    <w:p>
      <w:pPr>
        <w:spacing w:line="360" w:lineRule="auto"/>
        <w:ind w:firstLine="504"/>
        <w:rPr>
          <w:rFonts w:ascii="宋体" w:hAnsi="宋体"/>
          <w:color w:val="000000"/>
          <w:spacing w:val="6"/>
          <w:sz w:val="24"/>
        </w:rPr>
      </w:pPr>
      <w:r>
        <w:rPr>
          <w:rFonts w:ascii="宋体" w:hAnsi="宋体"/>
          <w:color w:val="000000"/>
          <w:spacing w:val="6"/>
          <w:sz w:val="24"/>
        </w:rPr>
        <w:t>以上企业，不属于大企业的分支机构，不存在控股股东为大企业的情形，也不存在与大企业的负责人为同一人的情形。</w:t>
      </w:r>
    </w:p>
    <w:p>
      <w:pPr>
        <w:spacing w:line="360" w:lineRule="auto"/>
        <w:ind w:firstLine="504"/>
        <w:rPr>
          <w:rFonts w:ascii="宋体" w:hAnsi="宋体"/>
          <w:color w:val="000000"/>
          <w:spacing w:val="6"/>
          <w:sz w:val="24"/>
        </w:rPr>
      </w:pPr>
      <w:r>
        <w:rPr>
          <w:rFonts w:ascii="宋体" w:hAnsi="宋体"/>
          <w:color w:val="000000"/>
          <w:spacing w:val="6"/>
          <w:sz w:val="24"/>
        </w:rPr>
        <w:t>本企业对上述声明内容的真实性负责。如有虚假，将依法承担相应责任。</w:t>
      </w: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w:t>
      </w:r>
    </w:p>
    <w:p>
      <w:pPr>
        <w:spacing w:line="360" w:lineRule="auto"/>
        <w:ind w:right="360" w:firstLine="480"/>
        <w:jc w:val="right"/>
        <w:rPr>
          <w:rFonts w:ascii="宋体" w:hAnsi="宋体"/>
          <w:color w:val="000000"/>
          <w:sz w:val="24"/>
        </w:rPr>
      </w:pPr>
      <w:r>
        <w:rPr>
          <w:rFonts w:ascii="宋体" w:hAnsi="宋体"/>
          <w:color w:val="000000"/>
          <w:sz w:val="24"/>
        </w:rPr>
        <w:t>日 期：______</w:t>
      </w:r>
    </w:p>
    <w:p>
      <w:pPr>
        <w:adjustRightInd w:val="0"/>
        <w:snapToGrid w:val="0"/>
        <w:jc w:val="left"/>
        <w:rPr>
          <w:rFonts w:ascii="宋体" w:hAnsi="宋体"/>
          <w:color w:val="000000"/>
          <w:sz w:val="24"/>
          <w:szCs w:val="21"/>
        </w:rPr>
      </w:pPr>
    </w:p>
    <w:p>
      <w:pPr>
        <w:adjustRightInd w:val="0"/>
        <w:snapToGrid w:val="0"/>
        <w:jc w:val="left"/>
        <w:rPr>
          <w:rFonts w:ascii="宋体" w:hAnsi="宋体"/>
          <w:color w:val="000000"/>
          <w:sz w:val="24"/>
          <w:szCs w:val="21"/>
        </w:rPr>
      </w:pPr>
    </w:p>
    <w:tbl>
      <w:tblPr>
        <w:tblStyle w:val="11"/>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jc w:val="center"/>
        <w:outlineLvl w:val="2"/>
        <w:rPr>
          <w:rFonts w:ascii="宋体" w:hAnsi="宋体"/>
          <w:b/>
          <w:color w:val="000000"/>
          <w:sz w:val="36"/>
          <w:szCs w:val="36"/>
        </w:rPr>
      </w:pPr>
      <w:r>
        <w:rPr>
          <w:rFonts w:ascii="宋体" w:hAnsi="宋体"/>
          <w:color w:val="000000"/>
          <w:sz w:val="24"/>
          <w:szCs w:val="20"/>
        </w:rPr>
        <w:br w:type="page"/>
      </w:r>
      <w:r>
        <w:rPr>
          <w:rFonts w:ascii="宋体" w:hAnsi="宋体"/>
          <w:b/>
          <w:bCs/>
          <w:color w:val="000000"/>
          <w:sz w:val="36"/>
          <w:szCs w:val="36"/>
        </w:rPr>
        <w:t>残疾人福利性单位声明函格式</w:t>
      </w:r>
    </w:p>
    <w:p>
      <w:pPr>
        <w:spacing w:line="588" w:lineRule="exact"/>
        <w:ind w:firstLine="504"/>
        <w:rPr>
          <w:rFonts w:ascii="宋体" w:hAnsi="宋体"/>
          <w:color w:val="000000"/>
          <w:spacing w:val="6"/>
          <w:sz w:val="24"/>
        </w:rPr>
      </w:pPr>
      <w:r>
        <w:rPr>
          <w:rFonts w:ascii="宋体" w:hAnsi="宋体"/>
          <w:color w:val="000000"/>
          <w:spacing w:val="6"/>
          <w:sz w:val="24"/>
        </w:rPr>
        <w:t>本单位郑重声明，根据《财政部 民政部 中国残疾人联合会关于促进残疾人就业政府采购政策的通知》（财库</w:t>
      </w:r>
      <w:r>
        <w:rPr>
          <w:rFonts w:ascii="宋体" w:hAnsi="宋体"/>
          <w:color w:val="000000"/>
          <w:sz w:val="24"/>
        </w:rPr>
        <w:t>〔2017〕 141</w:t>
      </w:r>
      <w:r>
        <w:rPr>
          <w:rFonts w:ascii="宋体" w:hAnsi="宋体"/>
          <w:color w:val="000000"/>
          <w:spacing w:val="6"/>
          <w:sz w:val="24"/>
        </w:rPr>
        <w:t>号）的规定，本单位</w:t>
      </w:r>
      <w:r>
        <w:rPr>
          <w:rFonts w:ascii="宋体" w:hAnsi="宋体"/>
          <w:b/>
          <w:color w:val="000000"/>
          <w:sz w:val="24"/>
        </w:rPr>
        <w:t>（</w:t>
      </w:r>
      <w:r>
        <w:rPr>
          <w:rFonts w:hint="eastAsia" w:ascii="宋体" w:hAnsi="宋体"/>
          <w:b/>
          <w:color w:val="000000"/>
          <w:sz w:val="24"/>
        </w:rPr>
        <w:t>请进行选择）</w:t>
      </w:r>
      <w:r>
        <w:rPr>
          <w:rFonts w:ascii="宋体" w:hAnsi="宋体"/>
          <w:color w:val="000000"/>
          <w:spacing w:val="6"/>
          <w:sz w:val="24"/>
        </w:rPr>
        <w:t>：</w:t>
      </w:r>
    </w:p>
    <w:p>
      <w:pPr>
        <w:spacing w:line="588" w:lineRule="exact"/>
        <w:ind w:firstLine="482"/>
        <w:rPr>
          <w:rFonts w:ascii="宋体" w:hAnsi="宋体"/>
          <w:b/>
          <w:color w:val="000000"/>
          <w:spacing w:val="6"/>
          <w:sz w:val="24"/>
        </w:rPr>
      </w:pPr>
      <w:r>
        <w:rPr>
          <w:rFonts w:ascii="宋体" w:hAnsi="宋体"/>
          <w:b/>
          <w:color w:val="000000"/>
          <w:sz w:val="24"/>
        </w:rPr>
        <w:t>□</w:t>
      </w:r>
      <w:r>
        <w:rPr>
          <w:rFonts w:ascii="宋体" w:hAnsi="宋体"/>
          <w:b/>
          <w:color w:val="000000"/>
          <w:spacing w:val="6"/>
          <w:sz w:val="24"/>
        </w:rPr>
        <w:t>不属于符合条件的残疾人福利性单位。</w:t>
      </w:r>
    </w:p>
    <w:p>
      <w:pPr>
        <w:spacing w:line="588" w:lineRule="exact"/>
        <w:ind w:firstLine="482"/>
        <w:rPr>
          <w:rFonts w:ascii="宋体" w:hAnsi="宋体"/>
          <w:color w:val="000000"/>
          <w:spacing w:val="6"/>
          <w:sz w:val="24"/>
        </w:rPr>
      </w:pPr>
      <w:r>
        <w:rPr>
          <w:rFonts w:ascii="宋体" w:hAnsi="宋体"/>
          <w:b/>
          <w:color w:val="000000"/>
          <w:sz w:val="24"/>
        </w:rPr>
        <w:t>□</w:t>
      </w:r>
      <w:r>
        <w:rPr>
          <w:rFonts w:ascii="宋体" w:hAnsi="宋体"/>
          <w:b/>
          <w:color w:val="000000"/>
          <w:spacing w:val="6"/>
          <w:sz w:val="24"/>
        </w:rPr>
        <w:t>属于符合条件的残疾人福利性单位，</w:t>
      </w:r>
      <w:r>
        <w:rPr>
          <w:rFonts w:ascii="宋体" w:hAnsi="宋体"/>
          <w:color w:val="000000"/>
          <w:spacing w:val="6"/>
          <w:sz w:val="24"/>
        </w:rPr>
        <w:t>且本单位参加</w:t>
      </w:r>
      <w:r>
        <w:rPr>
          <w:rFonts w:ascii="宋体" w:hAnsi="宋体"/>
          <w:color w:val="000000"/>
          <w:sz w:val="24"/>
        </w:rPr>
        <w:t>______</w:t>
      </w:r>
      <w:r>
        <w:rPr>
          <w:rFonts w:ascii="宋体" w:hAnsi="宋体"/>
          <w:color w:val="000000"/>
          <w:spacing w:val="6"/>
          <w:sz w:val="24"/>
        </w:rPr>
        <w:t>单位的</w:t>
      </w:r>
      <w:r>
        <w:rPr>
          <w:rFonts w:ascii="宋体" w:hAnsi="宋体"/>
          <w:color w:val="000000"/>
          <w:sz w:val="24"/>
        </w:rPr>
        <w:t>______</w:t>
      </w:r>
      <w:r>
        <w:rPr>
          <w:rFonts w:ascii="宋体" w:hAnsi="宋体"/>
          <w:color w:val="000000"/>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olor w:val="000000"/>
          <w:spacing w:val="6"/>
          <w:sz w:val="24"/>
        </w:rPr>
      </w:pPr>
      <w:r>
        <w:rPr>
          <w:rFonts w:ascii="宋体" w:hAnsi="宋体"/>
          <w:b/>
          <w:color w:val="000000"/>
          <w:spacing w:val="6"/>
          <w:sz w:val="24"/>
        </w:rPr>
        <w:t>本单位对上述声明的真实性负责。如有虚假，将依法承担相应责任。</w:t>
      </w:r>
    </w:p>
    <w:p>
      <w:pPr>
        <w:spacing w:line="588" w:lineRule="exact"/>
        <w:ind w:firstLine="504" w:firstLineChars="200"/>
        <w:rPr>
          <w:rFonts w:ascii="宋体" w:hAnsi="宋体"/>
          <w:color w:val="000000"/>
          <w:spacing w:val="6"/>
          <w:sz w:val="24"/>
        </w:rPr>
      </w:pPr>
    </w:p>
    <w:p>
      <w:pPr>
        <w:spacing w:line="588" w:lineRule="exact"/>
        <w:ind w:firstLine="504" w:firstLineChars="200"/>
        <w:rPr>
          <w:rFonts w:ascii="宋体" w:hAnsi="宋体"/>
          <w:color w:val="000000"/>
          <w:spacing w:val="6"/>
          <w:sz w:val="24"/>
        </w:rPr>
      </w:pPr>
    </w:p>
    <w:p>
      <w:pPr>
        <w:tabs>
          <w:tab w:val="left" w:pos="4860"/>
        </w:tabs>
        <w:spacing w:line="588" w:lineRule="exact"/>
        <w:ind w:right="1560" w:firstLine="504" w:firstLineChars="200"/>
        <w:jc w:val="right"/>
        <w:rPr>
          <w:rFonts w:ascii="宋体" w:hAnsi="宋体"/>
          <w:color w:val="000000"/>
          <w:spacing w:val="6"/>
          <w:sz w:val="24"/>
        </w:rPr>
      </w:pPr>
      <w:r>
        <w:rPr>
          <w:rFonts w:ascii="宋体" w:hAnsi="宋体"/>
          <w:color w:val="000000"/>
          <w:spacing w:val="6"/>
          <w:sz w:val="24"/>
        </w:rPr>
        <w:t xml:space="preserve">          单位名称（盖章）：</w:t>
      </w:r>
      <w:r>
        <w:rPr>
          <w:rFonts w:ascii="宋体" w:hAnsi="宋体"/>
          <w:color w:val="000000"/>
          <w:sz w:val="24"/>
        </w:rPr>
        <w:t>______</w:t>
      </w:r>
    </w:p>
    <w:p>
      <w:pPr>
        <w:tabs>
          <w:tab w:val="left" w:pos="4860"/>
        </w:tabs>
        <w:spacing w:line="588" w:lineRule="exact"/>
        <w:ind w:right="1560" w:firstLine="504" w:firstLineChars="200"/>
        <w:jc w:val="right"/>
        <w:rPr>
          <w:rFonts w:ascii="宋体" w:hAnsi="宋体"/>
          <w:color w:val="000000"/>
          <w:spacing w:val="6"/>
          <w:sz w:val="24"/>
        </w:rPr>
      </w:pPr>
      <w:r>
        <w:rPr>
          <w:rFonts w:ascii="宋体" w:hAnsi="宋体"/>
          <w:color w:val="000000"/>
          <w:spacing w:val="6"/>
          <w:sz w:val="24"/>
        </w:rPr>
        <w:t xml:space="preserve">       日  期：</w:t>
      </w:r>
      <w:r>
        <w:rPr>
          <w:rFonts w:ascii="宋体" w:hAnsi="宋体"/>
          <w:color w:val="000000"/>
          <w:sz w:val="24"/>
        </w:rPr>
        <w:t>______</w:t>
      </w:r>
    </w:p>
    <w:p>
      <w:pPr>
        <w:tabs>
          <w:tab w:val="left" w:pos="360"/>
        </w:tabs>
        <w:snapToGrid w:val="0"/>
        <w:spacing w:line="360" w:lineRule="auto"/>
        <w:outlineLvl w:val="1"/>
        <w:rPr>
          <w:rFonts w:ascii="宋体" w:hAnsi="宋体"/>
          <w:color w:val="000000"/>
          <w:sz w:val="24"/>
        </w:rPr>
      </w:pPr>
      <w:r>
        <w:rPr>
          <w:rFonts w:ascii="宋体" w:hAnsi="宋体"/>
          <w:color w:val="000000"/>
          <w:sz w:val="24"/>
          <w:szCs w:val="20"/>
        </w:rPr>
        <w:br w:type="page"/>
      </w:r>
      <w:r>
        <w:rPr>
          <w:rFonts w:hint="eastAsia" w:ascii="宋体" w:hAnsi="宋体"/>
          <w:color w:val="000000"/>
          <w:sz w:val="24"/>
        </w:rPr>
        <w:t>3 本项目的特定资格要求（如有）</w:t>
      </w:r>
    </w:p>
    <w:p>
      <w:pPr>
        <w:widowControl/>
        <w:jc w:val="center"/>
        <w:rPr>
          <w:rFonts w:ascii="宋体" w:hAnsi="宋体"/>
          <w:color w:val="000000"/>
          <w:sz w:val="24"/>
        </w:rPr>
      </w:pPr>
      <w:bookmarkStart w:id="680" w:name="_Hlt520343000"/>
      <w:bookmarkEnd w:id="680"/>
      <w:bookmarkStart w:id="681" w:name="_Hlt520274065"/>
      <w:bookmarkEnd w:id="681"/>
      <w:bookmarkStart w:id="682" w:name="_Hlt520274121"/>
      <w:bookmarkEnd w:id="682"/>
      <w:bookmarkStart w:id="683" w:name="_Hlt520274393"/>
      <w:bookmarkEnd w:id="683"/>
      <w:bookmarkStart w:id="684" w:name="_Hlt520355504"/>
      <w:bookmarkEnd w:id="684"/>
      <w:bookmarkStart w:id="685" w:name="_Hlt520273711"/>
      <w:bookmarkEnd w:id="685"/>
      <w:bookmarkStart w:id="686" w:name="_Hlt520274407"/>
      <w:bookmarkEnd w:id="686"/>
      <w:bookmarkStart w:id="687" w:name="_Hlt520343392"/>
      <w:bookmarkEnd w:id="687"/>
      <w:bookmarkStart w:id="688" w:name="_Hlt520350918"/>
      <w:bookmarkEnd w:id="688"/>
      <w:bookmarkStart w:id="689" w:name="_Hlt520271212"/>
      <w:bookmarkEnd w:id="689"/>
      <w:bookmarkStart w:id="690" w:name="_Toc226337252"/>
      <w:bookmarkStart w:id="691" w:name="_Toc142311058"/>
      <w:bookmarkStart w:id="692" w:name="_Toc195842921"/>
      <w:bookmarkStart w:id="693" w:name="_Toc150480794"/>
      <w:bookmarkStart w:id="694" w:name="_Toc226965829"/>
      <w:bookmarkStart w:id="695" w:name="_Toc127151556"/>
      <w:bookmarkStart w:id="696" w:name="_Toc150774761"/>
      <w:bookmarkStart w:id="697" w:name="_Toc226965746"/>
      <w:bookmarkStart w:id="698" w:name="_Toc226309800"/>
      <w:bookmarkStart w:id="699" w:name="_Toc520356217"/>
      <w:r>
        <w:rPr>
          <w:rFonts w:ascii="宋体" w:hAnsi="宋体"/>
          <w:color w:val="000000"/>
          <w:sz w:val="24"/>
        </w:rPr>
        <w:br w:type="page"/>
      </w:r>
    </w:p>
    <w:p>
      <w:pPr>
        <w:tabs>
          <w:tab w:val="left" w:pos="360"/>
        </w:tabs>
        <w:snapToGrid w:val="0"/>
        <w:spacing w:line="360" w:lineRule="auto"/>
        <w:outlineLvl w:val="1"/>
        <w:rPr>
          <w:rFonts w:ascii="宋体" w:hAnsi="宋体"/>
          <w:color w:val="000000"/>
          <w:sz w:val="24"/>
        </w:rPr>
      </w:pPr>
      <w:r>
        <w:rPr>
          <w:rFonts w:hint="eastAsia" w:ascii="宋体" w:hAnsi="宋体"/>
          <w:color w:val="000000"/>
          <w:sz w:val="24"/>
        </w:rPr>
        <w:t>4 响应书</w:t>
      </w:r>
      <w:bookmarkEnd w:id="690"/>
      <w:bookmarkEnd w:id="691"/>
      <w:bookmarkEnd w:id="692"/>
      <w:bookmarkEnd w:id="693"/>
      <w:bookmarkEnd w:id="694"/>
      <w:bookmarkEnd w:id="695"/>
      <w:bookmarkEnd w:id="696"/>
      <w:bookmarkEnd w:id="697"/>
      <w:bookmarkEnd w:id="698"/>
      <w:bookmarkEnd w:id="699"/>
      <w:r>
        <w:rPr>
          <w:rFonts w:hint="eastAsia" w:ascii="宋体" w:hAnsi="宋体"/>
          <w:color w:val="000000"/>
          <w:sz w:val="24"/>
        </w:rPr>
        <w:t>（实质性格式）</w:t>
      </w:r>
    </w:p>
    <w:p>
      <w:pPr>
        <w:spacing w:line="360" w:lineRule="auto"/>
        <w:jc w:val="center"/>
        <w:rPr>
          <w:rFonts w:ascii="宋体" w:hAnsi="宋体"/>
          <w:b/>
          <w:color w:val="000000"/>
          <w:sz w:val="36"/>
          <w:szCs w:val="36"/>
        </w:rPr>
      </w:pPr>
      <w:r>
        <w:rPr>
          <w:rFonts w:hint="eastAsia" w:ascii="宋体" w:hAnsi="宋体"/>
          <w:b/>
          <w:color w:val="000000"/>
          <w:sz w:val="36"/>
          <w:szCs w:val="36"/>
        </w:rPr>
        <w:t xml:space="preserve">响应书 </w:t>
      </w:r>
      <w:r>
        <w:rPr>
          <w:rFonts w:ascii="宋体" w:hAnsi="宋体"/>
          <w:b/>
          <w:color w:val="000000"/>
          <w:sz w:val="36"/>
          <w:szCs w:val="36"/>
        </w:rPr>
        <w:t xml:space="preserve">   </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color w:val="000000"/>
          <w:sz w:val="24"/>
        </w:rPr>
        <w:t>______</w:t>
      </w:r>
      <w:r>
        <w:rPr>
          <w:rFonts w:ascii="宋体" w:hAnsi="宋体"/>
          <w:color w:val="000000"/>
          <w:sz w:val="24"/>
          <w:szCs w:val="20"/>
        </w:rPr>
        <w:t>（项目名称，项目编号）组织的采购活动，并对此项目进行磋商。</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1.我方</w:t>
      </w:r>
      <w:r>
        <w:rPr>
          <w:rFonts w:ascii="宋体" w:hAnsi="宋体"/>
          <w:color w:val="000000"/>
          <w:sz w:val="24"/>
        </w:rPr>
        <w:t>已详细审查全部竞争性磋商文件</w:t>
      </w:r>
      <w:r>
        <w:rPr>
          <w:rFonts w:ascii="宋体" w:hAnsi="宋体"/>
          <w:color w:val="000000"/>
          <w:sz w:val="24"/>
          <w:szCs w:val="20"/>
        </w:rPr>
        <w:t>，自愿参与磋商并承诺如下：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本响应有效期为自响应文件提交截止之日起</w:t>
      </w:r>
      <w:r>
        <w:rPr>
          <w:rFonts w:ascii="宋体" w:hAnsi="宋体"/>
          <w:color w:val="000000"/>
          <w:sz w:val="24"/>
        </w:rPr>
        <w:t>______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w:t>
      </w:r>
      <w:bookmarkStart w:id="700" w:name="_Hlk145583004"/>
      <w:r>
        <w:rPr>
          <w:rFonts w:ascii="宋体" w:hAnsi="宋体"/>
          <w:color w:val="000000"/>
          <w:sz w:val="24"/>
          <w:szCs w:val="20"/>
        </w:rPr>
        <w:t>供的全部文件资料是真实、准确的，并对此承担一切法律后果</w:t>
      </w:r>
      <w:bookmarkEnd w:id="700"/>
      <w:r>
        <w:rPr>
          <w:rFonts w:ascii="宋体" w:hAnsi="宋体"/>
          <w:color w:val="000000"/>
          <w:sz w:val="24"/>
          <w:szCs w:val="20"/>
        </w:rPr>
        <w:t>。</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（4）</w:t>
      </w:r>
      <w:r>
        <w:rPr>
          <w:rFonts w:hint="eastAsia" w:ascii="宋体" w:hAnsi="宋体"/>
          <w:color w:val="000000"/>
          <w:sz w:val="24"/>
          <w:szCs w:val="20"/>
        </w:rPr>
        <w:t>如我方成交，我方将在法律规定的期限内与你方签订合同，按照竞争性磋商文件要求提交履约保证金，并在合同约定的期限内完成合同规定的全部义务。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2.其他补充条款（如有）：______。</w:t>
      </w:r>
    </w:p>
    <w:p>
      <w:pPr>
        <w:spacing w:line="360" w:lineRule="auto"/>
        <w:ind w:firstLine="480" w:firstLineChars="200"/>
        <w:rPr>
          <w:rFonts w:ascii="宋体" w:hAnsi="宋体"/>
          <w:color w:val="000000"/>
          <w:sz w:val="24"/>
        </w:rPr>
      </w:pPr>
      <w:r>
        <w:rPr>
          <w:rFonts w:ascii="宋体" w:hAnsi="宋体"/>
          <w:color w:val="000000"/>
          <w:sz w:val="24"/>
        </w:rPr>
        <w:t>与本磋商有关的一切正式往来信函请寄：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p>
    <w:p>
      <w:pPr>
        <w:autoSpaceDE w:val="0"/>
        <w:autoSpaceDN w:val="0"/>
        <w:adjustRightInd w:val="0"/>
        <w:snapToGrid w:val="0"/>
        <w:spacing w:before="25" w:after="25" w:line="360" w:lineRule="auto"/>
        <w:ind w:right="360" w:firstLine="360" w:firstLineChars="15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w:t>
      </w:r>
    </w:p>
    <w:p>
      <w:pPr>
        <w:tabs>
          <w:tab w:val="left" w:pos="5580"/>
        </w:tabs>
        <w:spacing w:line="360" w:lineRule="auto"/>
        <w:ind w:firstLine="360" w:firstLineChars="150"/>
        <w:rPr>
          <w:rFonts w:ascii="宋体" w:hAnsi="宋体"/>
          <w:color w:val="000000"/>
          <w:sz w:val="24"/>
          <w:szCs w:val="20"/>
        </w:rPr>
      </w:pPr>
      <w:r>
        <w:rPr>
          <w:rFonts w:ascii="宋体" w:hAnsi="宋体"/>
          <w:color w:val="000000"/>
          <w:sz w:val="24"/>
          <w:szCs w:val="20"/>
        </w:rPr>
        <w:t xml:space="preserve">日期：____年____月____日  </w:t>
      </w:r>
    </w:p>
    <w:p>
      <w:pPr>
        <w:rPr>
          <w:rFonts w:ascii="宋体" w:hAnsi="宋体"/>
          <w:color w:val="000000"/>
        </w:rPr>
      </w:pPr>
    </w:p>
    <w:p>
      <w:pPr>
        <w:tabs>
          <w:tab w:val="left" w:pos="360"/>
        </w:tabs>
        <w:snapToGrid w:val="0"/>
        <w:spacing w:line="360" w:lineRule="auto"/>
        <w:rPr>
          <w:rFonts w:ascii="宋体" w:hAnsi="宋体"/>
          <w:color w:val="000000"/>
          <w:sz w:val="24"/>
          <w:szCs w:val="20"/>
        </w:rPr>
      </w:pPr>
    </w:p>
    <w:p>
      <w:pPr>
        <w:tabs>
          <w:tab w:val="left" w:pos="360"/>
        </w:tabs>
        <w:snapToGrid w:val="0"/>
        <w:spacing w:line="360" w:lineRule="auto"/>
        <w:outlineLvl w:val="1"/>
        <w:rPr>
          <w:rFonts w:ascii="宋体" w:hAnsi="宋体"/>
          <w:color w:val="000000"/>
          <w:sz w:val="24"/>
        </w:rPr>
      </w:pPr>
      <w:r>
        <w:rPr>
          <w:rFonts w:ascii="宋体" w:hAnsi="宋体"/>
          <w:b/>
          <w:color w:val="000000"/>
          <w:sz w:val="24"/>
          <w:szCs w:val="20"/>
        </w:rPr>
        <w:br w:type="page"/>
      </w:r>
      <w:bookmarkStart w:id="701" w:name="_Hlt520356243"/>
      <w:bookmarkEnd w:id="701"/>
      <w:bookmarkStart w:id="702" w:name="_Hlt520355938"/>
      <w:bookmarkEnd w:id="702"/>
      <w:bookmarkStart w:id="703" w:name="_Toc226309801"/>
      <w:bookmarkStart w:id="704" w:name="_Toc265228395"/>
      <w:bookmarkStart w:id="705" w:name="_Ref467988705"/>
      <w:bookmarkStart w:id="706" w:name="_Toc305158899"/>
      <w:bookmarkStart w:id="707" w:name="_Toc480942350"/>
      <w:bookmarkStart w:id="708" w:name="_Toc305158825"/>
      <w:bookmarkStart w:id="709" w:name="_Toc226965747"/>
      <w:bookmarkStart w:id="710" w:name="_Toc150480795"/>
      <w:bookmarkStart w:id="711" w:name="_Toc226337253"/>
      <w:bookmarkStart w:id="712" w:name="_Toc142311059"/>
      <w:bookmarkStart w:id="713" w:name="_Toc520356218"/>
      <w:bookmarkStart w:id="714" w:name="_Toc127151557"/>
      <w:bookmarkStart w:id="715" w:name="_Toc150774762"/>
      <w:bookmarkStart w:id="716" w:name="_Toc195842922"/>
      <w:bookmarkStart w:id="717" w:name="_Toc226965830"/>
      <w:bookmarkStart w:id="718" w:name="_Toc264969247"/>
      <w:r>
        <w:rPr>
          <w:rFonts w:hint="eastAsia" w:ascii="宋体" w:hAnsi="宋体"/>
          <w:color w:val="000000"/>
          <w:sz w:val="24"/>
        </w:rPr>
        <w:t>5</w:t>
      </w:r>
      <w:r>
        <w:rPr>
          <w:rFonts w:ascii="宋体" w:hAnsi="宋体"/>
          <w:color w:val="000000"/>
          <w:sz w:val="24"/>
        </w:rPr>
        <w:t xml:space="preserve"> 授权委托书</w:t>
      </w:r>
      <w:r>
        <w:rPr>
          <w:rFonts w:hint="eastAsia" w:ascii="宋体" w:hAnsi="宋体"/>
          <w:color w:val="000000"/>
          <w:sz w:val="24"/>
        </w:rPr>
        <w:t>（实质性格式）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w:t>
      </w:r>
      <w:r>
        <w:rPr>
          <w:rFonts w:hint="eastAsia" w:ascii="宋体" w:hAnsi="宋体"/>
          <w:color w:val="000000"/>
          <w:sz w:val="24"/>
          <w:szCs w:val="20"/>
        </w:rPr>
        <w:t>提</w:t>
      </w:r>
      <w:r>
        <w:rPr>
          <w:rFonts w:ascii="宋体" w:hAnsi="宋体"/>
          <w:color w:val="000000"/>
          <w:sz w:val="24"/>
          <w:szCs w:val="20"/>
        </w:rPr>
        <w:t>交、撤回、修改____（项目名称）响应文件和处理有关事宜，其法律后果由我方承担。</w:t>
      </w:r>
    </w:p>
    <w:p>
      <w:pPr>
        <w:spacing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pPr>
        <w:spacing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pPr>
        <w:spacing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pPr>
        <w:spacing w:line="360" w:lineRule="auto"/>
        <w:rPr>
          <w:rFonts w:ascii="宋体" w:hAnsi="宋体"/>
          <w:color w:val="000000"/>
          <w:sz w:val="24"/>
          <w:szCs w:val="20"/>
        </w:rPr>
      </w:pPr>
      <w:r>
        <w:rPr>
          <w:rFonts w:ascii="宋体" w:hAnsi="宋体"/>
          <w:color w:val="000000"/>
          <w:sz w:val="24"/>
          <w:szCs w:val="20"/>
        </w:rPr>
        <w:t>法定代表人（单位负责人）（</w:t>
      </w:r>
      <w:r>
        <w:rPr>
          <w:rFonts w:hint="eastAsia" w:ascii="宋体" w:hAnsi="宋体"/>
          <w:color w:val="000000"/>
          <w:sz w:val="24"/>
          <w:szCs w:val="20"/>
        </w:rPr>
        <w:t>签字或签章</w:t>
      </w:r>
      <w:r>
        <w:rPr>
          <w:rFonts w:ascii="宋体" w:hAnsi="宋体"/>
          <w:color w:val="000000"/>
          <w:sz w:val="24"/>
          <w:szCs w:val="20"/>
        </w:rPr>
        <w:t>）：______________</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委托代理人（</w:t>
      </w:r>
      <w:r>
        <w:rPr>
          <w:rFonts w:hint="eastAsia" w:ascii="宋体" w:hAnsi="宋体"/>
          <w:color w:val="000000"/>
          <w:sz w:val="24"/>
        </w:rPr>
        <w:t>签字或签章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附：法定代表人及委托代理人身份证明文件</w:t>
      </w:r>
      <w:bookmarkStart w:id="719" w:name="_Hlk147917056"/>
      <w:r>
        <w:rPr>
          <w:rFonts w:hint="eastAsia" w:ascii="宋体" w:hAnsi="宋体"/>
          <w:color w:val="000000"/>
          <w:sz w:val="24"/>
          <w:szCs w:val="20"/>
        </w:rPr>
        <w:t>电子件</w:t>
      </w:r>
      <w:bookmarkEnd w:id="719"/>
      <w:r>
        <w:rPr>
          <w:rFonts w:hint="eastAsia" w:ascii="宋体" w:hAnsi="宋体"/>
          <w:color w:val="000000"/>
          <w:sz w:val="24"/>
          <w:szCs w:val="20"/>
        </w:rPr>
        <w:t>：</w:t>
      </w:r>
    </w:p>
    <w:tbl>
      <w:tblPr>
        <w:tblStyle w:val="11"/>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9047"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ascii="宋体" w:hAnsi="宋体"/>
          <w:color w:val="000000"/>
          <w:sz w:val="24"/>
          <w:szCs w:val="20"/>
        </w:rPr>
        <w:t>说明：</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若供应商为事业单位或其他组织或分支机构，则法定代表人（单位负责人）处的签署人可为单位负责人。</w:t>
      </w:r>
    </w:p>
    <w:p>
      <w:pPr>
        <w:tabs>
          <w:tab w:val="left" w:pos="5580"/>
        </w:tabs>
        <w:spacing w:line="360" w:lineRule="auto"/>
        <w:jc w:val="left"/>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.供应商为自然人的情形，可不提供本《授权委托书》</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p>
    <w:p>
      <w:pPr>
        <w:tabs>
          <w:tab w:val="left" w:pos="5580"/>
        </w:tabs>
        <w:spacing w:line="360" w:lineRule="auto"/>
        <w:jc w:val="left"/>
        <w:rPr>
          <w:rFonts w:ascii="宋体" w:hAnsi="宋体"/>
          <w:color w:val="000000"/>
          <w:sz w:val="24"/>
          <w:szCs w:val="20"/>
        </w:rPr>
      </w:pPr>
    </w:p>
    <w:p>
      <w:pPr>
        <w:widowControl/>
        <w:jc w:val="center"/>
        <w:rPr>
          <w:rFonts w:ascii="宋体" w:hAnsi="宋体"/>
          <w:b/>
          <w:color w:val="000000"/>
          <w:sz w:val="36"/>
          <w:szCs w:val="36"/>
        </w:rPr>
      </w:pPr>
      <w:r>
        <w:rPr>
          <w:rFonts w:ascii="宋体" w:hAnsi="宋体"/>
          <w:color w:val="000000"/>
          <w:sz w:val="30"/>
          <w:szCs w:val="30"/>
        </w:rPr>
        <w:br w:type="page"/>
      </w:r>
      <w:r>
        <w:rPr>
          <w:rFonts w:hint="eastAsia" w:ascii="宋体" w:hAnsi="宋体"/>
          <w:b/>
          <w:color w:val="000000"/>
          <w:sz w:val="36"/>
          <w:szCs w:val="36"/>
        </w:rPr>
        <w:t>法定代表人（单位负责人）身份证明</w:t>
      </w:r>
    </w:p>
    <w:p>
      <w:pPr>
        <w:kinsoku w:val="0"/>
        <w:overflowPunct w:val="0"/>
        <w:spacing w:line="200" w:lineRule="exact"/>
        <w:rPr>
          <w:rFonts w:ascii="宋体" w:hAnsi="宋体"/>
          <w:color w:val="000000"/>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color w:val="000000"/>
        </w:rPr>
      </w:pPr>
      <w:r>
        <w:rPr>
          <w:color w:val="000000"/>
        </w:rPr>
        <w:t>兹证明，</w:t>
      </w:r>
    </w:p>
    <w:p>
      <w:pPr>
        <w:pStyle w:val="2"/>
        <w:tabs>
          <w:tab w:val="left" w:pos="1690"/>
          <w:tab w:val="left" w:pos="3400"/>
          <w:tab w:val="left" w:pos="5110"/>
          <w:tab w:val="left" w:pos="6821"/>
        </w:tabs>
        <w:kinsoku w:val="0"/>
        <w:overflowPunct w:val="0"/>
        <w:spacing w:line="335" w:lineRule="exact"/>
        <w:rPr>
          <w:color w:val="000000"/>
        </w:rPr>
      </w:pPr>
      <w:r>
        <w:rPr>
          <w:color w:val="000000"/>
        </w:rPr>
        <w:t>姓名：</w:t>
      </w:r>
      <w:r>
        <w:rPr>
          <w:color w:val="000000"/>
          <w:szCs w:val="20"/>
        </w:rPr>
        <w:t>____</w:t>
      </w:r>
      <w:r>
        <w:rPr>
          <w:color w:val="000000"/>
        </w:rPr>
        <w:t>性别：</w:t>
      </w:r>
      <w:r>
        <w:rPr>
          <w:color w:val="000000"/>
          <w:szCs w:val="20"/>
        </w:rPr>
        <w:t>____</w:t>
      </w:r>
      <w:r>
        <w:rPr>
          <w:color w:val="000000"/>
        </w:rPr>
        <w:t>年龄：</w:t>
      </w:r>
      <w:r>
        <w:rPr>
          <w:color w:val="000000"/>
          <w:szCs w:val="20"/>
        </w:rPr>
        <w:t>____</w:t>
      </w:r>
      <w:r>
        <w:rPr>
          <w:color w:val="000000"/>
        </w:rPr>
        <w:t>职务：</w:t>
      </w:r>
      <w:r>
        <w:rPr>
          <w:color w:val="000000"/>
          <w:szCs w:val="20"/>
        </w:rPr>
        <w:t>____</w:t>
      </w:r>
    </w:p>
    <w:p>
      <w:pPr>
        <w:pStyle w:val="2"/>
        <w:tabs>
          <w:tab w:val="left" w:pos="2412"/>
          <w:tab w:val="left" w:pos="3883"/>
          <w:tab w:val="left" w:pos="5352"/>
          <w:tab w:val="left" w:pos="6821"/>
        </w:tabs>
        <w:kinsoku w:val="0"/>
        <w:overflowPunct w:val="0"/>
        <w:spacing w:line="335" w:lineRule="exact"/>
        <w:rPr>
          <w:color w:val="000000"/>
        </w:rPr>
      </w:pPr>
    </w:p>
    <w:p>
      <w:pPr>
        <w:pStyle w:val="2"/>
        <w:tabs>
          <w:tab w:val="left" w:pos="2250"/>
          <w:tab w:val="left" w:pos="2412"/>
          <w:tab w:val="left" w:pos="3883"/>
          <w:tab w:val="left" w:pos="5352"/>
          <w:tab w:val="left" w:pos="6821"/>
          <w:tab w:val="clear" w:pos="567"/>
        </w:tabs>
        <w:kinsoku w:val="0"/>
        <w:overflowPunct w:val="0"/>
        <w:spacing w:line="335" w:lineRule="exact"/>
        <w:rPr>
          <w:color w:val="000000"/>
        </w:rPr>
      </w:pPr>
      <w:r>
        <w:rPr>
          <w:color w:val="000000"/>
        </w:rPr>
        <w:t>系</w:t>
      </w:r>
      <w:r>
        <w:rPr>
          <w:color w:val="000000"/>
          <w:szCs w:val="20"/>
        </w:rPr>
        <w:t>__________</w:t>
      </w:r>
      <w:r>
        <w:rPr>
          <w:color w:val="000000"/>
        </w:rPr>
        <w:t>（供应商名称）的法定代表人（单位负责人）。</w:t>
      </w:r>
    </w:p>
    <w:p>
      <w:pPr>
        <w:pStyle w:val="2"/>
        <w:tabs>
          <w:tab w:val="left" w:pos="2412"/>
          <w:tab w:val="left" w:pos="3883"/>
          <w:tab w:val="left" w:pos="5352"/>
          <w:tab w:val="left" w:pos="6821"/>
        </w:tabs>
        <w:kinsoku w:val="0"/>
        <w:overflowPunct w:val="0"/>
        <w:spacing w:line="335" w:lineRule="exact"/>
        <w:rPr>
          <w:color w:val="000000"/>
        </w:rPr>
      </w:pPr>
    </w:p>
    <w:p>
      <w:pPr>
        <w:pStyle w:val="2"/>
        <w:tabs>
          <w:tab w:val="left" w:pos="2412"/>
          <w:tab w:val="left" w:pos="3883"/>
          <w:tab w:val="left" w:pos="5352"/>
          <w:tab w:val="left" w:pos="6821"/>
        </w:tabs>
        <w:kinsoku w:val="0"/>
        <w:overflowPunct w:val="0"/>
        <w:spacing w:line="335" w:lineRule="exact"/>
        <w:rPr>
          <w:color w:val="000000"/>
        </w:rPr>
      </w:pPr>
    </w:p>
    <w:p>
      <w:pPr>
        <w:pStyle w:val="2"/>
        <w:tabs>
          <w:tab w:val="left" w:pos="2412"/>
          <w:tab w:val="left" w:pos="3883"/>
          <w:tab w:val="left" w:pos="5352"/>
          <w:tab w:val="left" w:pos="6821"/>
        </w:tabs>
        <w:kinsoku w:val="0"/>
        <w:overflowPunct w:val="0"/>
        <w:spacing w:line="335" w:lineRule="exact"/>
        <w:rPr>
          <w:color w:val="000000"/>
        </w:rPr>
      </w:pPr>
    </w:p>
    <w:p>
      <w:pPr>
        <w:pStyle w:val="2"/>
        <w:kinsoku w:val="0"/>
        <w:overflowPunct w:val="0"/>
        <w:spacing w:line="583" w:lineRule="auto"/>
        <w:ind w:right="-46"/>
        <w:rPr>
          <w:color w:val="000000"/>
          <w:spacing w:val="-3"/>
        </w:rPr>
      </w:pPr>
      <w:r>
        <w:rPr>
          <w:color w:val="000000"/>
        </w:rPr>
        <w:t>附：</w:t>
      </w:r>
      <w:r>
        <w:rPr>
          <w:rFonts w:hint="eastAsia"/>
          <w:color w:val="000000"/>
          <w:spacing w:val="-3"/>
        </w:rPr>
        <w:t>法定代表人（单位负责人）身份证、护照等身份证明文件电子件</w:t>
      </w:r>
    </w:p>
    <w:tbl>
      <w:tblPr>
        <w:tblStyle w:val="11"/>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trPr>
        <w:tc>
          <w:tcPr>
            <w:tcW w:w="9019"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2"/>
        <w:kinsoku w:val="0"/>
        <w:overflowPunct w:val="0"/>
        <w:spacing w:line="583" w:lineRule="auto"/>
        <w:ind w:right="4305"/>
        <w:rPr>
          <w:color w:val="000000"/>
          <w:spacing w:val="-3"/>
        </w:rPr>
      </w:pPr>
    </w:p>
    <w:p>
      <w:pPr>
        <w:pStyle w:val="2"/>
        <w:kinsoku w:val="0"/>
        <w:overflowPunct w:val="0"/>
        <w:spacing w:line="583" w:lineRule="auto"/>
        <w:ind w:right="4305"/>
        <w:rPr>
          <w:color w:val="000000"/>
          <w:spacing w:val="-3"/>
        </w:rPr>
      </w:pPr>
    </w:p>
    <w:p>
      <w:pPr>
        <w:pStyle w:val="2"/>
        <w:kinsoku w:val="0"/>
        <w:overflowPunct w:val="0"/>
        <w:spacing w:line="583" w:lineRule="auto"/>
        <w:ind w:right="4305"/>
        <w:rPr>
          <w:color w:val="000000"/>
          <w:spacing w:val="-3"/>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pacing w:val="-3"/>
          <w:sz w:val="24"/>
        </w:rPr>
        <w:t>法定代表人（</w:t>
      </w:r>
      <w:r>
        <w:rPr>
          <w:rFonts w:ascii="宋体" w:hAnsi="宋体"/>
          <w:color w:val="000000"/>
          <w:sz w:val="24"/>
        </w:rPr>
        <w:t>单位负责人</w:t>
      </w:r>
      <w:r>
        <w:rPr>
          <w:rFonts w:ascii="宋体" w:hAnsi="宋体"/>
          <w:color w:val="000000"/>
          <w:spacing w:val="-3"/>
          <w:sz w:val="24"/>
        </w:rPr>
        <w:t>）（签字或</w:t>
      </w:r>
      <w:r>
        <w:rPr>
          <w:rFonts w:hint="eastAsia" w:ascii="宋体" w:hAnsi="宋体"/>
          <w:color w:val="000000"/>
          <w:spacing w:val="-3"/>
          <w:sz w:val="24"/>
        </w:rPr>
        <w:t>签章</w:t>
      </w:r>
      <w:r>
        <w:rPr>
          <w:rFonts w:ascii="宋体" w:hAnsi="宋体"/>
          <w:color w:val="000000"/>
          <w:spacing w:val="-3"/>
          <w:sz w:val="24"/>
        </w:rPr>
        <w:t>）：</w:t>
      </w:r>
      <w:r>
        <w:rPr>
          <w:rFonts w:ascii="宋体" w:hAnsi="宋体"/>
          <w:color w:val="000000"/>
          <w:sz w:val="24"/>
        </w:rPr>
        <w:t>______</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____年____月____日</w:t>
      </w:r>
    </w:p>
    <w:p>
      <w:pPr>
        <w:widowControl/>
        <w:jc w:val="left"/>
        <w:rPr>
          <w:rFonts w:ascii="宋体" w:hAnsi="宋体"/>
          <w:i/>
          <w:color w:val="000000"/>
          <w:sz w:val="24"/>
          <w:szCs w:val="20"/>
          <w:u w:val="single"/>
        </w:rPr>
      </w:pPr>
    </w:p>
    <w:p>
      <w:pPr>
        <w:tabs>
          <w:tab w:val="left" w:pos="360"/>
        </w:tabs>
        <w:snapToGrid w:val="0"/>
        <w:spacing w:line="360" w:lineRule="auto"/>
        <w:outlineLvl w:val="1"/>
        <w:rPr>
          <w:rFonts w:ascii="宋体" w:hAnsi="宋体"/>
          <w:color w:val="000000"/>
          <w:sz w:val="24"/>
        </w:rPr>
      </w:pPr>
      <w:r>
        <w:rPr>
          <w:rFonts w:ascii="宋体" w:hAnsi="宋体"/>
          <w:color w:val="000000"/>
          <w:sz w:val="24"/>
          <w:szCs w:val="20"/>
        </w:rPr>
        <w:br w:type="page"/>
      </w:r>
      <w:r>
        <w:rPr>
          <w:rFonts w:hint="eastAsia" w:ascii="宋体" w:hAnsi="宋体"/>
          <w:color w:val="000000"/>
          <w:sz w:val="24"/>
        </w:rPr>
        <w:t>6</w:t>
      </w:r>
      <w:r>
        <w:rPr>
          <w:rFonts w:ascii="宋体" w:hAnsi="宋体"/>
          <w:color w:val="000000"/>
          <w:sz w:val="24"/>
        </w:rPr>
        <w:t xml:space="preserve"> 报价一览表</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spacing w:line="360" w:lineRule="exact"/>
        <w:jc w:val="center"/>
        <w:rPr>
          <w:rFonts w:ascii="宋体" w:hAnsi="宋体"/>
          <w:b/>
          <w:color w:val="000000"/>
          <w:sz w:val="36"/>
          <w:szCs w:val="36"/>
        </w:rPr>
      </w:pPr>
      <w:bookmarkStart w:id="720" w:name="_Toc226309802"/>
      <w:bookmarkStart w:id="721" w:name="_Toc164608672"/>
      <w:bookmarkStart w:id="722" w:name="_Toc264969248"/>
      <w:bookmarkStart w:id="723" w:name="_Toc226337254"/>
      <w:bookmarkStart w:id="724" w:name="_Toc265228396"/>
      <w:bookmarkStart w:id="725" w:name="_Toc195842923"/>
      <w:bookmarkStart w:id="726" w:name="_Toc305158826"/>
      <w:bookmarkStart w:id="727" w:name="_Toc226965748"/>
      <w:bookmarkStart w:id="728" w:name="_Toc226965831"/>
      <w:bookmarkStart w:id="729" w:name="_Toc164608827"/>
      <w:bookmarkStart w:id="730" w:name="_Toc305158900"/>
      <w:r>
        <w:rPr>
          <w:rFonts w:hint="eastAsia" w:ascii="宋体" w:hAnsi="宋体"/>
          <w:b/>
          <w:color w:val="000000"/>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pPr>
        <w:tabs>
          <w:tab w:val="left" w:pos="1800"/>
          <w:tab w:val="left" w:pos="5580"/>
        </w:tabs>
        <w:spacing w:line="360" w:lineRule="auto"/>
        <w:jc w:val="left"/>
        <w:rPr>
          <w:rFonts w:ascii="宋体" w:hAnsi="宋体"/>
          <w:color w:val="00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项目编号：___________     项目名称：___________</w:t>
      </w:r>
    </w:p>
    <w:tbl>
      <w:tblPr>
        <w:tblStyle w:val="11"/>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6"/>
        <w:gridCol w:w="2242"/>
        <w:gridCol w:w="2404"/>
        <w:gridCol w:w="230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jc w:val="center"/>
        </w:trPr>
        <w:tc>
          <w:tcPr>
            <w:tcW w:w="576"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序号</w:t>
            </w:r>
          </w:p>
        </w:tc>
        <w:tc>
          <w:tcPr>
            <w:tcW w:w="2242"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供应商名称</w:t>
            </w:r>
          </w:p>
        </w:tc>
        <w:tc>
          <w:tcPr>
            <w:tcW w:w="4709"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投标总价（元）</w:t>
            </w:r>
          </w:p>
        </w:tc>
        <w:tc>
          <w:tcPr>
            <w:tcW w:w="1559" w:type="dxa"/>
            <w:vMerge w:val="restart"/>
            <w:tcBorders>
              <w:top w:val="single" w:color="auto" w:sz="4" w:space="0"/>
              <w:left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sz w:val="24"/>
              </w:rPr>
            </w:pPr>
          </w:p>
        </w:tc>
        <w:tc>
          <w:tcPr>
            <w:tcW w:w="2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大写</w:t>
            </w:r>
          </w:p>
        </w:tc>
        <w:tc>
          <w:tcPr>
            <w:tcW w:w="230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小写</w:t>
            </w:r>
          </w:p>
        </w:tc>
        <w:tc>
          <w:tcPr>
            <w:tcW w:w="1559"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24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30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r>
        <w:rPr>
          <w:rFonts w:hint="eastAsia" w:ascii="宋体" w:hAnsi="宋体"/>
          <w:color w:val="000000"/>
          <w:sz w:val="24"/>
          <w:lang w:val="zh-CN"/>
        </w:rPr>
        <w:t>注：1.此表中，报价应和《分项报价表》中的总价相一致。</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w:t>
      </w:r>
    </w:p>
    <w:p>
      <w:pPr>
        <w:autoSpaceDE w:val="0"/>
        <w:autoSpaceDN w:val="0"/>
        <w:adjustRightInd w:val="0"/>
        <w:snapToGrid w:val="0"/>
        <w:spacing w:line="360" w:lineRule="auto"/>
        <w:rPr>
          <w:rFonts w:ascii="宋体" w:hAnsi="宋体"/>
          <w:color w:val="000000"/>
          <w:sz w:val="24"/>
          <w:szCs w:val="20"/>
        </w:rPr>
      </w:pPr>
      <w:r>
        <w:rPr>
          <w:rFonts w:ascii="宋体" w:hAnsi="宋体"/>
          <w:color w:val="000000"/>
          <w:sz w:val="24"/>
        </w:rPr>
        <w:t>日期：</w:t>
      </w:r>
      <w:r>
        <w:rPr>
          <w:rFonts w:ascii="宋体" w:hAnsi="宋体"/>
          <w:color w:val="000000"/>
          <w:sz w:val="24"/>
          <w:szCs w:val="20"/>
        </w:rPr>
        <w:t>____年____月____日</w:t>
      </w:r>
    </w:p>
    <w:p>
      <w:pPr>
        <w:rPr>
          <w:rFonts w:ascii="宋体" w:hAnsi="宋体"/>
          <w:color w:val="000000"/>
          <w:sz w:val="24"/>
          <w:szCs w:val="20"/>
        </w:rPr>
      </w:pPr>
      <w:r>
        <w:rPr>
          <w:rFonts w:ascii="宋体" w:hAnsi="宋体"/>
          <w:color w:val="000000"/>
          <w:sz w:val="24"/>
          <w:szCs w:val="20"/>
        </w:rPr>
        <w:br w:type="page"/>
      </w:r>
    </w:p>
    <w:p>
      <w:pPr>
        <w:tabs>
          <w:tab w:val="left" w:pos="360"/>
        </w:tabs>
        <w:snapToGrid w:val="0"/>
        <w:spacing w:line="360" w:lineRule="auto"/>
        <w:outlineLvl w:val="1"/>
        <w:rPr>
          <w:rFonts w:ascii="宋体" w:hAnsi="宋体"/>
          <w:color w:val="000000"/>
          <w:sz w:val="24"/>
          <w:lang w:val="zh-CN"/>
        </w:rPr>
      </w:pPr>
      <w:r>
        <w:rPr>
          <w:rFonts w:hint="eastAsia" w:ascii="宋体" w:hAnsi="宋体"/>
          <w:color w:val="000000"/>
          <w:sz w:val="24"/>
        </w:rPr>
        <w:t>7</w:t>
      </w:r>
      <w:r>
        <w:rPr>
          <w:rFonts w:hint="eastAsia" w:ascii="宋体" w:hAnsi="宋体"/>
          <w:color w:val="000000"/>
          <w:sz w:val="24"/>
          <w:lang w:val="zh-CN"/>
        </w:rPr>
        <w:t xml:space="preserve"> 分项报价表（实质性格式）</w:t>
      </w:r>
    </w:p>
    <w:p>
      <w:pPr>
        <w:pStyle w:val="2"/>
        <w:jc w:val="center"/>
        <w:rPr>
          <w:lang w:val="zh-CN"/>
        </w:rPr>
      </w:pPr>
    </w:p>
    <w:p>
      <w:pPr>
        <w:pStyle w:val="2"/>
        <w:jc w:val="center"/>
        <w:rPr>
          <w:lang w:val="zh-CN"/>
        </w:rPr>
      </w:pPr>
      <w:r>
        <w:rPr>
          <w:lang w:val="zh-CN"/>
        </w:rPr>
        <w:t>分项报价表</w:t>
      </w:r>
    </w:p>
    <w:p>
      <w:pPr>
        <w:pStyle w:val="2"/>
        <w:jc w:val="center"/>
        <w:rPr>
          <w:lang w:val="zh-CN"/>
        </w:rPr>
      </w:pPr>
    </w:p>
    <w:p>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项目编号/包号：</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报价单位：人民币元</w:t>
      </w:r>
    </w:p>
    <w:tbl>
      <w:tblPr>
        <w:tblStyle w:val="1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74"/>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序号</w:t>
            </w:r>
          </w:p>
        </w:tc>
        <w:tc>
          <w:tcPr>
            <w:tcW w:w="2174" w:type="dxa"/>
            <w:vAlign w:val="center"/>
          </w:tcPr>
          <w:p>
            <w:pPr>
              <w:pStyle w:val="2"/>
              <w:jc w:val="center"/>
            </w:pPr>
            <w:r>
              <w:rPr>
                <w:rFonts w:hint="eastAsia"/>
              </w:rPr>
              <w:t>分项名称</w:t>
            </w:r>
          </w:p>
        </w:tc>
        <w:tc>
          <w:tcPr>
            <w:tcW w:w="1510" w:type="dxa"/>
            <w:vAlign w:val="center"/>
          </w:tcPr>
          <w:p>
            <w:pPr>
              <w:pStyle w:val="2"/>
              <w:jc w:val="center"/>
            </w:pPr>
            <w:r>
              <w:rPr>
                <w:rFonts w:hint="eastAsia"/>
              </w:rPr>
              <w:t>单价（元）</w:t>
            </w:r>
          </w:p>
        </w:tc>
        <w:tc>
          <w:tcPr>
            <w:tcW w:w="1510" w:type="dxa"/>
            <w:vAlign w:val="center"/>
          </w:tcPr>
          <w:p>
            <w:pPr>
              <w:pStyle w:val="2"/>
              <w:jc w:val="center"/>
            </w:pPr>
            <w:r>
              <w:rPr>
                <w:rFonts w:hint="eastAsia"/>
              </w:rPr>
              <w:t>数量</w:t>
            </w:r>
          </w:p>
        </w:tc>
        <w:tc>
          <w:tcPr>
            <w:tcW w:w="1510" w:type="dxa"/>
            <w:vAlign w:val="center"/>
          </w:tcPr>
          <w:p>
            <w:pPr>
              <w:pStyle w:val="2"/>
              <w:jc w:val="center"/>
            </w:pPr>
            <w:r>
              <w:rPr>
                <w:rFonts w:hint="eastAsia"/>
              </w:rPr>
              <w:t>合价（元）</w:t>
            </w:r>
          </w:p>
        </w:tc>
        <w:tc>
          <w:tcPr>
            <w:tcW w:w="1511" w:type="dxa"/>
            <w:vAlign w:val="center"/>
          </w:tcPr>
          <w:p>
            <w:pPr>
              <w:pStyle w:val="2"/>
              <w:jc w:val="center"/>
            </w:pPr>
            <w:r>
              <w:rPr>
                <w:rFonts w:hint="eastAsi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1</w:t>
            </w:r>
          </w:p>
        </w:tc>
        <w:tc>
          <w:tcPr>
            <w:tcW w:w="2174"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2</w:t>
            </w:r>
          </w:p>
        </w:tc>
        <w:tc>
          <w:tcPr>
            <w:tcW w:w="2174"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3</w:t>
            </w:r>
          </w:p>
        </w:tc>
        <w:tc>
          <w:tcPr>
            <w:tcW w:w="2174" w:type="dxa"/>
            <w:vAlign w:val="center"/>
          </w:tcPr>
          <w:p>
            <w:pPr>
              <w:pStyle w:val="2"/>
              <w:jc w:val="center"/>
            </w:pPr>
            <w:r>
              <w:t>…</w:t>
            </w: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p>
        </w:tc>
        <w:tc>
          <w:tcPr>
            <w:tcW w:w="5194" w:type="dxa"/>
            <w:gridSpan w:val="3"/>
            <w:vAlign w:val="center"/>
          </w:tcPr>
          <w:p>
            <w:pPr>
              <w:pStyle w:val="2"/>
              <w:jc w:val="center"/>
            </w:pPr>
            <w:r>
              <w:rPr>
                <w:rFonts w:hint="eastAsia"/>
              </w:rPr>
              <w:t>总价（元）</w:t>
            </w:r>
          </w:p>
        </w:tc>
        <w:tc>
          <w:tcPr>
            <w:tcW w:w="1510" w:type="dxa"/>
            <w:vAlign w:val="center"/>
          </w:tcPr>
          <w:p>
            <w:pPr>
              <w:pStyle w:val="2"/>
              <w:jc w:val="center"/>
            </w:pPr>
          </w:p>
        </w:tc>
        <w:tc>
          <w:tcPr>
            <w:tcW w:w="1511" w:type="dxa"/>
            <w:vAlign w:val="center"/>
          </w:tcPr>
          <w:p>
            <w:pPr>
              <w:pStyle w:val="2"/>
              <w:jc w:val="center"/>
            </w:pPr>
          </w:p>
        </w:tc>
      </w:tr>
    </w:tbl>
    <w:p>
      <w:pPr>
        <w:pStyle w:val="2"/>
        <w:adjustRightInd w:val="0"/>
        <w:snapToGrid w:val="0"/>
        <w:spacing w:line="360" w:lineRule="auto"/>
      </w:pPr>
      <w:r>
        <w:rPr>
          <w:rFonts w:hint="eastAsia"/>
        </w:rPr>
        <w:t>注：1</w:t>
      </w:r>
      <w:r>
        <w:t>.</w:t>
      </w:r>
      <w:r>
        <w:rPr>
          <w:rFonts w:hint="eastAsia"/>
        </w:rPr>
        <w:t>上述各项的详细规格（如有），可另页描述。</w:t>
      </w:r>
    </w:p>
    <w:p>
      <w:pPr>
        <w:pStyle w:val="2"/>
        <w:adjustRightInd w:val="0"/>
        <w:snapToGrid w:val="0"/>
        <w:spacing w:line="360" w:lineRule="auto"/>
        <w:ind w:firstLine="480"/>
      </w:pPr>
      <w:r>
        <w:t>2.总价应与报价一览表投标总价一致。</w:t>
      </w:r>
    </w:p>
    <w:p>
      <w:pPr>
        <w:pStyle w:val="2"/>
        <w:adjustRightInd w:val="0"/>
        <w:snapToGrid w:val="0"/>
        <w:spacing w:line="360" w:lineRule="auto"/>
        <w:ind w:firstLine="480"/>
      </w:pPr>
      <w:bookmarkStart w:id="731" w:name="OLE_LINK22"/>
      <w:r>
        <w:rPr>
          <w:rFonts w:hint="eastAsia"/>
        </w:rPr>
        <w:t>3</w:t>
      </w:r>
      <w:r>
        <w:t>.供应商应综合考虑人员工资、加班费、</w:t>
      </w:r>
      <w:r>
        <w:rPr>
          <w:rFonts w:hint="eastAsia"/>
        </w:rPr>
        <w:t>服装费、保险、公积金、差旅费、保洁物料费用，管理费、企业利润、税金等全部费用进行报价。</w:t>
      </w:r>
    </w:p>
    <w:bookmarkEnd w:id="731"/>
    <w:p>
      <w:pPr>
        <w:pStyle w:val="2"/>
      </w:pPr>
    </w:p>
    <w:p>
      <w:pPr>
        <w:pStyle w:val="2"/>
      </w:pPr>
    </w:p>
    <w:p>
      <w:pPr>
        <w:pStyle w:val="10"/>
        <w:ind w:firstLine="210"/>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w:t>
      </w:r>
    </w:p>
    <w:p>
      <w:pPr>
        <w:autoSpaceDE w:val="0"/>
        <w:autoSpaceDN w:val="0"/>
        <w:adjustRightInd w:val="0"/>
        <w:snapToGrid w:val="0"/>
        <w:spacing w:line="360" w:lineRule="auto"/>
        <w:rPr>
          <w:rFonts w:ascii="宋体" w:hAnsi="宋体"/>
          <w:color w:val="000000"/>
          <w:sz w:val="24"/>
          <w:szCs w:val="20"/>
        </w:rPr>
      </w:pPr>
      <w:r>
        <w:rPr>
          <w:rFonts w:ascii="宋体" w:hAnsi="宋体"/>
          <w:color w:val="000000"/>
          <w:sz w:val="24"/>
        </w:rPr>
        <w:t>日期：</w:t>
      </w:r>
      <w:r>
        <w:rPr>
          <w:rFonts w:ascii="宋体" w:hAnsi="宋体"/>
          <w:color w:val="000000"/>
          <w:sz w:val="24"/>
          <w:szCs w:val="20"/>
        </w:rPr>
        <w:t>____年____月____日</w:t>
      </w:r>
    </w:p>
    <w:p>
      <w:pPr>
        <w:pStyle w:val="2"/>
        <w:rPr>
          <w:lang w:val="zh-CN"/>
        </w:rPr>
      </w:pPr>
    </w:p>
    <w:p>
      <w:pPr>
        <w:rPr>
          <w:rFonts w:ascii="宋体" w:hAnsi="宋体"/>
          <w:color w:val="000000"/>
          <w:sz w:val="24"/>
        </w:rPr>
      </w:pPr>
      <w:bookmarkStart w:id="732" w:name="_Toc150774765"/>
      <w:bookmarkStart w:id="733" w:name="_Toc127151562"/>
      <w:bookmarkStart w:id="734" w:name="_Toc226965835"/>
      <w:bookmarkStart w:id="735" w:name="_Toc226337258"/>
      <w:bookmarkStart w:id="736" w:name="_Toc226965752"/>
      <w:bookmarkStart w:id="737" w:name="_Toc226309806"/>
      <w:bookmarkStart w:id="738" w:name="_Toc195842927"/>
      <w:bookmarkStart w:id="739" w:name="_Toc264969252"/>
      <w:bookmarkStart w:id="740" w:name="_Toc305158904"/>
      <w:bookmarkStart w:id="741" w:name="_Toc305158830"/>
      <w:bookmarkStart w:id="742" w:name="_Toc150480798"/>
      <w:bookmarkStart w:id="743" w:name="_Toc142311062"/>
      <w:bookmarkStart w:id="744" w:name="_Toc265228400"/>
      <w:bookmarkStart w:id="745" w:name="_Toc305158903"/>
      <w:bookmarkStart w:id="746" w:name="_Toc142311061"/>
      <w:bookmarkStart w:id="747" w:name="_Toc150774764"/>
      <w:bookmarkStart w:id="748" w:name="_Toc150480797"/>
      <w:bookmarkStart w:id="749" w:name="_Toc305158829"/>
      <w:bookmarkStart w:id="750" w:name="_Toc226965834"/>
      <w:bookmarkStart w:id="751" w:name="_Toc265228399"/>
      <w:bookmarkStart w:id="752" w:name="_Toc226965751"/>
      <w:bookmarkStart w:id="753" w:name="_Toc226309805"/>
      <w:bookmarkStart w:id="754" w:name="_Toc264969251"/>
      <w:bookmarkStart w:id="755" w:name="_Toc226337257"/>
      <w:bookmarkStart w:id="756" w:name="_Toc195842926"/>
      <w:bookmarkStart w:id="757" w:name="_Toc127151561"/>
      <w:r>
        <w:rPr>
          <w:rFonts w:hint="eastAsia" w:ascii="宋体" w:hAnsi="宋体"/>
          <w:color w:val="000000"/>
          <w:sz w:val="24"/>
        </w:rPr>
        <w:br w:type="page"/>
      </w:r>
    </w:p>
    <w:p>
      <w:pPr>
        <w:tabs>
          <w:tab w:val="left" w:pos="360"/>
        </w:tabs>
        <w:snapToGrid w:val="0"/>
        <w:spacing w:line="360" w:lineRule="auto"/>
        <w:outlineLvl w:val="1"/>
        <w:rPr>
          <w:rFonts w:ascii="宋体" w:hAnsi="宋体"/>
          <w:color w:val="000000"/>
          <w:sz w:val="24"/>
          <w:szCs w:val="20"/>
        </w:rPr>
      </w:pPr>
      <w:r>
        <w:rPr>
          <w:rFonts w:hint="eastAsia" w:ascii="宋体" w:hAnsi="宋体"/>
          <w:color w:val="000000"/>
          <w:sz w:val="24"/>
        </w:rPr>
        <w:t>8</w:t>
      </w:r>
      <w:r>
        <w:rPr>
          <w:rFonts w:ascii="宋体" w:hAnsi="宋体"/>
          <w:color w:val="000000"/>
          <w:sz w:val="24"/>
        </w:rPr>
        <w:t xml:space="preserve"> 合同条款偏离表</w:t>
      </w:r>
      <w:bookmarkEnd w:id="732"/>
      <w:bookmarkEnd w:id="733"/>
      <w:bookmarkEnd w:id="734"/>
      <w:bookmarkEnd w:id="735"/>
      <w:bookmarkEnd w:id="736"/>
      <w:bookmarkEnd w:id="737"/>
      <w:bookmarkEnd w:id="738"/>
      <w:bookmarkEnd w:id="739"/>
      <w:bookmarkEnd w:id="740"/>
      <w:bookmarkEnd w:id="741"/>
      <w:bookmarkEnd w:id="742"/>
      <w:bookmarkEnd w:id="743"/>
      <w:bookmarkEnd w:id="744"/>
      <w:r>
        <w:rPr>
          <w:rFonts w:hint="eastAsia" w:ascii="宋体" w:hAnsi="宋体"/>
          <w:color w:val="000000"/>
          <w:sz w:val="24"/>
        </w:rPr>
        <w:t>（实质性格式）</w:t>
      </w:r>
    </w:p>
    <w:p>
      <w:pPr>
        <w:tabs>
          <w:tab w:val="left" w:pos="2775"/>
          <w:tab w:val="center" w:pos="4153"/>
        </w:tabs>
        <w:autoSpaceDE w:val="0"/>
        <w:autoSpaceDN w:val="0"/>
        <w:adjustRightInd w:val="0"/>
        <w:spacing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hint="eastAsia" w:ascii="宋体" w:hAnsi="宋体"/>
          <w:b/>
          <w:color w:val="000000"/>
          <w:sz w:val="36"/>
          <w:szCs w:val="36"/>
        </w:rPr>
        <w:t>合同条款偏离表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项目编号：_______________     项目名称：_______________</w:t>
      </w:r>
    </w:p>
    <w:tbl>
      <w:tblPr>
        <w:tblStyle w:val="11"/>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549"/>
        <w:gridCol w:w="1721"/>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549" w:type="dxa"/>
            <w:vAlign w:val="center"/>
          </w:tcPr>
          <w:p>
            <w:pPr>
              <w:adjustRightInd w:val="0"/>
              <w:snapToGrid w:val="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721" w:type="dxa"/>
            <w:vAlign w:val="center"/>
          </w:tcPr>
          <w:p>
            <w:pPr>
              <w:adjustRightInd w:val="0"/>
              <w:snapToGrid w:val="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981" w:type="dxa"/>
            <w:vAlign w:val="center"/>
          </w:tcPr>
          <w:p>
            <w:pPr>
              <w:adjustRightInd w:val="0"/>
              <w:snapToGrid w:val="0"/>
              <w:jc w:val="center"/>
              <w:rPr>
                <w:rFonts w:ascii="宋体" w:hAnsi="宋体"/>
                <w:color w:val="000000"/>
                <w:sz w:val="24"/>
              </w:rPr>
            </w:pPr>
            <w:r>
              <w:rPr>
                <w:rFonts w:ascii="宋体" w:hAnsi="宋体"/>
                <w:color w:val="000000"/>
                <w:sz w:val="24"/>
              </w:rPr>
              <w:t>响应文件内容</w:t>
            </w:r>
          </w:p>
        </w:tc>
        <w:tc>
          <w:tcPr>
            <w:tcW w:w="2427"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2"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7" w:type="dxa"/>
            <w:gridSpan w:val="6"/>
            <w:vAlign w:val="center"/>
          </w:tcPr>
          <w:p>
            <w:pPr>
              <w:adjustRightInd w:val="0"/>
              <w:snapToGrid w:val="0"/>
              <w:jc w:val="left"/>
              <w:rPr>
                <w:rFonts w:ascii="宋体" w:hAnsi="宋体"/>
                <w:b/>
                <w:color w:val="000000"/>
                <w:sz w:val="24"/>
              </w:rPr>
            </w:pPr>
            <w:r>
              <w:rPr>
                <w:rFonts w:hint="eastAsia" w:ascii="宋体" w:hAnsi="宋体"/>
                <w:b/>
                <w:color w:val="000000"/>
                <w:sz w:val="24"/>
              </w:rPr>
              <w:t>对本项目合同条款的偏离情况（应进行选择，未选择响应无效）：</w:t>
            </w:r>
          </w:p>
          <w:p>
            <w:pPr>
              <w:adjustRightInd w:val="0"/>
              <w:snapToGrid w:val="0"/>
              <w:jc w:val="left"/>
              <w:rPr>
                <w:rFonts w:ascii="宋体" w:hAnsi="宋体"/>
                <w:color w:val="000000"/>
                <w:sz w:val="24"/>
                <w:szCs w:val="21"/>
              </w:rPr>
            </w:pPr>
            <w:r>
              <w:rPr>
                <w:rFonts w:ascii="宋体" w:hAnsi="宋体"/>
                <w:b/>
                <w:color w:val="000000"/>
                <w:sz w:val="24"/>
              </w:rPr>
              <w:t>□无偏离</w:t>
            </w:r>
            <w:r>
              <w:rPr>
                <w:rFonts w:ascii="宋体" w:hAnsi="宋体"/>
                <w:color w:val="000000"/>
                <w:sz w:val="24"/>
              </w:rPr>
              <w:t>（</w:t>
            </w:r>
            <w:r>
              <w:rPr>
                <w:rFonts w:hint="eastAsia" w:ascii="宋体" w:hAnsi="宋体"/>
                <w:color w:val="000000"/>
                <w:sz w:val="24"/>
                <w:szCs w:val="21"/>
              </w:rPr>
              <w:t>如无偏离，仅选择无偏离即可；无偏离即为对合同条款中的所有要求，均视</w:t>
            </w:r>
          </w:p>
          <w:p>
            <w:pPr>
              <w:adjustRightInd w:val="0"/>
              <w:snapToGrid w:val="0"/>
              <w:jc w:val="left"/>
              <w:rPr>
                <w:rFonts w:ascii="宋体" w:hAnsi="宋体"/>
                <w:b/>
                <w:color w:val="000000"/>
                <w:sz w:val="24"/>
              </w:rPr>
            </w:pPr>
            <w:r>
              <w:rPr>
                <w:rFonts w:hint="eastAsia" w:ascii="宋体" w:hAnsi="宋体"/>
                <w:color w:val="000000"/>
                <w:sz w:val="24"/>
                <w:szCs w:val="21"/>
              </w:rPr>
              <w:t>作供应商已对之理解和响应。</w:t>
            </w:r>
            <w:r>
              <w:rPr>
                <w:rFonts w:ascii="宋体" w:hAnsi="宋体"/>
                <w:color w:val="000000"/>
                <w:sz w:val="24"/>
              </w:rPr>
              <w:t>）</w:t>
            </w:r>
          </w:p>
          <w:p>
            <w:pPr>
              <w:adjustRightInd w:val="0"/>
              <w:snapToGrid w:val="0"/>
              <w:jc w:val="left"/>
              <w:rPr>
                <w:rFonts w:ascii="宋体" w:hAnsi="宋体"/>
                <w:color w:val="000000"/>
                <w:sz w:val="24"/>
                <w:szCs w:val="21"/>
              </w:rPr>
            </w:pPr>
            <w:r>
              <w:rPr>
                <w:rFonts w:ascii="宋体" w:hAnsi="宋体"/>
                <w:b/>
                <w:color w:val="000000"/>
                <w:sz w:val="24"/>
              </w:rPr>
              <w:t>□有偏离</w:t>
            </w:r>
            <w:r>
              <w:rPr>
                <w:rFonts w:ascii="宋体" w:hAnsi="宋体"/>
                <w:color w:val="000000"/>
                <w:sz w:val="24"/>
              </w:rPr>
              <w:t>（</w:t>
            </w:r>
            <w:r>
              <w:rPr>
                <w:rFonts w:hint="eastAsia" w:ascii="宋体" w:hAnsi="宋体"/>
                <w:color w:val="000000"/>
                <w:sz w:val="24"/>
                <w:szCs w:val="21"/>
              </w:rPr>
              <w:t>如有偏离，则应在本表中对负偏离项逐一列明，否则</w:t>
            </w:r>
            <w:r>
              <w:rPr>
                <w:rFonts w:hint="eastAsia" w:ascii="宋体" w:hAnsi="宋体"/>
                <w:b/>
                <w:bCs/>
                <w:color w:val="000000"/>
                <w:sz w:val="24"/>
                <w:szCs w:val="21"/>
              </w:rPr>
              <w:t>响应无效</w:t>
            </w:r>
            <w:r>
              <w:rPr>
                <w:rFonts w:hint="eastAsia" w:ascii="宋体" w:hAnsi="宋体"/>
                <w:color w:val="000000"/>
                <w:sz w:val="24"/>
                <w:szCs w:val="21"/>
              </w:rPr>
              <w:t>；对合同条款</w:t>
            </w:r>
          </w:p>
          <w:p>
            <w:pPr>
              <w:adjustRightInd w:val="0"/>
              <w:snapToGrid w:val="0"/>
              <w:jc w:val="left"/>
              <w:rPr>
                <w:rFonts w:ascii="宋体" w:hAnsi="宋体"/>
                <w:color w:val="000000"/>
                <w:sz w:val="24"/>
              </w:rPr>
            </w:pPr>
            <w:r>
              <w:rPr>
                <w:rFonts w:hint="eastAsia" w:ascii="宋体" w:hAnsi="宋体"/>
                <w:color w:val="000000"/>
                <w:sz w:val="24"/>
                <w:szCs w:val="21"/>
              </w:rPr>
              <w:t>中的所有要求，除本表列明的偏离外，均视作供应商已对之理解和响应。</w:t>
            </w: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ascii="宋体" w:hAnsi="宋体"/>
                <w:color w:val="000000"/>
                <w:sz w:val="24"/>
              </w:rPr>
            </w:pPr>
          </w:p>
        </w:tc>
        <w:tc>
          <w:tcPr>
            <w:tcW w:w="1549" w:type="dxa"/>
            <w:vAlign w:val="center"/>
          </w:tcPr>
          <w:p>
            <w:pPr>
              <w:adjustRightInd w:val="0"/>
              <w:snapToGrid w:val="0"/>
              <w:jc w:val="center"/>
              <w:rPr>
                <w:rFonts w:ascii="宋体" w:hAnsi="宋体"/>
                <w:color w:val="000000"/>
                <w:sz w:val="24"/>
              </w:rPr>
            </w:pPr>
          </w:p>
        </w:tc>
        <w:tc>
          <w:tcPr>
            <w:tcW w:w="1721" w:type="dxa"/>
            <w:vAlign w:val="center"/>
          </w:tcPr>
          <w:p>
            <w:pPr>
              <w:adjustRightInd w:val="0"/>
              <w:snapToGrid w:val="0"/>
              <w:jc w:val="center"/>
              <w:rPr>
                <w:rFonts w:ascii="宋体" w:hAnsi="宋体"/>
                <w:color w:val="000000"/>
                <w:sz w:val="24"/>
              </w:rPr>
            </w:pPr>
          </w:p>
        </w:tc>
        <w:tc>
          <w:tcPr>
            <w:tcW w:w="1981" w:type="dxa"/>
            <w:vAlign w:val="center"/>
          </w:tcPr>
          <w:p>
            <w:pPr>
              <w:adjustRightInd w:val="0"/>
              <w:snapToGrid w:val="0"/>
              <w:jc w:val="center"/>
              <w:rPr>
                <w:rFonts w:ascii="宋体" w:hAnsi="宋体"/>
                <w:color w:val="000000"/>
                <w:sz w:val="24"/>
              </w:rPr>
            </w:pPr>
          </w:p>
        </w:tc>
        <w:tc>
          <w:tcPr>
            <w:tcW w:w="2427" w:type="dxa"/>
            <w:vAlign w:val="center"/>
          </w:tcPr>
          <w:p>
            <w:pPr>
              <w:adjustRightInd w:val="0"/>
              <w:snapToGrid w:val="0"/>
              <w:jc w:val="center"/>
              <w:rPr>
                <w:rFonts w:ascii="宋体" w:hAnsi="宋体"/>
                <w:color w:val="000000"/>
                <w:sz w:val="24"/>
              </w:rPr>
            </w:pPr>
          </w:p>
        </w:tc>
        <w:tc>
          <w:tcPr>
            <w:tcW w:w="782"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ascii="宋体" w:hAnsi="宋体"/>
                <w:color w:val="000000"/>
                <w:sz w:val="24"/>
              </w:rPr>
            </w:pPr>
          </w:p>
        </w:tc>
        <w:tc>
          <w:tcPr>
            <w:tcW w:w="1549" w:type="dxa"/>
            <w:vAlign w:val="center"/>
          </w:tcPr>
          <w:p>
            <w:pPr>
              <w:adjustRightInd w:val="0"/>
              <w:snapToGrid w:val="0"/>
              <w:jc w:val="center"/>
              <w:rPr>
                <w:rFonts w:ascii="宋体" w:hAnsi="宋体"/>
                <w:color w:val="000000"/>
                <w:sz w:val="24"/>
              </w:rPr>
            </w:pPr>
          </w:p>
        </w:tc>
        <w:tc>
          <w:tcPr>
            <w:tcW w:w="1721" w:type="dxa"/>
            <w:vAlign w:val="center"/>
          </w:tcPr>
          <w:p>
            <w:pPr>
              <w:adjustRightInd w:val="0"/>
              <w:snapToGrid w:val="0"/>
              <w:jc w:val="center"/>
              <w:rPr>
                <w:rFonts w:ascii="宋体" w:hAnsi="宋体"/>
                <w:color w:val="000000"/>
                <w:sz w:val="24"/>
              </w:rPr>
            </w:pPr>
          </w:p>
        </w:tc>
        <w:tc>
          <w:tcPr>
            <w:tcW w:w="1981" w:type="dxa"/>
            <w:vAlign w:val="center"/>
          </w:tcPr>
          <w:p>
            <w:pPr>
              <w:adjustRightInd w:val="0"/>
              <w:snapToGrid w:val="0"/>
              <w:jc w:val="center"/>
              <w:rPr>
                <w:rFonts w:ascii="宋体" w:hAnsi="宋体"/>
                <w:color w:val="000000"/>
                <w:sz w:val="24"/>
              </w:rPr>
            </w:pPr>
          </w:p>
        </w:tc>
        <w:tc>
          <w:tcPr>
            <w:tcW w:w="2427" w:type="dxa"/>
            <w:vAlign w:val="center"/>
          </w:tcPr>
          <w:p>
            <w:pPr>
              <w:adjustRightInd w:val="0"/>
              <w:snapToGrid w:val="0"/>
              <w:jc w:val="center"/>
              <w:rPr>
                <w:rFonts w:ascii="宋体" w:hAnsi="宋体"/>
                <w:color w:val="000000"/>
                <w:sz w:val="24"/>
              </w:rPr>
            </w:pPr>
          </w:p>
        </w:tc>
        <w:tc>
          <w:tcPr>
            <w:tcW w:w="782"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ascii="宋体" w:hAnsi="宋体"/>
                <w:color w:val="000000"/>
                <w:sz w:val="24"/>
              </w:rPr>
            </w:pPr>
          </w:p>
        </w:tc>
        <w:tc>
          <w:tcPr>
            <w:tcW w:w="1549" w:type="dxa"/>
            <w:vAlign w:val="center"/>
          </w:tcPr>
          <w:p>
            <w:pPr>
              <w:adjustRightInd w:val="0"/>
              <w:snapToGrid w:val="0"/>
              <w:jc w:val="center"/>
              <w:rPr>
                <w:rFonts w:ascii="宋体" w:hAnsi="宋体"/>
                <w:color w:val="000000"/>
                <w:sz w:val="24"/>
              </w:rPr>
            </w:pPr>
          </w:p>
        </w:tc>
        <w:tc>
          <w:tcPr>
            <w:tcW w:w="1721" w:type="dxa"/>
            <w:vAlign w:val="center"/>
          </w:tcPr>
          <w:p>
            <w:pPr>
              <w:adjustRightInd w:val="0"/>
              <w:snapToGrid w:val="0"/>
              <w:jc w:val="center"/>
              <w:rPr>
                <w:rFonts w:ascii="宋体" w:hAnsi="宋体"/>
                <w:color w:val="000000"/>
                <w:sz w:val="24"/>
              </w:rPr>
            </w:pPr>
          </w:p>
        </w:tc>
        <w:tc>
          <w:tcPr>
            <w:tcW w:w="1981" w:type="dxa"/>
            <w:vAlign w:val="center"/>
          </w:tcPr>
          <w:p>
            <w:pPr>
              <w:adjustRightInd w:val="0"/>
              <w:snapToGrid w:val="0"/>
              <w:jc w:val="center"/>
              <w:rPr>
                <w:rFonts w:ascii="宋体" w:hAnsi="宋体"/>
                <w:color w:val="000000"/>
                <w:sz w:val="24"/>
              </w:rPr>
            </w:pPr>
          </w:p>
        </w:tc>
        <w:tc>
          <w:tcPr>
            <w:tcW w:w="2427" w:type="dxa"/>
            <w:vAlign w:val="center"/>
          </w:tcPr>
          <w:p>
            <w:pPr>
              <w:adjustRightInd w:val="0"/>
              <w:snapToGrid w:val="0"/>
              <w:jc w:val="center"/>
              <w:rPr>
                <w:rFonts w:ascii="宋体" w:hAnsi="宋体"/>
                <w:color w:val="000000"/>
                <w:sz w:val="24"/>
              </w:rPr>
            </w:pPr>
          </w:p>
        </w:tc>
        <w:tc>
          <w:tcPr>
            <w:tcW w:w="782"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ascii="宋体" w:hAnsi="宋体"/>
                <w:color w:val="000000"/>
                <w:sz w:val="24"/>
              </w:rPr>
            </w:pPr>
          </w:p>
        </w:tc>
        <w:tc>
          <w:tcPr>
            <w:tcW w:w="1549" w:type="dxa"/>
            <w:vAlign w:val="center"/>
          </w:tcPr>
          <w:p>
            <w:pPr>
              <w:adjustRightInd w:val="0"/>
              <w:snapToGrid w:val="0"/>
              <w:jc w:val="center"/>
              <w:rPr>
                <w:rFonts w:ascii="宋体" w:hAnsi="宋体"/>
                <w:color w:val="000000"/>
                <w:sz w:val="24"/>
              </w:rPr>
            </w:pPr>
          </w:p>
        </w:tc>
        <w:tc>
          <w:tcPr>
            <w:tcW w:w="1721" w:type="dxa"/>
            <w:vAlign w:val="center"/>
          </w:tcPr>
          <w:p>
            <w:pPr>
              <w:adjustRightInd w:val="0"/>
              <w:snapToGrid w:val="0"/>
              <w:jc w:val="center"/>
              <w:rPr>
                <w:rFonts w:ascii="宋体" w:hAnsi="宋体"/>
                <w:color w:val="000000"/>
                <w:sz w:val="24"/>
              </w:rPr>
            </w:pPr>
          </w:p>
        </w:tc>
        <w:tc>
          <w:tcPr>
            <w:tcW w:w="1981" w:type="dxa"/>
            <w:vAlign w:val="center"/>
          </w:tcPr>
          <w:p>
            <w:pPr>
              <w:adjustRightInd w:val="0"/>
              <w:snapToGrid w:val="0"/>
              <w:jc w:val="center"/>
              <w:rPr>
                <w:rFonts w:ascii="宋体" w:hAnsi="宋体"/>
                <w:color w:val="000000"/>
                <w:sz w:val="24"/>
              </w:rPr>
            </w:pPr>
          </w:p>
        </w:tc>
        <w:tc>
          <w:tcPr>
            <w:tcW w:w="2427" w:type="dxa"/>
            <w:vAlign w:val="center"/>
          </w:tcPr>
          <w:p>
            <w:pPr>
              <w:adjustRightInd w:val="0"/>
              <w:snapToGrid w:val="0"/>
              <w:jc w:val="center"/>
              <w:rPr>
                <w:rFonts w:ascii="宋体" w:hAnsi="宋体"/>
                <w:color w:val="000000"/>
                <w:sz w:val="24"/>
              </w:rPr>
            </w:pPr>
          </w:p>
        </w:tc>
        <w:tc>
          <w:tcPr>
            <w:tcW w:w="782"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hint="eastAsia" w:ascii="宋体" w:hAnsi="宋体"/>
          <w:color w:val="000000"/>
          <w:sz w:val="24"/>
        </w:rPr>
        <w:t>注：“偏离情况”列应据实填写“正偏离”或“负偏离”。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日期：____年____月____日    </w:t>
      </w:r>
    </w:p>
    <w:p>
      <w:pPr>
        <w:rPr>
          <w:rFonts w:ascii="宋体" w:hAnsi="宋体"/>
          <w:color w:val="000000"/>
          <w:sz w:val="24"/>
          <w:szCs w:val="20"/>
        </w:rPr>
      </w:pPr>
      <w:r>
        <w:rPr>
          <w:rFonts w:ascii="宋体" w:hAnsi="宋体"/>
          <w:color w:val="000000"/>
          <w:sz w:val="24"/>
          <w:szCs w:val="20"/>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p>
      <w:pPr>
        <w:tabs>
          <w:tab w:val="left" w:pos="360"/>
        </w:tabs>
        <w:snapToGrid w:val="0"/>
        <w:spacing w:line="360" w:lineRule="auto"/>
        <w:outlineLvl w:val="1"/>
        <w:rPr>
          <w:rFonts w:ascii="宋体" w:hAnsi="宋体"/>
          <w:color w:val="000000"/>
          <w:sz w:val="24"/>
          <w:szCs w:val="20"/>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项目编号：_______________     项目名称：_______________</w:t>
      </w:r>
    </w:p>
    <w:tbl>
      <w:tblPr>
        <w:tblStyle w:val="11"/>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ascii="宋体" w:hAnsi="宋体"/>
                <w:color w:val="000000"/>
                <w:sz w:val="24"/>
              </w:rPr>
              <w:t>竞争性磋商文件条目号(页码)</w:t>
            </w:r>
          </w:p>
        </w:tc>
        <w:tc>
          <w:tcPr>
            <w:tcW w:w="2384" w:type="dxa"/>
            <w:vAlign w:val="center"/>
          </w:tcPr>
          <w:p>
            <w:pPr>
              <w:adjustRightInd w:val="0"/>
              <w:snapToGrid w:val="0"/>
              <w:jc w:val="center"/>
              <w:rPr>
                <w:rFonts w:ascii="宋体" w:hAnsi="宋体"/>
                <w:color w:val="000000"/>
                <w:sz w:val="24"/>
              </w:rPr>
            </w:pPr>
            <w:r>
              <w:rPr>
                <w:rFonts w:ascii="宋体" w:hAnsi="宋体"/>
                <w:color w:val="000000"/>
                <w:sz w:val="24"/>
              </w:rPr>
              <w:t>竞争性磋商文件要求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spacing w:line="360" w:lineRule="auto"/>
        <w:ind w:firstLine="360" w:firstLineChars="150"/>
        <w:jc w:val="left"/>
        <w:rPr>
          <w:rFonts w:ascii="宋体" w:hAnsi="宋体"/>
          <w:color w:val="000000"/>
          <w:sz w:val="24"/>
          <w:u w:val="single"/>
        </w:rPr>
      </w:pPr>
    </w:p>
    <w:p>
      <w:pPr>
        <w:tabs>
          <w:tab w:val="left" w:pos="1800"/>
          <w:tab w:val="left" w:pos="5580"/>
        </w:tabs>
        <w:spacing w:line="360" w:lineRule="auto"/>
        <w:ind w:firstLine="360" w:firstLineChars="150"/>
        <w:jc w:val="left"/>
        <w:rPr>
          <w:rFonts w:ascii="宋体" w:hAnsi="宋体"/>
          <w:color w:val="000000"/>
          <w:sz w:val="24"/>
          <w:u w:val="single"/>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hint="eastAsia" w:ascii="宋体" w:hAnsi="宋体"/>
          <w:color w:val="000000"/>
          <w:sz w:val="24"/>
        </w:rPr>
        <w:t>1.对竞争性磋商文件中的所有商务、技术要求，除本表所列明的所有偏离外，均视作</w:t>
      </w:r>
    </w:p>
    <w:p>
      <w:pPr>
        <w:tabs>
          <w:tab w:val="left" w:pos="1800"/>
          <w:tab w:val="left" w:pos="5580"/>
        </w:tabs>
        <w:jc w:val="left"/>
        <w:rPr>
          <w:rFonts w:ascii="宋体" w:hAnsi="宋体"/>
          <w:color w:val="000000"/>
          <w:sz w:val="24"/>
        </w:rPr>
      </w:pPr>
      <w:r>
        <w:rPr>
          <w:rFonts w:hint="eastAsia" w:ascii="宋体" w:hAnsi="宋体"/>
          <w:color w:val="000000"/>
          <w:sz w:val="24"/>
        </w:rPr>
        <w:t>供应商已对之理解和响应。此表中若无任何文字说明，内容为空白的，响应无效。</w:t>
      </w:r>
    </w:p>
    <w:p>
      <w:pPr>
        <w:tabs>
          <w:tab w:val="left" w:pos="1800"/>
          <w:tab w:val="left" w:pos="5580"/>
        </w:tabs>
        <w:jc w:val="left"/>
        <w:rPr>
          <w:rFonts w:ascii="宋体" w:hAnsi="宋体"/>
          <w:color w:val="000000"/>
          <w:sz w:val="24"/>
        </w:rPr>
      </w:pPr>
      <w:r>
        <w:rPr>
          <w:rFonts w:hint="eastAsia" w:ascii="宋体" w:hAnsi="宋体"/>
          <w:color w:val="000000"/>
          <w:sz w:val="24"/>
        </w:rPr>
        <w:t>2.“偏离情况”列应据实填写“无偏离”、“正偏离”或“负偏离”。</w:t>
      </w:r>
    </w:p>
    <w:p>
      <w:pPr>
        <w:rPr>
          <w:rFonts w:ascii="宋体" w:hAnsi="宋体"/>
          <w:color w:val="000000"/>
          <w:sz w:val="24"/>
          <w:szCs w:val="20"/>
        </w:rPr>
      </w:pPr>
    </w:p>
    <w:p>
      <w:pPr>
        <w:autoSpaceDE w:val="0"/>
        <w:autoSpaceDN w:val="0"/>
        <w:adjustRightInd w:val="0"/>
        <w:snapToGrid w:val="0"/>
        <w:spacing w:before="25" w:after="25"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w:t>
      </w:r>
    </w:p>
    <w:p>
      <w:pPr>
        <w:autoSpaceDE w:val="0"/>
        <w:autoSpaceDN w:val="0"/>
        <w:adjustRightInd w:val="0"/>
        <w:snapToGrid w:val="0"/>
        <w:spacing w:before="25" w:after="25"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pPr>
        <w:tabs>
          <w:tab w:val="left" w:pos="1800"/>
          <w:tab w:val="left" w:pos="5580"/>
        </w:tabs>
        <w:spacing w:line="360" w:lineRule="auto"/>
        <w:ind w:firstLine="422" w:firstLineChars="150"/>
        <w:jc w:val="center"/>
        <w:rPr>
          <w:rFonts w:ascii="宋体" w:hAnsi="宋体"/>
          <w:b/>
          <w:color w:val="000000"/>
          <w:sz w:val="28"/>
          <w:szCs w:val="28"/>
        </w:rPr>
      </w:pPr>
    </w:p>
    <w:p>
      <w:pPr>
        <w:rPr>
          <w:rFonts w:ascii="宋体" w:hAnsi="宋体"/>
          <w:color w:val="000000"/>
          <w:sz w:val="24"/>
        </w:rPr>
      </w:pPr>
      <w:r>
        <w:rPr>
          <w:rFonts w:ascii="宋体" w:hAnsi="宋体"/>
          <w:color w:val="000000"/>
          <w:sz w:val="24"/>
        </w:rPr>
        <w:br w:type="page"/>
      </w:r>
    </w:p>
    <w:p>
      <w:pPr>
        <w:tabs>
          <w:tab w:val="left" w:pos="360"/>
        </w:tabs>
        <w:snapToGrid w:val="0"/>
        <w:spacing w:line="360" w:lineRule="auto"/>
        <w:outlineLvl w:val="1"/>
        <w:rPr>
          <w:rFonts w:ascii="宋体" w:hAnsi="宋体"/>
          <w:color w:val="000000"/>
          <w:sz w:val="24"/>
          <w:szCs w:val="20"/>
        </w:rPr>
      </w:pPr>
      <w:r>
        <w:rPr>
          <w:rFonts w:hint="eastAsia" w:ascii="宋体" w:hAnsi="宋体"/>
          <w:color w:val="000000"/>
          <w:sz w:val="24"/>
        </w:rPr>
        <w:t>10</w:t>
      </w:r>
      <w:r>
        <w:rPr>
          <w:rFonts w:ascii="宋体" w:hAnsi="宋体"/>
          <w:color w:val="000000"/>
          <w:sz w:val="24"/>
        </w:rPr>
        <w:t xml:space="preserve"> 企业业绩表</w:t>
      </w:r>
    </w:p>
    <w:p>
      <w:pPr>
        <w:tabs>
          <w:tab w:val="left" w:pos="1800"/>
          <w:tab w:val="left" w:pos="5580"/>
        </w:tabs>
        <w:spacing w:line="360" w:lineRule="auto"/>
        <w:ind w:firstLine="422" w:firstLineChars="150"/>
        <w:jc w:val="center"/>
        <w:rPr>
          <w:rFonts w:ascii="宋体" w:hAnsi="宋体"/>
          <w:b/>
          <w:color w:val="000000"/>
          <w:sz w:val="28"/>
          <w:szCs w:val="28"/>
        </w:rPr>
      </w:pPr>
      <w:r>
        <w:rPr>
          <w:rFonts w:hint="eastAsia" w:ascii="宋体" w:hAnsi="宋体"/>
          <w:b/>
          <w:color w:val="000000"/>
          <w:sz w:val="28"/>
          <w:szCs w:val="28"/>
        </w:rPr>
        <w:t>近</w:t>
      </w:r>
      <w:r>
        <w:rPr>
          <w:rFonts w:hint="eastAsia" w:ascii="宋体" w:hAnsi="宋体"/>
          <w:b/>
          <w:color w:val="000000"/>
          <w:sz w:val="28"/>
          <w:szCs w:val="28"/>
          <w:lang w:eastAsia="zh-CN"/>
        </w:rPr>
        <w:t>几</w:t>
      </w:r>
      <w:r>
        <w:rPr>
          <w:rFonts w:hint="eastAsia" w:ascii="宋体" w:hAnsi="宋体"/>
          <w:b/>
          <w:color w:val="000000"/>
          <w:sz w:val="28"/>
          <w:szCs w:val="28"/>
        </w:rPr>
        <w:t>年类似项目情况表</w:t>
      </w:r>
    </w:p>
    <w:tbl>
      <w:tblPr>
        <w:tblStyle w:val="12"/>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530"/>
        <w:gridCol w:w="196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576" w:type="dxa"/>
            <w:vAlign w:val="center"/>
          </w:tcPr>
          <w:p>
            <w:pPr>
              <w:autoSpaceDE w:val="0"/>
              <w:autoSpaceDN w:val="0"/>
              <w:adjustRightInd w:val="0"/>
              <w:jc w:val="center"/>
              <w:rPr>
                <w:rFonts w:ascii="宋体" w:cs="宋体"/>
                <w:color w:val="000000"/>
                <w:kern w:val="0"/>
                <w:sz w:val="24"/>
              </w:rPr>
            </w:pPr>
            <w:r>
              <w:rPr>
                <w:rFonts w:hint="eastAsia" w:ascii="宋体" w:cs="宋体"/>
                <w:color w:val="000000"/>
                <w:kern w:val="0"/>
                <w:sz w:val="24"/>
              </w:rPr>
              <w:t>序号</w:t>
            </w:r>
          </w:p>
        </w:tc>
        <w:tc>
          <w:tcPr>
            <w:tcW w:w="2530" w:type="dxa"/>
            <w:vAlign w:val="center"/>
          </w:tcPr>
          <w:p>
            <w:pPr>
              <w:autoSpaceDE w:val="0"/>
              <w:autoSpaceDN w:val="0"/>
              <w:adjustRightInd w:val="0"/>
              <w:jc w:val="center"/>
              <w:rPr>
                <w:rFonts w:ascii="宋体" w:cs="宋体"/>
                <w:color w:val="000000"/>
                <w:kern w:val="0"/>
                <w:sz w:val="24"/>
              </w:rPr>
            </w:pPr>
            <w:r>
              <w:rPr>
                <w:rFonts w:hint="eastAsia" w:ascii="宋体" w:cs="宋体"/>
                <w:color w:val="000000"/>
                <w:kern w:val="0"/>
                <w:sz w:val="24"/>
              </w:rPr>
              <w:t>项目名称</w:t>
            </w:r>
          </w:p>
        </w:tc>
        <w:tc>
          <w:tcPr>
            <w:tcW w:w="1962" w:type="dxa"/>
            <w:vAlign w:val="center"/>
          </w:tcPr>
          <w:p>
            <w:pPr>
              <w:autoSpaceDE w:val="0"/>
              <w:autoSpaceDN w:val="0"/>
              <w:adjustRightInd w:val="0"/>
              <w:jc w:val="center"/>
              <w:rPr>
                <w:rFonts w:ascii="宋体" w:cs="宋体"/>
                <w:color w:val="000000"/>
                <w:kern w:val="0"/>
                <w:sz w:val="24"/>
              </w:rPr>
            </w:pPr>
            <w:r>
              <w:rPr>
                <w:rFonts w:hint="eastAsia" w:ascii="宋体" w:cs="宋体"/>
                <w:color w:val="000000"/>
                <w:kern w:val="0"/>
                <w:sz w:val="24"/>
              </w:rPr>
              <w:t>项目内容</w:t>
            </w:r>
          </w:p>
        </w:tc>
        <w:tc>
          <w:tcPr>
            <w:tcW w:w="2858" w:type="dxa"/>
            <w:vAlign w:val="center"/>
          </w:tcPr>
          <w:p>
            <w:pPr>
              <w:autoSpaceDE w:val="0"/>
              <w:autoSpaceDN w:val="0"/>
              <w:adjustRightInd w:val="0"/>
              <w:jc w:val="center"/>
              <w:rPr>
                <w:rFonts w:ascii="宋体" w:cs="宋体"/>
                <w:color w:val="000000"/>
                <w:kern w:val="0"/>
                <w:sz w:val="24"/>
              </w:rPr>
            </w:pPr>
            <w:r>
              <w:rPr>
                <w:rFonts w:hint="eastAsia" w:ascii="宋体" w:cs="宋体"/>
                <w:color w:val="000000"/>
                <w:kern w:val="0"/>
                <w:sz w:val="24"/>
              </w:rPr>
              <w:t>招标人名称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1576" w:type="dxa"/>
            <w:vAlign w:val="center"/>
          </w:tcPr>
          <w:p>
            <w:pPr>
              <w:autoSpaceDE w:val="0"/>
              <w:autoSpaceDN w:val="0"/>
              <w:adjustRightInd w:val="0"/>
              <w:jc w:val="center"/>
              <w:rPr>
                <w:rFonts w:ascii="宋体" w:cs="宋体"/>
                <w:color w:val="000000"/>
                <w:kern w:val="0"/>
                <w:sz w:val="24"/>
              </w:rPr>
            </w:pPr>
          </w:p>
        </w:tc>
        <w:tc>
          <w:tcPr>
            <w:tcW w:w="2530" w:type="dxa"/>
            <w:vAlign w:val="center"/>
          </w:tcPr>
          <w:p>
            <w:pPr>
              <w:autoSpaceDE w:val="0"/>
              <w:autoSpaceDN w:val="0"/>
              <w:adjustRightInd w:val="0"/>
              <w:jc w:val="center"/>
              <w:rPr>
                <w:rFonts w:ascii="宋体" w:cs="宋体"/>
                <w:color w:val="000000"/>
                <w:kern w:val="0"/>
                <w:sz w:val="24"/>
              </w:rPr>
            </w:pPr>
          </w:p>
        </w:tc>
        <w:tc>
          <w:tcPr>
            <w:tcW w:w="1962" w:type="dxa"/>
            <w:vAlign w:val="center"/>
          </w:tcPr>
          <w:p>
            <w:pPr>
              <w:autoSpaceDE w:val="0"/>
              <w:autoSpaceDN w:val="0"/>
              <w:adjustRightInd w:val="0"/>
              <w:jc w:val="center"/>
              <w:rPr>
                <w:rFonts w:ascii="宋体" w:cs="宋体"/>
                <w:color w:val="000000"/>
                <w:kern w:val="0"/>
                <w:sz w:val="24"/>
              </w:rPr>
            </w:pPr>
          </w:p>
        </w:tc>
        <w:tc>
          <w:tcPr>
            <w:tcW w:w="2858" w:type="dxa"/>
            <w:vAlign w:val="center"/>
          </w:tcPr>
          <w:p>
            <w:pPr>
              <w:autoSpaceDE w:val="0"/>
              <w:autoSpaceDN w:val="0"/>
              <w:adjustRightIn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576" w:type="dxa"/>
            <w:vAlign w:val="center"/>
          </w:tcPr>
          <w:p>
            <w:pPr>
              <w:autoSpaceDE w:val="0"/>
              <w:autoSpaceDN w:val="0"/>
              <w:adjustRightInd w:val="0"/>
              <w:jc w:val="center"/>
              <w:rPr>
                <w:rFonts w:ascii="宋体" w:cs="宋体"/>
                <w:color w:val="000000"/>
                <w:kern w:val="0"/>
                <w:sz w:val="24"/>
              </w:rPr>
            </w:pPr>
          </w:p>
        </w:tc>
        <w:tc>
          <w:tcPr>
            <w:tcW w:w="2530" w:type="dxa"/>
            <w:vAlign w:val="center"/>
          </w:tcPr>
          <w:p>
            <w:pPr>
              <w:autoSpaceDE w:val="0"/>
              <w:autoSpaceDN w:val="0"/>
              <w:adjustRightInd w:val="0"/>
              <w:jc w:val="center"/>
              <w:rPr>
                <w:rFonts w:ascii="宋体" w:cs="宋体"/>
                <w:color w:val="000000"/>
                <w:kern w:val="0"/>
                <w:sz w:val="24"/>
              </w:rPr>
            </w:pPr>
          </w:p>
        </w:tc>
        <w:tc>
          <w:tcPr>
            <w:tcW w:w="1962" w:type="dxa"/>
            <w:vAlign w:val="center"/>
          </w:tcPr>
          <w:p>
            <w:pPr>
              <w:autoSpaceDE w:val="0"/>
              <w:autoSpaceDN w:val="0"/>
              <w:adjustRightInd w:val="0"/>
              <w:jc w:val="center"/>
              <w:rPr>
                <w:rFonts w:ascii="宋体" w:cs="宋体"/>
                <w:color w:val="000000"/>
                <w:kern w:val="0"/>
                <w:sz w:val="24"/>
              </w:rPr>
            </w:pPr>
          </w:p>
        </w:tc>
        <w:tc>
          <w:tcPr>
            <w:tcW w:w="2858" w:type="dxa"/>
            <w:vAlign w:val="center"/>
          </w:tcPr>
          <w:p>
            <w:pPr>
              <w:autoSpaceDE w:val="0"/>
              <w:autoSpaceDN w:val="0"/>
              <w:adjustRightIn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576" w:type="dxa"/>
            <w:vAlign w:val="center"/>
          </w:tcPr>
          <w:p>
            <w:pPr>
              <w:autoSpaceDE w:val="0"/>
              <w:autoSpaceDN w:val="0"/>
              <w:adjustRightInd w:val="0"/>
              <w:jc w:val="center"/>
              <w:rPr>
                <w:rFonts w:ascii="宋体" w:cs="宋体"/>
                <w:color w:val="000000"/>
                <w:kern w:val="0"/>
                <w:sz w:val="24"/>
              </w:rPr>
            </w:pPr>
          </w:p>
        </w:tc>
        <w:tc>
          <w:tcPr>
            <w:tcW w:w="2530" w:type="dxa"/>
            <w:vAlign w:val="center"/>
          </w:tcPr>
          <w:p>
            <w:pPr>
              <w:autoSpaceDE w:val="0"/>
              <w:autoSpaceDN w:val="0"/>
              <w:adjustRightInd w:val="0"/>
              <w:jc w:val="center"/>
              <w:rPr>
                <w:rFonts w:ascii="宋体" w:cs="宋体"/>
                <w:color w:val="000000"/>
                <w:kern w:val="0"/>
                <w:sz w:val="24"/>
              </w:rPr>
            </w:pPr>
          </w:p>
        </w:tc>
        <w:tc>
          <w:tcPr>
            <w:tcW w:w="1962" w:type="dxa"/>
            <w:vAlign w:val="center"/>
          </w:tcPr>
          <w:p>
            <w:pPr>
              <w:autoSpaceDE w:val="0"/>
              <w:autoSpaceDN w:val="0"/>
              <w:adjustRightInd w:val="0"/>
              <w:jc w:val="center"/>
              <w:rPr>
                <w:rFonts w:ascii="宋体" w:cs="宋体"/>
                <w:color w:val="000000"/>
                <w:kern w:val="0"/>
                <w:sz w:val="24"/>
              </w:rPr>
            </w:pPr>
          </w:p>
        </w:tc>
        <w:tc>
          <w:tcPr>
            <w:tcW w:w="2858" w:type="dxa"/>
            <w:vAlign w:val="center"/>
          </w:tcPr>
          <w:p>
            <w:pPr>
              <w:autoSpaceDE w:val="0"/>
              <w:autoSpaceDN w:val="0"/>
              <w:adjustRightIn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1576" w:type="dxa"/>
            <w:vAlign w:val="center"/>
          </w:tcPr>
          <w:p>
            <w:pPr>
              <w:autoSpaceDE w:val="0"/>
              <w:autoSpaceDN w:val="0"/>
              <w:adjustRightInd w:val="0"/>
              <w:jc w:val="center"/>
              <w:rPr>
                <w:rFonts w:ascii="宋体" w:cs="宋体"/>
                <w:color w:val="000000"/>
                <w:kern w:val="0"/>
                <w:sz w:val="24"/>
              </w:rPr>
            </w:pPr>
          </w:p>
        </w:tc>
        <w:tc>
          <w:tcPr>
            <w:tcW w:w="2530" w:type="dxa"/>
            <w:vAlign w:val="center"/>
          </w:tcPr>
          <w:p>
            <w:pPr>
              <w:autoSpaceDE w:val="0"/>
              <w:autoSpaceDN w:val="0"/>
              <w:adjustRightInd w:val="0"/>
              <w:jc w:val="center"/>
              <w:rPr>
                <w:rFonts w:ascii="宋体" w:cs="宋体"/>
                <w:color w:val="000000"/>
                <w:kern w:val="0"/>
                <w:sz w:val="24"/>
              </w:rPr>
            </w:pPr>
          </w:p>
        </w:tc>
        <w:tc>
          <w:tcPr>
            <w:tcW w:w="1962" w:type="dxa"/>
            <w:vAlign w:val="center"/>
          </w:tcPr>
          <w:p>
            <w:pPr>
              <w:autoSpaceDE w:val="0"/>
              <w:autoSpaceDN w:val="0"/>
              <w:adjustRightInd w:val="0"/>
              <w:jc w:val="center"/>
              <w:rPr>
                <w:rFonts w:ascii="宋体" w:cs="宋体"/>
                <w:color w:val="000000"/>
                <w:kern w:val="0"/>
                <w:sz w:val="24"/>
              </w:rPr>
            </w:pPr>
          </w:p>
        </w:tc>
        <w:tc>
          <w:tcPr>
            <w:tcW w:w="2858" w:type="dxa"/>
            <w:vAlign w:val="center"/>
          </w:tcPr>
          <w:p>
            <w:pPr>
              <w:autoSpaceDE w:val="0"/>
              <w:autoSpaceDN w:val="0"/>
              <w:adjustRightInd w:val="0"/>
              <w:jc w:val="center"/>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1576" w:type="dxa"/>
            <w:vAlign w:val="center"/>
          </w:tcPr>
          <w:p>
            <w:pPr>
              <w:autoSpaceDE w:val="0"/>
              <w:autoSpaceDN w:val="0"/>
              <w:adjustRightInd w:val="0"/>
              <w:jc w:val="center"/>
              <w:rPr>
                <w:rFonts w:ascii="宋体" w:cs="宋体"/>
                <w:color w:val="000000"/>
                <w:kern w:val="0"/>
                <w:sz w:val="24"/>
              </w:rPr>
            </w:pPr>
          </w:p>
        </w:tc>
        <w:tc>
          <w:tcPr>
            <w:tcW w:w="2530" w:type="dxa"/>
            <w:vAlign w:val="center"/>
          </w:tcPr>
          <w:p>
            <w:pPr>
              <w:autoSpaceDE w:val="0"/>
              <w:autoSpaceDN w:val="0"/>
              <w:adjustRightInd w:val="0"/>
              <w:jc w:val="center"/>
              <w:rPr>
                <w:rFonts w:ascii="宋体" w:cs="宋体"/>
                <w:color w:val="000000"/>
                <w:kern w:val="0"/>
                <w:sz w:val="24"/>
              </w:rPr>
            </w:pPr>
          </w:p>
        </w:tc>
        <w:tc>
          <w:tcPr>
            <w:tcW w:w="1962" w:type="dxa"/>
            <w:vAlign w:val="center"/>
          </w:tcPr>
          <w:p>
            <w:pPr>
              <w:autoSpaceDE w:val="0"/>
              <w:autoSpaceDN w:val="0"/>
              <w:adjustRightInd w:val="0"/>
              <w:jc w:val="center"/>
              <w:rPr>
                <w:rFonts w:ascii="宋体" w:cs="宋体"/>
                <w:color w:val="000000"/>
                <w:kern w:val="0"/>
                <w:sz w:val="24"/>
              </w:rPr>
            </w:pPr>
          </w:p>
        </w:tc>
        <w:tc>
          <w:tcPr>
            <w:tcW w:w="2858" w:type="dxa"/>
            <w:vAlign w:val="center"/>
          </w:tcPr>
          <w:p>
            <w:pPr>
              <w:autoSpaceDE w:val="0"/>
              <w:autoSpaceDN w:val="0"/>
              <w:adjustRightInd w:val="0"/>
              <w:jc w:val="center"/>
              <w:rPr>
                <w:rFonts w:ascii="宋体" w:cs="宋体"/>
                <w:color w:val="000000"/>
                <w:kern w:val="0"/>
                <w:sz w:val="24"/>
              </w:rPr>
            </w:pPr>
          </w:p>
        </w:tc>
      </w:tr>
    </w:tbl>
    <w:p>
      <w:pPr>
        <w:spacing w:line="360" w:lineRule="auto"/>
        <w:rPr>
          <w:rFonts w:ascii="宋体" w:hAnsi="宋体"/>
          <w:sz w:val="24"/>
        </w:rPr>
      </w:pPr>
    </w:p>
    <w:p>
      <w:pPr>
        <w:autoSpaceDE w:val="0"/>
        <w:autoSpaceDN w:val="0"/>
        <w:adjustRightInd w:val="0"/>
        <w:spacing w:line="360" w:lineRule="auto"/>
        <w:jc w:val="left"/>
        <w:rPr>
          <w:rFonts w:ascii="宋体" w:cs="宋体"/>
          <w:color w:val="000000"/>
          <w:kern w:val="0"/>
          <w:sz w:val="24"/>
        </w:rPr>
      </w:pPr>
      <w:r>
        <w:rPr>
          <w:rFonts w:hint="eastAsia" w:ascii="宋体" w:cs="宋体"/>
          <w:color w:val="000000"/>
          <w:kern w:val="0"/>
          <w:sz w:val="24"/>
        </w:rPr>
        <w:t>注：</w:t>
      </w:r>
      <w:r>
        <w:rPr>
          <w:rFonts w:ascii="宋体" w:cs="宋体"/>
          <w:color w:val="000000"/>
          <w:kern w:val="0"/>
          <w:sz w:val="24"/>
        </w:rPr>
        <w:t>1</w:t>
      </w:r>
      <w:r>
        <w:rPr>
          <w:rFonts w:hint="eastAsia" w:ascii="宋体" w:cs="宋体"/>
          <w:color w:val="000000"/>
          <w:kern w:val="0"/>
          <w:sz w:val="24"/>
        </w:rPr>
        <w:t>、类似业绩指2</w:t>
      </w:r>
      <w:r>
        <w:rPr>
          <w:rFonts w:ascii="宋体" w:cs="宋体"/>
          <w:color w:val="000000"/>
          <w:kern w:val="0"/>
          <w:sz w:val="24"/>
        </w:rPr>
        <w:t>02</w:t>
      </w:r>
      <w:r>
        <w:rPr>
          <w:rFonts w:hint="eastAsia" w:ascii="宋体" w:cs="宋体"/>
          <w:color w:val="000000"/>
          <w:kern w:val="0"/>
          <w:sz w:val="24"/>
          <w:lang w:val="en-US" w:eastAsia="zh-CN"/>
        </w:rPr>
        <w:t>3</w:t>
      </w:r>
      <w:r>
        <w:rPr>
          <w:rFonts w:ascii="宋体" w:cs="宋体"/>
          <w:color w:val="000000"/>
          <w:kern w:val="0"/>
          <w:sz w:val="24"/>
        </w:rPr>
        <w:t>年</w:t>
      </w:r>
      <w:r>
        <w:rPr>
          <w:rFonts w:hint="eastAsia" w:ascii="宋体" w:cs="宋体"/>
          <w:color w:val="000000"/>
          <w:kern w:val="0"/>
          <w:sz w:val="24"/>
          <w:lang w:val="en-US" w:eastAsia="zh-CN"/>
        </w:rPr>
        <w:t>01</w:t>
      </w:r>
      <w:r>
        <w:rPr>
          <w:rFonts w:ascii="宋体" w:cs="宋体"/>
          <w:color w:val="000000"/>
          <w:kern w:val="0"/>
          <w:sz w:val="24"/>
        </w:rPr>
        <w:t>月</w:t>
      </w:r>
      <w:r>
        <w:rPr>
          <w:rFonts w:hint="eastAsia" w:ascii="宋体" w:cs="宋体"/>
          <w:color w:val="000000"/>
          <w:kern w:val="0"/>
          <w:sz w:val="24"/>
          <w:lang w:val="en-US" w:eastAsia="zh-CN"/>
        </w:rPr>
        <w:t>01</w:t>
      </w:r>
      <w:r>
        <w:rPr>
          <w:rFonts w:hint="eastAsia" w:ascii="宋体" w:cs="宋体"/>
          <w:color w:val="000000"/>
          <w:kern w:val="0"/>
          <w:sz w:val="24"/>
        </w:rPr>
        <w:t>日</w:t>
      </w:r>
      <w:r>
        <w:rPr>
          <w:rFonts w:ascii="宋体" w:cs="宋体"/>
          <w:color w:val="000000"/>
          <w:kern w:val="0"/>
          <w:sz w:val="24"/>
        </w:rPr>
        <w:t>至今</w:t>
      </w:r>
      <w:r>
        <w:rPr>
          <w:rFonts w:hint="eastAsia" w:ascii="宋体" w:cs="宋体"/>
          <w:color w:val="000000"/>
          <w:kern w:val="0"/>
          <w:sz w:val="24"/>
        </w:rPr>
        <w:t>与本项目“采购需求”同类或类似的业绩。</w:t>
      </w:r>
    </w:p>
    <w:p>
      <w:pPr>
        <w:pStyle w:val="2"/>
        <w:adjustRightInd w:val="0"/>
        <w:snapToGrid w:val="0"/>
        <w:spacing w:line="360" w:lineRule="auto"/>
        <w:ind w:firstLine="480"/>
      </w:pPr>
      <w:r>
        <w:rPr>
          <w:rFonts w:cs="宋体"/>
          <w:color w:val="000000"/>
          <w:kern w:val="0"/>
        </w:rPr>
        <w:t>2</w:t>
      </w:r>
      <w:r>
        <w:rPr>
          <w:rFonts w:hint="eastAsia" w:cs="宋体"/>
          <w:color w:val="000000"/>
          <w:kern w:val="0"/>
        </w:rPr>
        <w:t>、</w:t>
      </w:r>
      <w:r>
        <w:rPr>
          <w:rFonts w:hint="eastAsia"/>
        </w:rPr>
        <w:t>需提供合同首页、服务内容所在页、签字盖章页等关键页扫描件的相关证明材料加盖供应商公章（无法识别合同类型或未提供证明材料的将不予认定）。</w:t>
      </w:r>
    </w:p>
    <w:p>
      <w:pPr>
        <w:pStyle w:val="2"/>
        <w:adjustRightInd w:val="0"/>
        <w:snapToGrid w:val="0"/>
        <w:spacing w:line="360" w:lineRule="auto"/>
        <w:ind w:firstLine="480"/>
        <w:rPr>
          <w:rFonts w:cs="宋体"/>
          <w:color w:val="000000"/>
          <w:kern w:val="0"/>
        </w:rPr>
      </w:pPr>
      <w:r>
        <w:rPr>
          <w:rFonts w:cs="宋体"/>
          <w:color w:val="000000"/>
          <w:kern w:val="0"/>
        </w:rPr>
        <w:t>3</w:t>
      </w:r>
      <w:r>
        <w:rPr>
          <w:rFonts w:hint="eastAsia" w:cs="宋体"/>
          <w:color w:val="000000"/>
          <w:kern w:val="0"/>
        </w:rPr>
        <w:t>、所有扫描件应清晰。</w:t>
      </w:r>
    </w:p>
    <w:p>
      <w:pPr>
        <w:rPr>
          <w:rFonts w:ascii="宋体" w:hAnsi="宋体"/>
          <w:sz w:val="24"/>
        </w:rPr>
      </w:pPr>
    </w:p>
    <w:p>
      <w:pPr>
        <w:rPr>
          <w:rFonts w:ascii="宋体" w:hAnsi="宋体"/>
          <w:sz w:val="24"/>
        </w:rPr>
      </w:pPr>
    </w:p>
    <w:p>
      <w:pPr>
        <w:autoSpaceDE w:val="0"/>
        <w:autoSpaceDN w:val="0"/>
        <w:adjustRightInd w:val="0"/>
        <w:snapToGrid w:val="0"/>
        <w:spacing w:before="25" w:after="25" w:line="360" w:lineRule="auto"/>
        <w:ind w:right="360"/>
        <w:jc w:val="left"/>
        <w:rPr>
          <w:rFonts w:ascii="宋体" w:hAnsi="宋体"/>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pPr>
        <w:autoSpaceDE w:val="0"/>
        <w:autoSpaceDN w:val="0"/>
        <w:adjustRightInd w:val="0"/>
        <w:snapToGrid w:val="0"/>
        <w:spacing w:before="25" w:after="25" w:line="360" w:lineRule="auto"/>
        <w:ind w:right="360"/>
        <w:jc w:val="left"/>
        <w:rPr>
          <w:rFonts w:ascii="宋体" w:hAnsi="宋体"/>
          <w:color w:val="000000"/>
          <w:sz w:val="24"/>
          <w:lang w:val="zh-CN"/>
        </w:rPr>
      </w:pPr>
    </w:p>
    <w:p>
      <w:pPr>
        <w:autoSpaceDE w:val="0"/>
        <w:autoSpaceDN w:val="0"/>
        <w:adjustRightInd w:val="0"/>
        <w:snapToGrid w:val="0"/>
        <w:spacing w:before="25" w:after="25" w:line="360" w:lineRule="auto"/>
        <w:ind w:right="360"/>
        <w:jc w:val="left"/>
        <w:rPr>
          <w:rFonts w:ascii="宋体" w:hAnsi="宋体"/>
          <w:color w:val="000000"/>
          <w:sz w:val="24"/>
          <w:szCs w:val="20"/>
        </w:rPr>
      </w:pPr>
      <w:r>
        <w:rPr>
          <w:rFonts w:ascii="宋体" w:hAnsi="宋体"/>
          <w:color w:val="000000"/>
          <w:sz w:val="24"/>
          <w:szCs w:val="20"/>
        </w:rPr>
        <w:t xml:space="preserve">日期：____年____月____日 </w:t>
      </w:r>
    </w:p>
    <w:p>
      <w:pPr>
        <w:rPr>
          <w:rFonts w:ascii="宋体" w:hAnsi="宋体"/>
          <w:sz w:val="24"/>
        </w:rPr>
      </w:pPr>
      <w:r>
        <w:rPr>
          <w:rFonts w:hint="eastAsia" w:ascii="宋体" w:hAnsi="宋体"/>
          <w:sz w:val="24"/>
        </w:rPr>
        <w:br w:type="page"/>
      </w:r>
    </w:p>
    <w:p>
      <w:pPr>
        <w:tabs>
          <w:tab w:val="left" w:pos="360"/>
        </w:tabs>
        <w:snapToGrid w:val="0"/>
        <w:spacing w:line="360" w:lineRule="auto"/>
        <w:outlineLvl w:val="1"/>
        <w:rPr>
          <w:rFonts w:ascii="宋体" w:hAnsi="宋体"/>
          <w:color w:val="000000"/>
          <w:sz w:val="24"/>
        </w:rPr>
      </w:pPr>
      <w:r>
        <w:rPr>
          <w:rFonts w:hint="eastAsia" w:ascii="宋体" w:hAnsi="宋体"/>
          <w:color w:val="000000"/>
          <w:sz w:val="24"/>
        </w:rPr>
        <w:t>11 拟派往本项目实施团队情况</w:t>
      </w:r>
    </w:p>
    <w:p>
      <w:pPr>
        <w:pStyle w:val="4"/>
      </w:pPr>
      <w:r>
        <w:rPr>
          <w:rFonts w:hint="eastAsia"/>
        </w:rPr>
        <w:t>本项目实施团队主要人员名单</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324"/>
        <w:gridCol w:w="1510"/>
        <w:gridCol w:w="1277"/>
        <w:gridCol w:w="141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vAlign w:val="center"/>
          </w:tcPr>
          <w:p>
            <w:pPr>
              <w:pStyle w:val="4"/>
              <w:ind w:firstLine="0"/>
              <w:jc w:val="center"/>
            </w:pPr>
            <w:r>
              <w:rPr>
                <w:rFonts w:hint="eastAsia"/>
              </w:rPr>
              <w:t>拟担任职务、分工</w:t>
            </w:r>
          </w:p>
        </w:tc>
        <w:tc>
          <w:tcPr>
            <w:tcW w:w="1324" w:type="dxa"/>
            <w:vAlign w:val="center"/>
          </w:tcPr>
          <w:p>
            <w:pPr>
              <w:pStyle w:val="4"/>
              <w:ind w:firstLine="0"/>
              <w:jc w:val="center"/>
            </w:pPr>
            <w:r>
              <w:rPr>
                <w:rFonts w:hint="eastAsia"/>
              </w:rPr>
              <w:t>姓名</w:t>
            </w:r>
          </w:p>
        </w:tc>
        <w:tc>
          <w:tcPr>
            <w:tcW w:w="1510" w:type="dxa"/>
            <w:vAlign w:val="center"/>
          </w:tcPr>
          <w:p>
            <w:pPr>
              <w:pStyle w:val="4"/>
              <w:ind w:firstLine="0"/>
              <w:jc w:val="center"/>
            </w:pPr>
            <w:r>
              <w:rPr>
                <w:rFonts w:hint="eastAsia"/>
              </w:rPr>
              <w:t>职称</w:t>
            </w:r>
          </w:p>
        </w:tc>
        <w:tc>
          <w:tcPr>
            <w:tcW w:w="1277" w:type="dxa"/>
            <w:vAlign w:val="center"/>
          </w:tcPr>
          <w:p>
            <w:pPr>
              <w:pStyle w:val="4"/>
              <w:ind w:firstLine="0"/>
              <w:jc w:val="center"/>
            </w:pPr>
            <w:r>
              <w:rPr>
                <w:rFonts w:hint="eastAsia"/>
              </w:rPr>
              <w:t>专业</w:t>
            </w:r>
          </w:p>
        </w:tc>
        <w:tc>
          <w:tcPr>
            <w:tcW w:w="1418" w:type="dxa"/>
            <w:vAlign w:val="center"/>
          </w:tcPr>
          <w:p>
            <w:pPr>
              <w:pStyle w:val="4"/>
              <w:ind w:firstLine="0"/>
              <w:jc w:val="center"/>
            </w:pPr>
            <w:r>
              <w:rPr>
                <w:rFonts w:hint="eastAsia"/>
              </w:rPr>
              <w:t>从业资格</w:t>
            </w:r>
          </w:p>
        </w:tc>
        <w:tc>
          <w:tcPr>
            <w:tcW w:w="1837" w:type="dxa"/>
            <w:vAlign w:val="center"/>
          </w:tcPr>
          <w:p>
            <w:pPr>
              <w:pStyle w:val="4"/>
              <w:ind w:firstLine="0"/>
              <w:jc w:val="center"/>
            </w:pPr>
            <w:r>
              <w:rPr>
                <w:rFonts w:hint="eastAsia"/>
              </w:rPr>
              <w:t>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695" w:type="dxa"/>
          </w:tcPr>
          <w:p>
            <w:pPr>
              <w:pStyle w:val="4"/>
              <w:ind w:firstLine="0"/>
            </w:pPr>
          </w:p>
        </w:tc>
        <w:tc>
          <w:tcPr>
            <w:tcW w:w="1324" w:type="dxa"/>
          </w:tcPr>
          <w:p>
            <w:pPr>
              <w:pStyle w:val="4"/>
              <w:ind w:firstLine="0"/>
            </w:pPr>
          </w:p>
        </w:tc>
        <w:tc>
          <w:tcPr>
            <w:tcW w:w="1510" w:type="dxa"/>
          </w:tcPr>
          <w:p>
            <w:pPr>
              <w:pStyle w:val="4"/>
              <w:ind w:firstLine="0"/>
            </w:pPr>
          </w:p>
        </w:tc>
        <w:tc>
          <w:tcPr>
            <w:tcW w:w="1277" w:type="dxa"/>
          </w:tcPr>
          <w:p>
            <w:pPr>
              <w:pStyle w:val="4"/>
              <w:ind w:firstLine="0"/>
            </w:pPr>
          </w:p>
        </w:tc>
        <w:tc>
          <w:tcPr>
            <w:tcW w:w="1418" w:type="dxa"/>
          </w:tcPr>
          <w:p>
            <w:pPr>
              <w:pStyle w:val="4"/>
              <w:ind w:firstLine="0"/>
            </w:pPr>
          </w:p>
        </w:tc>
        <w:tc>
          <w:tcPr>
            <w:tcW w:w="1837" w:type="dxa"/>
          </w:tcPr>
          <w:p>
            <w:pPr>
              <w:pStyle w:val="4"/>
              <w:ind w:firstLine="0"/>
            </w:pPr>
          </w:p>
        </w:tc>
      </w:tr>
    </w:tbl>
    <w:p>
      <w:pPr>
        <w:spacing w:line="360" w:lineRule="auto"/>
        <w:rPr>
          <w:rFonts w:ascii="宋体" w:hAnsi="宋体"/>
          <w:szCs w:val="21"/>
        </w:rPr>
      </w:pPr>
    </w:p>
    <w:p>
      <w:pPr>
        <w:widowControl/>
        <w:jc w:val="left"/>
        <w:rPr>
          <w:rFonts w:ascii="宋体" w:hAnsi="宋体"/>
          <w:sz w:val="24"/>
        </w:rPr>
      </w:pPr>
    </w:p>
    <w:p>
      <w:pPr>
        <w:rPr>
          <w:rFonts w:ascii="宋体" w:hAnsi="宋体"/>
          <w:sz w:val="24"/>
        </w:rPr>
      </w:pPr>
      <w:r>
        <w:rPr>
          <w:rFonts w:hint="eastAsia" w:ascii="宋体" w:hAnsi="宋体"/>
          <w:sz w:val="24"/>
        </w:rPr>
        <w:br w:type="page"/>
      </w:r>
    </w:p>
    <w:p>
      <w:pPr>
        <w:tabs>
          <w:tab w:val="left" w:pos="360"/>
        </w:tabs>
        <w:snapToGrid w:val="0"/>
        <w:spacing w:line="360" w:lineRule="auto"/>
        <w:outlineLvl w:val="1"/>
        <w:rPr>
          <w:rFonts w:ascii="宋体" w:hAnsi="宋体"/>
          <w:color w:val="000000"/>
          <w:sz w:val="24"/>
        </w:rPr>
      </w:pPr>
      <w:r>
        <w:rPr>
          <w:rFonts w:hint="eastAsia" w:ascii="宋体" w:hAnsi="宋体"/>
          <w:color w:val="000000"/>
          <w:sz w:val="24"/>
        </w:rPr>
        <w:t xml:space="preserve">12 </w:t>
      </w:r>
      <w:r>
        <w:rPr>
          <w:rFonts w:ascii="宋体" w:hAnsi="宋体"/>
          <w:color w:val="000000"/>
          <w:sz w:val="24"/>
        </w:rPr>
        <w:t>服务方案（格式自拟）</w:t>
      </w:r>
    </w:p>
    <w:p>
      <w:pPr>
        <w:widowControl/>
        <w:jc w:val="left"/>
        <w:rPr>
          <w:rFonts w:ascii="宋体" w:hAnsi="宋体"/>
          <w:sz w:val="24"/>
        </w:rPr>
      </w:pPr>
      <w:r>
        <w:rPr>
          <w:rFonts w:ascii="宋体" w:hAnsi="宋体"/>
          <w:sz w:val="24"/>
        </w:rPr>
        <w:br w:type="page"/>
      </w:r>
    </w:p>
    <w:p>
      <w:pPr>
        <w:tabs>
          <w:tab w:val="left" w:pos="360"/>
        </w:tabs>
        <w:snapToGrid w:val="0"/>
        <w:spacing w:line="360" w:lineRule="auto"/>
        <w:outlineLvl w:val="1"/>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szCs w:val="20"/>
        </w:rPr>
        <w:t>竞争性磋商</w:t>
      </w:r>
      <w:r>
        <w:rPr>
          <w:rFonts w:ascii="宋体" w:hAnsi="宋体"/>
          <w:color w:val="000000"/>
          <w:sz w:val="24"/>
          <w:szCs w:val="20"/>
        </w:rPr>
        <w:t>文件要求提供或供应商认为应附的其他材料</w:t>
      </w:r>
    </w:p>
    <w:p>
      <w:pPr>
        <w:spacing w:line="360" w:lineRule="auto"/>
        <w:outlineLvl w:val="2"/>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-1供应商信息采集表</w:t>
      </w:r>
    </w:p>
    <w:tbl>
      <w:tblPr>
        <w:tblStyle w:val="1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0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19" w:type="dxa"/>
            <w:vAlign w:val="center"/>
          </w:tcPr>
          <w:p>
            <w:pPr>
              <w:tabs>
                <w:tab w:val="left" w:pos="360"/>
              </w:tabs>
              <w:snapToGrid w:val="0"/>
              <w:spacing w:line="360" w:lineRule="auto"/>
              <w:jc w:val="center"/>
              <w:outlineLvl w:val="1"/>
              <w:rPr>
                <w:rFonts w:ascii="宋体" w:hAnsi="宋体"/>
                <w:bCs/>
                <w:color w:val="000000"/>
                <w:sz w:val="24"/>
              </w:rPr>
            </w:pPr>
            <w:r>
              <w:rPr>
                <w:rFonts w:hint="eastAsia" w:ascii="宋体" w:hAnsi="宋体"/>
                <w:bCs/>
                <w:color w:val="000000"/>
                <w:sz w:val="24"/>
              </w:rPr>
              <w:t>供应商名称</w:t>
            </w:r>
          </w:p>
        </w:tc>
        <w:tc>
          <w:tcPr>
            <w:tcW w:w="3021" w:type="dxa"/>
            <w:vAlign w:val="center"/>
          </w:tcPr>
          <w:p>
            <w:pPr>
              <w:tabs>
                <w:tab w:val="left" w:pos="360"/>
              </w:tabs>
              <w:snapToGrid w:val="0"/>
              <w:spacing w:line="360" w:lineRule="auto"/>
              <w:jc w:val="center"/>
              <w:outlineLvl w:val="1"/>
              <w:rPr>
                <w:rFonts w:ascii="宋体" w:hAnsi="宋体"/>
                <w:bCs/>
                <w:color w:val="000000"/>
                <w:sz w:val="24"/>
              </w:rPr>
            </w:pPr>
            <w:r>
              <w:rPr>
                <w:rFonts w:hint="eastAsia" w:ascii="宋体" w:hAnsi="宋体"/>
                <w:bCs/>
                <w:color w:val="000000"/>
                <w:sz w:val="24"/>
              </w:rPr>
              <w:t>供应商所属性别</w:t>
            </w:r>
          </w:p>
        </w:tc>
        <w:tc>
          <w:tcPr>
            <w:tcW w:w="3021" w:type="dxa"/>
            <w:vAlign w:val="center"/>
          </w:tcPr>
          <w:p>
            <w:pPr>
              <w:tabs>
                <w:tab w:val="left" w:pos="360"/>
              </w:tabs>
              <w:snapToGrid w:val="0"/>
              <w:spacing w:line="360" w:lineRule="auto"/>
              <w:jc w:val="center"/>
              <w:outlineLvl w:val="1"/>
              <w:rPr>
                <w:rFonts w:ascii="宋体" w:hAnsi="宋体"/>
                <w:bCs/>
                <w:color w:val="000000"/>
                <w:sz w:val="24"/>
              </w:rPr>
            </w:pPr>
            <w:r>
              <w:rPr>
                <w:rFonts w:hint="eastAsia" w:ascii="宋体" w:hAnsi="宋体"/>
                <w:bCs/>
                <w:color w:val="000000"/>
                <w:sz w:val="24"/>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19"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19"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19"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c>
          <w:tcPr>
            <w:tcW w:w="3021" w:type="dxa"/>
            <w:vAlign w:val="center"/>
          </w:tcPr>
          <w:p>
            <w:pPr>
              <w:tabs>
                <w:tab w:val="left" w:pos="360"/>
              </w:tabs>
              <w:snapToGrid w:val="0"/>
              <w:spacing w:line="360" w:lineRule="auto"/>
              <w:jc w:val="center"/>
              <w:outlineLvl w:val="1"/>
              <w:rPr>
                <w:rFonts w:ascii="宋体" w:hAnsi="宋体"/>
                <w:bCs/>
                <w:color w:val="000000"/>
                <w:sz w:val="24"/>
              </w:rPr>
            </w:pPr>
          </w:p>
        </w:tc>
      </w:tr>
    </w:tbl>
    <w:p>
      <w:pPr>
        <w:widowControl/>
        <w:spacing w:line="360" w:lineRule="auto"/>
        <w:jc w:val="left"/>
        <w:rPr>
          <w:rFonts w:ascii="宋体" w:hAnsi="宋体" w:cs="宋体"/>
          <w:color w:val="000000"/>
          <w:kern w:val="0"/>
          <w:sz w:val="24"/>
          <w:lang w:bidi="ar"/>
        </w:rPr>
      </w:pPr>
    </w:p>
    <w:p>
      <w:pPr>
        <w:widowControl/>
        <w:spacing w:line="360" w:lineRule="auto"/>
        <w:jc w:val="left"/>
        <w:rPr>
          <w:rFonts w:ascii="宋体" w:hAnsi="宋体" w:cs="宋体"/>
          <w:sz w:val="24"/>
        </w:rPr>
      </w:pPr>
      <w:r>
        <w:rPr>
          <w:rFonts w:hint="eastAsia" w:ascii="宋体" w:hAnsi="宋体" w:cs="宋体"/>
          <w:color w:val="000000"/>
          <w:kern w:val="0"/>
          <w:sz w:val="24"/>
          <w:lang w:bidi="ar"/>
        </w:rPr>
        <w:t xml:space="preserve">注：1.供应商如为联合体，则应填写联合体各成员信息。 </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2.供应商所属性别请填写“男”或“女”，指拥有供应商51%以上绝对所有权的性</w:t>
      </w:r>
    </w:p>
    <w:p>
      <w:pPr>
        <w:widowControl/>
        <w:spacing w:line="360" w:lineRule="auto"/>
        <w:jc w:val="left"/>
        <w:rPr>
          <w:rFonts w:ascii="宋体" w:hAnsi="宋体" w:cs="宋体"/>
          <w:sz w:val="24"/>
        </w:rPr>
      </w:pPr>
      <w:r>
        <w:rPr>
          <w:rFonts w:hint="eastAsia" w:ascii="宋体" w:hAnsi="宋体" w:cs="宋体"/>
          <w:color w:val="000000"/>
          <w:kern w:val="0"/>
          <w:sz w:val="24"/>
          <w:lang w:bidi="ar"/>
        </w:rPr>
        <w:t>别；绝对所有权拥有者可以是一个人，也可以是多人合计计算。</w:t>
      </w:r>
    </w:p>
    <w:p>
      <w:pPr>
        <w:widowControl/>
        <w:spacing w:line="360" w:lineRule="auto"/>
        <w:ind w:firstLine="480" w:firstLineChars="200"/>
        <w:jc w:val="left"/>
        <w:rPr>
          <w:rFonts w:ascii="宋体" w:hAnsi="宋体" w:cs="宋体"/>
          <w:sz w:val="24"/>
        </w:rPr>
      </w:pPr>
      <w:r>
        <w:rPr>
          <w:rFonts w:hint="eastAsia" w:ascii="宋体" w:hAnsi="宋体" w:cs="宋体"/>
          <w:color w:val="000000"/>
          <w:kern w:val="0"/>
          <w:sz w:val="24"/>
          <w:lang w:bidi="ar"/>
        </w:rPr>
        <w:t>3.外商投资类型请填写“外商单独投资”、“外商部分投资”或“内资”。</w:t>
      </w:r>
    </w:p>
    <w:p>
      <w:pPr>
        <w:tabs>
          <w:tab w:val="left" w:pos="360"/>
        </w:tabs>
        <w:snapToGrid w:val="0"/>
        <w:spacing w:line="360" w:lineRule="auto"/>
        <w:outlineLvl w:val="1"/>
        <w:rPr>
          <w:rFonts w:ascii="宋体" w:hAnsi="宋体"/>
          <w:color w:val="000000"/>
          <w:sz w:val="24"/>
        </w:rPr>
      </w:pPr>
      <w:r>
        <w:rPr>
          <w:rFonts w:ascii="宋体" w:hAnsi="宋体"/>
          <w:b/>
          <w:color w:val="000000"/>
          <w:sz w:val="36"/>
          <w:szCs w:val="36"/>
        </w:rPr>
        <w:br w:type="page"/>
      </w:r>
      <w:r>
        <w:rPr>
          <w:rFonts w:ascii="宋体" w:hAnsi="宋体"/>
          <w:color w:val="000000"/>
          <w:sz w:val="24"/>
        </w:rPr>
        <w:t>14 最后报价一览表（实质性格式，磋商后提交）</w:t>
      </w:r>
    </w:p>
    <w:p>
      <w:pPr>
        <w:widowControl/>
        <w:jc w:val="left"/>
        <w:rPr>
          <w:rFonts w:ascii="宋体" w:hAnsi="宋体"/>
          <w:color w:val="000000"/>
          <w:kern w:val="0"/>
          <w:sz w:val="24"/>
          <w:szCs w:val="20"/>
        </w:rPr>
      </w:pPr>
    </w:p>
    <w:p>
      <w:pPr>
        <w:spacing w:line="360" w:lineRule="exact"/>
        <w:ind w:firstLine="720"/>
        <w:jc w:val="center"/>
        <w:rPr>
          <w:rFonts w:ascii="宋体" w:hAnsi="宋体"/>
          <w:b/>
          <w:color w:val="000000"/>
          <w:sz w:val="36"/>
          <w:szCs w:val="36"/>
        </w:rPr>
      </w:pPr>
      <w:r>
        <w:rPr>
          <w:rFonts w:hint="eastAsia" w:ascii="宋体" w:hAnsi="宋体"/>
          <w:b/>
          <w:color w:val="000000"/>
          <w:sz w:val="36"/>
          <w:szCs w:val="36"/>
        </w:rPr>
        <w:t>最后报价一览表</w:t>
      </w:r>
    </w:p>
    <w:p>
      <w:pPr>
        <w:tabs>
          <w:tab w:val="left" w:pos="1800"/>
          <w:tab w:val="left" w:pos="5580"/>
        </w:tabs>
        <w:spacing w:line="360" w:lineRule="auto"/>
        <w:jc w:val="left"/>
        <w:rPr>
          <w:rFonts w:ascii="宋体" w:hAnsi="宋体"/>
          <w:color w:val="000000"/>
          <w:sz w:val="24"/>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项目编号：_______________     项目名称：_______________</w:t>
      </w:r>
    </w:p>
    <w:p>
      <w:pPr>
        <w:pStyle w:val="2"/>
      </w:pPr>
    </w:p>
    <w:tbl>
      <w:tblPr>
        <w:tblStyle w:val="11"/>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6"/>
        <w:gridCol w:w="2242"/>
        <w:gridCol w:w="2404"/>
        <w:gridCol w:w="230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6" w:hRule="atLeast"/>
          <w:jc w:val="center"/>
        </w:trPr>
        <w:tc>
          <w:tcPr>
            <w:tcW w:w="576"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序号</w:t>
            </w:r>
          </w:p>
        </w:tc>
        <w:tc>
          <w:tcPr>
            <w:tcW w:w="2242"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供应商名称</w:t>
            </w:r>
          </w:p>
        </w:tc>
        <w:tc>
          <w:tcPr>
            <w:tcW w:w="4709"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投标总价（元）</w:t>
            </w:r>
          </w:p>
        </w:tc>
        <w:tc>
          <w:tcPr>
            <w:tcW w:w="1559" w:type="dxa"/>
            <w:vMerge w:val="restart"/>
            <w:tcBorders>
              <w:top w:val="single" w:color="auto" w:sz="4" w:space="0"/>
              <w:left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jc w:val="center"/>
        </w:trPr>
        <w:tc>
          <w:tcPr>
            <w:tcW w:w="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sz w:val="24"/>
              </w:rPr>
            </w:pPr>
          </w:p>
        </w:tc>
        <w:tc>
          <w:tcPr>
            <w:tcW w:w="22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大写</w:t>
            </w:r>
          </w:p>
        </w:tc>
        <w:tc>
          <w:tcPr>
            <w:tcW w:w="230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r>
              <w:rPr>
                <w:rFonts w:hint="eastAsia" w:ascii="宋体" w:hAnsi="宋体"/>
                <w:b/>
                <w:color w:val="000000"/>
                <w:sz w:val="24"/>
              </w:rPr>
              <w:t>小写</w:t>
            </w:r>
          </w:p>
        </w:tc>
        <w:tc>
          <w:tcPr>
            <w:tcW w:w="1559"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07"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24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4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230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宋体" w:hAnsi="宋体"/>
                <w:color w:val="000000"/>
                <w:sz w:val="24"/>
              </w:rPr>
            </w:pPr>
          </w:p>
        </w:tc>
      </w:tr>
    </w:tbl>
    <w:p>
      <w:pPr>
        <w:widowControl/>
        <w:jc w:val="left"/>
        <w:rPr>
          <w:rFonts w:ascii="宋体" w:hAnsi="宋体"/>
          <w:color w:val="000000"/>
          <w:sz w:val="24"/>
          <w:lang w:val="zh-CN"/>
        </w:rPr>
      </w:pPr>
    </w:p>
    <w:p>
      <w:pPr>
        <w:widowControl/>
        <w:adjustRightInd w:val="0"/>
        <w:snapToGrid w:val="0"/>
        <w:spacing w:line="360" w:lineRule="auto"/>
        <w:jc w:val="left"/>
        <w:rPr>
          <w:rFonts w:ascii="宋体" w:hAnsi="宋体"/>
          <w:color w:val="000000"/>
          <w:sz w:val="24"/>
        </w:rPr>
      </w:pPr>
      <w:r>
        <w:rPr>
          <w:rFonts w:hint="eastAsia" w:ascii="宋体" w:hAnsi="宋体"/>
          <w:color w:val="000000"/>
          <w:sz w:val="24"/>
          <w:lang w:val="zh-CN"/>
        </w:rPr>
        <w:t>注：</w:t>
      </w:r>
      <w:r>
        <w:rPr>
          <w:rFonts w:hint="eastAsia" w:ascii="宋体" w:hAnsi="宋体" w:cs="宋体"/>
          <w:color w:val="000000"/>
          <w:kern w:val="0"/>
          <w:sz w:val="24"/>
          <w:lang w:bidi="ar"/>
        </w:rPr>
        <w:t>1.此表中，最后报价应和《最后分项报价表》中的总价相一致。</w:t>
      </w:r>
    </w:p>
    <w:p>
      <w:pPr>
        <w:autoSpaceDE w:val="0"/>
        <w:autoSpaceDN w:val="0"/>
        <w:adjustRightInd w:val="0"/>
        <w:snapToGrid w:val="0"/>
        <w:spacing w:before="25" w:after="25" w:line="360" w:lineRule="auto"/>
        <w:ind w:firstLine="480" w:firstLineChars="200"/>
        <w:rPr>
          <w:rFonts w:ascii="宋体" w:hAnsi="宋体"/>
          <w:color w:val="000000"/>
          <w:sz w:val="24"/>
          <w:lang w:val="zh-CN"/>
        </w:rPr>
      </w:pPr>
      <w:r>
        <w:rPr>
          <w:rFonts w:hint="eastAsia" w:ascii="宋体" w:hAnsi="宋体"/>
          <w:color w:val="000000"/>
          <w:sz w:val="24"/>
        </w:rPr>
        <w:t>2</w:t>
      </w:r>
      <w:r>
        <w:rPr>
          <w:rFonts w:hint="eastAsia" w:ascii="宋体" w:hAnsi="宋体"/>
          <w:color w:val="000000"/>
          <w:sz w:val="24"/>
          <w:lang w:val="zh-CN"/>
        </w:rPr>
        <w:t>.此表无需在响应文件中提交，磋商后供应商按磋商小组要求提交。</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 xml:space="preserve">：___________ </w:t>
      </w:r>
    </w:p>
    <w:p>
      <w:pPr>
        <w:widowControl/>
        <w:jc w:val="left"/>
        <w:rPr>
          <w:rFonts w:ascii="宋体" w:hAnsi="宋体"/>
          <w:color w:val="000000"/>
          <w:sz w:val="24"/>
          <w:szCs w:val="20"/>
        </w:rPr>
      </w:pPr>
      <w:r>
        <w:rPr>
          <w:rFonts w:ascii="宋体" w:hAnsi="宋体"/>
          <w:color w:val="000000"/>
          <w:sz w:val="24"/>
          <w:szCs w:val="20"/>
        </w:rPr>
        <w:t xml:space="preserve">日期：____年____月____日  </w:t>
      </w:r>
    </w:p>
    <w:p>
      <w:pPr>
        <w:rPr>
          <w:rFonts w:ascii="宋体" w:hAnsi="宋体"/>
          <w:color w:val="000000"/>
          <w:sz w:val="24"/>
          <w:szCs w:val="20"/>
        </w:rPr>
      </w:pPr>
      <w:r>
        <w:rPr>
          <w:rFonts w:ascii="宋体" w:hAnsi="宋体"/>
          <w:color w:val="000000"/>
          <w:sz w:val="24"/>
          <w:szCs w:val="20"/>
        </w:rPr>
        <w:br w:type="page"/>
      </w:r>
    </w:p>
    <w:p>
      <w:pPr>
        <w:tabs>
          <w:tab w:val="left" w:pos="360"/>
        </w:tabs>
        <w:snapToGrid w:val="0"/>
        <w:spacing w:line="360" w:lineRule="auto"/>
        <w:outlineLvl w:val="1"/>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 xml:space="preserve"> 最后分项报价表（实质性格式</w:t>
      </w:r>
      <w:r>
        <w:rPr>
          <w:rFonts w:ascii="宋体" w:hAnsi="宋体"/>
          <w:color w:val="000000"/>
          <w:sz w:val="24"/>
        </w:rPr>
        <w:t>，磋商后提交</w:t>
      </w:r>
      <w:r>
        <w:rPr>
          <w:rFonts w:hint="eastAsia" w:ascii="宋体" w:hAnsi="宋体"/>
          <w:color w:val="000000"/>
          <w:sz w:val="24"/>
        </w:rPr>
        <w:t>）</w:t>
      </w:r>
    </w:p>
    <w:p>
      <w:pPr>
        <w:pStyle w:val="2"/>
        <w:ind w:left="1320" w:hanging="480"/>
        <w:jc w:val="center"/>
        <w:rPr>
          <w:lang w:val="zh-CN"/>
        </w:rPr>
      </w:pPr>
      <w:r>
        <w:rPr>
          <w:lang w:val="zh-CN"/>
        </w:rPr>
        <w:t>分项报价表</w:t>
      </w:r>
    </w:p>
    <w:p>
      <w:pPr>
        <w:pStyle w:val="2"/>
        <w:ind w:left="1320" w:hanging="480"/>
        <w:jc w:val="center"/>
        <w:rPr>
          <w:lang w:val="zh-CN"/>
        </w:rPr>
      </w:pPr>
    </w:p>
    <w:p>
      <w:pPr>
        <w:autoSpaceDE w:val="0"/>
        <w:autoSpaceDN w:val="0"/>
        <w:adjustRightInd w:val="0"/>
        <w:snapToGrid w:val="0"/>
        <w:spacing w:before="25" w:after="25" w:line="360" w:lineRule="auto"/>
        <w:rPr>
          <w:rFonts w:ascii="宋体" w:hAnsi="宋体"/>
          <w:color w:val="000000"/>
          <w:sz w:val="24"/>
        </w:rPr>
      </w:pPr>
      <w:r>
        <w:rPr>
          <w:rFonts w:ascii="宋体" w:hAnsi="宋体"/>
          <w:color w:val="000000"/>
          <w:sz w:val="24"/>
        </w:rPr>
        <w:t>项目编号/包号：</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项目名称：</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报价单位：人民币元</w:t>
      </w:r>
    </w:p>
    <w:tbl>
      <w:tblPr>
        <w:tblStyle w:val="1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74"/>
        <w:gridCol w:w="1510"/>
        <w:gridCol w:w="1510"/>
        <w:gridCol w:w="151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序号</w:t>
            </w:r>
          </w:p>
        </w:tc>
        <w:tc>
          <w:tcPr>
            <w:tcW w:w="2174" w:type="dxa"/>
            <w:vAlign w:val="center"/>
          </w:tcPr>
          <w:p>
            <w:pPr>
              <w:pStyle w:val="2"/>
              <w:jc w:val="center"/>
            </w:pPr>
            <w:r>
              <w:rPr>
                <w:rFonts w:hint="eastAsia"/>
              </w:rPr>
              <w:t>分项名称</w:t>
            </w:r>
          </w:p>
        </w:tc>
        <w:tc>
          <w:tcPr>
            <w:tcW w:w="1510" w:type="dxa"/>
            <w:vAlign w:val="center"/>
          </w:tcPr>
          <w:p>
            <w:pPr>
              <w:pStyle w:val="2"/>
              <w:jc w:val="center"/>
            </w:pPr>
            <w:r>
              <w:rPr>
                <w:rFonts w:hint="eastAsia"/>
              </w:rPr>
              <w:t>单价（元）</w:t>
            </w:r>
          </w:p>
        </w:tc>
        <w:tc>
          <w:tcPr>
            <w:tcW w:w="1510" w:type="dxa"/>
            <w:vAlign w:val="center"/>
          </w:tcPr>
          <w:p>
            <w:pPr>
              <w:pStyle w:val="2"/>
              <w:jc w:val="center"/>
            </w:pPr>
            <w:r>
              <w:rPr>
                <w:rFonts w:hint="eastAsia"/>
              </w:rPr>
              <w:t>数量</w:t>
            </w:r>
          </w:p>
        </w:tc>
        <w:tc>
          <w:tcPr>
            <w:tcW w:w="1510" w:type="dxa"/>
            <w:vAlign w:val="center"/>
          </w:tcPr>
          <w:p>
            <w:pPr>
              <w:pStyle w:val="2"/>
              <w:jc w:val="center"/>
            </w:pPr>
            <w:r>
              <w:rPr>
                <w:rFonts w:hint="eastAsia"/>
              </w:rPr>
              <w:t>合价（元）</w:t>
            </w:r>
          </w:p>
        </w:tc>
        <w:tc>
          <w:tcPr>
            <w:tcW w:w="1511" w:type="dxa"/>
            <w:vAlign w:val="center"/>
          </w:tcPr>
          <w:p>
            <w:pPr>
              <w:pStyle w:val="2"/>
              <w:jc w:val="center"/>
            </w:pPr>
            <w:r>
              <w:rPr>
                <w:rFonts w:hint="eastAsi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1</w:t>
            </w:r>
          </w:p>
        </w:tc>
        <w:tc>
          <w:tcPr>
            <w:tcW w:w="2174"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2</w:t>
            </w:r>
          </w:p>
        </w:tc>
        <w:tc>
          <w:tcPr>
            <w:tcW w:w="2174"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r>
              <w:rPr>
                <w:rFonts w:hint="eastAsia"/>
              </w:rPr>
              <w:t>3</w:t>
            </w:r>
          </w:p>
        </w:tc>
        <w:tc>
          <w:tcPr>
            <w:tcW w:w="2174" w:type="dxa"/>
            <w:vAlign w:val="center"/>
          </w:tcPr>
          <w:p>
            <w:pPr>
              <w:pStyle w:val="2"/>
              <w:jc w:val="center"/>
            </w:pPr>
            <w:r>
              <w:t>…</w:t>
            </w:r>
          </w:p>
        </w:tc>
        <w:tc>
          <w:tcPr>
            <w:tcW w:w="1510" w:type="dxa"/>
            <w:vAlign w:val="center"/>
          </w:tcPr>
          <w:p>
            <w:pPr>
              <w:pStyle w:val="2"/>
              <w:jc w:val="center"/>
            </w:pPr>
          </w:p>
        </w:tc>
        <w:tc>
          <w:tcPr>
            <w:tcW w:w="1510" w:type="dxa"/>
            <w:vAlign w:val="center"/>
          </w:tcPr>
          <w:p>
            <w:pPr>
              <w:pStyle w:val="2"/>
              <w:jc w:val="center"/>
            </w:pPr>
          </w:p>
        </w:tc>
        <w:tc>
          <w:tcPr>
            <w:tcW w:w="1510" w:type="dxa"/>
            <w:vAlign w:val="center"/>
          </w:tcPr>
          <w:p>
            <w:pPr>
              <w:pStyle w:val="2"/>
              <w:jc w:val="center"/>
            </w:pPr>
          </w:p>
        </w:tc>
        <w:tc>
          <w:tcPr>
            <w:tcW w:w="1511" w:type="dxa"/>
            <w:vAlign w:val="center"/>
          </w:tcPr>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pStyle w:val="2"/>
              <w:jc w:val="center"/>
            </w:pPr>
          </w:p>
        </w:tc>
        <w:tc>
          <w:tcPr>
            <w:tcW w:w="5194" w:type="dxa"/>
            <w:gridSpan w:val="3"/>
            <w:vAlign w:val="center"/>
          </w:tcPr>
          <w:p>
            <w:pPr>
              <w:pStyle w:val="2"/>
              <w:jc w:val="center"/>
            </w:pPr>
            <w:r>
              <w:rPr>
                <w:rFonts w:hint="eastAsia"/>
              </w:rPr>
              <w:t>总价（元）</w:t>
            </w:r>
          </w:p>
        </w:tc>
        <w:tc>
          <w:tcPr>
            <w:tcW w:w="1510" w:type="dxa"/>
            <w:vAlign w:val="center"/>
          </w:tcPr>
          <w:p>
            <w:pPr>
              <w:pStyle w:val="2"/>
              <w:jc w:val="center"/>
            </w:pPr>
          </w:p>
        </w:tc>
        <w:tc>
          <w:tcPr>
            <w:tcW w:w="1511" w:type="dxa"/>
            <w:vAlign w:val="center"/>
          </w:tcPr>
          <w:p>
            <w:pPr>
              <w:pStyle w:val="2"/>
              <w:jc w:val="center"/>
            </w:pPr>
          </w:p>
        </w:tc>
      </w:tr>
    </w:tbl>
    <w:p>
      <w:pPr>
        <w:pStyle w:val="2"/>
        <w:ind w:left="1320" w:hanging="480"/>
      </w:pPr>
    </w:p>
    <w:p>
      <w:pPr>
        <w:pStyle w:val="2"/>
        <w:adjustRightInd w:val="0"/>
        <w:snapToGrid w:val="0"/>
        <w:spacing w:line="360" w:lineRule="auto"/>
      </w:pPr>
      <w:r>
        <w:rPr>
          <w:rFonts w:hint="eastAsia"/>
        </w:rPr>
        <w:t>注：1</w:t>
      </w:r>
      <w:r>
        <w:t>.</w:t>
      </w:r>
      <w:r>
        <w:rPr>
          <w:rFonts w:hint="eastAsia"/>
        </w:rPr>
        <w:t>上述各项的详细规格（如有），可另页描述。</w:t>
      </w:r>
    </w:p>
    <w:p>
      <w:pPr>
        <w:pStyle w:val="2"/>
        <w:adjustRightInd w:val="0"/>
        <w:snapToGrid w:val="0"/>
        <w:spacing w:line="360" w:lineRule="auto"/>
        <w:ind w:firstLine="480" w:firstLineChars="200"/>
      </w:pPr>
      <w:r>
        <w:t>2.总价应与报价一览表投标总价一致。</w:t>
      </w:r>
    </w:p>
    <w:p>
      <w:pPr>
        <w:pStyle w:val="2"/>
        <w:adjustRightInd w:val="0"/>
        <w:snapToGrid w:val="0"/>
        <w:spacing w:line="360" w:lineRule="auto"/>
        <w:ind w:firstLine="480" w:firstLineChars="200"/>
      </w:pPr>
      <w:r>
        <w:rPr>
          <w:rFonts w:hint="eastAsia"/>
        </w:rPr>
        <w:t>3</w:t>
      </w:r>
      <w:r>
        <w:t>.供应商应综合考虑人员工资、加班费、</w:t>
      </w:r>
      <w:r>
        <w:rPr>
          <w:rFonts w:hint="eastAsia"/>
        </w:rPr>
        <w:t>服装费、保险、公积金、差旅费、保洁物料费用，管理费、企业利润、税金等全部费用进行报价。</w:t>
      </w:r>
    </w:p>
    <w:p>
      <w:pPr>
        <w:pStyle w:val="2"/>
        <w:adjustRightInd w:val="0"/>
        <w:snapToGrid w:val="0"/>
        <w:spacing w:line="360" w:lineRule="auto"/>
        <w:ind w:firstLine="480" w:firstLineChars="200"/>
      </w:pPr>
      <w:r>
        <w:t>4.</w:t>
      </w:r>
      <w:r>
        <w:rPr>
          <w:rFonts w:hint="eastAsia"/>
        </w:rPr>
        <w:t>此表无需在响应文件中提交，磋商后供应商按磋商小组要求提交。</w:t>
      </w:r>
    </w:p>
    <w:p>
      <w:pPr>
        <w:pStyle w:val="2"/>
        <w:adjustRightInd w:val="0"/>
        <w:snapToGrid w:val="0"/>
        <w:spacing w:line="360" w:lineRule="auto"/>
        <w:ind w:left="1320" w:hanging="480"/>
      </w:pPr>
    </w:p>
    <w:p>
      <w:pPr>
        <w:pStyle w:val="2"/>
        <w:ind w:left="1320" w:hanging="480"/>
      </w:pPr>
    </w:p>
    <w:p>
      <w:pPr>
        <w:pStyle w:val="10"/>
        <w:ind w:firstLine="210"/>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供应商名称授权代表签字（或加盖供应商）</w:t>
      </w:r>
      <w:r>
        <w:rPr>
          <w:rFonts w:ascii="宋体" w:hAnsi="宋体"/>
          <w:color w:val="000000"/>
          <w:sz w:val="24"/>
          <w:lang w:val="zh-CN"/>
        </w:rPr>
        <w:t>：</w:t>
      </w:r>
      <w:r>
        <w:rPr>
          <w:rFonts w:ascii="宋体" w:hAnsi="宋体"/>
          <w:color w:val="000000"/>
          <w:sz w:val="24"/>
        </w:rPr>
        <w:t>___________</w:t>
      </w:r>
    </w:p>
    <w:p>
      <w:pPr>
        <w:autoSpaceDE w:val="0"/>
        <w:autoSpaceDN w:val="0"/>
        <w:adjustRightInd w:val="0"/>
        <w:snapToGrid w:val="0"/>
        <w:spacing w:line="360" w:lineRule="auto"/>
        <w:rPr>
          <w:rFonts w:ascii="宋体" w:hAnsi="宋体"/>
          <w:color w:val="000000"/>
          <w:sz w:val="24"/>
          <w:szCs w:val="20"/>
        </w:rPr>
      </w:pPr>
      <w:r>
        <w:rPr>
          <w:rFonts w:ascii="宋体" w:hAnsi="宋体"/>
          <w:color w:val="000000"/>
          <w:sz w:val="24"/>
        </w:rPr>
        <w:t>日期：</w:t>
      </w:r>
      <w:r>
        <w:rPr>
          <w:rFonts w:ascii="宋体" w:hAnsi="宋体"/>
          <w:color w:val="000000"/>
          <w:sz w:val="24"/>
          <w:szCs w:val="20"/>
        </w:rPr>
        <w:t>____年____月____日</w:t>
      </w:r>
    </w:p>
    <w:p>
      <w:pPr>
        <w:autoSpaceDE w:val="0"/>
        <w:autoSpaceDN w:val="0"/>
        <w:adjustRightInd w:val="0"/>
        <w:snapToGrid w:val="0"/>
        <w:spacing w:before="25" w:after="25" w:line="360" w:lineRule="auto"/>
        <w:jc w:val="center"/>
        <w:rPr>
          <w:rFonts w:ascii="宋体" w:hAnsi="宋体"/>
          <w:color w:val="000000"/>
          <w:sz w:val="24"/>
        </w:rPr>
      </w:pPr>
    </w:p>
    <w:p>
      <w:pPr>
        <w:widowControl/>
        <w:jc w:val="left"/>
      </w:pPr>
      <w:r>
        <w:rPr>
          <w:rFonts w:ascii="宋体" w:hAnsi="宋体"/>
          <w:color w:val="000000"/>
          <w:sz w:val="24"/>
          <w:szCs w:val="20"/>
        </w:rPr>
        <w:t xml:space="preserve"> </w:t>
      </w:r>
    </w:p>
    <w:p/>
    <w:sectPr>
      <w:headerReference r:id="rId14" w:type="first"/>
      <w:footerReference r:id="rId16" w:type="first"/>
      <w:headerReference r:id="rId13" w:type="even"/>
      <w:footerReference r:id="rId15" w:type="even"/>
      <w:pgSz w:w="11907" w:h="16840"/>
      <w:pgMar w:top="1418" w:right="1418" w:bottom="1418" w:left="1418"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FZShuSong-Z01">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04C000" w:usb3="00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eelawadee UI">
    <w:altName w:val="Leelawadee"/>
    <w:panose1 w:val="020B0502040204020203"/>
    <w:charset w:val="00"/>
    <w:family w:val="swiss"/>
    <w:pitch w:val="default"/>
    <w:sig w:usb0="00000000" w:usb1="00000000" w:usb2="00010000" w:usb3="00000000" w:csb0="00010101" w:csb1="00000000"/>
  </w:font>
  <w:font w:name="Segoe Print">
    <w:panose1 w:val="02000600000000000000"/>
    <w:charset w:val="00"/>
    <w:family w:val="auto"/>
    <w:pitch w:val="default"/>
    <w:sig w:usb0="0000028F" w:usb1="00000000" w:usb2="00000000" w:usb3="00000000" w:csb0="2000009F" w:csb1="47010000"/>
  </w:font>
  <w:font w:name="Leelawadee">
    <w:panose1 w:val="020B0502040204020203"/>
    <w:charset w:val="00"/>
    <w:family w:val="auto"/>
    <w:pitch w:val="default"/>
    <w:sig w:usb0="810000AF" w:usb1="4000204B" w:usb2="00000000" w:usb3="00000000" w:csb0="2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2"/>
        <w:tab w:val="right" w:pos="8306"/>
      </w:tabs>
      <w:kinsoku w:val="0"/>
      <w:autoSpaceDE w:val="0"/>
      <w:autoSpaceDN w:val="0"/>
      <w:adjustRightInd w:val="0"/>
      <w:snapToGrid w:val="0"/>
      <w:ind w:right="360"/>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Arial" w:hAnsi="Arial" w:eastAsia="宋体" w:cs="Arial"/>
        <w:snapToGrid w:val="0"/>
        <w:color w:val="000000"/>
        <w:sz w:val="18"/>
        <w:szCs w:val="18"/>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ind w:right="360"/>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kinsoku w:val="0"/>
      <w:autoSpaceDE w:val="0"/>
      <w:autoSpaceDN w:val="0"/>
      <w:adjustRightInd w:val="0"/>
      <w:snapToGrid w:val="0"/>
      <w:ind w:right="360"/>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end"/>
    </w:r>
  </w:p>
  <w:p>
    <w:pPr>
      <w:pStyle w:val="7"/>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304"/>
        </w:tabs>
        <w:ind w:left="1183"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93BE7"/>
    <w:rsid w:val="05167125"/>
    <w:rsid w:val="07827982"/>
    <w:rsid w:val="0943799A"/>
    <w:rsid w:val="09CC1097"/>
    <w:rsid w:val="118E085F"/>
    <w:rsid w:val="15420ED8"/>
    <w:rsid w:val="210935F9"/>
    <w:rsid w:val="246A25EC"/>
    <w:rsid w:val="2C3440C9"/>
    <w:rsid w:val="3827118F"/>
    <w:rsid w:val="3AE04BEF"/>
    <w:rsid w:val="4A225E2A"/>
    <w:rsid w:val="4F9B238E"/>
    <w:rsid w:val="53B00028"/>
    <w:rsid w:val="57722EFE"/>
    <w:rsid w:val="65694319"/>
    <w:rsid w:val="664D40A5"/>
    <w:rsid w:val="66F93BE7"/>
    <w:rsid w:val="6D187E11"/>
    <w:rsid w:val="7F44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0">
    <w:name w:val="Body Text First Indent"/>
    <w:basedOn w:val="2"/>
    <w:qFormat/>
    <w:uiPriority w:val="0"/>
    <w:pPr>
      <w:tabs>
        <w:tab w:val="clear" w:pos="567"/>
      </w:tabs>
      <w:spacing w:before="0" w:after="120" w:line="240" w:lineRule="auto"/>
      <w:ind w:firstLine="420" w:firstLineChars="100"/>
    </w:pPr>
    <w:rPr>
      <w:rFonts w:ascii="Calibri" w:hAnsi="Calibri"/>
      <w:sz w:val="21"/>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qFormat/>
    <w:uiPriority w:val="0"/>
    <w:rPr>
      <w:rFonts w:ascii="Times New Roman" w:hAnsi="Times New Roman" w:eastAsia="宋体" w:cs="Times New Roman"/>
    </w:rPr>
  </w:style>
  <w:style w:type="character" w:styleId="15">
    <w:name w:val="Hyperlink"/>
    <w:qFormat/>
    <w:uiPriority w:val="99"/>
    <w:rPr>
      <w:rFonts w:ascii="Times New Roman" w:hAnsi="Times New Roman" w:eastAsia="宋体" w:cs="Times New Roman"/>
      <w:color w:val="0000FF"/>
      <w:u w:val="single"/>
    </w:rPr>
  </w:style>
  <w:style w:type="paragraph" w:styleId="16">
    <w:name w:val="List Paragraph"/>
    <w:basedOn w:val="1"/>
    <w:qFormat/>
    <w:uiPriority w:val="34"/>
    <w:pPr>
      <w:ind w:firstLine="420" w:firstLineChars="200"/>
    </w:pPr>
    <w:rPr>
      <w:rFonts w:ascii="Calibri" w:hAnsi="Calibri"/>
      <w:szCs w:val="22"/>
      <w14:ligatures w14:val="standardContextual"/>
    </w:rPr>
  </w:style>
  <w:style w:type="paragraph" w:customStyle="1" w:styleId="1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1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2026-04-02T08:38:00Z</dcterms:created>
  <dc:creator>owner</dc:creator>
  <cp:lastModifiedBy>owner</cp:lastModifiedBy>
  <dcterms:modified xsi:type="dcterms:W3CDTF">2026-04-27T00:51:06Z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