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ascii="宋体" w:hAnsi="宋体" w:cs="宋体"/>
          <w:color w:val="auto"/>
          <w:sz w:val="58"/>
          <w:szCs w:val="58"/>
          <w:highlight w:val="none"/>
        </w:rPr>
      </w:pPr>
    </w:p>
    <w:p>
      <w:pPr>
        <w:spacing w:line="360" w:lineRule="auto"/>
        <w:jc w:val="center"/>
        <w:rPr>
          <w:rFonts w:ascii="宋体" w:hAnsi="宋体" w:cs="宋体"/>
          <w:b/>
          <w:bCs/>
          <w:color w:val="auto"/>
          <w:sz w:val="60"/>
          <w:szCs w:val="60"/>
          <w:highlight w:val="none"/>
        </w:rPr>
      </w:pPr>
      <w:r>
        <w:rPr>
          <w:rFonts w:hint="eastAsia" w:ascii="宋体" w:hAnsi="宋体" w:cs="宋体"/>
          <w:b/>
          <w:bCs/>
          <w:color w:val="auto"/>
          <w:sz w:val="60"/>
          <w:szCs w:val="60"/>
          <w:highlight w:val="none"/>
        </w:rPr>
        <w:t>北京市政府采购项目</w:t>
      </w:r>
    </w:p>
    <w:p>
      <w:pPr>
        <w:spacing w:line="360" w:lineRule="auto"/>
        <w:jc w:val="center"/>
        <w:rPr>
          <w:rFonts w:ascii="宋体" w:hAnsi="宋体" w:cs="宋体"/>
          <w:b/>
          <w:bCs/>
          <w:color w:val="auto"/>
          <w:sz w:val="60"/>
          <w:szCs w:val="60"/>
          <w:highlight w:val="none"/>
        </w:rPr>
      </w:pPr>
      <w:r>
        <w:rPr>
          <w:rFonts w:hint="eastAsia" w:ascii="宋体" w:hAnsi="宋体" w:cs="宋体"/>
          <w:b/>
          <w:bCs/>
          <w:color w:val="auto"/>
          <w:sz w:val="60"/>
          <w:szCs w:val="60"/>
          <w:highlight w:val="none"/>
        </w:rPr>
        <w:t>公开招标文件</w:t>
      </w:r>
    </w:p>
    <w:p>
      <w:pPr>
        <w:tabs>
          <w:tab w:val="left" w:pos="3240"/>
          <w:tab w:val="left" w:pos="3420"/>
        </w:tabs>
        <w:spacing w:line="360" w:lineRule="auto"/>
        <w:jc w:val="left"/>
        <w:rPr>
          <w:rFonts w:ascii="宋体" w:hAnsi="宋体" w:cs="宋体"/>
          <w:b/>
          <w:bCs/>
          <w:color w:val="auto"/>
          <w:sz w:val="60"/>
          <w:szCs w:val="60"/>
          <w:highlight w:val="none"/>
        </w:rPr>
      </w:pPr>
    </w:p>
    <w:p>
      <w:pPr>
        <w:tabs>
          <w:tab w:val="left" w:pos="3240"/>
          <w:tab w:val="left" w:pos="3420"/>
        </w:tabs>
        <w:spacing w:line="360" w:lineRule="auto"/>
        <w:ind w:firstLine="540" w:firstLineChars="150"/>
        <w:jc w:val="left"/>
        <w:rPr>
          <w:rFonts w:ascii="宋体" w:hAnsi="宋体" w:cs="宋体"/>
          <w:bCs/>
          <w:color w:val="auto"/>
          <w:sz w:val="36"/>
          <w:szCs w:val="36"/>
          <w:highlight w:val="none"/>
          <w:u w:val="single"/>
        </w:rPr>
      </w:pPr>
      <w:r>
        <w:rPr>
          <w:rFonts w:hint="eastAsia" w:ascii="宋体" w:hAnsi="宋体" w:cs="宋体"/>
          <w:bCs/>
          <w:color w:val="auto"/>
          <w:sz w:val="36"/>
          <w:szCs w:val="36"/>
          <w:highlight w:val="none"/>
        </w:rPr>
        <w:t>项目名称：</w:t>
      </w:r>
      <w:r>
        <w:rPr>
          <w:rFonts w:hint="eastAsia" w:ascii="宋体" w:hAnsi="宋体" w:cs="宋体"/>
          <w:bCs/>
          <w:color w:val="auto"/>
          <w:sz w:val="36"/>
          <w:szCs w:val="36"/>
          <w:highlight w:val="none"/>
          <w:u w:val="single"/>
        </w:rPr>
        <w:t>额度外-2026年北京市丰台区职业教育中心学校贾家花园校区-影视特效与动画制作实训室其他信息化设备采购项目</w:t>
      </w:r>
    </w:p>
    <w:p>
      <w:pPr>
        <w:tabs>
          <w:tab w:val="left" w:pos="3240"/>
          <w:tab w:val="left" w:pos="3420"/>
        </w:tabs>
        <w:spacing w:line="360" w:lineRule="auto"/>
        <w:ind w:firstLine="540" w:firstLineChars="150"/>
        <w:jc w:val="left"/>
        <w:rPr>
          <w:rFonts w:ascii="宋体" w:hAnsi="宋体" w:cs="宋体"/>
          <w:bCs/>
          <w:color w:val="auto"/>
          <w:sz w:val="36"/>
          <w:szCs w:val="36"/>
          <w:highlight w:val="none"/>
          <w:u w:val="single"/>
        </w:rPr>
      </w:pPr>
      <w:r>
        <w:rPr>
          <w:rFonts w:hint="eastAsia" w:ascii="宋体" w:hAnsi="宋体" w:cs="宋体"/>
          <w:bCs/>
          <w:color w:val="auto"/>
          <w:sz w:val="36"/>
          <w:szCs w:val="36"/>
          <w:highlight w:val="none"/>
        </w:rPr>
        <w:t>项目编号：</w:t>
      </w:r>
      <w:r>
        <w:rPr>
          <w:rFonts w:hint="eastAsia" w:ascii="宋体" w:hAnsi="宋体" w:cs="宋体"/>
          <w:bCs/>
          <w:color w:val="auto"/>
          <w:sz w:val="36"/>
          <w:szCs w:val="36"/>
          <w:highlight w:val="none"/>
          <w:u w:val="single"/>
        </w:rPr>
        <w:t xml:space="preserve"> 11010626210200028577-XM001 </w:t>
      </w:r>
    </w:p>
    <w:p>
      <w:pPr>
        <w:tabs>
          <w:tab w:val="left" w:pos="3240"/>
          <w:tab w:val="left" w:pos="3420"/>
        </w:tabs>
        <w:spacing w:line="360" w:lineRule="auto"/>
        <w:ind w:firstLine="540" w:firstLineChars="150"/>
        <w:jc w:val="left"/>
        <w:rPr>
          <w:rFonts w:ascii="宋体" w:hAnsi="宋体" w:cs="宋体"/>
          <w:bCs/>
          <w:color w:val="auto"/>
          <w:sz w:val="36"/>
          <w:szCs w:val="36"/>
          <w:highlight w:val="none"/>
          <w:u w:val="single"/>
        </w:rPr>
      </w:pPr>
      <w:r>
        <w:rPr>
          <w:rFonts w:hint="eastAsia" w:ascii="宋体" w:hAnsi="宋体" w:cs="宋体"/>
          <w:bCs/>
          <w:color w:val="auto"/>
          <w:sz w:val="36"/>
          <w:szCs w:val="36"/>
          <w:highlight w:val="none"/>
        </w:rPr>
        <w:t>采购人：</w:t>
      </w:r>
      <w:r>
        <w:rPr>
          <w:rFonts w:hint="eastAsia" w:ascii="宋体" w:hAnsi="宋体" w:cs="宋体"/>
          <w:bCs/>
          <w:color w:val="auto"/>
          <w:sz w:val="36"/>
          <w:szCs w:val="36"/>
          <w:highlight w:val="none"/>
          <w:u w:val="single"/>
        </w:rPr>
        <w:t xml:space="preserve">北京市丰台区职业教育中心学校 </w:t>
      </w:r>
    </w:p>
    <w:p>
      <w:pPr>
        <w:tabs>
          <w:tab w:val="left" w:pos="3240"/>
          <w:tab w:val="left" w:pos="3420"/>
        </w:tabs>
        <w:spacing w:line="360" w:lineRule="auto"/>
        <w:ind w:firstLine="540" w:firstLineChars="150"/>
        <w:jc w:val="left"/>
        <w:rPr>
          <w:rFonts w:ascii="宋体" w:hAnsi="宋体" w:cs="宋体"/>
          <w:color w:val="auto"/>
          <w:sz w:val="36"/>
          <w:szCs w:val="36"/>
          <w:highlight w:val="none"/>
          <w:u w:val="single"/>
        </w:rPr>
      </w:pPr>
      <w:r>
        <w:rPr>
          <w:rFonts w:hint="eastAsia" w:ascii="宋体" w:hAnsi="宋体" w:cs="宋体"/>
          <w:bCs/>
          <w:color w:val="auto"/>
          <w:sz w:val="36"/>
          <w:szCs w:val="36"/>
          <w:highlight w:val="none"/>
        </w:rPr>
        <w:t>采购代理机构：</w:t>
      </w:r>
      <w:r>
        <w:rPr>
          <w:rFonts w:hint="eastAsia" w:ascii="宋体" w:hAnsi="宋体" w:cs="宋体"/>
          <w:color w:val="auto"/>
          <w:sz w:val="36"/>
          <w:szCs w:val="36"/>
          <w:highlight w:val="none"/>
          <w:u w:val="single"/>
        </w:rPr>
        <w:t>北京国泰建中管理咨询有限公司</w:t>
      </w:r>
    </w:p>
    <w:p>
      <w:pPr>
        <w:pStyle w:val="2"/>
        <w:rPr>
          <w:color w:val="auto"/>
          <w:highlight w:val="none"/>
        </w:rPr>
      </w:pPr>
    </w:p>
    <w:p>
      <w:pPr>
        <w:spacing w:line="240" w:lineRule="auto"/>
        <w:jc w:val="left"/>
        <w:rPr>
          <w:rFonts w:ascii="宋体" w:hAnsi="宋体" w:cs="宋体"/>
          <w:color w:val="auto"/>
          <w:sz w:val="36"/>
          <w:szCs w:val="36"/>
          <w:highlight w:val="none"/>
          <w:u w:val="single"/>
        </w:rPr>
      </w:pPr>
    </w:p>
    <w:p>
      <w:pPr>
        <w:spacing w:line="240" w:lineRule="auto"/>
        <w:jc w:val="left"/>
        <w:rPr>
          <w:rFonts w:ascii="宋体" w:hAnsi="宋体" w:cs="宋体"/>
          <w:color w:val="auto"/>
          <w:sz w:val="36"/>
          <w:szCs w:val="36"/>
          <w:highlight w:val="none"/>
          <w:u w:val="single"/>
        </w:rPr>
      </w:pPr>
    </w:p>
    <w:p>
      <w:pPr>
        <w:spacing w:line="240" w:lineRule="auto"/>
        <w:jc w:val="left"/>
        <w:rPr>
          <w:rFonts w:ascii="宋体" w:hAnsi="宋体" w:cs="宋体"/>
          <w:color w:val="auto"/>
          <w:sz w:val="36"/>
          <w:szCs w:val="36"/>
          <w:highlight w:val="none"/>
          <w:u w:val="single"/>
        </w:rPr>
      </w:pPr>
    </w:p>
    <w:p>
      <w:pPr>
        <w:tabs>
          <w:tab w:val="left" w:pos="3240"/>
          <w:tab w:val="left" w:pos="3420"/>
        </w:tabs>
        <w:spacing w:line="360" w:lineRule="auto"/>
        <w:ind w:firstLine="540" w:firstLineChars="150"/>
        <w:jc w:val="left"/>
        <w:rPr>
          <w:rFonts w:ascii="宋体" w:hAnsi="宋体" w:cs="宋体"/>
          <w:color w:val="auto"/>
          <w:sz w:val="36"/>
          <w:szCs w:val="36"/>
          <w:highlight w:val="none"/>
          <w:u w:val="single"/>
        </w:rPr>
      </w:pPr>
    </w:p>
    <w:p>
      <w:pPr>
        <w:tabs>
          <w:tab w:val="left" w:pos="3240"/>
          <w:tab w:val="left" w:pos="3420"/>
        </w:tabs>
        <w:spacing w:line="360" w:lineRule="auto"/>
        <w:ind w:firstLine="540" w:firstLineChars="150"/>
        <w:jc w:val="left"/>
        <w:rPr>
          <w:rFonts w:ascii="宋体" w:hAnsi="宋体" w:cs="宋体"/>
          <w:color w:val="auto"/>
          <w:sz w:val="36"/>
          <w:szCs w:val="36"/>
          <w:highlight w:val="none"/>
          <w:u w:val="single"/>
        </w:rPr>
      </w:pPr>
    </w:p>
    <w:p>
      <w:pPr>
        <w:widowControl/>
        <w:jc w:val="left"/>
        <w:rPr>
          <w:rFonts w:ascii="宋体" w:hAnsi="宋体" w:cs="宋体"/>
          <w:b/>
          <w:bCs/>
          <w:color w:val="auto"/>
          <w:sz w:val="44"/>
          <w:highlight w:val="none"/>
        </w:rPr>
      </w:pPr>
    </w:p>
    <w:p>
      <w:pPr>
        <w:spacing w:line="360" w:lineRule="auto"/>
        <w:jc w:val="center"/>
        <w:outlineLvl w:val="0"/>
        <w:rPr>
          <w:rFonts w:ascii="宋体" w:hAnsi="宋体" w:cs="宋体"/>
          <w:b/>
          <w:color w:val="auto"/>
          <w:sz w:val="36"/>
          <w:szCs w:val="36"/>
          <w:highlight w:val="none"/>
        </w:rPr>
      </w:pPr>
      <w:bookmarkStart w:id="0" w:name="_Toc99301418"/>
      <w:bookmarkStart w:id="1" w:name="_Toc229142819"/>
      <w:r>
        <w:rPr>
          <w:rFonts w:hint="eastAsia" w:ascii="宋体" w:hAnsi="宋体" w:cs="宋体"/>
          <w:b/>
          <w:color w:val="auto"/>
          <w:sz w:val="36"/>
          <w:szCs w:val="36"/>
          <w:highlight w:val="none"/>
        </w:rPr>
        <w:t>目      录</w:t>
      </w:r>
      <w:bookmarkEnd w:id="0"/>
      <w:bookmarkEnd w:id="1"/>
    </w:p>
    <w:p>
      <w:pPr>
        <w:rPr>
          <w:rFonts w:ascii="宋体" w:hAnsi="宋体" w:cs="宋体"/>
          <w:color w:val="auto"/>
          <w:highlight w:val="none"/>
        </w:rPr>
      </w:pPr>
    </w:p>
    <w:p>
      <w:pPr>
        <w:pStyle w:val="22"/>
        <w:rPr>
          <w:rFonts w:ascii="Calibri" w:hAnsi="Calibri" w:eastAsia="宋体" w:cs="黑体"/>
          <w:b w:val="0"/>
          <w:color w:val="auto"/>
          <w:sz w:val="21"/>
          <w:szCs w:val="22"/>
          <w:highlight w:val="none"/>
        </w:rPr>
      </w:pPr>
      <w:r>
        <w:rPr>
          <w:rFonts w:hint="eastAsia" w:cs="宋体"/>
          <w:b w:val="0"/>
          <w:color w:val="auto"/>
          <w:highlight w:val="none"/>
        </w:rPr>
        <w:fldChar w:fldCharType="begin"/>
      </w:r>
      <w:r>
        <w:rPr>
          <w:rFonts w:hint="eastAsia" w:cs="宋体"/>
          <w:b w:val="0"/>
          <w:color w:val="auto"/>
          <w:highlight w:val="none"/>
        </w:rPr>
        <w:instrText xml:space="preserve"> TOC \o "1-1"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"_Toc229142819" </w:instrText>
      </w:r>
      <w:r>
        <w:rPr>
          <w:color w:val="auto"/>
          <w:highlight w:val="none"/>
        </w:rPr>
        <w:fldChar w:fldCharType="separate"/>
      </w:r>
      <w:r>
        <w:rPr>
          <w:rStyle w:val="34"/>
          <w:rFonts w:hint="eastAsia" w:cs="宋体"/>
          <w:color w:val="auto"/>
          <w:highlight w:val="none"/>
        </w:rPr>
        <w:t>目</w:t>
      </w:r>
      <w:r>
        <w:rPr>
          <w:rStyle w:val="34"/>
          <w:rFonts w:cs="宋体"/>
          <w:color w:val="auto"/>
          <w:highlight w:val="none"/>
        </w:rPr>
        <w:t xml:space="preserve">      </w:t>
      </w:r>
      <w:r>
        <w:rPr>
          <w:rStyle w:val="34"/>
          <w:rFonts w:hint="eastAsia" w:cs="宋体"/>
          <w:color w:val="auto"/>
          <w:highlight w:val="none"/>
        </w:rPr>
        <w:t>录</w:t>
      </w:r>
      <w:r>
        <w:rPr>
          <w:color w:val="auto"/>
          <w:highlight w:val="none"/>
        </w:rPr>
        <w:tab/>
      </w:r>
      <w:r>
        <w:rPr>
          <w:color w:val="auto"/>
          <w:highlight w:val="none"/>
        </w:rPr>
        <w:fldChar w:fldCharType="begin"/>
      </w:r>
      <w:r>
        <w:rPr>
          <w:color w:val="auto"/>
          <w:highlight w:val="none"/>
        </w:rPr>
        <w:instrText xml:space="preserve"> PAGEREF _Toc229142819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2"/>
        <w:rPr>
          <w:rFonts w:ascii="Calibri" w:hAnsi="Calibri" w:eastAsia="宋体" w:cs="黑体"/>
          <w:b w:val="0"/>
          <w:color w:val="auto"/>
          <w:sz w:val="21"/>
          <w:szCs w:val="22"/>
          <w:highlight w:val="none"/>
        </w:rPr>
      </w:pPr>
      <w:r>
        <w:rPr>
          <w:color w:val="auto"/>
          <w:highlight w:val="none"/>
        </w:rPr>
        <w:fldChar w:fldCharType="begin"/>
      </w:r>
      <w:r>
        <w:rPr>
          <w:color w:val="auto"/>
          <w:highlight w:val="none"/>
        </w:rPr>
        <w:instrText xml:space="preserve"> HYPERLINK \l "_Toc229142820" </w:instrText>
      </w:r>
      <w:r>
        <w:rPr>
          <w:color w:val="auto"/>
          <w:highlight w:val="none"/>
        </w:rPr>
        <w:fldChar w:fldCharType="separate"/>
      </w:r>
      <w:r>
        <w:rPr>
          <w:rStyle w:val="34"/>
          <w:rFonts w:hint="eastAsia" w:cs="宋体"/>
          <w:color w:val="auto"/>
          <w:highlight w:val="none"/>
        </w:rPr>
        <w:t>第一章</w:t>
      </w:r>
      <w:r>
        <w:rPr>
          <w:rStyle w:val="34"/>
          <w:rFonts w:cs="宋体"/>
          <w:color w:val="auto"/>
          <w:highlight w:val="none"/>
        </w:rPr>
        <w:t xml:space="preserve">   </w:t>
      </w:r>
      <w:r>
        <w:rPr>
          <w:rStyle w:val="34"/>
          <w:rFonts w:hint="eastAsia" w:cs="宋体"/>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_Toc229142820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2"/>
        <w:rPr>
          <w:rFonts w:ascii="Calibri" w:hAnsi="Calibri" w:eastAsia="宋体" w:cs="黑体"/>
          <w:b w:val="0"/>
          <w:color w:val="auto"/>
          <w:sz w:val="21"/>
          <w:szCs w:val="22"/>
          <w:highlight w:val="none"/>
        </w:rPr>
      </w:pPr>
      <w:r>
        <w:rPr>
          <w:color w:val="auto"/>
          <w:highlight w:val="none"/>
        </w:rPr>
        <w:fldChar w:fldCharType="begin"/>
      </w:r>
      <w:r>
        <w:rPr>
          <w:color w:val="auto"/>
          <w:highlight w:val="none"/>
        </w:rPr>
        <w:instrText xml:space="preserve"> HYPERLINK \l "_Toc229142821" </w:instrText>
      </w:r>
      <w:r>
        <w:rPr>
          <w:color w:val="auto"/>
          <w:highlight w:val="none"/>
        </w:rPr>
        <w:fldChar w:fldCharType="separate"/>
      </w:r>
      <w:r>
        <w:rPr>
          <w:rStyle w:val="34"/>
          <w:rFonts w:hint="eastAsia" w:cs="宋体"/>
          <w:color w:val="auto"/>
          <w:highlight w:val="none"/>
        </w:rPr>
        <w:t>第二章</w:t>
      </w:r>
      <w:r>
        <w:rPr>
          <w:rStyle w:val="34"/>
          <w:rFonts w:cs="宋体"/>
          <w:color w:val="auto"/>
          <w:highlight w:val="none"/>
        </w:rPr>
        <w:t xml:space="preserve">   </w:t>
      </w:r>
      <w:r>
        <w:rPr>
          <w:rStyle w:val="34"/>
          <w:rFonts w:hint="eastAsia" w:cs="宋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_Toc229142821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2"/>
        <w:rPr>
          <w:rFonts w:ascii="Calibri" w:hAnsi="Calibri" w:eastAsia="宋体" w:cs="黑体"/>
          <w:b w:val="0"/>
          <w:color w:val="auto"/>
          <w:sz w:val="21"/>
          <w:szCs w:val="22"/>
          <w:highlight w:val="none"/>
        </w:rPr>
      </w:pPr>
      <w:r>
        <w:rPr>
          <w:color w:val="auto"/>
          <w:highlight w:val="none"/>
        </w:rPr>
        <w:fldChar w:fldCharType="begin"/>
      </w:r>
      <w:r>
        <w:rPr>
          <w:color w:val="auto"/>
          <w:highlight w:val="none"/>
        </w:rPr>
        <w:instrText xml:space="preserve"> HYPERLINK \l "_Toc229142822" </w:instrText>
      </w:r>
      <w:r>
        <w:rPr>
          <w:color w:val="auto"/>
          <w:highlight w:val="none"/>
        </w:rPr>
        <w:fldChar w:fldCharType="separate"/>
      </w:r>
      <w:r>
        <w:rPr>
          <w:rStyle w:val="34"/>
          <w:rFonts w:hint="eastAsia" w:cs="宋体"/>
          <w:color w:val="auto"/>
          <w:highlight w:val="none"/>
        </w:rPr>
        <w:t>第三章</w:t>
      </w:r>
      <w:r>
        <w:rPr>
          <w:rStyle w:val="34"/>
          <w:rFonts w:cs="宋体"/>
          <w:color w:val="auto"/>
          <w:highlight w:val="none"/>
        </w:rPr>
        <w:t xml:space="preserve">   </w:t>
      </w:r>
      <w:r>
        <w:rPr>
          <w:rStyle w:val="34"/>
          <w:rFonts w:hint="eastAsia" w:cs="宋体"/>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_Toc229142822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2"/>
        <w:rPr>
          <w:rFonts w:ascii="Calibri" w:hAnsi="Calibri" w:eastAsia="宋体" w:cs="黑体"/>
          <w:b w:val="0"/>
          <w:color w:val="auto"/>
          <w:sz w:val="21"/>
          <w:szCs w:val="22"/>
          <w:highlight w:val="none"/>
        </w:rPr>
      </w:pPr>
      <w:r>
        <w:rPr>
          <w:color w:val="auto"/>
          <w:highlight w:val="none"/>
        </w:rPr>
        <w:fldChar w:fldCharType="begin"/>
      </w:r>
      <w:r>
        <w:rPr>
          <w:color w:val="auto"/>
          <w:highlight w:val="none"/>
        </w:rPr>
        <w:instrText xml:space="preserve"> HYPERLINK \l "_Toc229142823" </w:instrText>
      </w:r>
      <w:r>
        <w:rPr>
          <w:color w:val="auto"/>
          <w:highlight w:val="none"/>
        </w:rPr>
        <w:fldChar w:fldCharType="separate"/>
      </w:r>
      <w:r>
        <w:rPr>
          <w:rStyle w:val="34"/>
          <w:rFonts w:hint="eastAsia" w:cs="宋体"/>
          <w:color w:val="auto"/>
          <w:highlight w:val="none"/>
        </w:rPr>
        <w:t>第四章</w:t>
      </w:r>
      <w:r>
        <w:rPr>
          <w:rStyle w:val="34"/>
          <w:rFonts w:cs="宋体"/>
          <w:color w:val="auto"/>
          <w:highlight w:val="none"/>
        </w:rPr>
        <w:t xml:space="preserve">   </w:t>
      </w:r>
      <w:r>
        <w:rPr>
          <w:rStyle w:val="34"/>
          <w:rFonts w:hint="eastAsia"/>
          <w:color w:val="auto"/>
          <w:highlight w:val="none"/>
        </w:rPr>
        <w:t>评标程序、评标方法和评标标准</w:t>
      </w:r>
      <w:r>
        <w:rPr>
          <w:color w:val="auto"/>
          <w:highlight w:val="none"/>
        </w:rPr>
        <w:tab/>
      </w:r>
      <w:r>
        <w:rPr>
          <w:color w:val="auto"/>
          <w:highlight w:val="none"/>
        </w:rPr>
        <w:fldChar w:fldCharType="begin"/>
      </w:r>
      <w:r>
        <w:rPr>
          <w:color w:val="auto"/>
          <w:highlight w:val="none"/>
        </w:rPr>
        <w:instrText xml:space="preserve"> PAGEREF _Toc229142823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rPr>
          <w:rFonts w:ascii="Calibri" w:hAnsi="Calibri" w:eastAsia="宋体" w:cs="黑体"/>
          <w:b w:val="0"/>
          <w:color w:val="auto"/>
          <w:sz w:val="21"/>
          <w:szCs w:val="22"/>
          <w:highlight w:val="none"/>
        </w:rPr>
      </w:pPr>
      <w:r>
        <w:rPr>
          <w:color w:val="auto"/>
          <w:highlight w:val="none"/>
        </w:rPr>
        <w:fldChar w:fldCharType="begin"/>
      </w:r>
      <w:r>
        <w:rPr>
          <w:color w:val="auto"/>
          <w:highlight w:val="none"/>
        </w:rPr>
        <w:instrText xml:space="preserve"> HYPERLINK \l "_Toc229142824" </w:instrText>
      </w:r>
      <w:r>
        <w:rPr>
          <w:color w:val="auto"/>
          <w:highlight w:val="none"/>
        </w:rPr>
        <w:fldChar w:fldCharType="separate"/>
      </w:r>
      <w:r>
        <w:rPr>
          <w:rStyle w:val="34"/>
          <w:rFonts w:hint="eastAsia" w:cs="宋体"/>
          <w:color w:val="auto"/>
          <w:highlight w:val="none"/>
        </w:rPr>
        <w:t>第五章</w:t>
      </w:r>
      <w:r>
        <w:rPr>
          <w:rStyle w:val="34"/>
          <w:rFonts w:cs="宋体"/>
          <w:color w:val="auto"/>
          <w:highlight w:val="none"/>
        </w:rPr>
        <w:t xml:space="preserve">   </w:t>
      </w:r>
      <w:r>
        <w:rPr>
          <w:rStyle w:val="34"/>
          <w:rFonts w:hint="eastAsia"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_Toc229142824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2"/>
        <w:rPr>
          <w:rFonts w:ascii="Calibri" w:hAnsi="Calibri" w:eastAsia="宋体" w:cs="黑体"/>
          <w:b w:val="0"/>
          <w:color w:val="auto"/>
          <w:sz w:val="21"/>
          <w:szCs w:val="22"/>
          <w:highlight w:val="none"/>
        </w:rPr>
      </w:pPr>
      <w:r>
        <w:rPr>
          <w:color w:val="auto"/>
          <w:highlight w:val="none"/>
        </w:rPr>
        <w:fldChar w:fldCharType="begin"/>
      </w:r>
      <w:r>
        <w:rPr>
          <w:color w:val="auto"/>
          <w:highlight w:val="none"/>
        </w:rPr>
        <w:instrText xml:space="preserve"> HYPERLINK \l "_Toc229142825" </w:instrText>
      </w:r>
      <w:r>
        <w:rPr>
          <w:color w:val="auto"/>
          <w:highlight w:val="none"/>
        </w:rPr>
        <w:fldChar w:fldCharType="separate"/>
      </w:r>
      <w:r>
        <w:rPr>
          <w:rStyle w:val="34"/>
          <w:rFonts w:hint="eastAsia" w:cs="宋体"/>
          <w:color w:val="auto"/>
          <w:highlight w:val="none"/>
        </w:rPr>
        <w:t>第六章</w:t>
      </w:r>
      <w:r>
        <w:rPr>
          <w:rStyle w:val="34"/>
          <w:rFonts w:cs="宋体"/>
          <w:color w:val="auto"/>
          <w:highlight w:val="none"/>
        </w:rPr>
        <w:t xml:space="preserve">   </w:t>
      </w:r>
      <w:r>
        <w:rPr>
          <w:rStyle w:val="34"/>
          <w:rFonts w:hint="eastAsia" w:cs="宋体"/>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_Toc229142825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2"/>
        <w:rPr>
          <w:rFonts w:ascii="Calibri" w:hAnsi="Calibri" w:eastAsia="宋体" w:cs="黑体"/>
          <w:b w:val="0"/>
          <w:color w:val="auto"/>
          <w:sz w:val="21"/>
          <w:szCs w:val="22"/>
          <w:highlight w:val="none"/>
        </w:rPr>
      </w:pPr>
      <w:r>
        <w:rPr>
          <w:color w:val="auto"/>
          <w:highlight w:val="none"/>
        </w:rPr>
        <w:fldChar w:fldCharType="begin"/>
      </w:r>
      <w:r>
        <w:rPr>
          <w:color w:val="auto"/>
          <w:highlight w:val="none"/>
        </w:rPr>
        <w:instrText xml:space="preserve"> HYPERLINK \l "_Toc229142826" </w:instrText>
      </w:r>
      <w:r>
        <w:rPr>
          <w:color w:val="auto"/>
          <w:highlight w:val="none"/>
        </w:rPr>
        <w:fldChar w:fldCharType="separate"/>
      </w:r>
      <w:r>
        <w:rPr>
          <w:rStyle w:val="34"/>
          <w:rFonts w:hint="eastAsia" w:cs="宋体"/>
          <w:color w:val="auto"/>
          <w:highlight w:val="none"/>
        </w:rPr>
        <w:t>第七章</w:t>
      </w:r>
      <w:r>
        <w:rPr>
          <w:rStyle w:val="34"/>
          <w:rFonts w:cs="宋体"/>
          <w:color w:val="auto"/>
          <w:highlight w:val="none"/>
        </w:rPr>
        <w:t xml:space="preserve">   </w:t>
      </w:r>
      <w:r>
        <w:rPr>
          <w:rStyle w:val="34"/>
          <w:rFonts w:hint="eastAsia"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_Toc229142826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2"/>
        <w:spacing w:line="360" w:lineRule="auto"/>
        <w:rPr>
          <w:rFonts w:cs="宋体"/>
          <w:b w:val="0"/>
          <w:color w:val="auto"/>
          <w:highlight w:val="none"/>
        </w:rPr>
      </w:pPr>
      <w:r>
        <w:rPr>
          <w:rFonts w:hint="eastAsia" w:cs="宋体"/>
          <w:b w:val="0"/>
          <w:color w:val="auto"/>
          <w:highlight w:val="none"/>
        </w:rPr>
        <w:fldChar w:fldCharType="end"/>
      </w:r>
    </w:p>
    <w:p>
      <w:pPr>
        <w:spacing w:line="360" w:lineRule="auto"/>
        <w:jc w:val="center"/>
        <w:outlineLvl w:val="0"/>
        <w:rPr>
          <w:rFonts w:ascii="宋体" w:hAnsi="宋体" w:cs="宋体"/>
          <w:b/>
          <w:color w:val="auto"/>
          <w:sz w:val="36"/>
          <w:szCs w:val="36"/>
          <w:highlight w:val="none"/>
        </w:rPr>
      </w:pPr>
      <w:r>
        <w:rPr>
          <w:rFonts w:hint="eastAsia" w:ascii="宋体" w:hAnsi="宋体" w:cs="宋体"/>
          <w:color w:val="auto"/>
          <w:sz w:val="24"/>
          <w:highlight w:val="none"/>
        </w:rPr>
        <w:br w:type="page"/>
      </w:r>
      <w:bookmarkStart w:id="2" w:name="_Toc229142820"/>
      <w:r>
        <w:rPr>
          <w:rFonts w:hint="eastAsia" w:ascii="宋体" w:hAnsi="宋体" w:cs="宋体"/>
          <w:b/>
          <w:color w:val="auto"/>
          <w:sz w:val="36"/>
          <w:szCs w:val="36"/>
          <w:highlight w:val="none"/>
        </w:rPr>
        <w:t>第一章   投标邀请</w:t>
      </w:r>
      <w:bookmarkEnd w:id="2"/>
    </w:p>
    <w:p>
      <w:pPr>
        <w:pStyle w:val="4"/>
        <w:spacing w:before="0" w:beforeLines="0" w:line="360" w:lineRule="auto"/>
        <w:jc w:val="left"/>
        <w:rPr>
          <w:rFonts w:ascii="宋体" w:hAnsi="宋体" w:eastAsia="宋体" w:cs="宋体"/>
          <w:color w:val="auto"/>
          <w:sz w:val="24"/>
          <w:szCs w:val="24"/>
          <w:highlight w:val="none"/>
        </w:rPr>
      </w:pPr>
      <w:bookmarkStart w:id="3" w:name="_Toc35393621"/>
      <w:bookmarkStart w:id="4" w:name="_Toc28359079"/>
      <w:bookmarkStart w:id="5" w:name="_Toc35393790"/>
      <w:bookmarkStart w:id="6" w:name="_Toc28359002"/>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 项目名称：</w:t>
      </w:r>
      <w:r>
        <w:rPr>
          <w:rFonts w:hint="eastAsia" w:ascii="宋体" w:hAnsi="宋体" w:cs="宋体"/>
          <w:color w:val="auto"/>
          <w:sz w:val="24"/>
          <w:highlight w:val="none"/>
          <w:u w:val="single"/>
        </w:rPr>
        <w:t>额度外-2026年北京市丰台区职业教育中心学校贾家花园校区-影视特效与动画制作实训室其他信息化设备采购项目</w:t>
      </w:r>
    </w:p>
    <w:bookmarkEnd w:id="7"/>
    <w:p>
      <w:pPr>
        <w:numPr>
          <w:ilvl w:val="0"/>
          <w:numId w:val="10"/>
          <w:numberingChange w:id="0" w:author="Smita" w:date="2026-05-12T07:45:00Z" w:original="%1:2: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11010626210200028577-XM001</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项目总预算金额：</w:t>
      </w:r>
      <w:r>
        <w:rPr>
          <w:rFonts w:ascii="宋体" w:hAnsi="宋体" w:cs="宋体"/>
          <w:color w:val="auto"/>
          <w:sz w:val="24"/>
          <w:highlight w:val="none"/>
          <w:u w:val="single"/>
        </w:rPr>
        <w:t>133.7704</w:t>
      </w:r>
      <w:r>
        <w:rPr>
          <w:rFonts w:hint="eastAsia" w:ascii="宋体" w:hAnsi="宋体" w:cs="宋体"/>
          <w:color w:val="auto"/>
          <w:sz w:val="24"/>
          <w:highlight w:val="none"/>
        </w:rPr>
        <w:t xml:space="preserve">万元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采购需求简述：</w:t>
      </w:r>
      <w:bookmarkStart w:id="477" w:name="_GoBack"/>
      <w:bookmarkEnd w:id="477"/>
      <w:r>
        <w:rPr>
          <w:rFonts w:hint="eastAsia" w:ascii="宋体" w:hAnsi="宋体" w:cs="宋体"/>
          <w:color w:val="auto"/>
          <w:sz w:val="24"/>
          <w:highlight w:val="none"/>
        </w:rPr>
        <w:t>完成额度外-2026年北京市丰台区职业教育中心学校贾家花园校区-影视特效与动画制作实训室建设，包括</w:t>
      </w:r>
      <w:r>
        <w:rPr>
          <w:rFonts w:ascii="宋体" w:hAnsi="宋体" w:cs="宋体"/>
          <w:color w:val="auto"/>
          <w:sz w:val="24"/>
          <w:highlight w:val="none"/>
        </w:rPr>
        <w:t>影视特效与动画制作生产实践一体终端、数位板、教学素材管理存储终端、数据交互交换运算终端、监听耳机</w:t>
      </w:r>
    </w:p>
    <w:p>
      <w:pPr>
        <w:tabs>
          <w:tab w:val="left" w:pos="312"/>
        </w:tabs>
        <w:spacing w:line="360" w:lineRule="auto"/>
        <w:ind w:left="480"/>
        <w:rPr>
          <w:rFonts w:ascii="宋体" w:hAnsi="宋体" w:cs="宋体"/>
          <w:color w:val="auto"/>
          <w:sz w:val="24"/>
          <w:highlight w:val="none"/>
        </w:rPr>
      </w:pPr>
      <w:r>
        <w:rPr>
          <w:rFonts w:hint="eastAsia" w:ascii="宋体" w:hAnsi="宋体" w:cs="宋体"/>
          <w:color w:val="auto"/>
          <w:sz w:val="24"/>
          <w:highlight w:val="none"/>
        </w:rPr>
        <w:t>注：本项目不接受进口产品投标</w:t>
      </w:r>
    </w:p>
    <w:p>
      <w:pPr>
        <w:numPr>
          <w:ilvl w:val="0"/>
          <w:numId w:val="11"/>
          <w:numberingChange w:id="1" w:author="Smita" w:date="2026-05-12T07:45:00Z" w:original="%1:5: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合同履行期限：自合同签订之日起90个日历天内完成所有设备的供货安装，并达到使用要求。</w:t>
      </w:r>
      <w:r>
        <w:rPr>
          <w:rFonts w:ascii="宋体" w:hAnsi="宋体" w:cs="宋体"/>
          <w:color w:val="auto"/>
          <w:sz w:val="24"/>
          <w:highlight w:val="none"/>
        </w:rPr>
        <w:t xml:space="preserve"> </w:t>
      </w:r>
    </w:p>
    <w:p>
      <w:pPr>
        <w:numPr>
          <w:ilvl w:val="0"/>
          <w:numId w:val="11"/>
          <w:numberingChange w:id="2" w:author="Smita" w:date="2026-05-12T07:45:00Z" w:original="%1:6: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本项目是否接受联合体投标：□是  ■否。</w:t>
      </w:r>
    </w:p>
    <w:p>
      <w:pPr>
        <w:pStyle w:val="4"/>
        <w:spacing w:before="0" w:beforeLines="0" w:line="360" w:lineRule="auto"/>
        <w:jc w:val="left"/>
        <w:rPr>
          <w:rFonts w:ascii="宋体" w:hAnsi="宋体" w:eastAsia="宋体" w:cs="宋体"/>
          <w:color w:val="auto"/>
          <w:sz w:val="24"/>
          <w:szCs w:val="24"/>
          <w:highlight w:val="none"/>
        </w:rPr>
      </w:pPr>
      <w:bookmarkStart w:id="8" w:name="_Toc35393622"/>
      <w:bookmarkStart w:id="9" w:name="_Toc35393791"/>
      <w:bookmarkStart w:id="10" w:name="_Toc28359003"/>
      <w:bookmarkStart w:id="11" w:name="_Toc28359080"/>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ascii="宋体" w:hAnsi="宋体" w:cs="宋体"/>
          <w:color w:val="auto"/>
          <w:sz w:val="24"/>
          <w:highlight w:val="none"/>
        </w:rPr>
      </w:pPr>
      <w:bookmarkStart w:id="12" w:name="_Toc28359081"/>
      <w:bookmarkStart w:id="13" w:name="_Toc28359004"/>
      <w:r>
        <w:rPr>
          <w:rFonts w:hint="eastAsia" w:ascii="宋体" w:hAnsi="宋体" w:cs="宋体"/>
          <w:color w:val="auto"/>
          <w:sz w:val="24"/>
          <w:highlight w:val="none"/>
        </w:rPr>
        <w:t>2.落实政府采购政策需满足的资格要求：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中小企业政策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pPr>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w:t>
      </w:r>
      <w:r>
        <w:rPr>
          <w:rFonts w:hint="eastAsia" w:ascii="宋体" w:hAnsi="宋体" w:cs="宋体"/>
          <w:color w:val="auto"/>
          <w:sz w:val="24"/>
          <w:highlight w:val="none"/>
          <w:u w:val="single"/>
        </w:rPr>
        <w:t>本项目专门面向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中、小、微企业□小微企业采购</w:t>
      </w:r>
      <w:r>
        <w:rPr>
          <w:rFonts w:hint="eastAsia" w:ascii="宋体" w:hAnsi="宋体" w:cs="宋体"/>
          <w:color w:val="auto"/>
          <w:sz w:val="24"/>
          <w:highlight w:val="none"/>
        </w:rPr>
        <w:t>。即：</w:t>
      </w:r>
      <w:r>
        <w:rPr>
          <w:rFonts w:hint="eastAsia" w:ascii="宋体" w:hAnsi="宋体" w:cs="宋体"/>
          <w:b/>
          <w:color w:val="auto"/>
          <w:sz w:val="24"/>
          <w:highlight w:val="none"/>
          <w:u w:val="single"/>
        </w:rPr>
        <w:t>提供的货物全部由符合政策要求的中、小、微企业制造。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cs="宋体"/>
          <w:color w:val="auto"/>
          <w:sz w:val="24"/>
          <w:highlight w:val="none"/>
          <w:u w:val="single"/>
        </w:rPr>
        <w:t>/</w:t>
      </w:r>
      <w:r>
        <w:rPr>
          <w:rFonts w:hint="eastAsia" w:ascii="宋体" w:hAnsi="宋体" w:cs="宋体"/>
          <w:color w:val="auto"/>
          <w:sz w:val="24"/>
          <w:highlight w:val="none"/>
        </w:rPr>
        <w:t>_。</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其它落实政府采购政策的资格要求：</w:t>
      </w:r>
    </w:p>
    <w:p>
      <w:pPr>
        <w:spacing w:line="360" w:lineRule="auto"/>
        <w:ind w:left="1078" w:leftChars="399" w:hanging="240" w:hangingChars="100"/>
        <w:rPr>
          <w:rFonts w:ascii="宋体" w:hAnsi="宋体" w:cs="宋体"/>
          <w:color w:val="auto"/>
          <w:sz w:val="24"/>
          <w:highlight w:val="none"/>
        </w:rPr>
      </w:pPr>
      <w:r>
        <w:rPr>
          <w:rFonts w:hint="eastAsia" w:ascii="宋体" w:hAnsi="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ascii="宋体" w:hAnsi="宋体" w:cs="宋体"/>
          <w:color w:val="auto"/>
          <w:sz w:val="24"/>
          <w:highlight w:val="none"/>
        </w:rPr>
      </w:pPr>
      <w:r>
        <w:rPr>
          <w:rFonts w:hint="eastAsia" w:ascii="宋体" w:hAnsi="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ascii="宋体" w:hAnsi="宋体" w:cs="宋体"/>
          <w:color w:val="auto"/>
          <w:sz w:val="24"/>
          <w:highlight w:val="none"/>
        </w:rPr>
      </w:pPr>
      <w:r>
        <w:rPr>
          <w:rFonts w:hint="eastAsia" w:ascii="宋体" w:hAnsi="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3.2其他特定资格要求：</w:t>
      </w:r>
    </w:p>
    <w:p>
      <w:pPr>
        <w:spacing w:line="360" w:lineRule="auto"/>
        <w:ind w:left="1078" w:leftChars="399" w:hanging="240" w:hangingChars="100"/>
        <w:rPr>
          <w:rFonts w:ascii="宋体" w:hAnsi="宋体" w:cs="宋体"/>
          <w:color w:val="auto"/>
          <w:sz w:val="24"/>
          <w:highlight w:val="none"/>
        </w:rPr>
      </w:pPr>
      <w:r>
        <w:rPr>
          <w:rFonts w:hint="eastAsia" w:ascii="宋体" w:hAnsi="宋体" w:cs="宋体"/>
          <w:color w:val="auto"/>
          <w:sz w:val="24"/>
          <w:highlight w:val="none"/>
        </w:rPr>
        <w:t>1）单位负责人为同一人或者存在控股、管理关系的不同单位，不得同时参加同一标段的投标。为本项目提供整体设计、规范编制或者项目管理、监理、检测等服务的投标人，不得再参加本项目投标。</w:t>
      </w:r>
    </w:p>
    <w:bookmarkEnd w:id="12"/>
    <w:bookmarkEnd w:id="13"/>
    <w:p>
      <w:pPr>
        <w:pStyle w:val="4"/>
        <w:widowControl/>
        <w:spacing w:before="0" w:beforeLines="0" w:line="360" w:lineRule="auto"/>
        <w:jc w:val="left"/>
        <w:rPr>
          <w:rFonts w:ascii="宋体" w:hAnsi="宋体" w:eastAsia="宋体" w:cs="宋体"/>
          <w:color w:val="auto"/>
          <w:sz w:val="24"/>
          <w:szCs w:val="24"/>
          <w:highlight w:val="none"/>
        </w:rPr>
      </w:pPr>
      <w:bookmarkStart w:id="14" w:name="_Toc35393792"/>
      <w:bookmarkStart w:id="15" w:name="_Toc35393623"/>
      <w:r>
        <w:rPr>
          <w:rFonts w:hint="eastAsia" w:ascii="宋体" w:hAnsi="宋体" w:eastAsia="宋体" w:cs="宋体"/>
          <w:color w:val="auto"/>
          <w:sz w:val="24"/>
          <w:szCs w:val="24"/>
          <w:highlight w:val="none"/>
        </w:rPr>
        <w:t>三、获取招标文件</w:t>
      </w:r>
      <w:bookmarkEnd w:id="14"/>
      <w:bookmarkEnd w:id="15"/>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u w:val="single"/>
        </w:rPr>
        <w:t>2026年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19</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日8：00至2026年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26</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日16：00_</w:t>
      </w:r>
      <w:r>
        <w:rPr>
          <w:rFonts w:hint="eastAsia" w:ascii="宋体" w:hAnsi="宋体" w:cs="宋体"/>
          <w:color w:val="auto"/>
          <w:sz w:val="24"/>
          <w:highlight w:val="none"/>
        </w:rPr>
        <w:t>（北京时间，法定节假日除外）。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4.售价：0元。</w:t>
      </w:r>
    </w:p>
    <w:p>
      <w:pPr>
        <w:pStyle w:val="4"/>
        <w:widowControl/>
        <w:spacing w:before="0" w:beforeLines="0" w:line="360" w:lineRule="auto"/>
        <w:jc w:val="left"/>
        <w:rPr>
          <w:rFonts w:ascii="宋体" w:hAnsi="宋体" w:eastAsia="宋体" w:cs="宋体"/>
          <w:color w:val="auto"/>
          <w:sz w:val="24"/>
          <w:szCs w:val="24"/>
          <w:highlight w:val="none"/>
        </w:rPr>
      </w:pPr>
      <w:bookmarkStart w:id="16" w:name="_Toc28359005"/>
      <w:bookmarkStart w:id="17" w:name="_Toc28359082"/>
      <w:bookmarkStart w:id="18" w:name="_Toc35393793"/>
      <w:bookmarkStart w:id="19" w:name="_Toc35393624"/>
      <w:r>
        <w:rPr>
          <w:rFonts w:hint="eastAsia" w:ascii="宋体" w:hAnsi="宋体" w:eastAsia="宋体" w:cs="宋体"/>
          <w:color w:val="auto"/>
          <w:sz w:val="24"/>
          <w:szCs w:val="24"/>
          <w:highlight w:val="none"/>
        </w:rPr>
        <w:t>四、提交投标文件</w:t>
      </w:r>
      <w:bookmarkEnd w:id="16"/>
      <w:bookmarkEnd w:id="17"/>
      <w:r>
        <w:rPr>
          <w:rFonts w:hint="eastAsia" w:ascii="宋体" w:hAnsi="宋体" w:eastAsia="宋体" w:cs="宋体"/>
          <w:color w:val="auto"/>
          <w:sz w:val="24"/>
          <w:szCs w:val="24"/>
          <w:highlight w:val="none"/>
        </w:rPr>
        <w:t>截止时间、开标时间和地点</w:t>
      </w:r>
      <w:bookmarkEnd w:id="18"/>
      <w:bookmarkEnd w:id="19"/>
    </w:p>
    <w:p>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rPr>
        <w:t>投标截止时间、开标时间：</w:t>
      </w:r>
      <w:r>
        <w:rPr>
          <w:rFonts w:hint="eastAsia" w:ascii="宋体" w:hAnsi="宋体" w:cs="宋体"/>
          <w:b/>
          <w:bCs/>
          <w:color w:val="auto"/>
          <w:sz w:val="24"/>
          <w:highlight w:val="none"/>
          <w:u w:val="single"/>
        </w:rPr>
        <w:t>2026年</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 xml:space="preserve"> 月</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9</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日09点30分</w:t>
      </w:r>
      <w:r>
        <w:rPr>
          <w:rFonts w:hint="eastAsia" w:ascii="宋体" w:hAnsi="宋体" w:cs="宋体"/>
          <w:b/>
          <w:bCs/>
          <w:color w:val="auto"/>
          <w:sz w:val="24"/>
          <w:highlight w:val="none"/>
        </w:rPr>
        <w:t>（北京时间）</w:t>
      </w:r>
      <w:r>
        <w:rPr>
          <w:rFonts w:hint="eastAsia" w:ascii="宋体" w:hAnsi="宋体" w:cs="宋体"/>
          <w:b/>
          <w:bCs/>
          <w:iCs/>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地点：北京市政府采购电子交易平台</w:t>
      </w:r>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方式：供应商持CA数字认证证书或电子营业执照登录北京市政府采购电子交易平台（http://zbcg-bjzc.zhongcy.com/bjczj-portal-site/index.htmL#/home）参与电子开标。</w:t>
      </w:r>
    </w:p>
    <w:p>
      <w:pPr>
        <w:pStyle w:val="4"/>
        <w:spacing w:before="0" w:beforeLines="0" w:line="360" w:lineRule="auto"/>
        <w:jc w:val="left"/>
        <w:rPr>
          <w:rFonts w:ascii="宋体" w:hAnsi="宋体" w:eastAsia="宋体" w:cs="宋体"/>
          <w:color w:val="auto"/>
          <w:sz w:val="24"/>
          <w:szCs w:val="24"/>
          <w:highlight w:val="none"/>
        </w:rPr>
      </w:pPr>
      <w:bookmarkStart w:id="20" w:name="_Toc35393794"/>
      <w:bookmarkStart w:id="21" w:name="_Toc35393625"/>
      <w:bookmarkStart w:id="22" w:name="_Toc28359084"/>
      <w:bookmarkStart w:id="23" w:name="_Toc28359007"/>
      <w:r>
        <w:rPr>
          <w:rFonts w:hint="eastAsia" w:ascii="宋体" w:hAnsi="宋体" w:eastAsia="宋体" w:cs="宋体"/>
          <w:color w:val="auto"/>
          <w:sz w:val="24"/>
          <w:szCs w:val="24"/>
          <w:highlight w:val="none"/>
        </w:rPr>
        <w:t>五、公告期限</w:t>
      </w:r>
      <w:bookmarkEnd w:id="20"/>
      <w:bookmarkEnd w:id="21"/>
      <w:bookmarkEnd w:id="22"/>
      <w:bookmarkEnd w:id="23"/>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pStyle w:val="4"/>
        <w:spacing w:before="0" w:beforeLines="0" w:line="360" w:lineRule="auto"/>
        <w:jc w:val="left"/>
        <w:rPr>
          <w:rFonts w:ascii="宋体" w:hAnsi="宋体" w:eastAsia="宋体" w:cs="宋体"/>
          <w:color w:val="auto"/>
          <w:sz w:val="24"/>
          <w:szCs w:val="24"/>
          <w:highlight w:val="none"/>
        </w:rPr>
      </w:pPr>
      <w:bookmarkStart w:id="24" w:name="_Toc35393626"/>
      <w:bookmarkStart w:id="25" w:name="_Toc35393795"/>
      <w:r>
        <w:rPr>
          <w:rFonts w:hint="eastAsia" w:ascii="宋体" w:hAnsi="宋体" w:eastAsia="宋体" w:cs="宋体"/>
          <w:color w:val="auto"/>
          <w:sz w:val="24"/>
          <w:szCs w:val="24"/>
          <w:highlight w:val="none"/>
        </w:rPr>
        <w:t>六、其他补充事宜</w:t>
      </w:r>
      <w:bookmarkEnd w:id="24"/>
      <w:bookmarkEnd w:id="2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2.本项目采用</w:t>
      </w:r>
      <w:r>
        <w:rPr>
          <w:rFonts w:hint="eastAsia" w:ascii="宋体" w:hAnsi="宋体" w:cs="宋体"/>
          <w:b/>
          <w:bCs/>
          <w:color w:val="auto"/>
          <w:sz w:val="24"/>
          <w:highlight w:val="none"/>
        </w:rPr>
        <w:t>全流程电子化采购方式</w:t>
      </w:r>
      <w:r>
        <w:rPr>
          <w:rFonts w:hint="eastAsia" w:ascii="宋体" w:hAnsi="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CA认证证书服务热线 010-58511086</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电子营业执照服务热线 400-699-7000</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技术支持服务热线    010-86483801</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3.2注册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3.3驱动、客户端下载</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 获取电子招标文件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3.5编制电子投标文件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投标人应使用电子投标客户端编制电子投标文件并进行线上投标，投标人电子投标文件需要加密并加盖电子签章</w:t>
      </w:r>
      <w:r>
        <w:rPr>
          <w:rFonts w:hint="eastAsia" w:ascii="宋体" w:hAnsi="宋体" w:cs="宋体"/>
          <w:bCs/>
          <w:color w:val="auto"/>
          <w:sz w:val="24"/>
          <w:highlight w:val="none"/>
        </w:rPr>
        <w:t>，如无法按照要求在电子投标文件中加盖电子签章和加密，请及时通过技术支持服务热线联系技术人员</w:t>
      </w:r>
      <w:r>
        <w:rPr>
          <w:rFonts w:hint="eastAsia" w:ascii="宋体" w:hAnsi="宋体" w:cs="宋体"/>
          <w:color w:val="auto"/>
          <w:sz w:val="24"/>
          <w:highlight w:val="none"/>
        </w:rPr>
        <w:t>。</w:t>
      </w:r>
    </w:p>
    <w:p>
      <w:pPr>
        <w:widowControl/>
        <w:spacing w:line="360" w:lineRule="auto"/>
        <w:ind w:firstLine="480" w:firstLineChars="200"/>
        <w:jc w:val="left"/>
        <w:rPr>
          <w:rFonts w:ascii="宋体" w:hAnsi="宋体" w:cs="宋体"/>
          <w:color w:val="auto"/>
          <w:sz w:val="24"/>
          <w:highlight w:val="none"/>
          <w:lang w:val="zh-TW"/>
        </w:rPr>
      </w:pPr>
      <w:r>
        <w:rPr>
          <w:rFonts w:hint="eastAsia" w:ascii="宋体" w:hAnsi="宋体" w:cs="宋体"/>
          <w:color w:val="auto"/>
          <w:sz w:val="24"/>
          <w:highlight w:val="none"/>
          <w:lang w:val="zh-TW" w:eastAsia="zh-TW"/>
        </w:rPr>
        <w:t>3.6</w:t>
      </w:r>
      <w:r>
        <w:rPr>
          <w:rFonts w:hint="eastAsia" w:ascii="宋体" w:hAnsi="宋体" w:cs="宋体"/>
          <w:color w:val="auto"/>
          <w:sz w:val="24"/>
          <w:highlight w:val="none"/>
          <w:lang w:val="zh-TW"/>
        </w:rPr>
        <w:t>提交电子投标文件</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投标人应于</w:t>
      </w:r>
      <w:r>
        <w:rPr>
          <w:rFonts w:hint="eastAsia" w:ascii="宋体" w:hAnsi="宋体" w:cs="宋体"/>
          <w:b/>
          <w:bCs/>
          <w:color w:val="auto"/>
          <w:sz w:val="24"/>
          <w:highlight w:val="none"/>
        </w:rPr>
        <w:t>投标截止时间前</w:t>
      </w:r>
      <w:r>
        <w:rPr>
          <w:rFonts w:hint="eastAsia" w:ascii="宋体" w:hAnsi="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ascii="宋体" w:hAnsi="宋体" w:cs="宋体"/>
          <w:b/>
          <w:color w:val="auto"/>
          <w:sz w:val="24"/>
          <w:highlight w:val="none"/>
          <w:lang w:eastAsia="zh-TW"/>
        </w:rPr>
      </w:pPr>
      <w:r>
        <w:rPr>
          <w:rFonts w:hint="eastAsia" w:ascii="宋体" w:hAnsi="宋体" w:cs="宋体"/>
          <w:b/>
          <w:color w:val="auto"/>
          <w:sz w:val="24"/>
          <w:highlight w:val="none"/>
          <w:lang w:val="zh-TW"/>
        </w:rPr>
        <w:t>3.</w:t>
      </w:r>
      <w:r>
        <w:rPr>
          <w:rFonts w:hint="eastAsia" w:ascii="宋体" w:hAnsi="宋体" w:cs="宋体"/>
          <w:b/>
          <w:color w:val="auto"/>
          <w:sz w:val="24"/>
          <w:highlight w:val="none"/>
          <w:lang w:val="zh-TW" w:eastAsia="zh-TW"/>
        </w:rPr>
        <w:t>7</w:t>
      </w:r>
      <w:r>
        <w:rPr>
          <w:rFonts w:hint="eastAsia" w:ascii="宋体" w:hAnsi="宋体" w:cs="宋体"/>
          <w:b/>
          <w:color w:val="auto"/>
          <w:sz w:val="24"/>
          <w:highlight w:val="none"/>
          <w:lang w:val="zh-TW"/>
        </w:rPr>
        <w:t>电子开标</w:t>
      </w:r>
    </w:p>
    <w:p>
      <w:pPr>
        <w:widowControl/>
        <w:adjustRightInd w:val="0"/>
        <w:snapToGrid w:val="0"/>
        <w:spacing w:line="360" w:lineRule="auto"/>
        <w:ind w:firstLine="482" w:firstLineChars="200"/>
        <w:jc w:val="left"/>
        <w:rPr>
          <w:rFonts w:ascii="宋体" w:hAnsi="宋体" w:cs="宋体"/>
          <w:b/>
          <w:bCs/>
          <w:color w:val="auto"/>
          <w:sz w:val="24"/>
          <w:highlight w:val="none"/>
          <w:lang w:val="zh-TW" w:eastAsia="zh-TW"/>
        </w:rPr>
      </w:pPr>
      <w:r>
        <w:rPr>
          <w:rFonts w:hint="eastAsia" w:ascii="宋体" w:hAnsi="宋体" w:cs="宋体"/>
          <w:b/>
          <w:bCs/>
          <w:color w:val="auto"/>
          <w:sz w:val="24"/>
          <w:highlight w:val="none"/>
          <w:lang w:val="zh-TW" w:eastAsia="zh-TW"/>
        </w:rPr>
        <w:t>3.7.1</w:t>
      </w:r>
      <w:r>
        <w:rPr>
          <w:rFonts w:hint="eastAsia" w:ascii="宋体" w:hAnsi="宋体" w:cs="宋体"/>
          <w:b/>
          <w:bCs/>
          <w:color w:val="auto"/>
          <w:sz w:val="24"/>
          <w:highlight w:val="none"/>
          <w:lang w:val="zh-TW"/>
        </w:rPr>
        <w:t>投标人可以远程使用</w:t>
      </w:r>
      <w:r>
        <w:rPr>
          <w:rFonts w:hint="eastAsia" w:ascii="宋体" w:hAnsi="宋体" w:cs="宋体"/>
          <w:b/>
          <w:bCs/>
          <w:color w:val="auto"/>
          <w:sz w:val="24"/>
          <w:highlight w:val="none"/>
          <w:lang w:val="zh-TW" w:eastAsia="zh-TW"/>
        </w:rPr>
        <w:t>CA</w:t>
      </w:r>
      <w:r>
        <w:rPr>
          <w:rFonts w:hint="eastAsia" w:ascii="宋体" w:hAnsi="宋体" w:cs="宋体"/>
          <w:b/>
          <w:bCs/>
          <w:color w:val="auto"/>
          <w:sz w:val="24"/>
          <w:highlight w:val="none"/>
          <w:lang w:val="zh-TW"/>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ascii="宋体" w:hAnsi="宋体" w:cs="宋体"/>
          <w:b/>
          <w:bCs/>
          <w:color w:val="auto"/>
          <w:sz w:val="24"/>
          <w:highlight w:val="none"/>
          <w:lang w:val="zh-TW"/>
        </w:rPr>
      </w:pPr>
      <w:r>
        <w:rPr>
          <w:rFonts w:hint="eastAsia" w:ascii="宋体" w:hAnsi="宋体" w:cs="宋体"/>
          <w:b/>
          <w:bCs/>
          <w:color w:val="auto"/>
          <w:sz w:val="24"/>
          <w:highlight w:val="none"/>
          <w:lang w:val="zh-TW"/>
        </w:rPr>
        <w:t>3</w:t>
      </w:r>
      <w:r>
        <w:rPr>
          <w:rFonts w:hint="eastAsia" w:ascii="宋体" w:hAnsi="宋体" w:cs="宋体"/>
          <w:b/>
          <w:bCs/>
          <w:color w:val="auto"/>
          <w:sz w:val="24"/>
          <w:highlight w:val="none"/>
          <w:lang w:val="zh-TW" w:eastAsia="zh-TW"/>
        </w:rPr>
        <w:t>.7.2</w:t>
      </w:r>
      <w:r>
        <w:rPr>
          <w:rFonts w:hint="eastAsia" w:ascii="宋体" w:hAnsi="宋体" w:cs="宋体"/>
          <w:b/>
          <w:bCs/>
          <w:color w:val="auto"/>
          <w:sz w:val="24"/>
          <w:highlight w:val="none"/>
          <w:lang w:val="zh-TW"/>
        </w:rPr>
        <w:t>投标人也可以在投标递交截止时间前携带加密锁（解密符）、笔记本电脑等前往现场（北京市海淀区成府路270号中科科仪院内6号楼3层多功能会议室）进行电子开标。</w:t>
      </w:r>
    </w:p>
    <w:p>
      <w:pPr>
        <w:pStyle w:val="4"/>
        <w:spacing w:before="0" w:beforeLines="0" w:line="360" w:lineRule="auto"/>
        <w:jc w:val="left"/>
        <w:rPr>
          <w:rFonts w:ascii="宋体" w:hAnsi="宋体" w:eastAsia="宋体" w:cs="宋体"/>
          <w:color w:val="auto"/>
          <w:sz w:val="24"/>
          <w:szCs w:val="24"/>
          <w:highlight w:val="none"/>
        </w:rPr>
      </w:pPr>
      <w:bookmarkStart w:id="26" w:name="_Toc28359008"/>
      <w:bookmarkStart w:id="27" w:name="_Toc35393627"/>
      <w:bookmarkStart w:id="28" w:name="_Toc28359085"/>
      <w:bookmarkStart w:id="29" w:name="_Toc35393796"/>
      <w:r>
        <w:rPr>
          <w:rFonts w:hint="eastAsia" w:ascii="宋体" w:hAnsi="宋体" w:eastAsia="宋体" w:cs="宋体"/>
          <w:color w:val="auto"/>
          <w:sz w:val="24"/>
          <w:szCs w:val="24"/>
          <w:highlight w:val="none"/>
        </w:rPr>
        <w:t>七、对本次招标提出询问，请按以下方式联系。</w:t>
      </w:r>
      <w:bookmarkEnd w:id="26"/>
      <w:bookmarkEnd w:id="27"/>
      <w:bookmarkEnd w:id="28"/>
      <w:bookmarkEnd w:id="29"/>
    </w:p>
    <w:p>
      <w:pPr>
        <w:widowControl/>
        <w:spacing w:line="360" w:lineRule="auto"/>
        <w:jc w:val="left"/>
        <w:rPr>
          <w:rFonts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color w:val="auto"/>
          <w:sz w:val="24"/>
          <w:highlight w:val="none"/>
        </w:rPr>
        <w:t>1.采购人信息</w:t>
      </w:r>
    </w:p>
    <w:p>
      <w:pPr>
        <w:spacing w:line="360" w:lineRule="auto"/>
        <w:ind w:left="1079" w:leftChars="371" w:hanging="300" w:hangingChars="125"/>
        <w:jc w:val="left"/>
        <w:rPr>
          <w:rFonts w:hint="eastAsia" w:ascii="宋体" w:hAnsi="宋体" w:cs="宋体"/>
          <w:color w:val="auto"/>
          <w:sz w:val="24"/>
          <w:highlight w:val="none"/>
          <w:u w:val="single"/>
          <w:lang w:val="en-US" w:eastAsia="zh-CN"/>
        </w:rPr>
      </w:pPr>
      <w:bookmarkStart w:id="30" w:name="_Hlk192493199"/>
      <w:bookmarkStart w:id="31" w:name="_Toc28359086"/>
      <w:bookmarkStart w:id="32"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北京市丰台区职业教育中心学校  </w:t>
      </w:r>
      <w:r>
        <w:rPr>
          <w:rFonts w:hint="eastAsia" w:ascii="宋体" w:hAnsi="宋体" w:cs="宋体"/>
          <w:color w:val="auto"/>
          <w:sz w:val="24"/>
          <w:highlight w:val="none"/>
          <w:u w:val="single"/>
          <w:lang w:val="en-US" w:eastAsia="zh-CN"/>
        </w:rPr>
        <w:t xml:space="preserve"> </w:t>
      </w:r>
    </w:p>
    <w:p>
      <w:pPr>
        <w:spacing w:line="360" w:lineRule="auto"/>
        <w:ind w:left="1079" w:leftChars="371" w:hanging="300" w:hangingChars="125"/>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丰台区方庄芳古园二区9号</w:t>
      </w:r>
    </w:p>
    <w:p>
      <w:pPr>
        <w:spacing w:line="360" w:lineRule="auto"/>
        <w:ind w:left="1079" w:leftChars="371" w:hanging="300" w:hangingChars="125"/>
        <w:jc w:val="left"/>
        <w:rPr>
          <w:rFonts w:ascii="宋体" w:hAnsi="宋体" w:cs="宋体"/>
          <w:color w:val="auto"/>
          <w:sz w:val="24"/>
          <w:highlight w:val="none"/>
          <w:u w:val="single"/>
        </w:rPr>
      </w:pPr>
      <w:r>
        <w:rPr>
          <w:rFonts w:hint="eastAsia" w:ascii="宋体" w:hAnsi="宋体" w:cs="宋体"/>
          <w:color w:val="auto"/>
          <w:sz w:val="24"/>
          <w:highlight w:val="none"/>
        </w:rPr>
        <w:t>联系方式：</w:t>
      </w:r>
      <w:bookmarkEnd w:id="30"/>
      <w:r>
        <w:rPr>
          <w:rFonts w:ascii="宋体" w:hAnsi="宋体" w:cs="宋体"/>
          <w:color w:val="auto"/>
          <w:sz w:val="24"/>
          <w:highlight w:val="none"/>
          <w:u w:val="single"/>
        </w:rPr>
        <w:t>010-67610944</w:t>
      </w:r>
    </w:p>
    <w:p>
      <w:pPr>
        <w:spacing w:line="360" w:lineRule="auto"/>
        <w:ind w:left="1080" w:leftChars="371" w:hanging="301" w:hangingChars="125"/>
        <w:jc w:val="left"/>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31"/>
      <w:bookmarkEnd w:id="32"/>
    </w:p>
    <w:p>
      <w:pPr>
        <w:spacing w:line="360" w:lineRule="auto"/>
        <w:ind w:left="1079" w:leftChars="371" w:hanging="300" w:hangingChars="125"/>
        <w:jc w:val="left"/>
        <w:rPr>
          <w:rFonts w:ascii="宋体" w:hAnsi="宋体" w:cs="宋体"/>
          <w:color w:val="auto"/>
          <w:sz w:val="24"/>
          <w:highlight w:val="none"/>
        </w:rPr>
      </w:pPr>
      <w:bookmarkStart w:id="33" w:name="_Toc28359087"/>
      <w:bookmarkStart w:id="34" w:name="_Toc28359010"/>
      <w:r>
        <w:rPr>
          <w:rFonts w:hint="eastAsia" w:ascii="宋体" w:hAnsi="宋体" w:cs="宋体"/>
          <w:color w:val="auto"/>
          <w:sz w:val="24"/>
          <w:highlight w:val="none"/>
        </w:rPr>
        <w:t>名    称：</w:t>
      </w:r>
      <w:r>
        <w:rPr>
          <w:rFonts w:hint="eastAsia" w:ascii="宋体" w:hAnsi="宋体" w:cs="宋体"/>
          <w:color w:val="auto"/>
          <w:sz w:val="24"/>
          <w:highlight w:val="none"/>
          <w:u w:val="single"/>
        </w:rPr>
        <w:t>北京国泰建中管理咨询有限公司__</w:t>
      </w:r>
    </w:p>
    <w:p>
      <w:pPr>
        <w:spacing w:line="360" w:lineRule="auto"/>
        <w:ind w:left="1079" w:leftChars="371" w:hanging="300" w:hangingChars="125"/>
        <w:jc w:val="left"/>
        <w:rPr>
          <w:rFonts w:ascii="宋体" w:hAnsi="宋体" w:cs="宋体"/>
          <w:color w:val="auto"/>
          <w:sz w:val="24"/>
          <w:highlight w:val="none"/>
          <w:u w:val="single"/>
        </w:rPr>
      </w:pPr>
      <w:r>
        <w:rPr>
          <w:rFonts w:hint="eastAsia" w:ascii="宋体" w:hAnsi="宋体" w:cs="宋体"/>
          <w:color w:val="auto"/>
          <w:sz w:val="24"/>
          <w:highlight w:val="none"/>
        </w:rPr>
        <w:t>地    址：</w:t>
      </w:r>
      <w:bookmarkStart w:id="35" w:name="OLE_LINK4"/>
      <w:r>
        <w:rPr>
          <w:rFonts w:hint="eastAsia" w:ascii="宋体" w:hAnsi="宋体" w:cs="宋体"/>
          <w:color w:val="auto"/>
          <w:sz w:val="24"/>
          <w:highlight w:val="none"/>
          <w:u w:val="single"/>
        </w:rPr>
        <w:t>北京市海淀区成府路270号中科科仪院内6号楼3层</w:t>
      </w:r>
      <w:bookmarkEnd w:id="35"/>
    </w:p>
    <w:p>
      <w:pPr>
        <w:spacing w:line="360" w:lineRule="auto"/>
        <w:ind w:left="1079" w:leftChars="371" w:hanging="300" w:hangingChars="125"/>
        <w:jc w:val="left"/>
        <w:rPr>
          <w:rFonts w:ascii="宋体" w:hAnsi="宋体" w:cs="宋体"/>
          <w:color w:val="auto"/>
          <w:sz w:val="24"/>
          <w:highlight w:val="none"/>
          <w:u w:val="single"/>
        </w:rPr>
      </w:pPr>
      <w:r>
        <w:rPr>
          <w:rFonts w:hint="eastAsia" w:ascii="宋体" w:hAnsi="宋体" w:cs="宋体"/>
          <w:color w:val="auto"/>
          <w:sz w:val="24"/>
          <w:highlight w:val="none"/>
        </w:rPr>
        <w:t>联系方式：</w:t>
      </w:r>
      <w:bookmarkStart w:id="36" w:name="OLE_LINK7"/>
      <w:bookmarkStart w:id="37" w:name="OLE_LINK6"/>
      <w:r>
        <w:rPr>
          <w:rFonts w:hint="eastAsia" w:ascii="宋体" w:hAnsi="宋体" w:cs="宋体"/>
          <w:color w:val="auto"/>
          <w:sz w:val="24"/>
          <w:highlight w:val="none"/>
          <w:u w:val="single"/>
        </w:rPr>
        <w:t>010-68001293/68001559</w:t>
      </w:r>
      <w:bookmarkEnd w:id="36"/>
      <w:r>
        <w:rPr>
          <w:rFonts w:hint="eastAsia" w:ascii="宋体" w:hAnsi="宋体" w:cs="宋体"/>
          <w:color w:val="auto"/>
          <w:sz w:val="24"/>
          <w:highlight w:val="none"/>
          <w:u w:val="single"/>
        </w:rPr>
        <w:t xml:space="preserve"> </w:t>
      </w:r>
      <w:bookmarkEnd w:id="37"/>
    </w:p>
    <w:p>
      <w:pPr>
        <w:spacing w:line="360" w:lineRule="auto"/>
        <w:ind w:firstLine="723" w:firstLineChars="300"/>
        <w:rPr>
          <w:rFonts w:ascii="宋体" w:hAnsi="宋体" w:cs="宋体"/>
          <w:b/>
          <w:color w:val="auto"/>
          <w:sz w:val="24"/>
          <w:highlight w:val="none"/>
          <w:u w:val="single"/>
        </w:rPr>
      </w:pPr>
      <w:r>
        <w:rPr>
          <w:rFonts w:hint="eastAsia" w:ascii="宋体" w:hAnsi="宋体" w:cs="宋体"/>
          <w:b/>
          <w:color w:val="auto"/>
          <w:sz w:val="24"/>
          <w:highlight w:val="none"/>
        </w:rPr>
        <w:t>3.项目联系方式</w:t>
      </w:r>
      <w:bookmarkEnd w:id="33"/>
      <w:bookmarkEnd w:id="34"/>
    </w:p>
    <w:p>
      <w:pPr>
        <w:pStyle w:val="176"/>
        <w:spacing w:line="360" w:lineRule="auto"/>
        <w:ind w:firstLine="720" w:firstLineChars="300"/>
        <w:rPr>
          <w:rFonts w:hint="default" w:hAnsi="宋体" w:cs="宋体"/>
          <w:color w:val="auto"/>
          <w:sz w:val="24"/>
          <w:szCs w:val="24"/>
          <w:highlight w:val="none"/>
          <w:u w:val="single"/>
        </w:rPr>
      </w:pPr>
      <w:r>
        <w:rPr>
          <w:rFonts w:hAnsi="宋体" w:cs="宋体"/>
          <w:color w:val="auto"/>
          <w:sz w:val="24"/>
          <w:szCs w:val="24"/>
          <w:highlight w:val="none"/>
        </w:rPr>
        <w:t>项目联系人：</w:t>
      </w:r>
      <w:r>
        <w:rPr>
          <w:rFonts w:hAnsi="宋体" w:cs="宋体"/>
          <w:color w:val="auto"/>
          <w:sz w:val="24"/>
          <w:highlight w:val="none"/>
          <w:u w:val="single"/>
        </w:rPr>
        <w:t>于元惠、张敏、杜子一、张伟</w:t>
      </w:r>
    </w:p>
    <w:p>
      <w:pPr>
        <w:pStyle w:val="176"/>
        <w:spacing w:line="360" w:lineRule="auto"/>
        <w:ind w:firstLine="720" w:firstLineChars="300"/>
        <w:rPr>
          <w:rFonts w:hint="default" w:hAnsi="宋体" w:cs="宋体"/>
          <w:color w:val="auto"/>
          <w:sz w:val="24"/>
          <w:highlight w:val="none"/>
          <w:u w:val="single"/>
        </w:rPr>
      </w:pPr>
      <w:r>
        <w:rPr>
          <w:rFonts w:hAnsi="宋体" w:cs="宋体"/>
          <w:color w:val="auto"/>
          <w:sz w:val="24"/>
          <w:highlight w:val="none"/>
        </w:rPr>
        <w:t>电      话：</w:t>
      </w:r>
      <w:r>
        <w:rPr>
          <w:rFonts w:hAnsi="宋体" w:cs="宋体"/>
          <w:color w:val="auto"/>
          <w:sz w:val="24"/>
          <w:highlight w:val="none"/>
          <w:u w:val="single"/>
        </w:rPr>
        <w:t xml:space="preserve">010-68001293/68001559 </w:t>
      </w:r>
    </w:p>
    <w:p>
      <w:pPr>
        <w:pStyle w:val="176"/>
        <w:spacing w:line="360" w:lineRule="auto"/>
        <w:jc w:val="center"/>
        <w:outlineLvl w:val="0"/>
        <w:rPr>
          <w:rFonts w:hint="default" w:hAnsi="宋体" w:cs="宋体"/>
          <w:b/>
          <w:color w:val="auto"/>
          <w:sz w:val="32"/>
          <w:szCs w:val="32"/>
          <w:highlight w:val="none"/>
        </w:rPr>
      </w:pPr>
      <w:r>
        <w:rPr>
          <w:rFonts w:hAnsi="宋体" w:cs="宋体"/>
          <w:color w:val="auto"/>
          <w:sz w:val="24"/>
          <w:highlight w:val="none"/>
        </w:rPr>
        <w:br w:type="page"/>
      </w:r>
      <w:bookmarkStart w:id="38" w:name="_Toc264969275"/>
      <w:bookmarkStart w:id="39" w:name="_Toc305158854"/>
      <w:bookmarkStart w:id="40" w:name="_Toc127151777"/>
      <w:bookmarkStart w:id="41" w:name="_Toc127161488"/>
      <w:bookmarkStart w:id="42" w:name="_Toc305158928"/>
      <w:bookmarkStart w:id="43" w:name="_Toc229142821"/>
      <w:bookmarkStart w:id="44" w:name="_Toc226965856"/>
      <w:bookmarkStart w:id="45" w:name="_Toc353873938"/>
      <w:bookmarkStart w:id="46" w:name="_Toc512937850"/>
      <w:bookmarkStart w:id="47" w:name="_Toc150774783"/>
      <w:bookmarkStart w:id="48" w:name="_Toc195842950"/>
      <w:bookmarkStart w:id="49" w:name="_Toc265228423"/>
      <w:bookmarkStart w:id="50" w:name="_Toc353825548"/>
      <w:r>
        <w:rPr>
          <w:rFonts w:hAnsi="宋体" w:cs="宋体"/>
          <w:b/>
          <w:color w:val="auto"/>
          <w:sz w:val="36"/>
          <w:szCs w:val="36"/>
          <w:highlight w:val="none"/>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pPr>
        <w:pStyle w:val="4"/>
        <w:tabs>
          <w:tab w:val="center" w:pos="4592"/>
          <w:tab w:val="left" w:pos="7860"/>
        </w:tabs>
        <w:spacing w:before="0" w:beforeLines="0" w:line="360" w:lineRule="auto"/>
        <w:rPr>
          <w:rFonts w:ascii="宋体" w:hAnsi="宋体" w:eastAsia="宋体" w:cs="宋体"/>
          <w:color w:val="auto"/>
          <w:sz w:val="28"/>
          <w:highlight w:val="none"/>
        </w:rPr>
      </w:pPr>
      <w:bookmarkStart w:id="51" w:name="_Toc142311021"/>
      <w:bookmarkStart w:id="52" w:name="_Toc164608633"/>
      <w:bookmarkStart w:id="53" w:name="_Toc150509270"/>
      <w:bookmarkStart w:id="54" w:name="_Toc164229360"/>
      <w:bookmarkStart w:id="55" w:name="_Toc127151720"/>
      <w:bookmarkStart w:id="56" w:name="_Toc150774619"/>
      <w:bookmarkStart w:id="57" w:name="_Toc164608788"/>
      <w:bookmarkStart w:id="58" w:name="_Toc226965792"/>
      <w:bookmarkStart w:id="59" w:name="_Toc226337215"/>
      <w:bookmarkStart w:id="60" w:name="_Toc164351613"/>
      <w:bookmarkStart w:id="61" w:name="_Toc164229214"/>
      <w:bookmarkStart w:id="62" w:name="_Toc127161433"/>
      <w:bookmarkStart w:id="63" w:name="_Toc151193617"/>
      <w:bookmarkStart w:id="64" w:name="_Toc226309763"/>
      <w:bookmarkStart w:id="65" w:name="_Toc151193689"/>
      <w:bookmarkStart w:id="66" w:name="_Toc150774724"/>
      <w:bookmarkStart w:id="67" w:name="_Toc151193833"/>
      <w:bookmarkStart w:id="68" w:name="_Toc195842884"/>
      <w:bookmarkStart w:id="69" w:name="_Toc151193761"/>
      <w:bookmarkStart w:id="70" w:name="_Toc151190146"/>
      <w:bookmarkStart w:id="71" w:name="_Toc150480757"/>
      <w:bookmarkStart w:id="72" w:name="_Toc226965709"/>
      <w:bookmarkStart w:id="73" w:name="_Toc127151519"/>
      <w:bookmarkStart w:id="74" w:name="_Toc151193907"/>
      <w:bookmarkStart w:id="75" w:name="_Toc149720812"/>
      <w:bookmarkStart w:id="76" w:name="_Toc520356144"/>
      <w:r>
        <w:rPr>
          <w:rFonts w:hint="eastAsia" w:ascii="宋体" w:hAnsi="宋体" w:eastAsia="宋体" w:cs="宋体"/>
          <w:color w:val="auto"/>
          <w:sz w:val="28"/>
          <w:highlight w:val="none"/>
        </w:rPr>
        <w:t>投标人须知资料表</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本表是对投标人须知的具体补充和修改，如有矛盾，均以本资料表为准。标记“</w:t>
      </w:r>
      <w:r>
        <w:rPr>
          <w:rFonts w:hint="eastAsia" w:ascii="宋体" w:hAnsi="宋体" w:cs="宋体"/>
          <w:b/>
          <w:color w:val="auto"/>
          <w:sz w:val="24"/>
          <w:highlight w:val="none"/>
        </w:rPr>
        <w:t>■</w:t>
      </w:r>
      <w:r>
        <w:rPr>
          <w:rFonts w:hint="eastAsia" w:ascii="宋体" w:hAnsi="宋体" w:cs="宋体"/>
          <w:color w:val="auto"/>
          <w:sz w:val="24"/>
          <w:highlight w:val="none"/>
        </w:rPr>
        <w:t>”的选项意为适用于本项目，标记“□”的选项意为不适用于本项目。</w:t>
      </w:r>
    </w:p>
    <w:tbl>
      <w:tblPr>
        <w:tblStyle w:val="29"/>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noWrap w:val="0"/>
            <w:vAlign w:val="center"/>
          </w:tcPr>
          <w:p>
            <w:pPr>
              <w:spacing w:after="0" w:afterLines="0" w:line="360" w:lineRule="auto"/>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512" w:type="dxa"/>
            <w:noWrap w:val="0"/>
            <w:vAlign w:val="center"/>
          </w:tcPr>
          <w:p>
            <w:pPr>
              <w:spacing w:after="0" w:afterLines="0"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6609" w:type="dxa"/>
            <w:noWrap w:val="0"/>
            <w:vAlign w:val="center"/>
          </w:tcPr>
          <w:p>
            <w:pPr>
              <w:spacing w:after="0" w:afterLines="0"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2.2</w:t>
            </w:r>
          </w:p>
        </w:tc>
        <w:tc>
          <w:tcPr>
            <w:tcW w:w="1512" w:type="dxa"/>
            <w:noWrap w:val="0"/>
            <w:vAlign w:val="center"/>
          </w:tcPr>
          <w:p>
            <w:pPr>
              <w:adjustRightInd w:val="0"/>
              <w:snapToGrid w:val="0"/>
              <w:spacing w:after="0" w:afterLines="0" w:line="360" w:lineRule="auto"/>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6609" w:type="dxa"/>
            <w:noWrap w:val="0"/>
            <w:vAlign w:val="center"/>
          </w:tcPr>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项目属性：□服务</w:t>
            </w:r>
            <w:r>
              <w:rPr>
                <w:rFonts w:hint="eastAsia" w:ascii="宋体" w:hAnsi="宋体" w:cs="宋体"/>
                <w:b/>
                <w:color w:val="auto"/>
                <w:sz w:val="24"/>
                <w:highlight w:val="none"/>
              </w:rPr>
              <w:t>■</w:t>
            </w:r>
            <w:r>
              <w:rPr>
                <w:rFonts w:hint="eastAsia" w:ascii="宋体" w:hAnsi="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2.3</w:t>
            </w:r>
          </w:p>
        </w:tc>
        <w:tc>
          <w:tcPr>
            <w:tcW w:w="1512" w:type="dxa"/>
            <w:noWrap w:val="0"/>
            <w:vAlign w:val="center"/>
          </w:tcPr>
          <w:p>
            <w:pPr>
              <w:adjustRightInd w:val="0"/>
              <w:snapToGrid w:val="0"/>
              <w:spacing w:after="0" w:afterLines="0" w:line="360" w:lineRule="auto"/>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6609" w:type="dxa"/>
            <w:noWrap w:val="0"/>
            <w:vAlign w:val="center"/>
          </w:tcPr>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□是</w:t>
            </w:r>
            <w:r>
              <w:rPr>
                <w:rFonts w:hint="eastAsia" w:ascii="宋体" w:hAnsi="宋体" w:cs="宋体"/>
                <w:b/>
                <w:color w:val="auto"/>
                <w:sz w:val="24"/>
                <w:highlight w:val="none"/>
              </w:rPr>
              <w:t>■</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2.4</w:t>
            </w:r>
          </w:p>
        </w:tc>
        <w:tc>
          <w:tcPr>
            <w:tcW w:w="1512" w:type="dxa"/>
            <w:noWrap w:val="0"/>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核心产品</w:t>
            </w:r>
          </w:p>
        </w:tc>
        <w:tc>
          <w:tcPr>
            <w:tcW w:w="6609" w:type="dxa"/>
            <w:noWrap w:val="0"/>
            <w:vAlign w:val="center"/>
          </w:tcPr>
          <w:p>
            <w:pPr>
              <w:pStyle w:val="176"/>
              <w:adjustRightInd w:val="0"/>
              <w:snapToGrid w:val="0"/>
              <w:spacing w:after="0" w:afterLines="0" w:line="360" w:lineRule="auto"/>
              <w:rPr>
                <w:rFonts w:hint="default" w:hAnsi="宋体" w:cs="宋体"/>
                <w:color w:val="auto"/>
                <w:sz w:val="24"/>
                <w:szCs w:val="24"/>
                <w:highlight w:val="none"/>
              </w:rPr>
            </w:pPr>
            <w:r>
              <w:rPr>
                <w:rFonts w:hAnsi="宋体" w:cs="宋体"/>
                <w:color w:val="auto"/>
                <w:sz w:val="24"/>
                <w:highlight w:val="none"/>
              </w:rPr>
              <w:t>□</w:t>
            </w:r>
            <w:r>
              <w:rPr>
                <w:rFonts w:hAnsi="宋体" w:cs="宋体"/>
                <w:color w:val="auto"/>
                <w:sz w:val="24"/>
                <w:szCs w:val="24"/>
                <w:highlight w:val="none"/>
              </w:rPr>
              <w:t>关于核心产品本项目不适用。</w:t>
            </w:r>
          </w:p>
          <w:p>
            <w:pPr>
              <w:pStyle w:val="176"/>
              <w:adjustRightInd w:val="0"/>
              <w:snapToGrid w:val="0"/>
              <w:spacing w:after="0" w:afterLines="0" w:line="360" w:lineRule="auto"/>
              <w:rPr>
                <w:rFonts w:hint="default" w:hAnsi="宋体" w:cs="宋体"/>
                <w:color w:val="auto"/>
                <w:sz w:val="24"/>
                <w:szCs w:val="24"/>
                <w:highlight w:val="none"/>
              </w:rPr>
            </w:pPr>
            <w:r>
              <w:rPr>
                <w:rFonts w:hAnsi="宋体" w:cs="宋体"/>
                <w:color w:val="auto"/>
                <w:sz w:val="24"/>
                <w:highlight w:val="none"/>
              </w:rPr>
              <w:t>□</w:t>
            </w:r>
            <w:r>
              <w:rPr>
                <w:rFonts w:hAnsi="宋体" w:cs="宋体"/>
                <w:color w:val="auto"/>
                <w:sz w:val="24"/>
                <w:szCs w:val="24"/>
                <w:highlight w:val="none"/>
              </w:rPr>
              <w:t>本项目本包次为单一产品采购项目。</w:t>
            </w:r>
          </w:p>
          <w:p>
            <w:pPr>
              <w:adjustRightInd w:val="0"/>
              <w:snapToGrid w:val="0"/>
              <w:spacing w:after="0" w:afterLines="0" w:line="360" w:lineRule="auto"/>
              <w:rPr>
                <w:rFonts w:ascii="宋体" w:hAnsi="宋体" w:cs="宋体"/>
                <w:b/>
                <w:bCs/>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本包次为非单一产品采购项目，</w:t>
            </w:r>
            <w:r>
              <w:rPr>
                <w:rFonts w:hint="eastAsia" w:ascii="宋体" w:hAnsi="宋体" w:cs="宋体"/>
                <w:b/>
                <w:bCs/>
                <w:color w:val="auto"/>
                <w:sz w:val="24"/>
                <w:highlight w:val="none"/>
              </w:rPr>
              <w:t>核心产品为：</w:t>
            </w:r>
            <w:r>
              <w:rPr>
                <w:rFonts w:hint="eastAsia" w:ascii="宋体" w:hAnsi="宋体" w:cs="宋体"/>
                <w:b/>
                <w:bCs/>
                <w:color w:val="auto"/>
                <w:sz w:val="24"/>
                <w:highlight w:val="none"/>
                <w:u w:val="single"/>
              </w:rPr>
              <w:t>教学素材管理存储终端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3.1</w:t>
            </w:r>
          </w:p>
        </w:tc>
        <w:tc>
          <w:tcPr>
            <w:tcW w:w="1512" w:type="dxa"/>
            <w:noWrap w:val="0"/>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6609" w:type="dxa"/>
            <w:noWrap w:val="0"/>
            <w:vAlign w:val="center"/>
          </w:tcPr>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不组织</w:t>
            </w:r>
          </w:p>
          <w:p>
            <w:pPr>
              <w:adjustRightInd w:val="0"/>
              <w:snapToGrid w:val="0"/>
              <w:spacing w:after="0" w:afterLines="0" w:line="360" w:lineRule="auto"/>
              <w:jc w:val="left"/>
              <w:rPr>
                <w:rFonts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pPr>
              <w:pStyle w:val="176"/>
              <w:adjustRightInd w:val="0"/>
              <w:snapToGrid w:val="0"/>
              <w:spacing w:after="0" w:afterLines="0" w:line="360" w:lineRule="auto"/>
              <w:rPr>
                <w:rFonts w:hint="default" w:hAnsi="宋体" w:cs="宋体"/>
                <w:color w:val="auto"/>
                <w:sz w:val="24"/>
                <w:szCs w:val="24"/>
                <w:highlight w:val="none"/>
              </w:rPr>
            </w:pPr>
            <w:r>
              <w:rPr>
                <w:rFonts w:hAnsi="宋体" w:cs="宋体"/>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035" w:type="dxa"/>
            <w:vMerge w:val="continue"/>
            <w:noWrap w:val="0"/>
            <w:vAlign w:val="center"/>
          </w:tcPr>
          <w:p>
            <w:pPr>
              <w:pStyle w:val="176"/>
              <w:adjustRightInd w:val="0"/>
              <w:snapToGrid w:val="0"/>
              <w:spacing w:line="360" w:lineRule="auto"/>
              <w:jc w:val="center"/>
              <w:rPr>
                <w:rFonts w:hint="default" w:hAnsi="宋体" w:cs="宋体"/>
                <w:color w:val="auto"/>
                <w:sz w:val="24"/>
                <w:szCs w:val="24"/>
                <w:highlight w:val="none"/>
              </w:rPr>
            </w:pPr>
          </w:p>
        </w:tc>
        <w:tc>
          <w:tcPr>
            <w:tcW w:w="1512" w:type="dxa"/>
            <w:noWrap w:val="0"/>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开标前答疑会</w:t>
            </w:r>
          </w:p>
        </w:tc>
        <w:tc>
          <w:tcPr>
            <w:tcW w:w="6609" w:type="dxa"/>
            <w:noWrap w:val="0"/>
            <w:vAlign w:val="center"/>
          </w:tcPr>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4.1</w:t>
            </w:r>
          </w:p>
        </w:tc>
        <w:tc>
          <w:tcPr>
            <w:tcW w:w="1512" w:type="dxa"/>
            <w:noWrap w:val="0"/>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样品</w:t>
            </w:r>
          </w:p>
        </w:tc>
        <w:tc>
          <w:tcPr>
            <w:tcW w:w="6609" w:type="dxa"/>
            <w:noWrap w:val="0"/>
            <w:vAlign w:val="center"/>
          </w:tcPr>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投标样品递交：</w:t>
            </w:r>
          </w:p>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5.2.5</w:t>
            </w:r>
          </w:p>
        </w:tc>
        <w:tc>
          <w:tcPr>
            <w:tcW w:w="15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6609" w:type="dxa"/>
            <w:noWrap w:val="0"/>
            <w:vAlign w:val="center"/>
          </w:tcPr>
          <w:p>
            <w:pPr>
              <w:spacing w:after="0" w:afterLines="0" w:line="360" w:lineRule="auto"/>
              <w:rPr>
                <w:rFonts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29"/>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9"/>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019" w:type="dxa"/>
                  <w:tcBorders>
                    <w:top w:val="single" w:color="auto" w:sz="4" w:space="0"/>
                    <w:left w:val="single" w:color="auto" w:sz="4" w:space="0"/>
                    <w:bottom w:val="single" w:color="auto" w:sz="4" w:space="0"/>
                    <w:right w:val="single" w:color="auto" w:sz="4" w:space="0"/>
                  </w:tcBorders>
                  <w:noWrap w:val="0"/>
                  <w:vAlign w:val="center"/>
                </w:tcPr>
                <w:p>
                  <w:pPr>
                    <w:spacing w:after="0" w:afterLines="0"/>
                    <w:jc w:val="left"/>
                    <w:rPr>
                      <w:rFonts w:ascii="宋体" w:hAnsi="宋体" w:cs="宋体"/>
                      <w:bCs/>
                      <w:color w:val="auto"/>
                      <w:szCs w:val="21"/>
                      <w:highlight w:val="none"/>
                    </w:rPr>
                  </w:pPr>
                  <w:r>
                    <w:rPr>
                      <w:rFonts w:hint="eastAsia" w:ascii="宋体" w:hAnsi="宋体" w:cs="宋体"/>
                      <w:bCs/>
                      <w:color w:val="auto"/>
                      <w:szCs w:val="21"/>
                      <w:highlight w:val="none"/>
                    </w:rPr>
                    <w:t>标的名称</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spacing w:after="0" w:afterLines="0"/>
                    <w:jc w:val="left"/>
                    <w:rPr>
                      <w:rFonts w:ascii="宋体" w:hAnsi="宋体" w:cs="宋体"/>
                      <w:bCs/>
                      <w:color w:val="auto"/>
                      <w:szCs w:val="21"/>
                      <w:highlight w:val="none"/>
                    </w:rPr>
                  </w:pPr>
                  <w:r>
                    <w:rPr>
                      <w:rFonts w:hint="eastAsia" w:ascii="宋体" w:hAnsi="宋体" w:cs="宋体"/>
                      <w:bCs/>
                      <w:color w:val="auto"/>
                      <w:szCs w:val="21"/>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4019" w:type="dxa"/>
                  <w:tcBorders>
                    <w:top w:val="single" w:color="auto" w:sz="4" w:space="0"/>
                    <w:left w:val="single" w:color="auto" w:sz="4" w:space="0"/>
                    <w:bottom w:val="single" w:color="auto" w:sz="4" w:space="0"/>
                    <w:right w:val="single" w:color="auto" w:sz="4" w:space="0"/>
                  </w:tcBorders>
                  <w:noWrap w:val="0"/>
                  <w:vAlign w:val="center"/>
                </w:tcPr>
                <w:p>
                  <w:pPr>
                    <w:spacing w:after="0" w:afterLines="0"/>
                    <w:jc w:val="left"/>
                    <w:rPr>
                      <w:rFonts w:ascii="宋体" w:hAnsi="宋体" w:cs="宋体"/>
                      <w:bCs/>
                      <w:color w:val="auto"/>
                      <w:szCs w:val="21"/>
                      <w:highlight w:val="none"/>
                    </w:rPr>
                  </w:pPr>
                  <w:r>
                    <w:rPr>
                      <w:rFonts w:hint="eastAsia" w:ascii="宋体" w:hAnsi="宋体" w:cs="宋体"/>
                      <w:bCs/>
                      <w:color w:val="auto"/>
                      <w:szCs w:val="21"/>
                      <w:highlight w:val="none"/>
                    </w:rPr>
                    <w:t>影视特效与动画制作生产实践一体终端、教学素材管理存储终端、数据交互交换运算终端</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spacing w:after="0" w:afterLines="0"/>
                    <w:jc w:val="left"/>
                    <w:rPr>
                      <w:rFonts w:ascii="宋体" w:hAnsi="宋体" w:cs="宋体"/>
                      <w:bCs/>
                      <w:color w:val="auto"/>
                      <w:szCs w:val="21"/>
                      <w:highlight w:val="none"/>
                    </w:rPr>
                  </w:pPr>
                  <w:r>
                    <w:rPr>
                      <w:rFonts w:hint="eastAsia"/>
                      <w:color w:val="auto"/>
                      <w:sz w:val="21"/>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4019" w:type="dxa"/>
                  <w:tcBorders>
                    <w:top w:val="single" w:color="auto" w:sz="4" w:space="0"/>
                    <w:left w:val="single" w:color="auto" w:sz="4" w:space="0"/>
                    <w:bottom w:val="single" w:color="auto" w:sz="4" w:space="0"/>
                    <w:right w:val="single" w:color="auto" w:sz="4" w:space="0"/>
                  </w:tcBorders>
                  <w:noWrap w:val="0"/>
                  <w:vAlign w:val="center"/>
                </w:tcPr>
                <w:p>
                  <w:pPr>
                    <w:spacing w:after="0" w:afterLines="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数位板</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监听耳机</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spacing w:after="0" w:afterLines="0"/>
                    <w:jc w:val="left"/>
                    <w:rPr>
                      <w:rFonts w:hint="eastAsia" w:ascii="宋体" w:hAnsi="宋体" w:cs="宋体"/>
                      <w:bCs/>
                      <w:color w:val="auto"/>
                      <w:szCs w:val="21"/>
                      <w:highlight w:val="none"/>
                    </w:rPr>
                  </w:pPr>
                  <w:r>
                    <w:rPr>
                      <w:rFonts w:hint="eastAsia" w:ascii="宋体" w:hAnsi="宋体" w:cs="宋体"/>
                      <w:bCs/>
                      <w:color w:val="auto"/>
                      <w:szCs w:val="21"/>
                      <w:highlight w:val="none"/>
                    </w:rPr>
                    <w:t>工业（制造业）</w:t>
                  </w:r>
                </w:p>
              </w:tc>
            </w:tr>
          </w:tbl>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12.1</w:t>
            </w:r>
          </w:p>
        </w:tc>
        <w:tc>
          <w:tcPr>
            <w:tcW w:w="1512" w:type="dxa"/>
            <w:vMerge w:val="restart"/>
            <w:noWrap w:val="0"/>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609" w:type="dxa"/>
            <w:noWrap w:val="0"/>
            <w:vAlign w:val="center"/>
          </w:tcPr>
          <w:p>
            <w:pPr>
              <w:pStyle w:val="176"/>
              <w:adjustRightInd w:val="0"/>
              <w:snapToGrid w:val="0"/>
              <w:spacing w:after="0" w:afterLines="0" w:line="360" w:lineRule="auto"/>
              <w:rPr>
                <w:rFonts w:hint="default" w:hAnsi="宋体" w:cs="宋体"/>
                <w:b/>
                <w:bCs/>
                <w:color w:val="auto"/>
                <w:sz w:val="24"/>
                <w:highlight w:val="none"/>
                <w:u w:val="single"/>
              </w:rPr>
            </w:pPr>
            <w:r>
              <w:rPr>
                <w:rFonts w:hAnsi="宋体" w:cs="宋体"/>
                <w:b/>
                <w:bCs/>
                <w:color w:val="auto"/>
                <w:sz w:val="24"/>
                <w:szCs w:val="24"/>
                <w:highlight w:val="none"/>
              </w:rPr>
              <w:t>投标保证金金额：</w:t>
            </w:r>
            <w:r>
              <w:rPr>
                <w:rFonts w:hAnsi="宋体" w:cs="宋体"/>
                <w:b/>
                <w:color w:val="auto"/>
                <w:sz w:val="24"/>
                <w:highlight w:val="none"/>
                <w:u w:val="single"/>
              </w:rPr>
              <w:t>（本项目不收取保证金）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12.7.2</w:t>
            </w:r>
          </w:p>
        </w:tc>
        <w:tc>
          <w:tcPr>
            <w:tcW w:w="1512" w:type="dxa"/>
            <w:vMerge w:val="continue"/>
            <w:noWrap w:val="0"/>
            <w:vAlign w:val="center"/>
          </w:tcPr>
          <w:p>
            <w:pPr>
              <w:adjustRightInd w:val="0"/>
              <w:snapToGrid w:val="0"/>
              <w:spacing w:line="360" w:lineRule="auto"/>
              <w:jc w:val="center"/>
              <w:rPr>
                <w:rFonts w:ascii="宋体" w:hAnsi="宋体" w:cs="宋体"/>
                <w:color w:val="auto"/>
                <w:sz w:val="24"/>
                <w:highlight w:val="none"/>
              </w:rPr>
            </w:pPr>
          </w:p>
        </w:tc>
        <w:tc>
          <w:tcPr>
            <w:tcW w:w="6609" w:type="dxa"/>
            <w:noWrap w:val="0"/>
            <w:vAlign w:val="center"/>
          </w:tcPr>
          <w:p>
            <w:pPr>
              <w:adjustRightInd w:val="0"/>
              <w:snapToGrid w:val="0"/>
              <w:spacing w:after="0" w:afterLines="0" w:line="240" w:lineRule="atLeast"/>
              <w:jc w:val="left"/>
              <w:rPr>
                <w:rFonts w:ascii="宋体" w:hAnsi="宋体" w:cs="宋体"/>
                <w:color w:val="auto"/>
                <w:sz w:val="24"/>
                <w:highlight w:val="none"/>
              </w:rPr>
            </w:pPr>
            <w:r>
              <w:rPr>
                <w:rFonts w:hint="eastAsia" w:ascii="宋体" w:hAnsi="宋体" w:cs="宋体"/>
                <w:color w:val="auto"/>
                <w:sz w:val="24"/>
                <w:highlight w:val="none"/>
              </w:rPr>
              <w:t>投标保证金可以不予退还的其他情形：</w:t>
            </w:r>
          </w:p>
          <w:p>
            <w:pPr>
              <w:adjustRightInd w:val="0"/>
              <w:snapToGrid w:val="0"/>
              <w:spacing w:after="0" w:afterLines="0" w:line="240" w:lineRule="atLeast"/>
              <w:jc w:val="left"/>
              <w:rPr>
                <w:rFonts w:ascii="宋体" w:hAnsi="宋体" w:cs="宋体"/>
                <w:color w:val="auto"/>
                <w:sz w:val="24"/>
                <w:highlight w:val="none"/>
              </w:rPr>
            </w:pPr>
            <w:r>
              <w:rPr>
                <w:rFonts w:hint="eastAsia" w:ascii="宋体" w:hAnsi="宋体" w:cs="宋体"/>
                <w:color w:val="auto"/>
                <w:sz w:val="24"/>
                <w:highlight w:val="none"/>
              </w:rPr>
              <w:t>□无</w:t>
            </w:r>
          </w:p>
          <w:p>
            <w:pPr>
              <w:pStyle w:val="176"/>
              <w:adjustRightInd w:val="0"/>
              <w:snapToGrid w:val="0"/>
              <w:spacing w:after="0" w:afterLines="0" w:line="360" w:lineRule="auto"/>
              <w:rPr>
                <w:rFonts w:hint="default" w:hAnsi="宋体" w:cs="宋体"/>
                <w:color w:val="auto"/>
                <w:sz w:val="24"/>
                <w:szCs w:val="24"/>
                <w:highlight w:val="none"/>
              </w:rPr>
            </w:pPr>
            <w:r>
              <w:rPr>
                <w:rFonts w:hAnsi="宋体" w:cs="宋体"/>
                <w:color w:val="auto"/>
                <w:sz w:val="24"/>
                <w:szCs w:val="24"/>
                <w:highlight w:val="none"/>
              </w:rPr>
              <w:t>■有，具体情形：</w:t>
            </w:r>
            <w:r>
              <w:rPr>
                <w:rFonts w:hAnsi="宋体" w:cs="宋体"/>
                <w:color w:val="auto"/>
                <w:sz w:val="24"/>
                <w:szCs w:val="24"/>
                <w:highlight w:val="none"/>
                <w:u w:val="single"/>
              </w:rPr>
              <w:t xml:space="preserve"> 详见投标人须知 </w:t>
            </w:r>
            <w:r>
              <w:rPr>
                <w:rFonts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13.1</w:t>
            </w:r>
          </w:p>
        </w:tc>
        <w:tc>
          <w:tcPr>
            <w:tcW w:w="1512" w:type="dxa"/>
            <w:noWrap w:val="0"/>
            <w:vAlign w:val="center"/>
          </w:tcPr>
          <w:p>
            <w:pPr>
              <w:adjustRightInd w:val="0"/>
              <w:snapToGrid w:val="0"/>
              <w:spacing w:after="0" w:afterLines="0" w:line="360" w:lineRule="auto"/>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609" w:type="dxa"/>
            <w:noWrap w:val="0"/>
            <w:vAlign w:val="center"/>
          </w:tcPr>
          <w:p>
            <w:pPr>
              <w:adjustRightInd w:val="0"/>
              <w:snapToGrid w:val="0"/>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自提交投标文件的截止之日起算</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18.2</w:t>
            </w:r>
          </w:p>
        </w:tc>
        <w:tc>
          <w:tcPr>
            <w:tcW w:w="1512"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解密时间</w:t>
            </w:r>
          </w:p>
        </w:tc>
        <w:tc>
          <w:tcPr>
            <w:tcW w:w="6609" w:type="dxa"/>
            <w:noWrap w:val="0"/>
            <w:vAlign w:val="center"/>
          </w:tcPr>
          <w:p>
            <w:pPr>
              <w:jc w:val="left"/>
              <w:rPr>
                <w:rFonts w:ascii="宋体" w:hAnsi="宋体" w:cs="宋体"/>
                <w:color w:val="auto"/>
                <w:sz w:val="24"/>
                <w:highlight w:val="none"/>
              </w:rPr>
            </w:pPr>
            <w:r>
              <w:rPr>
                <w:rFonts w:hint="eastAsia" w:ascii="宋体" w:hAnsi="宋体" w:cs="宋体"/>
                <w:color w:val="auto"/>
                <w:sz w:val="24"/>
                <w:highlight w:val="none"/>
              </w:rPr>
              <w:t>解密时间：不少于</w:t>
            </w:r>
            <w:r>
              <w:rPr>
                <w:rFonts w:hint="eastAsia" w:ascii="宋体" w:hAnsi="宋体" w:cs="宋体"/>
                <w:color w:val="auto"/>
                <w:sz w:val="24"/>
                <w:highlight w:val="none"/>
                <w:u w:val="single"/>
              </w:rPr>
              <w:t>30</w:t>
            </w:r>
            <w:r>
              <w:rPr>
                <w:rFonts w:hint="eastAsia" w:ascii="宋体" w:hAnsi="宋体" w:cs="宋体"/>
                <w:color w:val="auto"/>
                <w:sz w:val="24"/>
                <w:highlight w:val="none"/>
              </w:rPr>
              <w:t>分钟</w:t>
            </w:r>
            <w:r>
              <w:rPr>
                <w:rFonts w:hint="eastAsia" w:ascii="宋体" w:hAnsi="宋体" w:cs="宋体"/>
                <w:i/>
                <w:i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22.1</w:t>
            </w:r>
          </w:p>
        </w:tc>
        <w:tc>
          <w:tcPr>
            <w:tcW w:w="1512" w:type="dxa"/>
            <w:noWrap w:val="0"/>
            <w:vAlign w:val="center"/>
          </w:tcPr>
          <w:p>
            <w:pPr>
              <w:spacing w:after="0" w:afterLines="0" w:line="360" w:lineRule="auto"/>
              <w:jc w:val="center"/>
              <w:rPr>
                <w:rFonts w:ascii="宋体" w:hAnsi="宋体" w:cs="宋体"/>
                <w:color w:val="auto"/>
                <w:sz w:val="24"/>
                <w:highlight w:val="none"/>
              </w:rPr>
            </w:pPr>
            <w:r>
              <w:rPr>
                <w:rFonts w:hint="eastAsia" w:ascii="宋体" w:hAnsi="宋体" w:cs="宋体"/>
                <w:color w:val="auto"/>
                <w:sz w:val="24"/>
                <w:highlight w:val="none"/>
              </w:rPr>
              <w:t>确定中标人</w:t>
            </w:r>
          </w:p>
        </w:tc>
        <w:tc>
          <w:tcPr>
            <w:tcW w:w="6609" w:type="dxa"/>
            <w:noWrap w:val="0"/>
            <w:vAlign w:val="center"/>
          </w:tcPr>
          <w:p>
            <w:pPr>
              <w:pStyle w:val="176"/>
              <w:adjustRightInd w:val="0"/>
              <w:snapToGrid w:val="0"/>
              <w:spacing w:after="0" w:afterLines="0" w:line="360" w:lineRule="auto"/>
              <w:rPr>
                <w:rFonts w:hint="default" w:hAnsi="宋体" w:cs="宋体"/>
                <w:color w:val="auto"/>
                <w:sz w:val="24"/>
                <w:highlight w:val="none"/>
              </w:rPr>
            </w:pPr>
            <w:r>
              <w:rPr>
                <w:rFonts w:hAnsi="宋体" w:cs="宋体"/>
                <w:color w:val="auto"/>
                <w:sz w:val="24"/>
                <w:highlight w:val="none"/>
              </w:rPr>
              <w:t>中标候选人并列的，采购人是否委托评标委员会确定中标人：</w:t>
            </w:r>
          </w:p>
          <w:p>
            <w:pPr>
              <w:pStyle w:val="176"/>
              <w:adjustRightInd w:val="0"/>
              <w:snapToGrid w:val="0"/>
              <w:spacing w:after="0" w:afterLines="0" w:line="360" w:lineRule="auto"/>
              <w:rPr>
                <w:rFonts w:hint="default" w:hAnsi="宋体" w:cs="宋体"/>
                <w:color w:val="auto"/>
                <w:sz w:val="24"/>
                <w:highlight w:val="none"/>
              </w:rPr>
            </w:pPr>
            <w:r>
              <w:rPr>
                <w:rFonts w:hAnsi="宋体" w:cs="宋体"/>
                <w:color w:val="auto"/>
                <w:sz w:val="24"/>
                <w:highlight w:val="none"/>
              </w:rPr>
              <w:t>■否</w:t>
            </w:r>
          </w:p>
          <w:p>
            <w:pPr>
              <w:pStyle w:val="176"/>
              <w:adjustRightInd w:val="0"/>
              <w:snapToGrid w:val="0"/>
              <w:spacing w:after="0" w:afterLines="0" w:line="360" w:lineRule="auto"/>
              <w:rPr>
                <w:rFonts w:hint="default" w:hAnsi="宋体" w:cs="宋体"/>
                <w:color w:val="auto"/>
                <w:sz w:val="24"/>
                <w:highlight w:val="none"/>
              </w:rPr>
            </w:pPr>
            <w:r>
              <w:rPr>
                <w:rFonts w:hAnsi="宋体" w:cs="宋体"/>
                <w:color w:val="auto"/>
                <w:sz w:val="24"/>
                <w:highlight w:val="none"/>
              </w:rPr>
              <w:t>□是</w:t>
            </w:r>
          </w:p>
          <w:p>
            <w:pPr>
              <w:pStyle w:val="176"/>
              <w:adjustRightInd w:val="0"/>
              <w:snapToGrid w:val="0"/>
              <w:spacing w:after="0" w:afterLines="0" w:line="360" w:lineRule="auto"/>
              <w:rPr>
                <w:rFonts w:hint="default" w:hAnsi="宋体" w:cs="宋体"/>
                <w:color w:val="auto"/>
                <w:sz w:val="24"/>
                <w:szCs w:val="24"/>
                <w:highlight w:val="none"/>
                <w:u w:val="single"/>
              </w:rPr>
            </w:pPr>
            <w:r>
              <w:rPr>
                <w:rFonts w:hAnsi="宋体" w:cs="宋体"/>
                <w:color w:val="auto"/>
                <w:sz w:val="24"/>
                <w:highlight w:val="none"/>
              </w:rPr>
              <w:t>中标候选人并列的，按照以下方式确定中标人：</w:t>
            </w:r>
          </w:p>
          <w:p>
            <w:pPr>
              <w:pStyle w:val="176"/>
              <w:adjustRightInd w:val="0"/>
              <w:snapToGrid w:val="0"/>
              <w:spacing w:after="0" w:afterLines="0" w:line="360" w:lineRule="auto"/>
              <w:rPr>
                <w:rFonts w:hint="default" w:hAnsi="宋体" w:cs="宋体"/>
                <w:color w:val="auto"/>
                <w:sz w:val="24"/>
                <w:highlight w:val="none"/>
              </w:rPr>
            </w:pPr>
            <w:r>
              <w:rPr>
                <w:rFonts w:hAnsi="宋体" w:cs="宋体"/>
                <w:color w:val="auto"/>
                <w:sz w:val="24"/>
                <w:highlight w:val="none"/>
              </w:rPr>
              <w:t>■得分且投标报价均相同的，以</w:t>
            </w:r>
            <w:r>
              <w:rPr>
                <w:rFonts w:hAnsi="宋体" w:cs="宋体"/>
                <w:color w:val="auto"/>
                <w:sz w:val="24"/>
                <w:highlight w:val="none"/>
                <w:u w:val="single"/>
              </w:rPr>
              <w:t xml:space="preserve"> 评审因素的量化指标评审 </w:t>
            </w:r>
            <w:r>
              <w:rPr>
                <w:rFonts w:hAnsi="宋体" w:cs="宋体"/>
                <w:color w:val="auto"/>
                <w:sz w:val="24"/>
                <w:highlight w:val="none"/>
              </w:rPr>
              <w:t>得分高者为中标人</w:t>
            </w:r>
          </w:p>
          <w:p>
            <w:pPr>
              <w:pStyle w:val="176"/>
              <w:adjustRightInd w:val="0"/>
              <w:snapToGrid w:val="0"/>
              <w:spacing w:after="0" w:afterLines="0" w:line="360" w:lineRule="auto"/>
              <w:rPr>
                <w:rFonts w:hint="default" w:hAnsi="宋体" w:cs="宋体"/>
                <w:color w:val="auto"/>
                <w:sz w:val="24"/>
                <w:highlight w:val="none"/>
              </w:rPr>
            </w:pPr>
            <w:r>
              <w:rPr>
                <w:rFonts w:hAnsi="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25.5</w:t>
            </w:r>
          </w:p>
        </w:tc>
        <w:tc>
          <w:tcPr>
            <w:tcW w:w="15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分包</w:t>
            </w:r>
          </w:p>
        </w:tc>
        <w:tc>
          <w:tcPr>
            <w:tcW w:w="6609" w:type="dxa"/>
            <w:noWrap w:val="0"/>
            <w:vAlign w:val="center"/>
          </w:tcPr>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■不允许</w:t>
            </w:r>
          </w:p>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□允许，具体要求：</w:t>
            </w:r>
          </w:p>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（1）可以分包履行的具体内容：/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（2）允许分包的金额或者比例：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after="0" w:afterLines="0" w:line="360" w:lineRule="auto"/>
              <w:jc w:val="left"/>
              <w:rPr>
                <w:rFonts w:ascii="宋体" w:hAnsi="宋体" w:cs="宋体"/>
                <w:color w:val="auto"/>
                <w:sz w:val="24"/>
                <w:highlight w:val="none"/>
                <w:u w:val="single"/>
              </w:rPr>
            </w:pPr>
            <w:r>
              <w:rPr>
                <w:rFonts w:hint="eastAsia" w:ascii="宋体" w:hAnsi="宋体" w:cs="宋体"/>
                <w:color w:val="auto"/>
                <w:sz w:val="24"/>
                <w:highlight w:val="none"/>
              </w:rPr>
              <w:t>（3）其他要求：</w:t>
            </w:r>
            <w:r>
              <w:rPr>
                <w:rFonts w:hint="eastAsia" w:ascii="宋体" w:hAnsi="宋体" w:cs="宋体"/>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25.6</w:t>
            </w:r>
          </w:p>
        </w:tc>
        <w:tc>
          <w:tcPr>
            <w:tcW w:w="15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政采贷</w:t>
            </w:r>
          </w:p>
        </w:tc>
        <w:tc>
          <w:tcPr>
            <w:tcW w:w="6609" w:type="dxa"/>
            <w:noWrap w:val="0"/>
            <w:vAlign w:val="center"/>
          </w:tcPr>
          <w:p>
            <w:pPr>
              <w:spacing w:after="0" w:afterLines="0" w:line="360" w:lineRule="auto"/>
              <w:jc w:val="left"/>
              <w:rPr>
                <w:rFonts w:ascii="宋体" w:hAnsi="宋体" w:cs="宋体"/>
                <w:color w:val="auto"/>
                <w:sz w:val="24"/>
                <w:highlight w:val="none"/>
              </w:rPr>
            </w:pPr>
            <w:r>
              <w:rPr>
                <w:rFonts w:hint="eastAsia" w:ascii="宋体" w:hAnsi="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26.1.1</w:t>
            </w:r>
          </w:p>
        </w:tc>
        <w:tc>
          <w:tcPr>
            <w:tcW w:w="15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询问</w:t>
            </w:r>
          </w:p>
        </w:tc>
        <w:tc>
          <w:tcPr>
            <w:tcW w:w="6609" w:type="dxa"/>
            <w:noWrap w:val="0"/>
            <w:vAlign w:val="center"/>
          </w:tcPr>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Word版、</w:t>
            </w:r>
            <w:r>
              <w:rPr>
                <w:color w:val="auto"/>
                <w:highlight w:val="none"/>
              </w:rPr>
              <w:fldChar w:fldCharType="begin"/>
            </w:r>
            <w:r>
              <w:rPr>
                <w:color w:val="auto"/>
                <w:highlight w:val="none"/>
              </w:rPr>
              <w:instrText xml:space="preserve"> HYPERLINK "mailto:盖章后电子版均需发电子邮箱至bjgtjz@126.com/" </w:instrText>
            </w:r>
            <w:r>
              <w:rPr>
                <w:color w:val="auto"/>
                <w:highlight w:val="none"/>
              </w:rPr>
              <w:fldChar w:fldCharType="separate"/>
            </w:r>
            <w:r>
              <w:rPr>
                <w:rStyle w:val="34"/>
                <w:rFonts w:hint="eastAsia" w:ascii="宋体" w:hAnsi="宋体" w:cs="宋体"/>
                <w:color w:val="auto"/>
                <w:sz w:val="24"/>
                <w:highlight w:val="none"/>
              </w:rPr>
              <w:t>盖章后电子版均需发电子邮箱至bjgtjz@126.com/</w:t>
            </w:r>
            <w:r>
              <w:rPr>
                <w:rFonts w:hint="eastAsia" w:ascii="宋体" w:hAnsi="宋体" w:cs="宋体"/>
                <w:color w:val="auto"/>
                <w:sz w:val="24"/>
                <w:highlight w:val="none"/>
              </w:rPr>
              <w:fldChar w:fldCharType="end"/>
            </w:r>
            <w:r>
              <w:rPr>
                <w:rFonts w:hint="eastAsia" w:ascii="宋体" w:hAnsi="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26.3</w:t>
            </w:r>
          </w:p>
        </w:tc>
        <w:tc>
          <w:tcPr>
            <w:tcW w:w="15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6609" w:type="dxa"/>
            <w:noWrap w:val="0"/>
            <w:vAlign w:val="center"/>
          </w:tcPr>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接收询问和质疑的联系方式</w:t>
            </w:r>
          </w:p>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 xml:space="preserve"> 招标部 </w:t>
            </w:r>
            <w:r>
              <w:rPr>
                <w:rFonts w:hint="eastAsia" w:ascii="宋体" w:hAnsi="宋体" w:cs="宋体"/>
                <w:color w:val="auto"/>
                <w:sz w:val="24"/>
                <w:highlight w:val="none"/>
              </w:rPr>
              <w:t>；</w:t>
            </w:r>
          </w:p>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010-68001293  </w:t>
            </w:r>
            <w:r>
              <w:rPr>
                <w:rFonts w:hint="eastAsia" w:ascii="宋体" w:hAnsi="宋体" w:cs="宋体"/>
                <w:color w:val="auto"/>
                <w:sz w:val="24"/>
                <w:highlight w:val="none"/>
              </w:rPr>
              <w:t>；</w:t>
            </w:r>
          </w:p>
          <w:p>
            <w:pPr>
              <w:spacing w:after="0" w:afterLines="0" w:line="360" w:lineRule="auto"/>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北京市海淀区成府路270号中科科仪院内6号楼3层</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pStyle w:val="176"/>
              <w:adjustRightInd w:val="0"/>
              <w:snapToGrid w:val="0"/>
              <w:spacing w:line="360" w:lineRule="auto"/>
              <w:jc w:val="center"/>
              <w:rPr>
                <w:rFonts w:hint="default" w:hAnsi="宋体" w:cs="宋体"/>
                <w:color w:val="auto"/>
                <w:sz w:val="24"/>
                <w:szCs w:val="24"/>
                <w:highlight w:val="none"/>
              </w:rPr>
            </w:pPr>
            <w:r>
              <w:rPr>
                <w:rFonts w:hAnsi="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24"/>
                <w:highlight w:val="none"/>
              </w:rPr>
            </w:pPr>
            <w:r>
              <w:rPr>
                <w:rFonts w:hint="eastAsia" w:ascii="宋体" w:hAnsi="宋体" w:cs="宋体"/>
                <w:color w:val="auto"/>
                <w:sz w:val="24"/>
                <w:highlight w:val="none"/>
              </w:rPr>
              <w:t>收费对象：</w:t>
            </w:r>
          </w:p>
          <w:p>
            <w:pPr>
              <w:jc w:val="left"/>
              <w:rPr>
                <w:rFonts w:ascii="宋体" w:hAnsi="宋体" w:cs="宋体"/>
                <w:color w:val="auto"/>
                <w:sz w:val="24"/>
                <w:highlight w:val="none"/>
              </w:rPr>
            </w:pPr>
            <w:r>
              <w:rPr>
                <w:rFonts w:hint="eastAsia" w:ascii="宋体" w:hAnsi="宋体" w:cs="宋体"/>
                <w:color w:val="auto"/>
                <w:sz w:val="24"/>
                <w:highlight w:val="none"/>
              </w:rPr>
              <w:t>□采购人</w:t>
            </w:r>
          </w:p>
          <w:p>
            <w:pPr>
              <w:jc w:val="left"/>
              <w:rPr>
                <w:rFonts w:ascii="宋体" w:hAnsi="宋体" w:cs="宋体"/>
                <w:color w:val="auto"/>
                <w:sz w:val="24"/>
                <w:highlight w:val="none"/>
              </w:rPr>
            </w:pPr>
            <w:r>
              <w:rPr>
                <w:rFonts w:hint="eastAsia" w:ascii="宋体" w:hAnsi="宋体" w:cs="宋体"/>
                <w:color w:val="auto"/>
                <w:sz w:val="24"/>
                <w:highlight w:val="none"/>
              </w:rPr>
              <w:t>■中标人</w:t>
            </w:r>
          </w:p>
          <w:p>
            <w:pPr>
              <w:jc w:val="left"/>
              <w:rPr>
                <w:rFonts w:ascii="宋体" w:hAnsi="宋体" w:cs="宋体"/>
                <w:color w:val="auto"/>
                <w:sz w:val="24"/>
                <w:highlight w:val="none"/>
              </w:rPr>
            </w:pPr>
            <w:r>
              <w:rPr>
                <w:rFonts w:hint="eastAsia" w:ascii="宋体" w:hAnsi="宋体" w:cs="宋体"/>
                <w:color w:val="auto"/>
                <w:sz w:val="24"/>
                <w:highlight w:val="none"/>
              </w:rPr>
              <w:t>收费标准：</w:t>
            </w:r>
            <w:r>
              <w:rPr>
                <w:rFonts w:hint="eastAsia" w:ascii="宋体" w:hAnsi="宋体" w:cs="宋体"/>
                <w:color w:val="auto"/>
                <w:sz w:val="24"/>
                <w:highlight w:val="none"/>
                <w:u w:val="single"/>
              </w:rPr>
              <w:t>_详见投标人须知条款27.2__</w:t>
            </w:r>
            <w:r>
              <w:rPr>
                <w:rFonts w:hint="eastAsia" w:ascii="宋体" w:hAnsi="宋体" w:cs="宋体"/>
                <w:color w:val="auto"/>
                <w:sz w:val="24"/>
                <w:highlight w:val="none"/>
              </w:rPr>
              <w:t>；</w:t>
            </w:r>
          </w:p>
          <w:p>
            <w:pPr>
              <w:spacing w:after="0" w:afterLines="0" w:line="360" w:lineRule="auto"/>
              <w:jc w:val="left"/>
              <w:rPr>
                <w:rFonts w:ascii="宋体" w:hAnsi="宋体" w:cs="宋体"/>
                <w:color w:val="auto"/>
                <w:sz w:val="24"/>
                <w:highlight w:val="none"/>
                <w:u w:val="single"/>
              </w:rPr>
            </w:pPr>
            <w:r>
              <w:rPr>
                <w:rFonts w:hint="eastAsia" w:ascii="宋体" w:hAnsi="宋体" w:cs="宋体"/>
                <w:color w:val="auto"/>
                <w:sz w:val="24"/>
                <w:highlight w:val="none"/>
              </w:rPr>
              <w:t>缴纳时间：</w:t>
            </w:r>
            <w:r>
              <w:rPr>
                <w:rFonts w:hint="eastAsia" w:ascii="宋体" w:hAnsi="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ascii="宋体" w:hAnsi="宋体" w:cs="宋体"/>
          <w:color w:val="auto"/>
          <w:sz w:val="24"/>
          <w:highlight w:val="none"/>
        </w:rPr>
        <w:sectPr>
          <w:headerReference r:id="rId3" w:type="first"/>
          <w:footerReference r:id="rId4" w:type="default"/>
          <w:pgSz w:w="11901" w:h="16817"/>
          <w:pgMar w:top="1418" w:right="1474" w:bottom="1418" w:left="1474" w:header="851" w:footer="851" w:gutter="0"/>
          <w:pgNumType w:start="0"/>
          <w:cols w:space="720" w:num="1"/>
          <w:titlePg/>
          <w:docGrid w:linePitch="462" w:charSpace="0"/>
        </w:sectPr>
      </w:pPr>
    </w:p>
    <w:p>
      <w:pPr>
        <w:spacing w:before="312" w:beforeLines="100" w:after="312" w:afterLines="100"/>
        <w:jc w:val="center"/>
        <w:rPr>
          <w:rFonts w:ascii="宋体" w:hAnsi="宋体" w:cs="宋体"/>
          <w:b/>
          <w:color w:val="auto"/>
          <w:sz w:val="28"/>
          <w:szCs w:val="28"/>
          <w:highlight w:val="none"/>
        </w:rPr>
      </w:pPr>
      <w:bookmarkStart w:id="77" w:name="_Toc127151517"/>
      <w:bookmarkStart w:id="78" w:name="_Toc305158859"/>
      <w:bookmarkStart w:id="79" w:name="_Toc353873662"/>
      <w:bookmarkStart w:id="80" w:name="_Toc353873932"/>
      <w:bookmarkStart w:id="81" w:name="_Toc195842882"/>
      <w:bookmarkStart w:id="82" w:name="_Toc265228355"/>
      <w:bookmarkStart w:id="83" w:name="_Toc142311019"/>
      <w:bookmarkStart w:id="84" w:name="_Toc226337213"/>
      <w:bookmarkStart w:id="85" w:name="_Toc226965790"/>
      <w:bookmarkStart w:id="86" w:name="_Toc264969207"/>
      <w:bookmarkStart w:id="87" w:name="_Toc305158785"/>
      <w:bookmarkStart w:id="88" w:name="_Toc150774722"/>
      <w:bookmarkStart w:id="89" w:name="_Toc353825542"/>
      <w:bookmarkStart w:id="90" w:name="_Toc150480755"/>
      <w:r>
        <w:rPr>
          <w:rFonts w:hint="eastAsia" w:ascii="宋体" w:hAnsi="宋体" w:cs="宋体"/>
          <w:b/>
          <w:color w:val="auto"/>
          <w:sz w:val="28"/>
          <w:szCs w:val="28"/>
          <w:highlight w:val="none"/>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4"/>
        <w:tabs>
          <w:tab w:val="center" w:pos="4592"/>
          <w:tab w:val="left" w:pos="7860"/>
        </w:tabs>
        <w:spacing w:before="0" w:beforeLines="0" w:line="360" w:lineRule="auto"/>
        <w:jc w:val="left"/>
        <w:rPr>
          <w:rFonts w:ascii="宋体" w:hAnsi="宋体" w:eastAsia="宋体" w:cs="宋体"/>
          <w:color w:val="auto"/>
          <w:sz w:val="28"/>
          <w:highlight w:val="none"/>
        </w:rPr>
      </w:pPr>
      <w:bookmarkStart w:id="91" w:name="_Toc127151518"/>
      <w:bookmarkStart w:id="92" w:name="_Toc520356143"/>
      <w:r>
        <w:rPr>
          <w:rFonts w:hint="eastAsia" w:ascii="宋体" w:hAnsi="宋体" w:eastAsia="宋体" w:cs="宋体"/>
          <w:color w:val="auto"/>
          <w:sz w:val="28"/>
          <w:highlight w:val="none"/>
        </w:rPr>
        <w:tab/>
      </w:r>
      <w:bookmarkStart w:id="93" w:name="_Toc305158786"/>
      <w:bookmarkStart w:id="94" w:name="_Toc142311020"/>
      <w:bookmarkStart w:id="95" w:name="_Toc226965708"/>
      <w:bookmarkStart w:id="96" w:name="_Toc151190145"/>
      <w:bookmarkStart w:id="97" w:name="_Toc226337214"/>
      <w:bookmarkStart w:id="98" w:name="_Toc151193616"/>
      <w:bookmarkStart w:id="99" w:name="_Toc150480756"/>
      <w:bookmarkStart w:id="100" w:name="_Toc195842883"/>
      <w:bookmarkStart w:id="101" w:name="_Toc150774723"/>
      <w:bookmarkStart w:id="102" w:name="_Toc226309762"/>
      <w:bookmarkStart w:id="103" w:name="_Toc151193688"/>
      <w:bookmarkStart w:id="104" w:name="_Toc226965791"/>
      <w:bookmarkStart w:id="105" w:name="_Toc150509269"/>
      <w:bookmarkStart w:id="106" w:name="_Toc150774618"/>
      <w:bookmarkStart w:id="107" w:name="_Toc265228356"/>
      <w:bookmarkStart w:id="108" w:name="_Toc305158860"/>
      <w:bookmarkStart w:id="109" w:name="_Toc264969208"/>
      <w:bookmarkStart w:id="110" w:name="_Toc151193760"/>
      <w:bookmarkStart w:id="111" w:name="_Toc151193906"/>
      <w:bookmarkStart w:id="112" w:name="_Toc151193832"/>
      <w:r>
        <w:rPr>
          <w:rFonts w:hint="eastAsia" w:ascii="宋体" w:hAnsi="宋体" w:eastAsia="宋体" w:cs="宋体"/>
          <w:color w:val="auto"/>
          <w:sz w:val="28"/>
          <w:highlight w:val="none"/>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color w:val="auto"/>
          <w:sz w:val="28"/>
          <w:highlight w:val="none"/>
        </w:rPr>
        <w:tab/>
      </w:r>
    </w:p>
    <w:p>
      <w:pPr>
        <w:numPr>
          <w:ilvl w:val="0"/>
          <w:numId w:val="12"/>
          <w:numberingChange w:id="3" w:author="Smita" w:date="2026-05-12T07:45:00Z" w:original="%1:1:0:"/>
        </w:numPr>
        <w:tabs>
          <w:tab w:val="left" w:pos="360"/>
          <w:tab w:val="clear" w:pos="900"/>
        </w:tabs>
        <w:snapToGrid w:val="0"/>
        <w:spacing w:line="360" w:lineRule="auto"/>
        <w:ind w:left="357" w:hanging="357"/>
        <w:outlineLvl w:val="1"/>
        <w:rPr>
          <w:rFonts w:ascii="宋体" w:hAnsi="宋体" w:cs="宋体"/>
          <w:color w:val="auto"/>
          <w:sz w:val="24"/>
          <w:highlight w:val="none"/>
        </w:rPr>
      </w:pPr>
      <w:bookmarkStart w:id="113" w:name="_Toc305158787"/>
      <w:bookmarkStart w:id="114" w:name="_Toc305158861"/>
      <w:bookmarkStart w:id="115" w:name="_Toc264969209"/>
      <w:bookmarkStart w:id="116" w:name="_Toc265228357"/>
      <w:r>
        <w:rPr>
          <w:rFonts w:hint="eastAsia" w:ascii="宋体" w:hAnsi="宋体" w:cs="宋体"/>
          <w:color w:val="auto"/>
          <w:sz w:val="24"/>
          <w:highlight w:val="none"/>
        </w:rPr>
        <w:t>采购人、采购代理机构、投标人</w:t>
      </w:r>
      <w:bookmarkEnd w:id="113"/>
      <w:bookmarkEnd w:id="114"/>
      <w:bookmarkEnd w:id="115"/>
      <w:bookmarkEnd w:id="116"/>
      <w:r>
        <w:rPr>
          <w:rFonts w:hint="eastAsia" w:ascii="宋体" w:hAnsi="宋体" w:cs="宋体"/>
          <w:color w:val="auto"/>
          <w:sz w:val="24"/>
          <w:highlight w:val="none"/>
        </w:rPr>
        <w:t>、联合体</w:t>
      </w:r>
    </w:p>
    <w:p>
      <w:pPr>
        <w:numPr>
          <w:ilvl w:val="1"/>
          <w:numId w:val="12"/>
          <w:numberingChange w:id="4" w:author="Smita" w:date="2026-05-12T07:45:00Z" w:original="%1:1:0:.%2:1:0:"/>
        </w:numP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beringChange w:id="5" w:author="Smita" w:date="2026-05-12T07:45:00Z" w:original="%1:1:0:.%2:2:0:"/>
        </w:numP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投标人（也称“投标人”、“申请人”）：指向采购人提供货物、工程或者服务的法人、其他组织或者自然人。</w:t>
      </w:r>
    </w:p>
    <w:p>
      <w:pPr>
        <w:numPr>
          <w:ilvl w:val="1"/>
          <w:numId w:val="12"/>
          <w:numberingChange w:id="6" w:author="Smita" w:date="2026-05-12T07:45:00Z" w:original="%1:1:0:.%2:3:0:"/>
        </w:numP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联合体：指两个以上的自然人、法人或者其他组织组成一个联合体，以一个投标人的身份共同参加政府采购。</w:t>
      </w:r>
    </w:p>
    <w:p>
      <w:pPr>
        <w:numPr>
          <w:ilvl w:val="0"/>
          <w:numId w:val="12"/>
          <w:numberingChange w:id="7" w:author="Smita" w:date="2026-05-12T07:45:00Z" w:original="%1:2:0:"/>
        </w:numPr>
        <w:tabs>
          <w:tab w:val="left" w:pos="360"/>
          <w:tab w:val="clear" w:pos="900"/>
        </w:tabs>
        <w:snapToGrid w:val="0"/>
        <w:spacing w:line="360" w:lineRule="auto"/>
        <w:ind w:left="357" w:hanging="357"/>
        <w:outlineLvl w:val="1"/>
        <w:rPr>
          <w:rFonts w:ascii="宋体" w:hAnsi="宋体" w:cs="宋体"/>
          <w:color w:val="auto"/>
          <w:sz w:val="24"/>
          <w:highlight w:val="none"/>
        </w:rPr>
      </w:pPr>
      <w:bookmarkStart w:id="117" w:name="_Toc226965793"/>
      <w:bookmarkStart w:id="118" w:name="_Toc164229361"/>
      <w:bookmarkStart w:id="119" w:name="_Toc150480758"/>
      <w:bookmarkStart w:id="120" w:name="_Toc151193908"/>
      <w:bookmarkStart w:id="121" w:name="_Toc127151721"/>
      <w:bookmarkStart w:id="122" w:name="_Toc151190147"/>
      <w:bookmarkStart w:id="123" w:name="_Toc127151520"/>
      <w:bookmarkStart w:id="124" w:name="_Toc305158788"/>
      <w:bookmarkStart w:id="125" w:name="_Toc164351614"/>
      <w:bookmarkStart w:id="126" w:name="_Toc305158862"/>
      <w:bookmarkStart w:id="127" w:name="_Toc150774725"/>
      <w:bookmarkStart w:id="128" w:name="_Toc151193834"/>
      <w:bookmarkStart w:id="129" w:name="_Toc150774620"/>
      <w:bookmarkStart w:id="130" w:name="_Toc265228358"/>
      <w:bookmarkStart w:id="131" w:name="_Toc127161434"/>
      <w:bookmarkStart w:id="132" w:name="_Toc151193762"/>
      <w:bookmarkStart w:id="133" w:name="_Toc164229215"/>
      <w:bookmarkStart w:id="134" w:name="_Toc151193618"/>
      <w:bookmarkStart w:id="135" w:name="_Toc195842885"/>
      <w:bookmarkStart w:id="136" w:name="_Toc226309764"/>
      <w:bookmarkStart w:id="137" w:name="_Toc164608634"/>
      <w:bookmarkStart w:id="138" w:name="_Toc264969210"/>
      <w:bookmarkStart w:id="139" w:name="_Toc164608789"/>
      <w:bookmarkStart w:id="140" w:name="_Toc149720813"/>
      <w:bookmarkStart w:id="141" w:name="_Toc226337216"/>
      <w:bookmarkStart w:id="142" w:name="_Toc151193690"/>
      <w:bookmarkStart w:id="143" w:name="_Toc142311022"/>
      <w:bookmarkStart w:id="144" w:name="_Toc150509271"/>
      <w:bookmarkStart w:id="145" w:name="_Toc226965710"/>
      <w:r>
        <w:rPr>
          <w:rFonts w:hint="eastAsia" w:ascii="宋体" w:hAnsi="宋体" w:cs="宋体"/>
          <w:color w:val="auto"/>
          <w:sz w:val="24"/>
          <w:highlight w:val="none"/>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color w:val="auto"/>
          <w:sz w:val="24"/>
          <w:highlight w:val="none"/>
        </w:rPr>
        <w:t>、项目属性、科研仪器设备采购、核心产品</w:t>
      </w:r>
    </w:p>
    <w:p>
      <w:pPr>
        <w:numPr>
          <w:ilvl w:val="1"/>
          <w:numId w:val="12"/>
          <w:numberingChange w:id="8" w:author="Smita" w:date="2026-05-12T07:45:00Z" w:original="%1:2:0:.%2:1: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pPr>
        <w:numPr>
          <w:ilvl w:val="1"/>
          <w:numId w:val="12"/>
          <w:numberingChange w:id="9" w:author="Smita" w:date="2026-05-12T07:45:00Z" w:original="%1:2:0:.%2:2: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项目属性见《投标人须知资料表》。</w:t>
      </w:r>
    </w:p>
    <w:p>
      <w:pPr>
        <w:numPr>
          <w:ilvl w:val="1"/>
          <w:numId w:val="12"/>
          <w:numberingChange w:id="10" w:author="Smita" w:date="2026-05-12T07:45:00Z" w:original="%1:2:0:.%2:3: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是否属于科研仪器设备采购见《投标人须知资料表》。</w:t>
      </w:r>
    </w:p>
    <w:p>
      <w:pPr>
        <w:numPr>
          <w:ilvl w:val="1"/>
          <w:numId w:val="12"/>
          <w:numberingChange w:id="11" w:author="Smita" w:date="2026-05-12T07:45:00Z" w:original="%1:2:0:.%2:4:0:"/>
        </w:numP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核心产品见《投标人须知资料表》。</w:t>
      </w:r>
    </w:p>
    <w:p>
      <w:pPr>
        <w:numPr>
          <w:ilvl w:val="0"/>
          <w:numId w:val="12"/>
          <w:numberingChange w:id="12" w:author="Smita" w:date="2026-05-12T07:45:00Z" w:original="%1:3:0:"/>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现场考察、开标前答疑会</w:t>
      </w:r>
    </w:p>
    <w:p>
      <w:pPr>
        <w:numPr>
          <w:ilvl w:val="1"/>
          <w:numId w:val="12"/>
          <w:numberingChange w:id="13" w:author="Smita" w:date="2026-05-12T07:45:00Z" w:original="%1:3:0:.%2:1:0:"/>
        </w:numPr>
        <w:tabs>
          <w:tab w:val="left" w:pos="1080"/>
          <w:tab w:val="left" w:pos="2014"/>
        </w:tabs>
        <w:snapToGrid w:val="0"/>
        <w:spacing w:line="360" w:lineRule="auto"/>
        <w:ind w:left="1080" w:hanging="720"/>
        <w:rPr>
          <w:rFonts w:ascii="宋体" w:hAnsi="宋体" w:cs="宋体"/>
          <w:color w:val="auto"/>
          <w:sz w:val="28"/>
          <w:highlight w:val="none"/>
        </w:rPr>
      </w:pPr>
      <w:r>
        <w:rPr>
          <w:rFonts w:hint="eastAsia" w:ascii="宋体" w:hAnsi="宋体" w:cs="宋体"/>
          <w:color w:val="auto"/>
          <w:sz w:val="24"/>
          <w:highlight w:val="none"/>
        </w:rPr>
        <w:t>若《投标人须知资料表》中规定了组织现场考察、召开开标前答疑会，则投标人应按要求在规定的时间和地点参加。</w:t>
      </w:r>
      <w:bookmarkStart w:id="146" w:name="_Toc150774622"/>
      <w:bookmarkStart w:id="147" w:name="_Toc151190149"/>
      <w:bookmarkStart w:id="148" w:name="_Toc150480760"/>
      <w:bookmarkStart w:id="149" w:name="_Toc151193764"/>
      <w:bookmarkStart w:id="150" w:name="_Toc226965795"/>
      <w:bookmarkStart w:id="151" w:name="_Toc151193836"/>
      <w:bookmarkStart w:id="152" w:name="_Toc150774727"/>
      <w:bookmarkStart w:id="153" w:name="_Toc150509273"/>
      <w:bookmarkStart w:id="154" w:name="_Toc226337218"/>
      <w:bookmarkStart w:id="155" w:name="_Toc151193692"/>
      <w:bookmarkStart w:id="156" w:name="_Toc195842887"/>
      <w:bookmarkStart w:id="157" w:name="_Toc305158864"/>
      <w:bookmarkStart w:id="158" w:name="_Toc142311024"/>
      <w:bookmarkStart w:id="159" w:name="_Toc151193910"/>
      <w:bookmarkStart w:id="160" w:name="_Toc305158790"/>
      <w:bookmarkStart w:id="161" w:name="_Toc226965712"/>
      <w:bookmarkStart w:id="162" w:name="_Toc226309766"/>
      <w:bookmarkStart w:id="163" w:name="_Toc520356146"/>
      <w:bookmarkStart w:id="164" w:name="_Toc127151522"/>
      <w:bookmarkStart w:id="165" w:name="_Toc265228360"/>
      <w:bookmarkStart w:id="166" w:name="_Toc264969212"/>
      <w:bookmarkStart w:id="167" w:name="_Toc151193620"/>
    </w:p>
    <w:p>
      <w:pPr>
        <w:numPr>
          <w:ilvl w:val="1"/>
          <w:numId w:val="12"/>
          <w:numberingChange w:id="14" w:author="Smita" w:date="2026-05-12T07:45:00Z" w:original="%1:3:0:.%2:2: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beringChange w:id="15" w:author="Smita" w:date="2026-05-12T07:45:00Z" w:original="%1:4:0:"/>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样品</w:t>
      </w:r>
    </w:p>
    <w:p>
      <w:pPr>
        <w:numPr>
          <w:ilvl w:val="1"/>
          <w:numId w:val="12"/>
          <w:numberingChange w:id="16" w:author="Smita" w:date="2026-05-12T07:45:00Z" w:original="%1:4:0:.%2:1: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beringChange w:id="17" w:author="Smita" w:date="2026-05-12T07:45:00Z" w:original="%1:4:0:.%2:2: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样品的评审方法以及评审标准等内容见第四章《评标程序、评标方法和评标标准》。</w:t>
      </w:r>
    </w:p>
    <w:p>
      <w:pPr>
        <w:numPr>
          <w:ilvl w:val="0"/>
          <w:numId w:val="12"/>
          <w:numberingChange w:id="18" w:author="Smita" w:date="2026-05-12T07:45:00Z" w:original="%1:5:0:"/>
        </w:numPr>
        <w:tabs>
          <w:tab w:val="left" w:pos="360"/>
          <w:tab w:val="clear" w:pos="90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政府采购政策（包括但不限于下列具体政策要求）</w:t>
      </w:r>
    </w:p>
    <w:p>
      <w:pPr>
        <w:numPr>
          <w:ilvl w:val="1"/>
          <w:numId w:val="12"/>
          <w:numberingChange w:id="19" w:author="Smita" w:date="2026-05-12T07:45:00Z" w:original="%1:5:0:.%2:1: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采购本国货物、工程和服务</w:t>
      </w:r>
    </w:p>
    <w:p>
      <w:pPr>
        <w:numPr>
          <w:ilvl w:val="2"/>
          <w:numId w:val="12"/>
          <w:numberingChange w:id="20" w:author="Smita" w:date="2026-05-12T07:45:00Z" w:original="%1:5:0:.%2:1:0:.%3:1:0:"/>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政府采购应当采购本国货物、工程和服务。但有《中华人民共和国政府采购法》第十条规定情形的除外。</w:t>
      </w:r>
    </w:p>
    <w:p>
      <w:pPr>
        <w:numPr>
          <w:ilvl w:val="2"/>
          <w:numId w:val="12"/>
          <w:numberingChange w:id="21" w:author="Smita" w:date="2026-05-12T07:45:00Z" w:original="%1:5:0:.%2:1:0:.%3:2:0:"/>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本项目如接受非本国货物、工程、服务参与投标，则具体要求见第五章《采购需求》。</w:t>
      </w:r>
    </w:p>
    <w:p>
      <w:pPr>
        <w:numPr>
          <w:ilvl w:val="2"/>
          <w:numId w:val="12"/>
          <w:numberingChange w:id="22" w:author="Smita" w:date="2026-05-12T07:45:00Z" w:original="%1:5:0:.%2:1:0:.%3:3:0:"/>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beringChange w:id="23" w:author="Smita" w:date="2026-05-12T07:45:00Z" w:original="%1:5:0:.%2:2: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本国产品</w:t>
      </w:r>
    </w:p>
    <w:p>
      <w:pPr>
        <w:tabs>
          <w:tab w:val="left" w:pos="900"/>
          <w:tab w:val="left" w:pos="1080"/>
          <w:tab w:val="left" w:pos="1589"/>
        </w:tabs>
        <w:snapToGrid w:val="0"/>
        <w:spacing w:line="360" w:lineRule="auto"/>
        <w:ind w:left="1080"/>
        <w:rPr>
          <w:rFonts w:ascii="宋体" w:hAnsi="宋体" w:cs="宋体"/>
          <w:color w:val="auto"/>
          <w:sz w:val="24"/>
          <w:highlight w:val="none"/>
        </w:rPr>
      </w:pPr>
      <w:bookmarkStart w:id="168" w:name="_Hlk217316762"/>
      <w:r>
        <w:rPr>
          <w:rFonts w:hint="eastAsia" w:ascii="宋体" w:hAnsi="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ascii="宋体" w:hAnsi="宋体" w:cs="宋体"/>
          <w:color w:val="auto"/>
          <w:sz w:val="24"/>
          <w:highlight w:val="none"/>
        </w:rPr>
        <w:t>，落实本国产品标准。</w:t>
      </w:r>
    </w:p>
    <w:p>
      <w:pPr>
        <w:numPr>
          <w:ilvl w:val="1"/>
          <w:numId w:val="12"/>
          <w:numberingChange w:id="24" w:author="Smita" w:date="2026-05-12T07:45:00Z" w:original="%1:5:0:.%2:3:0:"/>
        </w:numP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中小企业、监狱企业及残疾人福利性单位</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Pr>
        <w:numPr>
          <w:ilvl w:val="2"/>
          <w:numId w:val="12"/>
          <w:numberingChange w:id="25" w:author="Smita" w:date="2026-05-12T07:45:00Z" w:original="%1:5:0:.%2:3:0:.%3:1:0:"/>
        </w:numPr>
        <w:snapToGrid w:val="0"/>
        <w:spacing w:line="360" w:lineRule="auto"/>
        <w:rPr>
          <w:rFonts w:ascii="宋体" w:hAnsi="宋体"/>
          <w:color w:val="auto"/>
          <w:sz w:val="24"/>
          <w:highlight w:val="none"/>
        </w:rPr>
      </w:pPr>
      <w:r>
        <w:rPr>
          <w:rFonts w:ascii="宋体" w:hAnsi="宋体"/>
          <w:color w:val="auto"/>
          <w:sz w:val="24"/>
          <w:highlight w:val="none"/>
        </w:rPr>
        <w:t>中小企业定义：</w:t>
      </w:r>
    </w:p>
    <w:p>
      <w:pPr>
        <w:pStyle w:val="101"/>
        <w:numPr>
          <w:ilvl w:val="0"/>
          <w:numId w:val="13"/>
          <w:numberingChange w:id="26" w:author="Smita" w:date="2026-05-12T07:45:00Z" w:original="%1:1:0:"/>
        </w:numPr>
        <w:tabs>
          <w:tab w:val="left" w:pos="1988"/>
          <w:tab w:val="left" w:pos="2035"/>
          <w:tab w:val="left" w:pos="2885"/>
          <w:tab w:val="left" w:pos="2977"/>
        </w:tabs>
        <w:snapToGrid w:val="0"/>
        <w:spacing w:line="360" w:lineRule="auto"/>
        <w:ind w:firstLineChars="0"/>
        <w:rPr>
          <w:rFonts w:ascii="宋体" w:hAnsi="宋体"/>
          <w:vanish/>
          <w:color w:val="auto"/>
          <w:sz w:val="24"/>
          <w:highlight w:val="none"/>
        </w:rPr>
      </w:pPr>
    </w:p>
    <w:p>
      <w:pPr>
        <w:pStyle w:val="101"/>
        <w:numPr>
          <w:ilvl w:val="0"/>
          <w:numId w:val="13"/>
          <w:numberingChange w:id="27" w:author="Smita" w:date="2026-05-12T07:45:00Z" w:original="%1:2:0:"/>
        </w:numPr>
        <w:tabs>
          <w:tab w:val="left" w:pos="1988"/>
          <w:tab w:val="left" w:pos="2035"/>
          <w:tab w:val="left" w:pos="2885"/>
          <w:tab w:val="left" w:pos="2977"/>
        </w:tabs>
        <w:snapToGrid w:val="0"/>
        <w:spacing w:line="360" w:lineRule="auto"/>
        <w:ind w:firstLineChars="0"/>
        <w:rPr>
          <w:rFonts w:ascii="宋体" w:hAnsi="宋体"/>
          <w:vanish/>
          <w:color w:val="auto"/>
          <w:sz w:val="24"/>
          <w:highlight w:val="none"/>
        </w:rPr>
      </w:pPr>
    </w:p>
    <w:p>
      <w:pPr>
        <w:pStyle w:val="101"/>
        <w:numPr>
          <w:ilvl w:val="0"/>
          <w:numId w:val="13"/>
          <w:numberingChange w:id="28" w:author="Smita" w:date="2026-05-12T07:45:00Z" w:original="%1:3:0:"/>
        </w:numPr>
        <w:tabs>
          <w:tab w:val="left" w:pos="1988"/>
          <w:tab w:val="left" w:pos="2035"/>
          <w:tab w:val="left" w:pos="2885"/>
          <w:tab w:val="left" w:pos="2977"/>
        </w:tabs>
        <w:snapToGrid w:val="0"/>
        <w:spacing w:line="360" w:lineRule="auto"/>
        <w:ind w:firstLineChars="0"/>
        <w:rPr>
          <w:rFonts w:ascii="宋体" w:hAnsi="宋体"/>
          <w:vanish/>
          <w:color w:val="auto"/>
          <w:sz w:val="24"/>
          <w:highlight w:val="none"/>
        </w:rPr>
      </w:pPr>
    </w:p>
    <w:p>
      <w:pPr>
        <w:pStyle w:val="101"/>
        <w:numPr>
          <w:ilvl w:val="0"/>
          <w:numId w:val="13"/>
          <w:numberingChange w:id="29" w:author="Smita" w:date="2026-05-12T07:45:00Z" w:original="%1:4:0:"/>
        </w:numPr>
        <w:tabs>
          <w:tab w:val="left" w:pos="1988"/>
          <w:tab w:val="left" w:pos="2035"/>
          <w:tab w:val="left" w:pos="2885"/>
          <w:tab w:val="left" w:pos="2977"/>
        </w:tabs>
        <w:snapToGrid w:val="0"/>
        <w:spacing w:line="360" w:lineRule="auto"/>
        <w:ind w:firstLineChars="0"/>
        <w:rPr>
          <w:rFonts w:ascii="宋体" w:hAnsi="宋体"/>
          <w:vanish/>
          <w:color w:val="auto"/>
          <w:sz w:val="24"/>
          <w:highlight w:val="none"/>
        </w:rPr>
      </w:pPr>
    </w:p>
    <w:p>
      <w:pPr>
        <w:pStyle w:val="101"/>
        <w:numPr>
          <w:ilvl w:val="0"/>
          <w:numId w:val="13"/>
          <w:numberingChange w:id="30" w:author="Smita" w:date="2026-05-12T07:45:00Z" w:original="%1:5:0:"/>
        </w:numPr>
        <w:tabs>
          <w:tab w:val="left" w:pos="1988"/>
          <w:tab w:val="left" w:pos="2035"/>
          <w:tab w:val="left" w:pos="2885"/>
          <w:tab w:val="left" w:pos="2977"/>
        </w:tabs>
        <w:snapToGrid w:val="0"/>
        <w:spacing w:line="360" w:lineRule="auto"/>
        <w:ind w:firstLineChars="0"/>
        <w:rPr>
          <w:rFonts w:ascii="宋体" w:hAnsi="宋体"/>
          <w:vanish/>
          <w:color w:val="auto"/>
          <w:sz w:val="24"/>
          <w:highlight w:val="none"/>
        </w:rPr>
      </w:pPr>
    </w:p>
    <w:p>
      <w:pPr>
        <w:pStyle w:val="101"/>
        <w:numPr>
          <w:ilvl w:val="1"/>
          <w:numId w:val="13"/>
          <w:numberingChange w:id="31" w:author="Smita" w:date="2026-05-12T07:45:00Z" w:original="%1:5:0:.%2:1:0:"/>
        </w:numPr>
        <w:tabs>
          <w:tab w:val="left" w:pos="900"/>
          <w:tab w:val="left" w:pos="1988"/>
          <w:tab w:val="left" w:pos="2035"/>
          <w:tab w:val="left" w:pos="2885"/>
          <w:tab w:val="left" w:pos="2977"/>
        </w:tabs>
        <w:snapToGrid w:val="0"/>
        <w:spacing w:line="360" w:lineRule="auto"/>
        <w:ind w:firstLineChars="0"/>
        <w:rPr>
          <w:rFonts w:ascii="宋体" w:hAnsi="宋体"/>
          <w:vanish/>
          <w:color w:val="auto"/>
          <w:sz w:val="24"/>
          <w:highlight w:val="none"/>
        </w:rPr>
      </w:pPr>
    </w:p>
    <w:p>
      <w:pPr>
        <w:pStyle w:val="101"/>
        <w:numPr>
          <w:ilvl w:val="1"/>
          <w:numId w:val="13"/>
          <w:numberingChange w:id="32" w:author="Smita" w:date="2026-05-12T07:45:00Z" w:original="%1:5:0:.%2:2:0:"/>
        </w:numPr>
        <w:tabs>
          <w:tab w:val="left" w:pos="900"/>
          <w:tab w:val="left" w:pos="1988"/>
          <w:tab w:val="left" w:pos="2035"/>
          <w:tab w:val="left" w:pos="2885"/>
          <w:tab w:val="left" w:pos="2977"/>
        </w:tabs>
        <w:snapToGrid w:val="0"/>
        <w:spacing w:line="360" w:lineRule="auto"/>
        <w:ind w:firstLineChars="0"/>
        <w:rPr>
          <w:rFonts w:ascii="宋体" w:hAnsi="宋体"/>
          <w:vanish/>
          <w:color w:val="auto"/>
          <w:sz w:val="24"/>
          <w:highlight w:val="none"/>
        </w:rPr>
      </w:pPr>
    </w:p>
    <w:p>
      <w:pPr>
        <w:pStyle w:val="101"/>
        <w:numPr>
          <w:ilvl w:val="2"/>
          <w:numId w:val="13"/>
          <w:numberingChange w:id="33" w:author="Smita" w:date="2026-05-12T07:45:00Z" w:original="%1:5:0:.%2:2:0:.%3:1:0:"/>
        </w:numPr>
        <w:tabs>
          <w:tab w:val="left" w:pos="900"/>
          <w:tab w:val="left" w:pos="2035"/>
          <w:tab w:val="left" w:pos="2885"/>
          <w:tab w:val="left" w:pos="2977"/>
        </w:tabs>
        <w:snapToGrid w:val="0"/>
        <w:spacing w:line="360" w:lineRule="auto"/>
        <w:ind w:firstLineChars="0"/>
        <w:rPr>
          <w:rFonts w:ascii="宋体" w:hAnsi="宋体"/>
          <w:vanish/>
          <w:color w:val="auto"/>
          <w:sz w:val="24"/>
          <w:highlight w:val="none"/>
        </w:rPr>
      </w:pPr>
    </w:p>
    <w:p>
      <w:pPr>
        <w:tabs>
          <w:tab w:val="left" w:pos="1988"/>
          <w:tab w:val="left" w:pos="2035"/>
          <w:tab w:val="left" w:pos="2885"/>
          <w:tab w:val="left" w:pos="2977"/>
        </w:tabs>
        <w:snapToGrid w:val="0"/>
        <w:spacing w:line="360" w:lineRule="auto"/>
        <w:ind w:left="2942" w:leftChars="944" w:hanging="960" w:hangingChars="400"/>
        <w:rPr>
          <w:rFonts w:ascii="宋体" w:hAnsi="宋体"/>
          <w:color w:val="auto"/>
          <w:sz w:val="24"/>
          <w:highlight w:val="none"/>
        </w:rPr>
      </w:pPr>
      <w:r>
        <w:rPr>
          <w:rFonts w:hint="eastAsia" w:ascii="宋体" w:hAnsi="宋体"/>
          <w:color w:val="auto"/>
          <w:sz w:val="24"/>
          <w:highlight w:val="none"/>
        </w:rPr>
        <w:t>5.3.1.1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5.3.1.3</w:t>
      </w:r>
      <w:r>
        <w:rPr>
          <w:rFonts w:ascii="宋体" w:hAnsi="宋体"/>
          <w:color w:val="auto"/>
          <w:sz w:val="24"/>
          <w:highlight w:val="none"/>
        </w:rPr>
        <w:t>在货物采购项目中，投标人提供的货物既有中小企业制造货物，也有大型企业制造货物的，不享受中小企业扶持政策。</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beringChange w:id="34" w:author="Smita" w:date="2026-05-12T07:45:00Z" w:original="%1:5:0:.%2:3:0:.%3:2:0:"/>
        </w:numPr>
        <w:snapToGrid w:val="0"/>
        <w:spacing w:line="360" w:lineRule="auto"/>
        <w:rPr>
          <w:rFonts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01"/>
        <w:numPr>
          <w:ilvl w:val="2"/>
          <w:numId w:val="13"/>
          <w:numberingChange w:id="35" w:author="Smita" w:date="2026-05-12T07:45:00Z" w:original="%1:5:0:.%2:2:0:.%3:2:0:"/>
        </w:numPr>
        <w:snapToGrid w:val="0"/>
        <w:spacing w:line="360" w:lineRule="auto"/>
        <w:ind w:firstLineChars="0"/>
        <w:rPr>
          <w:rFonts w:ascii="宋体" w:hAnsi="宋体"/>
          <w:vanish/>
          <w:color w:val="auto"/>
          <w:sz w:val="24"/>
          <w:highlight w:val="none"/>
        </w:rPr>
      </w:pPr>
    </w:p>
    <w:p>
      <w:pPr>
        <w:snapToGrid w:val="0"/>
        <w:spacing w:line="360" w:lineRule="auto"/>
        <w:ind w:left="1984" w:hanging="901"/>
        <w:rPr>
          <w:rFonts w:ascii="宋体" w:hAnsi="宋体"/>
          <w:color w:val="auto"/>
          <w:highlight w:val="none"/>
        </w:rPr>
      </w:pPr>
      <w:r>
        <w:rPr>
          <w:rFonts w:hint="eastAsia" w:ascii="宋体" w:hAnsi="宋体"/>
          <w:color w:val="auto"/>
          <w:sz w:val="24"/>
          <w:highlight w:val="none"/>
        </w:rPr>
        <w:t>5.3.3   在政府采购活动中，残疾人福利性单位视同小型、微型企业，享受 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rPr>
        <w:t xml:space="preserve"> </w:t>
      </w:r>
      <w:r>
        <w:rPr>
          <w:rFonts w:ascii="宋体" w:hAnsi="宋体"/>
          <w:color w:val="auto"/>
          <w:sz w:val="24"/>
          <w:highlight w:val="none"/>
        </w:rPr>
        <w:t>利单位定义：享受政府采购支持政策的残疾人福利性单位应当同时满足以下条件：</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5.3.3.1</w:t>
      </w:r>
      <w:r>
        <w:rPr>
          <w:rFonts w:ascii="宋体" w:hAnsi="宋体"/>
          <w:color w:val="auto"/>
          <w:sz w:val="24"/>
          <w:highlight w:val="none"/>
        </w:rPr>
        <w:t>安置的残疾人占本单位在职职工人数的比例不低于25%（含25%），并且安置的残疾人人数不少于10 人（含10 人）；</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5.3.3.2</w:t>
      </w:r>
      <w:r>
        <w:rPr>
          <w:rFonts w:ascii="宋体" w:hAnsi="宋体"/>
          <w:color w:val="auto"/>
          <w:sz w:val="24"/>
          <w:highlight w:val="none"/>
        </w:rPr>
        <w:t>依法与安置的每位残疾人签订了一年以上（含一年）的劳动合同或服务协议；</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5.3.3.3</w:t>
      </w:r>
      <w:r>
        <w:rPr>
          <w:rFonts w:ascii="宋体" w:hAnsi="宋体"/>
          <w:color w:val="auto"/>
          <w:sz w:val="24"/>
          <w:highlight w:val="none"/>
        </w:rPr>
        <w:t>为安置的每位残疾人按月足额缴纳了基本养老保险、基本医疗保险、失业保险、工伤保险和生育保险等社会保险费；</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101"/>
        <w:numPr>
          <w:ilvl w:val="2"/>
          <w:numId w:val="12"/>
          <w:numberingChange w:id="36" w:author="Smita" w:date="2026-05-12T07:45:00Z" w:original="%1:5:0:.%2:3:0:.%3:3:0:"/>
        </w:numPr>
        <w:snapToGrid w:val="0"/>
        <w:spacing w:line="360" w:lineRule="auto"/>
        <w:ind w:firstLineChars="0"/>
        <w:rPr>
          <w:rFonts w:ascii="宋体" w:hAnsi="宋体"/>
          <w:vanish/>
          <w:color w:val="auto"/>
          <w:sz w:val="24"/>
          <w:highlight w:val="none"/>
        </w:rPr>
      </w:pPr>
    </w:p>
    <w:p>
      <w:pPr>
        <w:numPr>
          <w:ilvl w:val="2"/>
          <w:numId w:val="12"/>
          <w:numberingChange w:id="37" w:author="Smita" w:date="2026-05-12T07:45:00Z" w:original="%1:5:0:.%2:3:0:.%3:4:0:"/>
        </w:numPr>
        <w:snapToGrid w:val="0"/>
        <w:spacing w:line="360" w:lineRule="auto"/>
        <w:rPr>
          <w:rFonts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beringChange w:id="38" w:author="Smita" w:date="2026-05-12T07:45:00Z" w:original="%1:5:0:.%2:3:0:.%3:5:0:"/>
        </w:numPr>
        <w:snapToGrid w:val="0"/>
        <w:spacing w:line="360" w:lineRule="auto"/>
        <w:rPr>
          <w:rFonts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beringChange w:id="39" w:author="Smita" w:date="2026-05-12T07:45:00Z" w:original="%1:5:0:.%2:3:0:.%3:6:0:"/>
        </w:numPr>
        <w:snapToGrid w:val="0"/>
        <w:spacing w:line="360" w:lineRule="auto"/>
        <w:rPr>
          <w:rFonts w:ascii="宋体" w:hAnsi="宋体"/>
          <w:color w:val="auto"/>
          <w:sz w:val="24"/>
          <w:highlight w:val="none"/>
        </w:rPr>
      </w:pPr>
      <w:r>
        <w:rPr>
          <w:rFonts w:ascii="宋体" w:hAnsi="宋体"/>
          <w:color w:val="auto"/>
          <w:sz w:val="24"/>
          <w:highlight w:val="none"/>
        </w:rPr>
        <w:t>小微企业价格评审优惠的政策调整：见第四章《</w:t>
      </w:r>
      <w:r>
        <w:rPr>
          <w:rFonts w:hint="eastAsia" w:ascii="宋体" w:hAnsi="宋体"/>
          <w:color w:val="auto"/>
          <w:sz w:val="24"/>
          <w:highlight w:val="none"/>
        </w:rPr>
        <w:t>评标程序、评标方法和评标标准</w:t>
      </w:r>
      <w:r>
        <w:rPr>
          <w:rFonts w:ascii="宋体" w:hAnsi="宋体"/>
          <w:color w:val="auto"/>
          <w:sz w:val="24"/>
          <w:highlight w:val="none"/>
        </w:rPr>
        <w:t>》。</w:t>
      </w:r>
    </w:p>
    <w:p>
      <w:pPr>
        <w:numPr>
          <w:ilvl w:val="1"/>
          <w:numId w:val="12"/>
          <w:numberingChange w:id="40" w:author="Smita" w:date="2026-05-12T07:45:00Z" w:original="%1:5:0:.%2:4:0:"/>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政府采购节能产品、环境标志产品</w:t>
      </w:r>
    </w:p>
    <w:p>
      <w:pPr>
        <w:numPr>
          <w:ilvl w:val="2"/>
          <w:numId w:val="12"/>
          <w:numberingChange w:id="41" w:author="Smita" w:date="2026-05-12T07:45:00Z" w:original="%1:5:0:.%2:4:0:.%3:1:0:"/>
        </w:numPr>
        <w:snapToGrid w:val="0"/>
        <w:spacing w:line="360" w:lineRule="auto"/>
        <w:rPr>
          <w:rFonts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beringChange w:id="42" w:author="Smita" w:date="2026-05-12T07:45:00Z" w:original="%1:5:0:.%2:4:0:.%3:2:0:"/>
        </w:numPr>
        <w:snapToGrid w:val="0"/>
        <w:spacing w:line="360" w:lineRule="auto"/>
        <w:rPr>
          <w:rFonts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beringChange w:id="43" w:author="Smita" w:date="2026-05-12T07:45:00Z" w:original="%1:5:0:.%2:4:0:.%3:3:0:"/>
        </w:numPr>
        <w:snapToGrid w:val="0"/>
        <w:spacing w:line="360" w:lineRule="auto"/>
        <w:rPr>
          <w:rFonts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beringChange w:id="44" w:author="Smita" w:date="2026-05-12T07:45:00Z" w:original="%1:5:0:.%2:4:0:.%3:4:0:"/>
        </w:numPr>
        <w:snapToGrid w:val="0"/>
        <w:spacing w:line="360" w:lineRule="auto"/>
        <w:rPr>
          <w:rFonts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beringChange w:id="45" w:author="Smita" w:date="2026-05-12T07:45:00Z" w:original="%1:5:0:.%2:5:0:"/>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正版软件</w:t>
      </w:r>
    </w:p>
    <w:p>
      <w:pPr>
        <w:numPr>
          <w:ilvl w:val="2"/>
          <w:numId w:val="12"/>
          <w:numberingChange w:id="46" w:author="Smita" w:date="2026-05-12T07:45:00Z" w:original="%1:5:0:.%2:5:0:.%3:1:0:"/>
        </w:numPr>
        <w:snapToGrid w:val="0"/>
        <w:spacing w:line="360" w:lineRule="auto"/>
        <w:rPr>
          <w:rFonts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beringChange w:id="47" w:author="Smita" w:date="2026-05-12T07:45:00Z" w:original="%1:5:0:.%2:6:0:"/>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网络安全专用产品</w:t>
      </w:r>
    </w:p>
    <w:p>
      <w:pPr>
        <w:numPr>
          <w:ilvl w:val="2"/>
          <w:numId w:val="12"/>
          <w:numberingChange w:id="48" w:author="Smita" w:date="2026-05-12T07:45:00Z" w:original="%1:5:0:.%2:6:0:.%3:1:0:"/>
        </w:numPr>
        <w:tabs>
          <w:tab w:val="left" w:pos="900"/>
          <w:tab w:val="left" w:pos="2014"/>
        </w:tabs>
        <w:snapToGrid w:val="0"/>
        <w:spacing w:after="0" w:afterLines="0" w:line="360" w:lineRule="auto"/>
        <w:rPr>
          <w:rFonts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beringChange w:id="49" w:author="Smita" w:date="2026-05-12T07:45:00Z" w:original="%1:5:0:.%2:7:0:"/>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beringChange w:id="50" w:author="Smita" w:date="2026-05-12T07:45:00Z" w:original="%1:5:0:.%2:8:0:"/>
        </w:numPr>
        <w:tabs>
          <w:tab w:val="left" w:pos="1080"/>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beringChange w:id="51" w:author="Smita" w:date="2026-05-12T07:45:00Z" w:original="%1:6: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投标费用</w:t>
      </w:r>
    </w:p>
    <w:p>
      <w:pPr>
        <w:numPr>
          <w:ilvl w:val="1"/>
          <w:numId w:val="12"/>
          <w:numberingChange w:id="52" w:author="Smita" w:date="2026-05-12T07:45:00Z" w:original="%1:6:0:.%2:1:0:"/>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ascii="宋体" w:hAnsi="宋体"/>
          <w:color w:val="auto"/>
          <w:sz w:val="28"/>
          <w:highlight w:val="none"/>
        </w:rPr>
      </w:pPr>
    </w:p>
    <w:p>
      <w:pPr>
        <w:pStyle w:val="4"/>
        <w:spacing w:before="0" w:beforeLines="0" w:line="360" w:lineRule="auto"/>
        <w:rPr>
          <w:rFonts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beringChange w:id="53" w:author="Smita" w:date="2026-05-12T07:45:00Z" w:original="%1:7: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招标文件构成</w:t>
      </w:r>
    </w:p>
    <w:p>
      <w:pPr>
        <w:numPr>
          <w:ilvl w:val="1"/>
          <w:numId w:val="12"/>
          <w:numberingChange w:id="54" w:author="Smita" w:date="2026-05-12T07:45:00Z" w:original="%1:7:0:.%2:1:0:"/>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评标程序、评标方法和评标标准</w:t>
      </w:r>
    </w:p>
    <w:p>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投标文件格式</w:t>
      </w:r>
    </w:p>
    <w:p>
      <w:pPr>
        <w:numPr>
          <w:ilvl w:val="1"/>
          <w:numId w:val="12"/>
          <w:numberingChange w:id="55" w:author="Smita" w:date="2026-05-12T07:45:00Z" w:original="%1:7:0:.%2:2:0:"/>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beringChange w:id="56" w:author="Smita" w:date="2026-05-12T07:45:00Z" w:original="%1:8:0:"/>
        </w:numPr>
        <w:tabs>
          <w:tab w:val="left" w:pos="1080"/>
          <w:tab w:val="left" w:pos="2014"/>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对招标文件的澄清或修改</w:t>
      </w:r>
    </w:p>
    <w:p>
      <w:pPr>
        <w:numPr>
          <w:ilvl w:val="1"/>
          <w:numId w:val="12"/>
          <w:numberingChange w:id="57" w:author="Smita" w:date="2026-05-12T07:45:00Z" w:original="%1:8:0:.%2:1:0:"/>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beringChange w:id="58" w:author="Smita" w:date="2026-05-12T07:45:00Z" w:original="%1:8:0:.%2:2:0:"/>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beringChange w:id="59" w:author="Smita" w:date="2026-05-12T07:45:00Z" w:original="%1:8:0:.%2:3:0:"/>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ascii="宋体" w:hAnsi="宋体"/>
          <w:color w:val="auto"/>
          <w:sz w:val="28"/>
          <w:highlight w:val="none"/>
        </w:rPr>
      </w:pPr>
    </w:p>
    <w:p>
      <w:pPr>
        <w:pStyle w:val="4"/>
        <w:spacing w:before="0" w:beforeLines="0" w:line="360" w:lineRule="auto"/>
        <w:rPr>
          <w:rFonts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beringChange w:id="60" w:author="Smita" w:date="2026-05-12T07:45:00Z" w:original="%1:9: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beringChange w:id="61" w:author="Smita" w:date="2026-05-12T07:45:00Z" w:original="%1:9:0:.%2:1:0:"/>
        </w:numPr>
        <w:tabs>
          <w:tab w:val="left" w:pos="1080"/>
          <w:tab w:val="left" w:pos="1589"/>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beringChange w:id="62" w:author="Smita" w:date="2026-05-12T07:45:00Z" w:original="%1:9:0:.%2:2:0:"/>
        </w:numPr>
        <w:tabs>
          <w:tab w:val="left" w:pos="1080"/>
          <w:tab w:val="left" w:pos="1589"/>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beringChange w:id="63" w:author="Smita" w:date="2026-05-12T07:45:00Z" w:original="%1:9:0:.%2:3:0:"/>
        </w:numPr>
        <w:tabs>
          <w:tab w:val="left" w:pos="1080"/>
          <w:tab w:val="left" w:pos="1589"/>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beringChange w:id="64" w:author="Smita" w:date="2026-05-12T07:45:00Z" w:original="%1:10: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投标文件构成</w:t>
      </w:r>
    </w:p>
    <w:p>
      <w:pPr>
        <w:numPr>
          <w:ilvl w:val="1"/>
          <w:numId w:val="12"/>
          <w:numberingChange w:id="65" w:author="Smita" w:date="2026-05-12T07:45:00Z" w:original="%1:10: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beringChange w:id="66" w:author="Smita" w:date="2026-05-12T07:45:00Z" w:original="%1:10: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beringChange w:id="67" w:author="Smita" w:date="2026-05-12T07:45:00Z" w:original="%1:10:0:.%2:3: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第四章《评标程序、评标方法和评标标准》中涉及的证明文件。</w:t>
      </w:r>
    </w:p>
    <w:p>
      <w:pPr>
        <w:numPr>
          <w:ilvl w:val="1"/>
          <w:numId w:val="12"/>
          <w:numberingChange w:id="68" w:author="Smita" w:date="2026-05-12T07:45:00Z" w:original="%1:10:0:.%2:4: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beringChange w:id="69" w:author="Smita" w:date="2026-05-12T07:45:00Z" w:original="%1:10:0:.%2:5: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投标人认为应附的其他材料。</w:t>
      </w:r>
    </w:p>
    <w:p>
      <w:pPr>
        <w:numPr>
          <w:ilvl w:val="0"/>
          <w:numId w:val="12"/>
          <w:numberingChange w:id="70" w:author="Smita" w:date="2026-05-12T07:45:00Z" w:original="%1:11: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投标报价</w:t>
      </w:r>
    </w:p>
    <w:p>
      <w:pPr>
        <w:numPr>
          <w:ilvl w:val="1"/>
          <w:numId w:val="12"/>
          <w:numberingChange w:id="71" w:author="Smita" w:date="2026-05-12T07:45:00Z" w:original="%1:11: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beringChange w:id="72" w:author="Smita" w:date="2026-05-12T07:45:00Z" w:original="%1:11: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beringChange w:id="73" w:author="Smita" w:date="2026-05-12T07:45:00Z" w:original="%1:11:0:.%2:2:0:.%3:1:0:"/>
        </w:numPr>
        <w:snapToGrid w:val="0"/>
        <w:spacing w:line="360" w:lineRule="auto"/>
        <w:rPr>
          <w:rFonts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beringChange w:id="74" w:author="Smita" w:date="2026-05-12T07:45:00Z" w:original="%1:11:0:.%2:2:0:.%3:2:0:"/>
        </w:numPr>
        <w:snapToGrid w:val="0"/>
        <w:spacing w:line="360" w:lineRule="auto"/>
        <w:rPr>
          <w:rFonts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beringChange w:id="75" w:author="Smita" w:date="2026-05-12T07:45:00Z" w:original="%1:11:0:.%2:3: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beringChange w:id="76" w:author="Smita" w:date="2026-05-12T07:45:00Z" w:original="%1:11:0:.%2:4:0:"/>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beringChange w:id="77" w:author="Smita" w:date="2026-05-12T07:45:00Z" w:original="%1:11:0:.%2:5:0:"/>
        </w:numPr>
        <w:tabs>
          <w:tab w:val="left" w:pos="1080"/>
          <w:tab w:val="left" w:pos="1589"/>
          <w:tab w:val="left" w:pos="2014"/>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beringChange w:id="78" w:author="Smita" w:date="2026-05-12T07:45:00Z" w:original="%1:12: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投标保证金</w:t>
      </w:r>
    </w:p>
    <w:p>
      <w:pPr>
        <w:numPr>
          <w:ilvl w:val="1"/>
          <w:numId w:val="12"/>
          <w:numberingChange w:id="79" w:author="Smita" w:date="2026-05-12T07:45:00Z" w:original="%1:12:0:.%2:1:0:"/>
        </w:numPr>
        <w:tabs>
          <w:tab w:val="left" w:pos="1080"/>
          <w:tab w:val="left" w:pos="1589"/>
          <w:tab w:val="left" w:pos="2014"/>
        </w:tabs>
        <w:snapToGrid w:val="0"/>
        <w:spacing w:after="0" w:afterLines="0" w:line="360" w:lineRule="auto"/>
        <w:ind w:left="1077" w:hanging="720"/>
        <w:rPr>
          <w:rFonts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beringChange w:id="80" w:author="Smita" w:date="2026-05-12T07:45:00Z" w:original="%1:12:0:.%2:2:0:"/>
        </w:numPr>
        <w:tabs>
          <w:tab w:val="left" w:pos="1080"/>
          <w:tab w:val="left" w:pos="1589"/>
          <w:tab w:val="left" w:pos="2014"/>
        </w:tabs>
        <w:snapToGrid w:val="0"/>
        <w:spacing w:after="0" w:afterLines="0" w:line="360" w:lineRule="auto"/>
        <w:ind w:left="1077" w:hanging="720"/>
        <w:rPr>
          <w:rFonts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beringChange w:id="81" w:author="Smita" w:date="2026-05-12T07:45:00Z" w:original="%1:12:0:.%2:3:0:"/>
        </w:numPr>
        <w:tabs>
          <w:tab w:val="left" w:pos="1080"/>
          <w:tab w:val="left" w:pos="1589"/>
          <w:tab w:val="left" w:pos="2014"/>
        </w:tabs>
        <w:snapToGrid w:val="0"/>
        <w:spacing w:after="0" w:afterLines="0" w:line="360" w:lineRule="auto"/>
        <w:ind w:left="1077" w:hanging="720"/>
        <w:rPr>
          <w:rFonts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以电子保函形式提交投标保证金的，应在投标截止时间前通过北京市政府采购电子交易平台完成电子保函在线办理。未按上述要求缴纳投标保证金的，其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beringChange w:id="82" w:author="Smita" w:date="2026-05-12T07:45:00Z" w:original="%1:12:0:.%2:4:0:"/>
        </w:numPr>
        <w:tabs>
          <w:tab w:val="left" w:pos="1080"/>
          <w:tab w:val="left" w:pos="1589"/>
          <w:tab w:val="left" w:pos="2014"/>
        </w:tabs>
        <w:snapToGrid w:val="0"/>
        <w:spacing w:after="0" w:afterLines="0" w:line="360" w:lineRule="auto"/>
        <w:ind w:left="1077" w:hanging="720"/>
        <w:rPr>
          <w:rFonts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beringChange w:id="83" w:author="Smita" w:date="2026-05-12T07:45:00Z" w:original="%1:12:0:.%2:5:0:"/>
        </w:numPr>
        <w:tabs>
          <w:tab w:val="left" w:pos="1080"/>
          <w:tab w:val="left" w:pos="1589"/>
          <w:tab w:val="left" w:pos="2014"/>
        </w:tabs>
        <w:snapToGrid w:val="0"/>
        <w:spacing w:after="0" w:afterLines="0" w:line="360" w:lineRule="auto"/>
        <w:ind w:left="1077" w:hanging="720"/>
        <w:rPr>
          <w:rFonts w:ascii="宋体" w:hAnsi="宋体"/>
          <w:color w:val="auto"/>
          <w:sz w:val="24"/>
          <w:highlight w:val="none"/>
        </w:rPr>
      </w:pPr>
      <w:r>
        <w:rPr>
          <w:rFonts w:ascii="宋体" w:hAnsi="宋体"/>
          <w:color w:val="auto"/>
          <w:sz w:val="24"/>
          <w:highlight w:val="none"/>
        </w:rPr>
        <w:t>投标保证金有效期同投标有效期。</w:t>
      </w:r>
    </w:p>
    <w:p>
      <w:pPr>
        <w:numPr>
          <w:ilvl w:val="1"/>
          <w:numId w:val="12"/>
          <w:numberingChange w:id="84" w:author="Smita" w:date="2026-05-12T07:45:00Z" w:original="%1:12:0:.%2:6:0:"/>
        </w:numPr>
        <w:tabs>
          <w:tab w:val="left" w:pos="1080"/>
          <w:tab w:val="left" w:pos="1589"/>
          <w:tab w:val="left" w:pos="2014"/>
        </w:tabs>
        <w:snapToGrid w:val="0"/>
        <w:spacing w:after="0" w:afterLines="0" w:line="360" w:lineRule="auto"/>
        <w:ind w:left="1077" w:hanging="720"/>
        <w:rPr>
          <w:rFonts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beringChange w:id="85" w:author="Smita" w:date="2026-05-12T07:45:00Z" w:original="%1:12:0:.%2:7: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beringChange w:id="86" w:author="Smita" w:date="2026-05-12T07:45:00Z" w:original="%1:12:0:.%2:7:0:.%3:1:0:"/>
        </w:numPr>
        <w:snapToGrid w:val="0"/>
        <w:spacing w:line="360" w:lineRule="auto"/>
        <w:rPr>
          <w:rFonts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beringChange w:id="87" w:author="Smita" w:date="2026-05-12T07:45:00Z" w:original="%1:12:0:.%2:7:0:.%3:2:0:"/>
        </w:numPr>
        <w:snapToGrid w:val="0"/>
        <w:spacing w:line="360" w:lineRule="auto"/>
        <w:rPr>
          <w:rFonts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beringChange w:id="88" w:author="Smita" w:date="2026-05-12T07:45:00Z" w:original="%1:12:0:.%2:7:0:.%3:3:0:"/>
        </w:numPr>
        <w:snapToGrid w:val="0"/>
        <w:spacing w:line="360" w:lineRule="auto"/>
        <w:rPr>
          <w:rFonts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beringChange w:id="89" w:author="Smita" w:date="2026-05-12T07:45:00Z" w:original="%1:12:0:.%2:7:0:.%3:4:0:"/>
        </w:numPr>
        <w:snapToGrid w:val="0"/>
        <w:spacing w:line="360" w:lineRule="auto"/>
        <w:rPr>
          <w:rFonts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beringChange w:id="90" w:author="Smita" w:date="2026-05-12T07:45:00Z" w:original="%1:12:0:.%2:8: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beringChange w:id="91" w:author="Smita" w:date="2026-05-12T07:45:00Z" w:original="%1:12:0:.%2:8:0:.%3:1:0:"/>
        </w:numPr>
        <w:snapToGrid w:val="0"/>
        <w:spacing w:line="360" w:lineRule="auto"/>
        <w:rPr>
          <w:rFonts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beringChange w:id="92" w:author="Smita" w:date="2026-05-12T07:45:00Z" w:original="%1:12:0:.%2:8:0:.%3:2:0:"/>
        </w:numPr>
        <w:tabs>
          <w:tab w:val="left" w:pos="900"/>
          <w:tab w:val="left" w:pos="1080"/>
          <w:tab w:val="left" w:pos="2014"/>
        </w:tabs>
        <w:snapToGrid w:val="0"/>
        <w:spacing w:line="360" w:lineRule="auto"/>
        <w:rPr>
          <w:rFonts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beringChange w:id="93" w:author="Smita" w:date="2026-05-12T07:45:00Z" w:original="%1:13: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投标有效期</w:t>
      </w:r>
    </w:p>
    <w:p>
      <w:pPr>
        <w:numPr>
          <w:ilvl w:val="1"/>
          <w:numId w:val="12"/>
          <w:numberingChange w:id="94" w:author="Smita" w:date="2026-05-12T07:45:00Z" w:original="%1:13: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beringChange w:id="95" w:author="Smita" w:date="2026-05-12T07:45:00Z" w:original="%1:14:0:"/>
        </w:numPr>
        <w:tabs>
          <w:tab w:val="left" w:pos="360"/>
        </w:tabs>
        <w:snapToGrid w:val="0"/>
        <w:spacing w:line="360" w:lineRule="auto"/>
        <w:ind w:left="357" w:hanging="357"/>
        <w:outlineLvl w:val="1"/>
        <w:rPr>
          <w:rFonts w:ascii="宋体" w:hAnsi="宋体"/>
          <w:b/>
          <w:color w:val="auto"/>
          <w:sz w:val="24"/>
          <w:highlight w:val="none"/>
        </w:rPr>
      </w:pPr>
      <w:r>
        <w:rPr>
          <w:rFonts w:ascii="宋体" w:hAnsi="宋体"/>
          <w:b/>
          <w:color w:val="auto"/>
          <w:sz w:val="24"/>
          <w:highlight w:val="none"/>
        </w:rPr>
        <w:t>投标文件的签署、盖章</w:t>
      </w:r>
    </w:p>
    <w:p>
      <w:pPr>
        <w:numPr>
          <w:ilvl w:val="1"/>
          <w:numId w:val="12"/>
          <w:numberingChange w:id="96" w:author="Smita" w:date="2026-05-12T07:45:00Z" w:original="%1:14:0:.%2:1:0:"/>
        </w:numPr>
        <w:tabs>
          <w:tab w:val="left" w:pos="1080"/>
          <w:tab w:val="left" w:pos="1589"/>
          <w:tab w:val="left" w:pos="2014"/>
        </w:tabs>
        <w:snapToGrid w:val="0"/>
        <w:spacing w:line="360" w:lineRule="auto"/>
        <w:ind w:left="1077" w:hanging="720"/>
        <w:rPr>
          <w:rFonts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beringChange w:id="97" w:author="Smita" w:date="2026-05-12T07:45:00Z" w:original="%1:14: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ascii="宋体" w:hAnsi="宋体"/>
          <w:color w:val="auto"/>
          <w:highlight w:val="none"/>
        </w:rPr>
      </w:pPr>
    </w:p>
    <w:p>
      <w:pPr>
        <w:pStyle w:val="4"/>
        <w:spacing w:before="0" w:beforeLines="0" w:line="360" w:lineRule="auto"/>
        <w:rPr>
          <w:rFonts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beringChange w:id="98" w:author="Smita" w:date="2026-05-12T07:45:00Z" w:original="%1:15: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投标文件的提交</w:t>
      </w:r>
    </w:p>
    <w:p>
      <w:pPr>
        <w:numPr>
          <w:ilvl w:val="1"/>
          <w:numId w:val="12"/>
          <w:numberingChange w:id="99" w:author="Smita" w:date="2026-05-12T07:45:00Z" w:original="%1:15: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beringChange w:id="100" w:author="Smita" w:date="2026-05-12T07:45:00Z" w:original="%1:15: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beringChange w:id="101" w:author="Smita" w:date="2026-05-12T07:45:00Z" w:original="%1:16: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投标截止时间</w:t>
      </w:r>
    </w:p>
    <w:p>
      <w:pPr>
        <w:numPr>
          <w:ilvl w:val="1"/>
          <w:numId w:val="12"/>
          <w:numberingChange w:id="102" w:author="Smita" w:date="2026-05-12T07:45:00Z" w:original="%1:16: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beringChange w:id="103" w:author="Smita" w:date="2026-05-12T07:45:00Z" w:original="%1:17: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投标文件的修改与撤回</w:t>
      </w:r>
    </w:p>
    <w:p>
      <w:pPr>
        <w:numPr>
          <w:ilvl w:val="1"/>
          <w:numId w:val="12"/>
          <w:numberingChange w:id="104" w:author="Smita" w:date="2026-05-12T07:45:00Z" w:original="%1:17: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beringChange w:id="105" w:author="Smita" w:date="2026-05-12T07:45:00Z" w:original="%1:17: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ascii="宋体" w:hAnsi="宋体"/>
          <w:color w:val="auto"/>
          <w:sz w:val="24"/>
          <w:highlight w:val="none"/>
        </w:rPr>
      </w:pPr>
    </w:p>
    <w:p>
      <w:pPr>
        <w:pStyle w:val="4"/>
        <w:spacing w:before="0" w:beforeLines="0" w:line="360" w:lineRule="auto"/>
        <w:rPr>
          <w:rFonts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beringChange w:id="106" w:author="Smita" w:date="2026-05-12T07:45:00Z" w:original="%1:18:0:"/>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开标</w:t>
      </w:r>
    </w:p>
    <w:p>
      <w:pPr>
        <w:numPr>
          <w:ilvl w:val="1"/>
          <w:numId w:val="12"/>
          <w:numberingChange w:id="107" w:author="Smita" w:date="2026-05-12T07:45:00Z" w:original="%1:18: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beringChange w:id="108" w:author="Smita" w:date="2026-05-12T07:45:00Z" w:original="%1:18: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beringChange w:id="109" w:author="Smita" w:date="2026-05-12T07:45:00Z" w:original="%1:18:0:.%2:3:0:"/>
        </w:numPr>
        <w:tabs>
          <w:tab w:val="left" w:pos="1080"/>
          <w:tab w:val="left" w:pos="1589"/>
          <w:tab w:val="left" w:pos="2014"/>
        </w:tabs>
        <w:snapToGrid w:val="0"/>
        <w:spacing w:line="360" w:lineRule="auto"/>
        <w:ind w:left="1077" w:hanging="720"/>
        <w:rPr>
          <w:rFonts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beringChange w:id="110" w:author="Smita" w:date="2026-05-12T07:45:00Z" w:original="%1:18:0:.%2:4: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beringChange w:id="111" w:author="Smita" w:date="2026-05-12T07:45:00Z" w:original="%1:18:0:.%2:5: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beringChange w:id="112" w:author="Smita" w:date="2026-05-12T07:45:00Z" w:original="%1:19: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资格审查</w:t>
      </w:r>
    </w:p>
    <w:p>
      <w:pPr>
        <w:numPr>
          <w:ilvl w:val="1"/>
          <w:numId w:val="15"/>
          <w:numberingChange w:id="113" w:author="Smita" w:date="2026-05-12T07:45:00Z" w:original="%1:19: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见第三章《资格审查》。</w:t>
      </w:r>
    </w:p>
    <w:p>
      <w:pPr>
        <w:numPr>
          <w:ilvl w:val="0"/>
          <w:numId w:val="15"/>
          <w:numberingChange w:id="114" w:author="Smita" w:date="2026-05-12T07:45:00Z" w:original="%1:20: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评标委员会</w:t>
      </w:r>
    </w:p>
    <w:p>
      <w:pPr>
        <w:numPr>
          <w:ilvl w:val="1"/>
          <w:numId w:val="15"/>
          <w:numberingChange w:id="115" w:author="Smita" w:date="2026-05-12T07:45:00Z" w:original="%1:20: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beringChange w:id="116" w:author="Smita" w:date="2026-05-12T07:45:00Z" w:original="%1:20: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beringChange w:id="117" w:author="Smita" w:date="2026-05-12T07:45:00Z" w:original="%1:21: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评标程序、评标方法和评标标准</w:t>
      </w:r>
    </w:p>
    <w:p>
      <w:pPr>
        <w:numPr>
          <w:ilvl w:val="1"/>
          <w:numId w:val="15"/>
          <w:numberingChange w:id="118" w:author="Smita" w:date="2026-05-12T07:45:00Z" w:original="%1:21: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见第四章《评标程序、评标方法和评标标准》。</w:t>
      </w:r>
    </w:p>
    <w:p>
      <w:pPr>
        <w:pStyle w:val="4"/>
        <w:spacing w:before="0" w:beforeLines="0" w:line="360" w:lineRule="auto"/>
        <w:rPr>
          <w:rFonts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beringChange w:id="119" w:author="Smita" w:date="2026-05-12T07:45:00Z" w:original="%1:22: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确定中标人</w:t>
      </w:r>
    </w:p>
    <w:p>
      <w:pPr>
        <w:numPr>
          <w:ilvl w:val="1"/>
          <w:numId w:val="15"/>
          <w:numberingChange w:id="120" w:author="Smita" w:date="2026-05-12T07:45:00Z" w:original="%1:22: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beringChange w:id="121" w:author="Smita" w:date="2026-05-12T07:45:00Z" w:original="%1:23:0:"/>
        </w:numPr>
        <w:tabs>
          <w:tab w:val="left" w:pos="360"/>
          <w:tab w:val="left" w:pos="90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中标公告与中标通知书</w:t>
      </w:r>
    </w:p>
    <w:p>
      <w:pPr>
        <w:numPr>
          <w:ilvl w:val="1"/>
          <w:numId w:val="15"/>
          <w:numberingChange w:id="122" w:author="Smita" w:date="2026-05-12T07:45:00Z" w:original="%1:23:0:.%2:1:0:"/>
        </w:numPr>
        <w:tabs>
          <w:tab w:val="left" w:pos="1080"/>
          <w:tab w:val="left" w:pos="1589"/>
          <w:tab w:val="left" w:pos="2014"/>
        </w:tabs>
        <w:snapToGrid w:val="0"/>
        <w:spacing w:after="0" w:afterLines="0" w:line="360" w:lineRule="auto"/>
        <w:ind w:left="1077" w:hanging="720"/>
        <w:jc w:val="left"/>
        <w:rPr>
          <w:rFonts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beringChange w:id="123" w:author="Smita" w:date="2026-05-12T07:45:00Z" w:original="%1:23: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beringChange w:id="124" w:author="Smita" w:date="2026-05-12T07:45:00Z" w:original="%1:24: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废标</w:t>
      </w:r>
    </w:p>
    <w:p>
      <w:pPr>
        <w:numPr>
          <w:ilvl w:val="1"/>
          <w:numId w:val="15"/>
          <w:numberingChange w:id="125" w:author="Smita" w:date="2026-05-12T07:45:00Z" w:original="%1:24: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在招标采购中，出现下列情形之一的，应予废标：</w:t>
      </w:r>
    </w:p>
    <w:p>
      <w:pPr>
        <w:snapToGrid w:val="0"/>
        <w:spacing w:line="360" w:lineRule="auto"/>
        <w:ind w:left="1080"/>
        <w:rPr>
          <w:rFonts w:ascii="宋体" w:hAnsi="宋体"/>
          <w:color w:val="auto"/>
          <w:sz w:val="24"/>
          <w:highlight w:val="none"/>
        </w:rPr>
      </w:pPr>
      <w:r>
        <w:rPr>
          <w:rFonts w:hint="eastAsia" w:ascii="宋体" w:hAnsi="宋体"/>
          <w:color w:val="auto"/>
          <w:sz w:val="24"/>
          <w:highlight w:val="none"/>
        </w:rPr>
        <w:t>24.1.1</w:t>
      </w:r>
      <w:r>
        <w:rPr>
          <w:rFonts w:ascii="宋体" w:hAnsi="宋体"/>
          <w:color w:val="auto"/>
          <w:sz w:val="24"/>
          <w:highlight w:val="none"/>
        </w:rPr>
        <w:t>符合专业条件的投标人或者对招标文件作实质响应的投标人不足三家的；</w:t>
      </w:r>
    </w:p>
    <w:p>
      <w:pPr>
        <w:snapToGrid w:val="0"/>
        <w:spacing w:line="360" w:lineRule="auto"/>
        <w:ind w:left="1080"/>
        <w:rPr>
          <w:rFonts w:ascii="宋体" w:hAnsi="宋体"/>
          <w:color w:val="auto"/>
          <w:sz w:val="24"/>
          <w:highlight w:val="none"/>
        </w:rPr>
      </w:pPr>
      <w:r>
        <w:rPr>
          <w:rFonts w:hint="eastAsia" w:ascii="宋体" w:hAnsi="宋体"/>
          <w:color w:val="auto"/>
          <w:sz w:val="24"/>
          <w:highlight w:val="none"/>
        </w:rPr>
        <w:t>24.1.2</w:t>
      </w:r>
      <w:r>
        <w:rPr>
          <w:rFonts w:ascii="宋体" w:hAnsi="宋体"/>
          <w:color w:val="auto"/>
          <w:sz w:val="24"/>
          <w:highlight w:val="none"/>
        </w:rPr>
        <w:t>出现影响采购公正的违法、违规行为的；</w:t>
      </w:r>
    </w:p>
    <w:p>
      <w:pPr>
        <w:snapToGrid w:val="0"/>
        <w:spacing w:line="360" w:lineRule="auto"/>
        <w:ind w:left="1080"/>
        <w:rPr>
          <w:rFonts w:ascii="宋体" w:hAnsi="宋体"/>
          <w:color w:val="auto"/>
          <w:sz w:val="24"/>
          <w:highlight w:val="none"/>
        </w:rPr>
      </w:pPr>
      <w:r>
        <w:rPr>
          <w:rFonts w:hint="eastAsia" w:ascii="宋体" w:hAnsi="宋体"/>
          <w:color w:val="auto"/>
          <w:sz w:val="24"/>
          <w:highlight w:val="none"/>
        </w:rPr>
        <w:t>24.1.3</w:t>
      </w:r>
      <w:r>
        <w:rPr>
          <w:rFonts w:ascii="宋体" w:hAnsi="宋体"/>
          <w:color w:val="auto"/>
          <w:sz w:val="24"/>
          <w:highlight w:val="none"/>
        </w:rPr>
        <w:t>投标人的报价均超过了采购预算，采购人不能支付的；</w:t>
      </w:r>
    </w:p>
    <w:p>
      <w:pPr>
        <w:snapToGrid w:val="0"/>
        <w:spacing w:line="360" w:lineRule="auto"/>
        <w:ind w:left="1080"/>
        <w:rPr>
          <w:rFonts w:ascii="宋体" w:hAnsi="宋体"/>
          <w:color w:val="auto"/>
          <w:sz w:val="24"/>
          <w:highlight w:val="none"/>
        </w:rPr>
      </w:pPr>
      <w:r>
        <w:rPr>
          <w:rFonts w:hint="eastAsia" w:ascii="宋体" w:hAnsi="宋体"/>
          <w:color w:val="auto"/>
          <w:sz w:val="24"/>
          <w:highlight w:val="none"/>
        </w:rPr>
        <w:t>24.1.4</w:t>
      </w:r>
      <w:r>
        <w:rPr>
          <w:rFonts w:ascii="宋体" w:hAnsi="宋体"/>
          <w:color w:val="auto"/>
          <w:sz w:val="24"/>
          <w:highlight w:val="none"/>
        </w:rPr>
        <w:t>因重大变故，采购任务取消的。</w:t>
      </w:r>
    </w:p>
    <w:p>
      <w:pPr>
        <w:numPr>
          <w:ilvl w:val="1"/>
          <w:numId w:val="15"/>
          <w:numberingChange w:id="126" w:author="Smita" w:date="2026-05-12T07:45:00Z" w:original="%1:24: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beringChange w:id="127" w:author="Smita" w:date="2026-05-12T07:45:00Z" w:original="%1:25:0:"/>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签订合同</w:t>
      </w:r>
    </w:p>
    <w:p>
      <w:pPr>
        <w:numPr>
          <w:ilvl w:val="1"/>
          <w:numId w:val="15"/>
          <w:numberingChange w:id="128" w:author="Smita" w:date="2026-05-12T07:45:00Z" w:original="%1:25: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beringChange w:id="129" w:author="Smita" w:date="2026-05-12T07:45:00Z" w:original="%1:25: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beringChange w:id="130" w:author="Smita" w:date="2026-05-12T07:45:00Z" w:original="%1:25:0:.%2:3: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beringChange w:id="131" w:author="Smita" w:date="2026-05-12T07:45:00Z" w:original="%1:25:0:.%2:4: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政府采购合同不能转包。</w:t>
      </w:r>
    </w:p>
    <w:p>
      <w:pPr>
        <w:numPr>
          <w:ilvl w:val="1"/>
          <w:numId w:val="15"/>
          <w:numberingChange w:id="132" w:author="Smita" w:date="2026-05-12T07:45:00Z" w:original="%1:25:0:.%2:5: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101"/>
        <w:numPr>
          <w:ilvl w:val="1"/>
          <w:numId w:val="15"/>
          <w:numberingChange w:id="133" w:author="Smita" w:date="2026-05-12T07:45:00Z" w:original="%1:25:0:.%2:6:0:"/>
        </w:numPr>
        <w:ind w:firstLineChars="0"/>
        <w:rPr>
          <w:rFonts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beringChange w:id="134" w:author="Smita" w:date="2026-05-12T07:45:00Z" w:original="%1:26:0:"/>
        </w:numPr>
        <w:tabs>
          <w:tab w:val="left" w:pos="360"/>
          <w:tab w:val="left" w:pos="90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询问与质疑</w:t>
      </w:r>
    </w:p>
    <w:p>
      <w:pPr>
        <w:numPr>
          <w:ilvl w:val="1"/>
          <w:numId w:val="15"/>
          <w:numberingChange w:id="135" w:author="Smita" w:date="2026-05-12T07:45:00Z" w:original="%1:26:0:.%2:1: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询问</w:t>
      </w:r>
    </w:p>
    <w:p>
      <w:pPr>
        <w:snapToGrid w:val="0"/>
        <w:spacing w:line="360" w:lineRule="auto"/>
        <w:ind w:left="1799" w:leftChars="514" w:hanging="720" w:hangingChars="300"/>
        <w:rPr>
          <w:rFonts w:ascii="宋体" w:hAnsi="宋体"/>
          <w:color w:val="auto"/>
          <w:sz w:val="24"/>
          <w:highlight w:val="none"/>
        </w:rPr>
      </w:pPr>
      <w:r>
        <w:rPr>
          <w:rFonts w:hint="eastAsia" w:ascii="宋体" w:hAnsi="宋体"/>
          <w:color w:val="auto"/>
          <w:sz w:val="24"/>
          <w:highlight w:val="none"/>
        </w:rPr>
        <w:t>26.1.1投标人对政府采购活动事项有疑问的，可依法向采购人或采购代理 机构提出询问，提出形式见《投标人须知资料表》</w:t>
      </w:r>
      <w:r>
        <w:rPr>
          <w:rFonts w:ascii="宋体" w:hAnsi="宋体"/>
          <w:color w:val="auto"/>
          <w:sz w:val="24"/>
          <w:highlight w:val="none"/>
        </w:rPr>
        <w:t>。</w:t>
      </w:r>
    </w:p>
    <w:p>
      <w:pPr>
        <w:snapToGrid w:val="0"/>
        <w:spacing w:line="360" w:lineRule="auto"/>
        <w:ind w:left="1080"/>
        <w:rPr>
          <w:rFonts w:ascii="宋体" w:hAnsi="宋体"/>
          <w:color w:val="auto"/>
          <w:sz w:val="24"/>
          <w:highlight w:val="none"/>
        </w:rPr>
      </w:pPr>
      <w:r>
        <w:rPr>
          <w:rFonts w:hint="eastAsia" w:ascii="宋体" w:hAnsi="宋体"/>
          <w:color w:val="auto"/>
          <w:sz w:val="24"/>
          <w:highlight w:val="none"/>
        </w:rPr>
        <w:t>26.1.2采购人或采购代理机构对投标人依法提出的询问，在3个工作日内作    出答复，但答复的内容不得涉及商业秘密。</w:t>
      </w:r>
    </w:p>
    <w:p>
      <w:pPr>
        <w:numPr>
          <w:ilvl w:val="1"/>
          <w:numId w:val="15"/>
          <w:numberingChange w:id="136" w:author="Smita" w:date="2026-05-12T07:45:00Z" w:original="%1:26:0:.%2:2:0:"/>
        </w:numPr>
        <w:tabs>
          <w:tab w:val="left" w:pos="1080"/>
          <w:tab w:val="left" w:pos="1589"/>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质疑</w:t>
      </w:r>
    </w:p>
    <w:p>
      <w:pPr>
        <w:snapToGrid w:val="0"/>
        <w:spacing w:line="360" w:lineRule="auto"/>
        <w:ind w:left="1799" w:leftChars="514" w:hanging="720" w:hangingChars="300"/>
        <w:rPr>
          <w:rFonts w:ascii="宋体" w:hAnsi="宋体"/>
          <w:color w:val="auto"/>
          <w:sz w:val="24"/>
          <w:highlight w:val="none"/>
        </w:rPr>
      </w:pPr>
      <w:r>
        <w:rPr>
          <w:rFonts w:hint="eastAsia" w:ascii="宋体" w:hAnsi="宋体"/>
          <w:color w:val="auto"/>
          <w:sz w:val="24"/>
          <w:highlight w:val="none"/>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snapToGrid w:val="0"/>
        <w:spacing w:line="360" w:lineRule="auto"/>
        <w:ind w:left="1799" w:leftChars="514" w:hanging="720" w:hangingChars="300"/>
        <w:rPr>
          <w:rFonts w:ascii="宋体" w:hAnsi="宋体"/>
          <w:color w:val="auto"/>
          <w:sz w:val="24"/>
          <w:highlight w:val="none"/>
        </w:rPr>
      </w:pPr>
      <w:r>
        <w:rPr>
          <w:rFonts w:hint="eastAsia" w:ascii="宋体" w:hAnsi="宋体"/>
          <w:color w:val="auto"/>
          <w:sz w:val="24"/>
          <w:highlight w:val="none"/>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snapToGrid w:val="0"/>
        <w:spacing w:line="360" w:lineRule="auto"/>
        <w:ind w:left="1799" w:leftChars="514" w:hanging="720" w:hangingChars="300"/>
        <w:rPr>
          <w:rFonts w:ascii="宋体" w:hAnsi="宋体"/>
          <w:color w:val="auto"/>
          <w:sz w:val="24"/>
          <w:highlight w:val="none"/>
        </w:rPr>
      </w:pPr>
      <w:r>
        <w:rPr>
          <w:rFonts w:hint="eastAsia" w:ascii="宋体" w:hAnsi="宋体"/>
          <w:color w:val="auto"/>
          <w:sz w:val="24"/>
          <w:highlight w:val="none"/>
        </w:rPr>
        <w:t>26.2.3投标人委托代理人进行质疑的，应当随质疑函同时提交投标人签署的授权委托书。授权委托书应当载明代理人的姓名或者名称、代理事项、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snapToGrid w:val="0"/>
        <w:spacing w:line="360" w:lineRule="auto"/>
        <w:ind w:left="1799" w:leftChars="514" w:hanging="720" w:hangingChars="300"/>
        <w:rPr>
          <w:rFonts w:ascii="宋体" w:hAnsi="宋体"/>
          <w:color w:val="auto"/>
          <w:sz w:val="24"/>
          <w:highlight w:val="none"/>
        </w:rPr>
      </w:pPr>
      <w:r>
        <w:rPr>
          <w:rFonts w:hint="eastAsia" w:ascii="宋体" w:hAnsi="宋体"/>
          <w:color w:val="auto"/>
          <w:sz w:val="24"/>
          <w:highlight w:val="none"/>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beringChange w:id="137" w:author="Smita" w:date="2026-05-12T07:45:00Z" w:original="%1:26:0:.%2:3:0:"/>
        </w:numPr>
        <w:tabs>
          <w:tab w:val="left" w:pos="1080"/>
          <w:tab w:val="left" w:pos="1589"/>
          <w:tab w:val="left" w:pos="2014"/>
        </w:tabs>
        <w:snapToGrid w:val="0"/>
        <w:spacing w:line="360" w:lineRule="auto"/>
        <w:ind w:left="1077" w:hanging="720"/>
        <w:rPr>
          <w:rFonts w:ascii="宋体" w:hAnsi="宋体" w:cs="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s="宋体"/>
          <w:color w:val="auto"/>
          <w:sz w:val="24"/>
          <w:highlight w:val="none"/>
        </w:rPr>
        <w:t>。</w:t>
      </w:r>
    </w:p>
    <w:p>
      <w:pPr>
        <w:numPr>
          <w:ilvl w:val="0"/>
          <w:numId w:val="15"/>
          <w:numberingChange w:id="138" w:author="Smita" w:date="2026-05-12T07:45:00Z" w:original="%1:27:0:"/>
        </w:numPr>
        <w:tabs>
          <w:tab w:val="left" w:pos="360"/>
          <w:tab w:val="left" w:pos="90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代理费</w:t>
      </w:r>
    </w:p>
    <w:p>
      <w:pPr>
        <w:tabs>
          <w:tab w:val="left" w:pos="1080"/>
          <w:tab w:val="left" w:pos="1589"/>
          <w:tab w:val="left" w:pos="2014"/>
        </w:tabs>
        <w:adjustRightInd w:val="0"/>
        <w:snapToGrid w:val="0"/>
        <w:spacing w:after="0" w:afterLines="0" w:line="360" w:lineRule="auto"/>
        <w:ind w:left="142"/>
        <w:rPr>
          <w:rFonts w:ascii="宋体" w:hAnsi="宋体" w:cs="宋体"/>
          <w:color w:val="auto"/>
          <w:sz w:val="24"/>
          <w:highlight w:val="none"/>
        </w:rPr>
      </w:pPr>
      <w:bookmarkStart w:id="169" w:name="_Toc127151554"/>
      <w:bookmarkStart w:id="170" w:name="_Toc265228392"/>
      <w:bookmarkStart w:id="171" w:name="_Toc150480792"/>
      <w:bookmarkStart w:id="172" w:name="_Toc305158896"/>
      <w:bookmarkStart w:id="173" w:name="_Toc150774759"/>
      <w:bookmarkStart w:id="174" w:name="_Toc353825544"/>
      <w:bookmarkStart w:id="175" w:name="_Toc353873934"/>
      <w:bookmarkStart w:id="176" w:name="_Toc264969244"/>
      <w:bookmarkStart w:id="177" w:name="_Toc226965827"/>
      <w:bookmarkStart w:id="178" w:name="_Toc353873664"/>
      <w:bookmarkStart w:id="179" w:name="_Toc305158822"/>
      <w:bookmarkStart w:id="180" w:name="_Toc226337250"/>
      <w:bookmarkStart w:id="181" w:name="_Toc142311056"/>
      <w:r>
        <w:rPr>
          <w:rFonts w:hint="eastAsia" w:ascii="宋体" w:hAnsi="宋体" w:cs="宋体"/>
          <w:color w:val="auto"/>
          <w:sz w:val="24"/>
          <w:highlight w:val="none"/>
        </w:rPr>
        <w:t>27.1收费对象、收费标准及缴纳时间见《投标人须知资料表》。由中标人支付的，中标人须一次性向采购代理机构缴纳代理费，投标报价应包含代理费用。</w:t>
      </w:r>
    </w:p>
    <w:p>
      <w:pPr>
        <w:adjustRightInd w:val="0"/>
        <w:snapToGrid w:val="0"/>
        <w:spacing w:after="0" w:afterLines="0"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27.2</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依据</w:t>
      </w:r>
      <w:r>
        <w:rPr>
          <w:rFonts w:hint="eastAsia" w:ascii="宋体" w:hAnsi="宋体" w:cs="宋体"/>
          <w:color w:val="auto"/>
          <w:sz w:val="24"/>
          <w:highlight w:val="none"/>
        </w:rPr>
        <w:t>《国家计委关于印发(招标代理服务收费管理暂行办法)的通知》(计价格[2002]1980号)文件规定相应费率，代理报酬按照附表的货物招标相应费率以中标总价为基数上浮10%计取</w:t>
      </w:r>
      <w:r>
        <w:rPr>
          <w:rFonts w:hint="eastAsia" w:ascii="宋体" w:hAnsi="宋体" w:cs="宋体"/>
          <w:b/>
          <w:bCs/>
          <w:color w:val="auto"/>
          <w:sz w:val="24"/>
          <w:highlight w:val="none"/>
        </w:rPr>
        <w:t>：</w:t>
      </w:r>
    </w:p>
    <w:tbl>
      <w:tblPr>
        <w:tblStyle w:val="29"/>
        <w:tblW w:w="6779" w:type="dxa"/>
        <w:jc w:val="center"/>
        <w:tblCellSpacing w:w="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41"/>
        <w:gridCol w:w="31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0" w:hRule="atLeast"/>
          <w:tblCellSpacing w:w="0" w:type="dxa"/>
          <w:jc w:val="center"/>
        </w:trPr>
        <w:tc>
          <w:tcPr>
            <w:tcW w:w="364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after="0" w:afterLines="0" w:line="240" w:lineRule="atLeast"/>
              <w:jc w:val="center"/>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highlight w:val="none"/>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-3810</wp:posOffset>
                      </wp:positionV>
                      <wp:extent cx="2277110" cy="358140"/>
                      <wp:effectExtent l="0" t="0" r="0" b="0"/>
                      <wp:wrapNone/>
                      <wp:docPr id="1" name="自选图形 2"/>
                      <wp:cNvGraphicFramePr/>
                      <a:graphic xmlns:a="http://schemas.openxmlformats.org/drawingml/2006/main">
                        <a:graphicData uri="http://schemas.microsoft.com/office/word/2010/wordprocessingShape">
                          <wps:wsp>
                            <wps:cNvCnPr/>
                            <wps:spPr>
                              <a:xfrm>
                                <a:off x="0" y="0"/>
                                <a:ext cx="2277110" cy="358140"/>
                              </a:xfrm>
                              <a:prstGeom prst="straightConnector1">
                                <a:avLst/>
                              </a:prstGeom>
                              <a:ln w="9525" cap="flat" cmpd="sng">
                                <a:solidFill>
                                  <a:srgbClr val="000000"/>
                                </a:solidFill>
                                <a:prstDash val="solid"/>
                                <a:headEnd type="none" w="med" len="med"/>
                                <a:tailEnd type="none" w="med" len="med"/>
                              </a:ln>
                            </wps:spPr>
                            <wps:bodyPr wrap="square" upright="0"/>
                          </wps:wsp>
                        </a:graphicData>
                      </a:graphic>
                    </wp:anchor>
                  </w:drawing>
                </mc:Choice>
                <mc:Fallback>
                  <w:pict>
                    <v:shape id="自选图形 2" o:spid="_x0000_s1026" o:spt="32" type="#_x0000_t32" style="position:absolute;left:0pt;margin-left:1.25pt;margin-top:-0.3pt;height:28.2pt;width:179.3pt;z-index:251658240;mso-width-relative:page;mso-height-relative:page;" filled="f" stroked="t" coordsize="21600,21600" o:gfxdata="UEsDBAoAAAAAAIdO4kAAAAAAAAAAAAAAAAAEAAAAZHJzL1BLAwQUAAAACACHTuJAkOXCZNUAAAAG&#10;AQAADwAAAGRycy9kb3ducmV2LnhtbE2OwU7DMBBE70j8g7VIXFBrOyhRCdlUCIkDR9pKXN14SQLx&#10;OoqdpvTrMSc4jmb05lXbsxvEiabQe0bQawWCuPG25xbhsH9ZbUCEaNiawTMhfFOAbX19VZnS+oXf&#10;6LSLrUgQDqVB6GIcSylD05EzYe1H4tR9+MmZmOLUSjuZJcHdIDOlCulMz+mhMyM9d9R87WaHQGHO&#10;tXp6cO3h9bLcvWeXz2XcI97eaPUIItI5/o3hVz+pQ52cjn5mG8SAkOVpiLAqQKT2vtAaxBEhzzcg&#10;60r+169/AFBLAwQUAAAACACHTuJALCtZYfABAAC0AwAADgAAAGRycy9lMm9Eb2MueG1srVPNjtMw&#10;EL4j8Q6W7zRNoOwSNd1Dy3JBUAl4gGnsJJb8x9ht2hs3xDNw48g7LG+zErwFY7d0+bkgRA7O2J75&#10;Zr5vxvOrvdFsJzEoZxteTqacSds6oWzf8Devrx9cchYiWAHaWdnwgwz8anH/3nz0tazc4LSQyAjE&#10;hnr0DR9i9HVRhHaQBsLEeWnpsnNoINIW+0IgjIRudFFNp4+L0aHw6FoZAp2ujpd8kfG7TrbxZdcF&#10;GZluONUW84p53aS1WMyh7hH8oNpTGfAPVRhQlpKeoVYQgW1R/QFlVIsuuC5OWmcK13WqlZkDsSmn&#10;v7F5NYCXmQuJE/xZpvD/YNsXuzUyJah3nFkw1KKv7z9/e/fh9uOX25tPrEoKjT7U5Li0azztgl9j&#10;orvv0KQ/EWH7rOrhrKrcR9bSYVVdXJQlid/S3cPZZfkoy17cRXsM8Zl0hiWj4SEiqH6IS2ctNdBh&#10;maWF3fMQKT8F/ghIqbVlY8OfzKoZZQAaoU5DJNN4IhVsn2OD00pcK61TRMB+s9TIdpCGIn+JJeH+&#10;4paSrCAMR798dRyXQYJ4agWLB09yWZprnkowUnCmJT2DZBEg1BGU/htPSq0tVZCEPkqbrI0TB2rO&#10;SNNJTN5uASnR1mPS5qRyjqDRyNWfxjjN3s/7jHv32B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DlwmTVAAAABgEAAA8AAAAAAAAAAQAgAAAAIgAAAGRycy9kb3ducmV2LnhtbFBLAQIUABQAAAAI&#10;AIdO4kAsK1lh8AEAALQDAAAOAAAAAAAAAAEAIAAAACQBAABkcnMvZTJvRG9jLnhtbFBLBQYAAAAA&#10;BgAGAFkBAACGBQAAAAA=&#10;">
                      <v:fill on="f" focussize="0,0"/>
                      <v:stroke color="#000000" joinstyle="round"/>
                      <v:imagedata o:title=""/>
                      <o:lock v:ext="edit" aspectratio="f"/>
                    </v:shape>
                  </w:pict>
                </mc:Fallback>
              </mc:AlternateContent>
            </w:r>
            <w:r>
              <w:rPr>
                <w:rFonts w:hint="eastAsia" w:ascii="宋体" w:hAnsi="宋体" w:cs="宋体"/>
                <w:bCs/>
                <w:color w:val="auto"/>
                <w:szCs w:val="21"/>
                <w:highlight w:val="none"/>
              </w:rPr>
              <w:t xml:space="preserve">     项目类型</w:t>
            </w:r>
          </w:p>
          <w:p>
            <w:pPr>
              <w:adjustRightInd w:val="0"/>
              <w:snapToGrid w:val="0"/>
              <w:spacing w:after="0" w:afterLines="0" w:line="240" w:lineRule="atLeast"/>
              <w:rPr>
                <w:rFonts w:ascii="宋体" w:hAnsi="宋体" w:cs="宋体"/>
                <w:bCs/>
                <w:color w:val="auto"/>
                <w:szCs w:val="21"/>
                <w:highlight w:val="none"/>
              </w:rPr>
            </w:pPr>
            <w:r>
              <w:rPr>
                <w:rFonts w:hint="eastAsia" w:ascii="宋体" w:hAnsi="宋体" w:cs="宋体"/>
                <w:bCs/>
                <w:color w:val="auto"/>
                <w:szCs w:val="21"/>
                <w:highlight w:val="none"/>
              </w:rPr>
              <w:t>中标金额（万元）</w:t>
            </w:r>
          </w:p>
        </w:tc>
        <w:tc>
          <w:tcPr>
            <w:tcW w:w="313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after="0" w:afterLines="0" w:line="240" w:lineRule="atLeast"/>
              <w:jc w:val="center"/>
              <w:rPr>
                <w:rFonts w:ascii="宋体" w:hAnsi="宋体" w:cs="宋体"/>
                <w:bCs/>
                <w:color w:val="auto"/>
                <w:szCs w:val="21"/>
                <w:highlight w:val="none"/>
              </w:rPr>
            </w:pPr>
            <w:r>
              <w:rPr>
                <w:rFonts w:hint="eastAsia" w:ascii="宋体" w:hAnsi="宋体" w:cs="宋体"/>
                <w:bCs/>
                <w:color w:val="auto"/>
                <w:szCs w:val="21"/>
                <w:highlight w:val="none"/>
              </w:rPr>
              <w:t>货物招标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0" w:hRule="atLeast"/>
          <w:tblCellSpacing w:w="0" w:type="dxa"/>
          <w:jc w:val="center"/>
        </w:trPr>
        <w:tc>
          <w:tcPr>
            <w:tcW w:w="364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after="0" w:afterLines="0" w:line="240" w:lineRule="atLeast"/>
              <w:jc w:val="center"/>
              <w:rPr>
                <w:rFonts w:ascii="宋体" w:hAnsi="宋体" w:cs="宋体"/>
                <w:bCs/>
                <w:color w:val="auto"/>
                <w:szCs w:val="21"/>
                <w:highlight w:val="none"/>
              </w:rPr>
            </w:pPr>
            <w:r>
              <w:rPr>
                <w:rFonts w:hint="eastAsia" w:ascii="宋体" w:hAnsi="宋体" w:cs="宋体"/>
                <w:bCs/>
                <w:color w:val="auto"/>
                <w:szCs w:val="21"/>
                <w:highlight w:val="none"/>
              </w:rPr>
              <w:t>100以下</w:t>
            </w:r>
          </w:p>
        </w:tc>
        <w:tc>
          <w:tcPr>
            <w:tcW w:w="313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after="0" w:afterLines="0" w:line="240" w:lineRule="atLeast"/>
              <w:jc w:val="center"/>
              <w:rPr>
                <w:rFonts w:ascii="宋体" w:hAnsi="宋体" w:cs="宋体"/>
                <w:bCs/>
                <w:color w:val="auto"/>
                <w:szCs w:val="21"/>
                <w:highlight w:val="none"/>
              </w:rPr>
            </w:pPr>
            <w:r>
              <w:rPr>
                <w:rFonts w:hint="eastAsia" w:ascii="宋体" w:hAnsi="宋体" w:cs="宋体"/>
                <w:bCs/>
                <w:color w:val="auto"/>
                <w:szCs w:val="18"/>
                <w:highlight w:val="none"/>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0" w:hRule="atLeast"/>
          <w:tblCellSpacing w:w="0" w:type="dxa"/>
          <w:jc w:val="center"/>
        </w:trPr>
        <w:tc>
          <w:tcPr>
            <w:tcW w:w="364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after="0" w:afterLines="0" w:line="240" w:lineRule="atLeast"/>
              <w:jc w:val="center"/>
              <w:rPr>
                <w:rFonts w:ascii="宋体" w:hAnsi="宋体" w:cs="宋体"/>
                <w:bCs/>
                <w:color w:val="auto"/>
                <w:szCs w:val="18"/>
                <w:highlight w:val="none"/>
              </w:rPr>
            </w:pPr>
            <w:r>
              <w:rPr>
                <w:rFonts w:hint="eastAsia" w:ascii="宋体" w:hAnsi="宋体" w:cs="宋体"/>
                <w:bCs/>
                <w:color w:val="auto"/>
                <w:szCs w:val="18"/>
                <w:highlight w:val="none"/>
              </w:rPr>
              <w:t>100-500</w:t>
            </w:r>
          </w:p>
        </w:tc>
        <w:tc>
          <w:tcPr>
            <w:tcW w:w="313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after="0" w:afterLines="0" w:line="240" w:lineRule="atLeast"/>
              <w:jc w:val="center"/>
              <w:rPr>
                <w:rFonts w:ascii="宋体" w:hAnsi="宋体" w:cs="宋体"/>
                <w:bCs/>
                <w:color w:val="auto"/>
                <w:szCs w:val="18"/>
                <w:highlight w:val="none"/>
              </w:rPr>
            </w:pPr>
            <w:r>
              <w:rPr>
                <w:rFonts w:hint="eastAsia" w:ascii="宋体" w:hAnsi="宋体" w:cs="宋体"/>
                <w:bCs/>
                <w:color w:val="auto"/>
                <w:szCs w:val="18"/>
                <w:highlight w:val="none"/>
              </w:rPr>
              <w:t>1.1％</w:t>
            </w:r>
          </w:p>
        </w:tc>
      </w:tr>
    </w:tbl>
    <w:p>
      <w:pPr>
        <w:pStyle w:val="176"/>
        <w:spacing w:line="360" w:lineRule="auto"/>
        <w:jc w:val="center"/>
        <w:outlineLvl w:val="0"/>
        <w:rPr>
          <w:rFonts w:hint="default" w:hAnsi="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176"/>
        <w:spacing w:line="360" w:lineRule="auto"/>
        <w:jc w:val="center"/>
        <w:outlineLvl w:val="0"/>
        <w:rPr>
          <w:rFonts w:hint="default" w:hAnsi="宋体" w:cs="宋体"/>
          <w:b/>
          <w:color w:val="auto"/>
          <w:sz w:val="36"/>
          <w:szCs w:val="36"/>
          <w:highlight w:val="none"/>
        </w:rPr>
      </w:pPr>
      <w:bookmarkStart w:id="182" w:name="_Toc229142822"/>
      <w:r>
        <w:rPr>
          <w:rFonts w:hAnsi="宋体" w:cs="宋体"/>
          <w:b/>
          <w:color w:val="auto"/>
          <w:sz w:val="36"/>
          <w:szCs w:val="36"/>
          <w:highlight w:val="none"/>
        </w:rPr>
        <w:t xml:space="preserve">第三章   </w:t>
      </w:r>
      <w:bookmarkEnd w:id="169"/>
      <w:bookmarkEnd w:id="170"/>
      <w:bookmarkEnd w:id="171"/>
      <w:bookmarkEnd w:id="172"/>
      <w:bookmarkEnd w:id="173"/>
      <w:bookmarkEnd w:id="174"/>
      <w:bookmarkEnd w:id="175"/>
      <w:bookmarkEnd w:id="176"/>
      <w:bookmarkEnd w:id="177"/>
      <w:bookmarkEnd w:id="178"/>
      <w:bookmarkEnd w:id="179"/>
      <w:bookmarkEnd w:id="180"/>
      <w:bookmarkEnd w:id="181"/>
      <w:r>
        <w:rPr>
          <w:rFonts w:hAnsi="宋体" w:cs="宋体"/>
          <w:b/>
          <w:color w:val="auto"/>
          <w:sz w:val="36"/>
          <w:szCs w:val="36"/>
          <w:highlight w:val="none"/>
        </w:rPr>
        <w:t>资格审查</w:t>
      </w:r>
      <w:bookmarkEnd w:id="182"/>
      <w:bookmarkStart w:id="183" w:name="_Toc487900382"/>
    </w:p>
    <w:p>
      <w:pPr>
        <w:tabs>
          <w:tab w:val="left" w:pos="360"/>
          <w:tab w:val="left" w:pos="900"/>
        </w:tabs>
        <w:snapToGrid w:val="0"/>
        <w:spacing w:line="360" w:lineRule="auto"/>
        <w:jc w:val="center"/>
        <w:outlineLvl w:val="1"/>
        <w:rPr>
          <w:rFonts w:ascii="宋体" w:hAnsi="宋体" w:cs="宋体"/>
          <w:b/>
          <w:color w:val="auto"/>
          <w:sz w:val="24"/>
          <w:highlight w:val="none"/>
        </w:rPr>
      </w:pPr>
      <w:bookmarkStart w:id="184" w:name="_Toc99301422"/>
      <w:r>
        <w:rPr>
          <w:rFonts w:hint="eastAsia" w:ascii="宋体" w:hAnsi="宋体" w:cs="宋体"/>
          <w:b/>
          <w:color w:val="auto"/>
          <w:sz w:val="24"/>
          <w:highlight w:val="none"/>
        </w:rPr>
        <w:t>一、资格审查程序</w:t>
      </w:r>
      <w:bookmarkEnd w:id="184"/>
    </w:p>
    <w:p>
      <w:pPr>
        <w:numPr>
          <w:ilvl w:val="0"/>
          <w:numId w:val="16"/>
          <w:numberingChange w:id="139" w:author="Smita" w:date="2026-05-12T07:45:00Z" w:original="%1:1:0:"/>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rFonts w:hint="eastAsia" w:ascii="宋体" w:hAnsi="宋体" w:cs="宋体"/>
          <w:color w:val="auto"/>
          <w:sz w:val="24"/>
          <w:highlight w:val="none"/>
        </w:rPr>
        <w:t>开标结束后，采购人或采购代理机构将根据《资格审查要求》中的规定，对投标人进行资格审查，并形成资格审查结果。</w:t>
      </w:r>
    </w:p>
    <w:p>
      <w:pPr>
        <w:numPr>
          <w:ilvl w:val="0"/>
          <w:numId w:val="16"/>
          <w:numberingChange w:id="140" w:author="Smita" w:date="2026-05-12T07:45:00Z" w:original="%1:2:0:"/>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rFonts w:hint="eastAsia" w:ascii="宋体" w:hAnsi="宋体" w:cs="宋体"/>
          <w:color w:val="auto"/>
          <w:sz w:val="24"/>
          <w:highlight w:val="none"/>
        </w:rPr>
        <w:t>《资格审查要求》中对格式有要求的，除招标文件另有规定外，均为“实质性格式”文件。</w:t>
      </w:r>
    </w:p>
    <w:p>
      <w:pPr>
        <w:numPr>
          <w:ilvl w:val="0"/>
          <w:numId w:val="16"/>
          <w:numberingChange w:id="141" w:author="Smita" w:date="2026-05-12T07:45:00Z" w:original="%1:3:0:"/>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rFonts w:hint="eastAsia" w:ascii="宋体" w:hAnsi="宋体" w:cs="宋体"/>
          <w:color w:val="auto"/>
          <w:sz w:val="24"/>
          <w:highlight w:val="none"/>
        </w:rPr>
        <w:t>投标人《资格证明文件》有任何一项不符合《资格审查要求》的，资格审查不合格，其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numPr>
          <w:ilvl w:val="0"/>
          <w:numId w:val="16"/>
          <w:numberingChange w:id="142" w:author="Smita" w:date="2026-05-12T07:45:00Z" w:original="%1:4:0:"/>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rFonts w:hint="eastAsia" w:ascii="宋体" w:hAnsi="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二、资格审查要求</w:t>
      </w:r>
    </w:p>
    <w:tbl>
      <w:tblPr>
        <w:tblStyle w:val="29"/>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268"/>
        <w:gridCol w:w="4677"/>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noWrap w:val="0"/>
            <w:vAlign w:val="center"/>
          </w:tcPr>
          <w:p>
            <w:pPr>
              <w:tabs>
                <w:tab w:val="left" w:pos="1080"/>
              </w:tabs>
              <w:snapToGrid w:val="0"/>
              <w:spacing w:after="0" w:afterLines="0" w:line="240" w:lineRule="auto"/>
              <w:jc w:val="center"/>
              <w:rPr>
                <w:rFonts w:ascii="宋体" w:hAnsi="宋体" w:cs="宋体"/>
                <w:b/>
                <w:color w:val="auto"/>
                <w:sz w:val="24"/>
                <w:highlight w:val="none"/>
              </w:rPr>
            </w:pPr>
            <w:bookmarkStart w:id="185" w:name="_Hlt487972895"/>
            <w:bookmarkEnd w:id="185"/>
            <w:r>
              <w:rPr>
                <w:rFonts w:hint="eastAsia" w:ascii="宋体" w:hAnsi="宋体" w:cs="宋体"/>
                <w:b/>
                <w:color w:val="auto"/>
                <w:sz w:val="24"/>
                <w:highlight w:val="none"/>
              </w:rPr>
              <w:t>序号</w:t>
            </w:r>
          </w:p>
        </w:tc>
        <w:tc>
          <w:tcPr>
            <w:tcW w:w="2268" w:type="dxa"/>
            <w:noWrap w:val="0"/>
            <w:vAlign w:val="center"/>
          </w:tcPr>
          <w:p>
            <w:pPr>
              <w:tabs>
                <w:tab w:val="left" w:pos="1080"/>
              </w:tabs>
              <w:snapToGrid w:val="0"/>
              <w:spacing w:after="0" w:afterLines="0" w:line="240" w:lineRule="auto"/>
              <w:jc w:val="center"/>
              <w:rPr>
                <w:rFonts w:ascii="宋体" w:hAnsi="宋体" w:cs="宋体"/>
                <w:b/>
                <w:color w:val="auto"/>
                <w:sz w:val="24"/>
                <w:highlight w:val="none"/>
              </w:rPr>
            </w:pPr>
            <w:r>
              <w:rPr>
                <w:rFonts w:hint="eastAsia" w:ascii="宋体" w:hAnsi="宋体" w:cs="宋体"/>
                <w:b/>
                <w:color w:val="auto"/>
                <w:sz w:val="24"/>
                <w:highlight w:val="none"/>
              </w:rPr>
              <w:t>审查因素</w:t>
            </w:r>
          </w:p>
        </w:tc>
        <w:tc>
          <w:tcPr>
            <w:tcW w:w="4677" w:type="dxa"/>
            <w:noWrap w:val="0"/>
            <w:vAlign w:val="center"/>
          </w:tcPr>
          <w:p>
            <w:pPr>
              <w:tabs>
                <w:tab w:val="left" w:pos="1080"/>
              </w:tabs>
              <w:snapToGrid w:val="0"/>
              <w:spacing w:after="0" w:afterLines="0" w:line="240" w:lineRule="auto"/>
              <w:jc w:val="center"/>
              <w:rPr>
                <w:rFonts w:ascii="宋体" w:hAnsi="宋体" w:cs="宋体"/>
                <w:b/>
                <w:color w:val="auto"/>
                <w:sz w:val="24"/>
                <w:highlight w:val="none"/>
              </w:rPr>
            </w:pPr>
            <w:r>
              <w:rPr>
                <w:rFonts w:hint="eastAsia" w:ascii="宋体" w:hAnsi="宋体" w:cs="宋体"/>
                <w:b/>
                <w:color w:val="auto"/>
                <w:sz w:val="24"/>
                <w:highlight w:val="none"/>
              </w:rPr>
              <w:t>审查内容</w:t>
            </w:r>
          </w:p>
        </w:tc>
        <w:tc>
          <w:tcPr>
            <w:tcW w:w="1578" w:type="dxa"/>
            <w:noWrap w:val="0"/>
            <w:vAlign w:val="center"/>
          </w:tcPr>
          <w:p>
            <w:pPr>
              <w:tabs>
                <w:tab w:val="left" w:pos="1080"/>
              </w:tabs>
              <w:snapToGrid w:val="0"/>
              <w:spacing w:after="0" w:afterLines="0" w:line="240" w:lineRule="auto"/>
              <w:jc w:val="center"/>
              <w:rPr>
                <w:rFonts w:ascii="宋体" w:hAnsi="宋体" w:cs="宋体"/>
                <w:b/>
                <w:color w:val="auto"/>
                <w:sz w:val="24"/>
                <w:highlight w:val="none"/>
              </w:rPr>
            </w:pPr>
            <w:r>
              <w:rPr>
                <w:rFonts w:hint="eastAsia" w:ascii="宋体" w:hAnsi="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noWrap w:val="0"/>
            <w:vAlign w:val="center"/>
          </w:tcPr>
          <w:p>
            <w:pPr>
              <w:tabs>
                <w:tab w:val="left" w:pos="1080"/>
              </w:tabs>
              <w:snapToGrid w:val="0"/>
              <w:spacing w:after="0" w:afterLines="0"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8"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满足《中华人民共和国政府采购法》第二十二条规定及法律法规的其他规定</w:t>
            </w:r>
          </w:p>
        </w:tc>
        <w:tc>
          <w:tcPr>
            <w:tcW w:w="4677"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具体规定见第一章《投标邀请》</w:t>
            </w:r>
          </w:p>
        </w:tc>
        <w:tc>
          <w:tcPr>
            <w:tcW w:w="1578" w:type="dxa"/>
            <w:noWrap w:val="0"/>
            <w:vAlign w:val="center"/>
          </w:tcPr>
          <w:p>
            <w:pPr>
              <w:tabs>
                <w:tab w:val="left" w:pos="1080"/>
              </w:tabs>
              <w:snapToGrid w:val="0"/>
              <w:spacing w:after="0" w:afterLines="0" w:line="240" w:lineRule="auto"/>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noWrap w:val="0"/>
            <w:vAlign w:val="center"/>
          </w:tcPr>
          <w:p>
            <w:pPr>
              <w:tabs>
                <w:tab w:val="left" w:pos="1080"/>
              </w:tabs>
              <w:snapToGrid w:val="0"/>
              <w:spacing w:after="0" w:afterLines="0" w:line="24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268"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营业执照等证明文件</w:t>
            </w:r>
          </w:p>
        </w:tc>
        <w:tc>
          <w:tcPr>
            <w:tcW w:w="4677" w:type="dxa"/>
            <w:noWrap w:val="0"/>
            <w:vAlign w:val="center"/>
          </w:tcPr>
          <w:p>
            <w:pPr>
              <w:tabs>
                <w:tab w:val="left" w:pos="1080"/>
              </w:tabs>
              <w:snapToGrid w:val="0"/>
              <w:spacing w:after="0" w:afterLines="0" w:line="240" w:lineRule="auto"/>
              <w:rPr>
                <w:rFonts w:ascii="宋体" w:hAnsi="宋体" w:cs="宋体"/>
                <w:color w:val="auto"/>
                <w:sz w:val="24"/>
                <w:highlight w:val="none"/>
              </w:rPr>
            </w:pPr>
            <w:bookmarkStart w:id="186" w:name="OLE_LINK12"/>
            <w:r>
              <w:rPr>
                <w:rFonts w:hint="eastAsia" w:ascii="宋体" w:hAnsi="宋体" w:cs="宋体"/>
                <w:color w:val="auto"/>
                <w:sz w:val="24"/>
                <w:highlight w:val="none"/>
              </w:rPr>
              <w:t>投标人为企业（包括合伙企业）的，应提供有效的“营业执照”；</w:t>
            </w:r>
          </w:p>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投标人为事业单位的，应提供有效的“事业单位法人证书”；</w:t>
            </w:r>
          </w:p>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投标人是非企业机构的，应提供有效的“执业许可证”、“登记证书”等证明文件；</w:t>
            </w:r>
          </w:p>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投标人是个体工商户的，应提供有效的“个体工商户营业执照”；</w:t>
            </w:r>
          </w:p>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投标人是自然人的，应提供有效的自然人身份证明。</w:t>
            </w:r>
          </w:p>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6"/>
          </w:p>
        </w:tc>
        <w:tc>
          <w:tcPr>
            <w:tcW w:w="1578"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noWrap w:val="0"/>
            <w:vAlign w:val="center"/>
          </w:tcPr>
          <w:p>
            <w:pPr>
              <w:tabs>
                <w:tab w:val="left" w:pos="1080"/>
              </w:tabs>
              <w:snapToGrid w:val="0"/>
              <w:spacing w:after="0" w:afterLines="0" w:line="24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268"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投标人资格声明书</w:t>
            </w:r>
          </w:p>
        </w:tc>
        <w:tc>
          <w:tcPr>
            <w:tcW w:w="4677" w:type="dxa"/>
            <w:noWrap w:val="0"/>
            <w:vAlign w:val="center"/>
          </w:tcPr>
          <w:p>
            <w:pPr>
              <w:tabs>
                <w:tab w:val="left" w:pos="1080"/>
              </w:tabs>
              <w:snapToGrid w:val="0"/>
              <w:spacing w:after="0" w:afterLines="0" w:line="240" w:lineRule="auto"/>
              <w:rPr>
                <w:rFonts w:ascii="宋体" w:hAnsi="宋体" w:cs="宋体"/>
                <w:color w:val="auto"/>
                <w:sz w:val="24"/>
                <w:highlight w:val="none"/>
              </w:rPr>
            </w:pPr>
            <w:bookmarkStart w:id="187" w:name="OLE_LINK11"/>
            <w:r>
              <w:rPr>
                <w:rFonts w:hint="eastAsia" w:ascii="宋体" w:hAnsi="宋体" w:cs="宋体"/>
                <w:color w:val="auto"/>
                <w:sz w:val="24"/>
                <w:highlight w:val="none"/>
              </w:rPr>
              <w:t>提供了符合招标文件要求的《投标人资格声明书》。</w:t>
            </w:r>
            <w:bookmarkEnd w:id="187"/>
          </w:p>
        </w:tc>
        <w:tc>
          <w:tcPr>
            <w:tcW w:w="1578"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noWrap w:val="0"/>
            <w:vAlign w:val="center"/>
          </w:tcPr>
          <w:p>
            <w:pPr>
              <w:tabs>
                <w:tab w:val="left" w:pos="1080"/>
              </w:tabs>
              <w:snapToGrid w:val="0"/>
              <w:spacing w:after="0" w:afterLines="0" w:line="24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268" w:type="dxa"/>
            <w:noWrap w:val="0"/>
            <w:vAlign w:val="center"/>
          </w:tcPr>
          <w:p>
            <w:pPr>
              <w:tabs>
                <w:tab w:val="left" w:pos="1080"/>
              </w:tabs>
              <w:snapToGrid w:val="0"/>
              <w:spacing w:after="0" w:afterLines="0" w:line="240" w:lineRule="auto"/>
              <w:rPr>
                <w:rFonts w:ascii="宋体" w:hAnsi="宋体" w:cs="宋体"/>
                <w:color w:val="auto"/>
                <w:sz w:val="24"/>
                <w:highlight w:val="none"/>
              </w:rPr>
            </w:pPr>
            <w:bookmarkStart w:id="188" w:name="OLE_LINK50"/>
            <w:r>
              <w:rPr>
                <w:rFonts w:hint="eastAsia" w:ascii="宋体" w:hAnsi="宋体" w:cs="宋体"/>
                <w:color w:val="auto"/>
                <w:sz w:val="24"/>
                <w:highlight w:val="none"/>
              </w:rPr>
              <w:t>投标人信用记录</w:t>
            </w:r>
            <w:bookmarkEnd w:id="188"/>
          </w:p>
        </w:tc>
        <w:tc>
          <w:tcPr>
            <w:tcW w:w="4677"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查询渠道：信用中国网站和中国政府采购网（</w:t>
            </w:r>
            <w:r>
              <w:rPr>
                <w:rFonts w:hint="eastAsia" w:ascii="宋体" w:hAnsi="宋体" w:cs="宋体"/>
                <w:color w:val="auto"/>
                <w:highlight w:val="none"/>
              </w:rPr>
              <w:t>www.creditchina.gov.cn</w:t>
            </w:r>
            <w:r>
              <w:rPr>
                <w:rFonts w:hint="eastAsia" w:ascii="宋体" w:hAnsi="宋体" w:cs="宋体"/>
                <w:color w:val="auto"/>
                <w:sz w:val="24"/>
                <w:highlight w:val="none"/>
              </w:rPr>
              <w:t>、</w:t>
            </w:r>
            <w:r>
              <w:rPr>
                <w:rFonts w:hint="eastAsia" w:ascii="宋体" w:hAnsi="宋体" w:cs="宋体"/>
                <w:color w:val="auto"/>
                <w:highlight w:val="none"/>
              </w:rPr>
              <w:t>www.ccgp.gov.cn</w:t>
            </w:r>
            <w:r>
              <w:rPr>
                <w:rFonts w:hint="eastAsia" w:ascii="宋体" w:hAnsi="宋体" w:cs="宋体"/>
                <w:color w:val="auto"/>
                <w:sz w:val="24"/>
                <w:highlight w:val="none"/>
              </w:rPr>
              <w:t>）；</w:t>
            </w:r>
          </w:p>
          <w:p>
            <w:pPr>
              <w:tabs>
                <w:tab w:val="left" w:pos="900"/>
                <w:tab w:val="left" w:pos="19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color w:val="auto"/>
                <w:sz w:val="24"/>
                <w:highlight w:val="none"/>
              </w:rPr>
              <w:t>投标无效</w:t>
            </w:r>
            <w:r>
              <w:rPr>
                <w:rFonts w:hint="eastAsia" w:ascii="宋体" w:hAnsi="宋体" w:cs="宋体"/>
                <w:color w:val="auto"/>
                <w:sz w:val="24"/>
                <w:highlight w:val="none"/>
              </w:rPr>
              <w:t>。联合体形式投标的，联合体成员存在不良信用记录，视同联合体存在不良信用记录。</w:t>
            </w:r>
          </w:p>
        </w:tc>
        <w:tc>
          <w:tcPr>
            <w:tcW w:w="1578"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ascii="宋体" w:hAnsi="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noWrap w:val="0"/>
            <w:vAlign w:val="center"/>
          </w:tcPr>
          <w:p>
            <w:pPr>
              <w:tabs>
                <w:tab w:val="left" w:pos="1080"/>
              </w:tabs>
              <w:snapToGrid w:val="0"/>
              <w:spacing w:after="0" w:afterLines="0"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8" w:type="dxa"/>
            <w:noWrap w:val="0"/>
            <w:vAlign w:val="center"/>
          </w:tcPr>
          <w:p>
            <w:pPr>
              <w:tabs>
                <w:tab w:val="left" w:pos="1080"/>
              </w:tabs>
              <w:snapToGrid w:val="0"/>
              <w:rPr>
                <w:color w:val="auto"/>
                <w:sz w:val="24"/>
                <w:highlight w:val="none"/>
              </w:rPr>
            </w:pPr>
            <w:r>
              <w:rPr>
                <w:rFonts w:hint="eastAsia"/>
                <w:color w:val="auto"/>
                <w:sz w:val="24"/>
                <w:highlight w:val="none"/>
              </w:rPr>
              <w:t>中小企业证明文件</w:t>
            </w:r>
          </w:p>
        </w:tc>
        <w:tc>
          <w:tcPr>
            <w:tcW w:w="4677" w:type="dxa"/>
            <w:noWrap w:val="0"/>
            <w:vAlign w:val="center"/>
          </w:tcPr>
          <w:p>
            <w:pPr>
              <w:tabs>
                <w:tab w:val="left" w:pos="1080"/>
              </w:tabs>
              <w:snapToGrid w:val="0"/>
              <w:spacing w:after="0" w:afterLines="0"/>
              <w:rPr>
                <w:rFonts w:hint="eastAsia"/>
                <w:color w:val="auto"/>
                <w:sz w:val="24"/>
                <w:highlight w:val="none"/>
              </w:rPr>
            </w:pPr>
            <w:r>
              <w:rPr>
                <w:rFonts w:hint="eastAsia"/>
                <w:color w:val="auto"/>
                <w:sz w:val="24"/>
                <w:highlight w:val="none"/>
              </w:rPr>
              <w:t>本项目涉及预留份额专门面向中、小、微企业采购，必须在《资格证明文件》中提供《中小企业声明函》或《残疾人福利性单位声明函》或由省级以上监狱管理局、戒毒管理局（含新疆生产建设兵团）出具的属于监狱企业的证明文件。</w:t>
            </w:r>
          </w:p>
        </w:tc>
        <w:tc>
          <w:tcPr>
            <w:tcW w:w="1578" w:type="dxa"/>
            <w:noWrap w:val="0"/>
            <w:vAlign w:val="center"/>
          </w:tcPr>
          <w:p>
            <w:pPr>
              <w:tabs>
                <w:tab w:val="left" w:pos="1080"/>
              </w:tabs>
              <w:snapToGrid w:val="0"/>
              <w:spacing w:after="0" w:afterLines="0" w:line="240" w:lineRule="auto"/>
              <w:rPr>
                <w:rFonts w:ascii="宋体" w:hAnsi="宋体" w:cs="宋体"/>
                <w:color w:val="auto"/>
                <w:sz w:val="24"/>
                <w:highlight w:val="none"/>
              </w:rPr>
            </w:pPr>
            <w:r>
              <w:rPr>
                <w:rFonts w:hint="eastAsia"/>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noWrap w:val="0"/>
            <w:vAlign w:val="center"/>
          </w:tcPr>
          <w:p>
            <w:pPr>
              <w:tabs>
                <w:tab w:val="left" w:pos="1080"/>
              </w:tabs>
              <w:snapToGrid w:val="0"/>
              <w:jc w:val="center"/>
              <w:rPr>
                <w:rFonts w:ascii="宋体" w:hAnsi="宋体" w:cs="宋体"/>
                <w:color w:val="auto"/>
                <w:sz w:val="24"/>
                <w:highlight w:val="none"/>
              </w:rPr>
            </w:pPr>
            <w:r>
              <w:rPr>
                <w:rFonts w:ascii="宋体" w:hAnsi="宋体" w:cs="宋体"/>
                <w:color w:val="auto"/>
                <w:sz w:val="24"/>
                <w:highlight w:val="none"/>
              </w:rPr>
              <w:t>3</w:t>
            </w:r>
          </w:p>
        </w:tc>
        <w:tc>
          <w:tcPr>
            <w:tcW w:w="2268" w:type="dxa"/>
            <w:noWrap w:val="0"/>
            <w:vAlign w:val="center"/>
          </w:tcPr>
          <w:p>
            <w:pPr>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获取招标文件</w:t>
            </w:r>
          </w:p>
        </w:tc>
        <w:tc>
          <w:tcPr>
            <w:tcW w:w="4677" w:type="dxa"/>
            <w:noWrap w:val="0"/>
            <w:vAlign w:val="center"/>
          </w:tcPr>
          <w:p>
            <w:pPr>
              <w:tabs>
                <w:tab w:val="left" w:pos="1080"/>
              </w:tabs>
              <w:snapToGrid w:val="0"/>
              <w:spacing w:after="0" w:afterLines="0" w:line="240" w:lineRule="atLeast"/>
              <w:rPr>
                <w:rFonts w:ascii="宋体" w:hAnsi="宋体" w:cs="宋体"/>
                <w:color w:val="auto"/>
                <w:kern w:val="0"/>
                <w:sz w:val="24"/>
                <w:highlight w:val="none"/>
              </w:rPr>
            </w:pPr>
            <w:r>
              <w:rPr>
                <w:rFonts w:hint="eastAsia" w:ascii="宋体" w:hAnsi="宋体" w:cs="宋体"/>
                <w:color w:val="auto"/>
                <w:kern w:val="0"/>
                <w:sz w:val="24"/>
                <w:highlight w:val="none"/>
              </w:rPr>
              <w:t>在规定期限内通过北京市政府采购电子交易平台获取所参与包的招标文件。</w:t>
            </w:r>
          </w:p>
          <w:p>
            <w:pPr>
              <w:tabs>
                <w:tab w:val="left" w:pos="1080"/>
              </w:tabs>
              <w:snapToGrid w:val="0"/>
              <w:spacing w:after="0" w:afterLines="0" w:line="240" w:lineRule="atLeast"/>
              <w:rPr>
                <w:rFonts w:ascii="宋体" w:hAnsi="宋体" w:cs="宋体"/>
                <w:color w:val="auto"/>
                <w:sz w:val="24"/>
                <w:highlight w:val="none"/>
              </w:rPr>
            </w:pPr>
            <w:r>
              <w:rPr>
                <w:rFonts w:hint="eastAsia" w:ascii="宋体" w:hAnsi="宋体" w:cs="宋体"/>
                <w:color w:val="auto"/>
                <w:kern w:val="0"/>
                <w:sz w:val="24"/>
                <w:highlight w:val="none"/>
              </w:rPr>
              <w:t>注：如本项目接受联合体，且供应商为联合体时，联合体中任一成员获取文件即视为满足要求。</w:t>
            </w:r>
          </w:p>
        </w:tc>
        <w:tc>
          <w:tcPr>
            <w:tcW w:w="1578" w:type="dxa"/>
            <w:noWrap w:val="0"/>
            <w:vAlign w:val="center"/>
          </w:tcPr>
          <w:p>
            <w:pPr>
              <w:tabs>
                <w:tab w:val="left" w:pos="1080"/>
              </w:tabs>
              <w:snapToGrid w:val="0"/>
              <w:spacing w:after="0" w:afterLines="0" w:line="240" w:lineRule="auto"/>
              <w:rPr>
                <w:rFonts w:ascii="宋体" w:hAnsi="宋体" w:cs="宋体"/>
                <w:color w:val="auto"/>
                <w:sz w:val="24"/>
                <w:highlight w:val="none"/>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183"/>
        </w:tc>
      </w:tr>
    </w:tbl>
    <w:p>
      <w:pPr>
        <w:widowControl/>
        <w:jc w:val="left"/>
        <w:rPr>
          <w:rFonts w:ascii="宋体" w:hAnsi="宋体" w:cs="宋体"/>
          <w:color w:val="auto"/>
          <w:sz w:val="24"/>
          <w:highlight w:val="none"/>
        </w:rPr>
      </w:pPr>
      <w:bookmarkStart w:id="189" w:name="_Toc226965858"/>
      <w:bookmarkStart w:id="190" w:name="_Toc353873940"/>
      <w:bookmarkStart w:id="191" w:name="_Toc127161490"/>
      <w:bookmarkStart w:id="192" w:name="_Toc353825550"/>
      <w:bookmarkStart w:id="193" w:name="_Toc127151779"/>
      <w:r>
        <w:rPr>
          <w:rFonts w:hint="eastAsia" w:ascii="宋体" w:hAnsi="宋体" w:cs="宋体"/>
          <w:color w:val="auto"/>
          <w:sz w:val="24"/>
          <w:highlight w:val="none"/>
        </w:rPr>
        <w:br w:type="page"/>
      </w:r>
    </w:p>
    <w:p>
      <w:pPr>
        <w:spacing w:line="360" w:lineRule="auto"/>
        <w:jc w:val="center"/>
        <w:outlineLvl w:val="0"/>
        <w:rPr>
          <w:rFonts w:ascii="宋体" w:hAnsi="宋体" w:cs="宋体"/>
          <w:b/>
          <w:color w:val="auto"/>
          <w:sz w:val="36"/>
          <w:szCs w:val="36"/>
          <w:highlight w:val="none"/>
        </w:rPr>
      </w:pPr>
      <w:bookmarkStart w:id="194" w:name="_Toc229142823"/>
      <w:r>
        <w:rPr>
          <w:rFonts w:hint="eastAsia" w:ascii="宋体" w:hAnsi="宋体" w:cs="宋体"/>
          <w:b/>
          <w:color w:val="auto"/>
          <w:sz w:val="36"/>
          <w:szCs w:val="36"/>
          <w:highlight w:val="none"/>
        </w:rPr>
        <w:t xml:space="preserve">第四章   </w:t>
      </w:r>
      <w:bookmarkEnd w:id="189"/>
      <w:bookmarkEnd w:id="190"/>
      <w:bookmarkEnd w:id="191"/>
      <w:bookmarkEnd w:id="192"/>
      <w:bookmarkEnd w:id="193"/>
      <w:bookmarkStart w:id="195" w:name="_Hlt164229061"/>
      <w:bookmarkEnd w:id="195"/>
      <w:r>
        <w:rPr>
          <w:rFonts w:hint="eastAsia"/>
          <w:b/>
          <w:color w:val="auto"/>
          <w:sz w:val="36"/>
          <w:szCs w:val="36"/>
          <w:highlight w:val="none"/>
        </w:rPr>
        <w:t>评标程序、评标方法和评标标准</w:t>
      </w:r>
      <w:bookmarkEnd w:id="194"/>
    </w:p>
    <w:p>
      <w:pPr>
        <w:tabs>
          <w:tab w:val="left" w:pos="360"/>
          <w:tab w:val="left" w:pos="900"/>
        </w:tabs>
        <w:snapToGrid w:val="0"/>
        <w:spacing w:line="360" w:lineRule="auto"/>
        <w:jc w:val="center"/>
        <w:outlineLvl w:val="1"/>
        <w:rPr>
          <w:rFonts w:ascii="宋体" w:hAnsi="宋体" w:cs="宋体"/>
          <w:b/>
          <w:color w:val="auto"/>
          <w:highlight w:val="none"/>
        </w:rPr>
      </w:pPr>
      <w:r>
        <w:rPr>
          <w:rFonts w:hint="eastAsia" w:ascii="宋体" w:hAnsi="宋体" w:cs="宋体"/>
          <w:b/>
          <w:color w:val="auto"/>
          <w:sz w:val="24"/>
          <w:highlight w:val="none"/>
        </w:rPr>
        <w:t>一、评标方法</w:t>
      </w:r>
    </w:p>
    <w:p>
      <w:pPr>
        <w:numPr>
          <w:ilvl w:val="0"/>
          <w:numId w:val="17"/>
          <w:numberingChange w:id="143" w:author="Smita" w:date="2026-05-12T07:45:00Z" w:original="%1:1:0:"/>
        </w:numPr>
        <w:tabs>
          <w:tab w:val="left" w:pos="360"/>
        </w:tabs>
        <w:snapToGrid w:val="0"/>
        <w:spacing w:line="360" w:lineRule="auto"/>
        <w:outlineLvl w:val="1"/>
        <w:rPr>
          <w:rFonts w:ascii="宋体" w:hAnsi="宋体" w:cs="宋体"/>
          <w:color w:val="auto"/>
          <w:sz w:val="24"/>
          <w:highlight w:val="none"/>
        </w:rPr>
      </w:pPr>
      <w:bookmarkStart w:id="196" w:name="_Toc305158809"/>
      <w:bookmarkStart w:id="197" w:name="_Toc151193711"/>
      <w:bookmarkStart w:id="198" w:name="_Toc305158883"/>
      <w:bookmarkStart w:id="199" w:name="_Toc142311043"/>
      <w:bookmarkStart w:id="200" w:name="_Toc151193639"/>
      <w:bookmarkStart w:id="201" w:name="_Toc164229382"/>
      <w:bookmarkStart w:id="202" w:name="_Toc150509292"/>
      <w:bookmarkStart w:id="203" w:name="_Toc195842906"/>
      <w:bookmarkStart w:id="204" w:name="_Toc150774641"/>
      <w:bookmarkStart w:id="205" w:name="_Toc226965731"/>
      <w:bookmarkStart w:id="206" w:name="_Toc226337237"/>
      <w:bookmarkStart w:id="207" w:name="_Toc151190168"/>
      <w:bookmarkStart w:id="208" w:name="_Toc127151541"/>
      <w:bookmarkStart w:id="209" w:name="_Toc151193929"/>
      <w:bookmarkStart w:id="210" w:name="_Toc150480779"/>
      <w:bookmarkStart w:id="211" w:name="_Toc149720834"/>
      <w:bookmarkStart w:id="212" w:name="_Toc164229236"/>
      <w:bookmarkStart w:id="213" w:name="_Toc226309785"/>
      <w:bookmarkStart w:id="214" w:name="_Toc265228379"/>
      <w:bookmarkStart w:id="215" w:name="_Toc151193855"/>
      <w:bookmarkStart w:id="216" w:name="_Toc150774746"/>
      <w:bookmarkStart w:id="217" w:name="_Toc164608655"/>
      <w:bookmarkStart w:id="218" w:name="_Toc164351635"/>
      <w:bookmarkStart w:id="219" w:name="_Toc151193783"/>
      <w:bookmarkStart w:id="220" w:name="_Toc164608810"/>
      <w:bookmarkStart w:id="221" w:name="_Toc127151742"/>
      <w:bookmarkStart w:id="222" w:name="_Toc127161455"/>
      <w:bookmarkStart w:id="223" w:name="_Toc264969231"/>
      <w:bookmarkStart w:id="224" w:name="_Toc226965814"/>
      <w:bookmarkStart w:id="225" w:name="_Toc353873941"/>
      <w:bookmarkStart w:id="226" w:name="_Toc353825551"/>
      <w:bookmarkStart w:id="227" w:name="_Toc264969245"/>
      <w:bookmarkStart w:id="228" w:name="_Toc353873665"/>
      <w:bookmarkStart w:id="229" w:name="_Toc150480793"/>
      <w:bookmarkStart w:id="230" w:name="_Toc127151555"/>
      <w:bookmarkStart w:id="231" w:name="_Toc305158823"/>
      <w:bookmarkStart w:id="232" w:name="_Toc305158897"/>
      <w:bookmarkStart w:id="233" w:name="_Toc226337251"/>
      <w:bookmarkStart w:id="234" w:name="_Toc265228393"/>
      <w:bookmarkStart w:id="235" w:name="_Toc142311057"/>
      <w:bookmarkStart w:id="236" w:name="_Toc353825545"/>
      <w:bookmarkStart w:id="237" w:name="_Toc150774760"/>
      <w:bookmarkStart w:id="238" w:name="_Toc353873935"/>
      <w:bookmarkStart w:id="239" w:name="_Toc195842920"/>
      <w:bookmarkStart w:id="240" w:name="_Toc226965828"/>
      <w:r>
        <w:rPr>
          <w:rFonts w:hint="eastAsia" w:ascii="宋体" w:hAnsi="宋体" w:cs="宋体"/>
          <w:color w:val="auto"/>
          <w:sz w:val="24"/>
          <w:highlight w:val="none"/>
        </w:rPr>
        <w:t>投标文件的符合性审查</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numPr>
          <w:ilvl w:val="1"/>
          <w:numId w:val="17"/>
          <w:numberingChange w:id="144" w:author="Smita" w:date="2026-05-12T07:45:00Z" w:original="%1:1:0:.%2:1: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评标委员会对资格审查合格的投标人的投标文件进行符合性审查，以确定其是否满足招标文件的实质性要求。</w:t>
      </w:r>
      <w:bookmarkStart w:id="241" w:name="_Toc520356167"/>
    </w:p>
    <w:p>
      <w:pPr>
        <w:numPr>
          <w:ilvl w:val="1"/>
          <w:numId w:val="17"/>
          <w:numberingChange w:id="145" w:author="Smita" w:date="2026-05-12T07:45:00Z" w:original="%1:1:0:.%2:2: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1"/>
      <w:r>
        <w:rPr>
          <w:rFonts w:hint="eastAsia" w:ascii="宋体" w:hAnsi="宋体" w:cs="宋体"/>
          <w:color w:val="auto"/>
          <w:sz w:val="24"/>
          <w:highlight w:val="none"/>
        </w:rPr>
        <w:t>要求的，</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ascii="宋体" w:hAnsi="宋体" w:cs="宋体"/>
          <w:b/>
          <w:color w:val="auto"/>
          <w:sz w:val="24"/>
          <w:highlight w:val="none"/>
        </w:rPr>
      </w:pPr>
      <w:r>
        <w:rPr>
          <w:rFonts w:hint="eastAsia" w:ascii="宋体" w:hAnsi="宋体" w:cs="宋体"/>
          <w:b/>
          <w:color w:val="auto"/>
          <w:sz w:val="24"/>
          <w:highlight w:val="none"/>
        </w:rPr>
        <w:t>符合性审查要求</w:t>
      </w:r>
    </w:p>
    <w:tbl>
      <w:tblPr>
        <w:tblStyle w:val="29"/>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noWrap w:val="0"/>
            <w:vAlign w:val="center"/>
          </w:tcPr>
          <w:p>
            <w:pPr>
              <w:widowControl/>
              <w:spacing w:after="0" w:afterLines="0"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746" w:type="dxa"/>
            <w:noWrap w:val="0"/>
            <w:vAlign w:val="center"/>
          </w:tcPr>
          <w:p>
            <w:pPr>
              <w:widowControl/>
              <w:spacing w:after="0" w:afterLines="0"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6475" w:type="dxa"/>
            <w:noWrap w:val="0"/>
            <w:vAlign w:val="center"/>
          </w:tcPr>
          <w:p>
            <w:pPr>
              <w:widowControl/>
              <w:spacing w:after="0" w:afterLines="0"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bookmarkStart w:id="242" w:name="_Hlk196842304"/>
            <w:r>
              <w:rPr>
                <w:rFonts w:hint="eastAsia" w:ascii="宋体" w:hAnsi="宋体" w:cs="宋体"/>
                <w:color w:val="auto"/>
                <w:kern w:val="0"/>
                <w:sz w:val="24"/>
                <w:highlight w:val="none"/>
              </w:rPr>
              <w:t>1</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按招标文件要求提供授权委托书；</w:t>
            </w:r>
          </w:p>
          <w:bookmarkEnd w:id="242"/>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bookmarkStart w:id="243" w:name="OLE_LINK13"/>
            <w:r>
              <w:rPr>
                <w:rFonts w:hint="eastAsia" w:ascii="宋体" w:hAnsi="宋体" w:cs="宋体"/>
                <w:color w:val="auto"/>
                <w:kern w:val="0"/>
                <w:sz w:val="24"/>
                <w:highlight w:val="none"/>
              </w:rPr>
              <w:t>投标完整性</w:t>
            </w:r>
            <w:bookmarkEnd w:id="243"/>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bookmarkStart w:id="244" w:name="_Hlk196842154"/>
            <w:r>
              <w:rPr>
                <w:rFonts w:hint="eastAsia" w:ascii="宋体" w:hAnsi="宋体" w:cs="宋体"/>
                <w:color w:val="auto"/>
                <w:kern w:val="0"/>
                <w:sz w:val="24"/>
                <w:highlight w:val="none"/>
              </w:rPr>
              <w:t>3</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投标报价</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bookmarkStart w:id="245" w:name="OLE_LINK28"/>
            <w:r>
              <w:rPr>
                <w:rFonts w:hint="eastAsia" w:ascii="宋体" w:hAnsi="宋体" w:cs="宋体"/>
                <w:color w:val="auto"/>
                <w:kern w:val="0"/>
                <w:sz w:val="24"/>
                <w:highlight w:val="none"/>
              </w:rPr>
              <w:t>投标报价未</w:t>
            </w:r>
            <w:r>
              <w:rPr>
                <w:rFonts w:hint="eastAsia" w:ascii="宋体" w:hAnsi="宋体" w:cs="宋体"/>
                <w:color w:val="auto"/>
                <w:sz w:val="24"/>
                <w:highlight w:val="none"/>
              </w:rPr>
              <w:t>超过招标文件中规定的项目/采购包预算金额或者项目/采购包最高限价</w:t>
            </w:r>
            <w:r>
              <w:rPr>
                <w:rFonts w:hint="eastAsia" w:ascii="宋体" w:hAnsi="宋体" w:cs="宋体"/>
                <w:color w:val="auto"/>
                <w:kern w:val="0"/>
                <w:sz w:val="24"/>
                <w:highlight w:val="none"/>
              </w:rPr>
              <w:t>；</w:t>
            </w:r>
            <w:bookmarkEnd w:id="245"/>
          </w:p>
          <w:bookmarkEnd w:id="244"/>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投标文件未</w:t>
            </w:r>
            <w:r>
              <w:rPr>
                <w:rFonts w:hint="eastAsia" w:ascii="宋体" w:hAnsi="宋体" w:cs="宋体"/>
                <w:color w:val="auto"/>
                <w:sz w:val="24"/>
                <w:highlight w:val="none"/>
              </w:rPr>
              <w:t>出现可选择性或可调整的报价（招标文件另有规定的除外）</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bookmarkStart w:id="246" w:name="_Hlk196842161"/>
            <w:r>
              <w:rPr>
                <w:rFonts w:hint="eastAsia" w:ascii="宋体" w:hAnsi="宋体" w:cs="宋体"/>
                <w:color w:val="auto"/>
                <w:kern w:val="0"/>
                <w:sz w:val="24"/>
                <w:highlight w:val="none"/>
              </w:rPr>
              <w:t>5</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投标文件中承诺的投标有效期满足招标文件中载明的投标有效期的；</w:t>
            </w:r>
          </w:p>
          <w:bookmarkEnd w:id="24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bookmarkStart w:id="247" w:name="_Hlk201755809"/>
            <w:r>
              <w:rPr>
                <w:rFonts w:hint="eastAsia" w:ascii="宋体" w:hAnsi="宋体" w:cs="宋体"/>
                <w:color w:val="auto"/>
                <w:kern w:val="0"/>
                <w:sz w:val="24"/>
                <w:highlight w:val="none"/>
              </w:rPr>
              <w:t>6</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bookmarkStart w:id="248" w:name="OLE_LINK55"/>
            <w:r>
              <w:rPr>
                <w:rFonts w:hint="eastAsia" w:ascii="宋体" w:hAnsi="宋体" w:cs="宋体"/>
                <w:color w:val="auto"/>
                <w:kern w:val="0"/>
                <w:sz w:val="24"/>
                <w:highlight w:val="none"/>
              </w:rPr>
              <w:t>标记为“实质性格式”的文件均按招标文件要求提供且签署、盖章的；</w:t>
            </w:r>
            <w:bookmarkEnd w:id="248"/>
          </w:p>
          <w:bookmarkEnd w:id="247"/>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bookmarkStart w:id="249" w:name="OLE_LINK24"/>
            <w:r>
              <w:rPr>
                <w:rFonts w:hint="eastAsia" w:ascii="宋体" w:hAnsi="宋体" w:cs="宋体"/>
                <w:color w:val="auto"/>
                <w:sz w:val="24"/>
                <w:highlight w:val="none"/>
              </w:rPr>
              <w:t>★号技术参数响应</w:t>
            </w:r>
            <w:bookmarkEnd w:id="249"/>
            <w:r>
              <w:rPr>
                <w:rFonts w:hint="eastAsia" w:ascii="宋体" w:hAnsi="宋体" w:cs="宋体"/>
                <w:color w:val="auto"/>
                <w:sz w:val="24"/>
                <w:highlight w:val="none"/>
              </w:rPr>
              <w:t xml:space="preserve"> </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746" w:type="dxa"/>
            <w:noWrap w:val="0"/>
            <w:vAlign w:val="center"/>
          </w:tcPr>
          <w:p>
            <w:pPr>
              <w:widowControl/>
              <w:spacing w:after="0" w:afterLines="0" w:line="240" w:lineRule="auto"/>
              <w:jc w:val="left"/>
              <w:rPr>
                <w:rFonts w:ascii="宋体" w:hAnsi="宋体" w:cs="宋体"/>
                <w:color w:val="auto"/>
                <w:sz w:val="24"/>
                <w:highlight w:val="none"/>
              </w:rPr>
            </w:pPr>
            <w:r>
              <w:rPr>
                <w:rFonts w:hint="eastAsia" w:ascii="宋体" w:hAnsi="宋体" w:cs="宋体"/>
                <w:color w:val="auto"/>
                <w:sz w:val="24"/>
                <w:highlight w:val="none"/>
              </w:rPr>
              <w:t>报价的修正（如有）</w:t>
            </w:r>
          </w:p>
        </w:tc>
        <w:tc>
          <w:tcPr>
            <w:tcW w:w="6475" w:type="dxa"/>
            <w:noWrap w:val="0"/>
            <w:vAlign w:val="center"/>
          </w:tcPr>
          <w:p>
            <w:pPr>
              <w:widowControl/>
              <w:spacing w:after="0" w:afterLines="0" w:line="240" w:lineRule="auto"/>
              <w:jc w:val="left"/>
              <w:rPr>
                <w:rFonts w:ascii="宋体" w:hAnsi="宋体" w:cs="宋体"/>
                <w:color w:val="auto"/>
                <w:sz w:val="24"/>
                <w:highlight w:val="none"/>
              </w:rPr>
            </w:pPr>
            <w:bookmarkStart w:id="250" w:name="OLE_LINK54"/>
            <w:r>
              <w:rPr>
                <w:rFonts w:hint="eastAsia" w:ascii="宋体" w:hAnsi="宋体" w:cs="宋体"/>
                <w:color w:val="auto"/>
                <w:sz w:val="24"/>
                <w:highlight w:val="none"/>
              </w:rPr>
              <w:t>不涉及报价修正，或投标文件报价出现前后不一致时，投标人对修正后的报价予以确认；（如有）</w:t>
            </w:r>
            <w:bookmarkEnd w:id="2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bookmarkStart w:id="251" w:name="_Hlk201755829"/>
            <w:r>
              <w:rPr>
                <w:rFonts w:hint="eastAsia" w:ascii="宋体" w:hAnsi="宋体" w:cs="宋体"/>
                <w:color w:val="auto"/>
                <w:kern w:val="0"/>
                <w:sz w:val="24"/>
                <w:highlight w:val="none"/>
              </w:rPr>
              <w:t>9</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bookmarkStart w:id="252" w:name="OLE_LINK18"/>
            <w:r>
              <w:rPr>
                <w:rFonts w:hint="eastAsia" w:ascii="宋体" w:hAnsi="宋体" w:cs="宋体"/>
                <w:color w:val="auto"/>
                <w:kern w:val="0"/>
                <w:sz w:val="24"/>
                <w:highlight w:val="none"/>
              </w:rPr>
              <w:t>进口产品</w:t>
            </w:r>
            <w:bookmarkEnd w:id="252"/>
            <w:r>
              <w:rPr>
                <w:rFonts w:hint="eastAsia" w:ascii="宋体" w:hAnsi="宋体" w:cs="宋体"/>
                <w:color w:val="auto"/>
                <w:sz w:val="24"/>
                <w:highlight w:val="none"/>
              </w:rPr>
              <w:t xml:space="preserve"> </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bookmarkStart w:id="253" w:name="OLE_LINK26"/>
            <w:r>
              <w:rPr>
                <w:rFonts w:hint="eastAsia" w:ascii="宋体" w:hAnsi="宋体" w:cs="宋体"/>
                <w:color w:val="auto"/>
                <w:kern w:val="0"/>
                <w:sz w:val="24"/>
                <w:highlight w:val="none"/>
              </w:rPr>
              <w:t>招标文件不接受进口产品投标的内容时，投标人所投产品不含进口产品；</w:t>
            </w:r>
            <w:bookmarkEnd w:id="253"/>
          </w:p>
          <w:bookmarkEnd w:id="251"/>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bookmarkStart w:id="254" w:name="OLE_LINK19"/>
            <w:r>
              <w:rPr>
                <w:rFonts w:hint="eastAsia" w:ascii="宋体" w:hAnsi="宋体" w:cs="宋体"/>
                <w:color w:val="auto"/>
                <w:kern w:val="0"/>
                <w:sz w:val="24"/>
                <w:highlight w:val="none"/>
              </w:rPr>
              <w:t>公平竞争</w:t>
            </w:r>
            <w:bookmarkEnd w:id="254"/>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bookmarkStart w:id="255" w:name="OLE_LINK25"/>
            <w:r>
              <w:rPr>
                <w:rFonts w:hint="eastAsia" w:ascii="宋体" w:hAnsi="宋体" w:cs="宋体"/>
                <w:color w:val="auto"/>
                <w:sz w:val="24"/>
                <w:highlight w:val="none"/>
              </w:rPr>
              <w:t>投标人遵循公平竞争的原则，不存在恶意串通，妨碍其他投标人的竞争行为，不存在损害采购人或者其他投标人的合法权益情形的；</w:t>
            </w:r>
            <w:bookmarkEnd w:id="2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dstrike/>
                <w:color w:val="auto"/>
                <w:kern w:val="0"/>
                <w:sz w:val="24"/>
                <w:highlight w:val="none"/>
              </w:rPr>
            </w:pPr>
            <w:bookmarkStart w:id="256" w:name="_Hlk196842191"/>
            <w:r>
              <w:rPr>
                <w:rFonts w:hint="eastAsia" w:ascii="宋体" w:hAnsi="宋体" w:cs="宋体"/>
                <w:color w:val="auto"/>
                <w:kern w:val="0"/>
                <w:sz w:val="24"/>
                <w:highlight w:val="none"/>
              </w:rPr>
              <w:t>11</w:t>
            </w:r>
          </w:p>
        </w:tc>
        <w:tc>
          <w:tcPr>
            <w:tcW w:w="1746" w:type="dxa"/>
            <w:noWrap w:val="0"/>
            <w:vAlign w:val="center"/>
          </w:tcPr>
          <w:p>
            <w:pPr>
              <w:widowControl/>
              <w:spacing w:after="0" w:afterLines="0" w:line="240" w:lineRule="auto"/>
              <w:jc w:val="left"/>
              <w:rPr>
                <w:rFonts w:ascii="宋体" w:hAnsi="宋体" w:cs="宋体"/>
                <w:dstrike/>
                <w:color w:val="auto"/>
                <w:kern w:val="0"/>
                <w:sz w:val="24"/>
                <w:highlight w:val="none"/>
              </w:rPr>
            </w:pPr>
            <w:r>
              <w:rPr>
                <w:rFonts w:hint="eastAsia" w:ascii="宋体" w:hAnsi="宋体" w:cs="宋体"/>
                <w:color w:val="auto"/>
                <w:kern w:val="0"/>
                <w:sz w:val="24"/>
                <w:highlight w:val="none"/>
              </w:rPr>
              <w:t>国家有关部门对投标人的投标产品有强制性规定或要求的</w:t>
            </w:r>
            <w:r>
              <w:rPr>
                <w:rFonts w:hint="eastAsia" w:ascii="宋体" w:hAnsi="宋体" w:cs="宋体"/>
                <w:color w:val="auto"/>
                <w:sz w:val="24"/>
                <w:highlight w:val="none"/>
              </w:rPr>
              <w:t>（如有）</w:t>
            </w:r>
          </w:p>
        </w:tc>
        <w:tc>
          <w:tcPr>
            <w:tcW w:w="6475" w:type="dxa"/>
            <w:noWrap w:val="0"/>
            <w:vAlign w:val="center"/>
          </w:tcPr>
          <w:p>
            <w:pPr>
              <w:widowControl/>
              <w:adjustRightInd w:val="0"/>
              <w:snapToGrid w:val="0"/>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afterLines="0" w:line="240" w:lineRule="auto"/>
              <w:jc w:val="left"/>
              <w:rPr>
                <w:rFonts w:ascii="宋体" w:hAnsi="宋体" w:cs="宋体"/>
                <w:dstrike/>
                <w:color w:val="auto"/>
                <w:sz w:val="24"/>
                <w:highlight w:val="none"/>
              </w:rPr>
            </w:pPr>
            <w:r>
              <w:rPr>
                <w:rFonts w:hint="eastAsia" w:ascii="宋体" w:hAnsi="宋体" w:cs="宋体"/>
                <w:color w:val="auto"/>
                <w:kern w:val="0"/>
                <w:sz w:val="24"/>
                <w:highlight w:val="none"/>
              </w:rPr>
              <w:t>3）项目中涉及涂料、胶黏剂、油墨、清洗剂等挥发性有机物产品，且属于强制性标准的，供应商应执行符合本市和国家的 VOCs 含量限制标准。</w:t>
            </w:r>
          </w:p>
          <w:bookmarkEnd w:id="25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bookmarkStart w:id="257" w:name="_Hlk196842245"/>
            <w:r>
              <w:rPr>
                <w:rFonts w:hint="eastAsia" w:ascii="宋体" w:hAnsi="宋体" w:cs="宋体"/>
                <w:color w:val="auto"/>
                <w:kern w:val="0"/>
                <w:sz w:val="24"/>
                <w:highlight w:val="none"/>
              </w:rPr>
              <w:t>12</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6475"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bookmarkEnd w:id="257"/>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bookmarkStart w:id="258" w:name="OLE_LINK22"/>
            <w:r>
              <w:rPr>
                <w:rFonts w:hint="eastAsia" w:ascii="宋体" w:hAnsi="宋体" w:cs="宋体"/>
                <w:color w:val="auto"/>
                <w:kern w:val="0"/>
                <w:sz w:val="24"/>
                <w:highlight w:val="none"/>
              </w:rPr>
              <w:t>附加条件</w:t>
            </w:r>
            <w:bookmarkEnd w:id="258"/>
          </w:p>
        </w:tc>
        <w:tc>
          <w:tcPr>
            <w:tcW w:w="6475" w:type="dxa"/>
            <w:noWrap w:val="0"/>
            <w:vAlign w:val="center"/>
          </w:tcPr>
          <w:p>
            <w:pPr>
              <w:widowControl/>
              <w:spacing w:after="0" w:afterLines="0" w:line="240" w:lineRule="auto"/>
              <w:jc w:val="left"/>
              <w:rPr>
                <w:rFonts w:ascii="宋体" w:hAnsi="宋体" w:cs="宋体"/>
                <w:color w:val="auto"/>
                <w:sz w:val="24"/>
                <w:highlight w:val="none"/>
              </w:rPr>
            </w:pPr>
            <w:r>
              <w:rPr>
                <w:rFonts w:hint="eastAsia" w:ascii="宋体" w:hAnsi="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noWrap w:val="0"/>
            <w:vAlign w:val="center"/>
          </w:tcPr>
          <w:p>
            <w:pPr>
              <w:widowControl/>
              <w:spacing w:after="0" w:afterLines="0" w:line="240" w:lineRule="auto"/>
              <w:jc w:val="center"/>
              <w:rPr>
                <w:rFonts w:ascii="宋体" w:hAnsi="宋体" w:cs="宋体"/>
                <w:color w:val="auto"/>
                <w:kern w:val="0"/>
                <w:sz w:val="24"/>
                <w:highlight w:val="none"/>
              </w:rPr>
            </w:pPr>
            <w:bookmarkStart w:id="259" w:name="_Hlk201755858"/>
            <w:r>
              <w:rPr>
                <w:rFonts w:hint="eastAsia" w:ascii="宋体" w:hAnsi="宋体" w:cs="宋体"/>
                <w:color w:val="auto"/>
                <w:kern w:val="0"/>
                <w:sz w:val="24"/>
                <w:highlight w:val="none"/>
              </w:rPr>
              <w:t>14</w:t>
            </w:r>
          </w:p>
        </w:tc>
        <w:tc>
          <w:tcPr>
            <w:tcW w:w="1746" w:type="dxa"/>
            <w:noWrap w:val="0"/>
            <w:vAlign w:val="center"/>
          </w:tcPr>
          <w:p>
            <w:pPr>
              <w:widowControl/>
              <w:spacing w:after="0" w:after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其他无效情形</w:t>
            </w:r>
          </w:p>
        </w:tc>
        <w:tc>
          <w:tcPr>
            <w:tcW w:w="6475" w:type="dxa"/>
            <w:noWrap w:val="0"/>
            <w:vAlign w:val="center"/>
          </w:tcPr>
          <w:p>
            <w:pPr>
              <w:widowControl/>
              <w:spacing w:after="0" w:afterLines="0" w:line="240" w:lineRule="auto"/>
              <w:jc w:val="left"/>
              <w:rPr>
                <w:rFonts w:ascii="宋体" w:hAnsi="宋体" w:cs="宋体"/>
                <w:color w:val="auto"/>
                <w:sz w:val="24"/>
                <w:highlight w:val="none"/>
              </w:rPr>
            </w:pPr>
            <w:r>
              <w:rPr>
                <w:rFonts w:hint="eastAsia" w:ascii="宋体" w:hAnsi="宋体" w:cs="宋体"/>
                <w:color w:val="auto"/>
                <w:sz w:val="24"/>
                <w:highlight w:val="none"/>
              </w:rPr>
              <w:t>投标人、投标文件不存在不符合法律、法规和招标文件规定的其他无效情形。</w:t>
            </w:r>
          </w:p>
          <w:bookmarkEnd w:id="259"/>
        </w:tc>
      </w:tr>
    </w:tbl>
    <w:p>
      <w:pPr>
        <w:numPr>
          <w:ilvl w:val="0"/>
          <w:numId w:val="17"/>
          <w:numberingChange w:id="146" w:author="Smita" w:date="2026-05-12T07:45:00Z" w:original="%1:2:0:"/>
        </w:numP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投标文件有关事项的澄清或者说明</w:t>
      </w:r>
    </w:p>
    <w:p>
      <w:pPr>
        <w:numPr>
          <w:ilvl w:val="1"/>
          <w:numId w:val="17"/>
          <w:numberingChange w:id="147" w:author="Smita" w:date="2026-05-12T07:45:00Z" w:original="%1:2:0:.%2:1: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7"/>
          <w:numberingChange w:id="148" w:author="Smita" w:date="2026-05-12T07:45:00Z" w:original="%1:2:0:.%2:2:0:"/>
        </w:numPr>
        <w:tabs>
          <w:tab w:val="left" w:pos="1080"/>
        </w:tabs>
        <w:snapToGrid w:val="0"/>
        <w:spacing w:line="360" w:lineRule="auto"/>
        <w:ind w:left="1077" w:hanging="720"/>
        <w:rPr>
          <w:rFonts w:ascii="宋体" w:hAnsi="宋体" w:cs="宋体"/>
          <w:color w:val="auto"/>
          <w:sz w:val="24"/>
          <w:highlight w:val="none"/>
        </w:rPr>
      </w:pPr>
      <w:bookmarkStart w:id="260" w:name="_Hlk220085436"/>
      <w:r>
        <w:rPr>
          <w:rFonts w:hint="eastAsia" w:ascii="宋体" w:hAnsi="宋体" w:cs="宋体"/>
          <w:color w:val="auto"/>
          <w:sz w:val="24"/>
          <w:highlight w:val="none"/>
        </w:rPr>
        <w:t>异常低价处理</w:t>
      </w:r>
    </w:p>
    <w:p>
      <w:pPr>
        <w:numPr>
          <w:ilvl w:val="2"/>
          <w:numId w:val="17"/>
          <w:numberingChange w:id="149" w:author="Smita" w:date="2026-05-12T07:45:00Z" w:original="%1:2:0:.%2:2:0:.%3:1:0:"/>
        </w:numPr>
        <w:tabs>
          <w:tab w:val="left" w:pos="1134"/>
          <w:tab w:val="left" w:pos="1276"/>
          <w:tab w:val="left" w:pos="1560"/>
          <w:tab w:val="left" w:pos="1701"/>
          <w:tab w:val="clear" w:pos="1980"/>
        </w:tabs>
        <w:snapToGrid w:val="0"/>
        <w:spacing w:line="360" w:lineRule="auto"/>
        <w:ind w:left="1843" w:hanging="709"/>
        <w:rPr>
          <w:rFonts w:ascii="宋体" w:hAnsi="宋体" w:cs="宋体"/>
          <w:color w:val="auto"/>
          <w:sz w:val="24"/>
          <w:highlight w:val="none"/>
        </w:rPr>
      </w:pPr>
      <w:r>
        <w:rPr>
          <w:rFonts w:hint="eastAsia" w:ascii="宋体" w:hAnsi="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rFonts w:ascii="宋体" w:hAnsi="宋体" w:cs="宋体"/>
          <w:color w:val="auto"/>
          <w:sz w:val="24"/>
          <w:highlight w:val="none"/>
        </w:rPr>
      </w:pPr>
      <w:r>
        <w:rPr>
          <w:rFonts w:hint="eastAsia" w:ascii="宋体" w:hAnsi="宋体" w:cs="宋体"/>
          <w:color w:val="auto"/>
          <w:sz w:val="24"/>
          <w:highlight w:val="none"/>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rFonts w:ascii="宋体" w:hAnsi="宋体" w:cs="宋体"/>
          <w:color w:val="auto"/>
          <w:sz w:val="24"/>
          <w:highlight w:val="none"/>
        </w:rPr>
      </w:pPr>
      <w:r>
        <w:rPr>
          <w:rFonts w:hint="eastAsia" w:ascii="宋体" w:hAnsi="宋体" w:cs="宋体"/>
          <w:color w:val="auto"/>
          <w:sz w:val="24"/>
          <w:highlight w:val="none"/>
        </w:rPr>
        <w:t>（3）投标（响应）报价低于采购项目最高限价45%的，即投标（响应）报价&lt;采购项目最高限价×45%；未设定最高限价的采购项目，以采购项目预算金额作为最高限价；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ascii="宋体" w:hAnsi="宋体" w:cs="宋体"/>
          <w:color w:val="auto"/>
          <w:sz w:val="24"/>
          <w:highlight w:val="none"/>
        </w:rPr>
      </w:pPr>
      <w:r>
        <w:rPr>
          <w:rFonts w:hint="eastAsia" w:ascii="宋体" w:hAnsi="宋体" w:cs="宋体"/>
          <w:color w:val="auto"/>
          <w:sz w:val="24"/>
          <w:highlight w:val="none"/>
        </w:rPr>
        <w:t>（4）评审委员会基于专业判断，认为供应商报价过低，有可能影响产品质量或者不能诚信履约的其他情形。</w:t>
      </w:r>
    </w:p>
    <w:p>
      <w:pPr>
        <w:numPr>
          <w:ilvl w:val="2"/>
          <w:numId w:val="17"/>
          <w:numberingChange w:id="150" w:author="Smita" w:date="2026-05-12T07:45:00Z" w:original="%1:2:0:.%2:2:0:.%3:2:0:"/>
        </w:numPr>
        <w:tabs>
          <w:tab w:val="left" w:pos="1134"/>
          <w:tab w:val="left" w:pos="1276"/>
          <w:tab w:val="left" w:pos="1560"/>
          <w:tab w:val="left" w:pos="1701"/>
          <w:tab w:val="clear" w:pos="1980"/>
        </w:tabs>
        <w:snapToGrid w:val="0"/>
        <w:spacing w:line="360" w:lineRule="auto"/>
        <w:ind w:left="1843" w:hanging="709"/>
        <w:rPr>
          <w:rFonts w:ascii="宋体" w:hAnsi="宋体" w:cs="宋体"/>
          <w:color w:val="auto"/>
          <w:sz w:val="24"/>
          <w:highlight w:val="none"/>
        </w:rPr>
      </w:pPr>
      <w:r>
        <w:rPr>
          <w:rFonts w:hint="eastAsia" w:ascii="宋体" w:hAnsi="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7"/>
          <w:numberingChange w:id="151" w:author="Smita" w:date="2026-05-12T07:45:00Z" w:original="%1:2:0:.%2:2:0:.%3:3:0:"/>
        </w:numPr>
        <w:tabs>
          <w:tab w:val="left" w:pos="1134"/>
          <w:tab w:val="left" w:pos="1276"/>
          <w:tab w:val="left" w:pos="1560"/>
          <w:tab w:val="left" w:pos="1701"/>
          <w:tab w:val="clear" w:pos="1980"/>
        </w:tabs>
        <w:snapToGrid w:val="0"/>
        <w:spacing w:line="360" w:lineRule="auto"/>
        <w:ind w:left="1843" w:hanging="709"/>
        <w:rPr>
          <w:rFonts w:ascii="宋体" w:hAnsi="宋体" w:cs="宋体"/>
          <w:color w:val="auto"/>
          <w:sz w:val="24"/>
          <w:highlight w:val="none"/>
        </w:rPr>
      </w:pPr>
      <w:r>
        <w:rPr>
          <w:rFonts w:hint="eastAsia" w:ascii="宋体" w:hAnsi="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cs="宋体"/>
          <w:b/>
          <w:bCs/>
          <w:color w:val="auto"/>
          <w:sz w:val="24"/>
          <w:highlight w:val="none"/>
        </w:rPr>
        <w:t>无效投标（响应）</w:t>
      </w:r>
      <w:r>
        <w:rPr>
          <w:rFonts w:hint="eastAsia" w:ascii="宋体" w:hAnsi="宋体" w:cs="宋体"/>
          <w:color w:val="auto"/>
          <w:sz w:val="24"/>
          <w:highlight w:val="none"/>
        </w:rPr>
        <w:t>处理。</w:t>
      </w:r>
    </w:p>
    <w:p>
      <w:pPr>
        <w:numPr>
          <w:ilvl w:val="2"/>
          <w:numId w:val="17"/>
          <w:numberingChange w:id="152" w:author="Smita" w:date="2026-05-12T07:45:00Z" w:original="%1:2:0:.%2:2:0:.%3:4:0:"/>
        </w:numPr>
        <w:tabs>
          <w:tab w:val="left" w:pos="1134"/>
          <w:tab w:val="left" w:pos="1276"/>
          <w:tab w:val="left" w:pos="1560"/>
          <w:tab w:val="left" w:pos="1701"/>
          <w:tab w:val="clear" w:pos="1980"/>
        </w:tabs>
        <w:snapToGrid w:val="0"/>
        <w:spacing w:line="360" w:lineRule="auto"/>
        <w:ind w:left="1843" w:hanging="709"/>
        <w:rPr>
          <w:rFonts w:ascii="宋体" w:hAnsi="宋体" w:cs="宋体"/>
          <w:color w:val="auto"/>
          <w:sz w:val="24"/>
          <w:highlight w:val="none"/>
        </w:rPr>
      </w:pPr>
      <w:bookmarkStart w:id="261" w:name="_Hlk190337965"/>
      <w:r>
        <w:rPr>
          <w:rFonts w:hint="eastAsia" w:ascii="宋体" w:hAnsi="宋体" w:cs="宋体"/>
          <w:color w:val="auto"/>
          <w:sz w:val="24"/>
          <w:highlight w:val="none"/>
        </w:rPr>
        <w:t xml:space="preserve"> 上述投标（响应）报价指按照本章2.4修正后的报价</w:t>
      </w:r>
      <w:bookmarkEnd w:id="261"/>
      <w:r>
        <w:rPr>
          <w:rFonts w:hint="eastAsia" w:ascii="宋体" w:hAnsi="宋体" w:cs="宋体"/>
          <w:color w:val="auto"/>
          <w:sz w:val="24"/>
          <w:highlight w:val="none"/>
        </w:rPr>
        <w:t>。</w:t>
      </w:r>
    </w:p>
    <w:bookmarkEnd w:id="260"/>
    <w:p>
      <w:pPr>
        <w:numPr>
          <w:ilvl w:val="1"/>
          <w:numId w:val="17"/>
          <w:numberingChange w:id="153" w:author="Smita" w:date="2026-05-12T07:45:00Z" w:original="%1:2:0:.%2:3: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numPr>
          <w:ilvl w:val="1"/>
          <w:numId w:val="17"/>
          <w:numberingChange w:id="154" w:author="Smita" w:date="2026-05-12T07:45:00Z" w:original="%1:2:0:.%2:4: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投标文件报价出现前后不一致的，按照下列规定修正：</w:t>
      </w:r>
    </w:p>
    <w:p>
      <w:pPr>
        <w:numPr>
          <w:ilvl w:val="2"/>
          <w:numId w:val="17"/>
          <w:numberingChange w:id="155" w:author="Smita" w:date="2026-05-12T07:45:00Z" w:original="%1:2:0:.%2:4:0:.%3:1:0:"/>
        </w:numP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cs="宋体"/>
          <w:color w:val="auto"/>
          <w:sz w:val="24"/>
          <w:highlight w:val="none"/>
          <w:u w:val="single"/>
        </w:rPr>
      </w:pPr>
      <w:r>
        <w:rPr>
          <w:rFonts w:hint="eastAsia" w:ascii="宋体" w:hAnsi="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■无，按下述2.4.2-2.4.7项规定修正。</w:t>
      </w:r>
    </w:p>
    <w:p>
      <w:pPr>
        <w:numPr>
          <w:ilvl w:val="2"/>
          <w:numId w:val="17"/>
          <w:numberingChange w:id="156" w:author="Smita" w:date="2026-05-12T07:45:00Z" w:original="%1:2:0:.%2:4:0:.%3:2:0:"/>
        </w:numP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单独递交的开标一览表（报价表）与投标文件中开标一览表（报价表）内容不一致的，以单独递交的开标一览表（报价表）为准；</w:t>
      </w:r>
    </w:p>
    <w:p>
      <w:pPr>
        <w:numPr>
          <w:ilvl w:val="2"/>
          <w:numId w:val="17"/>
          <w:numberingChange w:id="157" w:author="Smita" w:date="2026-05-12T07:45:00Z" w:original="%1:2:0:.%2:4:0:.%3:3:0:"/>
        </w:numP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投标文件中开标一览表（报价表）内容与投标文件中相应内容不一致的，以开标一览表（报价表）为准；</w:t>
      </w:r>
    </w:p>
    <w:p>
      <w:pPr>
        <w:numPr>
          <w:ilvl w:val="2"/>
          <w:numId w:val="17"/>
          <w:numberingChange w:id="158" w:author="Smita" w:date="2026-05-12T07:45:00Z" w:original="%1:2:0:.%2:4:0:.%3:4:0:"/>
        </w:numP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大写金额和小写金额不一致的，以大写金额为准；</w:t>
      </w:r>
    </w:p>
    <w:p>
      <w:pPr>
        <w:numPr>
          <w:ilvl w:val="2"/>
          <w:numId w:val="17"/>
          <w:numberingChange w:id="159" w:author="Smita" w:date="2026-05-12T07:45:00Z" w:original="%1:2:0:.%2:4:0:.%3:5:0:"/>
        </w:numP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单价金额小数点或者百分比有明显错位的，以开标一览表的总价为准，并修改单价；</w:t>
      </w:r>
    </w:p>
    <w:p>
      <w:pPr>
        <w:numPr>
          <w:ilvl w:val="2"/>
          <w:numId w:val="17"/>
          <w:numberingChange w:id="160" w:author="Smita" w:date="2026-05-12T07:45:00Z" w:original="%1:2:0:.%2:4:0:.%3:6:0:"/>
        </w:numP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总价金额与按单价汇总金额不一致的，以单价金额计算结果为准。</w:t>
      </w:r>
    </w:p>
    <w:p>
      <w:pPr>
        <w:numPr>
          <w:ilvl w:val="2"/>
          <w:numId w:val="17"/>
          <w:numberingChange w:id="161" w:author="Smita" w:date="2026-05-12T07:45:00Z" w:original="%1:2:0:.%2:4:0:.%3:7:0:"/>
        </w:numP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numPr>
          <w:ilvl w:val="1"/>
          <w:numId w:val="17"/>
          <w:numberingChange w:id="162" w:author="Smita" w:date="2026-05-12T07:45:00Z" w:original="%1:2:0:.%2:5: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7"/>
          <w:numberingChange w:id="163" w:author="Smita" w:date="2026-05-12T07:45:00Z" w:original="%1:2:0:.%2:5:0:.%3:1: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u w:val="single"/>
        </w:rPr>
        <w:t>10%</w:t>
      </w:r>
      <w:r>
        <w:rPr>
          <w:rFonts w:hint="eastAsia" w:ascii="宋体" w:hAnsi="宋体" w:cs="宋体"/>
          <w:color w:val="auto"/>
          <w:sz w:val="24"/>
          <w:highlight w:val="none"/>
        </w:rPr>
        <w:t>的扣除，用扣除后的价格参加评审。</w:t>
      </w:r>
    </w:p>
    <w:p>
      <w:pPr>
        <w:numPr>
          <w:ilvl w:val="2"/>
          <w:numId w:val="17"/>
          <w:numberingChange w:id="164" w:author="Smita" w:date="2026-05-12T07:45:00Z" w:original="%1:2:0:.%2:5:0:.%3:2: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highlight w:val="none"/>
          <w:u w:val="single"/>
        </w:rPr>
        <w:t>4</w:t>
      </w:r>
      <w:r>
        <w:rPr>
          <w:rFonts w:hint="eastAsia" w:ascii="宋体" w:hAnsi="宋体" w:cs="宋体"/>
          <w:color w:val="auto"/>
          <w:sz w:val="24"/>
          <w:highlight w:val="none"/>
        </w:rPr>
        <w:t>%的扣除，用扣除后的价格参加评审。</w:t>
      </w:r>
    </w:p>
    <w:p>
      <w:pPr>
        <w:numPr>
          <w:ilvl w:val="2"/>
          <w:numId w:val="17"/>
          <w:numberingChange w:id="165" w:author="Smita" w:date="2026-05-12T07:45:00Z" w:original="%1:2:0:.%2:5:0:.%3:3: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组成联合体或者接受分包的小微企业与联合体内其他企业、分包企业之间存在直接控股、管理关系的，不享受价格扣除优惠政策。</w:t>
      </w:r>
    </w:p>
    <w:p>
      <w:pPr>
        <w:numPr>
          <w:ilvl w:val="2"/>
          <w:numId w:val="17"/>
          <w:numberingChange w:id="166" w:author="Smita" w:date="2026-05-12T07:45:00Z" w:original="%1:2:0:.%2:5:0:.%3:4: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价格扣除比例对小型企业和微型企业同等对待，不作区分。</w:t>
      </w:r>
    </w:p>
    <w:p>
      <w:pPr>
        <w:numPr>
          <w:ilvl w:val="2"/>
          <w:numId w:val="17"/>
          <w:numberingChange w:id="167" w:author="Smita" w:date="2026-05-12T07:45:00Z" w:original="%1:2:0:.%2:5:0:.%3:5: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中小企业参加政府采购活动，应当按照招标文件给定的格式出具《中小企业声明函》，否则不得享受相关中小企业扶持政策。</w:t>
      </w:r>
    </w:p>
    <w:p>
      <w:pPr>
        <w:numPr>
          <w:ilvl w:val="2"/>
          <w:numId w:val="17"/>
          <w:numberingChange w:id="168" w:author="Smita" w:date="2026-05-12T07:45:00Z" w:original="%1:2:0:.%2:5:0:.%3:6: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7"/>
          <w:numberingChange w:id="169" w:author="Smita" w:date="2026-05-12T07:45:00Z" w:original="%1:2:0:.%2:5:0:.%3:7: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残疾人福利性单位按招标文件要求提供了《残疾人福利性单位声明函》（见附件）的，视同小微企业。</w:t>
      </w:r>
    </w:p>
    <w:p>
      <w:pPr>
        <w:numPr>
          <w:ilvl w:val="2"/>
          <w:numId w:val="17"/>
          <w:numberingChange w:id="170" w:author="Smita" w:date="2026-05-12T07:45:00Z" w:original="%1:2:0:.%2:5:0:.%3:8:0:"/>
        </w:numPr>
        <w:tabs>
          <w:tab w:val="left" w:pos="1080"/>
          <w:tab w:val="left" w:pos="1589"/>
          <w:tab w:val="left" w:pos="2014"/>
          <w:tab w:val="clear" w:pos="1980"/>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若投标人同时属于小型或微型企业、监狱企业、残疾人福利性单位中的两种及以上，将不重复享受小微企业价格扣减的优惠政策。</w:t>
      </w:r>
    </w:p>
    <w:p>
      <w:pPr>
        <w:numPr>
          <w:ilvl w:val="1"/>
          <w:numId w:val="17"/>
          <w:numberingChange w:id="171" w:author="Smita" w:date="2026-05-12T07:45:00Z" w:original="%1:2:0:.%2:6: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7"/>
          <w:numberingChange w:id="172" w:author="Smita" w:date="2026-05-12T07:45:00Z" w:original="%1:2:0:.%2:6:0:.%3:1:0:"/>
        </w:numPr>
        <w:tabs>
          <w:tab w:val="left" w:pos="1080"/>
          <w:tab w:val="left" w:pos="2100"/>
          <w:tab w:val="clear" w:pos="1980"/>
        </w:tabs>
        <w:snapToGrid w:val="0"/>
        <w:spacing w:line="360" w:lineRule="auto"/>
        <w:ind w:left="2088" w:leftChars="502" w:hanging="1034" w:hangingChars="431"/>
        <w:rPr>
          <w:rFonts w:ascii="宋体" w:hAnsi="宋体" w:cs="宋体"/>
          <w:color w:val="auto"/>
          <w:sz w:val="24"/>
          <w:highlight w:val="none"/>
        </w:rPr>
      </w:pPr>
      <w:r>
        <w:rPr>
          <w:rFonts w:hint="eastAsia" w:ascii="宋体" w:hAnsi="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7"/>
          <w:numberingChange w:id="173" w:author="Smita" w:date="2026-05-12T07:45:00Z" w:original="%1:2:0:.%2:6:0:.%3:2:0:"/>
        </w:numPr>
        <w:tabs>
          <w:tab w:val="left" w:pos="1080"/>
          <w:tab w:val="left" w:pos="2100"/>
          <w:tab w:val="clear" w:pos="1980"/>
        </w:tabs>
        <w:snapToGrid w:val="0"/>
        <w:spacing w:line="360" w:lineRule="auto"/>
        <w:ind w:left="2088" w:leftChars="502" w:hanging="1034" w:hangingChars="431"/>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7"/>
          <w:numberingChange w:id="174" w:author="Smita" w:date="2026-05-12T07:45:00Z" w:original="%1:2:0:.%2:6:0:.%3:3:0:"/>
        </w:numPr>
        <w:tabs>
          <w:tab w:val="left" w:pos="1080"/>
          <w:tab w:val="left" w:pos="2100"/>
          <w:tab w:val="clear" w:pos="1980"/>
        </w:tabs>
        <w:snapToGrid w:val="0"/>
        <w:spacing w:line="360" w:lineRule="auto"/>
        <w:ind w:left="2088" w:leftChars="502" w:hanging="1034" w:hangingChars="431"/>
        <w:rPr>
          <w:rFonts w:ascii="宋体" w:hAnsi="宋体" w:cs="宋体"/>
          <w:color w:val="auto"/>
          <w:sz w:val="24"/>
          <w:highlight w:val="none"/>
        </w:rPr>
      </w:pPr>
      <w:r>
        <w:rPr>
          <w:rFonts w:hint="eastAsia" w:ascii="宋体" w:hAnsi="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7"/>
          <w:numberingChange w:id="175" w:author="Smita" w:date="2026-05-12T07:45:00Z" w:original="%1:3:0:"/>
        </w:numP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投标文件的比较和评价</w:t>
      </w:r>
      <w:bookmarkEnd w:id="225"/>
      <w:bookmarkEnd w:id="226"/>
    </w:p>
    <w:p>
      <w:pPr>
        <w:numPr>
          <w:ilvl w:val="1"/>
          <w:numId w:val="17"/>
          <w:numberingChange w:id="176" w:author="Smita" w:date="2026-05-12T07:45:00Z" w:original="%1:3:0:.%2:1: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7"/>
          <w:numberingChange w:id="177" w:author="Smita" w:date="2026-05-12T07:45:00Z" w:original="%1:3:0:.%2:2: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评标方法和评标标准</w:t>
      </w:r>
    </w:p>
    <w:p>
      <w:pPr>
        <w:numPr>
          <w:ilvl w:val="2"/>
          <w:numId w:val="17"/>
          <w:numberingChange w:id="178" w:author="Smita" w:date="2026-05-12T07:45:00Z" w:original="%1:3:0:.%2:2:0:.%3:1: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ascii="宋体" w:hAnsi="宋体" w:cs="宋体"/>
          <w:color w:val="auto"/>
          <w:sz w:val="24"/>
          <w:highlight w:val="none"/>
        </w:rPr>
      </w:pPr>
      <w:r>
        <w:rPr>
          <w:rFonts w:hint="eastAsia" w:ascii="宋体" w:hAnsi="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ascii="宋体" w:hAnsi="宋体" w:cs="宋体"/>
          <w:color w:val="auto"/>
          <w:sz w:val="24"/>
          <w:highlight w:val="none"/>
        </w:rPr>
      </w:pPr>
      <w:r>
        <w:rPr>
          <w:rFonts w:hint="eastAsia" w:ascii="宋体" w:hAnsi="宋体" w:cs="宋体"/>
          <w:color w:val="auto"/>
          <w:sz w:val="24"/>
          <w:highlight w:val="none"/>
        </w:rPr>
        <w:t>□最低评标价法，指投标文件满足招标文件全部实质性要求，且投标报价最低的投标人为中标候选人的评标方法。</w:t>
      </w:r>
    </w:p>
    <w:p>
      <w:pPr>
        <w:numPr>
          <w:ilvl w:val="2"/>
          <w:numId w:val="17"/>
          <w:numberingChange w:id="179" w:author="Smita" w:date="2026-05-12T07:45:00Z" w:original="%1:3:0:.%2:2:0:.%3:2: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□随机抽取</w:t>
      </w:r>
    </w:p>
    <w:p>
      <w:p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■其他方式，具体要求：__</w:t>
      </w:r>
      <w:r>
        <w:rPr>
          <w:rFonts w:hint="eastAsia" w:ascii="宋体" w:hAnsi="宋体" w:cs="宋体"/>
          <w:color w:val="auto"/>
          <w:sz w:val="24"/>
          <w:highlight w:val="none"/>
          <w:u w:val="single"/>
        </w:rPr>
        <w:t>_/</w:t>
      </w:r>
      <w:r>
        <w:rPr>
          <w:rFonts w:hint="eastAsia" w:ascii="宋体" w:hAnsi="宋体" w:cs="宋体"/>
          <w:color w:val="auto"/>
          <w:sz w:val="24"/>
          <w:highlight w:val="none"/>
        </w:rPr>
        <w:t>__</w:t>
      </w:r>
    </w:p>
    <w:p>
      <w:pPr>
        <w:numPr>
          <w:ilvl w:val="2"/>
          <w:numId w:val="17"/>
          <w:numberingChange w:id="180" w:author="Smita" w:date="2026-05-12T07:45:00Z" w:original="%1:3:0:.%2:2:0:.%3:3:0:"/>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w:t>
      </w:r>
      <w:r>
        <w:rPr>
          <w:rFonts w:hint="eastAsia" w:ascii="宋体" w:hAnsi="宋体" w:cs="宋体"/>
          <w:color w:val="auto"/>
          <w:sz w:val="24"/>
          <w:highlight w:val="none"/>
          <w:u w:val="single"/>
        </w:rPr>
        <w:t>详见评分细则</w:t>
      </w:r>
      <w:r>
        <w:rPr>
          <w:rFonts w:hint="eastAsia" w:ascii="宋体" w:hAnsi="宋体" w:cs="宋体"/>
          <w:color w:val="auto"/>
          <w:sz w:val="24"/>
          <w:highlight w:val="none"/>
        </w:rPr>
        <w:t>。</w:t>
      </w:r>
    </w:p>
    <w:p>
      <w:pPr>
        <w:numPr>
          <w:ilvl w:val="0"/>
          <w:numId w:val="17"/>
          <w:numberingChange w:id="181" w:author="Smita" w:date="2026-05-12T07:45:00Z" w:original="%1:4:0:"/>
        </w:numP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确定</w:t>
      </w:r>
      <w:bookmarkStart w:id="262" w:name="_Toc150774646"/>
      <w:bookmarkStart w:id="263" w:name="_Toc226965819"/>
      <w:bookmarkStart w:id="264" w:name="_Toc151193644"/>
      <w:bookmarkStart w:id="265" w:name="_Toc151193788"/>
      <w:bookmarkStart w:id="266" w:name="_Toc150480784"/>
      <w:bookmarkStart w:id="267" w:name="_Ref467307010"/>
      <w:bookmarkStart w:id="268" w:name="_Toc264969236"/>
      <w:bookmarkStart w:id="269" w:name="_Toc226337242"/>
      <w:bookmarkStart w:id="270" w:name="_Toc164229241"/>
      <w:bookmarkStart w:id="271" w:name="_Toc151193860"/>
      <w:bookmarkStart w:id="272" w:name="_Toc127151747"/>
      <w:bookmarkStart w:id="273" w:name="_Toc226309790"/>
      <w:bookmarkStart w:id="274" w:name="_Toc520356170"/>
      <w:bookmarkStart w:id="275" w:name="_Toc142311048"/>
      <w:bookmarkStart w:id="276" w:name="_Toc149720839"/>
      <w:bookmarkStart w:id="277" w:name="_Toc127161460"/>
      <w:bookmarkStart w:id="278" w:name="_Toc151193934"/>
      <w:bookmarkStart w:id="279" w:name="_Toc195842911"/>
      <w:bookmarkStart w:id="280" w:name="_Toc150509297"/>
      <w:bookmarkStart w:id="281" w:name="_Toc151190173"/>
      <w:bookmarkStart w:id="282" w:name="_Toc164608660"/>
      <w:bookmarkStart w:id="283" w:name="_Toc150774751"/>
      <w:bookmarkStart w:id="284" w:name="_Toc164608815"/>
      <w:bookmarkStart w:id="285" w:name="_Toc151193716"/>
      <w:bookmarkStart w:id="286" w:name="_Toc305158814"/>
      <w:bookmarkStart w:id="287" w:name="_Toc305158888"/>
      <w:bookmarkStart w:id="288" w:name="_Toc265228384"/>
      <w:bookmarkStart w:id="289" w:name="_Toc226965736"/>
      <w:bookmarkStart w:id="290" w:name="_Toc164229387"/>
      <w:bookmarkStart w:id="291" w:name="_Toc127151546"/>
      <w:bookmarkStart w:id="292" w:name="_Toc164351640"/>
      <w:r>
        <w:rPr>
          <w:rFonts w:hint="eastAsia" w:ascii="宋体" w:hAnsi="宋体" w:cs="宋体"/>
          <w:color w:val="auto"/>
          <w:sz w:val="24"/>
          <w:highlight w:val="none"/>
        </w:rPr>
        <w:t>中标候选人名单</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ilvl w:val="1"/>
          <w:numId w:val="17"/>
          <w:numberingChange w:id="182" w:author="Smita" w:date="2026-05-12T07:45:00Z" w:original="%1:4:0:.%2:1: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76"/>
        <w:tabs>
          <w:tab w:val="left" w:pos="900"/>
          <w:tab w:val="left" w:pos="2127"/>
        </w:tabs>
        <w:adjustRightInd w:val="0"/>
        <w:snapToGrid w:val="0"/>
        <w:spacing w:line="360" w:lineRule="auto"/>
        <w:ind w:left="993" w:firstLine="136" w:firstLineChars="57"/>
        <w:rPr>
          <w:rFonts w:hint="default" w:hAnsi="宋体" w:cs="宋体"/>
          <w:color w:val="auto"/>
          <w:sz w:val="24"/>
          <w:szCs w:val="24"/>
          <w:highlight w:val="none"/>
        </w:rPr>
      </w:pPr>
      <w:r>
        <w:rPr>
          <w:rFonts w:hAnsi="宋体" w:cs="宋体"/>
          <w:color w:val="auto"/>
          <w:sz w:val="24"/>
          <w:szCs w:val="24"/>
          <w:highlight w:val="none"/>
        </w:rPr>
        <w:t>□随机抽取</w:t>
      </w:r>
    </w:p>
    <w:p>
      <w:pPr>
        <w:pStyle w:val="176"/>
        <w:tabs>
          <w:tab w:val="left" w:pos="900"/>
          <w:tab w:val="left" w:pos="2127"/>
        </w:tabs>
        <w:adjustRightInd w:val="0"/>
        <w:snapToGrid w:val="0"/>
        <w:spacing w:line="360" w:lineRule="auto"/>
        <w:ind w:left="993" w:firstLine="136" w:firstLineChars="57"/>
        <w:rPr>
          <w:rFonts w:hint="default" w:hAnsi="宋体" w:cs="宋体"/>
          <w:color w:val="auto"/>
          <w:sz w:val="24"/>
          <w:szCs w:val="24"/>
          <w:highlight w:val="none"/>
        </w:rPr>
      </w:pPr>
      <w:r>
        <w:rPr>
          <w:rFonts w:hAnsi="宋体" w:cs="宋体"/>
          <w:color w:val="auto"/>
          <w:sz w:val="24"/>
          <w:highlight w:val="none"/>
        </w:rPr>
        <w:t>■</w:t>
      </w:r>
      <w:r>
        <w:rPr>
          <w:rFonts w:hAnsi="宋体" w:cs="宋体"/>
          <w:color w:val="auto"/>
          <w:sz w:val="24"/>
          <w:szCs w:val="24"/>
          <w:highlight w:val="none"/>
        </w:rPr>
        <w:t>其他方式，具体要求：</w:t>
      </w:r>
      <w:r>
        <w:rPr>
          <w:rFonts w:hAnsi="宋体" w:cs="宋体"/>
          <w:color w:val="auto"/>
          <w:sz w:val="24"/>
          <w:szCs w:val="24"/>
          <w:highlight w:val="none"/>
          <w:u w:val="single"/>
        </w:rPr>
        <w:t>_按投标报价由低到高顺序排列。得分且投标报价相同的，按量化指标（技术评分）由高到低顺序排列。_</w:t>
      </w:r>
    </w:p>
    <w:p>
      <w:pPr>
        <w:numPr>
          <w:ilvl w:val="1"/>
          <w:numId w:val="17"/>
          <w:numberingChange w:id="183" w:author="Smita" w:date="2026-05-12T07:45:00Z" w:original="%1:4:0:.%2:2: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7"/>
          <w:numberingChange w:id="184" w:author="Smita" w:date="2026-05-12T07:45:00Z" w:original="%1:4:0:.%2:3: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7"/>
          <w:numberingChange w:id="185" w:author="Smita" w:date="2026-05-12T07:45:00Z" w:original="%1:4:0:.%2:4: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评标委员会要对评分汇总情况进行复核，特别是对排名第一的、报价最低的、投标或响应文件被认定为无效的情形进行重点复核。</w:t>
      </w:r>
    </w:p>
    <w:p>
      <w:pPr>
        <w:numPr>
          <w:ilvl w:val="1"/>
          <w:numId w:val="17"/>
          <w:numberingChange w:id="186" w:author="Smita" w:date="2026-05-12T07:45:00Z" w:original="%1:4:0:.%2:5: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cs="宋体"/>
          <w:color w:val="auto"/>
          <w:sz w:val="24"/>
          <w:highlight w:val="none"/>
          <w:u w:val="single"/>
        </w:rPr>
        <w:t>3</w:t>
      </w:r>
      <w:r>
        <w:rPr>
          <w:rFonts w:hint="eastAsia" w:ascii="宋体" w:hAnsi="宋体" w:cs="宋体"/>
          <w:color w:val="auto"/>
          <w:sz w:val="24"/>
          <w:highlight w:val="none"/>
        </w:rPr>
        <w:t>_名中标候选人。</w:t>
      </w:r>
    </w:p>
    <w:p>
      <w:pPr>
        <w:numPr>
          <w:ilvl w:val="0"/>
          <w:numId w:val="17"/>
          <w:numberingChange w:id="187" w:author="Smita" w:date="2026-05-12T07:45:00Z" w:original="%1:5:0:"/>
        </w:numP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报告违法行为</w:t>
      </w:r>
    </w:p>
    <w:p>
      <w:pPr>
        <w:numPr>
          <w:ilvl w:val="1"/>
          <w:numId w:val="17"/>
          <w:numberingChange w:id="188" w:author="Smita" w:date="2026-05-12T07:45:00Z" w:original="%1:5:0:.%2:1:0:"/>
        </w:numP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评标委员会在评标过程中发现投标人有行贿、提供虚假材料或者串通等违法行为时，应当及时向财政部门报告。</w:t>
      </w:r>
    </w:p>
    <w:p>
      <w:pPr>
        <w:widowControl/>
        <w:jc w:val="left"/>
        <w:rPr>
          <w:rFonts w:ascii="宋体" w:hAnsi="宋体" w:cs="宋体"/>
          <w:b/>
          <w:color w:val="auto"/>
          <w:sz w:val="24"/>
          <w:highlight w:val="none"/>
        </w:rPr>
      </w:pPr>
      <w:r>
        <w:rPr>
          <w:rFonts w:hint="eastAsia" w:ascii="宋体" w:hAnsi="宋体" w:cs="宋体"/>
          <w:b/>
          <w:color w:val="auto"/>
          <w:sz w:val="24"/>
          <w:highlight w:val="none"/>
        </w:rPr>
        <w:br w:type="page"/>
      </w:r>
    </w:p>
    <w:p>
      <w:pPr>
        <w:tabs>
          <w:tab w:val="left" w:pos="360"/>
          <w:tab w:val="left" w:pos="900"/>
        </w:tabs>
        <w:snapToGrid w:val="0"/>
        <w:spacing w:after="0" w:afterLines="0" w:line="360" w:lineRule="auto"/>
        <w:jc w:val="center"/>
        <w:outlineLvl w:val="1"/>
        <w:rPr>
          <w:rFonts w:ascii="宋体" w:hAnsi="宋体" w:cs="宋体"/>
          <w:b/>
          <w:color w:val="auto"/>
          <w:highlight w:val="none"/>
        </w:rPr>
      </w:pPr>
      <w:r>
        <w:rPr>
          <w:rFonts w:hint="eastAsia" w:ascii="宋体" w:hAnsi="宋体" w:cs="宋体"/>
          <w:b/>
          <w:color w:val="auto"/>
          <w:sz w:val="24"/>
          <w:highlight w:val="none"/>
        </w:rPr>
        <w:t>二、评标标准</w:t>
      </w:r>
    </w:p>
    <w:p>
      <w:pPr>
        <w:keepNext/>
        <w:keepLines/>
        <w:spacing w:before="260" w:beforeLines="0" w:after="260" w:afterLines="0" w:line="360" w:lineRule="auto"/>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（一）商务评分标准（共</w:t>
      </w:r>
      <w:r>
        <w:rPr>
          <w:rFonts w:hint="eastAsia" w:ascii="宋体" w:hAnsi="宋体" w:cs="宋体"/>
          <w:b/>
          <w:color w:val="auto"/>
          <w:kern w:val="0"/>
          <w:sz w:val="24"/>
          <w:highlight w:val="none"/>
          <w:lang w:val="en-US" w:eastAsia="zh-CN"/>
        </w:rPr>
        <w:t>6</w:t>
      </w:r>
      <w:r>
        <w:rPr>
          <w:rFonts w:hint="eastAsia" w:ascii="宋体" w:hAnsi="宋体" w:cs="宋体"/>
          <w:b/>
          <w:color w:val="auto"/>
          <w:kern w:val="0"/>
          <w:sz w:val="24"/>
          <w:highlight w:val="none"/>
        </w:rPr>
        <w:t>分）</w:t>
      </w:r>
    </w:p>
    <w:tbl>
      <w:tblPr>
        <w:tblStyle w:val="29"/>
        <w:tblW w:w="92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35"/>
        <w:gridCol w:w="6160"/>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45" w:type="dxa"/>
            <w:noWrap w:val="0"/>
            <w:vAlign w:val="center"/>
          </w:tcPr>
          <w:p>
            <w:pPr>
              <w:adjustRightInd w:val="0"/>
              <w:snapToGrid w:val="0"/>
              <w:spacing w:after="0" w:afterLines="0"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335" w:type="dxa"/>
            <w:noWrap w:val="0"/>
            <w:vAlign w:val="center"/>
          </w:tcPr>
          <w:p>
            <w:pPr>
              <w:adjustRightInd w:val="0"/>
              <w:snapToGrid w:val="0"/>
              <w:spacing w:after="0" w:afterLines="0"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评分因素</w:t>
            </w:r>
          </w:p>
        </w:tc>
        <w:tc>
          <w:tcPr>
            <w:tcW w:w="6160" w:type="dxa"/>
            <w:noWrap w:val="0"/>
            <w:vAlign w:val="center"/>
          </w:tcPr>
          <w:p>
            <w:pPr>
              <w:adjustRightInd w:val="0"/>
              <w:snapToGrid w:val="0"/>
              <w:spacing w:after="0" w:afterLines="0"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分项细则</w:t>
            </w:r>
          </w:p>
        </w:tc>
        <w:tc>
          <w:tcPr>
            <w:tcW w:w="781" w:type="dxa"/>
            <w:noWrap w:val="0"/>
            <w:vAlign w:val="center"/>
          </w:tcPr>
          <w:p>
            <w:pPr>
              <w:widowControl/>
              <w:adjustRightInd w:val="0"/>
              <w:snapToGrid w:val="0"/>
              <w:spacing w:after="0" w:afterLines="0"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1" w:hRule="atLeast"/>
        </w:trPr>
        <w:tc>
          <w:tcPr>
            <w:tcW w:w="945" w:type="dxa"/>
            <w:noWrap w:val="0"/>
            <w:vAlign w:val="center"/>
          </w:tcPr>
          <w:p>
            <w:pPr>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35" w:type="dxa"/>
            <w:noWrap w:val="0"/>
            <w:vAlign w:val="center"/>
          </w:tcPr>
          <w:p>
            <w:pPr>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同类业绩</w:t>
            </w:r>
          </w:p>
        </w:tc>
        <w:tc>
          <w:tcPr>
            <w:tcW w:w="6160" w:type="dxa"/>
            <w:noWrap w:val="0"/>
            <w:vAlign w:val="center"/>
          </w:tcPr>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投标人提供自202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年1月1日至今承担的同类项目业绩，每提供一个得1分，最多得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分。未提供得0分。</w:t>
            </w:r>
          </w:p>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注：</w:t>
            </w:r>
          </w:p>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1.业绩时间以合同签订时间为准。</w:t>
            </w:r>
          </w:p>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2.业绩是以提供的合同关键页电子件为依据，至少要包括合同首页、采购内容清单页、双方盖章签字页。</w:t>
            </w:r>
          </w:p>
        </w:tc>
        <w:tc>
          <w:tcPr>
            <w:tcW w:w="781" w:type="dxa"/>
            <w:noWrap w:val="0"/>
            <w:vAlign w:val="center"/>
          </w:tcPr>
          <w:p>
            <w:pPr>
              <w:widowControl/>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440" w:type="dxa"/>
            <w:gridSpan w:val="3"/>
            <w:noWrap w:val="0"/>
            <w:vAlign w:val="center"/>
          </w:tcPr>
          <w:p>
            <w:pPr>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总计</w:t>
            </w:r>
          </w:p>
        </w:tc>
        <w:tc>
          <w:tcPr>
            <w:tcW w:w="781" w:type="dxa"/>
            <w:noWrap w:val="0"/>
            <w:vAlign w:val="center"/>
          </w:tcPr>
          <w:p>
            <w:pPr>
              <w:widowControl/>
              <w:adjustRightInd w:val="0"/>
              <w:snapToGrid w:val="0"/>
              <w:spacing w:after="0" w:afterLines="0" w:line="24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r>
    </w:tbl>
    <w:p>
      <w:pPr>
        <w:keepNext/>
        <w:keepLines/>
        <w:adjustRightInd w:val="0"/>
        <w:snapToGrid w:val="0"/>
        <w:spacing w:after="0" w:afterLines="0" w:line="240" w:lineRule="atLeast"/>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（二）技术评分标准（共</w:t>
      </w:r>
      <w:r>
        <w:rPr>
          <w:rFonts w:hint="eastAsia" w:ascii="宋体" w:hAnsi="宋体" w:cs="宋体"/>
          <w:b/>
          <w:color w:val="auto"/>
          <w:kern w:val="0"/>
          <w:sz w:val="24"/>
          <w:highlight w:val="none"/>
          <w:lang w:val="en-US" w:eastAsia="zh-CN"/>
        </w:rPr>
        <w:t>64</w:t>
      </w:r>
      <w:r>
        <w:rPr>
          <w:rFonts w:hint="eastAsia" w:ascii="宋体" w:hAnsi="宋体" w:cs="宋体"/>
          <w:b/>
          <w:color w:val="auto"/>
          <w:kern w:val="0"/>
          <w:sz w:val="24"/>
          <w:highlight w:val="none"/>
        </w:rPr>
        <w:t>分）</w:t>
      </w:r>
    </w:p>
    <w:tbl>
      <w:tblPr>
        <w:tblStyle w:val="29"/>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04"/>
        <w:gridCol w:w="62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51" w:type="dxa"/>
            <w:noWrap w:val="0"/>
            <w:vAlign w:val="center"/>
          </w:tcPr>
          <w:p>
            <w:pPr>
              <w:tabs>
                <w:tab w:val="left" w:pos="2947"/>
              </w:tabs>
              <w:adjustRightInd w:val="0"/>
              <w:snapToGrid w:val="0"/>
              <w:spacing w:after="0" w:afterLines="0" w:line="240" w:lineRule="atLeast"/>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304" w:type="dxa"/>
            <w:noWrap w:val="0"/>
            <w:vAlign w:val="center"/>
          </w:tcPr>
          <w:p>
            <w:pPr>
              <w:widowControl/>
              <w:adjustRightInd w:val="0"/>
              <w:snapToGrid w:val="0"/>
              <w:spacing w:after="0" w:afterLines="0"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评审因素</w:t>
            </w:r>
          </w:p>
        </w:tc>
        <w:tc>
          <w:tcPr>
            <w:tcW w:w="6209" w:type="dxa"/>
            <w:noWrap w:val="0"/>
            <w:vAlign w:val="center"/>
          </w:tcPr>
          <w:p>
            <w:pPr>
              <w:widowControl/>
              <w:adjustRightInd w:val="0"/>
              <w:snapToGrid w:val="0"/>
              <w:spacing w:after="0" w:afterLines="0"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评分标准说明</w:t>
            </w:r>
          </w:p>
        </w:tc>
        <w:tc>
          <w:tcPr>
            <w:tcW w:w="850" w:type="dxa"/>
            <w:noWrap w:val="0"/>
            <w:vAlign w:val="center"/>
          </w:tcPr>
          <w:p>
            <w:pPr>
              <w:widowControl/>
              <w:adjustRightInd w:val="0"/>
              <w:snapToGrid w:val="0"/>
              <w:spacing w:after="0" w:afterLines="0"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851" w:type="dxa"/>
            <w:noWrap w:val="0"/>
            <w:vAlign w:val="center"/>
          </w:tcPr>
          <w:p>
            <w:pPr>
              <w:widowControl/>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04" w:type="dxa"/>
            <w:noWrap w:val="0"/>
            <w:vAlign w:val="center"/>
          </w:tcPr>
          <w:p>
            <w:pPr>
              <w:widowControl/>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项目整体方案</w:t>
            </w:r>
          </w:p>
        </w:tc>
        <w:tc>
          <w:tcPr>
            <w:tcW w:w="6209" w:type="dxa"/>
            <w:noWrap w:val="0"/>
            <w:vAlign w:val="center"/>
          </w:tcPr>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1.技术方案对项目进行了详细的分析，能正确理解项目需求，思路清晰，针对性强，分析合理且满足全部招标要求得</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p>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2.方案内容虽进行阐述，但并未完全贴合项目实际情况，或方案中未包括具体实施细节及措施则得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3.方案虽进行阐述，但不能够完全满足招标需求则得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pPr>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4.方案未针对招标需求进行应答，阐述仅为对招标需求的简单复制则得1分；</w:t>
            </w:r>
          </w:p>
          <w:p>
            <w:pPr>
              <w:widowControl/>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5.未提供方案得0分。</w:t>
            </w:r>
          </w:p>
        </w:tc>
        <w:tc>
          <w:tcPr>
            <w:tcW w:w="850" w:type="dxa"/>
            <w:noWrap w:val="0"/>
            <w:vAlign w:val="center"/>
          </w:tcPr>
          <w:p>
            <w:pPr>
              <w:widowControl/>
              <w:adjustRightInd w:val="0"/>
              <w:snapToGrid w:val="0"/>
              <w:spacing w:after="0" w:afterLines="0"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851" w:type="dxa"/>
            <w:noWrap w:val="0"/>
            <w:vAlign w:val="center"/>
          </w:tcPr>
          <w:p>
            <w:pPr>
              <w:widowControl/>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04" w:type="dxa"/>
            <w:noWrap w:val="0"/>
            <w:vAlign w:val="center"/>
          </w:tcPr>
          <w:p>
            <w:pPr>
              <w:widowControl/>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性能指标</w:t>
            </w:r>
          </w:p>
        </w:tc>
        <w:tc>
          <w:tcPr>
            <w:tcW w:w="6209"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rPr>
            </w:pPr>
            <w:r>
              <w:rPr>
                <w:rFonts w:hint="eastAsia" w:ascii="宋体" w:hAnsi="宋体" w:cs="宋体"/>
                <w:color w:val="auto"/>
                <w:sz w:val="24"/>
                <w:highlight w:val="none"/>
              </w:rPr>
              <w:t>针对招标文件第五章采购需求中的所需货物逐条进行响应：</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ascii="宋体" w:hAnsi="宋体" w:cs="宋体"/>
                <w:color w:val="auto"/>
                <w:sz w:val="24"/>
                <w:highlight w:val="none"/>
              </w:rPr>
            </w:pPr>
            <w:r>
              <w:rPr>
                <w:rFonts w:hint="eastAsia" w:ascii="宋体" w:hAnsi="宋体" w:cs="宋体"/>
                <w:color w:val="auto"/>
                <w:sz w:val="24"/>
                <w:highlight w:val="none"/>
              </w:rPr>
              <w:t>1.所有货物参数均完全满足招标文件“第五章 采购需求”的得满分</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.标记</w:t>
            </w:r>
            <w:r>
              <w:rPr>
                <w:rFonts w:hint="eastAsia" w:ascii="宋体" w:hAnsi="宋体" w:cs="Segoe UI Symbol"/>
                <w:b/>
                <w:bCs/>
                <w:color w:val="auto"/>
                <w:sz w:val="24"/>
                <w:highlight w:val="none"/>
              </w:rPr>
              <w:t>#项</w:t>
            </w:r>
            <w:r>
              <w:rPr>
                <w:rFonts w:hint="eastAsia" w:ascii="宋体" w:hAnsi="宋体" w:cs="Segoe UI Symbol"/>
                <w:color w:val="auto"/>
                <w:sz w:val="24"/>
                <w:highlight w:val="none"/>
              </w:rPr>
              <w:t>为关键技术指标，共1</w:t>
            </w:r>
            <w:r>
              <w:rPr>
                <w:rFonts w:hint="eastAsia" w:ascii="宋体" w:hAnsi="宋体" w:cs="Segoe UI Symbol"/>
                <w:color w:val="auto"/>
                <w:sz w:val="24"/>
                <w:highlight w:val="none"/>
                <w:lang w:val="en-US" w:eastAsia="zh-CN"/>
              </w:rPr>
              <w:t>5</w:t>
            </w:r>
            <w:r>
              <w:rPr>
                <w:rFonts w:hint="eastAsia" w:ascii="宋体" w:hAnsi="宋体" w:cs="Segoe UI Symbol"/>
                <w:color w:val="auto"/>
                <w:sz w:val="24"/>
                <w:highlight w:val="none"/>
              </w:rPr>
              <w:t>项，</w:t>
            </w:r>
            <w:r>
              <w:rPr>
                <w:rFonts w:hint="eastAsia" w:ascii="宋体" w:hAnsi="宋体" w:cs="宋体"/>
                <w:color w:val="auto"/>
                <w:sz w:val="24"/>
                <w:highlight w:val="none"/>
              </w:rPr>
              <w:t>每有一条关键技术指标不满足扣2分，最低0分；</w:t>
            </w:r>
          </w:p>
          <w:p>
            <w:pPr>
              <w:widowControl/>
              <w:adjustRightInd w:val="0"/>
              <w:snapToGrid w:val="0"/>
              <w:spacing w:after="0" w:afterLines="0" w:line="240" w:lineRule="atLeas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b/>
                <w:bCs/>
                <w:color w:val="auto"/>
                <w:sz w:val="24"/>
                <w:highlight w:val="none"/>
              </w:rPr>
              <w:t>未标记</w:t>
            </w:r>
            <w:r>
              <w:rPr>
                <w:rFonts w:hint="eastAsia" w:ascii="宋体" w:hAnsi="宋体" w:cs="Segoe UI Symbol"/>
                <w:b/>
                <w:bCs/>
                <w:color w:val="auto"/>
                <w:sz w:val="24"/>
                <w:highlight w:val="none"/>
              </w:rPr>
              <w:t>#项</w:t>
            </w:r>
            <w:r>
              <w:rPr>
                <w:rFonts w:hint="eastAsia" w:ascii="宋体" w:hAnsi="宋体" w:cs="Segoe UI Symbol"/>
                <w:color w:val="auto"/>
                <w:sz w:val="24"/>
                <w:highlight w:val="none"/>
              </w:rPr>
              <w:t>为一般性指标，每有一条一般性技术指标不满足扣1分，扣完为止。</w:t>
            </w:r>
          </w:p>
        </w:tc>
        <w:tc>
          <w:tcPr>
            <w:tcW w:w="850" w:type="dxa"/>
            <w:noWrap w:val="0"/>
            <w:vAlign w:val="center"/>
          </w:tcPr>
          <w:p>
            <w:pPr>
              <w:widowControl/>
              <w:adjustRightInd w:val="0"/>
              <w:snapToGrid w:val="0"/>
              <w:spacing w:after="0" w:afterLines="0"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851" w:type="dxa"/>
            <w:noWrap w:val="0"/>
            <w:vAlign w:val="center"/>
          </w:tcPr>
          <w:p>
            <w:pPr>
              <w:widowControl/>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304" w:type="dxa"/>
            <w:noWrap w:val="0"/>
            <w:vAlign w:val="center"/>
          </w:tcPr>
          <w:p>
            <w:pPr>
              <w:widowControl/>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项目实施</w:t>
            </w:r>
          </w:p>
        </w:tc>
        <w:tc>
          <w:tcPr>
            <w:tcW w:w="6209" w:type="dxa"/>
            <w:noWrap w:val="0"/>
            <w:vAlign w:val="center"/>
          </w:tcPr>
          <w:p>
            <w:pPr>
              <w:widowControl/>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1.项目实施方案内容进行了详细的阐述，思路清晰，实施措施针对性强，合理分析现状且满足全部招标要求得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pPr>
              <w:widowControl/>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2.方案内容虽进行阐述但并未贴合项目实际情况，或方案中未包括具体实施细节及措施则得</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p>
          <w:p>
            <w:pPr>
              <w:widowControl/>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3.方案虽进行阐述但不能够完全满足招标需求则得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pPr>
              <w:widowControl/>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4.方案未针对招标需求进行应答阐述仅为对招标需求的简单复制则得1分；</w:t>
            </w:r>
          </w:p>
          <w:p>
            <w:pPr>
              <w:widowControl/>
              <w:adjustRightInd w:val="0"/>
              <w:snapToGrid w:val="0"/>
              <w:spacing w:after="0" w:afterLines="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5.未提供方案或方案内容未进行任何阐述得0分。</w:t>
            </w:r>
          </w:p>
        </w:tc>
        <w:tc>
          <w:tcPr>
            <w:tcW w:w="850" w:type="dxa"/>
            <w:noWrap w:val="0"/>
            <w:vAlign w:val="center"/>
          </w:tcPr>
          <w:p>
            <w:pPr>
              <w:widowControl/>
              <w:adjustRightInd w:val="0"/>
              <w:snapToGrid w:val="0"/>
              <w:spacing w:after="0" w:afterLines="0"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85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4</w:t>
            </w:r>
          </w:p>
        </w:tc>
        <w:tc>
          <w:tcPr>
            <w:tcW w:w="1304"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售后服务</w:t>
            </w:r>
            <w:r>
              <w:rPr>
                <w:rFonts w:hint="eastAsia" w:ascii="宋体" w:hAnsi="宋体" w:cs="宋体"/>
                <w:color w:val="auto"/>
                <w:sz w:val="24"/>
                <w:highlight w:val="none"/>
                <w:lang w:val="en-US" w:eastAsia="zh-CN"/>
              </w:rPr>
              <w:t>方案</w:t>
            </w:r>
          </w:p>
        </w:tc>
        <w:tc>
          <w:tcPr>
            <w:tcW w:w="6209"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售后</w:t>
            </w:r>
            <w:r>
              <w:rPr>
                <w:rFonts w:hint="eastAsia" w:ascii="宋体" w:hAnsi="宋体" w:cs="宋体"/>
                <w:color w:val="auto"/>
                <w:sz w:val="24"/>
                <w:highlight w:val="none"/>
              </w:rPr>
              <w:t>方案内容进行了详细的阐述，能正确理解项目需求，思路清晰，售后问题响应及时且满足全部招标要求得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售后</w:t>
            </w:r>
            <w:r>
              <w:rPr>
                <w:rFonts w:hint="eastAsia" w:ascii="宋体" w:hAnsi="宋体" w:cs="宋体"/>
                <w:color w:val="auto"/>
                <w:sz w:val="24"/>
                <w:highlight w:val="none"/>
              </w:rPr>
              <w:t>方案内容进行了</w:t>
            </w:r>
            <w:r>
              <w:rPr>
                <w:rFonts w:hint="eastAsia" w:ascii="宋体" w:hAnsi="宋体" w:cs="宋体"/>
                <w:color w:val="auto"/>
                <w:sz w:val="24"/>
                <w:highlight w:val="none"/>
                <w:lang w:val="en-US" w:eastAsia="zh-CN"/>
              </w:rPr>
              <w:t>较为</w:t>
            </w:r>
            <w:r>
              <w:rPr>
                <w:rFonts w:hint="eastAsia" w:ascii="宋体" w:hAnsi="宋体" w:cs="宋体"/>
                <w:color w:val="auto"/>
                <w:sz w:val="24"/>
                <w:highlight w:val="none"/>
              </w:rPr>
              <w:t>详细的阐述，能理解项目需求，思路</w:t>
            </w:r>
            <w:r>
              <w:rPr>
                <w:rFonts w:hint="eastAsia" w:ascii="宋体" w:hAnsi="宋体" w:cs="宋体"/>
                <w:color w:val="auto"/>
                <w:sz w:val="24"/>
                <w:highlight w:val="none"/>
                <w:lang w:val="en-US" w:eastAsia="zh-CN"/>
              </w:rPr>
              <w:t>较</w:t>
            </w:r>
            <w:r>
              <w:rPr>
                <w:rFonts w:hint="eastAsia" w:ascii="宋体" w:hAnsi="宋体" w:cs="宋体"/>
                <w:color w:val="auto"/>
                <w:sz w:val="24"/>
                <w:highlight w:val="none"/>
              </w:rPr>
              <w:t>清晰，售后问题响应</w:t>
            </w:r>
            <w:r>
              <w:rPr>
                <w:rFonts w:hint="eastAsia" w:ascii="宋体" w:hAnsi="宋体" w:cs="宋体"/>
                <w:color w:val="auto"/>
                <w:sz w:val="24"/>
                <w:highlight w:val="none"/>
                <w:lang w:val="en-US" w:eastAsia="zh-CN"/>
              </w:rPr>
              <w:t>一般</w:t>
            </w:r>
            <w:r>
              <w:rPr>
                <w:rFonts w:hint="eastAsia" w:ascii="宋体" w:hAnsi="宋体" w:cs="宋体"/>
                <w:color w:val="auto"/>
                <w:sz w:val="24"/>
                <w:highlight w:val="none"/>
              </w:rPr>
              <w:t>且满足</w:t>
            </w:r>
            <w:r>
              <w:rPr>
                <w:rFonts w:hint="eastAsia" w:ascii="宋体" w:hAnsi="宋体" w:cs="宋体"/>
                <w:color w:val="auto"/>
                <w:sz w:val="24"/>
                <w:highlight w:val="none"/>
                <w:lang w:val="en-US" w:eastAsia="zh-CN"/>
              </w:rPr>
              <w:t>基本</w:t>
            </w:r>
            <w:r>
              <w:rPr>
                <w:rFonts w:hint="eastAsia" w:ascii="宋体" w:hAnsi="宋体" w:cs="宋体"/>
                <w:color w:val="auto"/>
                <w:sz w:val="24"/>
                <w:highlight w:val="none"/>
              </w:rPr>
              <w:t>招标要求得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售后</w:t>
            </w:r>
            <w:r>
              <w:rPr>
                <w:rFonts w:hint="eastAsia" w:ascii="宋体" w:hAnsi="宋体" w:cs="宋体"/>
                <w:color w:val="auto"/>
                <w:sz w:val="24"/>
                <w:highlight w:val="none"/>
              </w:rPr>
              <w:t>方案虽进行阐述但不能够完全满足招标需求则得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.未提供</w:t>
            </w:r>
            <w:r>
              <w:rPr>
                <w:rFonts w:hint="eastAsia" w:ascii="宋体" w:hAnsi="宋体" w:cs="宋体"/>
                <w:color w:val="auto"/>
                <w:sz w:val="24"/>
                <w:highlight w:val="none"/>
                <w:lang w:val="en-US" w:eastAsia="zh-CN"/>
              </w:rPr>
              <w:t>售后</w:t>
            </w:r>
            <w:r>
              <w:rPr>
                <w:rFonts w:hint="eastAsia" w:ascii="宋体" w:hAnsi="宋体" w:cs="宋体"/>
                <w:color w:val="auto"/>
                <w:sz w:val="24"/>
                <w:highlight w:val="none"/>
              </w:rPr>
              <w:t>方案得0分。</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851"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304"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培训方案</w:t>
            </w:r>
          </w:p>
        </w:tc>
        <w:tc>
          <w:tcPr>
            <w:tcW w:w="6209"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1.培训方案内容充分、详实，培训安排有序合理得4分；</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2.培训方案内容基本详实、培训安排一般得2分；</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3.培训方案内容不详实，培训安排不合理得1分；</w:t>
            </w:r>
          </w:p>
          <w:p>
            <w:pPr>
              <w:keepNext w:val="0"/>
              <w:keepLines w:val="0"/>
              <w:pageBreakBefore w:val="0"/>
              <w:widowControl/>
              <w:kinsoku/>
              <w:wordWrap/>
              <w:overflowPunct/>
              <w:topLinePunct w:val="0"/>
              <w:autoSpaceDE/>
              <w:autoSpaceDN/>
              <w:bidi w:val="0"/>
              <w:adjustRightInd w:val="0"/>
              <w:snapToGrid w:val="0"/>
              <w:spacing w:after="0" w:afterLines="0" w:line="320" w:lineRule="atLeast"/>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4.未提供培训方案得0分。</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after="0" w:afterLines="0" w:line="320" w:lineRule="atLeas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364" w:type="dxa"/>
            <w:gridSpan w:val="3"/>
            <w:noWrap w:val="0"/>
            <w:vAlign w:val="center"/>
          </w:tcPr>
          <w:p>
            <w:pPr>
              <w:adjustRightInd w:val="0"/>
              <w:snapToGrid w:val="0"/>
              <w:spacing w:after="0" w:afterLines="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总计</w:t>
            </w:r>
          </w:p>
        </w:tc>
        <w:tc>
          <w:tcPr>
            <w:tcW w:w="850" w:type="dxa"/>
            <w:noWrap w:val="0"/>
            <w:vAlign w:val="center"/>
          </w:tcPr>
          <w:p>
            <w:pPr>
              <w:adjustRightInd w:val="0"/>
              <w:snapToGrid w:val="0"/>
              <w:spacing w:after="0" w:afterLines="0"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64</w:t>
            </w:r>
          </w:p>
        </w:tc>
      </w:tr>
    </w:tbl>
    <w:p>
      <w:pPr>
        <w:keepNext/>
        <w:keepLines/>
        <w:adjustRightInd w:val="0"/>
        <w:snapToGrid w:val="0"/>
        <w:spacing w:after="0" w:afterLines="0" w:line="240" w:lineRule="atLeast"/>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（三）价格部分标准（共30分）</w:t>
      </w:r>
    </w:p>
    <w:tbl>
      <w:tblPr>
        <w:tblStyle w:val="29"/>
        <w:tblW w:w="935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422"/>
        <w:gridCol w:w="6118"/>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90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after="0" w:afterLines="0" w:line="360" w:lineRule="auto"/>
              <w:jc w:val="center"/>
              <w:rPr>
                <w:rStyle w:val="317"/>
                <w:rFonts w:hint="eastAsia" w:ascii="宋体" w:hAnsi="宋体" w:cs="宋体"/>
                <w:bCs/>
                <w:color w:val="auto"/>
                <w:kern w:val="0"/>
                <w:sz w:val="24"/>
                <w:highlight w:val="none"/>
              </w:rPr>
            </w:pPr>
            <w:r>
              <w:rPr>
                <w:rStyle w:val="317"/>
                <w:rFonts w:hint="eastAsia" w:ascii="宋体" w:hAnsi="宋体" w:cs="宋体"/>
                <w:bCs/>
                <w:color w:val="auto"/>
                <w:kern w:val="0"/>
                <w:sz w:val="24"/>
                <w:highlight w:val="none"/>
              </w:rPr>
              <w:t>序号</w:t>
            </w:r>
          </w:p>
        </w:tc>
        <w:tc>
          <w:tcPr>
            <w:tcW w:w="7540" w:type="dxa"/>
            <w:gridSpan w:val="2"/>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after="0" w:afterLines="0" w:line="360" w:lineRule="auto"/>
              <w:jc w:val="center"/>
              <w:rPr>
                <w:rStyle w:val="317"/>
                <w:rFonts w:hint="eastAsia" w:ascii="宋体" w:hAnsi="宋体" w:cs="宋体"/>
                <w:bCs/>
                <w:color w:val="auto"/>
                <w:kern w:val="0"/>
                <w:sz w:val="24"/>
                <w:highlight w:val="none"/>
              </w:rPr>
            </w:pPr>
            <w:r>
              <w:rPr>
                <w:rStyle w:val="317"/>
                <w:rFonts w:hint="eastAsia" w:ascii="宋体" w:hAnsi="宋体" w:cs="宋体"/>
                <w:bCs/>
                <w:color w:val="auto"/>
                <w:kern w:val="0"/>
                <w:sz w:val="24"/>
                <w:highlight w:val="none"/>
              </w:rPr>
              <w:t>评分内容</w:t>
            </w:r>
          </w:p>
        </w:tc>
        <w:tc>
          <w:tcPr>
            <w:tcW w:w="91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after="0" w:afterLines="0" w:line="360" w:lineRule="auto"/>
              <w:jc w:val="center"/>
              <w:rPr>
                <w:rStyle w:val="317"/>
                <w:rFonts w:hint="eastAsia" w:ascii="宋体" w:hAnsi="宋体" w:cs="宋体"/>
                <w:bCs/>
                <w:color w:val="auto"/>
                <w:kern w:val="0"/>
                <w:sz w:val="24"/>
                <w:highlight w:val="none"/>
              </w:rPr>
            </w:pPr>
            <w:r>
              <w:rPr>
                <w:rStyle w:val="317"/>
                <w:rFonts w:hint="eastAsia" w:ascii="宋体" w:hAnsi="宋体" w:cs="宋体"/>
                <w:bCs/>
                <w:color w:val="auto"/>
                <w:kern w:val="0"/>
                <w:sz w:val="24"/>
                <w:highlight w:val="none"/>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1" w:hRule="atLeast"/>
        </w:trPr>
        <w:tc>
          <w:tcPr>
            <w:tcW w:w="900" w:type="dxa"/>
            <w:tcBorders>
              <w:top w:val="single" w:color="000000" w:sz="8" w:space="0"/>
              <w:left w:val="single" w:color="000000" w:sz="8" w:space="0"/>
              <w:bottom w:val="single" w:color="000000" w:sz="8" w:space="0"/>
              <w:right w:val="single" w:color="000000" w:sz="8" w:space="0"/>
            </w:tcBorders>
            <w:noWrap w:val="0"/>
            <w:vAlign w:val="center"/>
          </w:tcPr>
          <w:p>
            <w:pPr>
              <w:spacing w:after="0" w:afterLines="0" w:line="360" w:lineRule="auto"/>
              <w:jc w:val="center"/>
              <w:rPr>
                <w:rStyle w:val="317"/>
                <w:rFonts w:hint="eastAsia" w:ascii="宋体" w:hAnsi="宋体" w:cs="宋体"/>
                <w:color w:val="auto"/>
                <w:kern w:val="0"/>
                <w:sz w:val="24"/>
                <w:highlight w:val="none"/>
              </w:rPr>
            </w:pPr>
            <w:r>
              <w:rPr>
                <w:rStyle w:val="317"/>
                <w:rFonts w:hint="eastAsia" w:ascii="宋体" w:hAnsi="宋体" w:cs="宋体"/>
                <w:color w:val="auto"/>
                <w:kern w:val="0"/>
                <w:sz w:val="24"/>
                <w:highlight w:val="none"/>
              </w:rPr>
              <w:t>1</w:t>
            </w:r>
          </w:p>
        </w:tc>
        <w:tc>
          <w:tcPr>
            <w:tcW w:w="1422" w:type="dxa"/>
            <w:tcBorders>
              <w:top w:val="single" w:color="000000" w:sz="8" w:space="0"/>
              <w:left w:val="single" w:color="000000" w:sz="8" w:space="0"/>
              <w:bottom w:val="single" w:color="000000" w:sz="8" w:space="0"/>
              <w:right w:val="single" w:color="000000" w:sz="8" w:space="0"/>
            </w:tcBorders>
            <w:noWrap w:val="0"/>
            <w:vAlign w:val="center"/>
          </w:tcPr>
          <w:p>
            <w:pPr>
              <w:spacing w:after="0" w:afterLines="0" w:line="360" w:lineRule="auto"/>
              <w:jc w:val="center"/>
              <w:rPr>
                <w:rStyle w:val="317"/>
                <w:rFonts w:hint="eastAsia" w:ascii="宋体" w:hAnsi="宋体" w:cs="宋体"/>
                <w:color w:val="auto"/>
                <w:kern w:val="0"/>
                <w:sz w:val="24"/>
                <w:highlight w:val="none"/>
              </w:rPr>
            </w:pPr>
            <w:r>
              <w:rPr>
                <w:rStyle w:val="317"/>
                <w:rFonts w:hint="eastAsia" w:ascii="宋体" w:hAnsi="宋体" w:cs="宋体"/>
                <w:color w:val="auto"/>
                <w:kern w:val="0"/>
                <w:sz w:val="24"/>
                <w:highlight w:val="none"/>
              </w:rPr>
              <w:t>投标报价得分</w:t>
            </w:r>
          </w:p>
        </w:tc>
        <w:tc>
          <w:tcPr>
            <w:tcW w:w="6118" w:type="dxa"/>
            <w:tcBorders>
              <w:top w:val="single" w:color="000000" w:sz="8" w:space="0"/>
              <w:left w:val="single" w:color="000000" w:sz="8" w:space="0"/>
              <w:bottom w:val="single" w:color="000000" w:sz="8" w:space="0"/>
              <w:right w:val="single" w:color="000000" w:sz="8" w:space="0"/>
            </w:tcBorders>
            <w:noWrap w:val="0"/>
            <w:vAlign w:val="center"/>
          </w:tcPr>
          <w:p>
            <w:pPr>
              <w:spacing w:after="0" w:afterLines="0" w:line="360" w:lineRule="auto"/>
              <w:rPr>
                <w:rStyle w:val="317"/>
                <w:rFonts w:hint="eastAsia" w:ascii="宋体" w:hAnsi="宋体" w:cs="宋体"/>
                <w:color w:val="auto"/>
                <w:kern w:val="0"/>
                <w:sz w:val="24"/>
                <w:highlight w:val="none"/>
              </w:rPr>
            </w:pPr>
            <w:r>
              <w:rPr>
                <w:rStyle w:val="317"/>
                <w:rFonts w:hint="eastAsia" w:ascii="宋体" w:hAnsi="宋体" w:cs="宋体"/>
                <w:color w:val="auto"/>
                <w:sz w:val="24"/>
                <w:highlight w:val="none"/>
              </w:rPr>
              <w:t>综合评分法中的价格分统一采用低价优先法计算，即满足招标文件要求且投标价格最低的评审价为评标基准价，其价格分为满分。其他投标人的价格分统一按照下列公式计算：价格得分＝（评标基准价/投标报价）×30</w:t>
            </w:r>
          </w:p>
        </w:tc>
        <w:tc>
          <w:tcPr>
            <w:tcW w:w="913" w:type="dxa"/>
            <w:tcBorders>
              <w:top w:val="single" w:color="000000" w:sz="8" w:space="0"/>
              <w:left w:val="single" w:color="000000" w:sz="8" w:space="0"/>
              <w:bottom w:val="single" w:color="000000" w:sz="8" w:space="0"/>
              <w:right w:val="single" w:color="000000" w:sz="8" w:space="0"/>
            </w:tcBorders>
            <w:noWrap w:val="0"/>
            <w:vAlign w:val="center"/>
          </w:tcPr>
          <w:p>
            <w:pPr>
              <w:spacing w:after="0" w:afterLines="0" w:line="360" w:lineRule="auto"/>
              <w:jc w:val="center"/>
              <w:rPr>
                <w:rStyle w:val="317"/>
                <w:rFonts w:hint="eastAsia" w:ascii="宋体" w:hAnsi="宋体" w:cs="宋体"/>
                <w:color w:val="auto"/>
                <w:kern w:val="0"/>
                <w:sz w:val="24"/>
                <w:highlight w:val="none"/>
              </w:rPr>
            </w:pPr>
            <w:r>
              <w:rPr>
                <w:rStyle w:val="317"/>
                <w:rFonts w:hint="eastAsia" w:ascii="宋体" w:hAnsi="宋体" w:cs="宋体"/>
                <w:color w:val="auto"/>
                <w:kern w:val="0"/>
                <w:sz w:val="24"/>
                <w:highlight w:val="none"/>
              </w:rPr>
              <w:t>30分</w:t>
            </w:r>
          </w:p>
        </w:tc>
      </w:tr>
    </w:tbl>
    <w:p>
      <w:pPr>
        <w:rPr>
          <w:color w:val="auto"/>
          <w:szCs w:val="21"/>
          <w:highlight w:val="none"/>
        </w:rPr>
      </w:pPr>
      <w:r>
        <w:rPr>
          <w:color w:val="auto"/>
          <w:szCs w:val="21"/>
          <w:highlight w:val="none"/>
        </w:rPr>
        <w:t>注：</w:t>
      </w:r>
      <w:r>
        <w:rPr>
          <w:rFonts w:hint="eastAsia"/>
          <w:color w:val="auto"/>
          <w:szCs w:val="21"/>
          <w:highlight w:val="none"/>
        </w:rPr>
        <w:t xml:space="preserve"> </w:t>
      </w:r>
    </w:p>
    <w:p>
      <w:pPr>
        <w:rPr>
          <w:color w:val="auto"/>
          <w:szCs w:val="21"/>
          <w:highlight w:val="none"/>
        </w:rPr>
      </w:pPr>
      <w:r>
        <w:rPr>
          <w:rFonts w:hint="eastAsia"/>
          <w:color w:val="auto"/>
          <w:szCs w:val="21"/>
          <w:highlight w:val="none"/>
        </w:rPr>
        <w:t>1、业绩证明材料须提供</w:t>
      </w:r>
      <w:r>
        <w:rPr>
          <w:rFonts w:hint="eastAsia" w:ascii="宋体" w:hAnsi="宋体" w:cs="宋体"/>
          <w:color w:val="auto"/>
          <w:szCs w:val="21"/>
          <w:highlight w:val="none"/>
        </w:rPr>
        <w:t>合同电子件（至少要包括合同首页、采购内容清单页、双方盖章签字页，并加盖投标人电子章）</w:t>
      </w:r>
      <w:r>
        <w:rPr>
          <w:rFonts w:hint="eastAsia"/>
          <w:color w:val="auto"/>
          <w:szCs w:val="21"/>
          <w:highlight w:val="none"/>
        </w:rPr>
        <w:t xml:space="preserve"> </w:t>
      </w:r>
    </w:p>
    <w:p>
      <w:pPr>
        <w:rPr>
          <w:color w:val="auto"/>
          <w:szCs w:val="21"/>
          <w:highlight w:val="none"/>
        </w:rPr>
      </w:pPr>
      <w:r>
        <w:rPr>
          <w:rFonts w:hint="eastAsia"/>
          <w:color w:val="auto"/>
          <w:szCs w:val="21"/>
          <w:highlight w:val="none"/>
        </w:rPr>
        <w:t>2、所有合同电子件应清晰，并由投标人加盖单位电子章；</w:t>
      </w:r>
    </w:p>
    <w:p>
      <w:pPr>
        <w:rPr>
          <w:rFonts w:hint="default" w:hAnsi="宋体" w:cs="宋体"/>
          <w:b/>
          <w:color w:val="auto"/>
          <w:sz w:val="36"/>
          <w:szCs w:val="36"/>
          <w:highlight w:val="none"/>
        </w:rPr>
        <w:sectPr>
          <w:footerReference r:id="rId9" w:type="default"/>
          <w:pgSz w:w="11907" w:h="16840"/>
          <w:pgMar w:top="1440" w:right="1797" w:bottom="1440" w:left="1797" w:header="851" w:footer="851" w:gutter="0"/>
          <w:cols w:space="720" w:num="1"/>
          <w:docGrid w:linePitch="462" w:charSpace="0"/>
        </w:sectPr>
      </w:pPr>
      <w:r>
        <w:rPr>
          <w:rFonts w:hint="eastAsia"/>
          <w:color w:val="auto"/>
          <w:szCs w:val="21"/>
          <w:highlight w:val="none"/>
        </w:rPr>
        <w:t>3、评标小组有权决定业绩是否对本项目的采购有指导意义，能否满足本项目的要求。</w:t>
      </w:r>
    </w:p>
    <w:p>
      <w:pPr>
        <w:pStyle w:val="176"/>
        <w:spacing w:line="360" w:lineRule="auto"/>
        <w:jc w:val="center"/>
        <w:outlineLvl w:val="0"/>
        <w:rPr>
          <w:rFonts w:hint="default" w:hAnsi="宋体" w:cs="宋体"/>
          <w:b/>
          <w:color w:val="auto"/>
          <w:sz w:val="36"/>
          <w:szCs w:val="36"/>
          <w:highlight w:val="none"/>
        </w:rPr>
      </w:pPr>
      <w:bookmarkStart w:id="293" w:name="_Toc229142824"/>
      <w:r>
        <w:rPr>
          <w:rFonts w:hAnsi="宋体" w:cs="宋体"/>
          <w:b/>
          <w:color w:val="auto"/>
          <w:sz w:val="36"/>
          <w:szCs w:val="36"/>
          <w:highlight w:val="none"/>
        </w:rPr>
        <w:t>第五章   采购需求</w:t>
      </w:r>
      <w:bookmarkEnd w:id="293"/>
    </w:p>
    <w:p>
      <w:pPr>
        <w:pStyle w:val="206"/>
        <w:numPr>
          <w:ilvl w:val="0"/>
          <w:numId w:val="18"/>
          <w:numberingChange w:id="189" w:author="Smita" w:date="2026-05-12T07:45:00Z" w:original="%1:1:11:、"/>
        </w:numPr>
        <w:spacing w:after="0" w:afterLines="0"/>
        <w:ind w:firstLineChars="0"/>
        <w:rPr>
          <w:rFonts w:cs="宋体"/>
          <w:b w:val="0"/>
          <w:color w:val="auto"/>
          <w:sz w:val="24"/>
          <w:szCs w:val="24"/>
          <w:highlight w:val="none"/>
        </w:rPr>
      </w:pPr>
      <w:r>
        <w:rPr>
          <w:rFonts w:hint="eastAsia" w:cs="宋体"/>
          <w:color w:val="auto"/>
          <w:sz w:val="24"/>
          <w:szCs w:val="24"/>
          <w:highlight w:val="none"/>
        </w:rPr>
        <w:t>货物需求</w:t>
      </w:r>
    </w:p>
    <w:tbl>
      <w:tblPr>
        <w:tblStyle w:val="29"/>
        <w:tblW w:w="8776"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1390"/>
        <w:gridCol w:w="5370"/>
        <w:gridCol w:w="675"/>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after="0" w:afterLines="0" w:line="240" w:lineRule="atLeast"/>
              <w:jc w:val="left"/>
              <w:textAlignment w:val="center"/>
              <w:rPr>
                <w:rFonts w:ascii="宋体" w:hAnsi="宋体" w:cs="宋体"/>
                <w:bCs/>
                <w:color w:val="auto"/>
                <w:sz w:val="24"/>
                <w:szCs w:val="24"/>
                <w:highlight w:val="none"/>
              </w:rPr>
            </w:pPr>
            <w:r>
              <w:rPr>
                <w:rFonts w:hint="eastAsia" w:ascii="宋体" w:hAnsi="宋体" w:cs="宋体"/>
                <w:bCs/>
                <w:color w:val="auto"/>
                <w:kern w:val="0"/>
                <w:sz w:val="24"/>
                <w:szCs w:val="24"/>
                <w:highlight w:val="none"/>
              </w:rPr>
              <w:t>序号</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after="0" w:afterLines="0" w:line="240" w:lineRule="atLeast"/>
              <w:jc w:val="left"/>
              <w:textAlignment w:val="center"/>
              <w:rPr>
                <w:rFonts w:ascii="宋体" w:hAnsi="宋体" w:cs="宋体"/>
                <w:bCs/>
                <w:color w:val="auto"/>
                <w:sz w:val="24"/>
                <w:szCs w:val="24"/>
                <w:highlight w:val="none"/>
              </w:rPr>
            </w:pPr>
            <w:r>
              <w:rPr>
                <w:rFonts w:hint="eastAsia" w:ascii="宋体" w:hAnsi="宋体" w:cs="宋体"/>
                <w:bCs/>
                <w:color w:val="auto"/>
                <w:kern w:val="0"/>
                <w:sz w:val="24"/>
                <w:szCs w:val="24"/>
                <w:highlight w:val="none"/>
              </w:rPr>
              <w:t>产品名称</w:t>
            </w:r>
          </w:p>
        </w:tc>
        <w:tc>
          <w:tcPr>
            <w:tcW w:w="537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adjustRightInd w:val="0"/>
              <w:snapToGrid w:val="0"/>
              <w:spacing w:after="0" w:afterLines="0" w:line="240" w:lineRule="atLeast"/>
              <w:jc w:val="left"/>
              <w:textAlignment w:val="center"/>
              <w:rPr>
                <w:rFonts w:ascii="宋体" w:hAnsi="宋体" w:cs="宋体"/>
                <w:bCs/>
                <w:color w:val="auto"/>
                <w:sz w:val="24"/>
                <w:szCs w:val="24"/>
                <w:highlight w:val="none"/>
              </w:rPr>
            </w:pPr>
            <w:r>
              <w:rPr>
                <w:rFonts w:hint="eastAsia" w:ascii="宋体" w:hAnsi="宋体" w:cs="宋体"/>
                <w:bCs/>
                <w:color w:val="auto"/>
                <w:kern w:val="0"/>
                <w:sz w:val="24"/>
                <w:szCs w:val="24"/>
                <w:highlight w:val="none"/>
              </w:rPr>
              <w:t>技术规格</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after="0" w:afterLines="0" w:line="240" w:lineRule="atLeast"/>
              <w:jc w:val="left"/>
              <w:textAlignment w:val="center"/>
              <w:rPr>
                <w:rFonts w:ascii="宋体" w:hAnsi="宋体" w:cs="宋体"/>
                <w:bCs/>
                <w:color w:val="auto"/>
                <w:sz w:val="24"/>
                <w:szCs w:val="24"/>
                <w:highlight w:val="none"/>
              </w:rPr>
            </w:pPr>
            <w:r>
              <w:rPr>
                <w:rFonts w:hint="eastAsia" w:ascii="宋体" w:hAnsi="宋体" w:cs="宋体"/>
                <w:bCs/>
                <w:color w:val="auto"/>
                <w:kern w:val="0"/>
                <w:sz w:val="24"/>
                <w:szCs w:val="24"/>
                <w:highlight w:val="none"/>
              </w:rPr>
              <w:t>单位</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after="0" w:afterLines="0" w:line="240" w:lineRule="atLeast"/>
              <w:jc w:val="left"/>
              <w:textAlignment w:val="center"/>
              <w:rPr>
                <w:rFonts w:ascii="宋体" w:hAnsi="宋体" w:cs="宋体"/>
                <w:bCs/>
                <w:color w:val="auto"/>
                <w:sz w:val="24"/>
                <w:szCs w:val="24"/>
                <w:highlight w:val="none"/>
              </w:rPr>
            </w:pPr>
            <w:r>
              <w:rPr>
                <w:rFonts w:hint="eastAsia" w:ascii="宋体" w:hAnsi="宋体" w:cs="宋体"/>
                <w:bCs/>
                <w:color w:val="auto"/>
                <w:kern w:val="0"/>
                <w:sz w:val="24"/>
                <w:szCs w:val="24"/>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rFonts w:hint="default" w:ascii="Times New Roman" w:hAnsi="Times New Roman" w:cs="Times New Roman"/>
                <w:bCs w:val="0"/>
                <w:color w:val="auto"/>
                <w:kern w:val="2"/>
                <w:sz w:val="21"/>
                <w:szCs w:val="24"/>
                <w:highlight w:val="none"/>
              </w:rPr>
              <w:t>影视特效与动画制作生产实践一体终端</w:t>
            </w:r>
          </w:p>
        </w:tc>
        <w:tc>
          <w:tcPr>
            <w:tcW w:w="5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widowControl/>
              <w:spacing w:after="0" w:afterLines="0" w:line="240" w:lineRule="auto"/>
              <w:jc w:val="left"/>
              <w:rPr>
                <w:rFonts w:hint="eastAsia"/>
                <w:color w:val="auto"/>
                <w:sz w:val="21"/>
                <w:szCs w:val="21"/>
                <w:highlight w:val="none"/>
              </w:rPr>
            </w:pPr>
            <w:r>
              <w:rPr>
                <w:rFonts w:hint="eastAsia"/>
                <w:color w:val="auto"/>
                <w:sz w:val="21"/>
                <w:szCs w:val="21"/>
                <w:highlight w:val="none"/>
              </w:rPr>
              <w:t>通过影视特效与动画制作生产实践一体终端，学生可进行创意需求，绘制概念图、故事板（Storyboard）和动态预览（Animatic），确定特效的风格和方向，创建角色、场景、道具等模型，使用 Houdini、Maya 等工具制作火焰、烟雾、爆炸、水流等粒子效果；</w:t>
            </w:r>
            <w:r>
              <w:rPr>
                <w:rFonts w:hint="eastAsia"/>
                <w:color w:val="auto"/>
                <w:sz w:val="21"/>
                <w:szCs w:val="21"/>
                <w:highlight w:val="none"/>
              </w:rPr>
              <w:br w:type="textWrapping"/>
            </w:r>
            <w:r>
              <w:rPr>
                <w:rFonts w:hint="eastAsia"/>
                <w:color w:val="auto"/>
                <w:sz w:val="21"/>
                <w:szCs w:val="21"/>
                <w:highlight w:val="none"/>
              </w:rPr>
              <w:t>1.支持光线追踪与DLSS 3.5技术；</w:t>
            </w:r>
            <w:r>
              <w:rPr>
                <w:rFonts w:hint="eastAsia"/>
                <w:color w:val="auto"/>
                <w:sz w:val="21"/>
                <w:szCs w:val="21"/>
                <w:highlight w:val="none"/>
              </w:rPr>
              <w:br w:type="textWrapping"/>
            </w:r>
            <w:r>
              <w:rPr>
                <w:rFonts w:hint="eastAsia"/>
                <w:color w:val="auto"/>
                <w:sz w:val="21"/>
                <w:szCs w:val="21"/>
                <w:highlight w:val="none"/>
              </w:rPr>
              <w:t>2读取速度</w:t>
            </w:r>
            <w:r>
              <w:rPr>
                <w:rFonts w:hint="eastAsia"/>
                <w:color w:val="auto"/>
                <w:sz w:val="21"/>
                <w:szCs w:val="21"/>
                <w:highlight w:val="none"/>
                <w:lang w:val="en-US" w:eastAsia="zh-CN"/>
              </w:rPr>
              <w:t>≥</w:t>
            </w:r>
            <w:r>
              <w:rPr>
                <w:rFonts w:hint="eastAsia"/>
                <w:color w:val="auto"/>
                <w:sz w:val="21"/>
                <w:szCs w:val="21"/>
                <w:highlight w:val="none"/>
              </w:rPr>
              <w:t>7,000MB/s；</w:t>
            </w:r>
            <w:r>
              <w:rPr>
                <w:rFonts w:hint="eastAsia"/>
                <w:color w:val="auto"/>
                <w:sz w:val="21"/>
                <w:szCs w:val="21"/>
                <w:highlight w:val="none"/>
              </w:rPr>
              <w:br w:type="textWrapping"/>
            </w:r>
            <w:r>
              <w:rPr>
                <w:rFonts w:hint="eastAsia"/>
                <w:color w:val="auto"/>
                <w:sz w:val="21"/>
                <w:szCs w:val="21"/>
                <w:highlight w:val="none"/>
              </w:rPr>
              <w:t>3.支持大型场景文件处理，满足微秒级（μs）内存交换延迟；</w:t>
            </w:r>
            <w:r>
              <w:rPr>
                <w:rFonts w:hint="eastAsia"/>
                <w:color w:val="auto"/>
                <w:sz w:val="21"/>
                <w:szCs w:val="21"/>
                <w:highlight w:val="none"/>
              </w:rPr>
              <w:br w:type="textWrapping"/>
            </w:r>
            <w:r>
              <w:rPr>
                <w:rFonts w:hint="eastAsia"/>
                <w:color w:val="auto"/>
                <w:sz w:val="21"/>
                <w:szCs w:val="21"/>
                <w:highlight w:val="none"/>
              </w:rPr>
              <w:t>4.</w:t>
            </w:r>
            <w:r>
              <w:rPr>
                <w:rFonts w:hint="eastAsia" w:ascii="宋体" w:hAnsi="宋体" w:eastAsia="宋体" w:cs="宋体"/>
                <w:i w:val="0"/>
                <w:iCs w:val="0"/>
                <w:color w:val="auto"/>
                <w:kern w:val="0"/>
                <w:sz w:val="21"/>
                <w:szCs w:val="21"/>
                <w:highlight w:val="none"/>
                <w:u w:val="none"/>
                <w:lang w:val="en-US" w:eastAsia="zh-CN"/>
              </w:rPr>
              <w:t>内网传输</w:t>
            </w:r>
            <w:r>
              <w:rPr>
                <w:rFonts w:hint="eastAsia" w:ascii="宋体" w:hAnsi="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t>10Gbps</w:t>
            </w:r>
            <w:r>
              <w:rPr>
                <w:rFonts w:hint="eastAsia"/>
                <w:color w:val="auto"/>
                <w:sz w:val="21"/>
                <w:szCs w:val="21"/>
                <w:highlight w:val="none"/>
              </w:rPr>
              <w:t>，适配NAS/服务器集群数据同步；</w:t>
            </w:r>
            <w:r>
              <w:rPr>
                <w:rFonts w:hint="eastAsia"/>
                <w:color w:val="auto"/>
                <w:sz w:val="21"/>
                <w:szCs w:val="21"/>
                <w:highlight w:val="none"/>
              </w:rPr>
              <w:br w:type="textWrapping"/>
            </w:r>
            <w:r>
              <w:rPr>
                <w:rFonts w:hint="eastAsia"/>
                <w:color w:val="auto"/>
                <w:sz w:val="21"/>
                <w:szCs w:val="21"/>
                <w:highlight w:val="none"/>
              </w:rPr>
              <w:t>5.支持KVM/PBP分屏，可同时连接工作站与笔记本，一键切换信号源；</w:t>
            </w:r>
            <w:r>
              <w:rPr>
                <w:rFonts w:hint="eastAsia"/>
                <w:color w:val="auto"/>
                <w:sz w:val="21"/>
                <w:szCs w:val="21"/>
                <w:highlight w:val="none"/>
              </w:rPr>
              <w:br w:type="textWrapping"/>
            </w:r>
            <w:r>
              <w:rPr>
                <w:rFonts w:hint="eastAsia"/>
                <w:color w:val="auto"/>
                <w:sz w:val="21"/>
                <w:szCs w:val="21"/>
                <w:highlight w:val="none"/>
              </w:rPr>
              <w:t>6.支持</w:t>
            </w:r>
            <w:r>
              <w:rPr>
                <w:rFonts w:hint="eastAsia" w:ascii="宋体" w:hAnsi="宋体" w:eastAsia="宋体" w:cs="宋体"/>
                <w:b w:val="0"/>
                <w:bCs/>
                <w:color w:val="auto"/>
                <w:kern w:val="0"/>
                <w:szCs w:val="21"/>
                <w:highlight w:val="none"/>
                <w:lang w:val="en-US" w:eastAsia="zh-CN"/>
              </w:rPr>
              <w:t>≥2</w:t>
            </w:r>
            <w:r>
              <w:rPr>
                <w:rFonts w:hint="eastAsia"/>
                <w:color w:val="auto"/>
                <w:sz w:val="21"/>
                <w:szCs w:val="21"/>
                <w:highlight w:val="none"/>
              </w:rPr>
              <w:t>硬盘扩展；</w:t>
            </w:r>
            <w:r>
              <w:rPr>
                <w:rFonts w:hint="eastAsia"/>
                <w:color w:val="auto"/>
                <w:sz w:val="21"/>
                <w:szCs w:val="21"/>
                <w:highlight w:val="none"/>
              </w:rPr>
              <w:br w:type="textWrapping"/>
            </w:r>
            <w:r>
              <w:rPr>
                <w:rFonts w:hint="eastAsia"/>
                <w:color w:val="auto"/>
                <w:sz w:val="21"/>
                <w:szCs w:val="21"/>
                <w:highlight w:val="none"/>
              </w:rPr>
              <w:t>7.支持Proxmox VE环境搭建；</w:t>
            </w:r>
            <w:r>
              <w:rPr>
                <w:rFonts w:hint="eastAsia"/>
                <w:color w:val="auto"/>
                <w:sz w:val="21"/>
                <w:szCs w:val="21"/>
                <w:highlight w:val="none"/>
              </w:rPr>
              <w:br w:type="textWrapping"/>
            </w:r>
            <w:r>
              <w:rPr>
                <w:rFonts w:hint="eastAsia"/>
                <w:color w:val="auto"/>
                <w:sz w:val="21"/>
                <w:szCs w:val="21"/>
                <w:highlight w:val="none"/>
              </w:rPr>
              <w:t>8.兼容多系统环境；</w:t>
            </w:r>
            <w:r>
              <w:rPr>
                <w:rFonts w:hint="eastAsia"/>
                <w:color w:val="auto"/>
                <w:sz w:val="21"/>
                <w:szCs w:val="21"/>
                <w:highlight w:val="none"/>
              </w:rPr>
              <w:br w:type="textWrapping"/>
            </w:r>
            <w:r>
              <w:rPr>
                <w:rFonts w:hint="eastAsia"/>
                <w:color w:val="auto"/>
                <w:sz w:val="21"/>
                <w:szCs w:val="21"/>
                <w:highlight w:val="none"/>
              </w:rPr>
              <w:t>9.</w:t>
            </w:r>
            <w:r>
              <w:rPr>
                <w:rFonts w:hint="eastAsia"/>
                <w:color w:val="auto"/>
                <w:sz w:val="21"/>
                <w:szCs w:val="21"/>
                <w:highlight w:val="none"/>
                <w:lang w:val="en-US" w:eastAsia="zh-CN"/>
              </w:rPr>
              <w:t>支持</w:t>
            </w:r>
            <w:r>
              <w:rPr>
                <w:rFonts w:hint="default"/>
                <w:color w:val="auto"/>
                <w:sz w:val="21"/>
                <w:szCs w:val="21"/>
                <w:highlight w:val="none"/>
                <w:lang w:val="en-US"/>
              </w:rPr>
              <w:t>USB</w:t>
            </w:r>
            <w:r>
              <w:rPr>
                <w:rFonts w:hint="eastAsia"/>
                <w:color w:val="auto"/>
                <w:sz w:val="21"/>
                <w:szCs w:val="21"/>
                <w:highlight w:val="none"/>
                <w:lang w:val="en-US" w:eastAsia="zh-CN"/>
              </w:rPr>
              <w:t>、PCIE</w:t>
            </w:r>
            <w:r>
              <w:rPr>
                <w:rFonts w:hint="eastAsia"/>
                <w:color w:val="auto"/>
                <w:sz w:val="21"/>
                <w:szCs w:val="21"/>
                <w:highlight w:val="none"/>
              </w:rPr>
              <w:t>接口</w:t>
            </w:r>
            <w:r>
              <w:rPr>
                <w:rFonts w:hint="eastAsia"/>
                <w:color w:val="auto"/>
                <w:sz w:val="21"/>
                <w:szCs w:val="21"/>
                <w:highlight w:val="none"/>
                <w:lang w:val="en-US" w:eastAsia="zh-CN"/>
              </w:rPr>
              <w:t>拓展</w:t>
            </w:r>
            <w:r>
              <w:rPr>
                <w:rFonts w:hint="eastAsia"/>
                <w:color w:val="auto"/>
                <w:sz w:val="21"/>
                <w:szCs w:val="21"/>
                <w:highlight w:val="none"/>
              </w:rPr>
              <w:t>；</w:t>
            </w:r>
            <w:r>
              <w:rPr>
                <w:rFonts w:hint="eastAsia"/>
                <w:color w:val="auto"/>
                <w:sz w:val="21"/>
                <w:szCs w:val="21"/>
                <w:highlight w:val="none"/>
              </w:rPr>
              <w:br w:type="textWrapping"/>
            </w:r>
            <w:r>
              <w:rPr>
                <w:rFonts w:hint="eastAsia"/>
                <w:color w:val="auto"/>
                <w:sz w:val="21"/>
                <w:szCs w:val="21"/>
                <w:highlight w:val="none"/>
              </w:rPr>
              <w:t>10.支持</w:t>
            </w:r>
            <w:r>
              <w:rPr>
                <w:rFonts w:hint="eastAsia" w:ascii="宋体" w:hAnsi="宋体" w:eastAsia="宋体" w:cs="宋体"/>
                <w:b w:val="0"/>
                <w:bCs/>
                <w:color w:val="auto"/>
                <w:kern w:val="0"/>
                <w:szCs w:val="21"/>
                <w:highlight w:val="none"/>
                <w:lang w:val="en-US" w:eastAsia="zh-CN"/>
              </w:rPr>
              <w:t>≥20</w:t>
            </w:r>
            <w:r>
              <w:rPr>
                <w:rFonts w:hint="eastAsia"/>
                <w:color w:val="auto"/>
                <w:sz w:val="21"/>
                <w:szCs w:val="21"/>
                <w:highlight w:val="none"/>
              </w:rPr>
              <w:t>线程处理，可同时处理多任务场景；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11.系统支持编辑制作可视化虚拟场景，支持无限图层自定义添加，采用无轨虚拟技术，支持单个条目无轨虚拟≥20个虚拟机位，支持虚拟镜头推拉，平移，旋转，运动速度可自由调节需（提供此条参数的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12.系统支持通过小程序控制：支持≥66组按键执行录播操作控制。PGM和PVW支持≥16路的主监切换按键，带有AUTO和TAKE，每个场景通道支持播放和停止，每个视频通道和图片通道支持播放停止，DSK下游建可打开，关闭，自动执行等可实时通过小程序控制录制，直播，多通道录制，外部输出等控制。小程序和录播联动，录播按下小程序也会相应点亮功能按钮，小程序控制按下录播执行成功后点亮按钮。（需</w:t>
            </w:r>
            <w:r>
              <w:rPr>
                <w:rFonts w:hint="eastAsia" w:ascii="宋体" w:hAnsi="宋体" w:cs="宋体"/>
                <w:b w:val="0"/>
                <w:bCs/>
                <w:color w:val="auto"/>
                <w:kern w:val="0"/>
                <w:szCs w:val="21"/>
                <w:highlight w:val="none"/>
                <w:lang w:val="en-US" w:eastAsia="zh-CN"/>
              </w:rPr>
              <w:t>提供功能</w:t>
            </w:r>
            <w:r>
              <w:rPr>
                <w:rFonts w:hint="eastAsia" w:ascii="宋体" w:hAnsi="宋体" w:eastAsia="宋体" w:cs="宋体"/>
                <w:b w:val="0"/>
                <w:bCs/>
                <w:color w:val="auto"/>
                <w:kern w:val="0"/>
                <w:szCs w:val="21"/>
                <w:highlight w:val="none"/>
                <w:lang w:val="en-US" w:eastAsia="zh-CN"/>
              </w:rPr>
              <w:t>检验报告，并加盖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13.系统具有CG字幕编辑功能，可支持摄像机，视频，图片，文字等导入字幕编辑后再次导入编辑系统使用。能够制作丰富的字幕模板,并且还可以制作虚拟场景。对每个素材可以进行位置图层调整。字幕列表：可添加CG字幕编辑好的场景或者字幕，可导入多个字幕文件，支持拍打唱词效果。（需提供此条参数的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14.系统支持绿膜/绿膜背景颜色输出到大屏，蓝/绿背景颜色透明度可自由调节，同时支持RGB255种颜色输出，主讲人透过虚拟蓝箱可以清晰看见课件背景内容，方便录制虚拟微课时避免出现“盲指”现象，微课制作更直观精美；支持在虚拟蓝/绿箱屏幕上进行画笔、擦除、翻页等应用，画笔痕迹可叠加到录制效果画面中。（需</w:t>
            </w:r>
            <w:r>
              <w:rPr>
                <w:rFonts w:hint="eastAsia" w:ascii="宋体" w:hAnsi="宋体" w:cs="宋体"/>
                <w:b w:val="0"/>
                <w:bCs/>
                <w:color w:val="auto"/>
                <w:kern w:val="0"/>
                <w:szCs w:val="21"/>
                <w:highlight w:val="none"/>
                <w:lang w:val="en-US" w:eastAsia="zh-CN"/>
              </w:rPr>
              <w:t>提供功能</w:t>
            </w:r>
            <w:r>
              <w:rPr>
                <w:rFonts w:hint="eastAsia" w:ascii="宋体" w:hAnsi="宋体" w:eastAsia="宋体" w:cs="宋体"/>
                <w:b w:val="0"/>
                <w:bCs/>
                <w:color w:val="auto"/>
                <w:kern w:val="0"/>
                <w:szCs w:val="21"/>
                <w:highlight w:val="none"/>
                <w:lang w:val="en-US" w:eastAsia="zh-CN"/>
              </w:rPr>
              <w:t>检验报告，并加盖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#15.支持画面快照功能，支持设定不同信号PGM/PVW/PGM(清流)，不同格式PNG/JPG/TIFF/BMP同时生成;支持任意输入信号自定义裁剪，旋转，镜像，隔行处理。（需</w:t>
            </w:r>
            <w:r>
              <w:rPr>
                <w:rFonts w:hint="eastAsia" w:ascii="宋体" w:hAnsi="宋体" w:cs="宋体"/>
                <w:b w:val="0"/>
                <w:bCs/>
                <w:color w:val="auto"/>
                <w:kern w:val="0"/>
                <w:szCs w:val="21"/>
                <w:highlight w:val="none"/>
                <w:lang w:val="en-US" w:eastAsia="zh-CN"/>
              </w:rPr>
              <w:t>提供功能</w:t>
            </w:r>
            <w:r>
              <w:rPr>
                <w:rFonts w:hint="eastAsia" w:ascii="宋体" w:hAnsi="宋体" w:eastAsia="宋体" w:cs="宋体"/>
                <w:b w:val="0"/>
                <w:bCs/>
                <w:color w:val="auto"/>
                <w:kern w:val="0"/>
                <w:szCs w:val="21"/>
                <w:highlight w:val="none"/>
                <w:lang w:val="en-US" w:eastAsia="zh-CN"/>
              </w:rPr>
              <w:t>检验报告，并加盖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#16.系统支持实时图层混合模式，包括变暗，正片叠底，颜色加深等不低于15种方式。具有实时特效功能，美颜，老电影，光晕，模糊，色彩校正，隔离颜色等不低于30种特效。（需</w:t>
            </w:r>
            <w:r>
              <w:rPr>
                <w:rFonts w:hint="eastAsia" w:ascii="宋体" w:hAnsi="宋体" w:cs="宋体"/>
                <w:b w:val="0"/>
                <w:bCs/>
                <w:color w:val="auto"/>
                <w:kern w:val="0"/>
                <w:szCs w:val="21"/>
                <w:highlight w:val="none"/>
                <w:lang w:val="en-US" w:eastAsia="zh-CN"/>
              </w:rPr>
              <w:t>提供功能</w:t>
            </w:r>
            <w:r>
              <w:rPr>
                <w:rFonts w:hint="eastAsia" w:ascii="宋体" w:hAnsi="宋体" w:eastAsia="宋体" w:cs="宋体"/>
                <w:b w:val="0"/>
                <w:bCs/>
                <w:color w:val="auto"/>
                <w:kern w:val="0"/>
                <w:szCs w:val="21"/>
                <w:highlight w:val="none"/>
                <w:lang w:val="en-US" w:eastAsia="zh-CN"/>
              </w:rPr>
              <w:t>检验报告，并加盖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17.系统具备全局的宏命令功能，可自行创建宏命令，指定宏命令执行快捷键，实现一键操作触发，支持多种触发方式;支持MIDI协议的设备连接，可连接MIDI控制设备，并且在这些设备上实现对系统的操作和控制。（需</w:t>
            </w:r>
            <w:r>
              <w:rPr>
                <w:rFonts w:hint="eastAsia" w:ascii="宋体" w:hAnsi="宋体" w:cs="宋体"/>
                <w:b w:val="0"/>
                <w:bCs/>
                <w:color w:val="auto"/>
                <w:kern w:val="0"/>
                <w:szCs w:val="21"/>
                <w:highlight w:val="none"/>
                <w:lang w:val="en-US" w:eastAsia="zh-CN"/>
              </w:rPr>
              <w:t>提供功能</w:t>
            </w:r>
            <w:r>
              <w:rPr>
                <w:rFonts w:hint="eastAsia" w:ascii="宋体" w:hAnsi="宋体" w:eastAsia="宋体" w:cs="宋体"/>
                <w:b w:val="0"/>
                <w:bCs/>
                <w:color w:val="auto"/>
                <w:kern w:val="0"/>
                <w:szCs w:val="21"/>
                <w:highlight w:val="none"/>
                <w:lang w:val="en-US" w:eastAsia="zh-CN"/>
              </w:rPr>
              <w:t>检验报告，并加盖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#18.具备分散配置，集中管理，具备视频数据安全防护操作，支持双向文件交互，可对文件进行深度解析。（需提供功能截图证明文件，并加盖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ind w:left="0" w:leftChars="0" w:firstLine="0" w:firstLineChars="0"/>
              <w:jc w:val="left"/>
              <w:textAlignment w:val="center"/>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#19.数字视音频信号由被测系统以“MP4-H.264 20Mbps”方式采集.重放 HD SDI接口特性及信号格式，信号幅度为≧786mV，上升时间为≦192ps，下降时间为≦198ps，上升和下降时间的偏差为6ps，CRC误码秒数为0。（需</w:t>
            </w:r>
            <w:r>
              <w:rPr>
                <w:rFonts w:hint="eastAsia" w:ascii="宋体" w:hAnsi="宋体" w:cs="宋体"/>
                <w:b w:val="0"/>
                <w:bCs/>
                <w:color w:val="auto"/>
                <w:kern w:val="0"/>
                <w:szCs w:val="21"/>
                <w:highlight w:val="none"/>
                <w:lang w:val="en-US" w:eastAsia="zh-CN"/>
              </w:rPr>
              <w:t>提供功能</w:t>
            </w:r>
            <w:r>
              <w:rPr>
                <w:rFonts w:hint="eastAsia" w:ascii="宋体" w:hAnsi="宋体" w:eastAsia="宋体" w:cs="宋体"/>
                <w:b w:val="0"/>
                <w:bCs/>
                <w:color w:val="auto"/>
                <w:kern w:val="0"/>
                <w:szCs w:val="21"/>
                <w:highlight w:val="none"/>
                <w:lang w:val="en-US" w:eastAsia="zh-CN"/>
              </w:rPr>
              <w:t>检验报告，并加盖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val="0"/>
                <w:bCs/>
                <w:color w:val="auto"/>
                <w:kern w:val="0"/>
                <w:szCs w:val="21"/>
                <w:highlight w:val="none"/>
                <w:lang w:val="en-US" w:eastAsia="zh-CN"/>
              </w:rPr>
              <w:t>#20.具备一键式自助操作系智能遥控终端，具备8键按钮，可一键开始录制、暂停、直播、PPT上下翻页，4组场景切换，一键开启抠像绿膜软件，录制power灯和data灯，切换power灯和data灯提示。（需</w:t>
            </w:r>
            <w:r>
              <w:rPr>
                <w:rFonts w:hint="eastAsia" w:ascii="宋体" w:hAnsi="宋体" w:cs="宋体"/>
                <w:b w:val="0"/>
                <w:bCs/>
                <w:color w:val="auto"/>
                <w:kern w:val="0"/>
                <w:szCs w:val="21"/>
                <w:highlight w:val="none"/>
                <w:lang w:val="en-US" w:eastAsia="zh-CN"/>
              </w:rPr>
              <w:t>提供功能</w:t>
            </w:r>
            <w:r>
              <w:rPr>
                <w:rFonts w:hint="eastAsia" w:ascii="宋体" w:hAnsi="宋体" w:eastAsia="宋体" w:cs="宋体"/>
                <w:b w:val="0"/>
                <w:bCs/>
                <w:color w:val="auto"/>
                <w:kern w:val="0"/>
                <w:szCs w:val="21"/>
                <w:highlight w:val="none"/>
                <w:lang w:val="en-US" w:eastAsia="zh-CN"/>
              </w:rPr>
              <w:t>检验报告，并加盖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r>
              <w:rPr>
                <w:rFonts w:hint="eastAsia"/>
                <w:color w:val="auto"/>
                <w:sz w:val="21"/>
                <w:szCs w:val="21"/>
                <w:highlight w:val="none"/>
              </w:rPr>
              <w:br w:type="textWrapping"/>
            </w:r>
            <w:r>
              <w:rPr>
                <w:rFonts w:hint="eastAsia" w:ascii="宋体" w:hAnsi="宋体" w:eastAsia="宋体" w:cs="宋体"/>
                <w:i w:val="0"/>
                <w:iCs w:val="0"/>
                <w:color w:val="auto"/>
                <w:kern w:val="0"/>
                <w:sz w:val="21"/>
                <w:szCs w:val="21"/>
                <w:highlight w:val="none"/>
                <w:u w:val="none"/>
                <w:lang w:val="en-US" w:eastAsia="zh-CN"/>
              </w:rPr>
              <w:t>21.终端设备配置：</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（1）处理器：配备核心20线程，30MB智能缓存，睿频5.5Ghz*1；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（2）处理器散热：配备CPU配套360水冷散热器；</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（3）系统硬盘：配备PCIE-G42TBNVMESSD硬盘*1；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（4）主板：配备Z890芯片组ATX带多个PCIE扩展槽工作站主板+万兆光口卡*1；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（5）内存：搭载DDR5内存条，32G*2 =64G；</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（6）显卡：搭载8G独立显卡*1；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（7）电源：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1000W黄金认证ATX3.0、PCIe5.0全模组ATX电源；</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（8）机箱：4U机架式塔式双用机箱；</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（9）显示器：27英寸4KHDRType-C可充电显示器；</w:t>
            </w:r>
          </w:p>
          <w:p>
            <w:pPr>
              <w:widowControl/>
              <w:spacing w:after="0" w:afterLines="0" w:line="240" w:lineRule="auto"/>
              <w:jc w:val="left"/>
              <w:rPr>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（10）配套外接设备：企业级键鼠套装。</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套</w:t>
            </w: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3</w:t>
            </w:r>
            <w:r>
              <w:rPr>
                <w:rFonts w:ascii="宋体" w:hAnsi="宋体" w:cs="宋体"/>
                <w:bCs/>
                <w:color w:val="auto"/>
                <w:kern w:val="0"/>
                <w:sz w:val="28"/>
                <w:szCs w:val="28"/>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color w:val="auto"/>
                <w:highlight w:val="none"/>
              </w:rPr>
              <w:t>数位板</w:t>
            </w:r>
          </w:p>
        </w:tc>
        <w:tc>
          <w:tcPr>
            <w:tcW w:w="5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1. 尺寸：中号；</w:t>
            </w:r>
          </w:p>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2有效工作区域：</w:t>
            </w:r>
            <w:r>
              <w:rPr>
                <w:rFonts w:hint="eastAsia"/>
                <w:color w:val="auto"/>
                <w:sz w:val="22"/>
                <w:szCs w:val="28"/>
                <w:highlight w:val="none"/>
                <w:lang w:val="en-US" w:eastAsia="zh-CN"/>
              </w:rPr>
              <w:t>≥</w:t>
            </w:r>
            <w:r>
              <w:rPr>
                <w:rFonts w:hint="eastAsia"/>
                <w:color w:val="auto"/>
                <w:sz w:val="22"/>
                <w:szCs w:val="28"/>
                <w:highlight w:val="none"/>
              </w:rPr>
              <w:t>224 x 148 mm；</w:t>
            </w:r>
          </w:p>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3. 压感级别：8192级压感；</w:t>
            </w:r>
          </w:p>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4. 读取速度：</w:t>
            </w:r>
            <w:r>
              <w:rPr>
                <w:rFonts w:hint="eastAsia"/>
                <w:color w:val="auto"/>
                <w:sz w:val="22"/>
                <w:szCs w:val="28"/>
                <w:highlight w:val="none"/>
                <w:lang w:val="en-US" w:eastAsia="zh-CN"/>
              </w:rPr>
              <w:t>≥</w:t>
            </w:r>
            <w:r>
              <w:rPr>
                <w:rFonts w:hint="eastAsia"/>
                <w:color w:val="auto"/>
                <w:sz w:val="22"/>
                <w:szCs w:val="28"/>
                <w:highlight w:val="none"/>
              </w:rPr>
              <w:t>200点/秒；</w:t>
            </w:r>
          </w:p>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5. 分辨率：</w:t>
            </w:r>
            <w:r>
              <w:rPr>
                <w:rFonts w:hint="eastAsia"/>
                <w:color w:val="auto"/>
                <w:sz w:val="22"/>
                <w:szCs w:val="28"/>
                <w:highlight w:val="none"/>
                <w:lang w:val="en-US" w:eastAsia="zh-CN"/>
              </w:rPr>
              <w:t>≥</w:t>
            </w:r>
            <w:r>
              <w:rPr>
                <w:rFonts w:hint="eastAsia"/>
                <w:color w:val="auto"/>
                <w:sz w:val="22"/>
                <w:szCs w:val="28"/>
                <w:highlight w:val="none"/>
              </w:rPr>
              <w:t>5080 LPI（线每英寸）；</w:t>
            </w:r>
          </w:p>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6. 倾斜感应：支持，±60度；</w:t>
            </w:r>
          </w:p>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7. 笔类型：无需电池，支持橡皮擦功能</w:t>
            </w:r>
          </w:p>
          <w:p>
            <w:pPr>
              <w:widowControl/>
              <w:adjustRightInd w:val="0"/>
              <w:snapToGrid w:val="0"/>
              <w:spacing w:after="0" w:afterLines="0" w:line="240" w:lineRule="atLeast"/>
              <w:jc w:val="left"/>
              <w:textAlignment w:val="center"/>
              <w:rPr>
                <w:color w:val="auto"/>
                <w:sz w:val="22"/>
                <w:szCs w:val="28"/>
                <w:highlight w:val="none"/>
              </w:rPr>
            </w:pPr>
            <w:r>
              <w:rPr>
                <w:rFonts w:hint="eastAsia"/>
                <w:color w:val="auto"/>
                <w:sz w:val="22"/>
                <w:szCs w:val="28"/>
                <w:highlight w:val="none"/>
              </w:rPr>
              <w:t>8. 快捷键：8个可自定义ExpressKeys，触控环（Touch Ring）用于快速调整画笔大小、缩放等；</w:t>
            </w:r>
          </w:p>
          <w:p>
            <w:pPr>
              <w:widowControl/>
              <w:adjustRightInd w:val="0"/>
              <w:snapToGrid w:val="0"/>
              <w:spacing w:after="0" w:afterLines="0" w:line="240" w:lineRule="atLeast"/>
              <w:jc w:val="left"/>
              <w:textAlignment w:val="center"/>
              <w:rPr>
                <w:rFonts w:ascii="宋体" w:hAnsi="宋体" w:cs="宋体"/>
                <w:bCs/>
                <w:color w:val="auto"/>
                <w:kern w:val="0"/>
                <w:sz w:val="32"/>
                <w:szCs w:val="32"/>
                <w:highlight w:val="none"/>
              </w:rPr>
            </w:pPr>
            <w:r>
              <w:rPr>
                <w:rFonts w:hint="eastAsia"/>
                <w:color w:val="auto"/>
                <w:sz w:val="22"/>
                <w:szCs w:val="28"/>
                <w:highlight w:val="none"/>
              </w:rPr>
              <w:t>9. 多点触控：支持多点触控手势，如缩放、旋转、滚动等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cs="宋体"/>
                <w:bCs/>
                <w:color w:val="auto"/>
                <w:kern w:val="0"/>
                <w:sz w:val="28"/>
                <w:szCs w:val="28"/>
                <w:highlight w:val="none"/>
              </w:rPr>
            </w:pPr>
            <w:r>
              <w:rPr>
                <w:rFonts w:ascii="宋体" w:hAnsi="宋体" w:cs="宋体"/>
                <w:bCs/>
                <w:color w:val="auto"/>
                <w:kern w:val="0"/>
                <w:sz w:val="28"/>
                <w:szCs w:val="28"/>
                <w:highlight w:val="none"/>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1"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rFonts w:ascii="宋体" w:hAnsi="宋体" w:cs="宋体"/>
                <w:bCs/>
                <w:color w:val="auto"/>
                <w:kern w:val="0"/>
                <w:sz w:val="28"/>
                <w:szCs w:val="28"/>
                <w:highlight w:val="none"/>
              </w:rPr>
              <w:t>3</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color w:val="auto"/>
                <w:highlight w:val="none"/>
              </w:rPr>
              <w:t>教学素材管理存储</w:t>
            </w:r>
            <w:r>
              <w:rPr>
                <w:color w:val="auto"/>
                <w:highlight w:val="none"/>
                <w:lang w:val="en-US"/>
              </w:rPr>
              <w:t>终端</w:t>
            </w:r>
            <w:r>
              <w:rPr>
                <w:rFonts w:hint="eastAsia"/>
                <w:color w:val="auto"/>
                <w:highlight w:val="none"/>
                <w:lang w:eastAsia="zh-CN"/>
              </w:rPr>
              <w:t>（</w:t>
            </w:r>
            <w:r>
              <w:rPr>
                <w:rFonts w:hint="default" w:ascii="宋体" w:hAnsi="宋体" w:eastAsia="宋体"/>
                <w:b/>
                <w:i w:val="0"/>
                <w:snapToGrid/>
                <w:color w:val="auto"/>
                <w:sz w:val="21"/>
                <w:highlight w:val="none"/>
                <w:shd w:val="clear" w:color="auto" w:fill="F9F9F9"/>
                <w:lang w:eastAsia="zh-CN"/>
              </w:rPr>
              <w:t>核心产品</w:t>
            </w:r>
            <w:r>
              <w:rPr>
                <w:rFonts w:hint="eastAsia"/>
                <w:color w:val="auto"/>
                <w:highlight w:val="none"/>
                <w:lang w:eastAsia="zh-CN"/>
              </w:rPr>
              <w:t>）</w:t>
            </w:r>
          </w:p>
        </w:tc>
        <w:tc>
          <w:tcPr>
            <w:tcW w:w="5370" w:type="dxa"/>
            <w:tcBorders>
              <w:top w:val="single" w:color="000000" w:sz="4" w:space="0"/>
              <w:left w:val="single" w:color="000000" w:sz="4" w:space="0"/>
              <w:right w:val="single" w:color="000000" w:sz="4" w:space="0"/>
            </w:tcBorders>
            <w:noWrap w:val="0"/>
            <w:tcMar>
              <w:top w:w="15" w:type="dxa"/>
              <w:left w:w="15" w:type="dxa"/>
              <w:right w:w="15" w:type="dxa"/>
            </w:tcMar>
            <w:vAlign w:val="top"/>
          </w:tcPr>
          <w:p>
            <w:pPr>
              <w:widowControl/>
              <w:spacing w:after="0" w:afterLines="0" w:line="240" w:lineRule="auto"/>
              <w:jc w:val="left"/>
              <w:rPr>
                <w:rFonts w:hint="eastAsia"/>
                <w:color w:val="auto"/>
                <w:sz w:val="21"/>
                <w:szCs w:val="21"/>
                <w:highlight w:val="none"/>
              </w:rPr>
            </w:pPr>
            <w:r>
              <w:rPr>
                <w:rFonts w:hint="eastAsia"/>
                <w:color w:val="auto"/>
                <w:sz w:val="21"/>
                <w:szCs w:val="21"/>
                <w:highlight w:val="none"/>
              </w:rPr>
              <w:t>教学素材管理存储终端，搭载 Linux 系统设计的控制软件，用于管理和配置 iSCSI 和 NAS（网络附加存储）系统。它提供了一个用户友好的界面，帮助学校轻松管理存储资源、配置网络存储设备以及监控系统状态；</w:t>
            </w:r>
            <w:r>
              <w:rPr>
                <w:rFonts w:hint="eastAsia"/>
                <w:color w:val="auto"/>
                <w:sz w:val="21"/>
                <w:szCs w:val="21"/>
                <w:highlight w:val="none"/>
              </w:rPr>
              <w:br w:type="textWrapping"/>
            </w:r>
            <w:r>
              <w:rPr>
                <w:rFonts w:hint="eastAsia"/>
                <w:color w:val="auto"/>
                <w:sz w:val="21"/>
                <w:szCs w:val="21"/>
                <w:highlight w:val="none"/>
              </w:rPr>
              <w:t>1.支持</w:t>
            </w:r>
            <w:r>
              <w:rPr>
                <w:rFonts w:hint="eastAsia" w:ascii="宋体" w:hAnsi="宋体" w:cs="宋体"/>
                <w:b w:val="0"/>
                <w:bCs w:val="0"/>
                <w:i w:val="0"/>
                <w:iCs w:val="0"/>
                <w:color w:val="auto"/>
                <w:kern w:val="0"/>
                <w:sz w:val="21"/>
                <w:szCs w:val="21"/>
                <w:highlight w:val="none"/>
                <w:u w:val="none"/>
                <w:lang w:val="en-US" w:eastAsia="zh-CN"/>
              </w:rPr>
              <w:t>≥</w:t>
            </w:r>
            <w:r>
              <w:rPr>
                <w:rFonts w:hint="eastAsia"/>
                <w:color w:val="auto"/>
                <w:sz w:val="21"/>
                <w:szCs w:val="21"/>
                <w:highlight w:val="none"/>
              </w:rPr>
              <w:t>12.5GB/s数据传输能力，满足8K视频流实时编辑、HPC集群存储需求；</w:t>
            </w:r>
            <w:r>
              <w:rPr>
                <w:rFonts w:hint="eastAsia"/>
                <w:color w:val="auto"/>
                <w:sz w:val="21"/>
                <w:szCs w:val="21"/>
                <w:highlight w:val="none"/>
              </w:rPr>
              <w:br w:type="textWrapping"/>
            </w:r>
            <w:r>
              <w:rPr>
                <w:rFonts w:hint="eastAsia"/>
                <w:color w:val="auto"/>
                <w:sz w:val="21"/>
                <w:szCs w:val="21"/>
                <w:highlight w:val="none"/>
              </w:rPr>
              <w:t>2.支持2,500MB/s RAID6随机读写速度；</w:t>
            </w:r>
            <w:r>
              <w:rPr>
                <w:rFonts w:hint="eastAsia"/>
                <w:color w:val="auto"/>
                <w:sz w:val="21"/>
                <w:szCs w:val="21"/>
                <w:highlight w:val="none"/>
              </w:rPr>
              <w:br w:type="textWrapping"/>
            </w:r>
            <w:r>
              <w:rPr>
                <w:rFonts w:hint="eastAsia"/>
                <w:color w:val="auto"/>
                <w:sz w:val="21"/>
                <w:szCs w:val="21"/>
                <w:highlight w:val="none"/>
              </w:rPr>
              <w:t>3.支持并行处理1,000+虚拟机IO请求；</w:t>
            </w:r>
            <w:r>
              <w:rPr>
                <w:rFonts w:hint="eastAsia"/>
                <w:color w:val="auto"/>
                <w:sz w:val="21"/>
                <w:szCs w:val="21"/>
                <w:highlight w:val="none"/>
              </w:rPr>
              <w:br w:type="textWrapping"/>
            </w:r>
            <w:r>
              <w:rPr>
                <w:rFonts w:hint="eastAsia"/>
                <w:color w:val="auto"/>
                <w:sz w:val="21"/>
                <w:szCs w:val="21"/>
                <w:highlight w:val="none"/>
              </w:rPr>
              <w:t>4.支持实时加密/解密（AES-NI指令集）与压缩（ZSTD算法）加速；</w:t>
            </w:r>
          </w:p>
          <w:p>
            <w:pPr>
              <w:widowControl/>
              <w:spacing w:after="0" w:afterLines="0" w:line="240" w:lineRule="auto"/>
              <w:jc w:val="left"/>
              <w:rPr>
                <w:rFonts w:hint="eastAsia"/>
                <w:color w:val="auto"/>
                <w:sz w:val="21"/>
                <w:szCs w:val="21"/>
                <w:highlight w:val="none"/>
              </w:rPr>
            </w:pPr>
            <w:r>
              <w:rPr>
                <w:rFonts w:hint="eastAsia"/>
                <w:color w:val="auto"/>
                <w:sz w:val="21"/>
                <w:szCs w:val="21"/>
                <w:highlight w:val="none"/>
              </w:rPr>
              <w:t>#5.背板支持SGPIO的监控信号，提供完整的状态及硬盘环境系数监控功能；（</w:t>
            </w:r>
            <w:r>
              <w:rPr>
                <w:rFonts w:hint="eastAsia" w:ascii="宋体" w:hAnsi="宋体" w:eastAsia="宋体" w:cs="宋体"/>
                <w:b w:val="0"/>
                <w:bCs/>
                <w:color w:val="auto"/>
                <w:kern w:val="0"/>
                <w:szCs w:val="21"/>
                <w:highlight w:val="none"/>
                <w:lang w:val="en-US" w:eastAsia="zh-CN"/>
              </w:rPr>
              <w:t>提供此条参数的功能截图证明文件，并加盖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r>
              <w:rPr>
                <w:rFonts w:hint="eastAsia"/>
                <w:color w:val="auto"/>
                <w:sz w:val="21"/>
                <w:szCs w:val="21"/>
                <w:highlight w:val="none"/>
              </w:rPr>
              <w:t>）</w:t>
            </w:r>
            <w:r>
              <w:rPr>
                <w:rFonts w:hint="eastAsia"/>
                <w:color w:val="auto"/>
                <w:sz w:val="21"/>
                <w:szCs w:val="21"/>
                <w:highlight w:val="none"/>
              </w:rPr>
              <w:br w:type="textWrapping"/>
            </w:r>
            <w:r>
              <w:rPr>
                <w:rFonts w:hint="eastAsia"/>
                <w:color w:val="auto"/>
                <w:sz w:val="21"/>
                <w:szCs w:val="21"/>
                <w:highlight w:val="none"/>
                <w:lang w:val="en-US" w:eastAsia="zh-CN"/>
              </w:rPr>
              <w:t>6</w:t>
            </w:r>
            <w:r>
              <w:rPr>
                <w:rFonts w:hint="eastAsia"/>
                <w:color w:val="auto"/>
                <w:sz w:val="21"/>
                <w:szCs w:val="21"/>
                <w:highlight w:val="none"/>
              </w:rPr>
              <w:t>.支持内存池化技术；</w:t>
            </w:r>
            <w:r>
              <w:rPr>
                <w:rFonts w:hint="eastAsia"/>
                <w:color w:val="auto"/>
                <w:sz w:val="21"/>
                <w:szCs w:val="21"/>
                <w:highlight w:val="none"/>
              </w:rPr>
              <w:br w:type="textWrapping"/>
            </w:r>
            <w:r>
              <w:rPr>
                <w:rFonts w:hint="eastAsia"/>
                <w:color w:val="auto"/>
                <w:sz w:val="21"/>
                <w:szCs w:val="21"/>
                <w:highlight w:val="none"/>
                <w:lang w:val="en-US" w:eastAsia="zh-CN"/>
              </w:rPr>
              <w:t>7</w:t>
            </w:r>
            <w:r>
              <w:rPr>
                <w:rFonts w:hint="eastAsia"/>
                <w:color w:val="auto"/>
                <w:sz w:val="21"/>
                <w:szCs w:val="21"/>
                <w:highlight w:val="none"/>
              </w:rPr>
              <w:t>.支持热插拔与负载均衡，保障99.99%在线率；</w:t>
            </w:r>
          </w:p>
          <w:p>
            <w:pPr>
              <w:widowControl/>
              <w:spacing w:after="0" w:afterLines="0" w:line="240" w:lineRule="auto"/>
              <w:jc w:val="left"/>
              <w:rPr>
                <w:rFonts w:hint="eastAsia"/>
                <w:color w:val="auto"/>
                <w:sz w:val="21"/>
                <w:szCs w:val="21"/>
                <w:highlight w:val="none"/>
              </w:rPr>
            </w:pPr>
            <w:r>
              <w:rPr>
                <w:rFonts w:hint="eastAsia"/>
                <w:color w:val="auto"/>
                <w:sz w:val="21"/>
                <w:szCs w:val="21"/>
                <w:highlight w:val="none"/>
              </w:rPr>
              <w:t>#8.可为多台Mac OS和windows及linux系统设备提供高效，稳定以及实现数据交换，共享，上传，下载等功能的数据同步系统解决方案；（</w:t>
            </w:r>
            <w:r>
              <w:rPr>
                <w:rFonts w:hint="eastAsia" w:ascii="宋体" w:hAnsi="宋体" w:eastAsia="宋体" w:cs="宋体"/>
                <w:b w:val="0"/>
                <w:bCs/>
                <w:color w:val="auto"/>
                <w:kern w:val="0"/>
                <w:szCs w:val="21"/>
                <w:highlight w:val="none"/>
                <w:lang w:val="en-US" w:eastAsia="zh-CN"/>
              </w:rPr>
              <w:t>提供此条参数的功能截图证明文件，并加盖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r>
              <w:rPr>
                <w:rFonts w:hint="eastAsia"/>
                <w:color w:val="auto"/>
                <w:sz w:val="21"/>
                <w:szCs w:val="21"/>
                <w:highlight w:val="none"/>
              </w:rPr>
              <w:t>）</w:t>
            </w:r>
            <w:r>
              <w:rPr>
                <w:rFonts w:hint="eastAsia"/>
                <w:color w:val="auto"/>
                <w:sz w:val="21"/>
                <w:szCs w:val="21"/>
                <w:highlight w:val="none"/>
              </w:rPr>
              <w:br w:type="textWrapping"/>
            </w:r>
            <w:r>
              <w:rPr>
                <w:rFonts w:hint="eastAsia"/>
                <w:color w:val="auto"/>
                <w:sz w:val="21"/>
                <w:szCs w:val="21"/>
                <w:highlight w:val="none"/>
                <w:lang w:val="en-US" w:eastAsia="zh-CN"/>
              </w:rPr>
              <w:t>9</w:t>
            </w:r>
            <w:r>
              <w:rPr>
                <w:rFonts w:hint="eastAsia"/>
                <w:color w:val="auto"/>
                <w:sz w:val="21"/>
                <w:szCs w:val="21"/>
                <w:highlight w:val="none"/>
              </w:rPr>
              <w:t>.支持7×24小时全负载运行；</w:t>
            </w:r>
          </w:p>
          <w:p>
            <w:pPr>
              <w:widowControl/>
              <w:spacing w:after="0" w:afterLines="0" w:line="240" w:lineRule="auto"/>
              <w:jc w:val="left"/>
              <w:rPr>
                <w:rFonts w:hint="eastAsia"/>
                <w:color w:val="auto"/>
                <w:sz w:val="21"/>
                <w:szCs w:val="21"/>
                <w:highlight w:val="none"/>
              </w:rPr>
            </w:pP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val="en-US" w:eastAsia="zh-CN"/>
              </w:rPr>
              <w:t>10.</w:t>
            </w:r>
            <w:r>
              <w:rPr>
                <w:rFonts w:hint="eastAsia" w:ascii="宋体" w:hAnsi="宋体" w:eastAsia="宋体" w:cs="宋体"/>
                <w:b w:val="0"/>
                <w:bCs/>
                <w:color w:val="auto"/>
                <w:kern w:val="0"/>
                <w:szCs w:val="21"/>
                <w:highlight w:val="none"/>
              </w:rPr>
              <w:t>Windows 目录服务支持，包含 Workgroup、Domain、ADS 等认证方式，轻易结合现有微软网域使用环境Unix NIS 网络数据服务协议支持，可经由最简易的设定连接方式，取得〝Yellow Page〞(yp) 之用户信息Unix LDAP 目录服务支持，可整合使用 LDAP 目录服务之环境，提供 SSL (Start TLS) 支持；（</w:t>
            </w:r>
            <w:r>
              <w:rPr>
                <w:rFonts w:hint="eastAsia" w:ascii="宋体" w:hAnsi="宋体" w:eastAsia="宋体" w:cs="宋体"/>
                <w:b w:val="0"/>
                <w:bCs/>
                <w:color w:val="auto"/>
                <w:kern w:val="0"/>
                <w:szCs w:val="21"/>
                <w:highlight w:val="none"/>
                <w:lang w:val="en-US" w:eastAsia="zh-CN"/>
              </w:rPr>
              <w:t>提供此条参数的功能截图证明文件，并加盖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r>
              <w:rPr>
                <w:rFonts w:hint="eastAsia" w:ascii="宋体" w:hAnsi="宋体" w:eastAsia="宋体" w:cs="宋体"/>
                <w:b w:val="0"/>
                <w:bCs/>
                <w:color w:val="auto"/>
                <w:kern w:val="0"/>
                <w:szCs w:val="21"/>
                <w:highlight w:val="none"/>
              </w:rPr>
              <w:t>）</w:t>
            </w:r>
            <w:r>
              <w:rPr>
                <w:rFonts w:hint="eastAsia"/>
                <w:color w:val="auto"/>
                <w:sz w:val="21"/>
                <w:szCs w:val="21"/>
                <w:highlight w:val="none"/>
              </w:rPr>
              <w:br w:type="textWrapping"/>
            </w:r>
            <w:r>
              <w:rPr>
                <w:rFonts w:hint="eastAsia"/>
                <w:color w:val="auto"/>
                <w:sz w:val="21"/>
                <w:szCs w:val="21"/>
                <w:highlight w:val="none"/>
                <w:lang w:val="en-US" w:eastAsia="zh-CN"/>
              </w:rPr>
              <w:t>11</w:t>
            </w:r>
            <w:r>
              <w:rPr>
                <w:rFonts w:hint="eastAsia"/>
                <w:color w:val="auto"/>
                <w:sz w:val="21"/>
                <w:szCs w:val="21"/>
                <w:highlight w:val="none"/>
              </w:rPr>
              <w:t>.支持双盘故障数据备份，保障数据安全；</w:t>
            </w:r>
            <w:r>
              <w:rPr>
                <w:rFonts w:hint="eastAsia"/>
                <w:color w:val="auto"/>
                <w:sz w:val="21"/>
                <w:szCs w:val="21"/>
                <w:highlight w:val="none"/>
              </w:rPr>
              <w:br w:type="textWrapping"/>
            </w:r>
            <w:r>
              <w:rPr>
                <w:rFonts w:hint="eastAsia"/>
                <w:color w:val="auto"/>
                <w:sz w:val="21"/>
                <w:szCs w:val="21"/>
                <w:highlight w:val="none"/>
                <w:lang w:val="en-US" w:eastAsia="zh-CN"/>
              </w:rPr>
              <w:t>12</w:t>
            </w:r>
            <w:r>
              <w:rPr>
                <w:rFonts w:hint="eastAsia"/>
                <w:color w:val="auto"/>
                <w:sz w:val="21"/>
                <w:szCs w:val="21"/>
                <w:highlight w:val="none"/>
              </w:rPr>
              <w:t>.配备缓存超级电容，支持断电自动回写数据至闪存；</w:t>
            </w:r>
          </w:p>
          <w:p>
            <w:pPr>
              <w:widowControl/>
              <w:spacing w:after="0" w:afterLines="0" w:line="240" w:lineRule="auto"/>
              <w:jc w:val="left"/>
              <w:rPr>
                <w:rFonts w:hint="eastAsia"/>
                <w:color w:val="auto"/>
                <w:sz w:val="21"/>
                <w:szCs w:val="21"/>
                <w:highlight w:val="none"/>
              </w:rPr>
            </w:pPr>
            <w:r>
              <w:rPr>
                <w:rFonts w:hint="eastAsia"/>
                <w:color w:val="auto"/>
                <w:sz w:val="21"/>
                <w:szCs w:val="21"/>
                <w:highlight w:val="none"/>
              </w:rPr>
              <w:t>#13.数据复制功能 (Replication)，支持本地或网络档案数据复制作业，支持差异删除、压缩、带宽限制、排程方式进行支持磁带备份 (Tape Backup)，以扇区 (Volume) 为单位，进行档案层级 (File-Level) 之磁带或 RAW Device备份第三方备份代理程序支持 (ISV) ，可经由 RPM 安装文件安装备份代理程序，经由网络进行 NAS 系统备份；（</w:t>
            </w:r>
            <w:r>
              <w:rPr>
                <w:rFonts w:hint="eastAsia" w:ascii="宋体" w:hAnsi="宋体" w:eastAsia="宋体" w:cs="宋体"/>
                <w:b w:val="0"/>
                <w:bCs/>
                <w:color w:val="auto"/>
                <w:kern w:val="0"/>
                <w:szCs w:val="21"/>
                <w:highlight w:val="none"/>
                <w:lang w:val="en-US" w:eastAsia="zh-CN"/>
              </w:rPr>
              <w:t>提供此条参数的功能截图证明文件，并加盖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r>
              <w:rPr>
                <w:rFonts w:hint="eastAsia"/>
                <w:color w:val="auto"/>
                <w:sz w:val="21"/>
                <w:szCs w:val="21"/>
                <w:highlight w:val="none"/>
              </w:rPr>
              <w:t>）</w:t>
            </w:r>
            <w:r>
              <w:rPr>
                <w:rFonts w:hint="eastAsia"/>
                <w:color w:val="auto"/>
                <w:sz w:val="21"/>
                <w:szCs w:val="21"/>
                <w:highlight w:val="none"/>
              </w:rPr>
              <w:br w:type="textWrapping"/>
            </w:r>
            <w:r>
              <w:rPr>
                <w:rFonts w:hint="eastAsia"/>
                <w:color w:val="auto"/>
                <w:sz w:val="21"/>
                <w:szCs w:val="21"/>
                <w:highlight w:val="none"/>
                <w:lang w:val="en-US" w:eastAsia="zh-CN"/>
              </w:rPr>
              <w:t>14</w:t>
            </w:r>
            <w:r>
              <w:rPr>
                <w:rFonts w:hint="eastAsia"/>
                <w:color w:val="auto"/>
                <w:sz w:val="21"/>
                <w:szCs w:val="21"/>
                <w:highlight w:val="none"/>
              </w:rPr>
              <w:t>.支持秒级快照，可快速恢复误删文件或系统状态；</w:t>
            </w:r>
            <w:r>
              <w:rPr>
                <w:rFonts w:hint="eastAsia"/>
                <w:color w:val="auto"/>
                <w:sz w:val="21"/>
                <w:szCs w:val="21"/>
                <w:highlight w:val="none"/>
              </w:rPr>
              <w:br w:type="textWrapping"/>
            </w:r>
            <w:r>
              <w:rPr>
                <w:rFonts w:hint="eastAsia"/>
                <w:color w:val="auto"/>
                <w:sz w:val="21"/>
                <w:szCs w:val="21"/>
                <w:highlight w:val="none"/>
                <w:lang w:val="en-US" w:eastAsia="zh-CN"/>
              </w:rPr>
              <w:t>15</w:t>
            </w:r>
            <w:r>
              <w:rPr>
                <w:rFonts w:hint="eastAsia"/>
                <w:color w:val="auto"/>
                <w:sz w:val="21"/>
                <w:szCs w:val="21"/>
                <w:highlight w:val="none"/>
              </w:rPr>
              <w:t>.支持通过iSCSI或NFS协议实现异地容灾；</w:t>
            </w:r>
            <w:r>
              <w:rPr>
                <w:rFonts w:hint="eastAsia"/>
                <w:color w:val="auto"/>
                <w:sz w:val="21"/>
                <w:szCs w:val="21"/>
                <w:highlight w:val="none"/>
              </w:rPr>
              <w:br w:type="textWrapping"/>
            </w:r>
            <w:r>
              <w:rPr>
                <w:rFonts w:hint="eastAsia"/>
                <w:color w:val="auto"/>
                <w:sz w:val="21"/>
                <w:szCs w:val="21"/>
                <w:highlight w:val="none"/>
                <w:lang w:val="en-US" w:eastAsia="zh-CN"/>
              </w:rPr>
              <w:t>16</w:t>
            </w:r>
            <w:r>
              <w:rPr>
                <w:rFonts w:hint="eastAsia"/>
                <w:color w:val="auto"/>
                <w:sz w:val="21"/>
                <w:szCs w:val="21"/>
                <w:highlight w:val="none"/>
              </w:rPr>
              <w:t>.支持软件扩展兼容S3 API；</w:t>
            </w:r>
          </w:p>
          <w:p>
            <w:pPr>
              <w:widowControl/>
              <w:spacing w:after="0" w:afterLines="0" w:line="240" w:lineRule="auto"/>
              <w:jc w:val="left"/>
              <w:rPr>
                <w:color w:val="auto"/>
                <w:kern w:val="0"/>
                <w:sz w:val="21"/>
                <w:szCs w:val="21"/>
                <w:highlight w:val="none"/>
              </w:rPr>
            </w:pP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val="en-US" w:eastAsia="zh-CN"/>
              </w:rPr>
              <w:t>17.</w:t>
            </w:r>
            <w:r>
              <w:rPr>
                <w:rFonts w:hint="eastAsia" w:ascii="宋体" w:hAnsi="宋体" w:eastAsia="宋体" w:cs="宋体"/>
                <w:b w:val="0"/>
                <w:bCs/>
                <w:color w:val="auto"/>
                <w:kern w:val="0"/>
                <w:szCs w:val="21"/>
                <w:highlight w:val="none"/>
              </w:rPr>
              <w:t>NAS容量聚合功能，可经由系统标准提供的 iSCSI Initiator 功能，挂载其他 NAS 所共享之 iSCSI Target 扇区支持SNMP/SMTP 通讯协议，可进行系统状态监控管理，并可经由电子邮件发送系统通知讯息；（</w:t>
            </w:r>
            <w:r>
              <w:rPr>
                <w:rFonts w:hint="eastAsia" w:ascii="宋体" w:hAnsi="宋体" w:eastAsia="宋体" w:cs="宋体"/>
                <w:b w:val="0"/>
                <w:bCs/>
                <w:color w:val="auto"/>
                <w:kern w:val="0"/>
                <w:szCs w:val="21"/>
                <w:highlight w:val="none"/>
                <w:lang w:val="en-US" w:eastAsia="zh-CN"/>
              </w:rPr>
              <w:t>提供此条参数的功能截图证明文件，并加盖</w:t>
            </w:r>
            <w:r>
              <w:rPr>
                <w:rFonts w:hint="eastAsia" w:ascii="宋体" w:hAnsi="宋体" w:cs="宋体"/>
                <w:b w:val="0"/>
                <w:bCs/>
                <w:color w:val="auto"/>
                <w:kern w:val="0"/>
                <w:szCs w:val="21"/>
                <w:highlight w:val="none"/>
                <w:lang w:val="en-US" w:eastAsia="zh-CN"/>
              </w:rPr>
              <w:t>投标人</w:t>
            </w:r>
            <w:r>
              <w:rPr>
                <w:rFonts w:hint="eastAsia" w:ascii="宋体" w:hAnsi="宋体" w:eastAsia="宋体" w:cs="宋体"/>
                <w:b w:val="0"/>
                <w:bCs/>
                <w:color w:val="auto"/>
                <w:kern w:val="0"/>
                <w:szCs w:val="21"/>
                <w:highlight w:val="none"/>
                <w:lang w:val="en-US" w:eastAsia="zh-CN"/>
              </w:rPr>
              <w:t>公章</w:t>
            </w:r>
            <w:r>
              <w:rPr>
                <w:rFonts w:hint="eastAsia" w:ascii="宋体" w:hAnsi="宋体" w:eastAsia="宋体" w:cs="宋体"/>
                <w:b w:val="0"/>
                <w:bCs/>
                <w:color w:val="auto"/>
                <w:kern w:val="0"/>
                <w:szCs w:val="21"/>
                <w:highlight w:val="none"/>
              </w:rPr>
              <w:t>）</w:t>
            </w:r>
            <w:r>
              <w:rPr>
                <w:rFonts w:hint="eastAsia"/>
                <w:color w:val="auto"/>
                <w:sz w:val="21"/>
                <w:szCs w:val="21"/>
                <w:highlight w:val="none"/>
              </w:rPr>
              <w:br w:type="textWrapping"/>
            </w:r>
            <w:r>
              <w:rPr>
                <w:rFonts w:hint="eastAsia"/>
                <w:color w:val="auto"/>
                <w:sz w:val="21"/>
                <w:szCs w:val="21"/>
                <w:highlight w:val="none"/>
              </w:rPr>
              <w:t>1</w:t>
            </w:r>
            <w:r>
              <w:rPr>
                <w:rFonts w:hint="eastAsia"/>
                <w:color w:val="auto"/>
                <w:sz w:val="21"/>
                <w:szCs w:val="21"/>
                <w:highlight w:val="none"/>
                <w:lang w:val="en-US" w:eastAsia="zh-CN"/>
              </w:rPr>
              <w:t>8</w:t>
            </w:r>
            <w:r>
              <w:rPr>
                <w:rFonts w:hint="eastAsia"/>
                <w:color w:val="auto"/>
                <w:sz w:val="21"/>
                <w:szCs w:val="21"/>
                <w:highlight w:val="none"/>
              </w:rPr>
              <w:t>.终端设备配置：</w:t>
            </w:r>
            <w:r>
              <w:rPr>
                <w:rFonts w:hint="eastAsia"/>
                <w:color w:val="auto"/>
                <w:sz w:val="21"/>
                <w:szCs w:val="21"/>
                <w:highlight w:val="none"/>
              </w:rPr>
              <w:br w:type="textWrapping"/>
            </w:r>
            <w:r>
              <w:rPr>
                <w:rFonts w:hint="eastAsia"/>
                <w:color w:val="auto"/>
                <w:sz w:val="21"/>
                <w:szCs w:val="21"/>
                <w:highlight w:val="none"/>
              </w:rPr>
              <w:t>（1）24盘位定制冷轧钢板机箱；</w:t>
            </w:r>
            <w:r>
              <w:rPr>
                <w:rFonts w:hint="eastAsia"/>
                <w:color w:val="auto"/>
                <w:sz w:val="21"/>
                <w:szCs w:val="21"/>
                <w:highlight w:val="none"/>
              </w:rPr>
              <w:br w:type="textWrapping"/>
            </w:r>
            <w:r>
              <w:rPr>
                <w:rFonts w:hint="eastAsia"/>
                <w:color w:val="auto"/>
                <w:sz w:val="21"/>
                <w:szCs w:val="21"/>
                <w:highlight w:val="none"/>
              </w:rPr>
              <w:t>（2）24盘位12GSAS定制扩展背板模组；</w:t>
            </w:r>
            <w:r>
              <w:rPr>
                <w:rFonts w:hint="eastAsia"/>
                <w:color w:val="auto"/>
                <w:sz w:val="21"/>
                <w:szCs w:val="21"/>
                <w:highlight w:val="none"/>
              </w:rPr>
              <w:br w:type="textWrapping"/>
            </w:r>
            <w:r>
              <w:rPr>
                <w:rFonts w:hint="eastAsia"/>
                <w:color w:val="auto"/>
                <w:sz w:val="21"/>
                <w:szCs w:val="21"/>
                <w:highlight w:val="none"/>
              </w:rPr>
              <w:t>（3）多种容量12GSAS，6GSATA硬盘；</w:t>
            </w:r>
            <w:r>
              <w:rPr>
                <w:rFonts w:hint="eastAsia"/>
                <w:color w:val="auto"/>
                <w:sz w:val="21"/>
                <w:szCs w:val="21"/>
                <w:highlight w:val="none"/>
              </w:rPr>
              <w:br w:type="textWrapping"/>
            </w:r>
            <w:r>
              <w:rPr>
                <w:rFonts w:hint="eastAsia"/>
                <w:color w:val="auto"/>
                <w:sz w:val="21"/>
                <w:szCs w:val="21"/>
                <w:highlight w:val="none"/>
              </w:rPr>
              <w:t>（4）</w:t>
            </w:r>
            <w:r>
              <w:rPr>
                <w:rFonts w:hint="eastAsia"/>
                <w:color w:val="auto"/>
                <w:sz w:val="21"/>
                <w:szCs w:val="21"/>
                <w:highlight w:val="none"/>
                <w:lang w:val="en-US" w:eastAsia="zh-CN"/>
              </w:rPr>
              <w:t>≥</w:t>
            </w:r>
            <w:r>
              <w:rPr>
                <w:rFonts w:hint="eastAsia"/>
                <w:color w:val="auto"/>
                <w:sz w:val="21"/>
                <w:szCs w:val="21"/>
                <w:highlight w:val="none"/>
              </w:rPr>
              <w:t>1200W 2U冗余电源*1；</w:t>
            </w:r>
            <w:r>
              <w:rPr>
                <w:rFonts w:hint="eastAsia"/>
                <w:color w:val="auto"/>
                <w:sz w:val="21"/>
                <w:szCs w:val="21"/>
                <w:highlight w:val="none"/>
              </w:rPr>
              <w:br w:type="textWrapping"/>
            </w:r>
            <w:r>
              <w:rPr>
                <w:rFonts w:hint="eastAsia"/>
                <w:color w:val="auto"/>
                <w:sz w:val="21"/>
                <w:szCs w:val="21"/>
                <w:highlight w:val="none"/>
              </w:rPr>
              <w:t>（5）主板：支持2代芯片组PCIE服务器主板（PCIE4 128LINE）；</w:t>
            </w:r>
            <w:r>
              <w:rPr>
                <w:rFonts w:hint="eastAsia"/>
                <w:color w:val="auto"/>
                <w:sz w:val="21"/>
                <w:szCs w:val="21"/>
                <w:highlight w:val="none"/>
              </w:rPr>
              <w:br w:type="textWrapping"/>
            </w:r>
            <w:r>
              <w:rPr>
                <w:rFonts w:hint="eastAsia"/>
                <w:color w:val="auto"/>
                <w:sz w:val="21"/>
                <w:szCs w:val="21"/>
                <w:highlight w:val="none"/>
              </w:rPr>
              <w:t>（6）核心处理器： 2代 7282罗马霄龙 16核心32线程 2.8G；</w:t>
            </w:r>
            <w:r>
              <w:rPr>
                <w:rFonts w:hint="eastAsia"/>
                <w:color w:val="auto"/>
                <w:sz w:val="21"/>
                <w:szCs w:val="21"/>
                <w:highlight w:val="none"/>
              </w:rPr>
              <w:br w:type="textWrapping"/>
            </w:r>
            <w:r>
              <w:rPr>
                <w:rFonts w:hint="eastAsia"/>
                <w:color w:val="auto"/>
                <w:sz w:val="21"/>
                <w:szCs w:val="21"/>
                <w:highlight w:val="none"/>
              </w:rPr>
              <w:t>（7）硬盘：1TB PCIEG4 高速 NVMe系统及缓存盘；</w:t>
            </w:r>
            <w:r>
              <w:rPr>
                <w:rFonts w:hint="eastAsia"/>
                <w:color w:val="auto"/>
                <w:sz w:val="21"/>
                <w:szCs w:val="21"/>
                <w:highlight w:val="none"/>
              </w:rPr>
              <w:br w:type="textWrapping"/>
            </w:r>
            <w:r>
              <w:rPr>
                <w:rFonts w:hint="eastAsia"/>
                <w:color w:val="auto"/>
                <w:sz w:val="21"/>
                <w:szCs w:val="21"/>
                <w:highlight w:val="none"/>
              </w:rPr>
              <w:t>（8）内存：DDR4 3200 ECC REG 32G RAM*8=256G；</w:t>
            </w:r>
            <w:r>
              <w:rPr>
                <w:rFonts w:hint="eastAsia"/>
                <w:color w:val="auto"/>
                <w:sz w:val="21"/>
                <w:szCs w:val="21"/>
                <w:highlight w:val="none"/>
              </w:rPr>
              <w:br w:type="textWrapping"/>
            </w:r>
            <w:r>
              <w:rPr>
                <w:rFonts w:hint="eastAsia"/>
                <w:color w:val="auto"/>
                <w:sz w:val="21"/>
                <w:szCs w:val="21"/>
                <w:highlight w:val="none"/>
              </w:rPr>
              <w:t>（9）硬件RAID卡：ARECA ARC-1886-8i  硬件RAID控制器*1；</w:t>
            </w:r>
            <w:r>
              <w:rPr>
                <w:rFonts w:hint="eastAsia"/>
                <w:color w:val="auto"/>
                <w:sz w:val="21"/>
                <w:szCs w:val="21"/>
                <w:highlight w:val="none"/>
              </w:rPr>
              <w:br w:type="textWrapping"/>
            </w:r>
            <w:r>
              <w:rPr>
                <w:rFonts w:hint="eastAsia"/>
                <w:color w:val="auto"/>
                <w:sz w:val="21"/>
                <w:szCs w:val="21"/>
                <w:highlight w:val="none"/>
              </w:rPr>
              <w:t>（10）多模处理器：</w:t>
            </w:r>
            <w:r>
              <w:rPr>
                <w:rFonts w:hint="eastAsia"/>
                <w:color w:val="auto"/>
                <w:sz w:val="21"/>
                <w:szCs w:val="21"/>
                <w:highlight w:val="none"/>
                <w:lang w:val="en-US" w:eastAsia="zh-CN"/>
              </w:rPr>
              <w:t>搭载</w:t>
            </w:r>
            <w:r>
              <w:rPr>
                <w:rFonts w:hint="eastAsia"/>
                <w:color w:val="auto"/>
                <w:sz w:val="21"/>
                <w:szCs w:val="21"/>
                <w:highlight w:val="none"/>
              </w:rPr>
              <w:t>三模双核1.6GHz ROC I/O处理器；</w:t>
            </w:r>
            <w:r>
              <w:rPr>
                <w:rFonts w:hint="eastAsia"/>
                <w:color w:val="auto"/>
                <w:sz w:val="21"/>
                <w:szCs w:val="21"/>
                <w:highlight w:val="none"/>
              </w:rPr>
              <w:br w:type="textWrapping"/>
            </w:r>
            <w:r>
              <w:rPr>
                <w:rFonts w:hint="eastAsia"/>
                <w:color w:val="auto"/>
                <w:sz w:val="21"/>
                <w:szCs w:val="21"/>
                <w:highlight w:val="none"/>
              </w:rPr>
              <w:t>（11） 8GB DDR4-2666 SDRAM高速缓存保护；</w:t>
            </w:r>
            <w:r>
              <w:rPr>
                <w:rFonts w:hint="eastAsia"/>
                <w:color w:val="auto"/>
                <w:sz w:val="21"/>
                <w:szCs w:val="21"/>
                <w:highlight w:val="none"/>
              </w:rPr>
              <w:br w:type="textWrapping"/>
            </w:r>
            <w:r>
              <w:rPr>
                <w:rFonts w:hint="eastAsia"/>
                <w:color w:val="auto"/>
                <w:sz w:val="21"/>
                <w:szCs w:val="21"/>
                <w:highlight w:val="none"/>
              </w:rPr>
              <w:t>（12）接口：千兆1000M网口*2,100GbE万兆光口*2；</w:t>
            </w:r>
            <w:r>
              <w:rPr>
                <w:rFonts w:hint="eastAsia"/>
                <w:color w:val="auto"/>
                <w:sz w:val="21"/>
                <w:szCs w:val="21"/>
                <w:highlight w:val="none"/>
              </w:rPr>
              <w:br w:type="textWrapping"/>
            </w:r>
            <w:r>
              <w:rPr>
                <w:rFonts w:hint="eastAsia"/>
                <w:color w:val="auto"/>
                <w:sz w:val="21"/>
                <w:szCs w:val="21"/>
                <w:highlight w:val="none"/>
              </w:rPr>
              <w:t xml:space="preserve">（13）内置： </w:t>
            </w:r>
            <w:r>
              <w:rPr>
                <w:rFonts w:hint="eastAsia"/>
                <w:color w:val="auto"/>
                <w:sz w:val="21"/>
                <w:szCs w:val="21"/>
                <w:highlight w:val="none"/>
                <w:lang w:val="en-US" w:eastAsia="zh-CN"/>
              </w:rPr>
              <w:t>≥</w:t>
            </w:r>
            <w:r>
              <w:rPr>
                <w:rFonts w:hint="eastAsia"/>
                <w:color w:val="auto"/>
                <w:sz w:val="21"/>
                <w:szCs w:val="21"/>
                <w:highlight w:val="none"/>
              </w:rPr>
              <w:t>24个10TB 12G SAS企业级硬盘 物理容量240TB，RAID6后</w:t>
            </w:r>
            <w:r>
              <w:rPr>
                <w:rFonts w:hint="eastAsia" w:ascii="宋体" w:hAnsi="宋体" w:cs="宋体"/>
                <w:b w:val="0"/>
                <w:bCs w:val="0"/>
                <w:i w:val="0"/>
                <w:iCs w:val="0"/>
                <w:color w:val="auto"/>
                <w:kern w:val="0"/>
                <w:sz w:val="21"/>
                <w:szCs w:val="21"/>
                <w:highlight w:val="none"/>
                <w:u w:val="none"/>
                <w:lang w:val="en-US" w:eastAsia="zh-CN"/>
              </w:rPr>
              <w:t>≥</w:t>
            </w:r>
            <w:r>
              <w:rPr>
                <w:rFonts w:hint="eastAsia"/>
                <w:color w:val="auto"/>
                <w:sz w:val="21"/>
                <w:szCs w:val="21"/>
                <w:highlight w:val="none"/>
              </w:rPr>
              <w:t>220TB</w:t>
            </w:r>
          </w:p>
        </w:tc>
        <w:tc>
          <w:tcPr>
            <w:tcW w:w="67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套</w:t>
            </w:r>
          </w:p>
        </w:tc>
        <w:tc>
          <w:tcPr>
            <w:tcW w:w="648"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bCs/>
                <w:color w:val="auto"/>
                <w:kern w:val="0"/>
                <w:sz w:val="28"/>
                <w:szCs w:val="28"/>
                <w:highlight w:val="none"/>
              </w:rPr>
            </w:pPr>
            <w:r>
              <w:rPr>
                <w:rFonts w:ascii="宋体" w:hAnsi="宋体" w:cs="宋体"/>
                <w:bCs/>
                <w:color w:val="auto"/>
                <w:kern w:val="0"/>
                <w:sz w:val="28"/>
                <w:szCs w:val="28"/>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rFonts w:ascii="宋体" w:hAnsi="宋体" w:cs="宋体"/>
                <w:bCs/>
                <w:color w:val="auto"/>
                <w:kern w:val="0"/>
                <w:sz w:val="28"/>
                <w:szCs w:val="28"/>
                <w:highlight w:val="none"/>
              </w:rPr>
              <w:t>4</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color w:val="auto"/>
                <w:highlight w:val="none"/>
              </w:rPr>
              <w:t>数据交互交换运算终端</w:t>
            </w:r>
          </w:p>
        </w:tc>
        <w:tc>
          <w:tcPr>
            <w:tcW w:w="5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afterLines="0" w:line="240" w:lineRule="auto"/>
              <w:jc w:val="left"/>
              <w:rPr>
                <w:color w:val="auto"/>
                <w:kern w:val="0"/>
                <w:sz w:val="21"/>
                <w:szCs w:val="21"/>
                <w:highlight w:val="none"/>
              </w:rPr>
            </w:pPr>
            <w:r>
              <w:rPr>
                <w:rFonts w:hint="eastAsia"/>
                <w:color w:val="auto"/>
                <w:sz w:val="21"/>
                <w:szCs w:val="21"/>
                <w:highlight w:val="none"/>
              </w:rPr>
              <w:t>1.支持多模/单模光纤接入，适配服务器、存储设备及接入层交换机混合连接；</w:t>
            </w:r>
            <w:r>
              <w:rPr>
                <w:rFonts w:hint="eastAsia"/>
                <w:color w:val="auto"/>
                <w:sz w:val="21"/>
                <w:szCs w:val="21"/>
                <w:highlight w:val="none"/>
              </w:rPr>
              <w:br w:type="textWrapping"/>
            </w:r>
            <w:r>
              <w:rPr>
                <w:rFonts w:hint="eastAsia"/>
                <w:color w:val="auto"/>
                <w:sz w:val="21"/>
                <w:szCs w:val="21"/>
                <w:highlight w:val="none"/>
              </w:rPr>
              <w:t>2.支持4×25G或4×10G接口拆分，实现弹性带宽扩展；</w:t>
            </w:r>
            <w:r>
              <w:rPr>
                <w:rFonts w:hint="eastAsia"/>
                <w:color w:val="auto"/>
                <w:sz w:val="21"/>
                <w:szCs w:val="21"/>
                <w:highlight w:val="none"/>
              </w:rPr>
              <w:br w:type="textWrapping"/>
            </w:r>
            <w:r>
              <w:rPr>
                <w:rFonts w:hint="eastAsia"/>
                <w:color w:val="auto"/>
                <w:sz w:val="21"/>
                <w:szCs w:val="21"/>
                <w:highlight w:val="none"/>
              </w:rPr>
              <w:t>3.支持线速转发，满足数据中心东西向流量需求；</w:t>
            </w:r>
            <w:r>
              <w:rPr>
                <w:rFonts w:hint="eastAsia"/>
                <w:color w:val="auto"/>
                <w:sz w:val="21"/>
                <w:szCs w:val="21"/>
                <w:highlight w:val="none"/>
              </w:rPr>
              <w:br w:type="textWrapping"/>
            </w:r>
            <w:r>
              <w:rPr>
                <w:rFonts w:hint="eastAsia"/>
                <w:color w:val="auto"/>
                <w:sz w:val="21"/>
                <w:szCs w:val="21"/>
                <w:highlight w:val="none"/>
              </w:rPr>
              <w:t>4.支持最多8台设备虚拟化为单一逻辑设备；</w:t>
            </w:r>
            <w:r>
              <w:rPr>
                <w:rFonts w:hint="eastAsia"/>
                <w:color w:val="auto"/>
                <w:sz w:val="21"/>
                <w:szCs w:val="21"/>
                <w:highlight w:val="none"/>
              </w:rPr>
              <w:br w:type="textWrapping"/>
            </w:r>
            <w:r>
              <w:rPr>
                <w:rFonts w:hint="eastAsia"/>
                <w:color w:val="auto"/>
                <w:sz w:val="21"/>
                <w:szCs w:val="21"/>
                <w:highlight w:val="none"/>
              </w:rPr>
              <w:t>5.支持电源模块冗余、风扇冗余；</w:t>
            </w:r>
            <w:r>
              <w:rPr>
                <w:rFonts w:hint="eastAsia"/>
                <w:color w:val="auto"/>
                <w:sz w:val="21"/>
                <w:szCs w:val="21"/>
                <w:highlight w:val="none"/>
              </w:rPr>
              <w:br w:type="textWrapping"/>
            </w:r>
            <w:r>
              <w:rPr>
                <w:rFonts w:hint="eastAsia"/>
                <w:color w:val="auto"/>
                <w:sz w:val="21"/>
                <w:szCs w:val="21"/>
                <w:highlight w:val="none"/>
              </w:rPr>
              <w:t>6.支持静态路由、OSPF、BGP、IS-IS等动态路由协议；</w:t>
            </w:r>
            <w:r>
              <w:rPr>
                <w:rFonts w:hint="eastAsia"/>
                <w:color w:val="auto"/>
                <w:sz w:val="21"/>
                <w:szCs w:val="21"/>
                <w:highlight w:val="none"/>
              </w:rPr>
              <w:br w:type="textWrapping"/>
            </w:r>
            <w:r>
              <w:rPr>
                <w:rFonts w:hint="eastAsia"/>
                <w:color w:val="auto"/>
                <w:sz w:val="21"/>
                <w:szCs w:val="21"/>
                <w:highlight w:val="none"/>
              </w:rPr>
              <w:t>7.支持IPv4/IPv6双栈及策略路由；</w:t>
            </w:r>
            <w:r>
              <w:rPr>
                <w:rFonts w:hint="eastAsia"/>
                <w:color w:val="auto"/>
                <w:sz w:val="21"/>
                <w:szCs w:val="21"/>
                <w:highlight w:val="none"/>
              </w:rPr>
              <w:br w:type="textWrapping"/>
            </w:r>
            <w:r>
              <w:rPr>
                <w:rFonts w:hint="eastAsia"/>
                <w:color w:val="auto"/>
                <w:sz w:val="21"/>
                <w:szCs w:val="21"/>
                <w:highlight w:val="none"/>
              </w:rPr>
              <w:t>8.支持优先级队列、流量整形及限速；</w:t>
            </w:r>
            <w:r>
              <w:rPr>
                <w:rFonts w:hint="eastAsia"/>
                <w:color w:val="auto"/>
                <w:sz w:val="21"/>
                <w:szCs w:val="21"/>
                <w:highlight w:val="none"/>
              </w:rPr>
              <w:br w:type="textWrapping"/>
            </w:r>
            <w:r>
              <w:rPr>
                <w:rFonts w:hint="eastAsia"/>
                <w:color w:val="auto"/>
                <w:sz w:val="21"/>
                <w:szCs w:val="21"/>
                <w:highlight w:val="none"/>
              </w:rPr>
              <w:t>9.支持硬件级防DDoS攻击；</w:t>
            </w:r>
            <w:r>
              <w:rPr>
                <w:rFonts w:hint="eastAsia"/>
                <w:color w:val="auto"/>
                <w:sz w:val="21"/>
                <w:szCs w:val="21"/>
                <w:highlight w:val="none"/>
              </w:rPr>
              <w:br w:type="textWrapping"/>
            </w:r>
            <w:r>
              <w:rPr>
                <w:rFonts w:hint="eastAsia"/>
                <w:color w:val="auto"/>
                <w:sz w:val="21"/>
                <w:szCs w:val="21"/>
                <w:highlight w:val="none"/>
              </w:rPr>
              <w:t>10.支持动态ARP检测（DAI）、IP Source Guard;</w:t>
            </w:r>
            <w:r>
              <w:rPr>
                <w:rFonts w:hint="eastAsia"/>
                <w:color w:val="auto"/>
                <w:sz w:val="21"/>
                <w:szCs w:val="21"/>
                <w:highlight w:val="none"/>
              </w:rPr>
              <w:br w:type="textWrapping"/>
            </w:r>
            <w:r>
              <w:rPr>
                <w:rFonts w:hint="eastAsia"/>
                <w:color w:val="auto"/>
                <w:sz w:val="21"/>
                <w:szCs w:val="21"/>
                <w:highlight w:val="none"/>
              </w:rPr>
              <w:t>11.支持微信/短信告警推送，预设阈值触发通知;</w:t>
            </w:r>
            <w:r>
              <w:rPr>
                <w:rFonts w:hint="eastAsia"/>
                <w:color w:val="auto"/>
                <w:sz w:val="21"/>
                <w:szCs w:val="21"/>
                <w:highlight w:val="none"/>
              </w:rPr>
              <w:br w:type="textWrapping"/>
            </w:r>
            <w:r>
              <w:rPr>
                <w:rFonts w:hint="eastAsia"/>
                <w:color w:val="auto"/>
                <w:sz w:val="21"/>
                <w:szCs w:val="21"/>
                <w:highlight w:val="none"/>
              </w:rPr>
              <w:t>12.支持48个1G/10G/25G光口，8个40G/100G端口用于上联；</w:t>
            </w:r>
            <w:r>
              <w:rPr>
                <w:rFonts w:hint="eastAsia"/>
                <w:color w:val="auto"/>
                <w:sz w:val="21"/>
                <w:szCs w:val="21"/>
                <w:highlight w:val="none"/>
              </w:rPr>
              <w:br w:type="textWrapping"/>
            </w:r>
            <w:r>
              <w:rPr>
                <w:rFonts w:hint="eastAsia"/>
                <w:color w:val="auto"/>
                <w:sz w:val="21"/>
                <w:szCs w:val="21"/>
                <w:highlight w:val="none"/>
              </w:rPr>
              <w:t>13.支持VSU虚拟化技术，支撑灵活组网；</w:t>
            </w:r>
            <w:r>
              <w:rPr>
                <w:rFonts w:hint="eastAsia"/>
                <w:color w:val="auto"/>
                <w:sz w:val="21"/>
                <w:szCs w:val="21"/>
                <w:highlight w:val="none"/>
              </w:rPr>
              <w:br w:type="textWrapping"/>
            </w:r>
            <w:r>
              <w:rPr>
                <w:rFonts w:hint="eastAsia"/>
                <w:color w:val="auto"/>
                <w:sz w:val="21"/>
                <w:szCs w:val="21"/>
                <w:highlight w:val="none"/>
              </w:rPr>
              <w:t>14.搭配INC控制器</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套</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bCs/>
                <w:color w:val="auto"/>
                <w:kern w:val="0"/>
                <w:sz w:val="28"/>
                <w:szCs w:val="28"/>
                <w:highlight w:val="none"/>
              </w:rPr>
            </w:pPr>
            <w:r>
              <w:rPr>
                <w:rFonts w:ascii="宋体" w:hAnsi="宋体" w:cs="宋体"/>
                <w:bCs/>
                <w:color w:val="auto"/>
                <w:kern w:val="0"/>
                <w:sz w:val="28"/>
                <w:szCs w:val="28"/>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6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5</w:t>
            </w:r>
          </w:p>
        </w:tc>
        <w:tc>
          <w:tcPr>
            <w:tcW w:w="13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auto"/>
                <w:kern w:val="0"/>
                <w:sz w:val="28"/>
                <w:szCs w:val="28"/>
                <w:highlight w:val="none"/>
              </w:rPr>
            </w:pPr>
            <w:r>
              <w:rPr>
                <w:color w:val="auto"/>
                <w:highlight w:val="none"/>
              </w:rPr>
              <w:t>监听耳机</w:t>
            </w:r>
          </w:p>
        </w:tc>
        <w:tc>
          <w:tcPr>
            <w:tcW w:w="53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adjustRightInd w:val="0"/>
              <w:snapToGrid w:val="0"/>
              <w:spacing w:after="0" w:afterLines="0" w:line="240" w:lineRule="atLeast"/>
              <w:textAlignment w:val="center"/>
              <w:rPr>
                <w:color w:val="auto"/>
                <w:highlight w:val="none"/>
              </w:rPr>
            </w:pPr>
            <w:r>
              <w:rPr>
                <w:color w:val="auto"/>
                <w:highlight w:val="none"/>
              </w:rPr>
              <w:t xml:space="preserve">1. 类型：动圈耳机； </w:t>
            </w:r>
          </w:p>
          <w:p>
            <w:pPr>
              <w:widowControl/>
              <w:adjustRightInd w:val="0"/>
              <w:snapToGrid w:val="0"/>
              <w:spacing w:after="0" w:afterLines="0" w:line="240" w:lineRule="atLeast"/>
              <w:textAlignment w:val="center"/>
              <w:rPr>
                <w:color w:val="auto"/>
                <w:highlight w:val="none"/>
              </w:rPr>
            </w:pPr>
            <w:r>
              <w:rPr>
                <w:color w:val="auto"/>
                <w:highlight w:val="none"/>
              </w:rPr>
              <w:t xml:space="preserve">2. 频率响应：8Hz - 20kHz； </w:t>
            </w:r>
          </w:p>
          <w:p>
            <w:pPr>
              <w:widowControl/>
              <w:adjustRightInd w:val="0"/>
              <w:snapToGrid w:val="0"/>
              <w:spacing w:after="0" w:afterLines="0" w:line="240" w:lineRule="atLeast"/>
              <w:textAlignment w:val="center"/>
              <w:rPr>
                <w:color w:val="auto"/>
                <w:highlight w:val="none"/>
              </w:rPr>
            </w:pPr>
            <w:r>
              <w:rPr>
                <w:color w:val="auto"/>
                <w:highlight w:val="none"/>
              </w:rPr>
              <w:t>3. 阻抗：32欧姆；</w:t>
            </w:r>
          </w:p>
          <w:p>
            <w:pPr>
              <w:widowControl/>
              <w:adjustRightInd w:val="0"/>
              <w:snapToGrid w:val="0"/>
              <w:spacing w:after="0" w:afterLines="0" w:line="240" w:lineRule="atLeast"/>
              <w:textAlignment w:val="center"/>
              <w:rPr>
                <w:color w:val="auto"/>
                <w:highlight w:val="none"/>
              </w:rPr>
            </w:pPr>
            <w:r>
              <w:rPr>
                <w:color w:val="auto"/>
                <w:highlight w:val="none"/>
              </w:rPr>
              <w:t>4. 灵敏度：</w:t>
            </w:r>
            <w:r>
              <w:rPr>
                <w:rFonts w:hint="default"/>
                <w:snapToGrid/>
                <w:color w:val="auto"/>
                <w:sz w:val="21"/>
                <w:highlight w:val="none"/>
                <w:lang w:eastAsia="zh-CN"/>
              </w:rPr>
              <w:t>100-120dB/mW</w:t>
            </w:r>
            <w:r>
              <w:rPr>
                <w:color w:val="auto"/>
                <w:highlight w:val="none"/>
              </w:rPr>
              <w:t xml:space="preserve">； </w:t>
            </w:r>
          </w:p>
          <w:p>
            <w:pPr>
              <w:widowControl/>
              <w:adjustRightInd w:val="0"/>
              <w:snapToGrid w:val="0"/>
              <w:spacing w:after="0" w:afterLines="0" w:line="240" w:lineRule="atLeast"/>
              <w:textAlignment w:val="center"/>
              <w:rPr>
                <w:color w:val="auto"/>
                <w:highlight w:val="none"/>
              </w:rPr>
            </w:pPr>
            <w:r>
              <w:rPr>
                <w:color w:val="auto"/>
                <w:highlight w:val="none"/>
              </w:rPr>
              <w:t>5. 最大输入功率：</w:t>
            </w:r>
            <w:r>
              <w:rPr>
                <w:rFonts w:hint="eastAsia"/>
                <w:color w:val="auto"/>
                <w:highlight w:val="none"/>
                <w:lang w:val="en-US" w:eastAsia="zh-CN"/>
              </w:rPr>
              <w:t>≥</w:t>
            </w:r>
            <w:r>
              <w:rPr>
                <w:color w:val="auto"/>
                <w:highlight w:val="none"/>
              </w:rPr>
              <w:t xml:space="preserve">200mW； </w:t>
            </w:r>
          </w:p>
          <w:p>
            <w:pPr>
              <w:widowControl/>
              <w:adjustRightInd w:val="0"/>
              <w:snapToGrid w:val="0"/>
              <w:spacing w:after="0" w:afterLines="0" w:line="240" w:lineRule="atLeast"/>
              <w:textAlignment w:val="center"/>
              <w:rPr>
                <w:color w:val="auto"/>
                <w:highlight w:val="none"/>
              </w:rPr>
            </w:pPr>
            <w:r>
              <w:rPr>
                <w:color w:val="auto"/>
                <w:highlight w:val="none"/>
              </w:rPr>
              <w:t>6. 驱动单元尺寸：</w:t>
            </w:r>
            <w:r>
              <w:rPr>
                <w:rFonts w:hint="eastAsia"/>
                <w:color w:val="auto"/>
                <w:highlight w:val="none"/>
                <w:lang w:val="en-US" w:eastAsia="zh-CN"/>
              </w:rPr>
              <w:t>≥</w:t>
            </w:r>
            <w:r>
              <w:rPr>
                <w:color w:val="auto"/>
                <w:highlight w:val="none"/>
              </w:rPr>
              <w:t xml:space="preserve">40mm； </w:t>
            </w:r>
          </w:p>
          <w:p>
            <w:pPr>
              <w:widowControl/>
              <w:adjustRightInd w:val="0"/>
              <w:snapToGrid w:val="0"/>
              <w:spacing w:after="0" w:afterLines="0" w:line="240" w:lineRule="atLeast"/>
              <w:textAlignment w:val="center"/>
              <w:rPr>
                <w:color w:val="auto"/>
                <w:highlight w:val="none"/>
              </w:rPr>
            </w:pPr>
            <w:r>
              <w:rPr>
                <w:color w:val="auto"/>
                <w:highlight w:val="none"/>
              </w:rPr>
              <w:t xml:space="preserve">7. 连接类型：3.5mm插头； </w:t>
            </w:r>
          </w:p>
          <w:p>
            <w:pPr>
              <w:widowControl/>
              <w:adjustRightInd w:val="0"/>
              <w:snapToGrid w:val="0"/>
              <w:spacing w:after="0" w:afterLines="0" w:line="240" w:lineRule="atLeast"/>
              <w:textAlignment w:val="center"/>
              <w:rPr>
                <w:color w:val="auto"/>
                <w:highlight w:val="none"/>
              </w:rPr>
            </w:pPr>
            <w:r>
              <w:rPr>
                <w:color w:val="auto"/>
                <w:highlight w:val="none"/>
              </w:rPr>
              <w:t>8. 线长：</w:t>
            </w:r>
            <w:r>
              <w:rPr>
                <w:rFonts w:hint="eastAsia"/>
                <w:color w:val="auto"/>
                <w:highlight w:val="none"/>
                <w:lang w:val="en-US" w:eastAsia="zh-CN"/>
              </w:rPr>
              <w:t>≥</w:t>
            </w:r>
            <w:r>
              <w:rPr>
                <w:color w:val="auto"/>
                <w:highlight w:val="none"/>
              </w:rPr>
              <w:t xml:space="preserve">3米； </w:t>
            </w:r>
          </w:p>
          <w:p>
            <w:pPr>
              <w:widowControl/>
              <w:adjustRightInd w:val="0"/>
              <w:snapToGrid w:val="0"/>
              <w:spacing w:after="0" w:afterLines="0" w:line="240" w:lineRule="atLeast"/>
              <w:textAlignment w:val="center"/>
              <w:rPr>
                <w:color w:val="auto"/>
                <w:highlight w:val="none"/>
              </w:rPr>
            </w:pPr>
            <w:r>
              <w:rPr>
                <w:color w:val="auto"/>
                <w:highlight w:val="none"/>
              </w:rPr>
              <w:t xml:space="preserve">9. 重量：约200克； </w:t>
            </w:r>
          </w:p>
          <w:p>
            <w:pPr>
              <w:widowControl/>
              <w:adjustRightInd w:val="0"/>
              <w:snapToGrid w:val="0"/>
              <w:spacing w:after="0" w:afterLines="0" w:line="240" w:lineRule="atLeast"/>
              <w:textAlignment w:val="center"/>
              <w:rPr>
                <w:color w:val="auto"/>
                <w:highlight w:val="none"/>
              </w:rPr>
            </w:pPr>
            <w:r>
              <w:rPr>
                <w:color w:val="auto"/>
                <w:highlight w:val="none"/>
              </w:rPr>
              <w:t xml:space="preserve">10. 设计：封闭式； </w:t>
            </w:r>
          </w:p>
          <w:p>
            <w:pPr>
              <w:widowControl/>
              <w:adjustRightInd w:val="0"/>
              <w:snapToGrid w:val="0"/>
              <w:spacing w:after="0" w:afterLines="0" w:line="240" w:lineRule="atLeast"/>
              <w:textAlignment w:val="center"/>
              <w:rPr>
                <w:rFonts w:ascii="宋体" w:hAnsi="宋体" w:cs="宋体"/>
                <w:bCs/>
                <w:color w:val="auto"/>
                <w:kern w:val="0"/>
                <w:sz w:val="28"/>
                <w:szCs w:val="28"/>
                <w:highlight w:val="none"/>
              </w:rPr>
            </w:pPr>
            <w:r>
              <w:rPr>
                <w:color w:val="auto"/>
                <w:highlight w:val="none"/>
              </w:rPr>
              <w:t>11. 适用场景：适用于影视剪辑、监 听</w:t>
            </w:r>
          </w:p>
        </w:tc>
        <w:tc>
          <w:tcPr>
            <w:tcW w:w="6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个</w:t>
            </w:r>
          </w:p>
        </w:tc>
        <w:tc>
          <w:tcPr>
            <w:tcW w:w="64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3</w:t>
            </w:r>
            <w:r>
              <w:rPr>
                <w:rFonts w:ascii="宋体" w:hAnsi="宋体" w:cs="宋体"/>
                <w:bCs/>
                <w:color w:val="auto"/>
                <w:kern w:val="0"/>
                <w:sz w:val="28"/>
                <w:szCs w:val="28"/>
                <w:highlight w:val="none"/>
              </w:rPr>
              <w:t>1</w:t>
            </w:r>
          </w:p>
        </w:tc>
      </w:tr>
    </w:tbl>
    <w:p>
      <w:pPr>
        <w:pStyle w:val="101"/>
        <w:spacing w:line="560" w:lineRule="exact"/>
        <w:ind w:firstLine="0" w:firstLineChars="0"/>
        <w:rPr>
          <w:rFonts w:ascii="宋体" w:hAnsi="宋体" w:cs="宋体"/>
          <w:color w:val="auto"/>
          <w:sz w:val="24"/>
          <w:highlight w:val="none"/>
        </w:rPr>
      </w:pPr>
      <w:r>
        <w:rPr>
          <w:rFonts w:hint="eastAsia" w:ascii="宋体" w:hAnsi="宋体" w:cs="宋体"/>
          <w:b/>
          <w:color w:val="auto"/>
          <w:sz w:val="24"/>
          <w:highlight w:val="none"/>
        </w:rPr>
        <w:t>二、商务要求</w:t>
      </w:r>
      <w:r>
        <w:rPr>
          <w:rFonts w:hint="eastAsia" w:ascii="宋体" w:hAnsi="宋体" w:cs="宋体"/>
          <w:color w:val="auto"/>
          <w:sz w:val="24"/>
          <w:highlight w:val="none"/>
        </w:rPr>
        <w:t>：</w:t>
      </w:r>
    </w:p>
    <w:p>
      <w:pPr>
        <w:pStyle w:val="101"/>
        <w:adjustRightInd w:val="0"/>
        <w:snapToGrid w:val="0"/>
        <w:spacing w:after="156" w:afterLines="50" w:line="480" w:lineRule="auto"/>
        <w:ind w:firstLine="480"/>
        <w:rPr>
          <w:rFonts w:ascii="宋体" w:hAnsi="宋体" w:cs="宋体"/>
          <w:color w:val="auto"/>
          <w:sz w:val="24"/>
          <w:highlight w:val="none"/>
        </w:rPr>
      </w:pPr>
      <w:r>
        <w:rPr>
          <w:rFonts w:hint="eastAsia" w:ascii="宋体" w:hAnsi="宋体" w:cs="宋体"/>
          <w:color w:val="auto"/>
          <w:sz w:val="24"/>
          <w:highlight w:val="none"/>
        </w:rPr>
        <w:t>1.交付（实施）的时间（期限）和地点（范围）</w:t>
      </w:r>
    </w:p>
    <w:p>
      <w:pPr>
        <w:pStyle w:val="101"/>
        <w:adjustRightInd w:val="0"/>
        <w:snapToGrid w:val="0"/>
        <w:spacing w:after="156" w:afterLines="50" w:line="480" w:lineRule="auto"/>
        <w:ind w:firstLine="480"/>
        <w:rPr>
          <w:rFonts w:ascii="宋体" w:hAnsi="宋体" w:eastAsia="宋体"/>
          <w:color w:val="auto"/>
          <w:sz w:val="24"/>
          <w:highlight w:val="none"/>
        </w:rPr>
      </w:pPr>
      <w:r>
        <w:rPr>
          <w:rFonts w:hint="eastAsia" w:ascii="宋体" w:hAnsi="宋体" w:eastAsia="宋体"/>
          <w:color w:val="auto"/>
          <w:sz w:val="24"/>
          <w:highlight w:val="none"/>
        </w:rPr>
        <w:t>（1）实施期限：自合同签订之日起90个日历天内完成所有设备的供货安装，并达到使用要求。</w:t>
      </w:r>
    </w:p>
    <w:p>
      <w:pPr>
        <w:pStyle w:val="101"/>
        <w:adjustRightInd w:val="0"/>
        <w:snapToGrid w:val="0"/>
        <w:spacing w:after="156" w:afterLines="50" w:line="480" w:lineRule="auto"/>
        <w:ind w:firstLine="480"/>
        <w:rPr>
          <w:rFonts w:ascii="宋体" w:hAnsi="宋体" w:cs="宋体"/>
          <w:color w:val="auto"/>
          <w:sz w:val="24"/>
          <w:highlight w:val="none"/>
        </w:rPr>
      </w:pPr>
      <w:r>
        <w:rPr>
          <w:rFonts w:hint="eastAsia" w:ascii="宋体" w:hAnsi="宋体" w:eastAsia="宋体"/>
          <w:color w:val="auto"/>
          <w:sz w:val="24"/>
          <w:highlight w:val="none"/>
        </w:rPr>
        <w:t>（2）实施地点：用户指定地点。</w:t>
      </w:r>
    </w:p>
    <w:p>
      <w:pPr>
        <w:pStyle w:val="101"/>
        <w:adjustRightInd w:val="0"/>
        <w:snapToGrid w:val="0"/>
        <w:spacing w:after="156" w:afterLines="50" w:line="480" w:lineRule="auto"/>
        <w:ind w:firstLine="480"/>
        <w:rPr>
          <w:rFonts w:ascii="宋体" w:hAnsi="宋体" w:cs="宋体"/>
          <w:color w:val="auto"/>
          <w:sz w:val="24"/>
          <w:highlight w:val="none"/>
        </w:rPr>
      </w:pPr>
      <w:r>
        <w:rPr>
          <w:rFonts w:hint="eastAsia" w:ascii="宋体" w:hAnsi="宋体" w:cs="宋体"/>
          <w:color w:val="auto"/>
          <w:sz w:val="24"/>
          <w:highlight w:val="none"/>
        </w:rPr>
        <w:t>2.付款条件（进度和方式）</w:t>
      </w:r>
    </w:p>
    <w:p>
      <w:pPr>
        <w:spacing w:after="0" w:afterLines="0" w:line="360" w:lineRule="auto"/>
        <w:ind w:firstLine="480" w:firstLineChars="200"/>
        <w:rPr>
          <w:rFonts w:ascii="宋体" w:hAnsi="宋体" w:cs="黑体"/>
          <w:bCs/>
          <w:color w:val="auto"/>
          <w:kern w:val="0"/>
          <w:sz w:val="24"/>
          <w:highlight w:val="none"/>
        </w:rPr>
      </w:pPr>
      <w:r>
        <w:rPr>
          <w:rFonts w:hint="eastAsia" w:ascii="宋体" w:hAnsi="宋体" w:cs="黑体"/>
          <w:bCs/>
          <w:color w:val="auto"/>
          <w:kern w:val="0"/>
          <w:sz w:val="24"/>
          <w:highlight w:val="none"/>
        </w:rPr>
        <w:t>（1）合同签订后，中标人向采购人提供等额合法有效增值税发票并已向采购人缴纳合同总金额5%的履约保证金后，采购人向中标人支付合同额的</w:t>
      </w:r>
      <w:r>
        <w:rPr>
          <w:rFonts w:hint="eastAsia" w:ascii="宋体" w:hAnsi="宋体" w:cs="黑体"/>
          <w:bCs/>
          <w:color w:val="auto"/>
          <w:kern w:val="0"/>
          <w:sz w:val="24"/>
          <w:highlight w:val="none"/>
          <w:lang w:val="en-US" w:eastAsia="zh-CN"/>
        </w:rPr>
        <w:t>50</w:t>
      </w:r>
      <w:r>
        <w:rPr>
          <w:rFonts w:hint="eastAsia" w:ascii="宋体" w:hAnsi="宋体" w:cs="黑体"/>
          <w:bCs/>
          <w:color w:val="auto"/>
          <w:kern w:val="0"/>
          <w:sz w:val="24"/>
          <w:highlight w:val="none"/>
        </w:rPr>
        <w:t>%为首付款；</w:t>
      </w:r>
    </w:p>
    <w:p>
      <w:pPr>
        <w:pStyle w:val="101"/>
        <w:adjustRightInd w:val="0"/>
        <w:snapToGrid w:val="0"/>
        <w:spacing w:after="156" w:afterLines="50" w:line="480" w:lineRule="auto"/>
        <w:ind w:firstLine="480"/>
        <w:rPr>
          <w:rFonts w:ascii="宋体" w:hAnsi="宋体" w:cs="宋体"/>
          <w:color w:val="auto"/>
          <w:sz w:val="24"/>
          <w:highlight w:val="none"/>
        </w:rPr>
      </w:pPr>
      <w:r>
        <w:rPr>
          <w:rFonts w:hint="eastAsia" w:ascii="宋体" w:hAnsi="宋体" w:cs="黑体"/>
          <w:bCs/>
          <w:color w:val="auto"/>
          <w:kern w:val="0"/>
          <w:sz w:val="24"/>
          <w:highlight w:val="none"/>
        </w:rPr>
        <w:t>（2）项目验收合格后，中标人向采购人提供等额合法有效增值税发票后，采购人向中标人支付剩余</w:t>
      </w:r>
      <w:r>
        <w:rPr>
          <w:rFonts w:hint="eastAsia" w:ascii="宋体" w:hAnsi="宋体" w:cs="黑体"/>
          <w:bCs/>
          <w:color w:val="auto"/>
          <w:kern w:val="0"/>
          <w:sz w:val="24"/>
          <w:highlight w:val="none"/>
          <w:lang w:val="en-US" w:eastAsia="zh-CN"/>
        </w:rPr>
        <w:t>50</w:t>
      </w:r>
      <w:r>
        <w:rPr>
          <w:rFonts w:hint="eastAsia" w:ascii="宋体" w:hAnsi="宋体" w:cs="黑体"/>
          <w:bCs/>
          <w:color w:val="auto"/>
          <w:kern w:val="0"/>
          <w:sz w:val="24"/>
          <w:highlight w:val="none"/>
        </w:rPr>
        <w:t>%金额。</w:t>
      </w:r>
    </w:p>
    <w:p>
      <w:pPr>
        <w:pStyle w:val="101"/>
        <w:adjustRightInd w:val="0"/>
        <w:snapToGrid w:val="0"/>
        <w:spacing w:after="156" w:afterLines="50" w:line="480" w:lineRule="auto"/>
        <w:ind w:firstLine="480"/>
        <w:rPr>
          <w:rFonts w:ascii="宋体" w:hAnsi="宋体" w:cs="宋体"/>
          <w:color w:val="auto"/>
          <w:sz w:val="24"/>
          <w:highlight w:val="none"/>
        </w:rPr>
      </w:pPr>
      <w:r>
        <w:rPr>
          <w:rFonts w:hint="eastAsia" w:ascii="宋体" w:hAnsi="宋体" w:cs="宋体"/>
          <w:color w:val="auto"/>
          <w:sz w:val="24"/>
          <w:highlight w:val="none"/>
        </w:rPr>
        <w:t>3.包装和运输</w:t>
      </w:r>
      <w:r>
        <w:rPr>
          <w:rFonts w:hint="eastAsia" w:ascii="宋体" w:hAnsi="宋体"/>
          <w:color w:val="auto"/>
          <w:sz w:val="24"/>
          <w:highlight w:val="none"/>
          <w:lang w:eastAsia="zh-CN"/>
        </w:rPr>
        <w:t>：</w:t>
      </w:r>
      <w:r>
        <w:rPr>
          <w:rFonts w:hint="eastAsia" w:ascii="宋体" w:hAnsi="宋体" w:eastAsia="宋体"/>
          <w:color w:val="auto"/>
          <w:sz w:val="24"/>
          <w:highlight w:val="none"/>
        </w:rPr>
        <w:t>本货物运输必须根据现行国家相关规定和行业规范进行。由供应商将货物运送到采购人指定地点。有关运输的一切费用由供应商承担。所有货物运抵现场的日期为交货日期。</w:t>
      </w:r>
    </w:p>
    <w:p>
      <w:pPr>
        <w:pStyle w:val="101"/>
        <w:adjustRightInd w:val="0"/>
        <w:snapToGrid w:val="0"/>
        <w:spacing w:after="156" w:afterLines="50" w:line="480" w:lineRule="auto"/>
        <w:ind w:firstLine="480"/>
        <w:rPr>
          <w:rFonts w:ascii="宋体" w:hAnsi="宋体" w:cs="宋体"/>
          <w:color w:val="auto"/>
          <w:sz w:val="24"/>
          <w:highlight w:val="none"/>
        </w:rPr>
      </w:pPr>
      <w:r>
        <w:rPr>
          <w:rFonts w:hint="eastAsia" w:ascii="宋体" w:hAnsi="宋体" w:cs="宋体"/>
          <w:color w:val="auto"/>
          <w:sz w:val="24"/>
          <w:highlight w:val="none"/>
        </w:rPr>
        <w:t xml:space="preserve">4.售后服务  </w:t>
      </w:r>
    </w:p>
    <w:p>
      <w:pPr>
        <w:pStyle w:val="101"/>
        <w:adjustRightInd w:val="0"/>
        <w:snapToGrid w:val="0"/>
        <w:spacing w:after="156" w:afterLines="50" w:line="48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质保期：硬件主机质保3年，其他质保1年；软件质保1年，终身免费升级。</w:t>
      </w:r>
    </w:p>
    <w:p>
      <w:pPr>
        <w:pStyle w:val="101"/>
        <w:adjustRightInd w:val="0"/>
        <w:snapToGrid w:val="0"/>
        <w:spacing w:after="156" w:afterLines="50" w:line="480" w:lineRule="auto"/>
        <w:ind w:firstLine="480"/>
        <w:rPr>
          <w:rFonts w:ascii="宋体" w:hAnsi="宋体" w:cs="宋体"/>
          <w:color w:val="auto"/>
          <w:sz w:val="24"/>
          <w:highlight w:val="none"/>
        </w:rPr>
      </w:pPr>
      <w:r>
        <w:rPr>
          <w:rFonts w:hint="eastAsia" w:ascii="宋体" w:hAnsi="宋体" w:cs="宋体"/>
          <w:color w:val="auto"/>
          <w:sz w:val="24"/>
          <w:highlight w:val="none"/>
        </w:rPr>
        <w:t>售后服务：</w:t>
      </w:r>
      <w:r>
        <w:rPr>
          <w:rFonts w:hint="eastAsia" w:ascii="宋体" w:hAnsi="宋体" w:cs="宋体"/>
          <w:color w:val="auto"/>
          <w:sz w:val="24"/>
          <w:highlight w:val="none"/>
          <w:lang w:val="en-US" w:eastAsia="zh-CN"/>
        </w:rPr>
        <w:t>无偿</w:t>
      </w:r>
      <w:r>
        <w:rPr>
          <w:rFonts w:hint="eastAsia" w:ascii="宋体" w:hAnsi="宋体" w:cs="宋体"/>
          <w:color w:val="auto"/>
          <w:sz w:val="24"/>
          <w:highlight w:val="none"/>
        </w:rPr>
        <w:t>服务期限为项目验收后36个月。</w:t>
      </w:r>
    </w:p>
    <w:p>
      <w:pPr>
        <w:rPr>
          <w:rFonts w:ascii="宋体" w:hAnsi="宋体" w:eastAsia="宋体"/>
          <w:b/>
          <w:bCs/>
          <w:color w:val="auto"/>
          <w:sz w:val="24"/>
          <w:highlight w:val="none"/>
        </w:rPr>
      </w:pPr>
      <w:r>
        <w:rPr>
          <w:rFonts w:hint="eastAsia" w:ascii="宋体" w:hAnsi="宋体" w:eastAsia="宋体"/>
          <w:b/>
          <w:bCs/>
          <w:color w:val="auto"/>
          <w:sz w:val="24"/>
          <w:highlight w:val="none"/>
        </w:rPr>
        <w:t>三、技术要求</w:t>
      </w:r>
    </w:p>
    <w:p>
      <w:pPr>
        <w:spacing w:before="312" w:beforeLines="100" w:line="360" w:lineRule="auto"/>
        <w:rPr>
          <w:rFonts w:ascii="宋体" w:hAnsi="宋体" w:eastAsia="宋体"/>
          <w:color w:val="auto"/>
          <w:sz w:val="24"/>
          <w:highlight w:val="none"/>
        </w:rPr>
      </w:pPr>
      <w:r>
        <w:rPr>
          <w:rFonts w:hint="eastAsia" w:ascii="宋体" w:hAnsi="宋体" w:eastAsia="宋体"/>
          <w:color w:val="auto"/>
          <w:sz w:val="24"/>
          <w:highlight w:val="none"/>
        </w:rPr>
        <w:t>1.基本要求</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1.1采购标的需实现的功能或者目标</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此次采购货物设备是采购人经过论证评审后确实所需，投标人所投设备应符合采购人的实际需求。</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1.2需执行的国家相关标准、行业标准、地方标准或者其他标准、规范：</w:t>
      </w:r>
    </w:p>
    <w:p>
      <w:pPr>
        <w:spacing w:line="360" w:lineRule="auto"/>
        <w:rPr>
          <w:rFonts w:ascii="宋体" w:hAnsi="宋体" w:eastAsia="宋体"/>
          <w:color w:val="auto"/>
          <w:sz w:val="24"/>
          <w:highlight w:val="none"/>
        </w:rPr>
      </w:pPr>
      <w:r>
        <w:rPr>
          <w:rFonts w:hint="eastAsia" w:ascii="宋体" w:hAnsi="宋体" w:eastAsia="宋体"/>
          <w:color w:val="auto"/>
          <w:sz w:val="24"/>
          <w:highlight w:val="none"/>
        </w:rPr>
        <w:t>2.服务内容及要求/货物技术要求</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 采购标的需满足的性能、材料、结构、外观、质量、安全、技术规格、物理特性等要求：</w:t>
      </w:r>
    </w:p>
    <w:p>
      <w:pPr>
        <w:spacing w:line="360" w:lineRule="auto"/>
        <w:ind w:firstLine="480" w:firstLineChars="200"/>
        <w:rPr>
          <w:rFonts w:ascii="宋体" w:hAnsi="宋体" w:eastAsia="宋体"/>
          <w:color w:val="auto"/>
          <w:sz w:val="24"/>
          <w:highlight w:val="none"/>
        </w:rPr>
      </w:pPr>
      <w:r>
        <w:rPr>
          <w:rFonts w:hint="eastAsia" w:ascii="宋体" w:hAnsi="宋体" w:eastAsia="宋体" w:cs="宋体"/>
          <w:color w:val="auto"/>
          <w:sz w:val="24"/>
          <w:highlight w:val="none"/>
          <w:shd w:val="clear" w:color="auto" w:fill="FFFFFF"/>
        </w:rPr>
        <w:t>在投标文件中详细说明所提供货物的技术规格和参数，并提供佐证材料。供货方应保证货物是全新的、未使用过的，完全符合合同规定的质量、规格和性能要求的正品。</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 采购标的需满足的服务标准、期限、效率等要求：</w:t>
      </w:r>
    </w:p>
    <w:p>
      <w:pPr>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在货物最终验收后的质量保证期内，供货方应对产品的所有质量问题（包括但不限于因设计、工艺或材料的缺陷而发生的任何故障等）负全责，因质量问题所产生的故障、事故、人身损害、经济损失等责任均由供货方承担，由此产生的所有费用也均由供货方负担。</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 为落实政府采购政策需满足的要求：</w:t>
      </w:r>
    </w:p>
    <w:p>
      <w:pPr>
        <w:widowControl/>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 采购标的的其他技术、服务等要求：</w:t>
      </w:r>
    </w:p>
    <w:p>
      <w:pPr>
        <w:spacing w:line="360" w:lineRule="auto"/>
        <w:ind w:firstLine="480" w:firstLineChars="200"/>
        <w:rPr>
          <w:rFonts w:ascii="宋体" w:hAnsi="宋体" w:eastAsia="宋体"/>
          <w:color w:val="auto"/>
          <w:sz w:val="24"/>
          <w:highlight w:val="none"/>
        </w:rPr>
      </w:pPr>
      <w:r>
        <w:rPr>
          <w:rFonts w:hint="eastAsia" w:ascii="宋体" w:hAnsi="宋体" w:eastAsia="宋体" w:cs="宋体"/>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投标人应保证采购人在使用该货物或其任何一部分时，不受第三方提出侵犯其专利权﹑商标权﹑版权和工业设计权等知识产权的指控﹐一旦任何第三方提出侵权指控，供货方必须对可能发生的后果承担全部责任。</w:t>
      </w:r>
    </w:p>
    <w:p>
      <w:pPr>
        <w:rPr>
          <w:rFonts w:ascii="宋体" w:hAnsi="宋体" w:eastAsia="宋体"/>
          <w:color w:val="auto"/>
          <w:sz w:val="24"/>
          <w:highlight w:val="none"/>
        </w:rPr>
      </w:pPr>
      <w:r>
        <w:rPr>
          <w:rFonts w:hint="eastAsia" w:ascii="宋体" w:hAnsi="宋体" w:eastAsia="宋体"/>
          <w:color w:val="auto"/>
          <w:sz w:val="24"/>
          <w:highlight w:val="none"/>
        </w:rPr>
        <w:t>3.验收标准</w:t>
      </w:r>
    </w:p>
    <w:p>
      <w:pPr>
        <w:spacing w:after="156" w:afterLines="5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rPr>
        <w:t>外包装检查，外包装应完好无损，无明显破损、变形、潮湿等现象，标识清晰完整。</w:t>
      </w:r>
    </w:p>
    <w:p>
      <w:pPr>
        <w:spacing w:after="156" w:afterLines="5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 </w:t>
      </w:r>
      <w:r>
        <w:rPr>
          <w:rFonts w:hint="eastAsia" w:ascii="宋体" w:hAnsi="宋体" w:cs="宋体"/>
          <w:color w:val="auto"/>
          <w:sz w:val="24"/>
          <w:highlight w:val="none"/>
        </w:rPr>
        <w:t>根据合同内容，逐项进行货物的数量、规格、型号、颜色、质量等进行检验验收。</w:t>
      </w:r>
    </w:p>
    <w:p>
      <w:pPr>
        <w:spacing w:after="156" w:afterLines="5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3.3 </w:t>
      </w:r>
      <w:r>
        <w:rPr>
          <w:rFonts w:hint="eastAsia" w:ascii="宋体" w:hAnsi="宋体" w:cs="宋体"/>
          <w:color w:val="auto"/>
          <w:sz w:val="24"/>
          <w:highlight w:val="none"/>
        </w:rPr>
        <w:t>配件齐全，对于需要配件的货物，需检查配件是否齐全。</w:t>
      </w:r>
    </w:p>
    <w:p>
      <w:pPr>
        <w:spacing w:after="156" w:afterLines="5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3.4 </w:t>
      </w:r>
      <w:r>
        <w:rPr>
          <w:rFonts w:hint="eastAsia" w:ascii="宋体" w:hAnsi="宋体" w:cs="宋体"/>
          <w:color w:val="auto"/>
          <w:sz w:val="24"/>
          <w:highlight w:val="none"/>
        </w:rPr>
        <w:t>质量检验，对货物的质量进行检查，包括外观质量、功能性能、使用寿命等方面的检验。</w:t>
      </w:r>
    </w:p>
    <w:p>
      <w:pPr>
        <w:spacing w:after="156" w:afterLines="50"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val="en-US" w:eastAsia="zh-CN"/>
        </w:rPr>
        <w:t>5</w:t>
      </w:r>
      <w:r>
        <w:rPr>
          <w:rFonts w:ascii="宋体" w:hAnsi="宋体" w:cs="宋体"/>
          <w:color w:val="auto"/>
          <w:sz w:val="24"/>
          <w:highlight w:val="none"/>
        </w:rPr>
        <w:t xml:space="preserve"> </w:t>
      </w:r>
      <w:r>
        <w:rPr>
          <w:rFonts w:hint="eastAsia" w:ascii="宋体" w:hAnsi="宋体" w:cs="宋体"/>
          <w:color w:val="auto"/>
          <w:sz w:val="24"/>
          <w:highlight w:val="none"/>
        </w:rPr>
        <w:t>遵循北京市丰台区职业教育中心学校项目验收标准。</w:t>
      </w:r>
    </w:p>
    <w:p>
      <w:pPr>
        <w:adjustRightInd w:val="0"/>
        <w:snapToGrid w:val="0"/>
        <w:spacing w:line="360" w:lineRule="auto"/>
        <w:ind w:firstLine="480" w:firstLineChars="200"/>
        <w:rPr>
          <w:rFonts w:ascii="宋体" w:hAnsi="宋体" w:cs="宋体"/>
          <w:color w:val="auto"/>
          <w:sz w:val="24"/>
          <w:highlight w:val="none"/>
        </w:rPr>
      </w:pPr>
    </w:p>
    <w:p>
      <w:pPr>
        <w:pStyle w:val="176"/>
        <w:spacing w:line="360" w:lineRule="auto"/>
        <w:jc w:val="center"/>
        <w:rPr>
          <w:rFonts w:hint="default" w:hAnsi="宋体" w:cs="宋体"/>
          <w:b/>
          <w:color w:val="auto"/>
          <w:sz w:val="36"/>
          <w:szCs w:val="36"/>
          <w:highlight w:val="none"/>
        </w:rPr>
        <w:sectPr>
          <w:pgSz w:w="11907" w:h="16840"/>
          <w:pgMar w:top="1440" w:right="1797" w:bottom="1440" w:left="1797" w:header="851" w:footer="851" w:gutter="0"/>
          <w:cols w:space="720" w:num="1"/>
          <w:docGrid w:linePitch="462" w:charSpace="0"/>
        </w:sectPr>
      </w:pPr>
    </w:p>
    <w:p>
      <w:pPr>
        <w:pStyle w:val="176"/>
        <w:spacing w:line="360" w:lineRule="auto"/>
        <w:jc w:val="center"/>
        <w:outlineLvl w:val="0"/>
        <w:rPr>
          <w:rFonts w:hint="default" w:hAnsi="宋体" w:cs="宋体"/>
          <w:b/>
          <w:color w:val="auto"/>
          <w:sz w:val="36"/>
          <w:szCs w:val="36"/>
          <w:highlight w:val="none"/>
        </w:rPr>
      </w:pPr>
      <w:bookmarkStart w:id="294" w:name="_Toc229142825"/>
      <w:r>
        <w:rPr>
          <w:rFonts w:hAnsi="宋体" w:cs="宋体"/>
          <w:b/>
          <w:color w:val="auto"/>
          <w:sz w:val="36"/>
          <w:szCs w:val="36"/>
          <w:highlight w:val="none"/>
        </w:rPr>
        <w:t>第六章   拟签订的合同文本</w:t>
      </w:r>
      <w:bookmarkEnd w:id="294"/>
    </w:p>
    <w:p>
      <w:pPr>
        <w:jc w:val="center"/>
        <w:rPr>
          <w:bCs/>
          <w:color w:val="auto"/>
          <w:sz w:val="36"/>
          <w:szCs w:val="36"/>
          <w:highlight w:val="none"/>
        </w:rPr>
      </w:pPr>
      <w:bookmarkStart w:id="295" w:name="_Toc3995"/>
      <w:r>
        <w:rPr>
          <w:rFonts w:hint="eastAsia"/>
          <w:bCs/>
          <w:color w:val="auto"/>
          <w:sz w:val="36"/>
          <w:szCs w:val="36"/>
          <w:highlight w:val="none"/>
        </w:rPr>
        <w:t>政府采购合同</w:t>
      </w:r>
    </w:p>
    <w:p>
      <w:pPr>
        <w:rPr>
          <w:bCs/>
          <w:color w:val="auto"/>
          <w:sz w:val="28"/>
          <w:szCs w:val="28"/>
          <w:highlight w:val="none"/>
        </w:rPr>
      </w:pPr>
    </w:p>
    <w:p>
      <w:pPr>
        <w:jc w:val="right"/>
        <w:rPr>
          <w:bCs/>
          <w:color w:val="auto"/>
          <w:sz w:val="28"/>
          <w:szCs w:val="28"/>
          <w:highlight w:val="none"/>
        </w:rPr>
      </w:pPr>
      <w:bookmarkStart w:id="296" w:name="_Toc135539127"/>
      <w:bookmarkStart w:id="297" w:name="_Toc135537939"/>
      <w:r>
        <w:rPr>
          <w:rFonts w:hint="eastAsia"/>
          <w:bCs/>
          <w:color w:val="auto"/>
          <w:sz w:val="28"/>
          <w:szCs w:val="28"/>
          <w:highlight w:val="none"/>
        </w:rPr>
        <w:t>合同编号</w:t>
      </w:r>
      <w:bookmarkEnd w:id="296"/>
      <w:bookmarkEnd w:id="297"/>
      <w:r>
        <w:rPr>
          <w:rFonts w:hint="eastAsia"/>
          <w:bCs/>
          <w:color w:val="auto"/>
          <w:sz w:val="28"/>
          <w:szCs w:val="28"/>
          <w:highlight w:val="none"/>
        </w:rPr>
        <w:t>：</w:t>
      </w:r>
    </w:p>
    <w:p>
      <w:pPr>
        <w:rPr>
          <w:bCs/>
          <w:color w:val="auto"/>
          <w:sz w:val="28"/>
          <w:szCs w:val="28"/>
          <w:highlight w:val="none"/>
        </w:rPr>
      </w:pPr>
    </w:p>
    <w:p>
      <w:pPr>
        <w:rPr>
          <w:bCs/>
          <w:color w:val="auto"/>
          <w:sz w:val="28"/>
          <w:szCs w:val="28"/>
          <w:highlight w:val="none"/>
        </w:rPr>
      </w:pPr>
    </w:p>
    <w:p>
      <w:pPr>
        <w:rPr>
          <w:bCs/>
          <w:color w:val="auto"/>
          <w:sz w:val="28"/>
          <w:szCs w:val="28"/>
          <w:highlight w:val="none"/>
        </w:rPr>
      </w:pPr>
    </w:p>
    <w:p>
      <w:pPr>
        <w:spacing w:line="480" w:lineRule="auto"/>
        <w:rPr>
          <w:bCs/>
          <w:color w:val="auto"/>
          <w:sz w:val="28"/>
          <w:szCs w:val="28"/>
          <w:highlight w:val="none"/>
        </w:rPr>
      </w:pPr>
      <w:r>
        <w:rPr>
          <w:rFonts w:hint="eastAsia"/>
          <w:bCs/>
          <w:color w:val="auto"/>
          <w:sz w:val="28"/>
          <w:szCs w:val="28"/>
          <w:highlight w:val="none"/>
        </w:rPr>
        <w:t>项目名称:</w:t>
      </w:r>
      <w:r>
        <w:rPr>
          <w:rFonts w:hint="eastAsia" w:ascii="宋体" w:hAnsi="宋体"/>
          <w:bCs/>
          <w:color w:val="auto"/>
          <w:sz w:val="24"/>
          <w:highlight w:val="none"/>
          <w:u w:val="single"/>
        </w:rPr>
        <w:t xml:space="preserve">                                                            </w:t>
      </w:r>
    </w:p>
    <w:p>
      <w:pPr>
        <w:spacing w:line="480" w:lineRule="auto"/>
        <w:rPr>
          <w:bCs/>
          <w:color w:val="auto"/>
          <w:sz w:val="28"/>
          <w:szCs w:val="28"/>
          <w:highlight w:val="none"/>
        </w:rPr>
      </w:pPr>
      <w:r>
        <w:rPr>
          <w:rFonts w:hint="eastAsia"/>
          <w:bCs/>
          <w:color w:val="auto"/>
          <w:sz w:val="28"/>
          <w:szCs w:val="28"/>
          <w:highlight w:val="none"/>
        </w:rPr>
        <w:t>产品名称：</w:t>
      </w:r>
      <w:r>
        <w:rPr>
          <w:rFonts w:hint="eastAsia" w:ascii="宋体" w:hAnsi="宋体"/>
          <w:bCs/>
          <w:color w:val="auto"/>
          <w:sz w:val="24"/>
          <w:highlight w:val="none"/>
          <w:u w:val="single"/>
        </w:rPr>
        <w:t xml:space="preserve">                                                          </w:t>
      </w:r>
    </w:p>
    <w:p>
      <w:pPr>
        <w:spacing w:line="480" w:lineRule="auto"/>
        <w:rPr>
          <w:bCs/>
          <w:color w:val="auto"/>
          <w:sz w:val="28"/>
          <w:szCs w:val="28"/>
          <w:highlight w:val="none"/>
        </w:rPr>
      </w:pPr>
      <w:r>
        <w:rPr>
          <w:rFonts w:hint="eastAsia"/>
          <w:bCs/>
          <w:color w:val="auto"/>
          <w:sz w:val="28"/>
          <w:szCs w:val="28"/>
          <w:highlight w:val="none"/>
        </w:rPr>
        <w:t>买    方：</w:t>
      </w:r>
      <w:r>
        <w:rPr>
          <w:rFonts w:hint="eastAsia" w:ascii="宋体" w:hAnsi="宋体"/>
          <w:bCs/>
          <w:color w:val="auto"/>
          <w:sz w:val="24"/>
          <w:highlight w:val="none"/>
          <w:u w:val="single"/>
        </w:rPr>
        <w:t xml:space="preserve">                                                          </w:t>
      </w:r>
    </w:p>
    <w:p>
      <w:pPr>
        <w:spacing w:line="480" w:lineRule="auto"/>
        <w:rPr>
          <w:bCs/>
          <w:color w:val="auto"/>
          <w:sz w:val="28"/>
          <w:szCs w:val="28"/>
          <w:highlight w:val="none"/>
          <w:u w:val="single"/>
        </w:rPr>
      </w:pPr>
      <w:r>
        <w:rPr>
          <w:rFonts w:hint="eastAsia"/>
          <w:bCs/>
          <w:color w:val="auto"/>
          <w:sz w:val="28"/>
          <w:szCs w:val="28"/>
          <w:highlight w:val="none"/>
        </w:rPr>
        <w:t>卖    方：</w:t>
      </w:r>
      <w:r>
        <w:rPr>
          <w:rFonts w:hint="eastAsia" w:ascii="宋体" w:hAnsi="宋体"/>
          <w:bCs/>
          <w:color w:val="auto"/>
          <w:sz w:val="24"/>
          <w:highlight w:val="none"/>
          <w:u w:val="single"/>
        </w:rPr>
        <w:t xml:space="preserve">                                                          </w:t>
      </w:r>
    </w:p>
    <w:p>
      <w:pPr>
        <w:rPr>
          <w:bCs/>
          <w:color w:val="auto"/>
          <w:sz w:val="28"/>
          <w:szCs w:val="28"/>
          <w:highlight w:val="none"/>
          <w:u w:val="single"/>
        </w:rPr>
      </w:pPr>
    </w:p>
    <w:p>
      <w:pPr>
        <w:rPr>
          <w:bCs/>
          <w:color w:val="auto"/>
          <w:sz w:val="28"/>
          <w:szCs w:val="28"/>
          <w:highlight w:val="none"/>
          <w:u w:val="single"/>
        </w:rPr>
      </w:pPr>
    </w:p>
    <w:p>
      <w:pPr>
        <w:rPr>
          <w:bCs/>
          <w:color w:val="auto"/>
          <w:sz w:val="28"/>
          <w:szCs w:val="28"/>
          <w:highlight w:val="none"/>
          <w:u w:val="single"/>
        </w:rPr>
      </w:pPr>
    </w:p>
    <w:p>
      <w:pPr>
        <w:rPr>
          <w:bCs/>
          <w:color w:val="auto"/>
          <w:sz w:val="28"/>
          <w:szCs w:val="28"/>
          <w:highlight w:val="none"/>
          <w:u w:val="single"/>
        </w:rPr>
      </w:pPr>
    </w:p>
    <w:p>
      <w:pPr>
        <w:jc w:val="center"/>
        <w:rPr>
          <w:bCs/>
          <w:color w:val="auto"/>
          <w:sz w:val="28"/>
          <w:szCs w:val="28"/>
          <w:highlight w:val="none"/>
        </w:rPr>
      </w:pPr>
      <w:r>
        <w:rPr>
          <w:rFonts w:hint="eastAsia"/>
          <w:bCs/>
          <w:color w:val="auto"/>
          <w:sz w:val="28"/>
          <w:szCs w:val="28"/>
          <w:highlight w:val="none"/>
        </w:rPr>
        <w:t>签署日期：</w:t>
      </w:r>
    </w:p>
    <w:p>
      <w:pPr>
        <w:jc w:val="center"/>
        <w:rPr>
          <w:b/>
          <w:color w:val="auto"/>
          <w:sz w:val="30"/>
          <w:szCs w:val="30"/>
          <w:highlight w:val="none"/>
        </w:rPr>
      </w:pPr>
      <w:r>
        <w:rPr>
          <w:color w:val="auto"/>
          <w:highlight w:val="none"/>
        </w:rPr>
        <w:br w:type="page"/>
      </w:r>
      <w:r>
        <w:rPr>
          <w:rFonts w:hint="eastAsia"/>
          <w:b/>
          <w:color w:val="auto"/>
          <w:sz w:val="30"/>
          <w:szCs w:val="30"/>
          <w:highlight w:val="none"/>
        </w:rPr>
        <w:t>合　　同　　书</w:t>
      </w:r>
    </w:p>
    <w:p>
      <w:pPr>
        <w:spacing w:line="560" w:lineRule="exact"/>
        <w:jc w:val="left"/>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买方）</w:t>
      </w:r>
      <w:r>
        <w:rPr>
          <w:rFonts w:hint="eastAsia" w:ascii="宋体" w:hAnsi="宋体"/>
          <w:color w:val="auto"/>
          <w:sz w:val="24"/>
          <w:highlight w:val="none"/>
          <w:u w:val="single"/>
        </w:rPr>
        <w:t xml:space="preserve">            </w:t>
      </w:r>
      <w:r>
        <w:rPr>
          <w:rFonts w:hint="eastAsia" w:ascii="宋体" w:hAnsi="宋体"/>
          <w:color w:val="auto"/>
          <w:sz w:val="24"/>
          <w:highlight w:val="none"/>
        </w:rPr>
        <w:t>（项目名称）经</w:t>
      </w:r>
      <w:r>
        <w:rPr>
          <w:rFonts w:hint="eastAsia" w:ascii="宋体" w:hAnsi="宋体"/>
          <w:color w:val="auto"/>
          <w:sz w:val="24"/>
          <w:highlight w:val="none"/>
          <w:u w:val="single"/>
        </w:rPr>
        <w:t xml:space="preserve">          </w:t>
      </w:r>
      <w:r>
        <w:rPr>
          <w:rFonts w:hint="eastAsia" w:ascii="宋体" w:hAnsi="宋体"/>
          <w:color w:val="auto"/>
          <w:sz w:val="24"/>
          <w:highlight w:val="none"/>
        </w:rPr>
        <w:t>（招标代理单位以</w:t>
      </w:r>
      <w:r>
        <w:rPr>
          <w:rFonts w:hint="eastAsia" w:ascii="宋体" w:hAnsi="宋体"/>
          <w:color w:val="auto"/>
          <w:sz w:val="24"/>
          <w:highlight w:val="none"/>
          <w:u w:val="single"/>
        </w:rPr>
        <w:t xml:space="preserve">          </w:t>
      </w:r>
      <w:r>
        <w:rPr>
          <w:rFonts w:hint="eastAsia" w:ascii="宋体" w:hAnsi="宋体"/>
          <w:color w:val="auto"/>
          <w:sz w:val="24"/>
          <w:highlight w:val="none"/>
        </w:rPr>
        <w:t>号招标文件在国内公开招标。经评标委员会评定</w:t>
      </w:r>
      <w:r>
        <w:rPr>
          <w:rFonts w:hint="eastAsia" w:ascii="宋体" w:hAnsi="宋体"/>
          <w:color w:val="auto"/>
          <w:sz w:val="24"/>
          <w:highlight w:val="none"/>
          <w:u w:val="single"/>
        </w:rPr>
        <w:t xml:space="preserve">          </w:t>
      </w:r>
      <w:r>
        <w:rPr>
          <w:rFonts w:hint="eastAsia" w:ascii="宋体" w:hAnsi="宋体"/>
          <w:color w:val="auto"/>
          <w:sz w:val="24"/>
          <w:highlight w:val="none"/>
        </w:rPr>
        <w:t>（卖方）为中标人。买、卖双方同意按照下面的条款和条件，签署本合同。</w:t>
      </w:r>
    </w:p>
    <w:p>
      <w:pPr>
        <w:spacing w:line="560" w:lineRule="exact"/>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、合同文件</w:t>
      </w:r>
    </w:p>
    <w:p>
      <w:pPr>
        <w:spacing w:line="560" w:lineRule="exact"/>
        <w:ind w:firstLine="200"/>
        <w:rPr>
          <w:rFonts w:ascii="宋体" w:hAnsi="宋体"/>
          <w:color w:val="auto"/>
          <w:sz w:val="24"/>
          <w:highlight w:val="none"/>
        </w:rPr>
      </w:pPr>
      <w:r>
        <w:rPr>
          <w:rFonts w:hint="eastAsia" w:ascii="宋体" w:hAnsi="宋体"/>
          <w:color w:val="auto"/>
          <w:sz w:val="24"/>
          <w:highlight w:val="none"/>
        </w:rPr>
        <w:t>下列文件构成本合同的组成部分，应该认为是一个整体，彼此相互解释，相互补充。为便于解释，组成合同的多个文件的优先支配地位的次序如下:</w:t>
      </w:r>
    </w:p>
    <w:p>
      <w:pPr>
        <w:spacing w:line="560" w:lineRule="exact"/>
        <w:ind w:firstLine="200"/>
        <w:rPr>
          <w:rFonts w:ascii="宋体" w:hAnsi="宋体"/>
          <w:color w:val="auto"/>
          <w:sz w:val="24"/>
          <w:highlight w:val="none"/>
        </w:rPr>
      </w:pPr>
      <w:r>
        <w:rPr>
          <w:rFonts w:ascii="宋体" w:hAnsi="宋体"/>
          <w:color w:val="auto"/>
          <w:sz w:val="24"/>
          <w:highlight w:val="none"/>
        </w:rPr>
        <w:t>a.</w:t>
      </w:r>
      <w:r>
        <w:rPr>
          <w:rFonts w:hint="eastAsia" w:ascii="宋体" w:hAnsi="宋体"/>
          <w:color w:val="auto"/>
          <w:sz w:val="24"/>
          <w:highlight w:val="none"/>
        </w:rPr>
        <w:t>本合同书</w:t>
      </w:r>
    </w:p>
    <w:p>
      <w:pPr>
        <w:spacing w:line="560" w:lineRule="exact"/>
        <w:ind w:firstLine="200"/>
        <w:rPr>
          <w:rFonts w:ascii="宋体" w:hAnsi="宋体"/>
          <w:color w:val="auto"/>
          <w:sz w:val="24"/>
          <w:highlight w:val="none"/>
        </w:rPr>
      </w:pPr>
      <w:r>
        <w:rPr>
          <w:rFonts w:ascii="宋体" w:hAnsi="宋体"/>
          <w:color w:val="auto"/>
          <w:sz w:val="24"/>
          <w:highlight w:val="none"/>
        </w:rPr>
        <w:t>b.</w:t>
      </w:r>
      <w:r>
        <w:rPr>
          <w:rFonts w:hint="eastAsia" w:ascii="宋体" w:hAnsi="宋体"/>
          <w:color w:val="auto"/>
          <w:sz w:val="24"/>
          <w:highlight w:val="none"/>
        </w:rPr>
        <w:t>中标通知书</w:t>
      </w:r>
    </w:p>
    <w:p>
      <w:pPr>
        <w:spacing w:line="560" w:lineRule="exact"/>
        <w:ind w:firstLine="200"/>
        <w:rPr>
          <w:rFonts w:ascii="宋体" w:hAnsi="宋体"/>
          <w:color w:val="auto"/>
          <w:sz w:val="24"/>
          <w:highlight w:val="none"/>
        </w:rPr>
      </w:pPr>
      <w:r>
        <w:rPr>
          <w:rFonts w:ascii="宋体" w:hAnsi="宋体"/>
          <w:color w:val="auto"/>
          <w:sz w:val="24"/>
          <w:highlight w:val="none"/>
        </w:rPr>
        <w:t>c.</w:t>
      </w:r>
      <w:r>
        <w:rPr>
          <w:rFonts w:hint="eastAsia" w:ascii="宋体" w:hAnsi="宋体"/>
          <w:color w:val="auto"/>
          <w:sz w:val="24"/>
          <w:highlight w:val="none"/>
        </w:rPr>
        <w:t>合同一般条款</w:t>
      </w:r>
    </w:p>
    <w:p>
      <w:pPr>
        <w:spacing w:line="560" w:lineRule="exact"/>
        <w:ind w:firstLine="200"/>
        <w:rPr>
          <w:rFonts w:ascii="宋体" w:hAnsi="宋体"/>
          <w:color w:val="auto"/>
          <w:sz w:val="24"/>
          <w:highlight w:val="none"/>
        </w:rPr>
      </w:pPr>
      <w:r>
        <w:rPr>
          <w:rFonts w:hint="eastAsia" w:ascii="宋体" w:hAnsi="宋体"/>
          <w:color w:val="auto"/>
          <w:sz w:val="24"/>
          <w:highlight w:val="none"/>
        </w:rPr>
        <w:t>d</w:t>
      </w:r>
      <w:r>
        <w:rPr>
          <w:rFonts w:ascii="宋体" w:hAnsi="宋体"/>
          <w:color w:val="auto"/>
          <w:sz w:val="24"/>
          <w:highlight w:val="none"/>
        </w:rPr>
        <w:t>.</w:t>
      </w:r>
      <w:r>
        <w:rPr>
          <w:rFonts w:hint="eastAsia" w:ascii="宋体" w:hAnsi="宋体"/>
          <w:color w:val="auto"/>
          <w:sz w:val="24"/>
          <w:highlight w:val="none"/>
        </w:rPr>
        <w:t>合同特殊条款</w:t>
      </w:r>
    </w:p>
    <w:p>
      <w:pPr>
        <w:spacing w:line="560" w:lineRule="exact"/>
        <w:ind w:firstLine="200"/>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w:t>
      </w:r>
      <w:r>
        <w:rPr>
          <w:rFonts w:hint="eastAsia" w:ascii="宋体" w:hAnsi="宋体"/>
          <w:color w:val="auto"/>
          <w:sz w:val="24"/>
          <w:highlight w:val="none"/>
        </w:rPr>
        <w:t>投标文件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(含澄清文件)</w:t>
      </w:r>
    </w:p>
    <w:p>
      <w:pPr>
        <w:spacing w:line="560" w:lineRule="exact"/>
        <w:ind w:firstLine="200"/>
        <w:rPr>
          <w:rFonts w:ascii="宋体" w:hAnsi="宋体"/>
          <w:color w:val="auto"/>
          <w:sz w:val="24"/>
          <w:highlight w:val="none"/>
        </w:rPr>
      </w:pPr>
      <w:r>
        <w:rPr>
          <w:rFonts w:ascii="宋体" w:hAnsi="宋体"/>
          <w:color w:val="auto"/>
          <w:sz w:val="24"/>
          <w:highlight w:val="none"/>
        </w:rPr>
        <w:t>f.</w:t>
      </w:r>
      <w:r>
        <w:rPr>
          <w:rFonts w:hint="eastAsia" w:ascii="宋体" w:hAnsi="宋体"/>
          <w:color w:val="auto"/>
          <w:sz w:val="24"/>
          <w:highlight w:val="none"/>
        </w:rPr>
        <w:t>招标文件</w:t>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w:t>
      </w:r>
      <w:r>
        <w:rPr>
          <w:rFonts w:hint="eastAsia" w:ascii="宋体" w:hAnsi="宋体"/>
          <w:color w:val="auto"/>
          <w:sz w:val="24"/>
          <w:highlight w:val="none"/>
        </w:rPr>
        <w:t>含招标文件补充通知</w:t>
      </w:r>
      <w:r>
        <w:rPr>
          <w:rFonts w:ascii="宋体" w:hAnsi="宋体"/>
          <w:color w:val="auto"/>
          <w:sz w:val="24"/>
          <w:highlight w:val="none"/>
        </w:rPr>
        <w:t>)</w:t>
      </w:r>
    </w:p>
    <w:p>
      <w:pPr>
        <w:spacing w:line="560" w:lineRule="exact"/>
        <w:ind w:firstLine="200"/>
        <w:rPr>
          <w:rFonts w:ascii="宋体" w:hAnsi="宋体"/>
          <w:b/>
          <w:color w:val="auto"/>
          <w:sz w:val="24"/>
          <w:highlight w:val="none"/>
        </w:rPr>
      </w:pPr>
      <w:r>
        <w:rPr>
          <w:rFonts w:hint="eastAsia" w:ascii="宋体" w:hAnsi="宋体"/>
          <w:b/>
          <w:color w:val="auto"/>
          <w:sz w:val="24"/>
          <w:highlight w:val="none"/>
        </w:rPr>
        <w:t>2、产品和数量</w:t>
      </w:r>
    </w:p>
    <w:p>
      <w:pPr>
        <w:spacing w:line="560" w:lineRule="exact"/>
        <w:ind w:firstLine="200"/>
        <w:rPr>
          <w:rFonts w:ascii="宋体" w:hAnsi="宋体"/>
          <w:color w:val="auto"/>
          <w:sz w:val="24"/>
          <w:highlight w:val="none"/>
        </w:rPr>
      </w:pPr>
      <w:r>
        <w:rPr>
          <w:rFonts w:hint="eastAsia" w:ascii="宋体" w:hAnsi="宋体"/>
          <w:color w:val="auto"/>
          <w:sz w:val="24"/>
          <w:highlight w:val="none"/>
        </w:rPr>
        <w:t>本合同产品：</w:t>
      </w:r>
      <w:r>
        <w:rPr>
          <w:rFonts w:hint="eastAsia" w:ascii="宋体" w:hAnsi="宋体"/>
          <w:color w:val="auto"/>
          <w:sz w:val="24"/>
          <w:highlight w:val="none"/>
          <w:u w:val="single"/>
        </w:rPr>
        <w:t xml:space="preserve">            </w:t>
      </w:r>
    </w:p>
    <w:p>
      <w:pPr>
        <w:spacing w:line="560" w:lineRule="exact"/>
        <w:ind w:firstLine="200"/>
        <w:rPr>
          <w:rFonts w:ascii="宋体" w:hAnsi="宋体"/>
          <w:color w:val="auto"/>
          <w:sz w:val="24"/>
          <w:highlight w:val="none"/>
        </w:rPr>
      </w:pPr>
      <w:r>
        <w:rPr>
          <w:rFonts w:hint="eastAsia" w:ascii="宋体" w:hAnsi="宋体"/>
          <w:color w:val="auto"/>
          <w:sz w:val="24"/>
          <w:highlight w:val="none"/>
        </w:rPr>
        <w:t>数量：</w:t>
      </w:r>
      <w:r>
        <w:rPr>
          <w:rFonts w:hint="eastAsia" w:ascii="宋体" w:hAnsi="宋体"/>
          <w:color w:val="auto"/>
          <w:sz w:val="24"/>
          <w:highlight w:val="none"/>
          <w:u w:val="single"/>
        </w:rPr>
        <w:t xml:space="preserve">                  </w:t>
      </w:r>
    </w:p>
    <w:p>
      <w:pPr>
        <w:spacing w:line="560" w:lineRule="exact"/>
        <w:ind w:firstLine="200"/>
        <w:rPr>
          <w:rFonts w:ascii="宋体" w:hAnsi="宋体"/>
          <w:b/>
          <w:color w:val="auto"/>
          <w:sz w:val="24"/>
          <w:highlight w:val="none"/>
        </w:rPr>
      </w:pPr>
      <w:r>
        <w:rPr>
          <w:rFonts w:hint="eastAsia" w:ascii="宋体" w:hAnsi="宋体"/>
          <w:b/>
          <w:color w:val="auto"/>
          <w:sz w:val="24"/>
          <w:highlight w:val="none"/>
        </w:rPr>
        <w:t>3、合同总价</w:t>
      </w:r>
    </w:p>
    <w:p>
      <w:pPr>
        <w:spacing w:line="560" w:lineRule="exact"/>
        <w:ind w:firstLine="200"/>
        <w:rPr>
          <w:rFonts w:ascii="宋体" w:hAnsi="宋体"/>
          <w:color w:val="auto"/>
          <w:sz w:val="24"/>
          <w:highlight w:val="none"/>
        </w:rPr>
      </w:pPr>
      <w:r>
        <w:rPr>
          <w:rFonts w:hint="eastAsia" w:ascii="宋体" w:hAnsi="宋体"/>
          <w:color w:val="auto"/>
          <w:sz w:val="24"/>
          <w:highlight w:val="none"/>
        </w:rPr>
        <w:t>本合同总价为</w:t>
      </w:r>
      <w:r>
        <w:rPr>
          <w:rFonts w:hint="eastAsia" w:ascii="宋体" w:hAnsi="宋体"/>
          <w:color w:val="auto"/>
          <w:sz w:val="24"/>
          <w:highlight w:val="none"/>
          <w:u w:val="single"/>
        </w:rPr>
        <w:t xml:space="preserve">            </w:t>
      </w:r>
      <w:r>
        <w:rPr>
          <w:rFonts w:hint="eastAsia" w:ascii="宋体" w:hAnsi="宋体"/>
          <w:color w:val="auto"/>
          <w:sz w:val="24"/>
          <w:highlight w:val="none"/>
        </w:rPr>
        <w:t>元人民币</w:t>
      </w:r>
    </w:p>
    <w:p>
      <w:pPr>
        <w:spacing w:line="560" w:lineRule="exact"/>
        <w:ind w:firstLine="200"/>
        <w:rPr>
          <w:rFonts w:ascii="宋体" w:hAnsi="宋体"/>
          <w:color w:val="auto"/>
          <w:sz w:val="24"/>
          <w:highlight w:val="none"/>
          <w:u w:val="single"/>
        </w:rPr>
      </w:pPr>
      <w:r>
        <w:rPr>
          <w:rFonts w:hint="eastAsia" w:ascii="宋体" w:hAnsi="宋体"/>
          <w:color w:val="auto"/>
          <w:sz w:val="24"/>
          <w:highlight w:val="none"/>
        </w:rPr>
        <w:t>分项价格：</w:t>
      </w:r>
      <w:r>
        <w:rPr>
          <w:rFonts w:hint="eastAsia" w:ascii="宋体" w:hAnsi="宋体"/>
          <w:color w:val="auto"/>
          <w:sz w:val="24"/>
          <w:highlight w:val="none"/>
          <w:u w:val="single"/>
        </w:rPr>
        <w:t xml:space="preserve">              </w:t>
      </w:r>
    </w:p>
    <w:p>
      <w:pPr>
        <w:spacing w:line="560" w:lineRule="exact"/>
        <w:ind w:firstLine="200"/>
        <w:rPr>
          <w:rFonts w:ascii="宋体" w:hAnsi="宋体"/>
          <w:b/>
          <w:color w:val="auto"/>
          <w:sz w:val="24"/>
          <w:highlight w:val="none"/>
        </w:rPr>
      </w:pPr>
      <w:r>
        <w:rPr>
          <w:rFonts w:hint="eastAsia" w:ascii="宋体" w:hAnsi="宋体"/>
          <w:b/>
          <w:color w:val="auto"/>
          <w:sz w:val="24"/>
          <w:highlight w:val="none"/>
        </w:rPr>
        <w:t>4、付款方式</w:t>
      </w:r>
    </w:p>
    <w:p>
      <w:pPr>
        <w:spacing w:line="560" w:lineRule="exact"/>
        <w:ind w:firstLine="200"/>
        <w:rPr>
          <w:rFonts w:ascii="宋体" w:hAnsi="宋体"/>
          <w:b/>
          <w:color w:val="auto"/>
          <w:sz w:val="24"/>
          <w:highlight w:val="none"/>
        </w:rPr>
      </w:pPr>
    </w:p>
    <w:p>
      <w:pPr>
        <w:spacing w:line="560" w:lineRule="exact"/>
        <w:ind w:firstLine="200"/>
        <w:rPr>
          <w:rFonts w:ascii="宋体" w:hAnsi="宋体"/>
          <w:b/>
          <w:color w:val="auto"/>
          <w:sz w:val="24"/>
          <w:highlight w:val="none"/>
        </w:rPr>
      </w:pPr>
      <w:r>
        <w:rPr>
          <w:rFonts w:hint="eastAsia" w:ascii="宋体" w:hAnsi="宋体"/>
          <w:b/>
          <w:color w:val="auto"/>
          <w:sz w:val="24"/>
          <w:highlight w:val="none"/>
        </w:rPr>
        <w:t>5、本合同产品的交货时间及交货地点</w:t>
      </w:r>
    </w:p>
    <w:p>
      <w:pPr>
        <w:spacing w:line="560" w:lineRule="exact"/>
        <w:ind w:firstLine="200"/>
        <w:rPr>
          <w:b/>
          <w:color w:val="auto"/>
          <w:sz w:val="28"/>
          <w:szCs w:val="28"/>
          <w:highlight w:val="none"/>
          <w:u w:val="single"/>
        </w:rPr>
      </w:pPr>
      <w:r>
        <w:rPr>
          <w:rFonts w:hint="eastAsia" w:ascii="宋体" w:hAnsi="宋体"/>
          <w:color w:val="auto"/>
          <w:sz w:val="24"/>
          <w:highlight w:val="none"/>
        </w:rPr>
        <w:t>交货时间：</w:t>
      </w:r>
      <w:r>
        <w:rPr>
          <w:rFonts w:hint="eastAsia" w:ascii="宋体" w:hAnsi="宋体"/>
          <w:color w:val="auto"/>
          <w:sz w:val="24"/>
          <w:highlight w:val="none"/>
          <w:u w:val="single"/>
        </w:rPr>
        <w:t xml:space="preserve">                                </w:t>
      </w:r>
    </w:p>
    <w:p>
      <w:pPr>
        <w:spacing w:line="560" w:lineRule="exact"/>
        <w:ind w:firstLine="200"/>
        <w:rPr>
          <w:rFonts w:ascii="宋体" w:hAnsi="宋体"/>
          <w:b/>
          <w:color w:val="auto"/>
          <w:sz w:val="24"/>
          <w:highlight w:val="none"/>
          <w:u w:val="single"/>
        </w:rPr>
      </w:pPr>
      <w:r>
        <w:rPr>
          <w:rFonts w:hint="eastAsia" w:ascii="宋体" w:hAnsi="宋体"/>
          <w:color w:val="auto"/>
          <w:sz w:val="24"/>
          <w:highlight w:val="none"/>
        </w:rPr>
        <w:t>交货地点：</w:t>
      </w:r>
      <w:r>
        <w:rPr>
          <w:rFonts w:hint="eastAsia" w:ascii="宋体" w:hAnsi="宋体"/>
          <w:bCs/>
          <w:color w:val="auto"/>
          <w:sz w:val="24"/>
          <w:highlight w:val="none"/>
          <w:u w:val="single"/>
        </w:rPr>
        <w:t>北京市丰台区职业教育中心学校指定</w:t>
      </w:r>
    </w:p>
    <w:p>
      <w:pPr>
        <w:spacing w:line="560" w:lineRule="exact"/>
        <w:ind w:firstLine="200"/>
        <w:rPr>
          <w:rFonts w:ascii="宋体" w:hAnsi="宋体"/>
          <w:b/>
          <w:color w:val="auto"/>
          <w:sz w:val="24"/>
          <w:highlight w:val="none"/>
        </w:rPr>
      </w:pPr>
      <w:r>
        <w:rPr>
          <w:rFonts w:hint="eastAsia" w:ascii="宋体" w:hAnsi="宋体"/>
          <w:b/>
          <w:color w:val="auto"/>
          <w:sz w:val="24"/>
          <w:highlight w:val="none"/>
        </w:rPr>
        <w:t>6、其他</w:t>
      </w:r>
    </w:p>
    <w:p>
      <w:pPr>
        <w:spacing w:line="560" w:lineRule="exact"/>
        <w:ind w:firstLine="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5</w:t>
      </w:r>
      <w:r>
        <w:rPr>
          <w:rFonts w:hint="eastAsia" w:ascii="宋体" w:hAnsi="宋体"/>
          <w:color w:val="auto"/>
          <w:sz w:val="24"/>
          <w:highlight w:val="none"/>
        </w:rPr>
        <w:t>份，买方和卖方各执</w:t>
      </w:r>
      <w:r>
        <w:rPr>
          <w:rFonts w:hint="eastAsia" w:ascii="宋体" w:hAnsi="宋体"/>
          <w:color w:val="auto"/>
          <w:sz w:val="24"/>
          <w:highlight w:val="none"/>
          <w:u w:val="single"/>
        </w:rPr>
        <w:t>2</w:t>
      </w:r>
      <w:r>
        <w:rPr>
          <w:rFonts w:hint="eastAsia" w:ascii="宋体" w:hAnsi="宋体"/>
          <w:color w:val="auto"/>
          <w:sz w:val="24"/>
          <w:highlight w:val="none"/>
        </w:rPr>
        <w:t>份，招标代理机构执</w:t>
      </w:r>
      <w:r>
        <w:rPr>
          <w:rFonts w:hint="eastAsia" w:ascii="宋体" w:hAnsi="宋体"/>
          <w:color w:val="auto"/>
          <w:sz w:val="24"/>
          <w:highlight w:val="none"/>
          <w:u w:val="single"/>
        </w:rPr>
        <w:t>1</w:t>
      </w:r>
      <w:r>
        <w:rPr>
          <w:rFonts w:hint="eastAsia" w:ascii="宋体" w:hAnsi="宋体"/>
          <w:color w:val="auto"/>
          <w:sz w:val="24"/>
          <w:highlight w:val="none"/>
        </w:rPr>
        <w:t>份，具有同等法律效力。</w:t>
      </w:r>
    </w:p>
    <w:p>
      <w:pPr>
        <w:spacing w:line="560" w:lineRule="exact"/>
        <w:ind w:firstLine="200"/>
        <w:rPr>
          <w:rFonts w:ascii="宋体" w:hAns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、合同的生效</w:t>
      </w:r>
    </w:p>
    <w:p>
      <w:pPr>
        <w:spacing w:line="560" w:lineRule="exact"/>
        <w:ind w:firstLine="200"/>
        <w:rPr>
          <w:rFonts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582295</wp:posOffset>
                </wp:positionV>
                <wp:extent cx="6172200" cy="4370705"/>
                <wp:effectExtent l="0" t="0" r="0" b="0"/>
                <wp:wrapSquare wrapText="bothSides"/>
                <wp:docPr id="2" name="矩形 3"/>
                <wp:cNvGraphicFramePr/>
                <a:graphic xmlns:a="http://schemas.openxmlformats.org/drawingml/2006/main">
                  <a:graphicData uri="http://schemas.microsoft.com/office/word/2010/wordprocessingShape">
                    <wps:wsp>
                      <wps:cNvSpPr/>
                      <wps:spPr>
                        <a:xfrm>
                          <a:off x="0" y="0"/>
                          <a:ext cx="6172200" cy="4370705"/>
                        </a:xfrm>
                        <a:prstGeom prst="rect">
                          <a:avLst/>
                        </a:prstGeom>
                        <a:noFill/>
                        <a:ln>
                          <a:noFill/>
                        </a:ln>
                      </wps:spPr>
                      <wps:txbx>
                        <w:txbxContent>
                          <w:p>
                            <w:pPr>
                              <w:spacing w:line="480" w:lineRule="exact"/>
                              <w:rPr>
                                <w:rFonts w:ascii="宋体" w:hAnsi="宋体"/>
                                <w:color w:val="000000"/>
                                <w:sz w:val="24"/>
                                <w:u w:val="single"/>
                              </w:rPr>
                            </w:pPr>
                            <w:r>
                              <w:rPr>
                                <w:rFonts w:hint="eastAsia" w:ascii="宋体" w:hAnsi="宋体"/>
                                <w:sz w:val="24"/>
                              </w:rPr>
                              <w:t>买方:</w:t>
                            </w:r>
                            <w:r>
                              <w:rPr>
                                <w:rFonts w:hint="eastAsia" w:ascii="宋体" w:hAnsi="宋体"/>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sz w:val="24"/>
                              </w:rPr>
                              <w:t>卖方:</w:t>
                            </w:r>
                            <w:r>
                              <w:rPr>
                                <w:rFonts w:hint="eastAsia" w:ascii="宋体" w:hAnsi="宋体"/>
                                <w:sz w:val="24"/>
                                <w:u w:val="single"/>
                              </w:rPr>
                              <w:t xml:space="preserve">                                 </w:t>
                            </w:r>
                            <w:r>
                              <w:rPr>
                                <w:rFonts w:hint="eastAsia" w:ascii="宋体" w:hAnsi="宋体"/>
                                <w:color w:val="000000"/>
                                <w:sz w:val="24"/>
                                <w:u w:val="single"/>
                              </w:rPr>
                              <w:t xml:space="preserve"> </w:t>
                            </w:r>
                          </w:p>
                          <w:p>
                            <w:pPr>
                              <w:spacing w:line="480" w:lineRule="exact"/>
                              <w:rPr>
                                <w:rFonts w:ascii="宋体" w:hAnsi="宋体"/>
                                <w:sz w:val="24"/>
                              </w:rPr>
                            </w:pPr>
                            <w:r>
                              <w:rPr>
                                <w:rFonts w:hint="eastAsia" w:ascii="宋体" w:hAnsi="宋体"/>
                                <w:sz w:val="24"/>
                              </w:rPr>
                              <w:t>名称：（印章)                            名称：（印章)</w:t>
                            </w:r>
                          </w:p>
                          <w:p>
                            <w:pPr>
                              <w:spacing w:line="480" w:lineRule="exact"/>
                              <w:rPr>
                                <w:rFonts w:ascii="宋体" w:hAnsi="宋体"/>
                                <w:color w:val="000000"/>
                                <w:sz w:val="24"/>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color w:val="000000"/>
                                <w:sz w:val="24"/>
                                <w:u w:val="single"/>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color w:val="000000"/>
                                <w:sz w:val="24"/>
                                <w:u w:val="single"/>
                              </w:rPr>
                              <w:t xml:space="preserve"> </w:t>
                            </w:r>
                          </w:p>
                          <w:p>
                            <w:pPr>
                              <w:spacing w:line="480" w:lineRule="exact"/>
                              <w:rPr>
                                <w:rFonts w:ascii="宋体" w:hAnsi="宋体"/>
                                <w:color w:val="000000"/>
                                <w:sz w:val="24"/>
                              </w:rPr>
                            </w:pPr>
                            <w:r>
                              <w:rPr>
                                <w:rFonts w:hint="eastAsia" w:ascii="宋体" w:hAnsi="宋体"/>
                                <w:color w:val="000000"/>
                                <w:sz w:val="24"/>
                              </w:rPr>
                              <w:t>法定代表人（签字）</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000000"/>
                                <w:sz w:val="24"/>
                              </w:rPr>
                              <w:t>法定代表人（签字）</w:t>
                            </w:r>
                            <w:r>
                              <w:rPr>
                                <w:rFonts w:hint="eastAsia" w:ascii="宋体" w:hAnsi="宋体"/>
                                <w:sz w:val="24"/>
                                <w:u w:val="single"/>
                              </w:rPr>
                              <w:t xml:space="preserve">                     </w:t>
                            </w:r>
                          </w:p>
                          <w:p>
                            <w:pPr>
                              <w:spacing w:line="480" w:lineRule="exact"/>
                              <w:rPr>
                                <w:rFonts w:ascii="宋体" w:hAnsi="宋体"/>
                                <w:sz w:val="24"/>
                                <w:u w:val="single"/>
                              </w:rPr>
                            </w:pPr>
                            <w:r>
                              <w:rPr>
                                <w:rFonts w:hint="eastAsia" w:ascii="宋体" w:hAnsi="宋体"/>
                                <w:sz w:val="24"/>
                              </w:rPr>
                              <w:t>授权代表（签字）</w:t>
                            </w:r>
                            <w:r>
                              <w:rPr>
                                <w:rFonts w:hint="eastAsia" w:ascii="宋体" w:hAnsi="宋体"/>
                                <w:sz w:val="24"/>
                                <w:u w:val="single"/>
                              </w:rPr>
                              <w:t xml:space="preserve">                  </w:t>
                            </w:r>
                            <w:r>
                              <w:rPr>
                                <w:rFonts w:hint="eastAsia" w:ascii="宋体" w:hAnsi="宋体"/>
                                <w:sz w:val="24"/>
                              </w:rPr>
                              <w:t xml:space="preserve">      授权代表（签字）</w:t>
                            </w:r>
                            <w:r>
                              <w:rPr>
                                <w:rFonts w:hint="eastAsia" w:ascii="宋体" w:hAnsi="宋体"/>
                                <w:sz w:val="24"/>
                                <w:u w:val="single"/>
                              </w:rPr>
                              <w:t xml:space="preserve">                      </w:t>
                            </w:r>
                          </w:p>
                          <w:p>
                            <w:pPr>
                              <w:spacing w:line="480" w:lineRule="exact"/>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 xml:space="preserve">      地 址：</w:t>
                            </w:r>
                            <w:r>
                              <w:rPr>
                                <w:rFonts w:hint="eastAsia" w:ascii="宋体" w:hAnsi="宋体"/>
                                <w:sz w:val="24"/>
                                <w:u w:val="single"/>
                              </w:rPr>
                              <w:t xml:space="preserve">                               </w:t>
                            </w:r>
                          </w:p>
                          <w:p>
                            <w:pPr>
                              <w:spacing w:line="480" w:lineRule="exact"/>
                              <w:rPr>
                                <w:rFonts w:ascii="宋体" w:hAnsi="宋体"/>
                                <w:sz w:val="24"/>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p>
                          <w:p>
                            <w:pPr>
                              <w:widowControl/>
                              <w:spacing w:line="480" w:lineRule="exact"/>
                              <w:jc w:val="left"/>
                              <w:rPr>
                                <w:rFonts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exact"/>
                              <w:jc w:val="left"/>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开户银行：</w:t>
                            </w:r>
                            <w:r>
                              <w:rPr>
                                <w:rFonts w:hint="eastAsia" w:ascii="宋体" w:hAnsi="宋体"/>
                                <w:sz w:val="24"/>
                                <w:u w:val="single"/>
                              </w:rPr>
                              <w:t xml:space="preserve">                            </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exact"/>
                              <w:jc w:val="left"/>
                              <w:rPr>
                                <w:rFonts w:hint="eastAsia" w:ascii="Helvetica Neue" w:hAnsi="Helvetica Neue" w:cs="Helvetica Neue"/>
                                <w:kern w:val="0"/>
                                <w:sz w:val="26"/>
                                <w:szCs w:val="26"/>
                              </w:rPr>
                            </w:pPr>
                            <w:r>
                              <w:rPr>
                                <w:rFonts w:hint="eastAsia" w:ascii="宋体" w:hAnsi="宋体"/>
                                <w:sz w:val="24"/>
                              </w:rPr>
                              <w:t>帐号：</w:t>
                            </w:r>
                            <w:r>
                              <w:rPr>
                                <w:rFonts w:hint="eastAsia" w:ascii="宋体" w:hAnsi="宋体"/>
                                <w:sz w:val="24"/>
                                <w:u w:val="single"/>
                              </w:rPr>
                              <w:t xml:space="preserve">                            </w:t>
                            </w:r>
                            <w:r>
                              <w:rPr>
                                <w:rFonts w:hint="eastAsia" w:ascii="宋体" w:hAnsi="宋体"/>
                                <w:sz w:val="24"/>
                              </w:rPr>
                              <w:t xml:space="preserve">      帐号：</w:t>
                            </w:r>
                            <w:r>
                              <w:rPr>
                                <w:rFonts w:hint="eastAsia" w:ascii="宋体" w:hAnsi="宋体"/>
                                <w:sz w:val="24"/>
                                <w:u w:val="single"/>
                              </w:rPr>
                              <w:t xml:space="preserve">                                </w:t>
                            </w:r>
                          </w:p>
                        </w:txbxContent>
                      </wps:txbx>
                      <wps:bodyPr vert="horz" wrap="square" upright="0"/>
                    </wps:wsp>
                  </a:graphicData>
                </a:graphic>
              </wp:anchor>
            </w:drawing>
          </mc:Choice>
          <mc:Fallback>
            <w:pict>
              <v:rect id="矩形 3" o:spid="_x0000_s1026" o:spt="1" style="position:absolute;left:0pt;margin-left:-22.5pt;margin-top:45.85pt;height:344.15pt;width:486pt;mso-wrap-distance-bottom:0pt;mso-wrap-distance-left:9pt;mso-wrap-distance-right:9pt;mso-wrap-distance-top:0pt;z-index:251659264;mso-width-relative:page;mso-height-relative:page;" filled="f" stroked="f" coordsize="21600,21600" o:gfxdata="UEsDBAoAAAAAAIdO4kAAAAAAAAAAAAAAAAAEAAAAZHJzL1BLAwQUAAAACACHTuJAyskdn9wAAAAK&#10;AQAADwAAAGRycy9kb3ducmV2LnhtbE2PQU/CQBCF7yb+h82YeDGwW6IWSrccSIzEmBCLcF7asW3s&#10;zpbu0uK/dzjp8c17efO9dHWxrRiw940jDdFUgUAqXNlQpeFz9zKZg/DBUGlaR6jhBz2sstub1CSl&#10;G+kDhzxUgkvIJ0ZDHUKXSOmLGq3xU9chsfflemsCy76SZW9GLretnCn1LK1piD/UpsN1jcV3frYa&#10;xmI7HHbvr3L7cNg4Om1O63z/pvX9XaSWIAJewl8YrviMDhkzHd2ZSi9aDZPHJ94SNCyiGAQHFrOY&#10;D0cN8VwpkFkq/0/IfgFQSwMEFAAAAAgAh07iQLI5R4ObAQAADgMAAA4AAABkcnMvZTJvRG9jLnht&#10;bK1SS27bMBDdF8gdCO5jyk4aF4LlbIJkEyQB0h6ApkiLgPjJDG3JuUyB7nqIHifINTqkXaefXZEN&#10;P8Phm/fezOJydD3bakAbfMOnk4oz7VVorV83/Mvn69NPnGGSvpV98LrhO438cnnyYTHEWs9CF/pW&#10;AyMQj/UQG96lFGshUHXaSZyEqD09mgBOJrrCWrQgB0J3vZhV1YUYArQRgtKIFL3aP/JlwTdGq3Rv&#10;DOrE+oYTt1RWKOsqr2K5kPUaZOysOtCQ/8HCSeup6BHqSibJNmD/gXJWQcBg0kQFJ4IxVumigdRM&#10;q7/UPHYy6qKFzMF4tAnfD1bdbR+A2bbhM868dNSi16/fX358Y2fZmyFiTSmP8QEON6RjFjoacHkn&#10;CWwsfu6OfuoxMUXBi+l8Rk3iTNHb+dm8mlcfM6p4+x4B040OjuVDw4EaVnyU21tM+9RfKbmaD9e2&#10;7yku697/ESDMHBGZ8Z5jPqVxNR6Ir0K7I6k0q1SnC/DM2UB9bzg+bSRozjYR7LorE5IL5+9kemF7&#10;GJDc1d/vJettjJ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rJHZ/cAAAACgEAAA8AAAAAAAAA&#10;AQAgAAAAIgAAAGRycy9kb3ducmV2LnhtbFBLAQIUABQAAAAIAIdO4kCyOUeDmwEAAA4DAAAOAAAA&#10;AAAAAAEAIAAAACsBAABkcnMvZTJvRG9jLnhtbFBLBQYAAAAABgAGAFkBAAA4BQAAAAA=&#10;">
                <v:fill on="f" focussize="0,0"/>
                <v:stroke on="f"/>
                <v:imagedata o:title=""/>
                <o:lock v:ext="edit" aspectratio="f"/>
                <v:textbox>
                  <w:txbxContent>
                    <w:p>
                      <w:pPr>
                        <w:spacing w:line="480" w:lineRule="exact"/>
                        <w:rPr>
                          <w:rFonts w:ascii="宋体" w:hAnsi="宋体"/>
                          <w:color w:val="000000"/>
                          <w:sz w:val="24"/>
                          <w:u w:val="single"/>
                        </w:rPr>
                      </w:pPr>
                      <w:r>
                        <w:rPr>
                          <w:rFonts w:hint="eastAsia" w:ascii="宋体" w:hAnsi="宋体"/>
                          <w:sz w:val="24"/>
                        </w:rPr>
                        <w:t>买方:</w:t>
                      </w:r>
                      <w:r>
                        <w:rPr>
                          <w:rFonts w:hint="eastAsia" w:ascii="宋体" w:hAnsi="宋体"/>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sz w:val="24"/>
                        </w:rPr>
                        <w:t>卖方:</w:t>
                      </w:r>
                      <w:r>
                        <w:rPr>
                          <w:rFonts w:hint="eastAsia" w:ascii="宋体" w:hAnsi="宋体"/>
                          <w:sz w:val="24"/>
                          <w:u w:val="single"/>
                        </w:rPr>
                        <w:t xml:space="preserve">                                 </w:t>
                      </w:r>
                      <w:r>
                        <w:rPr>
                          <w:rFonts w:hint="eastAsia" w:ascii="宋体" w:hAnsi="宋体"/>
                          <w:color w:val="000000"/>
                          <w:sz w:val="24"/>
                          <w:u w:val="single"/>
                        </w:rPr>
                        <w:t xml:space="preserve"> </w:t>
                      </w:r>
                    </w:p>
                    <w:p>
                      <w:pPr>
                        <w:spacing w:line="480" w:lineRule="exact"/>
                        <w:rPr>
                          <w:rFonts w:ascii="宋体" w:hAnsi="宋体"/>
                          <w:sz w:val="24"/>
                        </w:rPr>
                      </w:pPr>
                      <w:r>
                        <w:rPr>
                          <w:rFonts w:hint="eastAsia" w:ascii="宋体" w:hAnsi="宋体"/>
                          <w:sz w:val="24"/>
                        </w:rPr>
                        <w:t>名称：（印章)                            名称：（印章)</w:t>
                      </w:r>
                    </w:p>
                    <w:p>
                      <w:pPr>
                        <w:spacing w:line="480" w:lineRule="exact"/>
                        <w:rPr>
                          <w:rFonts w:ascii="宋体" w:hAnsi="宋体"/>
                          <w:color w:val="000000"/>
                          <w:sz w:val="24"/>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color w:val="000000"/>
                          <w:sz w:val="24"/>
                          <w:u w:val="single"/>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color w:val="000000"/>
                          <w:sz w:val="24"/>
                          <w:u w:val="single"/>
                        </w:rPr>
                        <w:t xml:space="preserve"> </w:t>
                      </w:r>
                    </w:p>
                    <w:p>
                      <w:pPr>
                        <w:spacing w:line="480" w:lineRule="exact"/>
                        <w:rPr>
                          <w:rFonts w:ascii="宋体" w:hAnsi="宋体"/>
                          <w:color w:val="000000"/>
                          <w:sz w:val="24"/>
                        </w:rPr>
                      </w:pPr>
                      <w:r>
                        <w:rPr>
                          <w:rFonts w:hint="eastAsia" w:ascii="宋体" w:hAnsi="宋体"/>
                          <w:color w:val="000000"/>
                          <w:sz w:val="24"/>
                        </w:rPr>
                        <w:t>法定代表人（签字）</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000000"/>
                          <w:sz w:val="24"/>
                        </w:rPr>
                        <w:t>法定代表人（签字）</w:t>
                      </w:r>
                      <w:r>
                        <w:rPr>
                          <w:rFonts w:hint="eastAsia" w:ascii="宋体" w:hAnsi="宋体"/>
                          <w:sz w:val="24"/>
                          <w:u w:val="single"/>
                        </w:rPr>
                        <w:t xml:space="preserve">                     </w:t>
                      </w:r>
                    </w:p>
                    <w:p>
                      <w:pPr>
                        <w:spacing w:line="480" w:lineRule="exact"/>
                        <w:rPr>
                          <w:rFonts w:ascii="宋体" w:hAnsi="宋体"/>
                          <w:sz w:val="24"/>
                          <w:u w:val="single"/>
                        </w:rPr>
                      </w:pPr>
                      <w:r>
                        <w:rPr>
                          <w:rFonts w:hint="eastAsia" w:ascii="宋体" w:hAnsi="宋体"/>
                          <w:sz w:val="24"/>
                        </w:rPr>
                        <w:t>授权代表（签字）</w:t>
                      </w:r>
                      <w:r>
                        <w:rPr>
                          <w:rFonts w:hint="eastAsia" w:ascii="宋体" w:hAnsi="宋体"/>
                          <w:sz w:val="24"/>
                          <w:u w:val="single"/>
                        </w:rPr>
                        <w:t xml:space="preserve">                  </w:t>
                      </w:r>
                      <w:r>
                        <w:rPr>
                          <w:rFonts w:hint="eastAsia" w:ascii="宋体" w:hAnsi="宋体"/>
                          <w:sz w:val="24"/>
                        </w:rPr>
                        <w:t xml:space="preserve">      授权代表（签字）</w:t>
                      </w:r>
                      <w:r>
                        <w:rPr>
                          <w:rFonts w:hint="eastAsia" w:ascii="宋体" w:hAnsi="宋体"/>
                          <w:sz w:val="24"/>
                          <w:u w:val="single"/>
                        </w:rPr>
                        <w:t xml:space="preserve">                      </w:t>
                      </w:r>
                    </w:p>
                    <w:p>
                      <w:pPr>
                        <w:spacing w:line="480" w:lineRule="exact"/>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 xml:space="preserve">      地 址：</w:t>
                      </w:r>
                      <w:r>
                        <w:rPr>
                          <w:rFonts w:hint="eastAsia" w:ascii="宋体" w:hAnsi="宋体"/>
                          <w:sz w:val="24"/>
                          <w:u w:val="single"/>
                        </w:rPr>
                        <w:t xml:space="preserve">                               </w:t>
                      </w:r>
                    </w:p>
                    <w:p>
                      <w:pPr>
                        <w:spacing w:line="480" w:lineRule="exact"/>
                        <w:rPr>
                          <w:rFonts w:ascii="宋体" w:hAnsi="宋体"/>
                          <w:sz w:val="24"/>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p>
                    <w:p>
                      <w:pPr>
                        <w:widowControl/>
                        <w:spacing w:line="480" w:lineRule="exact"/>
                        <w:jc w:val="left"/>
                        <w:rPr>
                          <w:rFonts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exact"/>
                        <w:jc w:val="left"/>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开户银行：</w:t>
                      </w:r>
                      <w:r>
                        <w:rPr>
                          <w:rFonts w:hint="eastAsia" w:ascii="宋体" w:hAnsi="宋体"/>
                          <w:sz w:val="24"/>
                          <w:u w:val="single"/>
                        </w:rPr>
                        <w:t xml:space="preserve">                            </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exact"/>
                        <w:jc w:val="left"/>
                        <w:rPr>
                          <w:rFonts w:hint="eastAsia" w:ascii="Helvetica Neue" w:hAnsi="Helvetica Neue" w:cs="Helvetica Neue"/>
                          <w:kern w:val="0"/>
                          <w:sz w:val="26"/>
                          <w:szCs w:val="26"/>
                        </w:rPr>
                      </w:pPr>
                      <w:r>
                        <w:rPr>
                          <w:rFonts w:hint="eastAsia" w:ascii="宋体" w:hAnsi="宋体"/>
                          <w:sz w:val="24"/>
                        </w:rPr>
                        <w:t>帐号：</w:t>
                      </w:r>
                      <w:r>
                        <w:rPr>
                          <w:rFonts w:hint="eastAsia" w:ascii="宋体" w:hAnsi="宋体"/>
                          <w:sz w:val="24"/>
                          <w:u w:val="single"/>
                        </w:rPr>
                        <w:t xml:space="preserve">                            </w:t>
                      </w:r>
                      <w:r>
                        <w:rPr>
                          <w:rFonts w:hint="eastAsia" w:ascii="宋体" w:hAnsi="宋体"/>
                          <w:sz w:val="24"/>
                        </w:rPr>
                        <w:t xml:space="preserve">      帐号：</w:t>
                      </w:r>
                      <w:r>
                        <w:rPr>
                          <w:rFonts w:hint="eastAsia" w:ascii="宋体" w:hAnsi="宋体"/>
                          <w:sz w:val="24"/>
                          <w:u w:val="single"/>
                        </w:rPr>
                        <w:t xml:space="preserve">                                </w:t>
                      </w:r>
                    </w:p>
                  </w:txbxContent>
                </v:textbox>
                <w10:wrap type="square"/>
              </v:rect>
            </w:pict>
          </mc:Fallback>
        </mc:AlternateContent>
      </w:r>
      <w:r>
        <w:rPr>
          <w:rFonts w:hint="eastAsia" w:ascii="宋体" w:hAnsi="宋体"/>
          <w:color w:val="auto"/>
          <w:sz w:val="24"/>
          <w:highlight w:val="none"/>
        </w:rPr>
        <w:t>本合同经双方全权代表签署、加盖单位印章并由卖方递交履约保证金后生效。</w:t>
      </w:r>
    </w:p>
    <w:p>
      <w:pPr>
        <w:spacing w:line="360" w:lineRule="auto"/>
        <w:ind w:firstLine="200"/>
        <w:rPr>
          <w:rFonts w:ascii="宋体" w:hAnsi="宋体"/>
          <w:color w:val="auto"/>
          <w:sz w:val="24"/>
          <w:highlight w:val="none"/>
        </w:rPr>
        <w:sectPr>
          <w:pgSz w:w="11900" w:h="16840"/>
          <w:pgMar w:top="1440" w:right="1800" w:bottom="1440" w:left="1800" w:header="851" w:footer="992" w:gutter="0"/>
          <w:cols w:space="720" w:num="1"/>
          <w:docGrid w:type="lines" w:linePitch="423" w:charSpace="0"/>
        </w:sectPr>
      </w:pPr>
    </w:p>
    <w:p>
      <w:pPr>
        <w:jc w:val="center"/>
        <w:rPr>
          <w:b/>
          <w:color w:val="auto"/>
          <w:sz w:val="30"/>
          <w:szCs w:val="30"/>
          <w:highlight w:val="none"/>
        </w:rPr>
      </w:pPr>
      <w:bookmarkStart w:id="298" w:name="_Toc487900349"/>
      <w:bookmarkStart w:id="299" w:name="_Ref467378463"/>
      <w:bookmarkStart w:id="300" w:name="_Ref467379094"/>
      <w:bookmarkStart w:id="301" w:name="_Ref467378499"/>
      <w:bookmarkStart w:id="302" w:name="_Ref467378404"/>
      <w:bookmarkStart w:id="303" w:name="_Ref467379214"/>
      <w:bookmarkStart w:id="304" w:name="_Ref467379205"/>
      <w:bookmarkStart w:id="305" w:name="_Ref467379195"/>
      <w:bookmarkStart w:id="306" w:name="_Ref467379109"/>
      <w:bookmarkStart w:id="307" w:name="_Ref467379225"/>
      <w:bookmarkStart w:id="308" w:name="_Toc135539099"/>
      <w:bookmarkStart w:id="309" w:name="_Ref467379101"/>
      <w:r>
        <w:rPr>
          <w:rFonts w:hint="eastAsia"/>
          <w:b/>
          <w:color w:val="auto"/>
          <w:sz w:val="30"/>
          <w:szCs w:val="30"/>
          <w:highlight w:val="none"/>
        </w:rPr>
        <w:t>合同一般条款</w:t>
      </w:r>
    </w:p>
    <w:p>
      <w:pPr>
        <w:spacing w:line="560" w:lineRule="exact"/>
        <w:rPr>
          <w:rFonts w:ascii="宋体" w:hAnsi="宋体"/>
          <w:b/>
          <w:color w:val="auto"/>
          <w:sz w:val="24"/>
          <w:highlight w:val="none"/>
        </w:rPr>
      </w:pPr>
      <w:r>
        <w:rPr>
          <w:rFonts w:hint="eastAsia" w:ascii="宋体" w:hAnsi="宋体"/>
          <w:b/>
          <w:color w:val="auto"/>
          <w:sz w:val="24"/>
          <w:highlight w:val="none"/>
        </w:rPr>
        <w:t>1、定义</w:t>
      </w:r>
      <w:bookmarkEnd w:id="298"/>
      <w:bookmarkEnd w:id="299"/>
      <w:bookmarkEnd w:id="300"/>
      <w:bookmarkEnd w:id="301"/>
      <w:bookmarkEnd w:id="302"/>
      <w:bookmarkEnd w:id="303"/>
      <w:bookmarkEnd w:id="304"/>
      <w:bookmarkEnd w:id="305"/>
      <w:bookmarkEnd w:id="306"/>
      <w:bookmarkEnd w:id="307"/>
      <w:bookmarkEnd w:id="308"/>
      <w:bookmarkEnd w:id="309"/>
    </w:p>
    <w:p>
      <w:pPr>
        <w:spacing w:line="560" w:lineRule="exact"/>
        <w:rPr>
          <w:rFonts w:ascii="宋体" w:hAnsi="宋体"/>
          <w:color w:val="auto"/>
          <w:sz w:val="24"/>
          <w:highlight w:val="none"/>
        </w:rPr>
      </w:pPr>
      <w:r>
        <w:rPr>
          <w:rFonts w:hint="eastAsia" w:ascii="宋体" w:hAnsi="宋体"/>
          <w:color w:val="auto"/>
          <w:sz w:val="24"/>
          <w:highlight w:val="none"/>
        </w:rPr>
        <w:t>本合同中的下列术语应解释为:</w:t>
      </w:r>
    </w:p>
    <w:p>
      <w:pPr>
        <w:spacing w:line="560" w:lineRule="exact"/>
        <w:ind w:firstLine="480"/>
        <w:rPr>
          <w:rFonts w:ascii="宋体" w:hAnsi="宋体"/>
          <w:color w:val="auto"/>
          <w:sz w:val="24"/>
          <w:highlight w:val="none"/>
        </w:rPr>
      </w:pPr>
      <w:r>
        <w:rPr>
          <w:rFonts w:hint="eastAsia" w:ascii="宋体" w:hAnsi="宋体"/>
          <w:color w:val="auto"/>
          <w:sz w:val="24"/>
          <w:highlight w:val="none"/>
        </w:rPr>
        <w:t xml:space="preserve">1.1  </w:t>
      </w:r>
      <w:r>
        <w:rPr>
          <w:rFonts w:ascii="宋体" w:hAnsi="宋体"/>
          <w:color w:val="auto"/>
          <w:sz w:val="24"/>
          <w:highlight w:val="none"/>
        </w:rPr>
        <w:t>“</w:t>
      </w:r>
      <w:r>
        <w:rPr>
          <w:rFonts w:hint="eastAsia" w:ascii="宋体" w:hAnsi="宋体"/>
          <w:color w:val="auto"/>
          <w:sz w:val="24"/>
          <w:highlight w:val="none"/>
        </w:rPr>
        <w:t>合同”系指买卖双方签署的、合同格式中载明的买卖双方所达成的协议，包括所有的附件、附录和构成合同的其它文件。</w:t>
      </w:r>
    </w:p>
    <w:p>
      <w:pPr>
        <w:spacing w:line="560" w:lineRule="exact"/>
        <w:ind w:firstLine="480"/>
        <w:rPr>
          <w:rFonts w:ascii="宋体" w:hAnsi="宋体"/>
          <w:color w:val="auto"/>
          <w:sz w:val="24"/>
          <w:highlight w:val="none"/>
        </w:rPr>
      </w:pPr>
      <w:r>
        <w:rPr>
          <w:rFonts w:hint="eastAsia" w:ascii="宋体" w:hAnsi="宋体"/>
          <w:color w:val="auto"/>
          <w:sz w:val="24"/>
          <w:highlight w:val="none"/>
        </w:rPr>
        <w:t xml:space="preserve">1.2  </w:t>
      </w:r>
      <w:r>
        <w:rPr>
          <w:rFonts w:ascii="宋体" w:hAnsi="宋体"/>
          <w:color w:val="auto"/>
          <w:sz w:val="24"/>
          <w:highlight w:val="none"/>
        </w:rPr>
        <w:t>“</w:t>
      </w:r>
      <w:r>
        <w:rPr>
          <w:rFonts w:hint="eastAsia" w:ascii="宋体" w:hAnsi="宋体"/>
          <w:color w:val="auto"/>
          <w:sz w:val="24"/>
          <w:highlight w:val="none"/>
        </w:rPr>
        <w:t>合同价”系指根据合同约定，卖方在完全履行合同义务后买方应付给卖方的价格。</w:t>
      </w:r>
    </w:p>
    <w:p>
      <w:pPr>
        <w:spacing w:line="560" w:lineRule="exact"/>
        <w:ind w:firstLine="480"/>
        <w:rPr>
          <w:rFonts w:ascii="宋体" w:hAnsi="宋体"/>
          <w:color w:val="auto"/>
          <w:sz w:val="24"/>
          <w:highlight w:val="none"/>
        </w:rPr>
      </w:pPr>
      <w:r>
        <w:rPr>
          <w:rFonts w:hint="eastAsia" w:ascii="宋体" w:hAnsi="宋体"/>
          <w:color w:val="auto"/>
          <w:sz w:val="24"/>
          <w:highlight w:val="none"/>
        </w:rPr>
        <w:t>1.3  “产品”系指卖方根据合同约定须向买方提供的一切设备、机械、仪表、备件，包括工具、手册等其它相关资料。</w:t>
      </w:r>
    </w:p>
    <w:p>
      <w:pPr>
        <w:spacing w:line="560" w:lineRule="exact"/>
        <w:ind w:firstLine="480"/>
        <w:rPr>
          <w:rFonts w:ascii="宋体" w:hAnsi="宋体"/>
          <w:color w:val="auto"/>
          <w:sz w:val="24"/>
          <w:highlight w:val="none"/>
        </w:rPr>
      </w:pPr>
      <w:r>
        <w:rPr>
          <w:rFonts w:hint="eastAsia" w:ascii="宋体" w:hAnsi="宋体"/>
          <w:color w:val="auto"/>
          <w:sz w:val="24"/>
          <w:highlight w:val="none"/>
        </w:rPr>
        <w:t xml:space="preserve">1.4  </w:t>
      </w:r>
      <w:r>
        <w:rPr>
          <w:rFonts w:ascii="宋体" w:hAnsi="宋体"/>
          <w:color w:val="auto"/>
          <w:sz w:val="24"/>
          <w:highlight w:val="none"/>
        </w:rPr>
        <w:t>“</w:t>
      </w:r>
      <w:r>
        <w:rPr>
          <w:rFonts w:hint="eastAsia" w:ascii="宋体" w:hAnsi="宋体"/>
          <w:color w:val="auto"/>
          <w:sz w:val="24"/>
          <w:highlight w:val="none"/>
        </w:rPr>
        <w:t>服务”系指根据合同约定卖方承担与供货有关的辅助服务，如运输、保险及安装、调试、提供技术援助、培训和其他类似的服务。</w:t>
      </w:r>
    </w:p>
    <w:p>
      <w:pPr>
        <w:spacing w:line="560" w:lineRule="exact"/>
        <w:ind w:firstLine="480"/>
        <w:rPr>
          <w:rFonts w:ascii="宋体" w:hAnsi="宋体"/>
          <w:color w:val="auto"/>
          <w:sz w:val="24"/>
          <w:highlight w:val="none"/>
        </w:rPr>
      </w:pPr>
      <w:bookmarkStart w:id="310" w:name="_Ref467378840"/>
      <w:r>
        <w:rPr>
          <w:rFonts w:hint="eastAsia" w:ascii="宋体" w:hAnsi="宋体"/>
          <w:color w:val="auto"/>
          <w:sz w:val="24"/>
          <w:highlight w:val="none"/>
        </w:rPr>
        <w:t xml:space="preserve">1.5  </w:t>
      </w:r>
      <w:r>
        <w:rPr>
          <w:rFonts w:ascii="宋体" w:hAnsi="宋体"/>
          <w:color w:val="auto"/>
          <w:sz w:val="24"/>
          <w:highlight w:val="none"/>
        </w:rPr>
        <w:t>“</w:t>
      </w:r>
      <w:r>
        <w:rPr>
          <w:rFonts w:hint="eastAsia" w:ascii="宋体" w:hAnsi="宋体"/>
          <w:color w:val="auto"/>
          <w:sz w:val="24"/>
          <w:highlight w:val="none"/>
        </w:rPr>
        <w:t>买方”系指与中标人签署供货合同的单位（含最终用户）。</w:t>
      </w:r>
      <w:bookmarkEnd w:id="310"/>
    </w:p>
    <w:p>
      <w:pPr>
        <w:spacing w:line="560" w:lineRule="exact"/>
        <w:ind w:firstLine="480"/>
        <w:rPr>
          <w:rFonts w:ascii="宋体" w:hAnsi="宋体"/>
          <w:color w:val="auto"/>
          <w:sz w:val="24"/>
          <w:highlight w:val="none"/>
        </w:rPr>
      </w:pPr>
      <w:bookmarkStart w:id="311" w:name="_Ref467379400"/>
      <w:r>
        <w:rPr>
          <w:rFonts w:hint="eastAsia" w:ascii="宋体" w:hAnsi="宋体"/>
          <w:color w:val="auto"/>
          <w:sz w:val="24"/>
          <w:highlight w:val="none"/>
        </w:rPr>
        <w:t xml:space="preserve">1.6  </w:t>
      </w:r>
      <w:r>
        <w:rPr>
          <w:rFonts w:ascii="宋体" w:hAnsi="宋体"/>
          <w:color w:val="auto"/>
          <w:sz w:val="24"/>
          <w:highlight w:val="none"/>
        </w:rPr>
        <w:t>“</w:t>
      </w:r>
      <w:r>
        <w:rPr>
          <w:rFonts w:hint="eastAsia" w:ascii="宋体" w:hAnsi="宋体"/>
          <w:color w:val="auto"/>
          <w:sz w:val="24"/>
          <w:highlight w:val="none"/>
        </w:rPr>
        <w:t>卖方”系指根据合同约定提供产品及相关服务的中标人。</w:t>
      </w:r>
      <w:bookmarkEnd w:id="311"/>
    </w:p>
    <w:p>
      <w:pPr>
        <w:spacing w:line="560" w:lineRule="exact"/>
        <w:ind w:firstLine="480"/>
        <w:rPr>
          <w:rFonts w:ascii="宋体" w:hAnsi="宋体"/>
          <w:color w:val="auto"/>
          <w:sz w:val="24"/>
          <w:highlight w:val="none"/>
        </w:rPr>
      </w:pPr>
      <w:bookmarkStart w:id="312" w:name="_Ref467379436"/>
      <w:r>
        <w:rPr>
          <w:rFonts w:hint="eastAsia" w:ascii="宋体" w:hAnsi="宋体"/>
          <w:color w:val="auto"/>
          <w:sz w:val="24"/>
          <w:highlight w:val="none"/>
        </w:rPr>
        <w:t xml:space="preserve">1.7  </w:t>
      </w:r>
      <w:r>
        <w:rPr>
          <w:rFonts w:ascii="宋体" w:hAnsi="宋体"/>
          <w:color w:val="auto"/>
          <w:sz w:val="24"/>
          <w:highlight w:val="none"/>
        </w:rPr>
        <w:t>“</w:t>
      </w:r>
      <w:r>
        <w:rPr>
          <w:rFonts w:hint="eastAsia" w:ascii="宋体" w:hAnsi="宋体"/>
          <w:color w:val="auto"/>
          <w:sz w:val="24"/>
          <w:highlight w:val="none"/>
        </w:rPr>
        <w:t>现场”系指合同约定产品将要运至和安装的地点。</w:t>
      </w:r>
      <w:bookmarkEnd w:id="312"/>
    </w:p>
    <w:p>
      <w:pPr>
        <w:spacing w:line="560" w:lineRule="exact"/>
        <w:ind w:firstLine="480"/>
        <w:rPr>
          <w:rFonts w:ascii="宋体" w:hAnsi="宋体"/>
          <w:color w:val="auto"/>
          <w:sz w:val="24"/>
          <w:highlight w:val="none"/>
        </w:rPr>
      </w:pPr>
      <w:r>
        <w:rPr>
          <w:rFonts w:hint="eastAsia" w:ascii="宋体" w:hAnsi="宋体"/>
          <w:color w:val="auto"/>
          <w:sz w:val="24"/>
          <w:highlight w:val="none"/>
        </w:rPr>
        <w:t xml:space="preserve">1.8  </w:t>
      </w:r>
      <w:r>
        <w:rPr>
          <w:rFonts w:ascii="宋体" w:hAnsi="宋体"/>
          <w:color w:val="auto"/>
          <w:sz w:val="24"/>
          <w:highlight w:val="none"/>
        </w:rPr>
        <w:t>“</w:t>
      </w:r>
      <w:r>
        <w:rPr>
          <w:rFonts w:hint="eastAsia" w:ascii="宋体" w:hAnsi="宋体"/>
          <w:color w:val="auto"/>
          <w:sz w:val="24"/>
          <w:highlight w:val="none"/>
        </w:rPr>
        <w:t>验收”系指合同双方依据强制性的国家技术质量规范和合同约定，确认合同项下的产品符合合同规定的活动。</w:t>
      </w:r>
    </w:p>
    <w:p>
      <w:pPr>
        <w:spacing w:line="560" w:lineRule="exact"/>
        <w:rPr>
          <w:rFonts w:ascii="宋体" w:hAnsi="宋体"/>
          <w:b/>
          <w:color w:val="auto"/>
          <w:sz w:val="24"/>
          <w:highlight w:val="none"/>
        </w:rPr>
      </w:pPr>
      <w:bookmarkStart w:id="313" w:name="_Toc487900350"/>
      <w:bookmarkStart w:id="314" w:name="_Toc135539100"/>
      <w:r>
        <w:rPr>
          <w:rFonts w:hint="eastAsia" w:ascii="宋体" w:hAnsi="宋体"/>
          <w:b/>
          <w:color w:val="auto"/>
          <w:sz w:val="24"/>
          <w:highlight w:val="none"/>
        </w:rPr>
        <w:t>2、技术规范</w:t>
      </w:r>
      <w:bookmarkEnd w:id="313"/>
      <w:bookmarkEnd w:id="314"/>
    </w:p>
    <w:p>
      <w:pPr>
        <w:spacing w:line="560" w:lineRule="exact"/>
        <w:ind w:firstLine="480"/>
        <w:rPr>
          <w:rFonts w:ascii="宋体" w:hAnsi="宋体"/>
          <w:color w:val="auto"/>
          <w:sz w:val="24"/>
          <w:highlight w:val="none"/>
        </w:rPr>
      </w:pPr>
      <w:r>
        <w:rPr>
          <w:rFonts w:hint="eastAsia" w:ascii="宋体" w:hAnsi="宋体"/>
          <w:color w:val="auto"/>
          <w:sz w:val="24"/>
          <w:highlight w:val="none"/>
        </w:rPr>
        <w:t>2.1  提交产品的技术规范应与招标文件规定的技术规范和技术规范附件</w:t>
      </w:r>
      <w:r>
        <w:rPr>
          <w:rFonts w:ascii="宋体" w:hAnsi="宋体"/>
          <w:color w:val="auto"/>
          <w:sz w:val="24"/>
          <w:highlight w:val="none"/>
        </w:rPr>
        <w:t>(</w:t>
      </w:r>
      <w:r>
        <w:rPr>
          <w:rFonts w:hint="eastAsia" w:ascii="宋体" w:hAnsi="宋体"/>
          <w:color w:val="auto"/>
          <w:sz w:val="24"/>
          <w:highlight w:val="none"/>
        </w:rPr>
        <w:t>如果有的话</w:t>
      </w:r>
      <w:r>
        <w:rPr>
          <w:rFonts w:ascii="宋体" w:hAnsi="宋体"/>
          <w:color w:val="auto"/>
          <w:sz w:val="24"/>
          <w:highlight w:val="none"/>
        </w:rPr>
        <w:t>)</w:t>
      </w:r>
      <w:r>
        <w:rPr>
          <w:rFonts w:hint="eastAsia" w:ascii="宋体" w:hAnsi="宋体"/>
          <w:color w:val="auto"/>
          <w:sz w:val="24"/>
          <w:highlight w:val="none"/>
        </w:rPr>
        <w:t>及其投标文件的技术规范偏差表</w:t>
      </w:r>
      <w:r>
        <w:rPr>
          <w:rFonts w:ascii="宋体" w:hAnsi="宋体"/>
          <w:color w:val="auto"/>
          <w:sz w:val="24"/>
          <w:highlight w:val="none"/>
        </w:rPr>
        <w:t>(</w:t>
      </w:r>
      <w:r>
        <w:rPr>
          <w:rFonts w:hint="eastAsia" w:ascii="宋体" w:hAnsi="宋体"/>
          <w:color w:val="auto"/>
          <w:sz w:val="24"/>
          <w:highlight w:val="none"/>
        </w:rPr>
        <w:t>如果被买方接受的话</w:t>
      </w:r>
      <w:r>
        <w:rPr>
          <w:rFonts w:ascii="宋体" w:hAnsi="宋体"/>
          <w:color w:val="auto"/>
          <w:sz w:val="24"/>
          <w:highlight w:val="none"/>
        </w:rPr>
        <w:t>)</w:t>
      </w:r>
      <w:r>
        <w:rPr>
          <w:rFonts w:hint="eastAsia" w:ascii="宋体" w:hAnsi="宋体"/>
          <w:color w:val="auto"/>
          <w:sz w:val="24"/>
          <w:highlight w:val="none"/>
        </w:rPr>
        <w:t>相一致。若技术规范中无相应说明，则以国家有关部门最新颁布的相应标准及规范为准。</w:t>
      </w:r>
    </w:p>
    <w:p>
      <w:pPr>
        <w:spacing w:line="560" w:lineRule="exact"/>
        <w:rPr>
          <w:rFonts w:ascii="宋体" w:hAnsi="宋体"/>
          <w:b/>
          <w:color w:val="auto"/>
          <w:sz w:val="24"/>
          <w:highlight w:val="none"/>
        </w:rPr>
      </w:pPr>
      <w:bookmarkStart w:id="315" w:name="_Toc487900351"/>
      <w:bookmarkStart w:id="316" w:name="_Toc135539101"/>
      <w:r>
        <w:rPr>
          <w:rFonts w:hint="eastAsia" w:ascii="宋体" w:hAnsi="宋体"/>
          <w:b/>
          <w:color w:val="auto"/>
          <w:sz w:val="24"/>
          <w:highlight w:val="none"/>
        </w:rPr>
        <w:t>3、知识产权</w:t>
      </w:r>
      <w:bookmarkEnd w:id="315"/>
      <w:bookmarkEnd w:id="316"/>
    </w:p>
    <w:p>
      <w:pPr>
        <w:spacing w:line="560" w:lineRule="exact"/>
        <w:ind w:firstLine="480"/>
        <w:rPr>
          <w:rFonts w:ascii="宋体" w:hAnsi="宋体"/>
          <w:color w:val="auto"/>
          <w:sz w:val="24"/>
          <w:highlight w:val="none"/>
        </w:rPr>
      </w:pPr>
      <w:r>
        <w:rPr>
          <w:rFonts w:hint="eastAsia" w:ascii="宋体" w:hAnsi="宋体"/>
          <w:color w:val="auto"/>
          <w:sz w:val="24"/>
          <w:highlight w:val="none"/>
        </w:rPr>
        <w:t>3.1  卖方应保证买方在使用该产品或其任何一部分时不受第三方提出的侵犯专利权、著作权、商标权和工业设计权等的起诉。如果任何第三方提出侵权指控，卖方须与第三方交涉并承担由此发生的一切责任、费用和经济赔偿。</w:t>
      </w:r>
    </w:p>
    <w:p>
      <w:pPr>
        <w:spacing w:line="560" w:lineRule="exact"/>
        <w:rPr>
          <w:rFonts w:ascii="宋体" w:hAnsi="宋体"/>
          <w:b/>
          <w:color w:val="auto"/>
          <w:sz w:val="24"/>
          <w:highlight w:val="none"/>
        </w:rPr>
      </w:pPr>
      <w:bookmarkStart w:id="317" w:name="_Toc135539102"/>
      <w:bookmarkStart w:id="318" w:name="_Toc487900352"/>
      <w:r>
        <w:rPr>
          <w:rFonts w:hint="eastAsia" w:ascii="宋体" w:hAnsi="宋体"/>
          <w:b/>
          <w:color w:val="auto"/>
          <w:sz w:val="24"/>
          <w:highlight w:val="none"/>
        </w:rPr>
        <w:t>4、包装要求</w:t>
      </w:r>
      <w:bookmarkEnd w:id="317"/>
      <w:bookmarkEnd w:id="318"/>
    </w:p>
    <w:p>
      <w:pPr>
        <w:spacing w:line="560" w:lineRule="exact"/>
        <w:ind w:firstLine="480"/>
        <w:rPr>
          <w:rFonts w:ascii="宋体" w:hAnsi="宋体"/>
          <w:color w:val="auto"/>
          <w:sz w:val="24"/>
          <w:highlight w:val="none"/>
        </w:rPr>
      </w:pPr>
      <w:r>
        <w:rPr>
          <w:rFonts w:hint="eastAsia" w:ascii="宋体" w:hAnsi="宋体"/>
          <w:color w:val="auto"/>
          <w:sz w:val="24"/>
          <w:highlight w:val="none"/>
        </w:rPr>
        <w:t>4.1  除合同另有约定外</w:t>
      </w:r>
      <w:r>
        <w:rPr>
          <w:rFonts w:ascii="宋体" w:hAnsi="宋体"/>
          <w:color w:val="auto"/>
          <w:sz w:val="24"/>
          <w:highlight w:val="none"/>
        </w:rPr>
        <w:t>,</w:t>
      </w:r>
      <w:r>
        <w:rPr>
          <w:rFonts w:hint="eastAsia" w:ascii="宋体" w:hAnsi="宋体"/>
          <w:color w:val="auto"/>
          <w:sz w:val="24"/>
          <w:highlight w:val="none"/>
        </w:rPr>
        <w:t>卖方提供的全部产品</w:t>
      </w:r>
      <w:r>
        <w:rPr>
          <w:rFonts w:ascii="宋体" w:hAnsi="宋体"/>
          <w:color w:val="auto"/>
          <w:sz w:val="24"/>
          <w:highlight w:val="none"/>
        </w:rPr>
        <w:t>,</w:t>
      </w:r>
      <w:r>
        <w:rPr>
          <w:rFonts w:hint="eastAsia" w:ascii="宋体" w:hAnsi="宋体"/>
          <w:color w:val="auto"/>
          <w:sz w:val="24"/>
          <w:highlight w:val="none"/>
        </w:rPr>
        <w:t>均应采用本行业通用的方式进行包装，且该包装应符合国家有关包装的法律、法规的规定。包装应适应于远距离运输、防潮、防震、防锈和防粗暴装卸，确保产品安全无损，运抵现场。由于包装不善所引起的产品锈蚀、损坏和损失均由卖方承担。</w:t>
      </w:r>
    </w:p>
    <w:p>
      <w:pPr>
        <w:spacing w:line="560" w:lineRule="exact"/>
        <w:ind w:firstLine="480"/>
        <w:rPr>
          <w:rFonts w:ascii="宋体" w:hAnsi="宋体"/>
          <w:color w:val="auto"/>
          <w:sz w:val="24"/>
          <w:highlight w:val="none"/>
        </w:rPr>
      </w:pPr>
      <w:r>
        <w:rPr>
          <w:rFonts w:hint="eastAsia" w:ascii="宋体" w:hAnsi="宋体"/>
          <w:color w:val="auto"/>
          <w:sz w:val="24"/>
          <w:highlight w:val="none"/>
        </w:rPr>
        <w:t>4.2  每件包装箱内应附一份详细装箱单和质量合格证。</w:t>
      </w:r>
    </w:p>
    <w:p>
      <w:pPr>
        <w:spacing w:line="560" w:lineRule="exact"/>
        <w:rPr>
          <w:rFonts w:ascii="宋体" w:hAnsi="宋体"/>
          <w:b/>
          <w:color w:val="auto"/>
          <w:sz w:val="24"/>
          <w:highlight w:val="none"/>
        </w:rPr>
      </w:pPr>
      <w:bookmarkStart w:id="319" w:name="_Toc135539103"/>
      <w:bookmarkStart w:id="320" w:name="_Toc487900353"/>
      <w:r>
        <w:rPr>
          <w:rFonts w:hint="eastAsia" w:ascii="宋体" w:hAnsi="宋体"/>
          <w:b/>
          <w:color w:val="auto"/>
          <w:sz w:val="24"/>
          <w:highlight w:val="none"/>
        </w:rPr>
        <w:t>5、装运标志</w:t>
      </w:r>
      <w:bookmarkEnd w:id="319"/>
      <w:bookmarkEnd w:id="320"/>
    </w:p>
    <w:p>
      <w:pPr>
        <w:spacing w:line="560" w:lineRule="exact"/>
        <w:ind w:firstLine="480"/>
        <w:rPr>
          <w:rFonts w:ascii="宋体" w:hAnsi="宋体"/>
          <w:color w:val="auto"/>
          <w:sz w:val="24"/>
          <w:highlight w:val="none"/>
        </w:rPr>
      </w:pPr>
      <w:r>
        <w:rPr>
          <w:rFonts w:hint="eastAsia" w:ascii="宋体" w:hAnsi="宋体"/>
          <w:color w:val="auto"/>
          <w:sz w:val="24"/>
          <w:highlight w:val="none"/>
        </w:rPr>
        <w:t>5.1.  卖方应在每一包装箱的四侧用不褪色的油漆以醒目的中文字样做出下列标记:</w:t>
      </w:r>
    </w:p>
    <w:p>
      <w:pPr>
        <w:spacing w:line="560" w:lineRule="exact"/>
        <w:rPr>
          <w:rFonts w:ascii="宋体" w:hAnsi="宋体"/>
          <w:b/>
          <w:color w:val="auto"/>
          <w:sz w:val="24"/>
          <w:highlight w:val="none"/>
          <w:u w:val="single"/>
        </w:rPr>
      </w:pPr>
      <w:r>
        <w:rPr>
          <w:rFonts w:hint="eastAsia" w:ascii="宋体" w:hAnsi="宋体"/>
          <w:color w:val="auto"/>
          <w:sz w:val="24"/>
          <w:highlight w:val="none"/>
        </w:rPr>
        <w:t>收货人:</w:t>
      </w:r>
      <w:r>
        <w:rPr>
          <w:rFonts w:hint="eastAsia" w:ascii="宋体" w:hAnsi="宋体"/>
          <w:color w:val="auto"/>
          <w:sz w:val="24"/>
          <w:highlight w:val="none"/>
          <w:u w:val="single"/>
        </w:rPr>
        <w:t>北京市丰台区职业教育中心学校指定</w:t>
      </w:r>
    </w:p>
    <w:p>
      <w:pPr>
        <w:spacing w:line="560" w:lineRule="exact"/>
        <w:rPr>
          <w:rFonts w:ascii="宋体" w:hAnsi="宋体"/>
          <w:color w:val="auto"/>
          <w:sz w:val="24"/>
          <w:highlight w:val="none"/>
          <w:u w:val="single"/>
        </w:rPr>
      </w:pPr>
      <w:r>
        <w:rPr>
          <w:rFonts w:hint="eastAsia" w:ascii="宋体" w:hAnsi="宋体"/>
          <w:color w:val="auto"/>
          <w:sz w:val="24"/>
          <w:highlight w:val="none"/>
        </w:rPr>
        <w:t>合同号:</w:t>
      </w:r>
      <w:r>
        <w:rPr>
          <w:rFonts w:hint="eastAsia" w:ascii="宋体" w:hAnsi="宋体"/>
          <w:color w:val="auto"/>
          <w:sz w:val="24"/>
          <w:highlight w:val="none"/>
          <w:u w:val="single"/>
        </w:rPr>
        <w:t xml:space="preserve">                               </w:t>
      </w:r>
    </w:p>
    <w:p>
      <w:pPr>
        <w:spacing w:line="560" w:lineRule="exact"/>
        <w:rPr>
          <w:rFonts w:ascii="宋体" w:hAnsi="宋体"/>
          <w:color w:val="auto"/>
          <w:sz w:val="24"/>
          <w:highlight w:val="none"/>
        </w:rPr>
      </w:pPr>
      <w:r>
        <w:rPr>
          <w:rFonts w:hint="eastAsia" w:ascii="宋体" w:hAnsi="宋体"/>
          <w:color w:val="auto"/>
          <w:sz w:val="24"/>
          <w:highlight w:val="none"/>
        </w:rPr>
        <w:t>装运标志:</w:t>
      </w:r>
      <w:r>
        <w:rPr>
          <w:rFonts w:hint="eastAsia" w:ascii="宋体" w:hAnsi="宋体"/>
          <w:color w:val="auto"/>
          <w:sz w:val="24"/>
          <w:highlight w:val="none"/>
          <w:u w:val="single"/>
        </w:rPr>
        <w:t xml:space="preserve">                             </w:t>
      </w:r>
    </w:p>
    <w:p>
      <w:pPr>
        <w:spacing w:line="560" w:lineRule="exact"/>
        <w:rPr>
          <w:rFonts w:ascii="宋体" w:hAnsi="宋体"/>
          <w:color w:val="auto"/>
          <w:sz w:val="24"/>
          <w:highlight w:val="none"/>
        </w:rPr>
      </w:pPr>
      <w:r>
        <w:rPr>
          <w:rFonts w:hint="eastAsia" w:ascii="宋体" w:hAnsi="宋体"/>
          <w:color w:val="auto"/>
          <w:sz w:val="24"/>
          <w:highlight w:val="none"/>
        </w:rPr>
        <w:t>收货人代号:</w:t>
      </w:r>
      <w:r>
        <w:rPr>
          <w:rFonts w:hint="eastAsia" w:ascii="宋体" w:hAnsi="宋体"/>
          <w:color w:val="auto"/>
          <w:sz w:val="24"/>
          <w:highlight w:val="none"/>
          <w:u w:val="single"/>
        </w:rPr>
        <w:t xml:space="preserve">                           </w:t>
      </w:r>
    </w:p>
    <w:p>
      <w:pPr>
        <w:spacing w:line="560" w:lineRule="exact"/>
        <w:rPr>
          <w:rFonts w:ascii="宋体" w:hAnsi="宋体"/>
          <w:color w:val="auto"/>
          <w:sz w:val="24"/>
          <w:highlight w:val="none"/>
        </w:rPr>
      </w:pPr>
      <w:r>
        <w:rPr>
          <w:rFonts w:hint="eastAsia" w:ascii="宋体" w:hAnsi="宋体"/>
          <w:color w:val="auto"/>
          <w:sz w:val="24"/>
          <w:highlight w:val="none"/>
        </w:rPr>
        <w:t>目的地:</w:t>
      </w:r>
      <w:r>
        <w:rPr>
          <w:rFonts w:hint="eastAsia" w:ascii="宋体" w:hAnsi="宋体"/>
          <w:color w:val="auto"/>
          <w:sz w:val="24"/>
          <w:highlight w:val="none"/>
          <w:u w:val="single"/>
        </w:rPr>
        <w:t>北京市丰台区职业教育中心学校指定</w:t>
      </w:r>
    </w:p>
    <w:p>
      <w:pPr>
        <w:spacing w:line="560" w:lineRule="exact"/>
        <w:rPr>
          <w:rFonts w:ascii="宋体" w:hAnsi="宋体"/>
          <w:color w:val="auto"/>
          <w:sz w:val="24"/>
          <w:highlight w:val="none"/>
        </w:rPr>
      </w:pPr>
      <w:r>
        <w:rPr>
          <w:rFonts w:hint="eastAsia" w:ascii="宋体" w:hAnsi="宋体"/>
          <w:color w:val="auto"/>
          <w:sz w:val="24"/>
          <w:highlight w:val="none"/>
        </w:rPr>
        <w:t>产品名称、品目号和箱号:</w:t>
      </w:r>
      <w:r>
        <w:rPr>
          <w:rFonts w:hint="eastAsia" w:ascii="宋体" w:hAnsi="宋体"/>
          <w:color w:val="auto"/>
          <w:sz w:val="24"/>
          <w:highlight w:val="none"/>
          <w:u w:val="single"/>
        </w:rPr>
        <w:t xml:space="preserve">               </w:t>
      </w:r>
    </w:p>
    <w:p>
      <w:pPr>
        <w:spacing w:line="560" w:lineRule="exact"/>
        <w:rPr>
          <w:rFonts w:ascii="宋体" w:hAnsi="宋体"/>
          <w:color w:val="auto"/>
          <w:sz w:val="24"/>
          <w:highlight w:val="none"/>
        </w:rPr>
      </w:pPr>
      <w:r>
        <w:rPr>
          <w:rFonts w:hint="eastAsia" w:ascii="宋体" w:hAnsi="宋体"/>
          <w:color w:val="auto"/>
          <w:sz w:val="24"/>
          <w:highlight w:val="none"/>
        </w:rPr>
        <w:t>毛重／净重:</w:t>
      </w:r>
      <w:r>
        <w:rPr>
          <w:rFonts w:hint="eastAsia" w:ascii="宋体" w:hAnsi="宋体"/>
          <w:color w:val="auto"/>
          <w:sz w:val="24"/>
          <w:highlight w:val="none"/>
          <w:u w:val="single"/>
        </w:rPr>
        <w:t xml:space="preserve">                           </w:t>
      </w:r>
    </w:p>
    <w:p>
      <w:pPr>
        <w:spacing w:line="560" w:lineRule="exact"/>
        <w:rPr>
          <w:rFonts w:ascii="宋体" w:hAnsi="宋体"/>
          <w:color w:val="auto"/>
          <w:sz w:val="24"/>
          <w:highlight w:val="none"/>
        </w:rPr>
      </w:pPr>
      <w:r>
        <w:rPr>
          <w:rFonts w:hint="eastAsia" w:ascii="宋体" w:hAnsi="宋体"/>
          <w:color w:val="auto"/>
          <w:sz w:val="24"/>
          <w:highlight w:val="none"/>
        </w:rPr>
        <w:t>尺寸</w:t>
      </w:r>
      <w:r>
        <w:rPr>
          <w:rFonts w:ascii="宋体" w:hAnsi="宋体"/>
          <w:color w:val="auto"/>
          <w:sz w:val="24"/>
          <w:highlight w:val="none"/>
        </w:rPr>
        <w:t>(</w:t>
      </w:r>
      <w:r>
        <w:rPr>
          <w:rFonts w:hint="eastAsia" w:ascii="宋体" w:hAnsi="宋体"/>
          <w:color w:val="auto"/>
          <w:sz w:val="24"/>
          <w:highlight w:val="none"/>
        </w:rPr>
        <w:t>长×宽×高以厘米计</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w:t>
      </w:r>
    </w:p>
    <w:p>
      <w:pPr>
        <w:spacing w:line="560" w:lineRule="exact"/>
        <w:ind w:firstLine="480"/>
        <w:rPr>
          <w:rFonts w:ascii="宋体" w:hAnsi="宋体"/>
          <w:color w:val="auto"/>
          <w:sz w:val="24"/>
          <w:highlight w:val="none"/>
        </w:rPr>
      </w:pPr>
      <w:r>
        <w:rPr>
          <w:rFonts w:hint="eastAsia" w:ascii="宋体" w:hAnsi="宋体"/>
          <w:color w:val="auto"/>
          <w:sz w:val="24"/>
          <w:highlight w:val="none"/>
        </w:rPr>
        <w:t>5.2  如果产品单件重量在</w:t>
      </w:r>
      <w:r>
        <w:rPr>
          <w:rFonts w:ascii="宋体" w:hAnsi="宋体"/>
          <w:color w:val="auto"/>
          <w:sz w:val="24"/>
          <w:highlight w:val="none"/>
        </w:rPr>
        <w:t>2</w:t>
      </w:r>
      <w:r>
        <w:rPr>
          <w:rFonts w:hint="eastAsia" w:ascii="宋体" w:hAnsi="宋体"/>
          <w:color w:val="auto"/>
          <w:sz w:val="24"/>
          <w:highlight w:val="none"/>
        </w:rPr>
        <w:t>吨或</w:t>
      </w:r>
      <w:r>
        <w:rPr>
          <w:rFonts w:ascii="宋体" w:hAnsi="宋体"/>
          <w:color w:val="auto"/>
          <w:sz w:val="24"/>
          <w:highlight w:val="none"/>
        </w:rPr>
        <w:t>2</w:t>
      </w:r>
      <w:r>
        <w:rPr>
          <w:rFonts w:hint="eastAsia" w:ascii="宋体" w:hAnsi="宋体"/>
          <w:color w:val="auto"/>
          <w:sz w:val="24"/>
          <w:highlight w:val="none"/>
        </w:rPr>
        <w:t>吨以上，卖方应在每件包装箱的两侧用中文和适当的运输标记，标明“重心”和“吊装点”，以便装卸和搬运。根据产品的特点和运输的不同要求，卖方应在包装箱上清楚地标有“小心轻放”、“防潮”、</w:t>
      </w:r>
      <w:r>
        <w:rPr>
          <w:rFonts w:ascii="宋体" w:hAnsi="宋体"/>
          <w:color w:val="auto"/>
          <w:sz w:val="24"/>
          <w:highlight w:val="none"/>
        </w:rPr>
        <w:t>“</w:t>
      </w:r>
      <w:r>
        <w:rPr>
          <w:rFonts w:hint="eastAsia" w:ascii="宋体" w:hAnsi="宋体"/>
          <w:color w:val="auto"/>
          <w:sz w:val="24"/>
          <w:highlight w:val="none"/>
        </w:rPr>
        <w:t>勿倒置”等字样和其他适当的标志。</w:t>
      </w:r>
    </w:p>
    <w:p>
      <w:pPr>
        <w:spacing w:line="560" w:lineRule="exact"/>
        <w:rPr>
          <w:rFonts w:ascii="宋体" w:hAnsi="宋体"/>
          <w:b/>
          <w:color w:val="auto"/>
          <w:sz w:val="24"/>
          <w:highlight w:val="none"/>
        </w:rPr>
      </w:pPr>
      <w:bookmarkStart w:id="321" w:name="_Toc487900354"/>
      <w:bookmarkStart w:id="322" w:name="_Toc135539104"/>
      <w:bookmarkStart w:id="323" w:name="_Ref467379542"/>
      <w:bookmarkStart w:id="324" w:name="_Ref467378541"/>
      <w:bookmarkStart w:id="325" w:name="_Ref467379527"/>
      <w:bookmarkStart w:id="326" w:name="_Ref467378591"/>
      <w:bookmarkStart w:id="327" w:name="_Ref467379536"/>
      <w:r>
        <w:rPr>
          <w:rFonts w:hint="eastAsia" w:ascii="宋体" w:hAnsi="宋体"/>
          <w:b/>
          <w:color w:val="auto"/>
          <w:sz w:val="24"/>
          <w:highlight w:val="none"/>
        </w:rPr>
        <w:t>6、交货方式</w:t>
      </w:r>
      <w:bookmarkEnd w:id="321"/>
      <w:bookmarkEnd w:id="322"/>
      <w:bookmarkEnd w:id="323"/>
      <w:bookmarkEnd w:id="324"/>
      <w:bookmarkEnd w:id="325"/>
      <w:bookmarkEnd w:id="326"/>
      <w:bookmarkEnd w:id="327"/>
    </w:p>
    <w:p>
      <w:pPr>
        <w:spacing w:line="560" w:lineRule="exact"/>
        <w:ind w:firstLine="480"/>
        <w:rPr>
          <w:rFonts w:ascii="宋体" w:hAnsi="宋体"/>
          <w:color w:val="auto"/>
          <w:sz w:val="24"/>
          <w:highlight w:val="none"/>
        </w:rPr>
      </w:pPr>
      <w:bookmarkStart w:id="328" w:name="_Ref467379657"/>
      <w:r>
        <w:rPr>
          <w:rFonts w:hint="eastAsia" w:ascii="宋体" w:hAnsi="宋体"/>
          <w:color w:val="auto"/>
          <w:sz w:val="24"/>
          <w:highlight w:val="none"/>
        </w:rPr>
        <w:t>6.1  交货方式一般为下列其中一种，具体在合同特殊条款中规定。</w:t>
      </w:r>
      <w:bookmarkEnd w:id="328"/>
    </w:p>
    <w:p>
      <w:pPr>
        <w:spacing w:line="560" w:lineRule="exact"/>
        <w:ind w:firstLine="480"/>
        <w:rPr>
          <w:rFonts w:ascii="宋体" w:hAnsi="宋体"/>
          <w:color w:val="auto"/>
          <w:sz w:val="24"/>
          <w:highlight w:val="none"/>
        </w:rPr>
      </w:pPr>
      <w:r>
        <w:rPr>
          <w:rFonts w:hint="eastAsia" w:ascii="宋体" w:hAnsi="宋体"/>
          <w:color w:val="auto"/>
          <w:sz w:val="24"/>
          <w:highlight w:val="none"/>
        </w:rPr>
        <w:t>6.1.1  现场交货:卖方负责办理运输和保险，将产品运抵现场。有关运输和保险的一切费用由卖方承担。所有产品运抵现场的日期为交货日期。</w:t>
      </w:r>
    </w:p>
    <w:p>
      <w:pPr>
        <w:spacing w:line="560" w:lineRule="exact"/>
        <w:ind w:firstLine="480"/>
        <w:rPr>
          <w:rFonts w:ascii="宋体" w:hAnsi="宋体"/>
          <w:color w:val="auto"/>
          <w:sz w:val="24"/>
          <w:highlight w:val="none"/>
        </w:rPr>
      </w:pPr>
      <w:r>
        <w:rPr>
          <w:rFonts w:hint="eastAsia" w:ascii="宋体" w:hAnsi="宋体"/>
          <w:color w:val="auto"/>
          <w:sz w:val="24"/>
          <w:highlight w:val="none"/>
        </w:rPr>
        <w:t>6.1.2  工厂交货:由卖方负责代办运输和保险事宜。运输费和保险费由买方承担。运输部门出具收据的日期为交货日期。</w:t>
      </w:r>
    </w:p>
    <w:p>
      <w:pPr>
        <w:spacing w:line="560" w:lineRule="exact"/>
        <w:ind w:firstLine="480"/>
        <w:rPr>
          <w:rFonts w:ascii="宋体" w:hAnsi="宋体"/>
          <w:color w:val="auto"/>
          <w:sz w:val="24"/>
          <w:highlight w:val="none"/>
        </w:rPr>
      </w:pPr>
      <w:r>
        <w:rPr>
          <w:rFonts w:hint="eastAsia" w:ascii="宋体" w:hAnsi="宋体"/>
          <w:color w:val="auto"/>
          <w:sz w:val="24"/>
          <w:highlight w:val="none"/>
        </w:rPr>
        <w:t>6.1.3  买方自提产品:由买方在合同规定地点自行办理提货。提单日期为交货日期。</w:t>
      </w:r>
    </w:p>
    <w:p>
      <w:pPr>
        <w:spacing w:line="560" w:lineRule="exact"/>
        <w:ind w:firstLine="480"/>
        <w:rPr>
          <w:rFonts w:ascii="宋体" w:hAnsi="宋体"/>
          <w:color w:val="auto"/>
          <w:sz w:val="24"/>
          <w:highlight w:val="none"/>
        </w:rPr>
      </w:pPr>
      <w:r>
        <w:rPr>
          <w:rFonts w:hint="eastAsia" w:ascii="宋体" w:hAnsi="宋体"/>
          <w:color w:val="auto"/>
          <w:sz w:val="24"/>
          <w:highlight w:val="none"/>
        </w:rPr>
        <w:t>6.2  卖方应在合同规定的交货期 3 天以前以邮件或传真形式将合同号、产品名称、数量、包装箱件数、总毛重、总体积</w:t>
      </w:r>
      <w:r>
        <w:rPr>
          <w:rFonts w:ascii="宋体" w:hAnsi="宋体"/>
          <w:color w:val="auto"/>
          <w:sz w:val="24"/>
          <w:highlight w:val="none"/>
        </w:rPr>
        <w:t>(</w:t>
      </w:r>
      <w:r>
        <w:rPr>
          <w:rFonts w:hint="eastAsia" w:ascii="宋体" w:hAnsi="宋体"/>
          <w:color w:val="auto"/>
          <w:sz w:val="24"/>
          <w:highlight w:val="none"/>
        </w:rPr>
        <w:t>立方米</w:t>
      </w:r>
      <w:r>
        <w:rPr>
          <w:rFonts w:ascii="宋体" w:hAnsi="宋体"/>
          <w:color w:val="auto"/>
          <w:sz w:val="24"/>
          <w:highlight w:val="none"/>
        </w:rPr>
        <w:t>)</w:t>
      </w:r>
      <w:r>
        <w:rPr>
          <w:rFonts w:hint="eastAsia" w:ascii="宋体" w:hAnsi="宋体"/>
          <w:color w:val="auto"/>
          <w:sz w:val="24"/>
          <w:highlight w:val="none"/>
        </w:rPr>
        <w:t>和备妥交货日期通知买方。同时卖方应用挂号信将详细交货清单一式</w:t>
      </w:r>
      <w:r>
        <w:rPr>
          <w:rFonts w:ascii="宋体" w:hAnsi="宋体"/>
          <w:color w:val="auto"/>
          <w:sz w:val="24"/>
          <w:highlight w:val="none"/>
        </w:rPr>
        <w:t>6</w:t>
      </w:r>
      <w:r>
        <w:rPr>
          <w:rFonts w:hint="eastAsia" w:ascii="宋体" w:hAnsi="宋体"/>
          <w:color w:val="auto"/>
          <w:sz w:val="24"/>
          <w:highlight w:val="none"/>
        </w:rPr>
        <w:t>份包括合同号、产品名称、规格、数量、总毛重、总体积</w:t>
      </w:r>
      <w:r>
        <w:rPr>
          <w:rFonts w:ascii="宋体" w:hAnsi="宋体"/>
          <w:color w:val="auto"/>
          <w:sz w:val="24"/>
          <w:highlight w:val="none"/>
        </w:rPr>
        <w:t>(</w:t>
      </w:r>
      <w:r>
        <w:rPr>
          <w:rFonts w:hint="eastAsia" w:ascii="宋体" w:hAnsi="宋体"/>
          <w:color w:val="auto"/>
          <w:sz w:val="24"/>
          <w:highlight w:val="none"/>
        </w:rPr>
        <w:t>立方米</w:t>
      </w:r>
      <w:r>
        <w:rPr>
          <w:rFonts w:ascii="宋体" w:hAnsi="宋体"/>
          <w:color w:val="auto"/>
          <w:sz w:val="24"/>
          <w:highlight w:val="none"/>
        </w:rPr>
        <w:t>)</w:t>
      </w:r>
      <w:r>
        <w:rPr>
          <w:rFonts w:hint="eastAsia" w:ascii="宋体" w:hAnsi="宋体"/>
          <w:color w:val="auto"/>
          <w:sz w:val="24"/>
          <w:highlight w:val="none"/>
        </w:rPr>
        <w:t>、包装箱件数和每个包装箱的尺寸</w:t>
      </w:r>
      <w:r>
        <w:rPr>
          <w:rFonts w:ascii="宋体" w:hAnsi="宋体"/>
          <w:color w:val="auto"/>
          <w:sz w:val="24"/>
          <w:highlight w:val="none"/>
        </w:rPr>
        <w:t>(</w:t>
      </w:r>
      <w:r>
        <w:rPr>
          <w:rFonts w:hint="eastAsia" w:ascii="宋体" w:hAnsi="宋体"/>
          <w:color w:val="auto"/>
          <w:sz w:val="24"/>
          <w:highlight w:val="none"/>
        </w:rPr>
        <w:t>长×宽×高</w:t>
      </w:r>
      <w:r>
        <w:rPr>
          <w:rFonts w:ascii="宋体" w:hAnsi="宋体"/>
          <w:color w:val="auto"/>
          <w:sz w:val="24"/>
          <w:highlight w:val="none"/>
        </w:rPr>
        <w:t>)</w:t>
      </w:r>
      <w:r>
        <w:rPr>
          <w:rFonts w:hint="eastAsia" w:ascii="宋体" w:hAnsi="宋体"/>
          <w:color w:val="auto"/>
          <w:sz w:val="24"/>
          <w:highlight w:val="none"/>
        </w:rPr>
        <w:t>、产品总价和备妥待交日期以及对产品在运输和仓储的特殊要求和注意事项通知买方。</w:t>
      </w:r>
    </w:p>
    <w:p>
      <w:pPr>
        <w:spacing w:line="560" w:lineRule="exact"/>
        <w:ind w:firstLine="480"/>
        <w:rPr>
          <w:rFonts w:ascii="宋体" w:hAnsi="宋体"/>
          <w:color w:val="auto"/>
          <w:sz w:val="24"/>
          <w:highlight w:val="none"/>
        </w:rPr>
      </w:pPr>
      <w:r>
        <w:rPr>
          <w:rFonts w:hint="eastAsia" w:ascii="宋体" w:hAnsi="宋体"/>
          <w:color w:val="auto"/>
          <w:sz w:val="24"/>
          <w:highlight w:val="none"/>
        </w:rPr>
        <w:t>6.3  在现场交货和工厂交货条件下，卖方装运的产品不应超过合同规定的数量或重量。否则，卖方应对超运部分引起的一切后果负责。</w:t>
      </w:r>
    </w:p>
    <w:p>
      <w:pPr>
        <w:spacing w:line="560" w:lineRule="exact"/>
        <w:rPr>
          <w:rFonts w:ascii="宋体" w:hAnsi="宋体"/>
          <w:b/>
          <w:color w:val="auto"/>
          <w:sz w:val="24"/>
          <w:highlight w:val="none"/>
        </w:rPr>
      </w:pPr>
      <w:bookmarkStart w:id="329" w:name="_Toc487900355"/>
      <w:bookmarkStart w:id="330" w:name="_Toc135539105"/>
      <w:r>
        <w:rPr>
          <w:rFonts w:hint="eastAsia" w:ascii="宋体" w:hAnsi="宋体"/>
          <w:b/>
          <w:color w:val="auto"/>
          <w:sz w:val="24"/>
          <w:highlight w:val="none"/>
        </w:rPr>
        <w:t>7、装运通知</w:t>
      </w:r>
      <w:bookmarkEnd w:id="329"/>
      <w:bookmarkEnd w:id="330"/>
    </w:p>
    <w:p>
      <w:pPr>
        <w:spacing w:line="560" w:lineRule="exact"/>
        <w:ind w:firstLine="480"/>
        <w:rPr>
          <w:rFonts w:ascii="宋体" w:hAnsi="宋体"/>
          <w:color w:val="auto"/>
          <w:sz w:val="24"/>
          <w:highlight w:val="none"/>
        </w:rPr>
      </w:pPr>
      <w:r>
        <w:rPr>
          <w:rFonts w:hint="eastAsia" w:ascii="宋体" w:hAnsi="宋体"/>
          <w:color w:val="auto"/>
          <w:sz w:val="24"/>
          <w:highlight w:val="none"/>
        </w:rPr>
        <w:t>7.1  在现场交货和工厂交货条件下的产品，卖方通知买方产品已备妥待运输后</w:t>
      </w:r>
      <w:r>
        <w:rPr>
          <w:rFonts w:ascii="宋体" w:hAnsi="宋体"/>
          <w:color w:val="auto"/>
          <w:sz w:val="24"/>
          <w:highlight w:val="none"/>
        </w:rPr>
        <w:t>24</w:t>
      </w:r>
      <w:r>
        <w:rPr>
          <w:rFonts w:hint="eastAsia" w:ascii="宋体" w:hAnsi="宋体"/>
          <w:color w:val="auto"/>
          <w:sz w:val="24"/>
          <w:highlight w:val="none"/>
        </w:rPr>
        <w:t>小时之内，应将合同号、货名、数量、毛重、总体积</w:t>
      </w:r>
      <w:r>
        <w:rPr>
          <w:rFonts w:ascii="宋体" w:hAnsi="宋体"/>
          <w:color w:val="auto"/>
          <w:sz w:val="24"/>
          <w:highlight w:val="none"/>
        </w:rPr>
        <w:t>(</w:t>
      </w:r>
      <w:r>
        <w:rPr>
          <w:rFonts w:hint="eastAsia" w:ascii="宋体" w:hAnsi="宋体"/>
          <w:color w:val="auto"/>
          <w:sz w:val="24"/>
          <w:highlight w:val="none"/>
        </w:rPr>
        <w:t>立方米</w:t>
      </w:r>
      <w:r>
        <w:rPr>
          <w:rFonts w:ascii="宋体" w:hAnsi="宋体"/>
          <w:color w:val="auto"/>
          <w:sz w:val="24"/>
          <w:highlight w:val="none"/>
        </w:rPr>
        <w:t>)</w:t>
      </w:r>
      <w:r>
        <w:rPr>
          <w:rFonts w:hint="eastAsia" w:ascii="宋体" w:hAnsi="宋体"/>
          <w:color w:val="auto"/>
          <w:sz w:val="24"/>
          <w:highlight w:val="none"/>
        </w:rPr>
        <w:t>、发票金额、运输工具名称及装运日期，以邮件或传真通知买方。</w:t>
      </w:r>
    </w:p>
    <w:p>
      <w:pPr>
        <w:spacing w:line="560" w:lineRule="exact"/>
        <w:ind w:firstLine="480"/>
        <w:rPr>
          <w:rFonts w:ascii="宋体" w:hAnsi="宋体"/>
          <w:color w:val="auto"/>
          <w:sz w:val="24"/>
          <w:highlight w:val="none"/>
        </w:rPr>
      </w:pPr>
      <w:r>
        <w:rPr>
          <w:rFonts w:hint="eastAsia" w:ascii="宋体" w:hAnsi="宋体"/>
          <w:color w:val="auto"/>
          <w:sz w:val="24"/>
          <w:highlight w:val="none"/>
        </w:rPr>
        <w:t>7.2  如因卖方延误将上述内容用邮件或传真通知买方，由此引起的一切后果损失应由卖方负责。</w:t>
      </w:r>
    </w:p>
    <w:p>
      <w:pPr>
        <w:spacing w:line="560" w:lineRule="exact"/>
        <w:rPr>
          <w:rFonts w:ascii="宋体" w:hAnsi="宋体"/>
          <w:b/>
          <w:color w:val="auto"/>
          <w:sz w:val="24"/>
          <w:highlight w:val="none"/>
        </w:rPr>
      </w:pPr>
      <w:bookmarkStart w:id="331" w:name="_Toc487900357"/>
      <w:bookmarkStart w:id="332" w:name="_Ref467379807"/>
      <w:bookmarkStart w:id="333" w:name="_Ref467379793"/>
      <w:bookmarkStart w:id="334" w:name="_Toc135539106"/>
      <w:r>
        <w:rPr>
          <w:rFonts w:hint="eastAsia" w:ascii="宋体" w:hAnsi="宋体"/>
          <w:b/>
          <w:color w:val="auto"/>
          <w:sz w:val="24"/>
          <w:highlight w:val="none"/>
        </w:rPr>
        <w:t>8、付款条件</w:t>
      </w:r>
      <w:bookmarkEnd w:id="331"/>
      <w:bookmarkEnd w:id="332"/>
      <w:bookmarkEnd w:id="333"/>
      <w:bookmarkEnd w:id="334"/>
    </w:p>
    <w:p>
      <w:pPr>
        <w:spacing w:line="560" w:lineRule="exact"/>
        <w:ind w:firstLine="480"/>
        <w:rPr>
          <w:rFonts w:ascii="宋体" w:hAnsi="宋体"/>
          <w:color w:val="auto"/>
          <w:sz w:val="24"/>
          <w:highlight w:val="none"/>
        </w:rPr>
      </w:pPr>
      <w:r>
        <w:rPr>
          <w:rFonts w:hint="eastAsia" w:ascii="宋体" w:hAnsi="宋体"/>
          <w:color w:val="auto"/>
          <w:sz w:val="24"/>
          <w:highlight w:val="none"/>
        </w:rPr>
        <w:t>付款条件见合同书“付款方式”。</w:t>
      </w:r>
    </w:p>
    <w:p>
      <w:pPr>
        <w:spacing w:line="560" w:lineRule="exact"/>
        <w:rPr>
          <w:rFonts w:ascii="宋体" w:hAnsi="宋体"/>
          <w:b/>
          <w:color w:val="auto"/>
          <w:sz w:val="24"/>
          <w:highlight w:val="none"/>
        </w:rPr>
      </w:pPr>
      <w:bookmarkStart w:id="335" w:name="_Toc487900358"/>
      <w:bookmarkStart w:id="336" w:name="_Ref467379852"/>
      <w:bookmarkStart w:id="337" w:name="_Ref467379923"/>
      <w:bookmarkStart w:id="338" w:name="_Ref467379863"/>
      <w:bookmarkStart w:id="339" w:name="_Toc135539107"/>
      <w:r>
        <w:rPr>
          <w:rFonts w:hint="eastAsia" w:ascii="宋体" w:hAnsi="宋体"/>
          <w:b/>
          <w:color w:val="auto"/>
          <w:sz w:val="24"/>
          <w:highlight w:val="none"/>
        </w:rPr>
        <w:t>9、技术资料</w:t>
      </w:r>
      <w:bookmarkEnd w:id="335"/>
      <w:bookmarkEnd w:id="336"/>
      <w:bookmarkEnd w:id="337"/>
      <w:bookmarkEnd w:id="338"/>
      <w:bookmarkEnd w:id="339"/>
    </w:p>
    <w:p>
      <w:pPr>
        <w:spacing w:line="560" w:lineRule="exact"/>
        <w:ind w:firstLine="480"/>
        <w:rPr>
          <w:rFonts w:ascii="宋体" w:hAnsi="宋体"/>
          <w:color w:val="auto"/>
          <w:sz w:val="24"/>
          <w:highlight w:val="none"/>
        </w:rPr>
      </w:pPr>
      <w:r>
        <w:rPr>
          <w:rFonts w:hint="eastAsia" w:ascii="宋体" w:hAnsi="宋体"/>
          <w:color w:val="auto"/>
          <w:sz w:val="24"/>
          <w:highlight w:val="none"/>
        </w:rPr>
        <w:t>9.1  合同项下技术资料</w:t>
      </w:r>
      <w:r>
        <w:rPr>
          <w:rFonts w:ascii="宋体" w:hAnsi="宋体"/>
          <w:color w:val="auto"/>
          <w:sz w:val="24"/>
          <w:highlight w:val="none"/>
        </w:rPr>
        <w:t>(</w:t>
      </w:r>
      <w:r>
        <w:rPr>
          <w:rFonts w:hint="eastAsia" w:ascii="宋体" w:hAnsi="宋体"/>
          <w:color w:val="auto"/>
          <w:sz w:val="24"/>
          <w:highlight w:val="none"/>
        </w:rPr>
        <w:t>除合同特殊条款规定外</w:t>
      </w:r>
      <w:r>
        <w:rPr>
          <w:rFonts w:ascii="宋体" w:hAnsi="宋体"/>
          <w:color w:val="auto"/>
          <w:sz w:val="24"/>
          <w:highlight w:val="none"/>
        </w:rPr>
        <w:t>)</w:t>
      </w:r>
      <w:r>
        <w:rPr>
          <w:rFonts w:hint="eastAsia" w:ascii="宋体" w:hAnsi="宋体"/>
          <w:color w:val="auto"/>
          <w:sz w:val="24"/>
          <w:highlight w:val="none"/>
        </w:rPr>
        <w:t>将以下列方式交付:</w:t>
      </w:r>
    </w:p>
    <w:p>
      <w:pPr>
        <w:spacing w:line="560" w:lineRule="exact"/>
        <w:ind w:firstLine="480"/>
        <w:rPr>
          <w:rFonts w:ascii="宋体" w:hAnsi="宋体"/>
          <w:color w:val="auto"/>
          <w:sz w:val="24"/>
          <w:highlight w:val="none"/>
        </w:rPr>
      </w:pPr>
      <w:r>
        <w:rPr>
          <w:rFonts w:hint="eastAsia" w:ascii="宋体" w:hAnsi="宋体"/>
          <w:color w:val="auto"/>
          <w:sz w:val="24"/>
          <w:highlight w:val="none"/>
        </w:rPr>
        <w:t>合同生效后</w:t>
      </w:r>
      <w:r>
        <w:rPr>
          <w:rFonts w:ascii="宋体" w:hAnsi="宋体"/>
          <w:color w:val="auto"/>
          <w:sz w:val="24"/>
          <w:highlight w:val="none"/>
        </w:rPr>
        <w:t xml:space="preserve"> </w:t>
      </w:r>
      <w:r>
        <w:rPr>
          <w:rFonts w:hint="eastAsia" w:ascii="宋体" w:hAnsi="宋体"/>
          <w:color w:val="auto"/>
          <w:sz w:val="24"/>
          <w:highlight w:val="none"/>
        </w:rPr>
        <w:t>15</w:t>
      </w:r>
      <w:r>
        <w:rPr>
          <w:rFonts w:ascii="宋体" w:hAnsi="宋体"/>
          <w:color w:val="auto"/>
          <w:sz w:val="24"/>
          <w:highlight w:val="none"/>
        </w:rPr>
        <w:t xml:space="preserve"> </w:t>
      </w:r>
      <w:r>
        <w:rPr>
          <w:rFonts w:hint="eastAsia" w:ascii="宋体" w:hAnsi="宋体"/>
          <w:color w:val="auto"/>
          <w:sz w:val="24"/>
          <w:highlight w:val="none"/>
        </w:rPr>
        <w:t>天之内，卖方应将本次采购品目的中文技术资料一套，如目录索引、图纸、操作手册、使用指南、维修指南和／或服务手册和示意图寄给买方。</w:t>
      </w:r>
    </w:p>
    <w:p>
      <w:pPr>
        <w:spacing w:line="560" w:lineRule="exact"/>
        <w:ind w:firstLine="480"/>
        <w:rPr>
          <w:rFonts w:ascii="宋体" w:hAnsi="宋体"/>
          <w:color w:val="auto"/>
          <w:sz w:val="24"/>
          <w:highlight w:val="none"/>
        </w:rPr>
      </w:pPr>
      <w:r>
        <w:rPr>
          <w:rFonts w:hint="eastAsia" w:ascii="宋体" w:hAnsi="宋体"/>
          <w:color w:val="auto"/>
          <w:sz w:val="24"/>
          <w:highlight w:val="none"/>
        </w:rPr>
        <w:t>9.2  另外一套完整的上述资料应包装好随同每批产品一起发运。</w:t>
      </w:r>
    </w:p>
    <w:p>
      <w:pPr>
        <w:spacing w:line="560" w:lineRule="exact"/>
        <w:ind w:firstLine="480"/>
        <w:rPr>
          <w:rFonts w:ascii="宋体" w:hAnsi="宋体"/>
          <w:color w:val="auto"/>
          <w:sz w:val="24"/>
          <w:highlight w:val="none"/>
        </w:rPr>
      </w:pPr>
      <w:r>
        <w:rPr>
          <w:rFonts w:hint="eastAsia" w:ascii="宋体" w:hAnsi="宋体"/>
          <w:color w:val="auto"/>
          <w:sz w:val="24"/>
          <w:highlight w:val="none"/>
        </w:rPr>
        <w:t>9.3  如果买方确认卖方提供的技术资料不完整或在运输过程中丢失，卖方将在收到买方通知后 3 天内将这些资料免费寄给买方。</w:t>
      </w:r>
    </w:p>
    <w:p>
      <w:pPr>
        <w:spacing w:line="560" w:lineRule="exact"/>
        <w:rPr>
          <w:rFonts w:ascii="宋体" w:hAnsi="宋体"/>
          <w:b/>
          <w:color w:val="auto"/>
          <w:sz w:val="24"/>
          <w:highlight w:val="none"/>
        </w:rPr>
      </w:pPr>
      <w:bookmarkStart w:id="340" w:name="_Ref467377962"/>
      <w:bookmarkStart w:id="341" w:name="_Ref467379937"/>
      <w:bookmarkStart w:id="342" w:name="_Toc487900359"/>
      <w:bookmarkStart w:id="343" w:name="_Ref467379946"/>
      <w:bookmarkStart w:id="344" w:name="_Ref467377798"/>
      <w:bookmarkStart w:id="345" w:name="_Toc135539108"/>
      <w:r>
        <w:rPr>
          <w:rFonts w:hint="eastAsia" w:ascii="宋体" w:hAnsi="宋体"/>
          <w:b/>
          <w:color w:val="auto"/>
          <w:sz w:val="24"/>
          <w:highlight w:val="none"/>
        </w:rPr>
        <w:t>10、质量保证</w:t>
      </w:r>
      <w:bookmarkEnd w:id="340"/>
      <w:bookmarkEnd w:id="341"/>
      <w:bookmarkEnd w:id="342"/>
      <w:bookmarkEnd w:id="343"/>
      <w:bookmarkEnd w:id="344"/>
      <w:bookmarkEnd w:id="345"/>
    </w:p>
    <w:p>
      <w:pPr>
        <w:spacing w:line="560" w:lineRule="exact"/>
        <w:ind w:firstLine="480"/>
        <w:rPr>
          <w:rFonts w:ascii="宋体" w:hAnsi="宋体"/>
          <w:color w:val="auto"/>
          <w:sz w:val="24"/>
          <w:highlight w:val="none"/>
        </w:rPr>
      </w:pPr>
      <w:r>
        <w:rPr>
          <w:rFonts w:hint="eastAsia" w:ascii="宋体" w:hAnsi="宋体"/>
          <w:color w:val="auto"/>
          <w:sz w:val="24"/>
          <w:highlight w:val="none"/>
        </w:rPr>
        <w:t>10.1  卖方须保证产品是全新、未使用过的，并完全符合强制性的国家技术质量规范和合同规定的质量、规格、性能和技术规范等的要求。</w:t>
      </w:r>
    </w:p>
    <w:p>
      <w:pPr>
        <w:spacing w:line="560" w:lineRule="exact"/>
        <w:ind w:firstLine="480"/>
        <w:rPr>
          <w:rFonts w:ascii="宋体" w:hAnsi="宋体"/>
          <w:color w:val="auto"/>
          <w:sz w:val="24"/>
          <w:highlight w:val="none"/>
        </w:rPr>
      </w:pPr>
      <w:r>
        <w:rPr>
          <w:rFonts w:hint="eastAsia" w:ascii="宋体" w:hAnsi="宋体"/>
          <w:color w:val="auto"/>
          <w:sz w:val="24"/>
          <w:highlight w:val="none"/>
        </w:rPr>
        <w:t>10.2  卖方须保证所提供的产品经正确安装、正常运转和保养，在其使用寿命期内须具有符合质量要求和产品说明书的性能。在产品质量保证期之内，卖方须对由于设计、工艺或材料的缺陷而发生的任何不足或故障负责。</w:t>
      </w:r>
    </w:p>
    <w:p>
      <w:pPr>
        <w:spacing w:line="560" w:lineRule="exact"/>
        <w:ind w:firstLine="480"/>
        <w:rPr>
          <w:rFonts w:ascii="宋体" w:hAnsi="宋体"/>
          <w:color w:val="auto"/>
          <w:sz w:val="24"/>
          <w:highlight w:val="none"/>
        </w:rPr>
      </w:pPr>
      <w:r>
        <w:rPr>
          <w:rFonts w:hint="eastAsia" w:ascii="宋体" w:hAnsi="宋体"/>
          <w:color w:val="auto"/>
          <w:sz w:val="24"/>
          <w:highlight w:val="none"/>
        </w:rPr>
        <w:t>10.3  根据买方按检验标准自己检验结果或委托有资质的相关质检机构的检验结果，发现产品的数量、质量、规格与合同不符；或者在质量保证期内，证实产品存在缺陷，包括潜在的缺陷或使用不符合要求的材料等，买方应尽快以书面形式通知卖方。卖方在收到通知后</w:t>
      </w:r>
      <w:r>
        <w:rPr>
          <w:rFonts w:hint="eastAsia" w:ascii="宋体" w:hAnsi="宋体"/>
          <w:color w:val="auto"/>
          <w:sz w:val="24"/>
          <w:highlight w:val="none"/>
          <w:u w:val="single"/>
        </w:rPr>
        <w:t>7</w:t>
      </w:r>
      <w:r>
        <w:rPr>
          <w:rFonts w:hint="eastAsia" w:ascii="宋体" w:hAnsi="宋体"/>
          <w:color w:val="auto"/>
          <w:sz w:val="24"/>
          <w:highlight w:val="none"/>
        </w:rPr>
        <w:t>天内应免费维修或更换有缺陷的产品或部件。</w:t>
      </w:r>
    </w:p>
    <w:p>
      <w:pPr>
        <w:spacing w:line="560" w:lineRule="exact"/>
        <w:ind w:firstLine="480"/>
        <w:rPr>
          <w:rFonts w:ascii="宋体" w:hAnsi="宋体"/>
          <w:color w:val="auto"/>
          <w:sz w:val="24"/>
          <w:highlight w:val="none"/>
        </w:rPr>
      </w:pPr>
      <w:r>
        <w:rPr>
          <w:rFonts w:hint="eastAsia" w:ascii="宋体" w:hAnsi="宋体"/>
          <w:color w:val="auto"/>
          <w:sz w:val="24"/>
          <w:highlight w:val="none"/>
        </w:rPr>
        <w:t>10.4  如果卖方在收到通知后</w:t>
      </w:r>
      <w:r>
        <w:rPr>
          <w:rFonts w:hint="eastAsia" w:ascii="宋体" w:hAnsi="宋体"/>
          <w:color w:val="auto"/>
          <w:sz w:val="24"/>
          <w:highlight w:val="none"/>
          <w:u w:val="single"/>
        </w:rPr>
        <w:t>7</w:t>
      </w:r>
      <w:r>
        <w:rPr>
          <w:rFonts w:hint="eastAsia" w:ascii="宋体" w:hAnsi="宋体"/>
          <w:color w:val="auto"/>
          <w:sz w:val="24"/>
          <w:highlight w:val="none"/>
        </w:rPr>
        <w:t>天内没有弥补缺陷，买方可采取必要的补救措施，但由此引发的风险和费用将由卖方承担。</w:t>
      </w:r>
    </w:p>
    <w:p>
      <w:pPr>
        <w:spacing w:line="560" w:lineRule="exact"/>
        <w:ind w:firstLine="480"/>
        <w:rPr>
          <w:rFonts w:ascii="宋体" w:hAnsi="宋体"/>
          <w:color w:val="auto"/>
          <w:sz w:val="24"/>
          <w:highlight w:val="none"/>
        </w:rPr>
      </w:pPr>
      <w:r>
        <w:rPr>
          <w:rFonts w:hint="eastAsia" w:ascii="宋体" w:hAnsi="宋体"/>
          <w:color w:val="auto"/>
          <w:sz w:val="24"/>
          <w:highlight w:val="none"/>
        </w:rPr>
        <w:t>10.5  除“合同特殊条款”规定外，合同项下产品的质量保证期为自产品通过验收起</w:t>
      </w:r>
      <w:r>
        <w:rPr>
          <w:rFonts w:hint="eastAsia" w:ascii="宋体" w:hAnsi="宋体"/>
          <w:color w:val="auto"/>
          <w:sz w:val="24"/>
          <w:highlight w:val="none"/>
          <w:lang w:eastAsia="zh-CN"/>
        </w:rPr>
        <w:t>，</w:t>
      </w:r>
      <w:r>
        <w:rPr>
          <w:rFonts w:hint="eastAsia" w:ascii="宋体" w:hAnsi="宋体"/>
          <w:color w:val="auto"/>
          <w:sz w:val="24"/>
          <w:highlight w:val="none"/>
        </w:rPr>
        <w:t>硬件主机质保期3年，其他硬件质保1年</w:t>
      </w:r>
      <w:r>
        <w:rPr>
          <w:rFonts w:hint="eastAsia" w:ascii="宋体" w:hAnsi="宋体"/>
          <w:color w:val="auto"/>
          <w:sz w:val="24"/>
          <w:highlight w:val="none"/>
          <w:lang w:eastAsia="zh-CN"/>
        </w:rPr>
        <w:t>，</w:t>
      </w:r>
      <w:r>
        <w:rPr>
          <w:rFonts w:hint="eastAsia" w:ascii="宋体" w:hAnsi="宋体"/>
          <w:color w:val="auto"/>
          <w:sz w:val="24"/>
          <w:highlight w:val="none"/>
        </w:rPr>
        <w:t>软件质保1年，软件终身免费升级。</w:t>
      </w:r>
    </w:p>
    <w:p>
      <w:pPr>
        <w:spacing w:line="560" w:lineRule="exact"/>
        <w:rPr>
          <w:rFonts w:ascii="宋体" w:hAnsi="宋体"/>
          <w:b/>
          <w:color w:val="auto"/>
          <w:sz w:val="24"/>
          <w:highlight w:val="none"/>
        </w:rPr>
      </w:pPr>
      <w:bookmarkStart w:id="346" w:name="_Toc487900360"/>
      <w:bookmarkStart w:id="347" w:name="_Ref467378018"/>
      <w:bookmarkStart w:id="348" w:name="_Toc135539109"/>
      <w:r>
        <w:rPr>
          <w:rFonts w:hint="eastAsia" w:ascii="宋体" w:hAnsi="宋体"/>
          <w:b/>
          <w:color w:val="auto"/>
          <w:sz w:val="24"/>
          <w:highlight w:val="none"/>
        </w:rPr>
        <w:t>11、检验</w:t>
      </w:r>
      <w:bookmarkEnd w:id="346"/>
      <w:bookmarkEnd w:id="347"/>
      <w:r>
        <w:rPr>
          <w:rFonts w:hint="eastAsia" w:ascii="宋体" w:hAnsi="宋体"/>
          <w:b/>
          <w:color w:val="auto"/>
          <w:sz w:val="24"/>
          <w:highlight w:val="none"/>
        </w:rPr>
        <w:t>和验收</w:t>
      </w:r>
      <w:bookmarkEnd w:id="348"/>
    </w:p>
    <w:p>
      <w:pPr>
        <w:spacing w:line="560" w:lineRule="exact"/>
        <w:ind w:firstLine="480"/>
        <w:rPr>
          <w:rFonts w:ascii="宋体" w:hAnsi="宋体"/>
          <w:color w:val="auto"/>
          <w:sz w:val="24"/>
          <w:highlight w:val="none"/>
        </w:rPr>
      </w:pPr>
      <w:r>
        <w:rPr>
          <w:rFonts w:hint="eastAsia" w:ascii="宋体" w:hAnsi="宋体"/>
          <w:color w:val="auto"/>
          <w:sz w:val="24"/>
          <w:highlight w:val="none"/>
        </w:rPr>
        <w:t>11.1  在交货前，中标人应对产品的质量、规格、性能、数量和重量等进行详细而全面的检验，并出具证明产品符合合同规定的文件。该文件将作为申请付款单据的一部分，但有关质量、规格、性能、数量或重量的检验不应视为最终检验。</w:t>
      </w:r>
    </w:p>
    <w:p>
      <w:pPr>
        <w:spacing w:line="560" w:lineRule="exact"/>
        <w:ind w:firstLine="480"/>
        <w:rPr>
          <w:rFonts w:ascii="宋体" w:hAnsi="宋体"/>
          <w:color w:val="auto"/>
          <w:sz w:val="24"/>
          <w:highlight w:val="none"/>
        </w:rPr>
      </w:pPr>
      <w:r>
        <w:rPr>
          <w:rFonts w:hint="eastAsia" w:ascii="宋体" w:hAnsi="宋体"/>
          <w:color w:val="auto"/>
          <w:sz w:val="24"/>
          <w:highlight w:val="none"/>
        </w:rPr>
        <w:t>11.2  产品运抵现场后，买方应在</w:t>
      </w:r>
      <w:r>
        <w:rPr>
          <w:rFonts w:hint="eastAsia" w:ascii="宋体" w:hAnsi="宋体"/>
          <w:color w:val="auto"/>
          <w:sz w:val="24"/>
          <w:highlight w:val="none"/>
          <w:u w:val="single"/>
        </w:rPr>
        <w:t>10</w:t>
      </w:r>
      <w:r>
        <w:rPr>
          <w:rFonts w:hint="eastAsia" w:ascii="宋体" w:hAnsi="宋体"/>
          <w:color w:val="auto"/>
          <w:sz w:val="24"/>
          <w:highlight w:val="none"/>
        </w:rPr>
        <w:t>日内组织验收，并制作验收备忘录，签署验收意见 。</w:t>
      </w:r>
    </w:p>
    <w:p>
      <w:pPr>
        <w:spacing w:line="560" w:lineRule="exact"/>
        <w:ind w:firstLine="480"/>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3</w:t>
      </w:r>
      <w:r>
        <w:rPr>
          <w:rFonts w:hint="eastAsia" w:ascii="宋体" w:hAnsi="宋体"/>
          <w:color w:val="auto"/>
          <w:sz w:val="24"/>
          <w:highlight w:val="none"/>
        </w:rPr>
        <w:t xml:space="preserve">  制造厂对所供产品进行性能试验时，中标人必须提前通知买方。</w:t>
      </w:r>
    </w:p>
    <w:p>
      <w:pPr>
        <w:spacing w:line="560" w:lineRule="exact"/>
        <w:rPr>
          <w:rFonts w:ascii="宋体" w:hAnsi="宋体"/>
          <w:b/>
          <w:color w:val="auto"/>
          <w:sz w:val="24"/>
          <w:highlight w:val="none"/>
        </w:rPr>
      </w:pPr>
      <w:bookmarkStart w:id="349" w:name="_Toc487900361"/>
      <w:bookmarkStart w:id="350" w:name="_Toc135539110"/>
      <w:r>
        <w:rPr>
          <w:rFonts w:hint="eastAsia" w:ascii="宋体" w:hAnsi="宋体"/>
          <w:b/>
          <w:color w:val="auto"/>
          <w:sz w:val="24"/>
          <w:highlight w:val="none"/>
        </w:rPr>
        <w:t>12、索赔</w:t>
      </w:r>
      <w:bookmarkEnd w:id="349"/>
      <w:bookmarkEnd w:id="350"/>
    </w:p>
    <w:p>
      <w:pPr>
        <w:spacing w:line="560" w:lineRule="exact"/>
        <w:ind w:firstLine="480"/>
        <w:rPr>
          <w:rFonts w:ascii="宋体" w:hAnsi="宋体"/>
          <w:color w:val="auto"/>
          <w:sz w:val="24"/>
          <w:highlight w:val="none"/>
        </w:rPr>
      </w:pPr>
      <w:r>
        <w:rPr>
          <w:rFonts w:hint="eastAsia" w:ascii="宋体" w:hAnsi="宋体"/>
          <w:color w:val="auto"/>
          <w:sz w:val="24"/>
          <w:highlight w:val="none"/>
        </w:rPr>
        <w:t>12.1  如果产品的质量、规格、数量、重量等与合同不符，或在第10.5规定的质量保证期内证实产品存有缺陷，包括潜在的缺陷或使用不符合要求的材料等，买方有权根据有资质的权威质检机构的检验结果向卖方提出索赔(但责任应由保险公司或运输部门承担的除外)。</w:t>
      </w:r>
    </w:p>
    <w:p>
      <w:pPr>
        <w:spacing w:line="560" w:lineRule="exact"/>
        <w:ind w:firstLine="480"/>
        <w:rPr>
          <w:rFonts w:ascii="宋体" w:hAnsi="宋体"/>
          <w:color w:val="auto"/>
          <w:sz w:val="24"/>
          <w:highlight w:val="none"/>
        </w:rPr>
      </w:pPr>
      <w:bookmarkStart w:id="351" w:name="_Ref467378076"/>
      <w:r>
        <w:rPr>
          <w:rFonts w:hint="eastAsia" w:ascii="宋体" w:hAnsi="宋体"/>
          <w:color w:val="auto"/>
          <w:sz w:val="24"/>
          <w:highlight w:val="none"/>
        </w:rPr>
        <w:t>12.2  在根据合同第10条和第11条规定的检验期和质量保证期内，如果卖方对买方提出的索赔负有责任，卖方应按照买方同意的下列一种或多种方式解决索赔事宜:</w:t>
      </w:r>
      <w:bookmarkEnd w:id="351"/>
    </w:p>
    <w:p>
      <w:pPr>
        <w:spacing w:line="560" w:lineRule="exact"/>
        <w:ind w:firstLine="480"/>
        <w:rPr>
          <w:rFonts w:ascii="宋体" w:hAnsi="宋体"/>
          <w:color w:val="auto"/>
          <w:sz w:val="24"/>
          <w:highlight w:val="none"/>
        </w:rPr>
      </w:pPr>
      <w:r>
        <w:rPr>
          <w:rFonts w:hint="eastAsia" w:ascii="宋体" w:hAnsi="宋体"/>
          <w:color w:val="auto"/>
          <w:sz w:val="24"/>
          <w:highlight w:val="none"/>
        </w:rPr>
        <w:t>12.2.1  在法定的退货期内，卖方应按合同规定将货款退还给买方，并承担由此发生的一切损失和费用，包括利息、银行手续费、运费、保险费、检验费、仓储费、装卸费以及为保护退回产品所需的其它必要费用。如已超过退货期，但卖方同意退货，可比照上述办法办理，或由双方协商处理。</w:t>
      </w:r>
    </w:p>
    <w:p>
      <w:pPr>
        <w:spacing w:line="560" w:lineRule="exact"/>
        <w:ind w:firstLine="480"/>
        <w:rPr>
          <w:rFonts w:ascii="宋体" w:hAnsi="宋体"/>
          <w:color w:val="auto"/>
          <w:sz w:val="24"/>
          <w:highlight w:val="none"/>
        </w:rPr>
      </w:pPr>
      <w:r>
        <w:rPr>
          <w:rFonts w:hint="eastAsia" w:ascii="宋体" w:hAnsi="宋体"/>
          <w:color w:val="auto"/>
          <w:sz w:val="24"/>
          <w:highlight w:val="none"/>
        </w:rPr>
        <w:t>12.2.2  根据产品低劣程度、损坏程度以及买方所遭受损失的数额，经买卖双方商定降低产品的价格，或由有权的部门评估，以降低后的价格或评估价格为准。</w:t>
      </w:r>
    </w:p>
    <w:p>
      <w:pPr>
        <w:spacing w:line="560" w:lineRule="exact"/>
        <w:ind w:firstLine="480"/>
        <w:rPr>
          <w:rFonts w:ascii="宋体" w:hAnsi="宋体"/>
          <w:color w:val="auto"/>
          <w:sz w:val="24"/>
          <w:highlight w:val="none"/>
        </w:rPr>
      </w:pPr>
      <w:r>
        <w:rPr>
          <w:rFonts w:hint="eastAsia" w:ascii="宋体" w:hAnsi="宋体"/>
          <w:color w:val="auto"/>
          <w:sz w:val="24"/>
          <w:highlight w:val="none"/>
        </w:rPr>
        <w:t>12.2.3  用符合规格、质量和性能要求的新零件、部件或产品来更换有缺陷的部分或／和修补缺陷部分，卖方应承担一切费用和风险并负担买方所发生的一切直接费用。同时，卖方应按合同第</w:t>
      </w:r>
      <w:r>
        <w:rPr>
          <w:rFonts w:ascii="宋体" w:hAnsi="宋体"/>
          <w:color w:val="auto"/>
          <w:sz w:val="24"/>
          <w:highlight w:val="none"/>
        </w:rPr>
        <w:t>10</w:t>
      </w:r>
      <w:r>
        <w:rPr>
          <w:rFonts w:hint="eastAsia" w:ascii="宋体" w:hAnsi="宋体"/>
          <w:color w:val="auto"/>
          <w:sz w:val="24"/>
          <w:highlight w:val="none"/>
        </w:rPr>
        <w:t>条规定，相应延长修补或更换件的质量保证期。</w:t>
      </w:r>
    </w:p>
    <w:p>
      <w:pPr>
        <w:spacing w:line="560" w:lineRule="exact"/>
        <w:ind w:firstLine="480"/>
        <w:rPr>
          <w:rFonts w:ascii="宋体" w:hAnsi="宋体"/>
          <w:color w:val="auto"/>
          <w:sz w:val="24"/>
          <w:highlight w:val="none"/>
        </w:rPr>
      </w:pPr>
      <w:r>
        <w:rPr>
          <w:rFonts w:hint="eastAsia" w:ascii="宋体" w:hAnsi="宋体"/>
          <w:color w:val="auto"/>
          <w:sz w:val="24"/>
          <w:highlight w:val="none"/>
        </w:rPr>
        <w:t>12.3  如果在买方发出索赔通知后 3 天内，卖方未作答复，上述索赔应视为已被卖方接受。如卖方未能在买方提出索赔通知后 7 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pPr>
        <w:spacing w:line="560" w:lineRule="exact"/>
        <w:rPr>
          <w:rFonts w:ascii="宋体" w:hAnsi="宋体"/>
          <w:b/>
          <w:color w:val="auto"/>
          <w:sz w:val="24"/>
          <w:highlight w:val="none"/>
        </w:rPr>
      </w:pPr>
      <w:bookmarkStart w:id="352" w:name="_Toc135539111"/>
      <w:bookmarkStart w:id="353" w:name="_Toc487900362"/>
      <w:r>
        <w:rPr>
          <w:rFonts w:hint="eastAsia" w:ascii="宋体" w:hAnsi="宋体"/>
          <w:b/>
          <w:color w:val="auto"/>
          <w:sz w:val="24"/>
          <w:highlight w:val="none"/>
        </w:rPr>
        <w:t>13、延迟交货</w:t>
      </w:r>
      <w:bookmarkEnd w:id="352"/>
      <w:bookmarkEnd w:id="353"/>
    </w:p>
    <w:p>
      <w:pPr>
        <w:spacing w:line="560" w:lineRule="exact"/>
        <w:ind w:firstLine="480"/>
        <w:rPr>
          <w:rFonts w:ascii="宋体" w:hAnsi="宋体"/>
          <w:color w:val="auto"/>
          <w:sz w:val="24"/>
          <w:highlight w:val="none"/>
        </w:rPr>
      </w:pPr>
      <w:r>
        <w:rPr>
          <w:rFonts w:hint="eastAsia" w:ascii="宋体" w:hAnsi="宋体"/>
          <w:color w:val="auto"/>
          <w:sz w:val="24"/>
          <w:highlight w:val="none"/>
        </w:rPr>
        <w:t>13.1   卖方应按照“产品技术规格”中买方规定的时间表交货和提供服务。</w:t>
      </w:r>
    </w:p>
    <w:p>
      <w:pPr>
        <w:spacing w:line="560" w:lineRule="exact"/>
        <w:ind w:firstLine="480"/>
        <w:rPr>
          <w:rFonts w:ascii="宋体" w:hAnsi="宋体"/>
          <w:color w:val="auto"/>
          <w:sz w:val="24"/>
          <w:highlight w:val="none"/>
        </w:rPr>
      </w:pPr>
      <w:r>
        <w:rPr>
          <w:rFonts w:hint="eastAsia" w:ascii="宋体" w:hAnsi="宋体"/>
          <w:color w:val="auto"/>
          <w:sz w:val="24"/>
          <w:highlight w:val="none"/>
        </w:rPr>
        <w:t>13.2  如果卖方无正当理由迟延交货，买方有权提出违约损失赔偿或解除合同。</w:t>
      </w:r>
    </w:p>
    <w:p>
      <w:pPr>
        <w:spacing w:line="560" w:lineRule="exact"/>
        <w:ind w:firstLine="480"/>
        <w:rPr>
          <w:rFonts w:ascii="宋体" w:hAnsi="宋体"/>
          <w:color w:val="auto"/>
          <w:sz w:val="24"/>
          <w:highlight w:val="none"/>
        </w:rPr>
      </w:pPr>
      <w:r>
        <w:rPr>
          <w:rFonts w:hint="eastAsia" w:ascii="宋体" w:hAnsi="宋体"/>
          <w:color w:val="auto"/>
          <w:sz w:val="24"/>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spacing w:line="560" w:lineRule="exact"/>
        <w:rPr>
          <w:rFonts w:ascii="宋体" w:hAnsi="宋体"/>
          <w:b/>
          <w:color w:val="auto"/>
          <w:sz w:val="24"/>
          <w:highlight w:val="none"/>
        </w:rPr>
      </w:pPr>
      <w:bookmarkStart w:id="354" w:name="_Toc135539112"/>
      <w:bookmarkStart w:id="355" w:name="_Toc487900363"/>
      <w:r>
        <w:rPr>
          <w:rFonts w:hint="eastAsia" w:ascii="宋体" w:hAnsi="宋体"/>
          <w:b/>
          <w:color w:val="auto"/>
          <w:sz w:val="24"/>
          <w:highlight w:val="none"/>
        </w:rPr>
        <w:t>14、违约赔偿</w:t>
      </w:r>
      <w:bookmarkEnd w:id="354"/>
      <w:bookmarkEnd w:id="355"/>
    </w:p>
    <w:p>
      <w:pPr>
        <w:spacing w:line="560" w:lineRule="exact"/>
        <w:ind w:firstLine="480"/>
        <w:rPr>
          <w:rFonts w:ascii="宋体" w:hAnsi="宋体"/>
          <w:color w:val="auto"/>
          <w:sz w:val="24"/>
          <w:highlight w:val="none"/>
        </w:rPr>
      </w:pPr>
      <w:r>
        <w:rPr>
          <w:rFonts w:hint="eastAsia" w:ascii="宋体" w:hAnsi="宋体"/>
          <w:color w:val="auto"/>
          <w:sz w:val="24"/>
          <w:highlight w:val="none"/>
        </w:rPr>
        <w:t>14.1  除合同第15条规定外，如果卖方没有按照合同规定的时间交货和提供服务，买方可要求卖方支付违约金。违约金按每周迟交产品或未提供服务交货价的</w:t>
      </w:r>
      <w:r>
        <w:rPr>
          <w:rFonts w:ascii="宋体" w:hAnsi="宋体"/>
          <w:color w:val="auto"/>
          <w:sz w:val="24"/>
          <w:highlight w:val="none"/>
        </w:rPr>
        <w:t>0.5%</w:t>
      </w:r>
      <w:r>
        <w:rPr>
          <w:rFonts w:hint="eastAsia" w:ascii="宋体" w:hAnsi="宋体"/>
          <w:color w:val="auto"/>
          <w:sz w:val="24"/>
          <w:highlight w:val="none"/>
        </w:rPr>
        <w:t>计收。但违约金的最高限额为迟交产品或没有提供服务的合同价的</w:t>
      </w:r>
      <w:r>
        <w:rPr>
          <w:rFonts w:ascii="宋体" w:hAnsi="宋体"/>
          <w:color w:val="auto"/>
          <w:sz w:val="24"/>
          <w:highlight w:val="none"/>
        </w:rPr>
        <w:t>5%</w:t>
      </w:r>
      <w:r>
        <w:rPr>
          <w:rFonts w:hint="eastAsia" w:ascii="宋体" w:hAnsi="宋体"/>
          <w:color w:val="auto"/>
          <w:sz w:val="24"/>
          <w:highlight w:val="none"/>
        </w:rPr>
        <w:t>。一周按7天计算，不足7天按一周计算。如果达到最高限额，买方有权解除合同。</w:t>
      </w:r>
    </w:p>
    <w:p>
      <w:pPr>
        <w:spacing w:line="560" w:lineRule="exact"/>
        <w:rPr>
          <w:rFonts w:ascii="宋体" w:hAnsi="宋体"/>
          <w:b/>
          <w:color w:val="auto"/>
          <w:sz w:val="24"/>
          <w:highlight w:val="none"/>
        </w:rPr>
      </w:pPr>
      <w:bookmarkStart w:id="356" w:name="_Toc487900364"/>
      <w:bookmarkStart w:id="357" w:name="_Toc135539113"/>
      <w:bookmarkStart w:id="358" w:name="_Ref467378121"/>
      <w:r>
        <w:rPr>
          <w:rFonts w:hint="eastAsia" w:ascii="宋体" w:hAnsi="宋体"/>
          <w:b/>
          <w:color w:val="auto"/>
          <w:sz w:val="24"/>
          <w:highlight w:val="none"/>
        </w:rPr>
        <w:t>15、不可抗力</w:t>
      </w:r>
      <w:bookmarkEnd w:id="356"/>
      <w:bookmarkEnd w:id="357"/>
      <w:bookmarkEnd w:id="358"/>
    </w:p>
    <w:p>
      <w:pPr>
        <w:spacing w:line="560" w:lineRule="exact"/>
        <w:ind w:firstLine="480"/>
        <w:rPr>
          <w:rFonts w:ascii="宋体" w:hAnsi="宋体"/>
          <w:color w:val="auto"/>
          <w:sz w:val="24"/>
          <w:highlight w:val="none"/>
        </w:rPr>
      </w:pPr>
      <w:r>
        <w:rPr>
          <w:rFonts w:hint="eastAsia" w:ascii="宋体" w:hAnsi="宋体"/>
          <w:color w:val="auto"/>
          <w:sz w:val="24"/>
          <w:highlight w:val="none"/>
        </w:rPr>
        <w:t>15.1  如果双方中任何一方遭遇法律规定的不可抗力，致使合同履行受阻时，履行合同的期限应予延长，延长的期限应相当于不可抗力所影响的时间。</w:t>
      </w:r>
    </w:p>
    <w:p>
      <w:pPr>
        <w:spacing w:line="560" w:lineRule="exact"/>
        <w:ind w:firstLine="480"/>
        <w:rPr>
          <w:rFonts w:ascii="宋体" w:hAnsi="宋体"/>
          <w:color w:val="auto"/>
          <w:sz w:val="24"/>
          <w:highlight w:val="none"/>
        </w:rPr>
      </w:pPr>
      <w:r>
        <w:rPr>
          <w:rFonts w:hint="eastAsia" w:ascii="宋体" w:hAnsi="宋体"/>
          <w:color w:val="auto"/>
          <w:sz w:val="24"/>
          <w:highlight w:val="none"/>
        </w:rPr>
        <w:t>15.2  受事故影响的一方应在不可抗力的事故发生后尽快书面形式通知另一方，并在事故发生后 7 天内，将有关部门出具的证明文件送达另一方。</w:t>
      </w:r>
    </w:p>
    <w:p>
      <w:pPr>
        <w:spacing w:line="560" w:lineRule="exact"/>
        <w:ind w:firstLine="480"/>
        <w:rPr>
          <w:rFonts w:ascii="宋体" w:hAnsi="宋体"/>
          <w:color w:val="auto"/>
          <w:sz w:val="24"/>
          <w:highlight w:val="none"/>
        </w:rPr>
      </w:pPr>
      <w:r>
        <w:rPr>
          <w:rFonts w:hint="eastAsia" w:ascii="宋体" w:hAnsi="宋体"/>
          <w:color w:val="auto"/>
          <w:sz w:val="24"/>
          <w:highlight w:val="none"/>
        </w:rPr>
        <w:t>15.3  不可抗力使合同的某些内容有变更必要的，</w:t>
      </w:r>
      <w:r>
        <w:rPr>
          <w:rFonts w:ascii="宋体" w:hAnsi="宋体"/>
          <w:color w:val="auto"/>
          <w:sz w:val="24"/>
          <w:highlight w:val="none"/>
        </w:rPr>
        <w:t xml:space="preserve"> </w:t>
      </w:r>
      <w:r>
        <w:rPr>
          <w:rFonts w:hint="eastAsia" w:ascii="宋体" w:hAnsi="宋体"/>
          <w:color w:val="auto"/>
          <w:sz w:val="24"/>
          <w:highlight w:val="none"/>
        </w:rPr>
        <w:t>双方应通过协商在7 日内达成进一步履行合同的协议，因不可抗力致使合同不能履行的，合同终止。</w:t>
      </w:r>
    </w:p>
    <w:p>
      <w:pPr>
        <w:spacing w:line="560" w:lineRule="exact"/>
        <w:rPr>
          <w:rFonts w:ascii="宋体" w:hAnsi="宋体"/>
          <w:b/>
          <w:color w:val="auto"/>
          <w:sz w:val="24"/>
          <w:highlight w:val="none"/>
        </w:rPr>
      </w:pPr>
      <w:bookmarkStart w:id="359" w:name="_Toc135539114"/>
      <w:bookmarkStart w:id="360" w:name="_Toc487900365"/>
      <w:r>
        <w:rPr>
          <w:rFonts w:hint="eastAsia" w:ascii="宋体" w:hAnsi="宋体"/>
          <w:b/>
          <w:color w:val="auto"/>
          <w:sz w:val="24"/>
          <w:highlight w:val="none"/>
        </w:rPr>
        <w:t>16、税费</w:t>
      </w:r>
      <w:bookmarkEnd w:id="359"/>
      <w:bookmarkEnd w:id="360"/>
    </w:p>
    <w:p>
      <w:pPr>
        <w:spacing w:line="560" w:lineRule="exact"/>
        <w:ind w:firstLine="480"/>
        <w:rPr>
          <w:rFonts w:ascii="宋体" w:hAnsi="宋体"/>
          <w:color w:val="auto"/>
          <w:sz w:val="24"/>
          <w:highlight w:val="none"/>
        </w:rPr>
      </w:pPr>
      <w:r>
        <w:rPr>
          <w:rFonts w:hint="eastAsia" w:ascii="宋体" w:hAnsi="宋体"/>
          <w:color w:val="auto"/>
          <w:sz w:val="24"/>
          <w:highlight w:val="none"/>
        </w:rPr>
        <w:t>16.1  与本合同有关的一切税费均适用中华人民共和国法律的相关规定。</w:t>
      </w:r>
    </w:p>
    <w:p>
      <w:pPr>
        <w:spacing w:line="560" w:lineRule="exact"/>
        <w:rPr>
          <w:rFonts w:ascii="宋体" w:hAnsi="宋体"/>
          <w:b/>
          <w:color w:val="auto"/>
          <w:sz w:val="24"/>
          <w:highlight w:val="none"/>
        </w:rPr>
      </w:pPr>
      <w:bookmarkStart w:id="361" w:name="_Hlt487900425"/>
      <w:bookmarkEnd w:id="361"/>
      <w:bookmarkStart w:id="362" w:name="_Toc487900366"/>
      <w:bookmarkStart w:id="363" w:name="_Toc135539115"/>
      <w:r>
        <w:rPr>
          <w:rFonts w:hint="eastAsia" w:ascii="宋体" w:hAnsi="宋体"/>
          <w:b/>
          <w:color w:val="auto"/>
          <w:sz w:val="24"/>
          <w:highlight w:val="none"/>
        </w:rPr>
        <w:t>17</w:t>
      </w:r>
      <w:bookmarkEnd w:id="362"/>
      <w:r>
        <w:rPr>
          <w:rFonts w:hint="eastAsia" w:ascii="宋体" w:hAnsi="宋体"/>
          <w:b/>
          <w:color w:val="auto"/>
          <w:sz w:val="24"/>
          <w:highlight w:val="none"/>
        </w:rPr>
        <w:t>、合同争议的解决</w:t>
      </w:r>
      <w:bookmarkEnd w:id="363"/>
    </w:p>
    <w:p>
      <w:pPr>
        <w:spacing w:line="560" w:lineRule="exact"/>
        <w:ind w:firstLine="480"/>
        <w:rPr>
          <w:rFonts w:ascii="宋体" w:hAnsi="宋体"/>
          <w:color w:val="auto"/>
          <w:sz w:val="24"/>
          <w:highlight w:val="none"/>
        </w:rPr>
      </w:pPr>
      <w:bookmarkStart w:id="364" w:name="_Toc135539116"/>
      <w:bookmarkStart w:id="365" w:name="_Toc487900367"/>
      <w:r>
        <w:rPr>
          <w:rFonts w:hint="eastAsia" w:ascii="宋体" w:hAnsi="宋体"/>
          <w:color w:val="auto"/>
          <w:sz w:val="24"/>
          <w:highlight w:val="none"/>
        </w:rPr>
        <w:t>17.1  因合同履行中发生的争议，合同当事人双方可通过协商解决。协商不成的，可向人民法院提起诉讼。</w:t>
      </w:r>
    </w:p>
    <w:p>
      <w:pPr>
        <w:spacing w:line="560" w:lineRule="exact"/>
        <w:ind w:firstLine="480"/>
        <w:rPr>
          <w:rFonts w:ascii="宋体" w:hAnsi="宋体"/>
          <w:color w:val="auto"/>
          <w:sz w:val="24"/>
          <w:highlight w:val="none"/>
        </w:rPr>
      </w:pPr>
      <w:r>
        <w:rPr>
          <w:rFonts w:hint="eastAsia" w:ascii="宋体" w:hAnsi="宋体"/>
          <w:color w:val="auto"/>
          <w:sz w:val="24"/>
          <w:highlight w:val="none"/>
        </w:rPr>
        <w:t>17.2  诉讼费用应由败诉方负担。</w:t>
      </w:r>
    </w:p>
    <w:p>
      <w:pPr>
        <w:spacing w:line="560" w:lineRule="exact"/>
        <w:rPr>
          <w:rFonts w:ascii="宋体" w:hAnsi="宋体"/>
          <w:b/>
          <w:color w:val="auto"/>
          <w:sz w:val="24"/>
          <w:highlight w:val="none"/>
        </w:rPr>
      </w:pPr>
      <w:r>
        <w:rPr>
          <w:rFonts w:hint="eastAsia" w:ascii="宋体" w:hAnsi="宋体"/>
          <w:b/>
          <w:color w:val="auto"/>
          <w:sz w:val="24"/>
          <w:highlight w:val="none"/>
        </w:rPr>
        <w:t>18、违约解除合同</w:t>
      </w:r>
      <w:bookmarkEnd w:id="364"/>
      <w:bookmarkEnd w:id="365"/>
    </w:p>
    <w:p>
      <w:pPr>
        <w:spacing w:line="560" w:lineRule="exact"/>
        <w:ind w:firstLine="480"/>
        <w:rPr>
          <w:rFonts w:ascii="宋体" w:hAnsi="宋体"/>
          <w:color w:val="auto"/>
          <w:sz w:val="24"/>
          <w:highlight w:val="none"/>
        </w:rPr>
      </w:pPr>
      <w:bookmarkStart w:id="366" w:name="_Ref467378234"/>
      <w:r>
        <w:rPr>
          <w:rFonts w:hint="eastAsia" w:ascii="宋体" w:hAnsi="宋体"/>
          <w:color w:val="auto"/>
          <w:sz w:val="24"/>
          <w:highlight w:val="none"/>
        </w:rPr>
        <w:t>18.1  在卖方违约的情况下，买方可向卖方发出书面通知，部分或全部终止合同。同时保留向卖方追诉的权利。</w:t>
      </w:r>
      <w:bookmarkEnd w:id="366"/>
    </w:p>
    <w:p>
      <w:pPr>
        <w:spacing w:line="560" w:lineRule="exact"/>
        <w:ind w:firstLine="480"/>
        <w:rPr>
          <w:rFonts w:ascii="宋体" w:hAnsi="宋体"/>
          <w:color w:val="auto"/>
          <w:sz w:val="24"/>
          <w:highlight w:val="none"/>
        </w:rPr>
      </w:pPr>
      <w:r>
        <w:rPr>
          <w:rFonts w:hint="eastAsia" w:ascii="宋体" w:hAnsi="宋体"/>
          <w:color w:val="auto"/>
          <w:sz w:val="24"/>
          <w:highlight w:val="none"/>
        </w:rPr>
        <w:t>18.1.1  卖方未能在合同规定的限期或买方同意延长的限期内，提供全部或部分产品,按合同第14.1的规定可以解除合同的；</w:t>
      </w:r>
      <w:r>
        <w:rPr>
          <w:rFonts w:ascii="宋体" w:hAnsi="宋体"/>
          <w:color w:val="auto"/>
          <w:sz w:val="24"/>
          <w:highlight w:val="none"/>
        </w:rPr>
        <w:t xml:space="preserve"> </w:t>
      </w:r>
    </w:p>
    <w:p>
      <w:pPr>
        <w:spacing w:line="560" w:lineRule="exact"/>
        <w:ind w:firstLine="480"/>
        <w:rPr>
          <w:rFonts w:ascii="宋体" w:hAnsi="宋体"/>
          <w:color w:val="auto"/>
          <w:sz w:val="24"/>
          <w:highlight w:val="none"/>
        </w:rPr>
      </w:pPr>
      <w:r>
        <w:rPr>
          <w:rFonts w:hint="eastAsia" w:ascii="宋体" w:hAnsi="宋体"/>
          <w:color w:val="auto"/>
          <w:sz w:val="24"/>
          <w:highlight w:val="none"/>
        </w:rPr>
        <w:t>18.1.2  卖方未能履行合同规定的其它主要义务的；</w:t>
      </w:r>
    </w:p>
    <w:p>
      <w:pPr>
        <w:spacing w:line="560" w:lineRule="exact"/>
        <w:ind w:firstLine="480"/>
        <w:rPr>
          <w:rFonts w:ascii="宋体" w:hAnsi="宋体"/>
          <w:color w:val="auto"/>
          <w:sz w:val="24"/>
          <w:highlight w:val="none"/>
        </w:rPr>
      </w:pPr>
      <w:r>
        <w:rPr>
          <w:rFonts w:hint="eastAsia" w:ascii="宋体" w:hAnsi="宋体"/>
          <w:color w:val="auto"/>
          <w:sz w:val="24"/>
          <w:highlight w:val="none"/>
        </w:rPr>
        <w:t>18.1.3  在本合同履行过程中有腐败和欺诈行为的。</w:t>
      </w:r>
    </w:p>
    <w:p>
      <w:pPr>
        <w:spacing w:line="560" w:lineRule="exact"/>
        <w:ind w:firstLine="480"/>
        <w:rPr>
          <w:rFonts w:ascii="宋体" w:hAnsi="宋体"/>
          <w:color w:val="auto"/>
          <w:sz w:val="24"/>
          <w:highlight w:val="none"/>
        </w:rPr>
      </w:pPr>
      <w:r>
        <w:rPr>
          <w:rFonts w:hint="eastAsia" w:ascii="宋体" w:hAnsi="宋体"/>
          <w:color w:val="auto"/>
          <w:sz w:val="24"/>
          <w:highlight w:val="none"/>
        </w:rPr>
        <w:t>18.1.3.1</w:t>
      </w:r>
      <w:r>
        <w:rPr>
          <w:rFonts w:ascii="宋体" w:hAnsi="宋体"/>
          <w:color w:val="auto"/>
          <w:sz w:val="24"/>
          <w:highlight w:val="none"/>
        </w:rPr>
        <w:t>“</w:t>
      </w:r>
      <w:r>
        <w:rPr>
          <w:rFonts w:hint="eastAsia" w:ascii="宋体" w:hAnsi="宋体"/>
          <w:color w:val="auto"/>
          <w:sz w:val="24"/>
          <w:highlight w:val="none"/>
        </w:rPr>
        <w:t>腐败行为”和“欺诈行为”定义如下</w:t>
      </w:r>
      <w:r>
        <w:rPr>
          <w:rFonts w:ascii="宋体" w:hAnsi="宋体"/>
          <w:color w:val="auto"/>
          <w:sz w:val="24"/>
          <w:highlight w:val="none"/>
        </w:rPr>
        <w:t>:</w:t>
      </w:r>
    </w:p>
    <w:p>
      <w:pPr>
        <w:spacing w:line="560" w:lineRule="exact"/>
        <w:ind w:firstLine="480"/>
        <w:rPr>
          <w:rFonts w:ascii="宋体" w:hAnsi="宋体"/>
          <w:color w:val="auto"/>
          <w:sz w:val="24"/>
          <w:highlight w:val="none"/>
        </w:rPr>
      </w:pPr>
      <w:r>
        <w:rPr>
          <w:rFonts w:hint="eastAsia" w:ascii="宋体" w:hAnsi="宋体"/>
          <w:color w:val="auto"/>
          <w:sz w:val="24"/>
          <w:highlight w:val="none"/>
        </w:rPr>
        <w:t>18.1.3.1.1</w:t>
      </w:r>
      <w:r>
        <w:rPr>
          <w:rFonts w:ascii="宋体" w:hAnsi="宋体"/>
          <w:color w:val="auto"/>
          <w:sz w:val="24"/>
          <w:highlight w:val="none"/>
        </w:rPr>
        <w:t>“</w:t>
      </w:r>
      <w:r>
        <w:rPr>
          <w:rFonts w:hint="eastAsia" w:ascii="宋体" w:hAnsi="宋体"/>
          <w:color w:val="auto"/>
          <w:sz w:val="24"/>
          <w:highlight w:val="none"/>
        </w:rPr>
        <w:t>腐败行为”是指提供</w:t>
      </w:r>
      <w:r>
        <w:rPr>
          <w:rFonts w:ascii="宋体" w:hAnsi="宋体"/>
          <w:color w:val="auto"/>
          <w:sz w:val="24"/>
          <w:highlight w:val="none"/>
        </w:rPr>
        <w:t>/</w:t>
      </w:r>
      <w:r>
        <w:rPr>
          <w:rFonts w:hint="eastAsia" w:ascii="宋体" w:hAnsi="宋体"/>
          <w:color w:val="auto"/>
          <w:sz w:val="24"/>
          <w:highlight w:val="none"/>
        </w:rPr>
        <w:t>给予</w:t>
      </w:r>
      <w:r>
        <w:rPr>
          <w:rFonts w:ascii="宋体" w:hAnsi="宋体"/>
          <w:color w:val="auto"/>
          <w:sz w:val="24"/>
          <w:highlight w:val="none"/>
        </w:rPr>
        <w:t>/</w:t>
      </w:r>
      <w:r>
        <w:rPr>
          <w:rFonts w:hint="eastAsia" w:ascii="宋体" w:hAnsi="宋体"/>
          <w:color w:val="auto"/>
          <w:sz w:val="24"/>
          <w:highlight w:val="none"/>
        </w:rPr>
        <w:t>接受或索取任何有价值的东西来影响买方在合同签订、履行过程中的行为。</w:t>
      </w:r>
    </w:p>
    <w:p>
      <w:pPr>
        <w:spacing w:line="560" w:lineRule="exact"/>
        <w:ind w:firstLine="480"/>
        <w:rPr>
          <w:rFonts w:ascii="宋体" w:hAnsi="宋体"/>
          <w:color w:val="auto"/>
          <w:sz w:val="24"/>
          <w:highlight w:val="none"/>
        </w:rPr>
      </w:pPr>
      <w:r>
        <w:rPr>
          <w:rFonts w:hint="eastAsia" w:ascii="宋体" w:hAnsi="宋体"/>
          <w:color w:val="auto"/>
          <w:sz w:val="24"/>
          <w:highlight w:val="none"/>
        </w:rPr>
        <w:t>18.1.3.1.2</w:t>
      </w:r>
      <w:r>
        <w:rPr>
          <w:rFonts w:ascii="宋体" w:hAnsi="宋体"/>
          <w:color w:val="auto"/>
          <w:sz w:val="24"/>
          <w:highlight w:val="none"/>
        </w:rPr>
        <w:t>“</w:t>
      </w:r>
      <w:r>
        <w:rPr>
          <w:rFonts w:hint="eastAsia" w:ascii="宋体" w:hAnsi="宋体"/>
          <w:color w:val="auto"/>
          <w:sz w:val="24"/>
          <w:highlight w:val="none"/>
        </w:rPr>
        <w:t>欺诈行为”是指为了影响合同签订、履行过程，以谎报事实的方法，损害买方的利益的行为。</w:t>
      </w:r>
    </w:p>
    <w:p>
      <w:pPr>
        <w:spacing w:line="560" w:lineRule="exact"/>
        <w:ind w:firstLine="480"/>
        <w:rPr>
          <w:rFonts w:ascii="宋体" w:hAnsi="宋体"/>
          <w:color w:val="auto"/>
          <w:sz w:val="24"/>
          <w:highlight w:val="none"/>
        </w:rPr>
      </w:pPr>
      <w:r>
        <w:rPr>
          <w:rFonts w:hint="eastAsia" w:ascii="宋体" w:hAnsi="宋体"/>
          <w:color w:val="auto"/>
          <w:sz w:val="24"/>
          <w:highlight w:val="none"/>
        </w:rPr>
        <w:t>18.2  在买方根据上述第18.1条规定，全部或部分解除合同之后，应当遵循诚实信用原则，全部或部分购买与未交付的产品类似的产品或服务，卖方应承担买方购买类似产品或服务而产生的额外支出。部分解除合同的，卖方应继续履行合同中未解除的部分。</w:t>
      </w:r>
    </w:p>
    <w:p>
      <w:pPr>
        <w:spacing w:line="560" w:lineRule="exact"/>
        <w:rPr>
          <w:rFonts w:ascii="宋体" w:hAnsi="宋体"/>
          <w:b/>
          <w:color w:val="auto"/>
          <w:sz w:val="24"/>
          <w:highlight w:val="none"/>
        </w:rPr>
      </w:pPr>
      <w:bookmarkStart w:id="367" w:name="_Toc135539117"/>
      <w:bookmarkStart w:id="368" w:name="_Toc487900368"/>
      <w:r>
        <w:rPr>
          <w:rFonts w:hint="eastAsia" w:ascii="宋体" w:hAnsi="宋体"/>
          <w:b/>
          <w:color w:val="auto"/>
          <w:sz w:val="24"/>
          <w:highlight w:val="none"/>
        </w:rPr>
        <w:t>19、破产终止合同</w:t>
      </w:r>
      <w:bookmarkEnd w:id="367"/>
      <w:bookmarkEnd w:id="368"/>
    </w:p>
    <w:p>
      <w:pPr>
        <w:spacing w:line="560" w:lineRule="exact"/>
        <w:ind w:firstLine="480"/>
        <w:rPr>
          <w:rFonts w:ascii="宋体" w:hAnsi="宋体"/>
          <w:color w:val="auto"/>
          <w:sz w:val="24"/>
          <w:highlight w:val="none"/>
        </w:rPr>
      </w:pPr>
      <w:r>
        <w:rPr>
          <w:rFonts w:hint="eastAsia" w:ascii="宋体" w:hAnsi="宋体"/>
          <w:color w:val="auto"/>
          <w:sz w:val="24"/>
          <w:highlight w:val="none"/>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pPr>
        <w:spacing w:line="560" w:lineRule="exact"/>
        <w:rPr>
          <w:rFonts w:ascii="宋体" w:hAnsi="宋体"/>
          <w:b/>
          <w:color w:val="auto"/>
          <w:sz w:val="24"/>
          <w:highlight w:val="none"/>
        </w:rPr>
      </w:pPr>
      <w:bookmarkStart w:id="369" w:name="_Toc487900369"/>
      <w:bookmarkStart w:id="370" w:name="_Toc135539118"/>
      <w:r>
        <w:rPr>
          <w:rFonts w:hint="eastAsia" w:ascii="宋体" w:hAnsi="宋体"/>
          <w:b/>
          <w:color w:val="auto"/>
          <w:sz w:val="24"/>
          <w:highlight w:val="none"/>
        </w:rPr>
        <w:t>20、转让和分包</w:t>
      </w:r>
      <w:bookmarkEnd w:id="369"/>
      <w:bookmarkEnd w:id="370"/>
    </w:p>
    <w:p>
      <w:pPr>
        <w:spacing w:line="560" w:lineRule="exact"/>
        <w:ind w:firstLine="480"/>
        <w:rPr>
          <w:rFonts w:ascii="宋体" w:hAnsi="宋体"/>
          <w:color w:val="auto"/>
          <w:sz w:val="24"/>
          <w:highlight w:val="none"/>
        </w:rPr>
      </w:pPr>
      <w:r>
        <w:rPr>
          <w:rFonts w:hint="eastAsia" w:ascii="宋体" w:hAnsi="宋体"/>
          <w:color w:val="auto"/>
          <w:sz w:val="24"/>
          <w:highlight w:val="none"/>
        </w:rPr>
        <w:t>20.1   政府采购合同不能转让。</w:t>
      </w:r>
    </w:p>
    <w:p>
      <w:pPr>
        <w:spacing w:line="560" w:lineRule="exact"/>
        <w:ind w:firstLine="480"/>
        <w:rPr>
          <w:rFonts w:ascii="宋体" w:hAnsi="宋体"/>
          <w:color w:val="auto"/>
          <w:sz w:val="24"/>
          <w:highlight w:val="none"/>
        </w:rPr>
      </w:pPr>
      <w:bookmarkStart w:id="371" w:name="_Toc487900370"/>
      <w:bookmarkStart w:id="372" w:name="_Toc135539119"/>
      <w:r>
        <w:rPr>
          <w:rFonts w:hint="eastAsia" w:ascii="宋体" w:hAnsi="宋体"/>
          <w:color w:val="auto"/>
          <w:sz w:val="24"/>
          <w:highlight w:val="none"/>
        </w:rPr>
        <w:t>20.2  除非在投标文件中载明，卖方不得分包。必须在投标文件中载明分包。经买方同意，卖方可以将合同项下非主体、非关键性工作分包给他人完成。卖方保证中接受分包的人应当具备相应的资格条件，并不得再次分包。分包后不能解除卖方履行本合同的责任和义务，卖方对分包内容的质量向买方承担合同的责任和义务。如投标文件无明确分包，卖方分包，则在支付最后款项中，买方扣除10%的卖方违约责任。</w:t>
      </w:r>
    </w:p>
    <w:p>
      <w:pPr>
        <w:spacing w:line="560" w:lineRule="exact"/>
        <w:rPr>
          <w:rFonts w:ascii="宋体" w:hAnsi="宋体"/>
          <w:b/>
          <w:color w:val="auto"/>
          <w:sz w:val="24"/>
          <w:highlight w:val="none"/>
        </w:rPr>
      </w:pPr>
      <w:r>
        <w:rPr>
          <w:rFonts w:hint="eastAsia" w:ascii="宋体" w:hAnsi="宋体"/>
          <w:b/>
          <w:color w:val="auto"/>
          <w:sz w:val="24"/>
          <w:highlight w:val="none"/>
        </w:rPr>
        <w:t>21、合同修改</w:t>
      </w:r>
      <w:bookmarkEnd w:id="371"/>
      <w:bookmarkEnd w:id="372"/>
    </w:p>
    <w:p>
      <w:pPr>
        <w:spacing w:line="560" w:lineRule="exact"/>
        <w:ind w:firstLine="480"/>
        <w:rPr>
          <w:rFonts w:ascii="宋体" w:hAnsi="宋体"/>
          <w:color w:val="auto"/>
          <w:sz w:val="24"/>
          <w:highlight w:val="none"/>
        </w:rPr>
      </w:pPr>
      <w:r>
        <w:rPr>
          <w:rFonts w:hint="eastAsia" w:ascii="宋体" w:hAnsi="宋体"/>
          <w:color w:val="auto"/>
          <w:sz w:val="24"/>
          <w:highlight w:val="none"/>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pPr>
        <w:spacing w:line="560" w:lineRule="exact"/>
        <w:rPr>
          <w:rFonts w:ascii="宋体" w:hAnsi="宋体"/>
          <w:b/>
          <w:color w:val="auto"/>
          <w:sz w:val="24"/>
          <w:highlight w:val="none"/>
        </w:rPr>
      </w:pPr>
      <w:bookmarkStart w:id="373" w:name="_Toc487900371"/>
      <w:bookmarkStart w:id="374" w:name="_Toc135539120"/>
      <w:r>
        <w:rPr>
          <w:rFonts w:hint="eastAsia" w:ascii="宋体" w:hAnsi="宋体"/>
          <w:b/>
          <w:color w:val="auto"/>
          <w:sz w:val="24"/>
          <w:highlight w:val="none"/>
        </w:rPr>
        <w:t>22、通知</w:t>
      </w:r>
      <w:bookmarkEnd w:id="373"/>
      <w:bookmarkEnd w:id="374"/>
    </w:p>
    <w:p>
      <w:pPr>
        <w:spacing w:line="560" w:lineRule="exact"/>
        <w:ind w:firstLine="480"/>
        <w:rPr>
          <w:rFonts w:ascii="宋体" w:hAnsi="宋体"/>
          <w:color w:val="auto"/>
          <w:sz w:val="24"/>
          <w:highlight w:val="none"/>
        </w:rPr>
      </w:pPr>
      <w:r>
        <w:rPr>
          <w:rFonts w:hint="eastAsia" w:ascii="宋体" w:hAnsi="宋体"/>
          <w:color w:val="auto"/>
          <w:sz w:val="24"/>
          <w:highlight w:val="none"/>
        </w:rPr>
        <w:t>22.1  本合同任何一方给另一方的通知，都应以书面形式发送，而另一方也应以书面形式确认并发送到对方明确的地址。</w:t>
      </w:r>
    </w:p>
    <w:p>
      <w:pPr>
        <w:spacing w:line="560" w:lineRule="exact"/>
        <w:rPr>
          <w:rFonts w:ascii="宋体" w:hAnsi="宋体"/>
          <w:b/>
          <w:color w:val="auto"/>
          <w:sz w:val="24"/>
          <w:highlight w:val="none"/>
        </w:rPr>
      </w:pPr>
      <w:bookmarkStart w:id="375" w:name="_Toc135539121"/>
      <w:bookmarkStart w:id="376" w:name="_Toc487900372"/>
      <w:r>
        <w:rPr>
          <w:rFonts w:hint="eastAsia" w:ascii="宋体" w:hAnsi="宋体"/>
          <w:b/>
          <w:color w:val="auto"/>
          <w:sz w:val="24"/>
          <w:highlight w:val="none"/>
        </w:rPr>
        <w:t>23、计量单位</w:t>
      </w:r>
      <w:bookmarkEnd w:id="375"/>
      <w:bookmarkEnd w:id="376"/>
    </w:p>
    <w:p>
      <w:pPr>
        <w:spacing w:line="560" w:lineRule="exact"/>
        <w:ind w:firstLine="480"/>
        <w:rPr>
          <w:rFonts w:ascii="宋体" w:hAnsi="宋体"/>
          <w:color w:val="auto"/>
          <w:sz w:val="24"/>
          <w:highlight w:val="none"/>
        </w:rPr>
      </w:pPr>
      <w:r>
        <w:rPr>
          <w:rFonts w:hint="eastAsia" w:ascii="宋体" w:hAnsi="宋体"/>
          <w:color w:val="auto"/>
          <w:sz w:val="24"/>
          <w:highlight w:val="none"/>
        </w:rPr>
        <w:t>23.1  除技术规范中另有规定外</w:t>
      </w:r>
      <w:r>
        <w:rPr>
          <w:rFonts w:ascii="宋体" w:hAnsi="宋体"/>
          <w:color w:val="auto"/>
          <w:sz w:val="24"/>
          <w:highlight w:val="none"/>
        </w:rPr>
        <w:t>,</w:t>
      </w:r>
      <w:r>
        <w:rPr>
          <w:rFonts w:hint="eastAsia" w:ascii="宋体" w:hAnsi="宋体"/>
          <w:color w:val="auto"/>
          <w:sz w:val="24"/>
          <w:highlight w:val="none"/>
        </w:rPr>
        <w:t>计量单位均使用国家法定计量单位。</w:t>
      </w:r>
    </w:p>
    <w:p>
      <w:pPr>
        <w:spacing w:line="560" w:lineRule="exact"/>
        <w:rPr>
          <w:rFonts w:ascii="宋体" w:hAnsi="宋体"/>
          <w:b/>
          <w:color w:val="auto"/>
          <w:sz w:val="24"/>
          <w:highlight w:val="none"/>
        </w:rPr>
      </w:pPr>
      <w:bookmarkStart w:id="377" w:name="_Toc487900373"/>
      <w:bookmarkStart w:id="378" w:name="_Toc135539122"/>
      <w:r>
        <w:rPr>
          <w:rFonts w:hint="eastAsia" w:ascii="宋体" w:hAnsi="宋体"/>
          <w:b/>
          <w:color w:val="auto"/>
          <w:sz w:val="24"/>
          <w:highlight w:val="none"/>
        </w:rPr>
        <w:t>24、适用法律</w:t>
      </w:r>
      <w:bookmarkEnd w:id="377"/>
      <w:bookmarkEnd w:id="378"/>
    </w:p>
    <w:p>
      <w:pPr>
        <w:spacing w:line="560" w:lineRule="exact"/>
        <w:ind w:firstLine="480"/>
        <w:rPr>
          <w:rFonts w:ascii="宋体" w:hAnsi="宋体"/>
          <w:color w:val="auto"/>
          <w:sz w:val="24"/>
          <w:highlight w:val="none"/>
        </w:rPr>
      </w:pPr>
      <w:r>
        <w:rPr>
          <w:rFonts w:hint="eastAsia" w:ascii="宋体" w:hAnsi="宋体"/>
          <w:color w:val="auto"/>
          <w:sz w:val="24"/>
          <w:highlight w:val="none"/>
        </w:rPr>
        <w:t>24.1  本合同应按照中华人民共和国的法律进行解释。</w:t>
      </w:r>
    </w:p>
    <w:p>
      <w:pPr>
        <w:spacing w:line="560" w:lineRule="exact"/>
        <w:rPr>
          <w:rFonts w:ascii="宋体" w:hAnsi="宋体"/>
          <w:b/>
          <w:color w:val="auto"/>
          <w:sz w:val="24"/>
          <w:highlight w:val="none"/>
        </w:rPr>
      </w:pPr>
      <w:bookmarkStart w:id="379" w:name="_Toc135539123"/>
      <w:bookmarkStart w:id="380" w:name="_Toc487900374"/>
      <w:r>
        <w:rPr>
          <w:rFonts w:ascii="宋体" w:hAnsi="宋体"/>
          <w:b/>
          <w:color w:val="auto"/>
          <w:sz w:val="24"/>
          <w:highlight w:val="none"/>
        </w:rPr>
        <w:t>2</w:t>
      </w:r>
      <w:r>
        <w:rPr>
          <w:rFonts w:hint="eastAsia" w:ascii="宋体" w:hAnsi="宋体"/>
          <w:b/>
          <w:color w:val="auto"/>
          <w:sz w:val="24"/>
          <w:highlight w:val="none"/>
        </w:rPr>
        <w:t>5、履约保证金</w:t>
      </w:r>
      <w:bookmarkEnd w:id="379"/>
    </w:p>
    <w:p>
      <w:pPr>
        <w:spacing w:line="560" w:lineRule="exact"/>
        <w:ind w:firstLine="48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5</w:t>
      </w:r>
      <w:r>
        <w:rPr>
          <w:rFonts w:ascii="宋体" w:hAnsi="宋体"/>
          <w:color w:val="auto"/>
          <w:sz w:val="24"/>
          <w:highlight w:val="none"/>
        </w:rPr>
        <w:t xml:space="preserve">.1 </w:t>
      </w:r>
      <w:r>
        <w:rPr>
          <w:rFonts w:hint="eastAsia" w:ascii="宋体" w:hAnsi="宋体"/>
          <w:color w:val="auto"/>
          <w:sz w:val="24"/>
          <w:highlight w:val="none"/>
        </w:rPr>
        <w:t xml:space="preserve"> 卖方应在合同签订后7天内，按约定的方式向买方提交合同总价5％的履约保证金保函。</w:t>
      </w:r>
    </w:p>
    <w:p>
      <w:pPr>
        <w:spacing w:line="560" w:lineRule="exact"/>
        <w:ind w:firstLine="480"/>
        <w:rPr>
          <w:rFonts w:ascii="宋体" w:hAnsi="宋体"/>
          <w:color w:val="auto"/>
          <w:sz w:val="24"/>
          <w:highlight w:val="none"/>
        </w:rPr>
      </w:pPr>
      <w:r>
        <w:rPr>
          <w:rFonts w:hint="eastAsia" w:ascii="宋体" w:hAnsi="宋体"/>
          <w:color w:val="auto"/>
          <w:sz w:val="24"/>
          <w:highlight w:val="none"/>
        </w:rPr>
        <w:t>25.2  履约保证金用于补偿买方因卖方不能履行其合同义务而蒙受的损失。</w:t>
      </w:r>
    </w:p>
    <w:p>
      <w:pPr>
        <w:spacing w:line="560" w:lineRule="exact"/>
        <w:ind w:firstLine="480"/>
        <w:rPr>
          <w:rFonts w:ascii="宋体" w:hAnsi="宋体"/>
          <w:color w:val="auto"/>
          <w:sz w:val="24"/>
          <w:highlight w:val="none"/>
        </w:rPr>
      </w:pPr>
      <w:r>
        <w:rPr>
          <w:rFonts w:hint="eastAsia" w:ascii="宋体" w:hAnsi="宋体"/>
          <w:color w:val="auto"/>
          <w:sz w:val="24"/>
          <w:highlight w:val="none"/>
        </w:rPr>
        <w:t>25.3  履约保证金应使用本合同货币，按下述方式提交:买方可接受的履约保证金保函。</w:t>
      </w:r>
    </w:p>
    <w:p>
      <w:pPr>
        <w:spacing w:line="560" w:lineRule="exact"/>
        <w:ind w:firstLine="480"/>
        <w:rPr>
          <w:rFonts w:ascii="宋体" w:hAnsi="宋体"/>
          <w:color w:val="auto"/>
          <w:sz w:val="24"/>
          <w:highlight w:val="none"/>
        </w:rPr>
      </w:pPr>
      <w:r>
        <w:rPr>
          <w:rFonts w:hint="eastAsia" w:ascii="宋体" w:hAnsi="宋体"/>
          <w:color w:val="auto"/>
          <w:sz w:val="24"/>
          <w:highlight w:val="none"/>
        </w:rPr>
        <w:t>25.4   履约保证金在法定的产品质量保证期期满前应完全有效。</w:t>
      </w:r>
    </w:p>
    <w:p>
      <w:pPr>
        <w:spacing w:line="560" w:lineRule="exact"/>
        <w:ind w:firstLine="480"/>
        <w:rPr>
          <w:rFonts w:ascii="宋体" w:hAnsi="宋体"/>
          <w:color w:val="auto"/>
          <w:sz w:val="24"/>
          <w:highlight w:val="none"/>
        </w:rPr>
      </w:pPr>
      <w:r>
        <w:rPr>
          <w:rFonts w:hint="eastAsia" w:ascii="宋体" w:hAnsi="宋体"/>
          <w:color w:val="auto"/>
          <w:sz w:val="24"/>
          <w:highlight w:val="none"/>
        </w:rPr>
        <w:t>25.5  如果卖方未能按合同规定履行其义务，买方有权从履约保证金中取得补偿。质量保证期结束后三十（30）天内，买方将把履约保证金退还卖方。</w:t>
      </w:r>
    </w:p>
    <w:p>
      <w:pPr>
        <w:spacing w:line="560" w:lineRule="exact"/>
        <w:rPr>
          <w:rFonts w:ascii="宋体" w:hAnsi="宋体"/>
          <w:b/>
          <w:color w:val="auto"/>
          <w:sz w:val="24"/>
          <w:highlight w:val="none"/>
        </w:rPr>
      </w:pPr>
      <w:bookmarkStart w:id="381" w:name="_Toc135539124"/>
      <w:r>
        <w:rPr>
          <w:rFonts w:hint="eastAsia" w:ascii="宋体" w:hAnsi="宋体"/>
          <w:b/>
          <w:color w:val="auto"/>
          <w:sz w:val="24"/>
          <w:highlight w:val="none"/>
        </w:rPr>
        <w:t>26、合同生效</w:t>
      </w:r>
      <w:bookmarkEnd w:id="380"/>
      <w:r>
        <w:rPr>
          <w:rFonts w:hint="eastAsia" w:ascii="宋体" w:hAnsi="宋体"/>
          <w:b/>
          <w:color w:val="auto"/>
          <w:sz w:val="24"/>
          <w:highlight w:val="none"/>
        </w:rPr>
        <w:t>和其它</w:t>
      </w:r>
      <w:bookmarkEnd w:id="381"/>
    </w:p>
    <w:p>
      <w:pPr>
        <w:spacing w:line="560" w:lineRule="exact"/>
        <w:ind w:firstLine="480"/>
        <w:rPr>
          <w:rFonts w:ascii="宋体" w:hAnsi="宋体"/>
          <w:color w:val="auto"/>
          <w:sz w:val="24"/>
          <w:highlight w:val="none"/>
        </w:rPr>
      </w:pPr>
      <w:bookmarkStart w:id="382" w:name="_Toc135536522"/>
      <w:r>
        <w:rPr>
          <w:rFonts w:hint="eastAsia" w:ascii="宋体" w:hAnsi="宋体"/>
          <w:color w:val="auto"/>
          <w:sz w:val="24"/>
          <w:highlight w:val="none"/>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382"/>
    </w:p>
    <w:p>
      <w:pPr>
        <w:spacing w:line="560" w:lineRule="exact"/>
        <w:ind w:firstLine="480"/>
        <w:rPr>
          <w:rFonts w:ascii="宋体" w:hAnsi="宋体"/>
          <w:color w:val="auto"/>
          <w:sz w:val="24"/>
          <w:highlight w:val="none"/>
        </w:rPr>
      </w:pPr>
      <w:r>
        <w:rPr>
          <w:rFonts w:hint="eastAsia" w:ascii="宋体" w:hAnsi="宋体"/>
          <w:color w:val="auto"/>
          <w:sz w:val="24"/>
          <w:highlight w:val="none"/>
        </w:rPr>
        <w:t xml:space="preserve">26.2   </w:t>
      </w:r>
      <w:r>
        <w:rPr>
          <w:rFonts w:ascii="宋体" w:hAnsi="宋体"/>
          <w:color w:val="auto"/>
          <w:sz w:val="24"/>
          <w:highlight w:val="none"/>
        </w:rPr>
        <w:t>乙方完全遵守《中华人民共和国妇女权益保障法》中关于“劳动 和社会保障权益”的有关要求。</w:t>
      </w:r>
    </w:p>
    <w:p>
      <w:pPr>
        <w:spacing w:line="560" w:lineRule="exact"/>
        <w:ind w:firstLine="480"/>
        <w:rPr>
          <w:rFonts w:ascii="宋体" w:hAnsi="宋体"/>
          <w:color w:val="auto"/>
          <w:sz w:val="24"/>
          <w:highlight w:val="none"/>
        </w:rPr>
        <w:sectPr>
          <w:pgSz w:w="11900" w:h="16840"/>
          <w:pgMar w:top="1440" w:right="1800" w:bottom="1440" w:left="1800" w:header="851" w:footer="992" w:gutter="0"/>
          <w:cols w:space="720" w:num="1"/>
          <w:docGrid w:type="lines" w:linePitch="423" w:charSpace="0"/>
        </w:sectPr>
      </w:pPr>
      <w:r>
        <w:rPr>
          <w:rFonts w:hint="eastAsia" w:ascii="宋体" w:hAnsi="宋体"/>
          <w:color w:val="auto"/>
          <w:sz w:val="24"/>
          <w:highlight w:val="none"/>
        </w:rPr>
        <w:t>26.3  本合同一式</w:t>
      </w:r>
      <w:r>
        <w:rPr>
          <w:rFonts w:hint="eastAsia" w:ascii="宋体" w:hAnsi="宋体"/>
          <w:color w:val="auto"/>
          <w:sz w:val="24"/>
          <w:highlight w:val="none"/>
          <w:u w:val="single"/>
        </w:rPr>
        <w:t>5</w:t>
      </w:r>
      <w:r>
        <w:rPr>
          <w:rFonts w:hint="eastAsia" w:ascii="宋体" w:hAnsi="宋体"/>
          <w:color w:val="auto"/>
          <w:sz w:val="24"/>
          <w:highlight w:val="none"/>
        </w:rPr>
        <w:t>份，买方和卖方各执</w:t>
      </w:r>
      <w:r>
        <w:rPr>
          <w:rFonts w:hint="eastAsia" w:ascii="宋体" w:hAnsi="宋体"/>
          <w:color w:val="auto"/>
          <w:sz w:val="24"/>
          <w:highlight w:val="none"/>
          <w:u w:val="single"/>
        </w:rPr>
        <w:t>2</w:t>
      </w:r>
      <w:r>
        <w:rPr>
          <w:rFonts w:hint="eastAsia" w:ascii="宋体" w:hAnsi="宋体"/>
          <w:color w:val="auto"/>
          <w:sz w:val="24"/>
          <w:highlight w:val="none"/>
        </w:rPr>
        <w:t>份，招标代理机构执</w:t>
      </w:r>
      <w:r>
        <w:rPr>
          <w:rFonts w:hint="eastAsia" w:ascii="宋体" w:hAnsi="宋体"/>
          <w:color w:val="auto"/>
          <w:sz w:val="24"/>
          <w:highlight w:val="none"/>
          <w:u w:val="single"/>
        </w:rPr>
        <w:t>1</w:t>
      </w:r>
      <w:r>
        <w:rPr>
          <w:rFonts w:hint="eastAsia" w:ascii="宋体" w:hAnsi="宋体"/>
          <w:color w:val="auto"/>
          <w:sz w:val="24"/>
          <w:highlight w:val="none"/>
        </w:rPr>
        <w:t>份，具有同等法律效力。</w:t>
      </w:r>
    </w:p>
    <w:p>
      <w:pPr>
        <w:jc w:val="center"/>
        <w:rPr>
          <w:rFonts w:hAnsi="宋体"/>
          <w:b/>
          <w:color w:val="auto"/>
          <w:sz w:val="32"/>
          <w:highlight w:val="none"/>
        </w:rPr>
      </w:pPr>
      <w:bookmarkStart w:id="383" w:name="_Toc229142773"/>
      <w:r>
        <w:rPr>
          <w:rFonts w:hint="eastAsia" w:hAnsi="宋体"/>
          <w:b/>
          <w:color w:val="auto"/>
          <w:sz w:val="32"/>
          <w:highlight w:val="none"/>
        </w:rPr>
        <w:t>合同特殊条款</w:t>
      </w:r>
      <w:bookmarkEnd w:id="383"/>
    </w:p>
    <w:p>
      <w:pPr>
        <w:spacing w:before="120" w:beforeLines="0" w:line="560" w:lineRule="exact"/>
        <w:ind w:firstLine="454"/>
        <w:rPr>
          <w:rFonts w:ascii="宋体" w:hAnsi="宋体"/>
          <w:color w:val="auto"/>
          <w:sz w:val="24"/>
          <w:highlight w:val="none"/>
        </w:rPr>
      </w:pPr>
      <w:r>
        <w:rPr>
          <w:rFonts w:hint="eastAsia" w:ascii="宋体" w:hAnsi="宋体"/>
          <w:color w:val="auto"/>
          <w:sz w:val="24"/>
          <w:highlight w:val="none"/>
        </w:rPr>
        <w:t>合同特殊条款是合同一般条款的补充和修改。如果两者之间有抵触，应以特殊条款为准。</w:t>
      </w:r>
    </w:p>
    <w:p>
      <w:pPr>
        <w:spacing w:line="560" w:lineRule="exact"/>
        <w:rPr>
          <w:rFonts w:ascii="宋体" w:hAnsi="宋体"/>
          <w:color w:val="auto"/>
          <w:sz w:val="24"/>
          <w:highlight w:val="none"/>
        </w:rPr>
      </w:pPr>
      <w:r>
        <w:rPr>
          <w:rFonts w:hint="eastAsia" w:ascii="宋体" w:hAnsi="宋体"/>
          <w:color w:val="auto"/>
          <w:sz w:val="24"/>
          <w:highlight w:val="none"/>
        </w:rPr>
        <w:t>1、定义</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1.1买方:本合同买方系指:</w:t>
      </w:r>
      <w:r>
        <w:rPr>
          <w:rFonts w:hint="eastAsia" w:ascii="宋体" w:hAnsi="宋体"/>
          <w:color w:val="auto"/>
          <w:sz w:val="24"/>
          <w:highlight w:val="none"/>
          <w:u w:val="single"/>
        </w:rPr>
        <w:t>北京市丰台区职业教育中心学校</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1.2 卖方:本合同卖方系指:</w:t>
      </w:r>
      <w:r>
        <w:rPr>
          <w:rFonts w:hint="eastAsia" w:ascii="宋体" w:hAnsi="宋体"/>
          <w:color w:val="auto"/>
          <w:sz w:val="24"/>
          <w:highlight w:val="none"/>
          <w:u w:val="single"/>
        </w:rPr>
        <w:t xml:space="preserve">                           </w:t>
      </w:r>
    </w:p>
    <w:p>
      <w:pPr>
        <w:spacing w:before="120" w:beforeLines="0" w:line="560" w:lineRule="exact"/>
        <w:ind w:left="1080" w:hanging="1080"/>
        <w:rPr>
          <w:rFonts w:ascii="宋体" w:hAnsi="宋体"/>
          <w:bCs/>
          <w:color w:val="auto"/>
          <w:sz w:val="24"/>
          <w:highlight w:val="none"/>
          <w:u w:val="single"/>
        </w:rPr>
      </w:pPr>
      <w:r>
        <w:rPr>
          <w:rFonts w:hint="eastAsia" w:ascii="宋体" w:hAnsi="宋体"/>
          <w:color w:val="auto"/>
          <w:sz w:val="24"/>
          <w:highlight w:val="none"/>
        </w:rPr>
        <w:t>1.3 现场:本合同项下的产品安装和运行地点位于:</w:t>
      </w:r>
      <w:r>
        <w:rPr>
          <w:rFonts w:hint="eastAsia" w:ascii="宋体" w:hAnsi="宋体"/>
          <w:bCs/>
          <w:color w:val="auto"/>
          <w:sz w:val="24"/>
          <w:highlight w:val="none"/>
          <w:u w:val="single"/>
        </w:rPr>
        <w:t>北京市丰台区职业教育中心</w:t>
      </w:r>
    </w:p>
    <w:p>
      <w:pPr>
        <w:spacing w:before="120" w:beforeLines="0" w:line="560" w:lineRule="exact"/>
        <w:ind w:left="1080" w:hanging="1080"/>
        <w:rPr>
          <w:rFonts w:ascii="宋体" w:hAnsi="宋体"/>
          <w:bCs/>
          <w:color w:val="auto"/>
          <w:sz w:val="24"/>
          <w:highlight w:val="none"/>
          <w:u w:val="single"/>
        </w:rPr>
      </w:pPr>
      <w:r>
        <w:rPr>
          <w:rFonts w:hint="eastAsia" w:ascii="宋体" w:hAnsi="宋体"/>
          <w:bCs/>
          <w:color w:val="auto"/>
          <w:sz w:val="24"/>
          <w:highlight w:val="none"/>
          <w:u w:val="single"/>
        </w:rPr>
        <w:t>学校指定</w:t>
      </w:r>
    </w:p>
    <w:p>
      <w:pPr>
        <w:spacing w:line="560" w:lineRule="exact"/>
        <w:rPr>
          <w:rFonts w:ascii="宋体" w:hAnsi="宋体"/>
          <w:color w:val="auto"/>
          <w:sz w:val="24"/>
          <w:highlight w:val="none"/>
        </w:rPr>
      </w:pPr>
      <w:r>
        <w:rPr>
          <w:rFonts w:hint="eastAsia" w:ascii="宋体" w:hAnsi="宋体"/>
          <w:color w:val="auto"/>
          <w:sz w:val="24"/>
          <w:highlight w:val="none"/>
        </w:rPr>
        <w:t>2、交货方式</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2.1  本合同项下的产品交货方式为:</w:t>
      </w:r>
      <w:r>
        <w:rPr>
          <w:rFonts w:hint="eastAsia" w:ascii="宋体" w:hAnsi="宋体"/>
          <w:color w:val="auto"/>
          <w:sz w:val="24"/>
          <w:highlight w:val="none"/>
          <w:u w:val="single"/>
        </w:rPr>
        <w:t>免费上门送货、安装、调试</w:t>
      </w:r>
    </w:p>
    <w:p>
      <w:pPr>
        <w:spacing w:before="120" w:beforeLines="0" w:line="560" w:lineRule="exact"/>
        <w:ind w:left="1620" w:leftChars="1" w:hanging="1618"/>
        <w:rPr>
          <w:rFonts w:ascii="宋体" w:hAnsi="宋体"/>
          <w:bCs/>
          <w:color w:val="auto"/>
          <w:sz w:val="24"/>
          <w:highlight w:val="none"/>
          <w:u w:val="single"/>
        </w:rPr>
      </w:pPr>
      <w:r>
        <w:rPr>
          <w:rFonts w:hint="eastAsia" w:ascii="宋体" w:hAnsi="宋体"/>
          <w:color w:val="auto"/>
          <w:sz w:val="24"/>
          <w:highlight w:val="none"/>
        </w:rPr>
        <w:t>3、交货期:</w:t>
      </w:r>
      <w:r>
        <w:rPr>
          <w:rFonts w:hint="eastAsia" w:ascii="宋体" w:hAnsi="宋体"/>
          <w:color w:val="auto"/>
          <w:sz w:val="24"/>
          <w:highlight w:val="none"/>
          <w:u w:val="single"/>
        </w:rPr>
        <w:t xml:space="preserve">          </w:t>
      </w:r>
    </w:p>
    <w:p>
      <w:pPr>
        <w:spacing w:before="120" w:beforeLines="0" w:line="560" w:lineRule="exact"/>
        <w:ind w:left="1560" w:leftChars="1" w:hanging="1558"/>
        <w:rPr>
          <w:rFonts w:ascii="宋体" w:hAnsi="宋体"/>
          <w:color w:val="auto"/>
          <w:sz w:val="24"/>
          <w:highlight w:val="none"/>
        </w:rPr>
      </w:pPr>
      <w:r>
        <w:rPr>
          <w:rFonts w:hint="eastAsia" w:ascii="宋体" w:hAnsi="宋体"/>
          <w:color w:val="auto"/>
          <w:sz w:val="24"/>
          <w:highlight w:val="none"/>
        </w:rPr>
        <w:t>4、付款条件</w:t>
      </w:r>
    </w:p>
    <w:p>
      <w:pPr>
        <w:spacing w:before="120" w:beforeLines="0" w:line="560" w:lineRule="exact"/>
        <w:ind w:left="1620" w:leftChars="1" w:hanging="1618"/>
        <w:rPr>
          <w:rFonts w:ascii="宋体" w:hAnsi="宋体"/>
          <w:color w:val="auto"/>
          <w:sz w:val="24"/>
          <w:highlight w:val="none"/>
        </w:rPr>
      </w:pPr>
      <w:r>
        <w:rPr>
          <w:rFonts w:hint="eastAsia" w:ascii="宋体" w:hAnsi="宋体"/>
          <w:color w:val="auto"/>
          <w:sz w:val="24"/>
          <w:highlight w:val="none"/>
        </w:rPr>
        <w:t>5、技术资料:</w:t>
      </w:r>
      <w:r>
        <w:rPr>
          <w:rFonts w:hint="eastAsia" w:ascii="宋体" w:hAnsi="宋体"/>
          <w:color w:val="auto"/>
          <w:sz w:val="24"/>
          <w:highlight w:val="none"/>
          <w:u w:val="single"/>
        </w:rPr>
        <w:t>按合同约定</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6、质量保证</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6.1 卖方在收到通知后</w:t>
      </w:r>
      <w:r>
        <w:rPr>
          <w:rFonts w:hint="eastAsia" w:ascii="宋体" w:hAnsi="宋体"/>
          <w:color w:val="auto"/>
          <w:sz w:val="24"/>
          <w:highlight w:val="none"/>
          <w:u w:val="single"/>
        </w:rPr>
        <w:t>7</w:t>
      </w:r>
      <w:r>
        <w:rPr>
          <w:rFonts w:hint="eastAsia" w:ascii="宋体" w:hAnsi="宋体"/>
          <w:color w:val="auto"/>
          <w:sz w:val="24"/>
          <w:highlight w:val="none"/>
        </w:rPr>
        <w:t>天内应免费维修或更换有缺陷的产品或部件。</w:t>
      </w:r>
    </w:p>
    <w:p>
      <w:pPr>
        <w:spacing w:before="120" w:beforeLines="0" w:line="560" w:lineRule="exact"/>
        <w:ind w:left="960" w:hanging="960"/>
        <w:rPr>
          <w:rFonts w:ascii="宋体" w:hAnsi="宋体"/>
          <w:color w:val="auto"/>
          <w:sz w:val="24"/>
          <w:highlight w:val="none"/>
        </w:rPr>
      </w:pPr>
      <w:r>
        <w:rPr>
          <w:rFonts w:hint="eastAsia" w:ascii="宋体" w:hAnsi="宋体"/>
          <w:color w:val="auto"/>
          <w:sz w:val="24"/>
          <w:highlight w:val="none"/>
        </w:rPr>
        <w:t>6.2 如果卖方在收到通知后</w:t>
      </w:r>
      <w:r>
        <w:rPr>
          <w:rFonts w:hint="eastAsia" w:ascii="宋体" w:hAnsi="宋体"/>
          <w:color w:val="auto"/>
          <w:sz w:val="24"/>
          <w:highlight w:val="none"/>
          <w:u w:val="single"/>
        </w:rPr>
        <w:t>7</w:t>
      </w:r>
      <w:r>
        <w:rPr>
          <w:rFonts w:hint="eastAsia" w:ascii="宋体" w:hAnsi="宋体"/>
          <w:color w:val="auto"/>
          <w:sz w:val="24"/>
          <w:highlight w:val="none"/>
        </w:rPr>
        <w:t>天内没有弥补缺陷，买方可采取必要的补救措施，</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但风险和费用将由卖方承担。</w:t>
      </w:r>
    </w:p>
    <w:p>
      <w:pPr>
        <w:numPr>
          <w:ilvl w:val="1"/>
          <w:numId w:val="19"/>
          <w:numberingChange w:id="190" w:author="Smita" w:date="2026-05-12T07:45:00Z" w:original="%1:6:0:.%2:3:0:"/>
        </w:numPr>
        <w:spacing w:before="120" w:beforeLines="0" w:line="560" w:lineRule="exact"/>
        <w:rPr>
          <w:rFonts w:ascii="宋体" w:hAnsi="宋体"/>
          <w:color w:val="auto"/>
          <w:sz w:val="24"/>
          <w:highlight w:val="none"/>
        </w:rPr>
      </w:pPr>
      <w:r>
        <w:rPr>
          <w:rFonts w:hint="eastAsia" w:ascii="宋体" w:hAnsi="宋体"/>
          <w:color w:val="auto"/>
          <w:sz w:val="24"/>
          <w:highlight w:val="none"/>
        </w:rPr>
        <w:t>合同项下产品的质量保证期为自产品通过最终验收起</w:t>
      </w:r>
      <w:r>
        <w:rPr>
          <w:rFonts w:hint="eastAsia" w:ascii="宋体" w:hAnsi="宋体"/>
          <w:color w:val="auto"/>
          <w:sz w:val="24"/>
          <w:highlight w:val="none"/>
          <w:u w:val="single"/>
        </w:rPr>
        <w:t>3</w:t>
      </w:r>
      <w:r>
        <w:rPr>
          <w:rFonts w:hint="eastAsia" w:ascii="宋体" w:hAnsi="宋体"/>
          <w:color w:val="auto"/>
          <w:sz w:val="24"/>
          <w:highlight w:val="none"/>
        </w:rPr>
        <w:t>年。</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7、中标价为固定合同总价,结算时不因任何原因变更合同价。</w:t>
      </w:r>
    </w:p>
    <w:p>
      <w:pPr>
        <w:spacing w:before="120" w:beforeLines="0" w:line="560" w:lineRule="exact"/>
        <w:rPr>
          <w:rFonts w:ascii="宋体" w:hAnsi="宋体"/>
          <w:color w:val="auto"/>
          <w:sz w:val="24"/>
          <w:highlight w:val="none"/>
        </w:rPr>
      </w:pPr>
      <w:r>
        <w:rPr>
          <w:rFonts w:hint="eastAsia" w:ascii="宋体" w:hAnsi="宋体"/>
          <w:color w:val="auto"/>
          <w:sz w:val="24"/>
          <w:highlight w:val="none"/>
        </w:rPr>
        <w:t>8、检验和验收:</w:t>
      </w:r>
      <w:r>
        <w:rPr>
          <w:rFonts w:hint="eastAsia" w:ascii="宋体" w:hAnsi="宋体"/>
          <w:color w:val="auto"/>
          <w:sz w:val="24"/>
          <w:highlight w:val="none"/>
          <w:u w:val="single"/>
        </w:rPr>
        <w:t>按合同约定</w:t>
      </w:r>
      <w:r>
        <w:rPr>
          <w:rFonts w:hint="eastAsia" w:ascii="宋体" w:hAnsi="宋体"/>
          <w:color w:val="auto"/>
          <w:sz w:val="24"/>
          <w:highlight w:val="none"/>
        </w:rPr>
        <w:t>。</w:t>
      </w:r>
    </w:p>
    <w:p>
      <w:pPr>
        <w:spacing w:before="120" w:beforeLines="0" w:line="560" w:lineRule="exact"/>
        <w:rPr>
          <w:rFonts w:ascii="宋体" w:hAnsi="宋体"/>
          <w:color w:val="auto"/>
          <w:sz w:val="24"/>
          <w:highlight w:val="none"/>
          <w:u w:val="single"/>
        </w:rPr>
      </w:pPr>
      <w:r>
        <w:rPr>
          <w:rFonts w:hint="eastAsia" w:ascii="宋体" w:hAnsi="宋体"/>
          <w:color w:val="auto"/>
          <w:sz w:val="24"/>
          <w:highlight w:val="none"/>
        </w:rPr>
        <w:t>9、索赔:</w:t>
      </w:r>
      <w:r>
        <w:rPr>
          <w:rFonts w:hint="eastAsia" w:ascii="宋体" w:hAnsi="宋体"/>
          <w:color w:val="auto"/>
          <w:sz w:val="24"/>
          <w:highlight w:val="none"/>
          <w:u w:val="single"/>
        </w:rPr>
        <w:t>按合同约定</w:t>
      </w:r>
      <w:r>
        <w:rPr>
          <w:rFonts w:hint="eastAsia" w:ascii="宋体" w:hAnsi="宋体"/>
          <w:color w:val="auto"/>
          <w:sz w:val="24"/>
          <w:highlight w:val="none"/>
        </w:rPr>
        <w:t>。</w:t>
      </w:r>
    </w:p>
    <w:p>
      <w:pPr>
        <w:spacing w:before="120" w:beforeLines="0" w:line="560" w:lineRule="exact"/>
        <w:rPr>
          <w:rFonts w:ascii="宋体" w:hAnsi="宋体"/>
          <w:color w:val="auto"/>
          <w:sz w:val="24"/>
          <w:highlight w:val="none"/>
        </w:rPr>
        <w:sectPr>
          <w:pgSz w:w="11900" w:h="16840"/>
          <w:pgMar w:top="1440" w:right="1800" w:bottom="1440" w:left="1800" w:header="851" w:footer="992" w:gutter="0"/>
          <w:cols w:space="720" w:num="1"/>
          <w:docGrid w:type="lines" w:linePitch="423" w:charSpace="0"/>
        </w:sectPr>
      </w:pPr>
      <w:r>
        <w:rPr>
          <w:rFonts w:hint="eastAsia" w:ascii="宋体" w:hAnsi="宋体"/>
          <w:color w:val="auto"/>
          <w:sz w:val="24"/>
          <w:highlight w:val="none"/>
        </w:rPr>
        <w:t>10、不可抗力:不可抗力通知送达时间:事故发生后</w:t>
      </w:r>
      <w:r>
        <w:rPr>
          <w:rFonts w:hint="eastAsia" w:ascii="宋体" w:hAnsi="宋体"/>
          <w:color w:val="auto"/>
          <w:sz w:val="24"/>
          <w:highlight w:val="none"/>
          <w:u w:val="single"/>
        </w:rPr>
        <w:t>7</w:t>
      </w:r>
      <w:r>
        <w:rPr>
          <w:rFonts w:hint="eastAsia" w:ascii="宋体" w:hAnsi="宋体"/>
          <w:color w:val="auto"/>
          <w:sz w:val="24"/>
          <w:highlight w:val="none"/>
        </w:rPr>
        <w:t>天</w:t>
      </w:r>
    </w:p>
    <w:bookmarkEnd w:id="295"/>
    <w:p>
      <w:pPr>
        <w:pStyle w:val="3"/>
        <w:rPr>
          <w:rFonts w:hAnsi="宋体" w:cs="宋体"/>
          <w:b w:val="0"/>
          <w:color w:val="auto"/>
          <w:sz w:val="36"/>
          <w:szCs w:val="36"/>
          <w:highlight w:val="none"/>
        </w:rPr>
      </w:pPr>
      <w:bookmarkStart w:id="384" w:name="_Toc229142826"/>
      <w:r>
        <w:rPr>
          <w:rFonts w:hAnsi="宋体" w:cs="宋体"/>
          <w:color w:val="auto"/>
          <w:sz w:val="36"/>
          <w:szCs w:val="36"/>
          <w:highlight w:val="none"/>
        </w:rPr>
        <w:t>第七章   投标文件格式</w:t>
      </w:r>
      <w:bookmarkEnd w:id="384"/>
    </w:p>
    <w:p>
      <w:pP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b/>
          <w:color w:val="auto"/>
          <w:sz w:val="24"/>
          <w:highlight w:val="none"/>
        </w:rPr>
        <w:t>投标人编制文件须知</w:t>
      </w:r>
    </w:p>
    <w:p>
      <w:pP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cs="宋体"/>
          <w:color w:val="auto"/>
          <w:kern w:val="0"/>
          <w:sz w:val="24"/>
          <w:highlight w:val="none"/>
        </w:rPr>
      </w:pPr>
      <w:r>
        <w:rPr>
          <w:rFonts w:hint="eastAsia" w:ascii="宋体" w:hAnsi="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ascii="宋体" w:hAnsi="宋体" w:cs="宋体"/>
          <w:b/>
          <w:bCs/>
          <w:color w:val="auto"/>
          <w:sz w:val="24"/>
          <w:highlight w:val="none"/>
        </w:rPr>
      </w:pPr>
      <w:r>
        <w:rPr>
          <w:rFonts w:hint="eastAsia" w:ascii="宋体" w:hAnsi="宋体" w:cs="宋体"/>
          <w:color w:val="auto"/>
          <w:sz w:val="24"/>
          <w:highlight w:val="none"/>
        </w:rPr>
        <w:t>5、</w:t>
      </w:r>
      <w:r>
        <w:rPr>
          <w:rFonts w:hint="eastAsia" w:ascii="宋体" w:hAnsi="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bCs/>
          <w:color w:val="auto"/>
          <w:sz w:val="36"/>
          <w:szCs w:val="36"/>
          <w:highlight w:val="none"/>
        </w:rPr>
        <w:t xml:space="preserve"> </w:t>
      </w:r>
      <w:r>
        <w:rPr>
          <w:rFonts w:hint="eastAsia" w:ascii="宋体" w:hAnsi="宋体" w:cs="宋体"/>
          <w:color w:val="auto"/>
          <w:sz w:val="24"/>
          <w:highlight w:val="none"/>
        </w:rPr>
        <w:br w:type="page"/>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keepNext/>
        <w:keepLines/>
        <w:autoSpaceDE w:val="0"/>
        <w:autoSpaceDN w:val="0"/>
        <w:adjustRightInd w:val="0"/>
        <w:spacing w:before="120" w:beforeLines="0" w:line="300" w:lineRule="auto"/>
        <w:jc w:val="left"/>
        <w:outlineLvl w:val="1"/>
        <w:rPr>
          <w:rFonts w:ascii="宋体" w:hAnsi="宋体" w:cs="宋体"/>
          <w:b/>
          <w:color w:val="auto"/>
          <w:kern w:val="0"/>
          <w:sz w:val="30"/>
          <w:szCs w:val="20"/>
          <w:highlight w:val="none"/>
        </w:rPr>
      </w:pPr>
      <w:r>
        <w:rPr>
          <w:rFonts w:hint="eastAsia" w:ascii="宋体" w:hAnsi="宋体" w:cs="宋体"/>
          <w:b/>
          <w:color w:val="auto"/>
          <w:spacing w:val="20"/>
          <w:sz w:val="24"/>
          <w:highlight w:val="none"/>
        </w:rPr>
        <w:t>一、资格证明文件格式</w:t>
      </w:r>
    </w:p>
    <w:p>
      <w:pPr>
        <w:rPr>
          <w:rFonts w:ascii="宋体" w:hAnsi="宋体" w:cs="宋体"/>
          <w:b/>
          <w:color w:val="auto"/>
          <w:spacing w:val="20"/>
          <w:szCs w:val="21"/>
          <w:highlight w:val="none"/>
        </w:rPr>
      </w:pPr>
    </w:p>
    <w:p>
      <w:pPr>
        <w:rPr>
          <w:rFonts w:ascii="宋体" w:hAnsi="宋体" w:cs="宋体"/>
          <w:b/>
          <w:color w:val="auto"/>
          <w:sz w:val="24"/>
          <w:highlight w:val="none"/>
        </w:rPr>
      </w:pPr>
      <w:r>
        <w:rPr>
          <w:rFonts w:hint="eastAsia" w:ascii="宋体" w:hAnsi="宋体" w:cs="宋体"/>
          <w:b/>
          <w:color w:val="auto"/>
          <w:spacing w:val="20"/>
          <w:sz w:val="24"/>
          <w:highlight w:val="none"/>
        </w:rPr>
        <w:t>投标文件（资格证明文件）</w:t>
      </w:r>
      <w:r>
        <w:rPr>
          <w:rFonts w:hint="eastAsia" w:ascii="宋体" w:hAnsi="宋体" w:cs="宋体"/>
          <w:b/>
          <w:color w:val="auto"/>
          <w:sz w:val="24"/>
          <w:highlight w:val="none"/>
        </w:rPr>
        <w:t>封面（非实质性格式）</w:t>
      </w:r>
    </w:p>
    <w:p>
      <w:pPr>
        <w:rPr>
          <w:rFonts w:ascii="宋体" w:hAnsi="宋体" w:cs="宋体"/>
          <w:b/>
          <w:color w:val="auto"/>
          <w:spacing w:val="60"/>
          <w:sz w:val="84"/>
          <w:szCs w:val="84"/>
          <w:highlight w:val="none"/>
        </w:rPr>
      </w:pPr>
    </w:p>
    <w:p>
      <w:pPr>
        <w:jc w:val="center"/>
        <w:rPr>
          <w:rFonts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pPr>
        <w:jc w:val="center"/>
        <w:rPr>
          <w:rFonts w:ascii="宋体" w:hAnsi="宋体" w:cs="宋体"/>
          <w:b/>
          <w:color w:val="auto"/>
          <w:spacing w:val="60"/>
          <w:sz w:val="52"/>
          <w:szCs w:val="52"/>
          <w:highlight w:val="none"/>
        </w:rPr>
      </w:pPr>
      <w:r>
        <w:rPr>
          <w:rFonts w:hint="eastAsia" w:ascii="宋体" w:hAnsi="宋体" w:cs="宋体"/>
          <w:b/>
          <w:color w:val="auto"/>
          <w:spacing w:val="60"/>
          <w:sz w:val="52"/>
          <w:szCs w:val="52"/>
          <w:highlight w:val="none"/>
        </w:rPr>
        <w:t>（资格证明文件）</w:t>
      </w: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pPr>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w:t>
      </w:r>
    </w:p>
    <w:p>
      <w:pPr>
        <w:ind w:firstLine="542" w:firstLineChars="150"/>
        <w:rPr>
          <w:rFonts w:ascii="宋体" w:hAnsi="宋体" w:cs="宋体"/>
          <w:b/>
          <w:color w:val="auto"/>
          <w:spacing w:val="20"/>
          <w:sz w:val="32"/>
          <w:szCs w:val="32"/>
          <w:highlight w:val="none"/>
        </w:rPr>
      </w:pPr>
    </w:p>
    <w:p>
      <w:pPr>
        <w:jc w:val="center"/>
        <w:rPr>
          <w:rFonts w:ascii="宋体" w:hAnsi="宋体" w:cs="宋体"/>
          <w:b/>
          <w:color w:val="auto"/>
          <w:spacing w:val="20"/>
          <w:sz w:val="32"/>
          <w:szCs w:val="32"/>
          <w:highlight w:val="none"/>
        </w:rPr>
      </w:pPr>
    </w:p>
    <w:p>
      <w:pPr>
        <w:jc w:val="center"/>
        <w:rPr>
          <w:rFonts w:ascii="宋体" w:hAnsi="宋体" w:cs="宋体"/>
          <w:b/>
          <w:color w:val="auto"/>
          <w:spacing w:val="20"/>
          <w:sz w:val="32"/>
          <w:szCs w:val="32"/>
          <w:highlight w:val="none"/>
        </w:rPr>
      </w:pPr>
    </w:p>
    <w:p>
      <w:pPr>
        <w:spacing w:line="360" w:lineRule="auto"/>
        <w:ind w:firstLine="1445" w:firstLineChars="400"/>
        <w:jc w:val="left"/>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投标人名称：</w:t>
      </w:r>
    </w:p>
    <w:p>
      <w:pPr>
        <w:spacing w:line="360" w:lineRule="auto"/>
        <w:ind w:firstLine="1445" w:firstLineChars="400"/>
        <w:jc w:val="left"/>
        <w:rPr>
          <w:rFonts w:ascii="宋体" w:hAnsi="宋体" w:cs="宋体"/>
          <w:b/>
          <w:color w:val="auto"/>
          <w:spacing w:val="20"/>
          <w:sz w:val="32"/>
          <w:szCs w:val="32"/>
          <w:highlight w:val="none"/>
        </w:rPr>
      </w:pPr>
    </w:p>
    <w:p>
      <w:pPr>
        <w:rPr>
          <w:rFonts w:ascii="宋体" w:hAnsi="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ascii="宋体" w:hAnsi="宋体" w:cs="宋体"/>
          <w:color w:val="auto"/>
          <w:sz w:val="24"/>
          <w:szCs w:val="20"/>
          <w:highlight w:val="none"/>
        </w:rPr>
      </w:pPr>
    </w:p>
    <w:p>
      <w:pPr>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t xml:space="preserve">1 </w:t>
      </w:r>
      <w:r>
        <w:rPr>
          <w:rFonts w:hint="eastAsia" w:ascii="宋体" w:hAnsi="宋体" w:cs="宋体"/>
          <w:color w:val="auto"/>
          <w:sz w:val="24"/>
          <w:highlight w:val="none"/>
        </w:rPr>
        <w:t>满足《中华人民共和国政府采购法》第二十二条规定及法律法规的其他规定</w:t>
      </w:r>
    </w:p>
    <w:p>
      <w:pPr>
        <w:spacing w:line="360" w:lineRule="auto"/>
        <w:outlineLvl w:val="2"/>
        <w:rPr>
          <w:rFonts w:ascii="宋体" w:hAnsi="宋体" w:cs="宋体"/>
          <w:b/>
          <w:bCs/>
          <w:color w:val="auto"/>
          <w:sz w:val="24"/>
          <w:szCs w:val="20"/>
          <w:highlight w:val="none"/>
        </w:rPr>
      </w:pPr>
      <w:r>
        <w:rPr>
          <w:rFonts w:hint="eastAsia" w:ascii="宋体" w:hAnsi="宋体" w:cs="宋体"/>
          <w:b/>
          <w:color w:val="auto"/>
          <w:sz w:val="24"/>
          <w:szCs w:val="20"/>
          <w:highlight w:val="none"/>
        </w:rPr>
        <w:t>1-1</w:t>
      </w:r>
      <w:r>
        <w:rPr>
          <w:rFonts w:hint="eastAsia" w:ascii="宋体" w:hAnsi="宋体" w:cs="宋体"/>
          <w:b/>
          <w:bCs/>
          <w:color w:val="auto"/>
          <w:sz w:val="24"/>
          <w:szCs w:val="20"/>
          <w:highlight w:val="none"/>
        </w:rPr>
        <w:t>营业执照等证明文件（实质性格式）</w:t>
      </w:r>
    </w:p>
    <w:p>
      <w:pPr>
        <w:rPr>
          <w:rFonts w:ascii="宋体" w:hAnsi="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cs="宋体"/>
          <w:b/>
          <w:bCs/>
          <w:color w:val="auto"/>
          <w:sz w:val="44"/>
          <w:szCs w:val="44"/>
          <w:highlight w:val="none"/>
        </w:rPr>
        <w:t>附营业执照电子件</w:t>
      </w:r>
    </w:p>
    <w:p>
      <w:pPr>
        <w:pStyle w:val="5"/>
        <w:rPr>
          <w:rFonts w:hAnsi="宋体" w:cs="宋体"/>
          <w:bCs/>
          <w:color w:val="auto"/>
          <w:highlight w:val="none"/>
          <w:u w:val="none"/>
        </w:rPr>
      </w:pPr>
      <w:r>
        <w:rPr>
          <w:rFonts w:hint="eastAsia" w:hAnsi="宋体" w:cs="宋体"/>
          <w:color w:val="auto"/>
          <w:highlight w:val="none"/>
          <w:u w:val="none"/>
        </w:rPr>
        <w:t>1-2 投标人资格声明书（实质性格式）</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投标人资格声明书</w:t>
      </w:r>
    </w:p>
    <w:p>
      <w:pPr>
        <w:tabs>
          <w:tab w:val="left" w:pos="558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致：采购人或采购代理机构</w:t>
      </w:r>
    </w:p>
    <w:p>
      <w:pPr>
        <w:adjustRightInd w:val="0"/>
        <w:snapToGrid w:val="0"/>
        <w:spacing w:after="0" w:afterLines="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在参与本次项目投标中，我单位承诺：</w:t>
      </w:r>
    </w:p>
    <w:p>
      <w:pPr>
        <w:numPr>
          <w:ilvl w:val="0"/>
          <w:numId w:val="20"/>
          <w:numberingChange w:id="191" w:author="Smita" w:date="2026-05-12T07:45:00Z" w:original="（%1:1:11:）"/>
        </w:numPr>
        <w:adjustRightInd w:val="0"/>
        <w:snapToGrid w:val="0"/>
        <w:spacing w:after="0" w:afterLines="0"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具有良好的商业信誉和健全的财务会计制度；</w:t>
      </w:r>
    </w:p>
    <w:p>
      <w:pPr>
        <w:numPr>
          <w:ilvl w:val="0"/>
          <w:numId w:val="20"/>
          <w:numberingChange w:id="192" w:author="Smita" w:date="2026-05-12T07:45:00Z" w:original="（%1:2:11:）"/>
        </w:numPr>
        <w:adjustRightInd w:val="0"/>
        <w:snapToGrid w:val="0"/>
        <w:spacing w:after="0" w:afterLines="0"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具有履行合同所必需的设备和专业技术能力；</w:t>
      </w:r>
    </w:p>
    <w:p>
      <w:pPr>
        <w:numPr>
          <w:ilvl w:val="0"/>
          <w:numId w:val="20"/>
          <w:numberingChange w:id="193" w:author="Smita" w:date="2026-05-12T07:45:00Z" w:original="（%1:3:11:）"/>
        </w:numPr>
        <w:adjustRightInd w:val="0"/>
        <w:snapToGrid w:val="0"/>
        <w:spacing w:after="0" w:afterLines="0"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有依法缴纳税收和社会保障资金的良好记录；</w:t>
      </w:r>
    </w:p>
    <w:p>
      <w:pPr>
        <w:numPr>
          <w:ilvl w:val="0"/>
          <w:numId w:val="20"/>
          <w:numberingChange w:id="194" w:author="Smita" w:date="2026-05-12T07:45:00Z" w:original="（%1:4:11:）"/>
        </w:numPr>
        <w:adjustRightInd w:val="0"/>
        <w:snapToGrid w:val="0"/>
        <w:spacing w:after="0" w:afterLines="0"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beringChange w:id="195" w:author="Smita" w:date="2026-05-12T07:45:00Z" w:original="（%1:5:11:）"/>
        </w:numPr>
        <w:adjustRightInd w:val="0"/>
        <w:snapToGrid w:val="0"/>
        <w:spacing w:after="0" w:afterLines="0"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我单位不属于政府采购法律、行政法规规定的公益一类事业单位、或使用事业编制且由财政拨款保障的群团组织（仅适用于政府购买服务项目）；</w:t>
      </w:r>
    </w:p>
    <w:p>
      <w:pPr>
        <w:numPr>
          <w:ilvl w:val="0"/>
          <w:numId w:val="20"/>
          <w:numberingChange w:id="196" w:author="Smita" w:date="2026-05-12T07:45:00Z" w:original="（%1:6:11:）"/>
        </w:numPr>
        <w:adjustRightInd w:val="0"/>
        <w:snapToGrid w:val="0"/>
        <w:spacing w:after="0" w:afterLines="0"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20"/>
          <w:numberingChange w:id="197" w:author="Smita" w:date="2026-05-12T07:45:00Z" w:original="（%1:7:11:）"/>
        </w:numPr>
        <w:adjustRightInd w:val="0"/>
        <w:snapToGrid w:val="0"/>
        <w:spacing w:after="0" w:afterLines="0"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4574"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单位名称</w:t>
            </w:r>
          </w:p>
        </w:tc>
        <w:tc>
          <w:tcPr>
            <w:tcW w:w="2976"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574" w:type="dxa"/>
            <w:noWrap w:val="0"/>
            <w:vAlign w:val="center"/>
          </w:tcPr>
          <w:p>
            <w:pPr>
              <w:jc w:val="center"/>
              <w:rPr>
                <w:rFonts w:ascii="宋体" w:hAnsi="宋体" w:cs="宋体"/>
                <w:color w:val="auto"/>
                <w:sz w:val="24"/>
                <w:highlight w:val="none"/>
              </w:rPr>
            </w:pPr>
          </w:p>
        </w:tc>
        <w:tc>
          <w:tcPr>
            <w:tcW w:w="2976" w:type="dxa"/>
            <w:noWrap w:val="0"/>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574" w:type="dxa"/>
            <w:noWrap w:val="0"/>
            <w:vAlign w:val="center"/>
          </w:tcPr>
          <w:p>
            <w:pPr>
              <w:jc w:val="center"/>
              <w:rPr>
                <w:rFonts w:ascii="宋体" w:hAnsi="宋体" w:cs="宋体"/>
                <w:color w:val="auto"/>
                <w:sz w:val="24"/>
                <w:highlight w:val="none"/>
              </w:rPr>
            </w:pPr>
          </w:p>
        </w:tc>
        <w:tc>
          <w:tcPr>
            <w:tcW w:w="2976" w:type="dxa"/>
            <w:noWrap w:val="0"/>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4574" w:type="dxa"/>
            <w:noWrap w:val="0"/>
            <w:vAlign w:val="center"/>
          </w:tcPr>
          <w:p>
            <w:pPr>
              <w:jc w:val="center"/>
              <w:rPr>
                <w:rFonts w:ascii="宋体" w:hAnsi="宋体" w:cs="宋体"/>
                <w:color w:val="auto"/>
                <w:sz w:val="24"/>
                <w:highlight w:val="none"/>
              </w:rPr>
            </w:pPr>
          </w:p>
        </w:tc>
        <w:tc>
          <w:tcPr>
            <w:tcW w:w="2976" w:type="dxa"/>
            <w:noWrap w:val="0"/>
            <w:vAlign w:val="center"/>
          </w:tcPr>
          <w:p>
            <w:pPr>
              <w:jc w:val="center"/>
              <w:rPr>
                <w:rFonts w:ascii="宋体" w:hAnsi="宋体" w:cs="宋体"/>
                <w:color w:val="auto"/>
                <w:sz w:val="24"/>
                <w:highlight w:val="none"/>
              </w:rPr>
            </w:pPr>
          </w:p>
        </w:tc>
      </w:tr>
    </w:tbl>
    <w:p>
      <w:pPr>
        <w:adjustRightInd w:val="0"/>
        <w:snapToGrid w:val="0"/>
        <w:spacing w:after="0" w:afterLines="0"/>
        <w:rPr>
          <w:rFonts w:ascii="宋体" w:hAnsi="宋体" w:cs="宋体"/>
          <w:color w:val="auto"/>
          <w:highlight w:val="none"/>
        </w:rPr>
      </w:pPr>
    </w:p>
    <w:p>
      <w:pPr>
        <w:adjustRightInd w:val="0"/>
        <w:snapToGrid w:val="0"/>
        <w:spacing w:after="0" w:afterLines="0"/>
        <w:ind w:firstLine="480" w:firstLineChars="200"/>
        <w:rPr>
          <w:rFonts w:ascii="宋体" w:hAnsi="宋体" w:cs="宋体"/>
          <w:color w:val="auto"/>
          <w:sz w:val="24"/>
          <w:szCs w:val="22"/>
          <w:highlight w:val="none"/>
        </w:rPr>
      </w:pPr>
      <w:r>
        <w:rPr>
          <w:rFonts w:hint="eastAsia" w:ascii="宋体" w:hAnsi="宋体" w:cs="宋体"/>
          <w:color w:val="auto"/>
          <w:sz w:val="24"/>
          <w:highlight w:val="none"/>
        </w:rPr>
        <w:t>上述声明真实有效，否则我方负全部责任。</w:t>
      </w:r>
    </w:p>
    <w:p>
      <w:pPr>
        <w:autoSpaceDE w:val="0"/>
        <w:autoSpaceDN w:val="0"/>
        <w:adjustRightInd w:val="0"/>
        <w:snapToGrid w:val="0"/>
        <w:spacing w:after="0" w:afterLines="0" w:line="360" w:lineRule="auto"/>
        <w:jc w:val="right"/>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adjustRightInd w:val="0"/>
        <w:snapToGrid w:val="0"/>
        <w:spacing w:after="0" w:afterLines="0" w:line="360" w:lineRule="auto"/>
        <w:ind w:right="360" w:firstLine="480"/>
        <w:jc w:val="right"/>
        <w:rPr>
          <w:rFonts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pPr>
        <w:adjustRightInd w:val="0"/>
        <w:snapToGrid w:val="0"/>
        <w:spacing w:after="0" w:afterLines="0" w:line="360" w:lineRule="auto"/>
        <w:rPr>
          <w:rFonts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说明：投标人承诺不实的，依据《政府采购法》第七十七条“提供虚假材料谋取中标、成交的”有关规定予以处理。</w:t>
      </w:r>
    </w:p>
    <w:p>
      <w:pPr>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t>2中小企业声明函（实质性格式）</w:t>
      </w:r>
    </w:p>
    <w:p>
      <w:pPr>
        <w:tabs>
          <w:tab w:val="left" w:pos="5580"/>
        </w:tabs>
        <w:spacing w:line="360" w:lineRule="auto"/>
        <w:rPr>
          <w:rFonts w:ascii="宋体" w:hAnsi="宋体" w:cs="宋体"/>
          <w:color w:val="auto"/>
          <w:sz w:val="24"/>
          <w:highlight w:val="none"/>
        </w:rPr>
      </w:pPr>
    </w:p>
    <w:p>
      <w:pP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说明：</w:t>
      </w:r>
    </w:p>
    <w:p>
      <w:pP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1）中小企业参加政府采购活动，必须出具《中小企业声明函》或《残疾人福利性单位声明函》或由省级以上监狱管理局、戒毒管理局（含新疆生产建设兵团）出具的属于监狱企业的证明文件，以证明中小企业身份。</w:t>
      </w:r>
    </w:p>
    <w:p>
      <w:pP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（2）中小企业声明函填写注意事项：</w:t>
      </w:r>
    </w:p>
    <w:p>
      <w:pPr>
        <w:tabs>
          <w:tab w:val="left" w:pos="55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1）《中小企业声明函》由参加政府采购活动的投标人出具。</w:t>
      </w:r>
    </w:p>
    <w:p>
      <w:pPr>
        <w:tabs>
          <w:tab w:val="left" w:pos="55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ascii="宋体" w:hAnsi="宋体" w:cs="宋体"/>
          <w:b/>
          <w:bCs/>
          <w:color w:val="auto"/>
          <w:sz w:val="24"/>
          <w:highlight w:val="none"/>
        </w:rPr>
      </w:pPr>
      <w:bookmarkStart w:id="385" w:name="_Hlk176865208"/>
      <w:r>
        <w:rPr>
          <w:rFonts w:hint="eastAsia" w:ascii="宋体" w:hAnsi="宋体" w:cs="宋体"/>
          <w:b/>
          <w:bCs/>
          <w:color w:val="auto"/>
          <w:sz w:val="24"/>
          <w:highlight w:val="none"/>
        </w:rPr>
        <w:t>3）对于多标的采购项目，投标人应充分、准确地了解所提供货物的制造企业信息。对相关情况了解不清楚的，不建议填报本声明函。</w:t>
      </w:r>
      <w:bookmarkEnd w:id="385"/>
    </w:p>
    <w:p>
      <w:pP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312" w:beforeLines="100" w:after="312" w:afterLines="100" w:line="360" w:lineRule="auto"/>
        <w:jc w:val="center"/>
        <w:rPr>
          <w:rFonts w:ascii="宋体" w:hAnsi="宋体" w:cs="宋体"/>
          <w:b/>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6"/>
          <w:szCs w:val="36"/>
          <w:highlight w:val="none"/>
        </w:rPr>
        <w:t>中小企业声明函（货物）格式</w:t>
      </w:r>
    </w:p>
    <w:p>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（采购人名称）的</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（项目名称）采购活动，提供的货物全部由符合政策要求的中小企业制造。相关企业（含联合体中的中小企业、签订分包意向协议的中小企业）的具体情况如下：</w:t>
      </w:r>
    </w:p>
    <w:p>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（招标文件中明确的所属行业）</w:t>
      </w:r>
      <w:r>
        <w:rPr>
          <w:rFonts w:hint="eastAsia" w:ascii="宋体" w:hAnsi="宋体" w:cs="宋体"/>
          <w:color w:val="auto"/>
          <w:spacing w:val="6"/>
          <w:sz w:val="24"/>
          <w:highlight w:val="none"/>
        </w:rPr>
        <w:t>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，从业人员______人，营业收入为______万元，资产总额为______万元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（招标文件中明确的所属行业）</w:t>
      </w:r>
      <w:r>
        <w:rPr>
          <w:rFonts w:hint="eastAsia" w:ascii="宋体" w:hAnsi="宋体" w:cs="宋体"/>
          <w:color w:val="auto"/>
          <w:spacing w:val="6"/>
          <w:sz w:val="24"/>
          <w:highlight w:val="none"/>
        </w:rPr>
        <w:t>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，从业人员______人，营业收入为______万元，资产总额为______万元，属于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w:t>
      </w:r>
    </w:p>
    <w:p>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pPr>
        <w:spacing w:line="360" w:lineRule="auto"/>
        <w:ind w:firstLine="504"/>
        <w:rPr>
          <w:rFonts w:ascii="宋体" w:hAnsi="宋体" w:cs="宋体"/>
          <w:color w:val="auto"/>
          <w:spacing w:val="6"/>
          <w:sz w:val="24"/>
          <w:highlight w:val="none"/>
        </w:rPr>
      </w:pPr>
    </w:p>
    <w:p>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企业名称（盖章）：________</w:t>
      </w:r>
    </w:p>
    <w:p>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日 期：________</w:t>
      </w:r>
    </w:p>
    <w:p>
      <w:pPr>
        <w:spacing w:line="360" w:lineRule="auto"/>
        <w:ind w:right="360" w:firstLine="480"/>
        <w:jc w:val="right"/>
        <w:rPr>
          <w:rFonts w:ascii="宋体" w:hAnsi="宋体" w:cs="宋体"/>
          <w:color w:val="auto"/>
          <w:sz w:val="24"/>
          <w:highlight w:val="none"/>
        </w:rPr>
      </w:pPr>
    </w:p>
    <w:p>
      <w:pPr>
        <w:spacing w:line="360" w:lineRule="auto"/>
        <w:ind w:right="360" w:firstLine="480"/>
        <w:jc w:val="right"/>
        <w:rPr>
          <w:rFonts w:ascii="宋体" w:hAnsi="宋体" w:cs="宋体"/>
          <w:color w:val="auto"/>
          <w:sz w:val="24"/>
          <w:highlight w:val="none"/>
        </w:rPr>
      </w:pPr>
    </w:p>
    <w:tbl>
      <w:tblPr>
        <w:tblStyle w:val="29"/>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499" w:type="dxa"/>
            <w:noWrap w:val="0"/>
            <w:vAlign w:val="top"/>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从业人员、营业收入、资产总额填报上一年度数据，无上一年度数据的新成立企业可不填报。</w:t>
            </w:r>
          </w:p>
        </w:tc>
      </w:tr>
    </w:tbl>
    <w:p>
      <w:pPr>
        <w:widowControl/>
        <w:jc w:val="center"/>
        <w:rPr>
          <w:rFonts w:ascii="宋体" w:hAnsi="宋体" w:cs="宋体"/>
          <w:color w:val="auto"/>
          <w:szCs w:val="21"/>
          <w:highlight w:val="none"/>
          <w:vertAlign w:val="superscript"/>
        </w:rPr>
      </w:pPr>
    </w:p>
    <w:p>
      <w:pPr>
        <w:rPr>
          <w:rFonts w:ascii="宋体" w:hAnsi="宋体" w:cs="宋体"/>
          <w:color w:val="auto"/>
          <w:sz w:val="24"/>
          <w:szCs w:val="20"/>
          <w:highlight w:val="none"/>
        </w:rPr>
      </w:pPr>
    </w:p>
    <w:p>
      <w:pPr>
        <w:spacing w:before="312" w:beforeLines="100" w:after="312" w:afterLines="100" w:line="360" w:lineRule="auto"/>
        <w:jc w:val="center"/>
        <w:rPr>
          <w:rFonts w:ascii="宋体" w:hAnsi="宋体" w:cs="宋体"/>
          <w:b/>
          <w:color w:val="auto"/>
          <w:sz w:val="36"/>
          <w:szCs w:val="36"/>
          <w:highlight w:val="none"/>
        </w:rPr>
      </w:pPr>
      <w:r>
        <w:rPr>
          <w:rFonts w:hint="eastAsia" w:ascii="宋体" w:hAnsi="宋体" w:cs="宋体"/>
          <w:b/>
          <w:bCs/>
          <w:color w:val="auto"/>
          <w:sz w:val="36"/>
          <w:szCs w:val="36"/>
          <w:highlight w:val="none"/>
        </w:rPr>
        <w:t>残疾人福利性单位声明函格式</w:t>
      </w:r>
    </w:p>
    <w:p>
      <w:pPr>
        <w:spacing w:line="588"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pPr>
        <w:spacing w:line="588" w:lineRule="exact"/>
        <w:ind w:firstLine="482"/>
        <w:rPr>
          <w:rFonts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pPr>
        <w:spacing w:line="588" w:lineRule="exact"/>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pPr>
        <w:spacing w:line="588" w:lineRule="exact"/>
        <w:ind w:firstLine="504" w:firstLineChars="200"/>
        <w:rPr>
          <w:rFonts w:ascii="宋体" w:hAnsi="宋体" w:cs="宋体"/>
          <w:color w:val="auto"/>
          <w:spacing w:val="6"/>
          <w:sz w:val="24"/>
          <w:highlight w:val="none"/>
        </w:rPr>
      </w:pPr>
    </w:p>
    <w:p>
      <w:pPr>
        <w:spacing w:line="588" w:lineRule="exact"/>
        <w:ind w:firstLine="504" w:firstLineChars="200"/>
        <w:rPr>
          <w:rFonts w:ascii="宋体" w:hAnsi="宋体" w:cs="宋体"/>
          <w:color w:val="auto"/>
          <w:spacing w:val="6"/>
          <w:sz w:val="24"/>
          <w:highlight w:val="none"/>
        </w:rPr>
      </w:pPr>
    </w:p>
    <w:p>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pPr>
        <w:widowControl/>
        <w:jc w:val="left"/>
        <w:rPr>
          <w:rFonts w:ascii="宋体" w:hAnsi="宋体" w:cs="宋体"/>
          <w:color w:val="auto"/>
          <w:sz w:val="24"/>
          <w:szCs w:val="20"/>
          <w:highlight w:val="none"/>
        </w:rPr>
      </w:pPr>
      <w:r>
        <w:rPr>
          <w:rFonts w:hint="eastAsia" w:ascii="宋体" w:hAnsi="宋体" w:cs="宋体"/>
          <w:color w:val="auto"/>
          <w:sz w:val="24"/>
          <w:szCs w:val="20"/>
          <w:highlight w:val="none"/>
        </w:rPr>
        <w:br w:type="page"/>
      </w:r>
    </w:p>
    <w:p>
      <w:pPr>
        <w:pStyle w:val="202"/>
        <w:ind w:firstLine="480"/>
        <w:rPr>
          <w:b/>
          <w:bCs/>
          <w:color w:val="auto"/>
          <w:sz w:val="21"/>
          <w:szCs w:val="21"/>
          <w:highlight w:val="none"/>
        </w:rPr>
      </w:pPr>
      <w:r>
        <w:rPr>
          <w:rFonts w:hint="eastAsia"/>
          <w:b/>
          <w:bCs/>
          <w:color w:val="auto"/>
          <w:sz w:val="21"/>
          <w:szCs w:val="21"/>
          <w:highlight w:val="none"/>
        </w:rPr>
        <w:t>附件：《中小企业划型标准规定》</w:t>
      </w:r>
    </w:p>
    <w:p>
      <w:pPr>
        <w:pStyle w:val="202"/>
        <w:ind w:firstLine="480"/>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pPr>
        <w:pStyle w:val="202"/>
        <w:ind w:firstLine="480"/>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pPr>
        <w:pStyle w:val="202"/>
        <w:ind w:firstLine="480"/>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02"/>
        <w:ind w:firstLine="480"/>
        <w:rPr>
          <w:color w:val="auto"/>
          <w:sz w:val="21"/>
          <w:szCs w:val="21"/>
          <w:highlight w:val="none"/>
        </w:rPr>
      </w:pPr>
      <w:r>
        <w:rPr>
          <w:rFonts w:hint="eastAsia"/>
          <w:color w:val="auto"/>
          <w:sz w:val="21"/>
          <w:szCs w:val="21"/>
          <w:highlight w:val="none"/>
        </w:rPr>
        <w:t>　　四、各行业划型标准为：</w:t>
      </w:r>
    </w:p>
    <w:p>
      <w:pPr>
        <w:pStyle w:val="202"/>
        <w:ind w:firstLine="480"/>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202"/>
        <w:ind w:firstLine="480"/>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02"/>
        <w:ind w:firstLine="480"/>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02"/>
        <w:ind w:firstLine="480"/>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02"/>
        <w:ind w:firstLine="480"/>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02"/>
        <w:ind w:firstLine="480"/>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02"/>
        <w:ind w:firstLine="480"/>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02"/>
        <w:ind w:firstLine="480"/>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02"/>
        <w:ind w:firstLine="480"/>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02"/>
        <w:ind w:firstLine="480"/>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02"/>
        <w:ind w:firstLine="480"/>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02"/>
        <w:ind w:firstLine="480"/>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02"/>
        <w:ind w:firstLine="480"/>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02"/>
        <w:ind w:firstLine="480"/>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02"/>
        <w:ind w:firstLine="480"/>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02"/>
        <w:ind w:firstLine="480"/>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202"/>
        <w:ind w:firstLine="480"/>
        <w:rPr>
          <w:color w:val="auto"/>
          <w:sz w:val="21"/>
          <w:szCs w:val="21"/>
          <w:highlight w:val="none"/>
        </w:rPr>
      </w:pPr>
      <w:r>
        <w:rPr>
          <w:rFonts w:hint="eastAsia"/>
          <w:color w:val="auto"/>
          <w:sz w:val="21"/>
          <w:szCs w:val="21"/>
          <w:highlight w:val="none"/>
        </w:rPr>
        <w:t>　　五、企业类型的划分以统计部门的统计数据为依据。</w:t>
      </w:r>
    </w:p>
    <w:p>
      <w:pPr>
        <w:pStyle w:val="202"/>
        <w:ind w:firstLine="480"/>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pPr>
        <w:pStyle w:val="202"/>
        <w:ind w:firstLine="480"/>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202"/>
        <w:ind w:firstLine="480"/>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pPr>
        <w:pStyle w:val="202"/>
        <w:ind w:firstLine="480"/>
        <w:rPr>
          <w:color w:val="auto"/>
          <w:sz w:val="21"/>
          <w:szCs w:val="21"/>
          <w:highlight w:val="none"/>
        </w:rPr>
      </w:pPr>
      <w:r>
        <w:rPr>
          <w:rFonts w:hint="eastAsia"/>
          <w:color w:val="auto"/>
          <w:sz w:val="21"/>
          <w:szCs w:val="21"/>
          <w:highlight w:val="none"/>
        </w:rPr>
        <w:t>　　九、本规定由工业和信息化部、国家统计局会同有关部门负责解释。</w:t>
      </w:r>
    </w:p>
    <w:p>
      <w:pPr>
        <w:widowControl/>
        <w:jc w:val="left"/>
        <w:rPr>
          <w:rFonts w:ascii="宋体" w:hAnsi="宋体" w:cs="宋体"/>
          <w:color w:val="auto"/>
          <w:szCs w:val="21"/>
          <w:highlight w:val="none"/>
        </w:rPr>
      </w:pPr>
      <w:r>
        <w:rPr>
          <w:rFonts w:hint="eastAsia" w:ascii="宋体" w:hAnsi="宋体" w:cs="宋体"/>
          <w:color w:val="auto"/>
          <w:szCs w:val="21"/>
          <w:highlight w:val="none"/>
        </w:rPr>
        <w:t>　　十、本规定自发布之日起执行，原国家经贸委、原国家计委、财政部和国家统计局2003年颁布的《中小企业标准暂行规定》同时废止。</w:t>
      </w:r>
    </w:p>
    <w:p>
      <w:pPr>
        <w:adjustRightInd w:val="0"/>
        <w:snapToGrid w:val="0"/>
        <w:spacing w:after="0" w:afterLines="0" w:line="360" w:lineRule="auto"/>
        <w:rPr>
          <w:rFonts w:ascii="宋体" w:hAnsi="宋体" w:cs="宋体"/>
          <w:color w:val="auto"/>
          <w:highlight w:val="none"/>
        </w:rPr>
        <w:sectPr>
          <w:pgSz w:w="11906" w:h="16838"/>
          <w:pgMar w:top="1440" w:right="1800" w:bottom="1440" w:left="1800" w:header="851" w:footer="992" w:gutter="0"/>
          <w:cols w:space="720" w:num="1"/>
          <w:docGrid w:type="lines" w:linePitch="312" w:charSpace="0"/>
        </w:sectPr>
      </w:pPr>
    </w:p>
    <w:p>
      <w:pPr>
        <w:keepNext/>
        <w:keepLines/>
        <w:autoSpaceDE w:val="0"/>
        <w:autoSpaceDN w:val="0"/>
        <w:adjustRightInd w:val="0"/>
        <w:spacing w:before="120" w:beforeLines="0" w:line="300" w:lineRule="auto"/>
        <w:jc w:val="left"/>
        <w:outlineLvl w:val="1"/>
        <w:rPr>
          <w:rFonts w:ascii="宋体" w:hAnsi="宋体" w:cs="宋体"/>
          <w:b/>
          <w:color w:val="auto"/>
          <w:spacing w:val="20"/>
          <w:sz w:val="24"/>
          <w:highlight w:val="none"/>
        </w:rPr>
      </w:pPr>
      <w:bookmarkStart w:id="386" w:name="_Hlk178254376"/>
      <w:r>
        <w:rPr>
          <w:rFonts w:hint="eastAsia" w:ascii="宋体" w:hAnsi="宋体" w:cs="宋体"/>
          <w:b/>
          <w:color w:val="auto"/>
          <w:spacing w:val="20"/>
          <w:sz w:val="24"/>
          <w:highlight w:val="none"/>
        </w:rPr>
        <w:t>二、商务技术文件格式</w:t>
      </w:r>
    </w:p>
    <w:p>
      <w:pPr>
        <w:rPr>
          <w:rFonts w:ascii="宋体" w:hAnsi="宋体" w:cs="宋体"/>
          <w:b/>
          <w:color w:val="auto"/>
          <w:spacing w:val="20"/>
          <w:szCs w:val="21"/>
          <w:highlight w:val="none"/>
        </w:rPr>
      </w:pPr>
    </w:p>
    <w:p>
      <w:pPr>
        <w:rPr>
          <w:rFonts w:ascii="宋体" w:hAnsi="宋体" w:cs="宋体"/>
          <w:b/>
          <w:color w:val="auto"/>
          <w:sz w:val="24"/>
          <w:highlight w:val="none"/>
        </w:rPr>
      </w:pPr>
      <w:r>
        <w:rPr>
          <w:rFonts w:hint="eastAsia" w:ascii="宋体" w:hAnsi="宋体" w:cs="宋体"/>
          <w:b/>
          <w:color w:val="auto"/>
          <w:spacing w:val="20"/>
          <w:sz w:val="24"/>
          <w:highlight w:val="none"/>
        </w:rPr>
        <w:t>投标文件（商务技术文件）</w:t>
      </w:r>
      <w:r>
        <w:rPr>
          <w:rFonts w:hint="eastAsia" w:ascii="宋体" w:hAnsi="宋体" w:cs="宋体"/>
          <w:b/>
          <w:color w:val="auto"/>
          <w:sz w:val="24"/>
          <w:highlight w:val="none"/>
        </w:rPr>
        <w:t>封面（非实质性格式）</w:t>
      </w:r>
    </w:p>
    <w:p>
      <w:pPr>
        <w:jc w:val="center"/>
        <w:rPr>
          <w:rFonts w:ascii="宋体" w:hAnsi="宋体" w:cs="宋体"/>
          <w:color w:val="auto"/>
          <w:szCs w:val="21"/>
          <w:highlight w:val="none"/>
        </w:rPr>
      </w:pPr>
    </w:p>
    <w:p>
      <w:pPr>
        <w:jc w:val="center"/>
        <w:rPr>
          <w:rFonts w:ascii="宋体" w:hAnsi="宋体" w:cs="宋体"/>
          <w:b/>
          <w:color w:val="auto"/>
          <w:spacing w:val="60"/>
          <w:sz w:val="84"/>
          <w:szCs w:val="84"/>
          <w:highlight w:val="none"/>
        </w:rPr>
      </w:pPr>
    </w:p>
    <w:p>
      <w:pPr>
        <w:jc w:val="center"/>
        <w:rPr>
          <w:rFonts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pPr>
        <w:jc w:val="center"/>
        <w:rPr>
          <w:rFonts w:ascii="宋体" w:hAnsi="宋体" w:cs="宋体"/>
          <w:b/>
          <w:color w:val="auto"/>
          <w:spacing w:val="60"/>
          <w:sz w:val="52"/>
          <w:szCs w:val="52"/>
          <w:highlight w:val="none"/>
        </w:rPr>
      </w:pPr>
      <w:r>
        <w:rPr>
          <w:rFonts w:hint="eastAsia" w:ascii="宋体" w:hAnsi="宋体" w:cs="宋体"/>
          <w:b/>
          <w:color w:val="auto"/>
          <w:spacing w:val="60"/>
          <w:sz w:val="52"/>
          <w:szCs w:val="52"/>
          <w:highlight w:val="none"/>
        </w:rPr>
        <w:t>（商务技术文件）</w:t>
      </w: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pPr>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w:t>
      </w: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p>
    <w:p>
      <w:pPr>
        <w:jc w:val="center"/>
        <w:rPr>
          <w:rFonts w:ascii="宋体" w:hAnsi="宋体" w:cs="宋体"/>
          <w:b/>
          <w:color w:val="auto"/>
          <w:spacing w:val="20"/>
          <w:sz w:val="32"/>
          <w:szCs w:val="32"/>
          <w:highlight w:val="none"/>
        </w:rPr>
      </w:pPr>
    </w:p>
    <w:p>
      <w:pPr>
        <w:spacing w:line="360" w:lineRule="auto"/>
        <w:ind w:firstLine="1445" w:firstLineChars="400"/>
        <w:jc w:val="left"/>
        <w:rPr>
          <w:rFonts w:ascii="宋体" w:hAnsi="宋体" w:cs="宋体"/>
          <w:b/>
          <w:color w:val="auto"/>
          <w:sz w:val="24"/>
          <w:highlight w:val="none"/>
        </w:rPr>
      </w:pPr>
      <w:r>
        <w:rPr>
          <w:rFonts w:hint="eastAsia" w:ascii="宋体" w:hAnsi="宋体" w:cs="宋体"/>
          <w:b/>
          <w:color w:val="auto"/>
          <w:spacing w:val="20"/>
          <w:sz w:val="32"/>
          <w:szCs w:val="32"/>
          <w:highlight w:val="none"/>
        </w:rPr>
        <w:t>投标人名称：</w:t>
      </w:r>
      <w:r>
        <w:rPr>
          <w:rFonts w:hint="eastAsia" w:ascii="宋体" w:hAnsi="宋体" w:cs="宋体"/>
          <w:b/>
          <w:color w:val="auto"/>
          <w:sz w:val="24"/>
          <w:highlight w:val="none"/>
        </w:rPr>
        <w:br w:type="page"/>
      </w:r>
    </w:p>
    <w:p>
      <w:pPr>
        <w:spacing w:line="360" w:lineRule="auto"/>
        <w:outlineLvl w:val="2"/>
        <w:rPr>
          <w:rFonts w:ascii="宋体" w:hAnsi="宋体" w:cs="宋体"/>
          <w:b/>
          <w:color w:val="auto"/>
          <w:sz w:val="24"/>
          <w:szCs w:val="20"/>
          <w:highlight w:val="none"/>
        </w:rPr>
      </w:pPr>
      <w:bookmarkStart w:id="387" w:name="_Hlt520274393"/>
      <w:bookmarkEnd w:id="387"/>
      <w:bookmarkStart w:id="388" w:name="_Hlt520343000"/>
      <w:bookmarkEnd w:id="388"/>
      <w:bookmarkStart w:id="389" w:name="_Hlt520271212"/>
      <w:bookmarkEnd w:id="389"/>
      <w:bookmarkStart w:id="390" w:name="_Hlt520355504"/>
      <w:bookmarkEnd w:id="390"/>
      <w:bookmarkStart w:id="391" w:name="_Hlt520274121"/>
      <w:bookmarkEnd w:id="391"/>
      <w:bookmarkStart w:id="392" w:name="_Hlt520343392"/>
      <w:bookmarkEnd w:id="392"/>
      <w:bookmarkStart w:id="393" w:name="_Hlt520274407"/>
      <w:bookmarkEnd w:id="393"/>
      <w:bookmarkStart w:id="394" w:name="_Hlt520274065"/>
      <w:bookmarkEnd w:id="394"/>
      <w:bookmarkStart w:id="395" w:name="_Hlt520350918"/>
      <w:bookmarkEnd w:id="395"/>
      <w:bookmarkStart w:id="396" w:name="_Hlt520273711"/>
      <w:bookmarkEnd w:id="396"/>
      <w:bookmarkStart w:id="397" w:name="_Toc480942349"/>
      <w:bookmarkStart w:id="398" w:name="_Ref467988698"/>
      <w:bookmarkStart w:id="399" w:name="_Toc226337252"/>
      <w:bookmarkStart w:id="400" w:name="_Toc127151556"/>
      <w:bookmarkStart w:id="401" w:name="_Toc226309800"/>
      <w:bookmarkStart w:id="402" w:name="_Toc226965746"/>
      <w:bookmarkStart w:id="403" w:name="_Toc195842921"/>
      <w:bookmarkStart w:id="404" w:name="_Toc520356217"/>
      <w:bookmarkStart w:id="405" w:name="_Toc142311058"/>
      <w:bookmarkStart w:id="406" w:name="_Toc226965829"/>
      <w:bookmarkStart w:id="407" w:name="_Toc150480794"/>
      <w:bookmarkStart w:id="408" w:name="_Toc150774761"/>
      <w:r>
        <w:rPr>
          <w:rFonts w:hint="eastAsia" w:ascii="宋体" w:hAnsi="宋体" w:cs="宋体"/>
          <w:b/>
          <w:color w:val="auto"/>
          <w:sz w:val="24"/>
          <w:highlight w:val="none"/>
        </w:rPr>
        <w:t>1投标</w:t>
      </w:r>
      <w:bookmarkEnd w:id="397"/>
      <w:bookmarkEnd w:id="398"/>
      <w:r>
        <w:rPr>
          <w:rFonts w:hint="eastAsia" w:ascii="宋体" w:hAnsi="宋体" w:cs="宋体"/>
          <w:b/>
          <w:color w:val="auto"/>
          <w:sz w:val="24"/>
          <w:highlight w:val="none"/>
        </w:rPr>
        <w:t>书</w:t>
      </w:r>
      <w:bookmarkEnd w:id="399"/>
      <w:bookmarkEnd w:id="400"/>
      <w:bookmarkEnd w:id="401"/>
      <w:bookmarkEnd w:id="402"/>
      <w:bookmarkEnd w:id="403"/>
      <w:bookmarkEnd w:id="404"/>
      <w:bookmarkEnd w:id="405"/>
      <w:bookmarkEnd w:id="406"/>
      <w:bookmarkEnd w:id="407"/>
      <w:bookmarkEnd w:id="408"/>
      <w:r>
        <w:rPr>
          <w:rFonts w:hint="eastAsia" w:ascii="宋体" w:hAnsi="宋体" w:cs="宋体"/>
          <w:b/>
          <w:color w:val="auto"/>
          <w:sz w:val="24"/>
          <w:szCs w:val="20"/>
          <w:highlight w:val="none"/>
        </w:rPr>
        <w:t>（实质性格式）</w:t>
      </w: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投标书</w:t>
      </w:r>
    </w:p>
    <w:p>
      <w:pPr>
        <w:tabs>
          <w:tab w:val="left" w:pos="558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致：采购人或采购代理机构</w:t>
      </w:r>
    </w:p>
    <w:p>
      <w:pPr>
        <w:tabs>
          <w:tab w:val="left" w:pos="5580"/>
        </w:tabs>
        <w:spacing w:line="360" w:lineRule="auto"/>
        <w:ind w:firstLine="408"/>
        <w:rPr>
          <w:rFonts w:ascii="宋体" w:hAnsi="宋体" w:cs="宋体"/>
          <w:color w:val="auto"/>
          <w:sz w:val="24"/>
          <w:szCs w:val="20"/>
          <w:highlight w:val="none"/>
        </w:rPr>
      </w:pPr>
      <w:r>
        <w:rPr>
          <w:rFonts w:hint="eastAsia" w:ascii="宋体" w:hAnsi="宋体" w:cs="宋体"/>
          <w:color w:val="auto"/>
          <w:sz w:val="24"/>
          <w:szCs w:val="20"/>
          <w:highlight w:val="none"/>
        </w:rPr>
        <w:t>我方参加你方就</w:t>
      </w:r>
      <w:r>
        <w:rPr>
          <w:rFonts w:hint="eastAsia" w:ascii="宋体" w:hAnsi="宋体" w:cs="宋体"/>
          <w:color w:val="auto"/>
          <w:sz w:val="24"/>
          <w:highlight w:val="none"/>
          <w:lang w:val="zh-CN"/>
        </w:rPr>
        <w:t>___________</w:t>
      </w:r>
      <w:r>
        <w:rPr>
          <w:rFonts w:hint="eastAsia" w:ascii="宋体" w:hAnsi="宋体" w:cs="宋体"/>
          <w:color w:val="auto"/>
          <w:sz w:val="24"/>
          <w:szCs w:val="20"/>
          <w:highlight w:val="none"/>
        </w:rPr>
        <w:t>（项目名称）组织的招标活动，并对此项目进行投标。</w:t>
      </w:r>
    </w:p>
    <w:p>
      <w:pPr>
        <w:tabs>
          <w:tab w:val="left" w:pos="5580"/>
        </w:tabs>
        <w:spacing w:line="360" w:lineRule="auto"/>
        <w:ind w:firstLine="408"/>
        <w:rPr>
          <w:rFonts w:ascii="宋体" w:hAnsi="宋体" w:cs="宋体"/>
          <w:color w:val="auto"/>
          <w:sz w:val="24"/>
          <w:szCs w:val="20"/>
          <w:highlight w:val="none"/>
        </w:rPr>
      </w:pPr>
      <w:r>
        <w:rPr>
          <w:rFonts w:hint="eastAsia" w:ascii="宋体" w:hAnsi="宋体" w:cs="宋体"/>
          <w:color w:val="auto"/>
          <w:sz w:val="24"/>
          <w:szCs w:val="20"/>
          <w:highlight w:val="none"/>
        </w:rPr>
        <w:t>1. 我方</w:t>
      </w:r>
      <w:r>
        <w:rPr>
          <w:rFonts w:hint="eastAsia" w:ascii="宋体" w:hAnsi="宋体" w:cs="宋体"/>
          <w:color w:val="auto"/>
          <w:sz w:val="24"/>
          <w:highlight w:val="none"/>
        </w:rPr>
        <w:t>已详细审查全部招标文件</w:t>
      </w:r>
      <w:r>
        <w:rPr>
          <w:rFonts w:hint="eastAsia" w:ascii="宋体" w:hAnsi="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ascii="宋体" w:hAnsi="宋体" w:cs="宋体"/>
          <w:color w:val="auto"/>
          <w:sz w:val="24"/>
          <w:szCs w:val="20"/>
          <w:highlight w:val="none"/>
        </w:rPr>
      </w:pPr>
      <w:r>
        <w:rPr>
          <w:rFonts w:hint="eastAsia" w:ascii="宋体" w:hAnsi="宋体" w:cs="宋体"/>
          <w:color w:val="auto"/>
          <w:sz w:val="24"/>
          <w:szCs w:val="20"/>
          <w:highlight w:val="none"/>
        </w:rPr>
        <w:t>（1）本投标有效期为自提交投标文件的截止之日起</w:t>
      </w:r>
      <w:r>
        <w:rPr>
          <w:rFonts w:hint="eastAsia" w:ascii="宋体" w:hAnsi="宋体" w:cs="宋体"/>
          <w:color w:val="auto"/>
          <w:sz w:val="24"/>
          <w:highlight w:val="none"/>
          <w:u w:val="single"/>
        </w:rPr>
        <w:t>_90_</w:t>
      </w:r>
      <w:r>
        <w:rPr>
          <w:rFonts w:hint="eastAsia" w:ascii="宋体" w:hAnsi="宋体" w:cs="宋体"/>
          <w:color w:val="auto"/>
          <w:sz w:val="24"/>
          <w:szCs w:val="20"/>
          <w:highlight w:val="none"/>
        </w:rPr>
        <w:t>个日历日。</w:t>
      </w:r>
    </w:p>
    <w:p>
      <w:pPr>
        <w:tabs>
          <w:tab w:val="left" w:pos="720"/>
          <w:tab w:val="left" w:pos="900"/>
        </w:tabs>
        <w:spacing w:line="360" w:lineRule="auto"/>
        <w:ind w:left="360" w:firstLine="72" w:firstLineChars="30"/>
        <w:rPr>
          <w:rFonts w:ascii="宋体" w:hAnsi="宋体" w:cs="宋体"/>
          <w:color w:val="auto"/>
          <w:sz w:val="24"/>
          <w:szCs w:val="20"/>
          <w:highlight w:val="none"/>
        </w:rPr>
      </w:pPr>
      <w:r>
        <w:rPr>
          <w:rFonts w:hint="eastAsia" w:ascii="宋体" w:hAnsi="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ascii="宋体" w:hAnsi="宋体" w:cs="宋体"/>
          <w:color w:val="auto"/>
          <w:sz w:val="24"/>
          <w:highlight w:val="none"/>
        </w:rPr>
      </w:pPr>
      <w:r>
        <w:rPr>
          <w:rFonts w:hint="eastAsia" w:ascii="宋体" w:hAnsi="宋体" w:cs="宋体"/>
          <w:color w:val="auto"/>
          <w:sz w:val="24"/>
          <w:highlight w:val="none"/>
        </w:rPr>
        <w:t>2. 其他补充条款（如有）：</w:t>
      </w:r>
      <w:r>
        <w:rPr>
          <w:rFonts w:hint="eastAsia" w:ascii="宋体" w:hAnsi="宋体" w:cs="宋体"/>
          <w:color w:val="auto"/>
          <w:sz w:val="24"/>
          <w:szCs w:val="20"/>
          <w:highlight w:val="none"/>
        </w:rPr>
        <w:t>___________</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与本投标有关的一切正式往来信函请寄：</w:t>
      </w:r>
    </w:p>
    <w:p>
      <w:pPr>
        <w:tabs>
          <w:tab w:val="left" w:pos="5580"/>
        </w:tabs>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地址_________________________   传真____________________________</w:t>
      </w:r>
    </w:p>
    <w:p>
      <w:pPr>
        <w:tabs>
          <w:tab w:val="left" w:pos="5580"/>
        </w:tabs>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电话_________________________  电子函件________________________</w:t>
      </w:r>
    </w:p>
    <w:p>
      <w:pPr>
        <w:tabs>
          <w:tab w:val="left" w:pos="5580"/>
        </w:tabs>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投标人名称（加盖公章） ___________</w:t>
      </w:r>
    </w:p>
    <w:p>
      <w:pPr>
        <w:tabs>
          <w:tab w:val="left" w:pos="5580"/>
        </w:tabs>
        <w:spacing w:line="360" w:lineRule="auto"/>
        <w:ind w:left="420"/>
        <w:rPr>
          <w:rFonts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bookmarkStart w:id="409" w:name="_Hlt520356243"/>
      <w:bookmarkEnd w:id="409"/>
      <w:bookmarkStart w:id="410" w:name="_Hlt520355938"/>
      <w:bookmarkEnd w:id="410"/>
      <w:bookmarkStart w:id="411" w:name="_Toc305158899"/>
      <w:bookmarkStart w:id="412" w:name="_Toc520356218"/>
      <w:bookmarkStart w:id="413" w:name="_Toc226337253"/>
      <w:bookmarkStart w:id="414" w:name="_Toc480942350"/>
      <w:bookmarkStart w:id="415" w:name="_Toc127151557"/>
      <w:bookmarkStart w:id="416" w:name="_Toc226965747"/>
      <w:bookmarkStart w:id="417" w:name="_Toc226309801"/>
      <w:bookmarkStart w:id="418" w:name="_Toc305158825"/>
      <w:bookmarkStart w:id="419" w:name="_Toc195842922"/>
      <w:bookmarkStart w:id="420" w:name="_Toc265228395"/>
      <w:bookmarkStart w:id="421" w:name="_Toc150774762"/>
      <w:bookmarkStart w:id="422" w:name="_Toc142311059"/>
      <w:bookmarkStart w:id="423" w:name="_Toc150480795"/>
      <w:bookmarkStart w:id="424" w:name="_Ref467988705"/>
      <w:bookmarkStart w:id="425" w:name="_Toc264969247"/>
      <w:bookmarkStart w:id="426" w:name="_Toc226965830"/>
      <w:r>
        <w:rPr>
          <w:rFonts w:hint="eastAsia" w:ascii="宋体" w:hAnsi="宋体" w:cs="宋体"/>
          <w:color w:val="auto"/>
          <w:sz w:val="24"/>
          <w:highlight w:val="none"/>
        </w:rPr>
        <w:br w:type="page"/>
      </w:r>
    </w:p>
    <w:p>
      <w:pPr>
        <w:spacing w:line="360" w:lineRule="auto"/>
        <w:outlineLvl w:val="2"/>
        <w:rPr>
          <w:rFonts w:ascii="宋体" w:hAnsi="宋体" w:cs="宋体"/>
          <w:b/>
          <w:color w:val="auto"/>
          <w:sz w:val="24"/>
          <w:highlight w:val="none"/>
        </w:rPr>
      </w:pPr>
      <w:r>
        <w:rPr>
          <w:rFonts w:hint="eastAsia" w:ascii="宋体" w:hAnsi="宋体" w:cs="宋体"/>
          <w:b/>
          <w:color w:val="auto"/>
          <w:sz w:val="24"/>
          <w:highlight w:val="none"/>
        </w:rPr>
        <w:t>2  授权委托书（实质性格式）</w:t>
      </w:r>
    </w:p>
    <w:p>
      <w:pPr>
        <w:spacing w:line="36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授权委托书</w:t>
      </w:r>
    </w:p>
    <w:p>
      <w:pPr>
        <w:spacing w:line="360" w:lineRule="auto"/>
        <w:ind w:firstLine="420"/>
        <w:rPr>
          <w:rFonts w:ascii="宋体" w:hAnsi="宋体" w:cs="宋体"/>
          <w:color w:val="auto"/>
          <w:sz w:val="24"/>
          <w:szCs w:val="20"/>
          <w:highlight w:val="none"/>
        </w:rPr>
      </w:pP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本人</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（姓名）系</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（投标人名称）的法定代表人（单位负责人），现委托</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（姓名）为我方代理人。代理人根据授权，以我方名义签署、澄清确认、递交、撤回、修改</w:t>
      </w:r>
      <w:r>
        <w:rPr>
          <w:rFonts w:hint="eastAsia" w:ascii="宋体" w:hAnsi="宋体" w:cs="宋体"/>
          <w:color w:val="auto"/>
          <w:sz w:val="24"/>
          <w:highlight w:val="none"/>
          <w:lang w:val="zh-CN"/>
        </w:rPr>
        <w:t>___________</w:t>
      </w:r>
      <w:r>
        <w:rPr>
          <w:rFonts w:hint="eastAsia" w:ascii="宋体" w:hAnsi="宋体" w:cs="宋体"/>
          <w:color w:val="auto"/>
          <w:sz w:val="24"/>
          <w:szCs w:val="20"/>
          <w:highlight w:val="none"/>
        </w:rPr>
        <w:t>（项目名称）投标文件和处理有关事宜，其法律后果由我方承担。</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委托期限：自本授权委托书签署之日起至投标有效期届满之日止。</w:t>
      </w:r>
    </w:p>
    <w:p>
      <w:pPr>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代理人无转委托权。</w:t>
      </w:r>
      <w:r>
        <w:rPr>
          <w:rFonts w:hint="eastAsia" w:ascii="宋体" w:hAnsi="宋体" w:cs="宋体"/>
          <w:color w:val="auto"/>
          <w:sz w:val="24"/>
          <w:szCs w:val="20"/>
          <w:highlight w:val="none"/>
        </w:rPr>
        <w:cr/>
      </w:r>
    </w:p>
    <w:p>
      <w:pPr>
        <w:spacing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pPr>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法定代表人（单位负责人）（签字或签章或印鉴）：</w:t>
      </w:r>
      <w:r>
        <w:rPr>
          <w:rFonts w:hint="eastAsia" w:ascii="宋体" w:hAnsi="宋体" w:cs="宋体"/>
          <w:color w:val="auto"/>
          <w:sz w:val="24"/>
          <w:highlight w:val="none"/>
          <w:lang w:val="zh-CN"/>
        </w:rPr>
        <w:t>________________</w:t>
      </w:r>
    </w:p>
    <w:p>
      <w:pP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委托代理人（签字或签章）：</w:t>
      </w:r>
      <w:r>
        <w:rPr>
          <w:rFonts w:hint="eastAsia" w:ascii="宋体" w:hAnsi="宋体" w:cs="宋体"/>
          <w:color w:val="auto"/>
          <w:sz w:val="24"/>
          <w:highlight w:val="none"/>
          <w:lang w:val="zh-CN"/>
        </w:rPr>
        <w:t>________________</w:t>
      </w:r>
    </w:p>
    <w:p>
      <w:pP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日期：_____年______月______日</w:t>
      </w:r>
    </w:p>
    <w:p>
      <w:pPr>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法定代表人（单位负责人）及委托代理人身份证明文件电子件：</w:t>
      </w:r>
    </w:p>
    <w:tbl>
      <w:tblPr>
        <w:tblStyle w:val="29"/>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noWrap w:val="0"/>
            <w:vAlign w:val="top"/>
          </w:tcPr>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tc>
        <w:tc>
          <w:tcPr>
            <w:tcW w:w="3657" w:type="dxa"/>
            <w:noWrap w:val="0"/>
            <w:vAlign w:val="top"/>
          </w:tcPr>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tc>
      </w:tr>
    </w:tbl>
    <w:p>
      <w:pPr>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法定代表人（单位负责人）及委托代理人身份证明文件电子件：</w:t>
      </w:r>
    </w:p>
    <w:tbl>
      <w:tblPr>
        <w:tblStyle w:val="29"/>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noWrap w:val="0"/>
            <w:vAlign w:val="top"/>
          </w:tcPr>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tc>
        <w:tc>
          <w:tcPr>
            <w:tcW w:w="3657" w:type="dxa"/>
            <w:noWrap w:val="0"/>
            <w:vAlign w:val="top"/>
          </w:tcPr>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tc>
      </w:tr>
    </w:tbl>
    <w:p>
      <w:pPr>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说明：</w:t>
      </w:r>
    </w:p>
    <w:p>
      <w:pPr>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3.供应商为自然人的情形，可不提供本《授权委托书》。</w:t>
      </w:r>
    </w:p>
    <w:p>
      <w:pPr>
        <w:tabs>
          <w:tab w:val="left" w:pos="5580"/>
        </w:tabs>
        <w:spacing w:line="360" w:lineRule="auto"/>
        <w:jc w:val="left"/>
        <w:rPr>
          <w:rFonts w:ascii="宋体" w:hAnsi="宋体" w:cs="宋体"/>
          <w:color w:val="auto"/>
          <w:sz w:val="30"/>
          <w:szCs w:val="30"/>
          <w:highlight w:val="none"/>
        </w:rPr>
      </w:pPr>
      <w:r>
        <w:rPr>
          <w:rFonts w:hint="eastAsia" w:ascii="宋体" w:hAnsi="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color w:val="auto"/>
          <w:sz w:val="24"/>
          <w:szCs w:val="20"/>
          <w:highlight w:val="none"/>
        </w:rPr>
        <w:t>双面</w:t>
      </w:r>
      <w:r>
        <w:rPr>
          <w:rFonts w:hint="eastAsia" w:ascii="宋体" w:hAnsi="宋体" w:cs="宋体"/>
          <w:color w:val="auto"/>
          <w:sz w:val="24"/>
          <w:szCs w:val="20"/>
          <w:highlight w:val="none"/>
        </w:rPr>
        <w:t xml:space="preserve">电子件。 </w:t>
      </w:r>
      <w:r>
        <w:rPr>
          <w:rFonts w:hint="eastAsia" w:ascii="宋体" w:hAnsi="宋体" w:cs="宋体"/>
          <w:color w:val="auto"/>
          <w:sz w:val="30"/>
          <w:szCs w:val="30"/>
          <w:highlight w:val="none"/>
        </w:rPr>
        <w:br w:type="page"/>
      </w:r>
    </w:p>
    <w:p>
      <w:pPr>
        <w:spacing w:line="36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附：法定代表人（单位负责人）身份证明</w:t>
      </w:r>
    </w:p>
    <w:p>
      <w:pPr>
        <w:kinsoku w:val="0"/>
        <w:overflowPunct w:val="0"/>
        <w:spacing w:line="200" w:lineRule="exact"/>
        <w:rPr>
          <w:rFonts w:ascii="宋体" w:hAnsi="宋体" w:cs="宋体"/>
          <w:color w:val="auto"/>
          <w:sz w:val="20"/>
          <w:szCs w:val="20"/>
          <w:highlight w:val="none"/>
        </w:rPr>
      </w:pPr>
    </w:p>
    <w:p>
      <w:pPr>
        <w:tabs>
          <w:tab w:val="left" w:pos="558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致：采购人或采购代理机构</w:t>
      </w:r>
    </w:p>
    <w:p>
      <w:pPr>
        <w:tabs>
          <w:tab w:val="left" w:pos="5580"/>
        </w:tabs>
        <w:spacing w:line="360" w:lineRule="auto"/>
        <w:rPr>
          <w:rFonts w:ascii="宋体" w:hAnsi="宋体" w:cs="宋体"/>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cs="宋体"/>
          <w:color w:val="auto"/>
          <w:highlight w:val="none"/>
        </w:rPr>
      </w:pPr>
      <w:r>
        <w:rPr>
          <w:rFonts w:hint="eastAsia"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cs="宋体"/>
          <w:color w:val="auto"/>
          <w:highlight w:val="none"/>
        </w:rPr>
      </w:pPr>
      <w:r>
        <w:rPr>
          <w:rFonts w:hint="eastAsia" w:cs="宋体"/>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cs="宋体"/>
          <w:color w:val="auto"/>
          <w:highlight w:val="none"/>
        </w:rPr>
      </w:pPr>
      <w:r>
        <w:rPr>
          <w:rFonts w:hint="eastAsia" w:cs="宋体"/>
          <w:color w:val="auto"/>
          <w:highlight w:val="none"/>
        </w:rPr>
        <w:t>系</w:t>
      </w:r>
      <w:r>
        <w:rPr>
          <w:rFonts w:hint="eastAsia" w:cs="宋体"/>
          <w:color w:val="auto"/>
          <w:highlight w:val="none"/>
          <w:u w:val="single"/>
        </w:rPr>
        <w:tab/>
      </w:r>
      <w:r>
        <w:rPr>
          <w:rFonts w:hint="eastAsia" w:cs="宋体"/>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cs="宋体"/>
          <w:color w:val="auto"/>
          <w:highlight w:val="none"/>
        </w:rPr>
      </w:pPr>
    </w:p>
    <w:p>
      <w:pPr>
        <w:pStyle w:val="2"/>
        <w:tabs>
          <w:tab w:val="left" w:pos="2412"/>
          <w:tab w:val="left" w:pos="3883"/>
          <w:tab w:val="left" w:pos="5352"/>
          <w:tab w:val="left" w:pos="6821"/>
        </w:tabs>
        <w:kinsoku w:val="0"/>
        <w:overflowPunct w:val="0"/>
        <w:spacing w:line="335" w:lineRule="exact"/>
        <w:rPr>
          <w:rFonts w:cs="宋体"/>
          <w:color w:val="auto"/>
          <w:highlight w:val="none"/>
        </w:rPr>
      </w:pPr>
    </w:p>
    <w:p>
      <w:pPr>
        <w:pStyle w:val="2"/>
        <w:kinsoku w:val="0"/>
        <w:overflowPunct w:val="0"/>
        <w:spacing w:line="581" w:lineRule="auto"/>
        <w:ind w:right="-46"/>
        <w:rPr>
          <w:rFonts w:cs="宋体"/>
          <w:color w:val="auto"/>
          <w:spacing w:val="-3"/>
          <w:highlight w:val="none"/>
        </w:rPr>
      </w:pPr>
      <w:r>
        <w:rPr>
          <w:rFonts w:hint="eastAsia" w:cs="宋体"/>
          <w:color w:val="auto"/>
          <w:highlight w:val="none"/>
        </w:rPr>
        <w:t>附：</w:t>
      </w:r>
      <w:r>
        <w:rPr>
          <w:rFonts w:hint="eastAsia" w:cs="宋体"/>
          <w:color w:val="auto"/>
          <w:szCs w:val="20"/>
          <w:highlight w:val="none"/>
        </w:rPr>
        <w:t>法定代表人（单位负责人）身份证或护照等身份证明文件电子件：</w:t>
      </w:r>
    </w:p>
    <w:tbl>
      <w:tblPr>
        <w:tblStyle w:val="29"/>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noWrap w:val="0"/>
            <w:vAlign w:val="top"/>
          </w:tcPr>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tc>
        <w:tc>
          <w:tcPr>
            <w:tcW w:w="3657" w:type="dxa"/>
            <w:noWrap w:val="0"/>
            <w:vAlign w:val="top"/>
          </w:tcPr>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p>
            <w:pPr>
              <w:tabs>
                <w:tab w:val="left" w:pos="5580"/>
              </w:tabs>
              <w:spacing w:line="360" w:lineRule="auto"/>
              <w:jc w:val="left"/>
              <w:rPr>
                <w:rFonts w:ascii="宋体" w:hAnsi="宋体" w:cs="宋体"/>
                <w:color w:val="auto"/>
                <w:sz w:val="24"/>
                <w:szCs w:val="20"/>
                <w:highlight w:val="none"/>
              </w:rPr>
            </w:pPr>
          </w:p>
        </w:tc>
      </w:tr>
    </w:tbl>
    <w:p>
      <w:pPr>
        <w:pStyle w:val="2"/>
        <w:kinsoku w:val="0"/>
        <w:overflowPunct w:val="0"/>
        <w:spacing w:line="581" w:lineRule="auto"/>
        <w:ind w:right="4305"/>
        <w:rPr>
          <w:rFonts w:cs="宋体"/>
          <w:color w:val="auto"/>
          <w:spacing w:val="-3"/>
          <w:highlight w:val="none"/>
        </w:rPr>
      </w:pPr>
    </w:p>
    <w:p>
      <w:pPr>
        <w:pStyle w:val="2"/>
        <w:kinsoku w:val="0"/>
        <w:overflowPunct w:val="0"/>
        <w:spacing w:line="581" w:lineRule="auto"/>
        <w:ind w:right="4305"/>
        <w:rPr>
          <w:rFonts w:cs="宋体"/>
          <w:color w:val="auto"/>
          <w:spacing w:val="-3"/>
          <w:highlight w:val="none"/>
        </w:rPr>
      </w:pPr>
    </w:p>
    <w:p>
      <w:pP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pPr>
        <w:pStyle w:val="2"/>
        <w:kinsoku w:val="0"/>
        <w:overflowPunct w:val="0"/>
        <w:spacing w:line="581" w:lineRule="auto"/>
        <w:ind w:right="95"/>
        <w:rPr>
          <w:rFonts w:cs="宋体"/>
          <w:color w:val="auto"/>
          <w:spacing w:val="-3"/>
          <w:highlight w:val="none"/>
        </w:rPr>
      </w:pPr>
      <w:r>
        <w:rPr>
          <w:rFonts w:hint="eastAsia" w:cs="宋体"/>
          <w:color w:val="auto"/>
          <w:spacing w:val="-3"/>
          <w:highlight w:val="none"/>
        </w:rPr>
        <w:t>法定代表人（</w:t>
      </w:r>
      <w:r>
        <w:rPr>
          <w:rFonts w:hint="eastAsia" w:cs="宋体"/>
          <w:color w:val="auto"/>
          <w:highlight w:val="none"/>
        </w:rPr>
        <w:t>单位负责人</w:t>
      </w:r>
      <w:r>
        <w:rPr>
          <w:rFonts w:hint="eastAsia" w:cs="宋体"/>
          <w:color w:val="auto"/>
          <w:spacing w:val="-3"/>
          <w:highlight w:val="none"/>
        </w:rPr>
        <w:t>）（签字或签章或印鉴）：_______</w:t>
      </w:r>
    </w:p>
    <w:p>
      <w:pPr>
        <w:autoSpaceDE w:val="0"/>
        <w:autoSpaceDN w:val="0"/>
        <w:adjustRightInd w:val="0"/>
        <w:snapToGrid w:val="0"/>
        <w:spacing w:line="360" w:lineRule="auto"/>
        <w:rPr>
          <w:rFonts w:ascii="宋体" w:hAnsi="宋体" w:cs="宋体"/>
          <w:color w:val="auto"/>
          <w:sz w:val="24"/>
          <w:highlight w:val="none"/>
        </w:rPr>
      </w:pPr>
    </w:p>
    <w:p>
      <w:pPr>
        <w:autoSpaceDE w:val="0"/>
        <w:autoSpaceDN w:val="0"/>
        <w:adjustRightInd w:val="0"/>
        <w:snapToGrid w:val="0"/>
        <w:spacing w:line="360" w:lineRule="auto"/>
        <w:rPr>
          <w:rFonts w:ascii="宋体" w:hAnsi="宋体" w:cs="宋体"/>
          <w:i/>
          <w:color w:val="auto"/>
          <w:sz w:val="24"/>
          <w:szCs w:val="20"/>
          <w:highlight w:val="none"/>
          <w:u w:val="single"/>
        </w:rPr>
      </w:pPr>
      <w:r>
        <w:rPr>
          <w:rFonts w:hint="eastAsia" w:ascii="宋体" w:hAnsi="宋体" w:cs="宋体"/>
          <w:color w:val="auto"/>
          <w:sz w:val="24"/>
          <w:highlight w:val="none"/>
        </w:rPr>
        <w:t>日期：_____年______月______日</w:t>
      </w:r>
    </w:p>
    <w:p>
      <w:pPr>
        <w:pStyle w:val="5"/>
        <w:widowControl/>
        <w:rPr>
          <w:rFonts w:hAnsi="宋体" w:cs="宋体"/>
          <w:color w:val="auto"/>
          <w:highlight w:val="none"/>
        </w:rPr>
      </w:pPr>
      <w:r>
        <w:rPr>
          <w:rFonts w:hint="eastAsia" w:hAnsi="宋体" w:cs="宋体"/>
          <w:color w:val="auto"/>
          <w:highlight w:val="none"/>
        </w:rPr>
        <w:br w:type="page"/>
      </w:r>
      <w:r>
        <w:rPr>
          <w:rFonts w:hint="eastAsia" w:hAnsi="宋体" w:cs="宋体"/>
          <w:color w:val="auto"/>
          <w:highlight w:val="none"/>
        </w:rPr>
        <w:t xml:space="preserve">3  </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Start w:id="427" w:name="_Toc195842927"/>
      <w:bookmarkStart w:id="428" w:name="_Toc226309806"/>
      <w:bookmarkStart w:id="429" w:name="_Toc264969252"/>
      <w:bookmarkStart w:id="430" w:name="_Toc305158830"/>
      <w:bookmarkStart w:id="431" w:name="_Toc226965835"/>
      <w:bookmarkStart w:id="432" w:name="_Toc150774765"/>
      <w:bookmarkStart w:id="433" w:name="_Toc305158904"/>
      <w:bookmarkStart w:id="434" w:name="_Toc142311062"/>
      <w:bookmarkStart w:id="435" w:name="_Toc127151562"/>
      <w:bookmarkStart w:id="436" w:name="_Toc150480798"/>
      <w:bookmarkStart w:id="437" w:name="_Toc226337258"/>
      <w:bookmarkStart w:id="438" w:name="_Toc265228400"/>
      <w:bookmarkStart w:id="439" w:name="_Toc226965752"/>
      <w:bookmarkStart w:id="440" w:name="_Toc150774764"/>
      <w:bookmarkStart w:id="441" w:name="_Toc226309805"/>
      <w:bookmarkStart w:id="442" w:name="_Toc265228399"/>
      <w:bookmarkStart w:id="443" w:name="_Toc142311061"/>
      <w:bookmarkStart w:id="444" w:name="_Toc150480797"/>
      <w:bookmarkStart w:id="445" w:name="_Toc226965751"/>
      <w:bookmarkStart w:id="446" w:name="_Toc226965834"/>
      <w:bookmarkStart w:id="447" w:name="_Toc264969251"/>
      <w:bookmarkStart w:id="448" w:name="_Toc226337257"/>
      <w:bookmarkStart w:id="449" w:name="_Toc127151561"/>
      <w:bookmarkStart w:id="450" w:name="_Toc305158829"/>
      <w:bookmarkStart w:id="451" w:name="_Toc305158903"/>
      <w:bookmarkStart w:id="452" w:name="_Toc195842926"/>
      <w:r>
        <w:rPr>
          <w:rFonts w:hint="eastAsia" w:hAnsi="宋体" w:cs="宋体"/>
          <w:color w:val="auto"/>
          <w:highlight w:val="none"/>
        </w:rPr>
        <w:t>开标一览表（实质性格式）</w:t>
      </w:r>
    </w:p>
    <w:p>
      <w:pPr>
        <w:spacing w:line="360" w:lineRule="exact"/>
        <w:jc w:val="center"/>
        <w:rPr>
          <w:rFonts w:ascii="宋体" w:hAnsi="宋体" w:cs="宋体"/>
          <w:b/>
          <w:color w:val="auto"/>
          <w:sz w:val="36"/>
          <w:szCs w:val="36"/>
          <w:highlight w:val="none"/>
        </w:rPr>
      </w:pPr>
      <w:bookmarkStart w:id="453" w:name="_Toc164608672"/>
      <w:bookmarkStart w:id="454" w:name="_Toc226337254"/>
      <w:bookmarkStart w:id="455" w:name="_Toc195842923"/>
      <w:bookmarkStart w:id="456" w:name="_Toc164608827"/>
      <w:bookmarkStart w:id="457" w:name="_Toc265228396"/>
      <w:bookmarkStart w:id="458" w:name="_Toc305158900"/>
      <w:bookmarkStart w:id="459" w:name="_Toc226309802"/>
      <w:bookmarkStart w:id="460" w:name="_Toc226965831"/>
      <w:bookmarkStart w:id="461" w:name="_Toc264969248"/>
      <w:bookmarkStart w:id="462" w:name="_Toc226965748"/>
      <w:bookmarkStart w:id="463" w:name="_Toc305158826"/>
    </w:p>
    <w:p>
      <w:pPr>
        <w:spacing w:line="36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开标一览表</w:t>
      </w:r>
      <w:bookmarkEnd w:id="453"/>
      <w:bookmarkEnd w:id="454"/>
      <w:bookmarkEnd w:id="455"/>
      <w:bookmarkEnd w:id="456"/>
      <w:bookmarkEnd w:id="457"/>
      <w:bookmarkEnd w:id="458"/>
      <w:bookmarkEnd w:id="459"/>
      <w:bookmarkEnd w:id="460"/>
      <w:bookmarkEnd w:id="461"/>
      <w:bookmarkEnd w:id="462"/>
      <w:bookmarkEnd w:id="463"/>
    </w:p>
    <w:p>
      <w:pPr>
        <w:pStyle w:val="2"/>
        <w:rPr>
          <w:rFonts w:cs="宋体"/>
          <w:color w:val="auto"/>
          <w:highlight w:val="none"/>
          <w:u w:val="single"/>
        </w:rPr>
      </w:pPr>
      <w:r>
        <w:rPr>
          <w:rFonts w:hint="eastAsia"/>
          <w:color w:val="auto"/>
          <w:highlight w:val="none"/>
        </w:rPr>
        <w:t>项目名称：</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___</w:t>
      </w:r>
      <w:r>
        <w:rPr>
          <w:rFonts w:hint="eastAsia"/>
          <w:color w:val="auto"/>
          <w:highlight w:val="none"/>
        </w:rPr>
        <w:t xml:space="preserve">     </w:t>
      </w:r>
      <w:r>
        <w:rPr>
          <w:rFonts w:hint="eastAsia"/>
          <w:color w:val="auto"/>
          <w:szCs w:val="20"/>
          <w:highlight w:val="none"/>
        </w:rPr>
        <w:t>项目编号：</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w:t>
      </w:r>
      <w:r>
        <w:rPr>
          <w:rFonts w:hint="eastAsia" w:cs="宋体"/>
          <w:color w:val="auto"/>
          <w:highlight w:val="none"/>
        </w:rPr>
        <w:t>_</w:t>
      </w:r>
    </w:p>
    <w:tbl>
      <w:tblPr>
        <w:tblStyle w:val="29"/>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noWrap w:val="0"/>
            <w:vAlign w:val="center"/>
          </w:tcPr>
          <w:p>
            <w:pPr>
              <w:tabs>
                <w:tab w:val="left" w:pos="5580"/>
              </w:tabs>
              <w:jc w:val="center"/>
              <w:rPr>
                <w:rFonts w:ascii="宋体" w:hAnsi="宋体" w:cs="宋体"/>
                <w:b/>
                <w:color w:val="auto"/>
                <w:sz w:val="24"/>
                <w:highlight w:val="none"/>
              </w:rPr>
            </w:pPr>
            <w:r>
              <w:rPr>
                <w:rFonts w:hint="eastAsia" w:ascii="宋体" w:hAnsi="宋体" w:cs="宋体"/>
                <w:b/>
                <w:color w:val="auto"/>
                <w:sz w:val="24"/>
                <w:highlight w:val="none"/>
              </w:rPr>
              <w:t>投标人名称</w:t>
            </w:r>
          </w:p>
        </w:tc>
        <w:tc>
          <w:tcPr>
            <w:tcW w:w="3957" w:type="dxa"/>
            <w:gridSpan w:val="2"/>
            <w:noWrap w:val="0"/>
            <w:vAlign w:val="center"/>
          </w:tcPr>
          <w:p>
            <w:pPr>
              <w:tabs>
                <w:tab w:val="left" w:pos="5580"/>
              </w:tabs>
              <w:jc w:val="center"/>
              <w:rPr>
                <w:rFonts w:ascii="宋体" w:hAnsi="宋体" w:cs="宋体"/>
                <w:b/>
                <w:color w:val="auto"/>
                <w:sz w:val="24"/>
                <w:highlight w:val="none"/>
              </w:rPr>
            </w:pPr>
            <w:r>
              <w:rPr>
                <w:rFonts w:hint="eastAsia" w:ascii="宋体" w:hAnsi="宋体" w:cs="宋体"/>
                <w:b/>
                <w:color w:val="auto"/>
                <w:sz w:val="24"/>
                <w:highlight w:val="none"/>
              </w:rPr>
              <w:t>投标报价（元）</w:t>
            </w:r>
          </w:p>
        </w:tc>
        <w:tc>
          <w:tcPr>
            <w:tcW w:w="669" w:type="dxa"/>
            <w:vMerge w:val="restart"/>
            <w:noWrap w:val="0"/>
            <w:vAlign w:val="center"/>
          </w:tcPr>
          <w:p>
            <w:pPr>
              <w:tabs>
                <w:tab w:val="left" w:pos="5580"/>
              </w:tabs>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noWrap w:val="0"/>
            <w:vAlign w:val="center"/>
          </w:tcPr>
          <w:p>
            <w:pPr>
              <w:tabs>
                <w:tab w:val="left" w:pos="5580"/>
              </w:tabs>
              <w:jc w:val="center"/>
              <w:rPr>
                <w:rFonts w:ascii="宋体" w:hAnsi="宋体" w:cs="宋体"/>
                <w:color w:val="auto"/>
                <w:sz w:val="24"/>
                <w:highlight w:val="none"/>
              </w:rPr>
            </w:pPr>
          </w:p>
        </w:tc>
        <w:tc>
          <w:tcPr>
            <w:tcW w:w="2119" w:type="dxa"/>
            <w:noWrap w:val="0"/>
            <w:vAlign w:val="center"/>
          </w:tcPr>
          <w:p>
            <w:pPr>
              <w:tabs>
                <w:tab w:val="left" w:pos="5580"/>
              </w:tabs>
              <w:jc w:val="center"/>
              <w:rPr>
                <w:rFonts w:ascii="宋体" w:hAnsi="宋体" w:cs="宋体"/>
                <w:b/>
                <w:color w:val="auto"/>
                <w:sz w:val="24"/>
                <w:highlight w:val="none"/>
              </w:rPr>
            </w:pPr>
            <w:r>
              <w:rPr>
                <w:rFonts w:hint="eastAsia" w:ascii="宋体" w:hAnsi="宋体" w:cs="宋体"/>
                <w:b/>
                <w:color w:val="auto"/>
                <w:sz w:val="24"/>
                <w:highlight w:val="none"/>
              </w:rPr>
              <w:t>大写</w:t>
            </w:r>
          </w:p>
        </w:tc>
        <w:tc>
          <w:tcPr>
            <w:tcW w:w="1838" w:type="dxa"/>
            <w:noWrap w:val="0"/>
            <w:vAlign w:val="center"/>
          </w:tcPr>
          <w:p>
            <w:pPr>
              <w:tabs>
                <w:tab w:val="left" w:pos="5580"/>
              </w:tabs>
              <w:jc w:val="center"/>
              <w:rPr>
                <w:rFonts w:ascii="宋体" w:hAnsi="宋体" w:cs="宋体"/>
                <w:b/>
                <w:color w:val="auto"/>
                <w:sz w:val="24"/>
                <w:highlight w:val="none"/>
              </w:rPr>
            </w:pPr>
            <w:r>
              <w:rPr>
                <w:rFonts w:hint="eastAsia" w:ascii="宋体" w:hAnsi="宋体" w:cs="宋体"/>
                <w:b/>
                <w:color w:val="auto"/>
                <w:sz w:val="24"/>
                <w:highlight w:val="none"/>
              </w:rPr>
              <w:t>小写</w:t>
            </w:r>
          </w:p>
        </w:tc>
        <w:tc>
          <w:tcPr>
            <w:tcW w:w="669" w:type="dxa"/>
            <w:vMerge w:val="continue"/>
            <w:noWrap w:val="0"/>
            <w:vAlign w:val="center"/>
          </w:tcPr>
          <w:p>
            <w:pPr>
              <w:tabs>
                <w:tab w:val="left" w:pos="5580"/>
              </w:tabs>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noWrap w:val="0"/>
            <w:vAlign w:val="center"/>
          </w:tcPr>
          <w:p>
            <w:pPr>
              <w:tabs>
                <w:tab w:val="left" w:pos="5580"/>
              </w:tabs>
              <w:jc w:val="center"/>
              <w:rPr>
                <w:rFonts w:ascii="宋体" w:hAnsi="宋体" w:cs="宋体"/>
                <w:color w:val="auto"/>
                <w:sz w:val="24"/>
                <w:highlight w:val="none"/>
              </w:rPr>
            </w:pPr>
          </w:p>
        </w:tc>
        <w:tc>
          <w:tcPr>
            <w:tcW w:w="2119" w:type="dxa"/>
            <w:noWrap w:val="0"/>
            <w:vAlign w:val="center"/>
          </w:tcPr>
          <w:p>
            <w:pPr>
              <w:tabs>
                <w:tab w:val="left" w:pos="5580"/>
              </w:tabs>
              <w:jc w:val="center"/>
              <w:rPr>
                <w:rFonts w:ascii="宋体" w:hAnsi="宋体" w:cs="宋体"/>
                <w:color w:val="auto"/>
                <w:sz w:val="24"/>
                <w:highlight w:val="none"/>
              </w:rPr>
            </w:pPr>
          </w:p>
        </w:tc>
        <w:tc>
          <w:tcPr>
            <w:tcW w:w="1838" w:type="dxa"/>
            <w:noWrap w:val="0"/>
            <w:vAlign w:val="center"/>
          </w:tcPr>
          <w:p>
            <w:pPr>
              <w:tabs>
                <w:tab w:val="left" w:pos="5580"/>
              </w:tabs>
              <w:jc w:val="center"/>
              <w:rPr>
                <w:rFonts w:ascii="宋体" w:hAnsi="宋体" w:cs="宋体"/>
                <w:color w:val="auto"/>
                <w:sz w:val="24"/>
                <w:highlight w:val="none"/>
              </w:rPr>
            </w:pPr>
          </w:p>
        </w:tc>
        <w:tc>
          <w:tcPr>
            <w:tcW w:w="669" w:type="dxa"/>
            <w:noWrap w:val="0"/>
            <w:vAlign w:val="center"/>
          </w:tcPr>
          <w:p>
            <w:pPr>
              <w:tabs>
                <w:tab w:val="left" w:pos="5580"/>
              </w:tabs>
              <w:jc w:val="center"/>
              <w:rPr>
                <w:rFonts w:ascii="宋体" w:hAnsi="宋体" w:cs="宋体"/>
                <w:color w:val="auto"/>
                <w:sz w:val="24"/>
                <w:highlight w:val="none"/>
              </w:rPr>
            </w:pPr>
          </w:p>
        </w:tc>
      </w:tr>
    </w:tbl>
    <w:p>
      <w:pPr>
        <w:autoSpaceDE w:val="0"/>
        <w:autoSpaceDN w:val="0"/>
        <w:adjustRightInd w:val="0"/>
        <w:jc w:val="left"/>
        <w:rPr>
          <w:rFonts w:ascii="宋体" w:hAnsi="宋体" w:cs="宋体"/>
          <w:color w:val="auto"/>
          <w:kern w:val="0"/>
          <w:sz w:val="24"/>
          <w:highlight w:val="none"/>
        </w:rPr>
      </w:pPr>
    </w:p>
    <w:p>
      <w:pPr>
        <w:autoSpaceDE w:val="0"/>
        <w:autoSpaceDN w:val="0"/>
        <w:adjustRightInd w:val="0"/>
        <w:spacing w:line="360" w:lineRule="auto"/>
        <w:jc w:val="left"/>
        <w:rPr>
          <w:rFonts w:ascii="宋体" w:hAnsi="宋体" w:cs="宋体"/>
          <w:color w:val="auto"/>
          <w:sz w:val="24"/>
          <w:szCs w:val="20"/>
          <w:highlight w:val="none"/>
        </w:rPr>
      </w:pPr>
      <w:r>
        <w:rPr>
          <w:rFonts w:hint="eastAsia" w:ascii="宋体" w:hAnsi="宋体" w:cs="宋体"/>
          <w:color w:val="auto"/>
          <w:kern w:val="0"/>
          <w:sz w:val="24"/>
          <w:highlight w:val="none"/>
        </w:rPr>
        <w:t>注：</w:t>
      </w:r>
      <w:r>
        <w:rPr>
          <w:rFonts w:hint="eastAsia" w:ascii="宋体" w:hAnsi="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ascii="宋体" w:hAnsi="宋体" w:cs="宋体"/>
          <w:color w:val="auto"/>
          <w:sz w:val="24"/>
          <w:szCs w:val="20"/>
          <w:highlight w:val="none"/>
        </w:rPr>
      </w:pPr>
    </w:p>
    <w:p>
      <w:pPr>
        <w:autoSpaceDE w:val="0"/>
        <w:autoSpaceDN w:val="0"/>
        <w:adjustRightInd w:val="0"/>
        <w:snapToGrid w:val="0"/>
        <w:spacing w:before="25" w:beforeLines="0" w:after="25" w:afterLines="0" w:line="360" w:lineRule="auto"/>
        <w:rPr>
          <w:rFonts w:ascii="宋体" w:hAnsi="宋体" w:cs="宋体"/>
          <w:color w:val="auto"/>
          <w:sz w:val="24"/>
          <w:highlight w:val="none"/>
        </w:rPr>
      </w:pPr>
    </w:p>
    <w:p>
      <w:pPr>
        <w:autoSpaceDE w:val="0"/>
        <w:autoSpaceDN w:val="0"/>
        <w:adjustRightInd w:val="0"/>
        <w:snapToGrid w:val="0"/>
        <w:spacing w:before="25" w:beforeLines="0" w:after="25" w:afterLines="0"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pPr>
        <w:autoSpaceDE w:val="0"/>
        <w:autoSpaceDN w:val="0"/>
        <w:adjustRightInd w:val="0"/>
        <w:snapToGrid w:val="0"/>
        <w:spacing w:before="25" w:beforeLines="0" w:after="25" w:afterLines="0"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日期：_____年______月______日   </w:t>
      </w:r>
      <w:bookmarkStart w:id="464" w:name="_Toc150480796"/>
      <w:bookmarkStart w:id="465" w:name="_Toc226309803"/>
      <w:bookmarkStart w:id="466" w:name="_Toc305158901"/>
      <w:bookmarkStart w:id="467" w:name="_Toc264969249"/>
      <w:bookmarkStart w:id="468" w:name="_Toc265228397"/>
      <w:bookmarkStart w:id="469" w:name="_Toc226337255"/>
      <w:bookmarkStart w:id="470" w:name="_Toc195842924"/>
      <w:bookmarkStart w:id="471" w:name="_Toc142311060"/>
      <w:bookmarkStart w:id="472" w:name="_Toc226965832"/>
      <w:bookmarkStart w:id="473" w:name="_Toc305158827"/>
      <w:bookmarkStart w:id="474" w:name="_Toc150774763"/>
      <w:bookmarkStart w:id="475" w:name="_Toc226965749"/>
      <w:bookmarkStart w:id="476" w:name="_Toc127151558"/>
    </w:p>
    <w:bookmarkEnd w:id="464"/>
    <w:bookmarkEnd w:id="465"/>
    <w:bookmarkEnd w:id="466"/>
    <w:bookmarkEnd w:id="467"/>
    <w:bookmarkEnd w:id="468"/>
    <w:bookmarkEnd w:id="469"/>
    <w:bookmarkEnd w:id="470"/>
    <w:bookmarkEnd w:id="471"/>
    <w:bookmarkEnd w:id="472"/>
    <w:bookmarkEnd w:id="473"/>
    <w:bookmarkEnd w:id="474"/>
    <w:bookmarkEnd w:id="475"/>
    <w:bookmarkEnd w:id="476"/>
    <w:p>
      <w:pPr>
        <w:autoSpaceDE w:val="0"/>
        <w:autoSpaceDN w:val="0"/>
        <w:adjustRightInd w:val="0"/>
        <w:snapToGrid w:val="0"/>
        <w:spacing w:before="25" w:beforeLines="0" w:after="25" w:afterLines="0" w:line="360" w:lineRule="auto"/>
        <w:rPr>
          <w:rFonts w:ascii="宋体" w:hAnsi="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ascii="宋体" w:hAnsi="宋体" w:cs="宋体"/>
          <w:b/>
          <w:color w:val="auto"/>
          <w:sz w:val="24"/>
          <w:szCs w:val="20"/>
          <w:highlight w:val="none"/>
        </w:rPr>
      </w:pPr>
      <w:r>
        <w:rPr>
          <w:rFonts w:hint="eastAsia" w:ascii="宋体" w:hAnsi="宋体" w:cs="宋体"/>
          <w:b/>
          <w:color w:val="auto"/>
          <w:sz w:val="24"/>
          <w:szCs w:val="20"/>
          <w:highlight w:val="none"/>
        </w:rPr>
        <w:t>4  投标分项报价表（实质性格式）</w:t>
      </w:r>
    </w:p>
    <w:p>
      <w:pPr>
        <w:spacing w:line="36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投标分项报价表</w:t>
      </w:r>
    </w:p>
    <w:p>
      <w:pPr>
        <w:pStyle w:val="2"/>
        <w:rPr>
          <w:rFonts w:cs="宋体"/>
          <w:color w:val="auto"/>
          <w:highlight w:val="none"/>
        </w:rPr>
      </w:pPr>
      <w:r>
        <w:rPr>
          <w:rFonts w:hint="eastAsia"/>
          <w:color w:val="auto"/>
          <w:highlight w:val="none"/>
        </w:rPr>
        <w:t>项目名称：</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___</w:t>
      </w:r>
      <w:r>
        <w:rPr>
          <w:rFonts w:hint="eastAsia"/>
          <w:color w:val="auto"/>
          <w:highlight w:val="none"/>
        </w:rPr>
        <w:t xml:space="preserve">     </w:t>
      </w:r>
      <w:r>
        <w:rPr>
          <w:rFonts w:hint="eastAsia"/>
          <w:color w:val="auto"/>
          <w:szCs w:val="20"/>
          <w:highlight w:val="none"/>
        </w:rPr>
        <w:t>项目编号：</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___</w:t>
      </w:r>
      <w:r>
        <w:rPr>
          <w:rFonts w:hint="eastAsia" w:cs="宋体"/>
          <w:color w:val="auto"/>
          <w:highlight w:val="none"/>
        </w:rPr>
        <w:t>报价单位：人民币元</w:t>
      </w:r>
    </w:p>
    <w:tbl>
      <w:tblPr>
        <w:tblStyle w:val="29"/>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3"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300"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制造商</w:t>
            </w:r>
          </w:p>
        </w:tc>
        <w:tc>
          <w:tcPr>
            <w:tcW w:w="926"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1230" w:type="dxa"/>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制造商</w:t>
            </w:r>
          </w:p>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统一信用代码</w:t>
            </w:r>
          </w:p>
        </w:tc>
        <w:tc>
          <w:tcPr>
            <w:tcW w:w="1230" w:type="dxa"/>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制造商</w:t>
            </w:r>
          </w:p>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规模</w:t>
            </w:r>
          </w:p>
        </w:tc>
        <w:tc>
          <w:tcPr>
            <w:tcW w:w="1230"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制造商所属性别</w:t>
            </w:r>
          </w:p>
        </w:tc>
        <w:tc>
          <w:tcPr>
            <w:tcW w:w="1230"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外商投资类型</w:t>
            </w:r>
          </w:p>
        </w:tc>
        <w:tc>
          <w:tcPr>
            <w:tcW w:w="1230"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产品产地</w:t>
            </w:r>
          </w:p>
        </w:tc>
        <w:tc>
          <w:tcPr>
            <w:tcW w:w="1230"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004"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单价（元）</w:t>
            </w:r>
          </w:p>
        </w:tc>
        <w:tc>
          <w:tcPr>
            <w:tcW w:w="815"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001" w:type="dxa"/>
            <w:noWrap w:val="0"/>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89" w:type="dxa"/>
            <w:noWrap w:val="0"/>
            <w:vAlign w:val="center"/>
          </w:tcPr>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1</w:t>
            </w:r>
          </w:p>
        </w:tc>
        <w:tc>
          <w:tcPr>
            <w:tcW w:w="1033" w:type="dxa"/>
            <w:noWrap w:val="0"/>
            <w:vAlign w:val="center"/>
          </w:tcPr>
          <w:p>
            <w:pPr>
              <w:adjustRightInd w:val="0"/>
              <w:snapToGrid w:val="0"/>
              <w:jc w:val="left"/>
              <w:rPr>
                <w:rFonts w:ascii="宋体" w:hAnsi="宋体" w:cs="宋体"/>
                <w:color w:val="auto"/>
                <w:sz w:val="24"/>
                <w:highlight w:val="none"/>
              </w:rPr>
            </w:pPr>
          </w:p>
        </w:tc>
        <w:tc>
          <w:tcPr>
            <w:tcW w:w="1300" w:type="dxa"/>
            <w:noWrap w:val="0"/>
            <w:vAlign w:val="center"/>
          </w:tcPr>
          <w:p>
            <w:pPr>
              <w:adjustRightInd w:val="0"/>
              <w:snapToGrid w:val="0"/>
              <w:jc w:val="left"/>
              <w:rPr>
                <w:rFonts w:ascii="宋体" w:hAnsi="宋体" w:cs="宋体"/>
                <w:color w:val="auto"/>
                <w:sz w:val="24"/>
                <w:highlight w:val="none"/>
              </w:rPr>
            </w:pPr>
          </w:p>
        </w:tc>
        <w:tc>
          <w:tcPr>
            <w:tcW w:w="926" w:type="dxa"/>
            <w:noWrap w:val="0"/>
            <w:vAlign w:val="top"/>
          </w:tcPr>
          <w:p>
            <w:pPr>
              <w:adjustRightInd w:val="0"/>
              <w:snapToGrid w:val="0"/>
              <w:jc w:val="left"/>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left"/>
              <w:rPr>
                <w:rFonts w:ascii="宋体" w:hAnsi="宋体" w:cs="宋体"/>
                <w:color w:val="auto"/>
                <w:sz w:val="24"/>
                <w:highlight w:val="none"/>
              </w:rPr>
            </w:pPr>
          </w:p>
        </w:tc>
        <w:tc>
          <w:tcPr>
            <w:tcW w:w="1004" w:type="dxa"/>
            <w:noWrap w:val="0"/>
            <w:vAlign w:val="center"/>
          </w:tcPr>
          <w:p>
            <w:pPr>
              <w:adjustRightInd w:val="0"/>
              <w:snapToGrid w:val="0"/>
              <w:jc w:val="left"/>
              <w:rPr>
                <w:rFonts w:ascii="宋体" w:hAnsi="宋体" w:cs="宋体"/>
                <w:color w:val="auto"/>
                <w:sz w:val="24"/>
                <w:highlight w:val="none"/>
              </w:rPr>
            </w:pPr>
          </w:p>
        </w:tc>
        <w:tc>
          <w:tcPr>
            <w:tcW w:w="815" w:type="dxa"/>
            <w:noWrap w:val="0"/>
            <w:vAlign w:val="center"/>
          </w:tcPr>
          <w:p>
            <w:pPr>
              <w:adjustRightInd w:val="0"/>
              <w:snapToGrid w:val="0"/>
              <w:jc w:val="left"/>
              <w:rPr>
                <w:rFonts w:ascii="宋体" w:hAnsi="宋体" w:cs="宋体"/>
                <w:color w:val="auto"/>
                <w:sz w:val="24"/>
                <w:highlight w:val="none"/>
              </w:rPr>
            </w:pPr>
          </w:p>
        </w:tc>
        <w:tc>
          <w:tcPr>
            <w:tcW w:w="1001" w:type="dxa"/>
            <w:noWrap w:val="0"/>
            <w:vAlign w:val="center"/>
          </w:tcPr>
          <w:p>
            <w:pPr>
              <w:adjustRightInd w:val="0"/>
              <w:snapToGrid w:val="0"/>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89" w:type="dxa"/>
            <w:noWrap w:val="0"/>
            <w:vAlign w:val="center"/>
          </w:tcPr>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2</w:t>
            </w:r>
          </w:p>
        </w:tc>
        <w:tc>
          <w:tcPr>
            <w:tcW w:w="1033" w:type="dxa"/>
            <w:noWrap w:val="0"/>
            <w:vAlign w:val="center"/>
          </w:tcPr>
          <w:p>
            <w:pPr>
              <w:adjustRightInd w:val="0"/>
              <w:snapToGrid w:val="0"/>
              <w:jc w:val="left"/>
              <w:rPr>
                <w:rFonts w:ascii="宋体" w:hAnsi="宋体" w:cs="宋体"/>
                <w:color w:val="auto"/>
                <w:sz w:val="24"/>
                <w:highlight w:val="none"/>
              </w:rPr>
            </w:pPr>
          </w:p>
        </w:tc>
        <w:tc>
          <w:tcPr>
            <w:tcW w:w="1300" w:type="dxa"/>
            <w:noWrap w:val="0"/>
            <w:vAlign w:val="center"/>
          </w:tcPr>
          <w:p>
            <w:pPr>
              <w:adjustRightInd w:val="0"/>
              <w:snapToGrid w:val="0"/>
              <w:jc w:val="left"/>
              <w:rPr>
                <w:rFonts w:ascii="宋体" w:hAnsi="宋体" w:cs="宋体"/>
                <w:color w:val="auto"/>
                <w:sz w:val="24"/>
                <w:highlight w:val="none"/>
              </w:rPr>
            </w:pPr>
          </w:p>
        </w:tc>
        <w:tc>
          <w:tcPr>
            <w:tcW w:w="926" w:type="dxa"/>
            <w:noWrap w:val="0"/>
            <w:vAlign w:val="top"/>
          </w:tcPr>
          <w:p>
            <w:pPr>
              <w:adjustRightInd w:val="0"/>
              <w:snapToGrid w:val="0"/>
              <w:jc w:val="left"/>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left"/>
              <w:rPr>
                <w:rFonts w:ascii="宋体" w:hAnsi="宋体" w:cs="宋体"/>
                <w:color w:val="auto"/>
                <w:sz w:val="24"/>
                <w:highlight w:val="none"/>
              </w:rPr>
            </w:pPr>
          </w:p>
        </w:tc>
        <w:tc>
          <w:tcPr>
            <w:tcW w:w="1004" w:type="dxa"/>
            <w:noWrap w:val="0"/>
            <w:vAlign w:val="center"/>
          </w:tcPr>
          <w:p>
            <w:pPr>
              <w:adjustRightInd w:val="0"/>
              <w:snapToGrid w:val="0"/>
              <w:jc w:val="left"/>
              <w:rPr>
                <w:rFonts w:ascii="宋体" w:hAnsi="宋体" w:cs="宋体"/>
                <w:color w:val="auto"/>
                <w:sz w:val="24"/>
                <w:highlight w:val="none"/>
              </w:rPr>
            </w:pPr>
          </w:p>
        </w:tc>
        <w:tc>
          <w:tcPr>
            <w:tcW w:w="815" w:type="dxa"/>
            <w:noWrap w:val="0"/>
            <w:vAlign w:val="center"/>
          </w:tcPr>
          <w:p>
            <w:pPr>
              <w:adjustRightInd w:val="0"/>
              <w:snapToGrid w:val="0"/>
              <w:jc w:val="left"/>
              <w:rPr>
                <w:rFonts w:ascii="宋体" w:hAnsi="宋体" w:cs="宋体"/>
                <w:color w:val="auto"/>
                <w:sz w:val="24"/>
                <w:highlight w:val="none"/>
              </w:rPr>
            </w:pPr>
          </w:p>
        </w:tc>
        <w:tc>
          <w:tcPr>
            <w:tcW w:w="1001" w:type="dxa"/>
            <w:noWrap w:val="0"/>
            <w:vAlign w:val="center"/>
          </w:tcPr>
          <w:p>
            <w:pPr>
              <w:adjustRightInd w:val="0"/>
              <w:snapToGrid w:val="0"/>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89" w:type="dxa"/>
            <w:noWrap w:val="0"/>
            <w:vAlign w:val="center"/>
          </w:tcPr>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3</w:t>
            </w:r>
          </w:p>
        </w:tc>
        <w:tc>
          <w:tcPr>
            <w:tcW w:w="1033" w:type="dxa"/>
            <w:noWrap w:val="0"/>
            <w:vAlign w:val="center"/>
          </w:tcPr>
          <w:p>
            <w:pPr>
              <w:adjustRightInd w:val="0"/>
              <w:snapToGrid w:val="0"/>
              <w:jc w:val="left"/>
              <w:rPr>
                <w:rFonts w:ascii="宋体" w:hAnsi="宋体" w:cs="宋体"/>
                <w:color w:val="auto"/>
                <w:sz w:val="24"/>
                <w:highlight w:val="none"/>
              </w:rPr>
            </w:pPr>
          </w:p>
        </w:tc>
        <w:tc>
          <w:tcPr>
            <w:tcW w:w="1300" w:type="dxa"/>
            <w:noWrap w:val="0"/>
            <w:vAlign w:val="center"/>
          </w:tcPr>
          <w:p>
            <w:pPr>
              <w:adjustRightInd w:val="0"/>
              <w:snapToGrid w:val="0"/>
              <w:jc w:val="left"/>
              <w:rPr>
                <w:rFonts w:ascii="宋体" w:hAnsi="宋体" w:cs="宋体"/>
                <w:color w:val="auto"/>
                <w:sz w:val="24"/>
                <w:highlight w:val="none"/>
              </w:rPr>
            </w:pPr>
          </w:p>
        </w:tc>
        <w:tc>
          <w:tcPr>
            <w:tcW w:w="926" w:type="dxa"/>
            <w:noWrap w:val="0"/>
            <w:vAlign w:val="top"/>
          </w:tcPr>
          <w:p>
            <w:pPr>
              <w:adjustRightInd w:val="0"/>
              <w:snapToGrid w:val="0"/>
              <w:jc w:val="left"/>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left"/>
              <w:rPr>
                <w:rFonts w:ascii="宋体" w:hAnsi="宋体" w:cs="宋体"/>
                <w:color w:val="auto"/>
                <w:sz w:val="24"/>
                <w:highlight w:val="none"/>
              </w:rPr>
            </w:pPr>
          </w:p>
        </w:tc>
        <w:tc>
          <w:tcPr>
            <w:tcW w:w="1004" w:type="dxa"/>
            <w:noWrap w:val="0"/>
            <w:vAlign w:val="center"/>
          </w:tcPr>
          <w:p>
            <w:pPr>
              <w:adjustRightInd w:val="0"/>
              <w:snapToGrid w:val="0"/>
              <w:jc w:val="left"/>
              <w:rPr>
                <w:rFonts w:ascii="宋体" w:hAnsi="宋体" w:cs="宋体"/>
                <w:color w:val="auto"/>
                <w:sz w:val="24"/>
                <w:highlight w:val="none"/>
              </w:rPr>
            </w:pPr>
          </w:p>
        </w:tc>
        <w:tc>
          <w:tcPr>
            <w:tcW w:w="815" w:type="dxa"/>
            <w:noWrap w:val="0"/>
            <w:vAlign w:val="center"/>
          </w:tcPr>
          <w:p>
            <w:pPr>
              <w:adjustRightInd w:val="0"/>
              <w:snapToGrid w:val="0"/>
              <w:jc w:val="left"/>
              <w:rPr>
                <w:rFonts w:ascii="宋体" w:hAnsi="宋体" w:cs="宋体"/>
                <w:color w:val="auto"/>
                <w:sz w:val="24"/>
                <w:highlight w:val="none"/>
              </w:rPr>
            </w:pPr>
          </w:p>
        </w:tc>
        <w:tc>
          <w:tcPr>
            <w:tcW w:w="1001" w:type="dxa"/>
            <w:noWrap w:val="0"/>
            <w:vAlign w:val="center"/>
          </w:tcPr>
          <w:p>
            <w:pPr>
              <w:adjustRightInd w:val="0"/>
              <w:snapToGrid w:val="0"/>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89" w:type="dxa"/>
            <w:noWrap w:val="0"/>
            <w:vAlign w:val="center"/>
          </w:tcPr>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4</w:t>
            </w:r>
          </w:p>
        </w:tc>
        <w:tc>
          <w:tcPr>
            <w:tcW w:w="1033" w:type="dxa"/>
            <w:noWrap w:val="0"/>
            <w:vAlign w:val="center"/>
          </w:tcPr>
          <w:p>
            <w:pPr>
              <w:adjustRightInd w:val="0"/>
              <w:snapToGrid w:val="0"/>
              <w:jc w:val="left"/>
              <w:rPr>
                <w:rFonts w:ascii="宋体" w:hAnsi="宋体" w:cs="宋体"/>
                <w:color w:val="auto"/>
                <w:sz w:val="24"/>
                <w:highlight w:val="none"/>
              </w:rPr>
            </w:pPr>
          </w:p>
        </w:tc>
        <w:tc>
          <w:tcPr>
            <w:tcW w:w="1300" w:type="dxa"/>
            <w:noWrap w:val="0"/>
            <w:vAlign w:val="center"/>
          </w:tcPr>
          <w:p>
            <w:pPr>
              <w:adjustRightInd w:val="0"/>
              <w:snapToGrid w:val="0"/>
              <w:jc w:val="left"/>
              <w:rPr>
                <w:rFonts w:ascii="宋体" w:hAnsi="宋体" w:cs="宋体"/>
                <w:color w:val="auto"/>
                <w:sz w:val="24"/>
                <w:highlight w:val="none"/>
              </w:rPr>
            </w:pPr>
          </w:p>
        </w:tc>
        <w:tc>
          <w:tcPr>
            <w:tcW w:w="926" w:type="dxa"/>
            <w:noWrap w:val="0"/>
            <w:vAlign w:val="top"/>
          </w:tcPr>
          <w:p>
            <w:pPr>
              <w:adjustRightInd w:val="0"/>
              <w:snapToGrid w:val="0"/>
              <w:jc w:val="left"/>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left"/>
              <w:rPr>
                <w:rFonts w:ascii="宋体" w:hAnsi="宋体" w:cs="宋体"/>
                <w:color w:val="auto"/>
                <w:sz w:val="24"/>
                <w:highlight w:val="none"/>
              </w:rPr>
            </w:pPr>
          </w:p>
        </w:tc>
        <w:tc>
          <w:tcPr>
            <w:tcW w:w="1004" w:type="dxa"/>
            <w:noWrap w:val="0"/>
            <w:vAlign w:val="center"/>
          </w:tcPr>
          <w:p>
            <w:pPr>
              <w:adjustRightInd w:val="0"/>
              <w:snapToGrid w:val="0"/>
              <w:jc w:val="left"/>
              <w:rPr>
                <w:rFonts w:ascii="宋体" w:hAnsi="宋体" w:cs="宋体"/>
                <w:color w:val="auto"/>
                <w:sz w:val="24"/>
                <w:highlight w:val="none"/>
              </w:rPr>
            </w:pPr>
          </w:p>
        </w:tc>
        <w:tc>
          <w:tcPr>
            <w:tcW w:w="815" w:type="dxa"/>
            <w:noWrap w:val="0"/>
            <w:vAlign w:val="center"/>
          </w:tcPr>
          <w:p>
            <w:pPr>
              <w:adjustRightInd w:val="0"/>
              <w:snapToGrid w:val="0"/>
              <w:jc w:val="left"/>
              <w:rPr>
                <w:rFonts w:ascii="宋体" w:hAnsi="宋体" w:cs="宋体"/>
                <w:color w:val="auto"/>
                <w:sz w:val="24"/>
                <w:highlight w:val="none"/>
              </w:rPr>
            </w:pPr>
          </w:p>
        </w:tc>
        <w:tc>
          <w:tcPr>
            <w:tcW w:w="1001" w:type="dxa"/>
            <w:noWrap w:val="0"/>
            <w:vAlign w:val="center"/>
          </w:tcPr>
          <w:p>
            <w:pPr>
              <w:adjustRightInd w:val="0"/>
              <w:snapToGrid w:val="0"/>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89" w:type="dxa"/>
            <w:noWrap w:val="0"/>
            <w:vAlign w:val="center"/>
          </w:tcPr>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w:t>
            </w:r>
          </w:p>
        </w:tc>
        <w:tc>
          <w:tcPr>
            <w:tcW w:w="1033" w:type="dxa"/>
            <w:noWrap w:val="0"/>
            <w:vAlign w:val="center"/>
          </w:tcPr>
          <w:p>
            <w:pPr>
              <w:adjustRightInd w:val="0"/>
              <w:snapToGrid w:val="0"/>
              <w:jc w:val="left"/>
              <w:rPr>
                <w:rFonts w:ascii="宋体" w:hAnsi="宋体" w:cs="宋体"/>
                <w:color w:val="auto"/>
                <w:sz w:val="24"/>
                <w:highlight w:val="none"/>
              </w:rPr>
            </w:pPr>
          </w:p>
        </w:tc>
        <w:tc>
          <w:tcPr>
            <w:tcW w:w="1300" w:type="dxa"/>
            <w:noWrap w:val="0"/>
            <w:vAlign w:val="center"/>
          </w:tcPr>
          <w:p>
            <w:pPr>
              <w:adjustRightInd w:val="0"/>
              <w:snapToGrid w:val="0"/>
              <w:jc w:val="left"/>
              <w:rPr>
                <w:rFonts w:ascii="宋体" w:hAnsi="宋体" w:cs="宋体"/>
                <w:color w:val="auto"/>
                <w:sz w:val="24"/>
                <w:highlight w:val="none"/>
              </w:rPr>
            </w:pPr>
          </w:p>
        </w:tc>
        <w:tc>
          <w:tcPr>
            <w:tcW w:w="926" w:type="dxa"/>
            <w:noWrap w:val="0"/>
            <w:vAlign w:val="top"/>
          </w:tcPr>
          <w:p>
            <w:pPr>
              <w:adjustRightInd w:val="0"/>
              <w:snapToGrid w:val="0"/>
              <w:jc w:val="left"/>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left"/>
              <w:rPr>
                <w:rFonts w:ascii="宋体" w:hAnsi="宋体" w:cs="宋体"/>
                <w:color w:val="auto"/>
                <w:sz w:val="24"/>
                <w:highlight w:val="none"/>
              </w:rPr>
            </w:pPr>
          </w:p>
        </w:tc>
        <w:tc>
          <w:tcPr>
            <w:tcW w:w="1004" w:type="dxa"/>
            <w:noWrap w:val="0"/>
            <w:vAlign w:val="center"/>
          </w:tcPr>
          <w:p>
            <w:pPr>
              <w:adjustRightInd w:val="0"/>
              <w:snapToGrid w:val="0"/>
              <w:jc w:val="left"/>
              <w:rPr>
                <w:rFonts w:ascii="宋体" w:hAnsi="宋体" w:cs="宋体"/>
                <w:color w:val="auto"/>
                <w:sz w:val="24"/>
                <w:highlight w:val="none"/>
              </w:rPr>
            </w:pPr>
          </w:p>
        </w:tc>
        <w:tc>
          <w:tcPr>
            <w:tcW w:w="815" w:type="dxa"/>
            <w:noWrap w:val="0"/>
            <w:vAlign w:val="center"/>
          </w:tcPr>
          <w:p>
            <w:pPr>
              <w:adjustRightInd w:val="0"/>
              <w:snapToGrid w:val="0"/>
              <w:jc w:val="left"/>
              <w:rPr>
                <w:rFonts w:ascii="宋体" w:hAnsi="宋体" w:cs="宋体"/>
                <w:color w:val="auto"/>
                <w:sz w:val="24"/>
                <w:highlight w:val="none"/>
              </w:rPr>
            </w:pPr>
          </w:p>
        </w:tc>
        <w:tc>
          <w:tcPr>
            <w:tcW w:w="1001" w:type="dxa"/>
            <w:noWrap w:val="0"/>
            <w:vAlign w:val="center"/>
          </w:tcPr>
          <w:p>
            <w:pPr>
              <w:adjustRightInd w:val="0"/>
              <w:snapToGrid w:val="0"/>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89" w:type="dxa"/>
            <w:noWrap w:val="0"/>
            <w:vAlign w:val="center"/>
          </w:tcPr>
          <w:p>
            <w:pPr>
              <w:adjustRightInd w:val="0"/>
              <w:snapToGrid w:val="0"/>
              <w:jc w:val="left"/>
              <w:rPr>
                <w:rFonts w:ascii="宋体" w:hAnsi="宋体" w:cs="宋体"/>
                <w:color w:val="auto"/>
                <w:sz w:val="24"/>
                <w:highlight w:val="none"/>
              </w:rPr>
            </w:pPr>
            <w:r>
              <w:rPr>
                <w:rFonts w:hint="eastAsia" w:ascii="宋体" w:hAnsi="宋体" w:cs="宋体"/>
                <w:color w:val="auto"/>
                <w:sz w:val="24"/>
                <w:highlight w:val="none"/>
              </w:rPr>
              <w:t>…</w:t>
            </w:r>
          </w:p>
        </w:tc>
        <w:tc>
          <w:tcPr>
            <w:tcW w:w="1033" w:type="dxa"/>
            <w:noWrap w:val="0"/>
            <w:vAlign w:val="center"/>
          </w:tcPr>
          <w:p>
            <w:pPr>
              <w:adjustRightInd w:val="0"/>
              <w:snapToGrid w:val="0"/>
              <w:jc w:val="left"/>
              <w:rPr>
                <w:rFonts w:ascii="宋体" w:hAnsi="宋体" w:cs="宋体"/>
                <w:color w:val="auto"/>
                <w:sz w:val="24"/>
                <w:highlight w:val="none"/>
              </w:rPr>
            </w:pPr>
          </w:p>
        </w:tc>
        <w:tc>
          <w:tcPr>
            <w:tcW w:w="1300" w:type="dxa"/>
            <w:noWrap w:val="0"/>
            <w:vAlign w:val="center"/>
          </w:tcPr>
          <w:p>
            <w:pPr>
              <w:adjustRightInd w:val="0"/>
              <w:snapToGrid w:val="0"/>
              <w:jc w:val="left"/>
              <w:rPr>
                <w:rFonts w:ascii="宋体" w:hAnsi="宋体" w:cs="宋体"/>
                <w:color w:val="auto"/>
                <w:sz w:val="24"/>
                <w:highlight w:val="none"/>
              </w:rPr>
            </w:pPr>
          </w:p>
        </w:tc>
        <w:tc>
          <w:tcPr>
            <w:tcW w:w="926" w:type="dxa"/>
            <w:noWrap w:val="0"/>
            <w:vAlign w:val="top"/>
          </w:tcPr>
          <w:p>
            <w:pPr>
              <w:adjustRightInd w:val="0"/>
              <w:snapToGrid w:val="0"/>
              <w:jc w:val="left"/>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top"/>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center"/>
              <w:rPr>
                <w:rFonts w:ascii="宋体" w:hAnsi="宋体" w:cs="宋体"/>
                <w:color w:val="auto"/>
                <w:sz w:val="24"/>
                <w:highlight w:val="none"/>
              </w:rPr>
            </w:pPr>
          </w:p>
        </w:tc>
        <w:tc>
          <w:tcPr>
            <w:tcW w:w="1230" w:type="dxa"/>
            <w:noWrap w:val="0"/>
            <w:vAlign w:val="center"/>
          </w:tcPr>
          <w:p>
            <w:pPr>
              <w:adjustRightInd w:val="0"/>
              <w:snapToGrid w:val="0"/>
              <w:jc w:val="left"/>
              <w:rPr>
                <w:rFonts w:ascii="宋体" w:hAnsi="宋体" w:cs="宋体"/>
                <w:color w:val="auto"/>
                <w:sz w:val="24"/>
                <w:highlight w:val="none"/>
              </w:rPr>
            </w:pPr>
          </w:p>
        </w:tc>
        <w:tc>
          <w:tcPr>
            <w:tcW w:w="1004" w:type="dxa"/>
            <w:noWrap w:val="0"/>
            <w:vAlign w:val="center"/>
          </w:tcPr>
          <w:p>
            <w:pPr>
              <w:adjustRightInd w:val="0"/>
              <w:snapToGrid w:val="0"/>
              <w:jc w:val="left"/>
              <w:rPr>
                <w:rFonts w:ascii="宋体" w:hAnsi="宋体" w:cs="宋体"/>
                <w:color w:val="auto"/>
                <w:sz w:val="24"/>
                <w:highlight w:val="none"/>
              </w:rPr>
            </w:pPr>
          </w:p>
        </w:tc>
        <w:tc>
          <w:tcPr>
            <w:tcW w:w="815" w:type="dxa"/>
            <w:noWrap w:val="0"/>
            <w:vAlign w:val="center"/>
          </w:tcPr>
          <w:p>
            <w:pPr>
              <w:adjustRightInd w:val="0"/>
              <w:snapToGrid w:val="0"/>
              <w:jc w:val="left"/>
              <w:rPr>
                <w:rFonts w:ascii="宋体" w:hAnsi="宋体" w:cs="宋体"/>
                <w:color w:val="auto"/>
                <w:sz w:val="24"/>
                <w:highlight w:val="none"/>
              </w:rPr>
            </w:pPr>
          </w:p>
        </w:tc>
        <w:tc>
          <w:tcPr>
            <w:tcW w:w="1001" w:type="dxa"/>
            <w:noWrap w:val="0"/>
            <w:vAlign w:val="center"/>
          </w:tcPr>
          <w:p>
            <w:pPr>
              <w:adjustRightInd w:val="0"/>
              <w:snapToGrid w:val="0"/>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947" w:type="dxa"/>
            <w:gridSpan w:val="12"/>
            <w:noWrap w:val="0"/>
            <w:vAlign w:val="top"/>
          </w:tcPr>
          <w:p>
            <w:pPr>
              <w:jc w:val="right"/>
              <w:rPr>
                <w:rFonts w:ascii="宋体" w:hAnsi="宋体" w:cs="宋体"/>
                <w:b/>
                <w:color w:val="auto"/>
                <w:sz w:val="24"/>
                <w:highlight w:val="none"/>
              </w:rPr>
            </w:pPr>
            <w:r>
              <w:rPr>
                <w:rFonts w:hint="eastAsia" w:ascii="宋体" w:hAnsi="宋体" w:cs="宋体"/>
                <w:b/>
                <w:color w:val="auto"/>
                <w:sz w:val="24"/>
                <w:highlight w:val="none"/>
              </w:rPr>
              <w:t>总价（元）</w:t>
            </w:r>
          </w:p>
        </w:tc>
        <w:tc>
          <w:tcPr>
            <w:tcW w:w="1001" w:type="dxa"/>
            <w:noWrap w:val="0"/>
            <w:vAlign w:val="center"/>
          </w:tcPr>
          <w:p>
            <w:pPr>
              <w:adjustRightInd w:val="0"/>
              <w:snapToGrid w:val="0"/>
              <w:jc w:val="left"/>
              <w:rPr>
                <w:rFonts w:ascii="宋体" w:hAnsi="宋体" w:cs="宋体"/>
                <w:color w:val="auto"/>
                <w:sz w:val="24"/>
                <w:highlight w:val="none"/>
              </w:rPr>
            </w:pPr>
          </w:p>
        </w:tc>
      </w:tr>
    </w:tbl>
    <w:p>
      <w:pPr>
        <w:tabs>
          <w:tab w:val="left" w:pos="1800"/>
          <w:tab w:val="left" w:pos="5580"/>
        </w:tabs>
        <w:jc w:val="left"/>
        <w:rPr>
          <w:rFonts w:ascii="宋体" w:hAnsi="宋体" w:cs="宋体"/>
          <w:color w:val="auto"/>
          <w:sz w:val="24"/>
          <w:highlight w:val="none"/>
        </w:rPr>
      </w:pPr>
    </w:p>
    <w:p>
      <w:pPr>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注：1.本表应按包分别填写。</w:t>
      </w:r>
    </w:p>
    <w:p>
      <w:pPr>
        <w:tabs>
          <w:tab w:val="left" w:pos="1800"/>
          <w:tab w:val="left" w:pos="5580"/>
        </w:tabs>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ascii="宋体" w:hAnsi="宋体" w:cs="宋体"/>
          <w:color w:val="auto"/>
          <w:sz w:val="24"/>
          <w:szCs w:val="20"/>
          <w:highlight w:val="none"/>
        </w:rPr>
      </w:pPr>
      <w:r>
        <w:rPr>
          <w:rFonts w:hint="eastAsia" w:ascii="宋体" w:hAnsi="宋体" w:cs="宋体"/>
          <w:color w:val="auto"/>
          <w:sz w:val="24"/>
          <w:szCs w:val="20"/>
          <w:highlight w:val="none"/>
        </w:rPr>
        <w:t>4.</w:t>
      </w:r>
      <w:r>
        <w:rPr>
          <w:rFonts w:hint="eastAsia" w:ascii="宋体" w:hAnsi="宋体" w:cs="宋体"/>
          <w:b/>
          <w:bCs/>
          <w:color w:val="auto"/>
          <w:sz w:val="24"/>
          <w:szCs w:val="20"/>
          <w:highlight w:val="none"/>
        </w:rPr>
        <w:t>制造商规模列</w:t>
      </w:r>
      <w:r>
        <w:rPr>
          <w:rFonts w:hint="eastAsia" w:ascii="宋体" w:hAnsi="宋体" w:cs="宋体"/>
          <w:color w:val="auto"/>
          <w:sz w:val="24"/>
          <w:szCs w:val="20"/>
          <w:highlight w:val="none"/>
        </w:rPr>
        <w:t>应填写“大型”、“中型”、“小型”、“微型”或“其他”，且不应与《中小企业声明函》或《拟分包情况说明》中内容矛盾。</w:t>
      </w:r>
      <w:r>
        <w:rPr>
          <w:rFonts w:hint="eastAsia" w:ascii="宋体" w:hAnsi="宋体" w:cs="宋体"/>
          <w:b/>
          <w:bCs/>
          <w:color w:val="auto"/>
          <w:sz w:val="24"/>
          <w:szCs w:val="20"/>
          <w:highlight w:val="none"/>
        </w:rPr>
        <w:t>制造商所属性别</w:t>
      </w:r>
      <w:r>
        <w:rPr>
          <w:rFonts w:hint="eastAsia" w:ascii="宋体" w:hAnsi="宋体" w:cs="宋体"/>
          <w:color w:val="auto"/>
          <w:sz w:val="24"/>
          <w:szCs w:val="20"/>
          <w:highlight w:val="none"/>
        </w:rPr>
        <w:t>请填写“男”或“女”，</w:t>
      </w:r>
      <w:r>
        <w:rPr>
          <w:rFonts w:hint="eastAsia" w:ascii="宋体" w:hAnsi="宋体" w:cs="宋体"/>
          <w:color w:val="auto"/>
          <w:sz w:val="24"/>
          <w:highlight w:val="none"/>
        </w:rPr>
        <w:t>指拥有制造商51%以上绝对所有权的性别；绝对所有权拥有者可以是一个人，也可以是多人合计计算</w:t>
      </w:r>
      <w:r>
        <w:rPr>
          <w:rFonts w:hint="eastAsia" w:ascii="宋体" w:hAnsi="宋体" w:cs="宋体"/>
          <w:color w:val="auto"/>
          <w:sz w:val="24"/>
          <w:szCs w:val="20"/>
          <w:highlight w:val="none"/>
        </w:rPr>
        <w:t>。</w:t>
      </w:r>
      <w:r>
        <w:rPr>
          <w:rFonts w:hint="eastAsia" w:ascii="宋体" w:hAnsi="宋体" w:cs="宋体"/>
          <w:b/>
          <w:bCs/>
          <w:color w:val="auto"/>
          <w:sz w:val="24"/>
          <w:szCs w:val="20"/>
          <w:highlight w:val="none"/>
        </w:rPr>
        <w:t>外商投资类型</w:t>
      </w:r>
      <w:r>
        <w:rPr>
          <w:rFonts w:hint="eastAsia" w:ascii="宋体" w:hAnsi="宋体" w:cs="宋体"/>
          <w:color w:val="auto"/>
          <w:sz w:val="24"/>
          <w:szCs w:val="20"/>
          <w:highlight w:val="none"/>
        </w:rPr>
        <w:t>请填写“外商单独投资”、“外商部分投资”或“内资”。</w:t>
      </w:r>
      <w:r>
        <w:rPr>
          <w:rFonts w:hint="eastAsia" w:ascii="宋体" w:hAnsi="宋体" w:cs="宋体"/>
          <w:b/>
          <w:bCs/>
          <w:color w:val="auto"/>
          <w:sz w:val="24"/>
          <w:szCs w:val="20"/>
          <w:highlight w:val="none"/>
        </w:rPr>
        <w:t>产品产地列</w:t>
      </w:r>
      <w:r>
        <w:rPr>
          <w:rFonts w:hint="eastAsia" w:ascii="宋体" w:hAnsi="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ascii="宋体" w:hAnsi="宋体" w:cs="宋体"/>
          <w:color w:val="auto"/>
          <w:sz w:val="24"/>
          <w:szCs w:val="20"/>
          <w:highlight w:val="none"/>
        </w:rPr>
      </w:pPr>
    </w:p>
    <w:p>
      <w:pPr>
        <w:autoSpaceDE w:val="0"/>
        <w:autoSpaceDN w:val="0"/>
        <w:adjustRightInd w:val="0"/>
        <w:snapToGrid w:val="0"/>
        <w:spacing w:before="25" w:beforeLines="0" w:after="25" w:afterLines="0" w:line="360" w:lineRule="auto"/>
        <w:ind w:firstLine="240" w:firstLineChars="100"/>
        <w:rPr>
          <w:rFonts w:ascii="宋体" w:hAnsi="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xml:space="preserve">：____________                                                </w:t>
      </w:r>
      <w:r>
        <w:rPr>
          <w:rFonts w:hint="eastAsia" w:ascii="宋体" w:hAnsi="宋体" w:cs="宋体"/>
          <w:color w:val="auto"/>
          <w:sz w:val="24"/>
          <w:szCs w:val="20"/>
          <w:highlight w:val="none"/>
        </w:rPr>
        <w:t>日期：_____年______月______日</w:t>
      </w:r>
    </w:p>
    <w:p>
      <w:pPr>
        <w:pStyle w:val="5"/>
        <w:snapToGrid w:val="0"/>
        <w:spacing w:before="25" w:beforeLines="0" w:after="25" w:afterLines="0" w:line="360" w:lineRule="auto"/>
        <w:rPr>
          <w:rFonts w:hAnsi="宋体" w:cs="宋体"/>
          <w:color w:val="auto"/>
          <w:highlight w:val="none"/>
        </w:rPr>
      </w:pPr>
      <w:r>
        <w:rPr>
          <w:rFonts w:hint="eastAsia" w:hAnsi="宋体" w:cs="宋体"/>
          <w:color w:val="auto"/>
          <w:highlight w:val="none"/>
        </w:rPr>
        <w:t>5  合同条款偏离表</w:t>
      </w:r>
      <w:bookmarkEnd w:id="427"/>
      <w:bookmarkEnd w:id="428"/>
      <w:bookmarkEnd w:id="429"/>
      <w:bookmarkEnd w:id="430"/>
      <w:bookmarkEnd w:id="431"/>
      <w:bookmarkEnd w:id="432"/>
      <w:bookmarkEnd w:id="433"/>
      <w:bookmarkEnd w:id="434"/>
      <w:bookmarkEnd w:id="435"/>
      <w:bookmarkEnd w:id="436"/>
      <w:bookmarkEnd w:id="437"/>
      <w:bookmarkEnd w:id="438"/>
      <w:bookmarkEnd w:id="439"/>
      <w:r>
        <w:rPr>
          <w:rFonts w:hint="eastAsia" w:hAnsi="宋体" w:cs="宋体"/>
          <w:color w:val="auto"/>
          <w:highlight w:val="none"/>
        </w:rPr>
        <w:t>（实质性格式）</w:t>
      </w:r>
    </w:p>
    <w:p>
      <w:pPr>
        <w:tabs>
          <w:tab w:val="left" w:pos="2775"/>
          <w:tab w:val="center" w:pos="4153"/>
        </w:tabs>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合同条款偏离表</w:t>
      </w:r>
    </w:p>
    <w:p>
      <w:pPr>
        <w:pStyle w:val="2"/>
        <w:rPr>
          <w:rFonts w:cs="宋体"/>
          <w:color w:val="auto"/>
          <w:highlight w:val="none"/>
        </w:rPr>
      </w:pPr>
      <w:r>
        <w:rPr>
          <w:rFonts w:hint="eastAsia"/>
          <w:color w:val="auto"/>
          <w:highlight w:val="none"/>
        </w:rPr>
        <w:t>项目名称：</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___</w:t>
      </w:r>
      <w:r>
        <w:rPr>
          <w:rFonts w:hint="eastAsia"/>
          <w:color w:val="auto"/>
          <w:highlight w:val="none"/>
        </w:rPr>
        <w:t xml:space="preserve">     </w:t>
      </w:r>
      <w:r>
        <w:rPr>
          <w:rFonts w:hint="eastAsia"/>
          <w:color w:val="auto"/>
          <w:szCs w:val="20"/>
          <w:highlight w:val="none"/>
        </w:rPr>
        <w:t>项目编号：</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w:t>
      </w:r>
      <w:r>
        <w:rPr>
          <w:rFonts w:hint="eastAsia" w:cs="宋体"/>
          <w:color w:val="auto"/>
          <w:highlight w:val="none"/>
        </w:rPr>
        <w:t>_</w:t>
      </w:r>
    </w:p>
    <w:tbl>
      <w:tblPr>
        <w:tblStyle w:val="2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noWrap w:val="0"/>
            <w:vAlign w:val="center"/>
          </w:tcPr>
          <w:p>
            <w:pPr>
              <w:adjustRightInd w:val="0"/>
              <w:snapToGrid w:val="0"/>
              <w:jc w:val="left"/>
              <w:rPr>
                <w:rFonts w:ascii="宋体" w:hAnsi="宋体" w:cs="宋体"/>
                <w:b/>
                <w:color w:val="auto"/>
                <w:sz w:val="24"/>
                <w:highlight w:val="none"/>
              </w:rPr>
            </w:pPr>
            <w:r>
              <w:rPr>
                <w:rFonts w:hint="eastAsia" w:ascii="宋体" w:hAnsi="宋体" w:cs="宋体"/>
                <w:b/>
                <w:color w:val="auto"/>
                <w:sz w:val="24"/>
                <w:highlight w:val="none"/>
              </w:rPr>
              <w:t>对本项目合同条款的偏离情况（应进行选择，未选择投标无效）：</w:t>
            </w:r>
          </w:p>
          <w:p>
            <w:pPr>
              <w:adjustRightInd w:val="0"/>
              <w:snapToGrid w:val="0"/>
              <w:jc w:val="left"/>
              <w:rPr>
                <w:rFonts w:ascii="宋体" w:hAnsi="宋体" w:cs="宋体"/>
                <w:b/>
                <w:color w:val="auto"/>
                <w:sz w:val="24"/>
                <w:highlight w:val="none"/>
              </w:rPr>
            </w:pPr>
            <w:r>
              <w:rPr>
                <w:rFonts w:hint="eastAsia" w:ascii="宋体" w:hAnsi="宋体" w:cs="宋体"/>
                <w:b/>
                <w:color w:val="auto"/>
                <w:sz w:val="24"/>
                <w:highlight w:val="none"/>
              </w:rPr>
              <w:t>□无偏离</w:t>
            </w:r>
            <w:r>
              <w:rPr>
                <w:rFonts w:hint="eastAsia" w:ascii="宋体" w:hAnsi="宋体" w:cs="宋体"/>
                <w:color w:val="auto"/>
                <w:sz w:val="24"/>
                <w:highlight w:val="none"/>
              </w:rPr>
              <w:t>（</w:t>
            </w:r>
            <w:r>
              <w:rPr>
                <w:rFonts w:hint="eastAsia" w:ascii="宋体" w:hAnsi="宋体" w:cs="宋体"/>
                <w:color w:val="auto"/>
                <w:sz w:val="24"/>
                <w:szCs w:val="21"/>
                <w:highlight w:val="none"/>
              </w:rPr>
              <w:t>如无偏离，仅选择无偏离即可；无偏离即为对合同条款中的所有要求，均视作投标人已对之理解和响应。</w:t>
            </w:r>
            <w:r>
              <w:rPr>
                <w:rFonts w:hint="eastAsia" w:ascii="宋体" w:hAnsi="宋体" w:cs="宋体"/>
                <w:color w:val="auto"/>
                <w:sz w:val="24"/>
                <w:highlight w:val="none"/>
              </w:rPr>
              <w:t>）</w:t>
            </w:r>
          </w:p>
          <w:p>
            <w:pPr>
              <w:adjustRightInd w:val="0"/>
              <w:snapToGrid w:val="0"/>
              <w:jc w:val="left"/>
              <w:rPr>
                <w:rFonts w:ascii="宋体" w:hAnsi="宋体" w:cs="宋体"/>
                <w:color w:val="auto"/>
                <w:sz w:val="24"/>
                <w:highlight w:val="none"/>
              </w:rPr>
            </w:pPr>
            <w:r>
              <w:rPr>
                <w:rFonts w:hint="eastAsia" w:ascii="宋体" w:hAnsi="宋体" w:cs="宋体"/>
                <w:b/>
                <w:color w:val="auto"/>
                <w:sz w:val="24"/>
                <w:highlight w:val="none"/>
              </w:rPr>
              <w:t>□有偏离</w:t>
            </w:r>
            <w:r>
              <w:rPr>
                <w:rFonts w:hint="eastAsia" w:ascii="宋体" w:hAnsi="宋体" w:cs="宋体"/>
                <w:color w:val="auto"/>
                <w:sz w:val="24"/>
                <w:highlight w:val="none"/>
              </w:rPr>
              <w:t>（</w:t>
            </w:r>
            <w:r>
              <w:rPr>
                <w:rFonts w:hint="eastAsia" w:ascii="宋体" w:hAnsi="宋体" w:cs="宋体"/>
                <w:color w:val="auto"/>
                <w:sz w:val="24"/>
                <w:szCs w:val="21"/>
                <w:highlight w:val="none"/>
              </w:rPr>
              <w:t>如有偏离，</w:t>
            </w:r>
            <w:r>
              <w:rPr>
                <w:rFonts w:hint="eastAsia" w:ascii="宋体" w:hAnsi="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4" w:type="dxa"/>
            <w:noWrap w:val="0"/>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条目号（页码）</w:t>
            </w:r>
          </w:p>
        </w:tc>
        <w:tc>
          <w:tcPr>
            <w:tcW w:w="1643" w:type="dxa"/>
            <w:noWrap w:val="0"/>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要求</w:t>
            </w:r>
          </w:p>
        </w:tc>
        <w:tc>
          <w:tcPr>
            <w:tcW w:w="1643" w:type="dxa"/>
            <w:noWrap w:val="0"/>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投标文件内容</w:t>
            </w:r>
          </w:p>
        </w:tc>
        <w:tc>
          <w:tcPr>
            <w:tcW w:w="1937" w:type="dxa"/>
            <w:noWrap w:val="0"/>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845" w:type="dxa"/>
            <w:noWrap w:val="0"/>
            <w:vAlign w:val="center"/>
          </w:tcPr>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s="宋体"/>
                <w:color w:val="auto"/>
                <w:sz w:val="24"/>
                <w:highlight w:val="none"/>
              </w:rPr>
            </w:pPr>
          </w:p>
        </w:tc>
        <w:tc>
          <w:tcPr>
            <w:tcW w:w="1354"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937" w:type="dxa"/>
            <w:noWrap w:val="0"/>
            <w:vAlign w:val="center"/>
          </w:tcPr>
          <w:p>
            <w:pPr>
              <w:adjustRightInd w:val="0"/>
              <w:snapToGrid w:val="0"/>
              <w:jc w:val="center"/>
              <w:rPr>
                <w:rFonts w:ascii="宋体" w:hAnsi="宋体" w:cs="宋体"/>
                <w:color w:val="auto"/>
                <w:sz w:val="24"/>
                <w:highlight w:val="none"/>
              </w:rPr>
            </w:pPr>
          </w:p>
        </w:tc>
        <w:tc>
          <w:tcPr>
            <w:tcW w:w="845" w:type="dxa"/>
            <w:noWrap w:val="0"/>
            <w:vAlign w:val="center"/>
          </w:tcPr>
          <w:p>
            <w:pPr>
              <w:adjustRightInd w:val="0"/>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s="宋体"/>
                <w:color w:val="auto"/>
                <w:sz w:val="24"/>
                <w:highlight w:val="none"/>
              </w:rPr>
            </w:pPr>
          </w:p>
        </w:tc>
        <w:tc>
          <w:tcPr>
            <w:tcW w:w="1354"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937" w:type="dxa"/>
            <w:noWrap w:val="0"/>
            <w:vAlign w:val="center"/>
          </w:tcPr>
          <w:p>
            <w:pPr>
              <w:adjustRightInd w:val="0"/>
              <w:snapToGrid w:val="0"/>
              <w:jc w:val="center"/>
              <w:rPr>
                <w:rFonts w:ascii="宋体" w:hAnsi="宋体" w:cs="宋体"/>
                <w:color w:val="auto"/>
                <w:sz w:val="24"/>
                <w:highlight w:val="none"/>
              </w:rPr>
            </w:pPr>
          </w:p>
        </w:tc>
        <w:tc>
          <w:tcPr>
            <w:tcW w:w="845" w:type="dxa"/>
            <w:noWrap w:val="0"/>
            <w:vAlign w:val="center"/>
          </w:tcPr>
          <w:p>
            <w:pPr>
              <w:adjustRightInd w:val="0"/>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s="宋体"/>
                <w:color w:val="auto"/>
                <w:sz w:val="24"/>
                <w:highlight w:val="none"/>
              </w:rPr>
            </w:pPr>
          </w:p>
        </w:tc>
        <w:tc>
          <w:tcPr>
            <w:tcW w:w="1354"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937" w:type="dxa"/>
            <w:noWrap w:val="0"/>
            <w:vAlign w:val="center"/>
          </w:tcPr>
          <w:p>
            <w:pPr>
              <w:adjustRightInd w:val="0"/>
              <w:snapToGrid w:val="0"/>
              <w:jc w:val="center"/>
              <w:rPr>
                <w:rFonts w:ascii="宋体" w:hAnsi="宋体" w:cs="宋体"/>
                <w:color w:val="auto"/>
                <w:sz w:val="24"/>
                <w:highlight w:val="none"/>
              </w:rPr>
            </w:pPr>
          </w:p>
        </w:tc>
        <w:tc>
          <w:tcPr>
            <w:tcW w:w="845" w:type="dxa"/>
            <w:noWrap w:val="0"/>
            <w:vAlign w:val="center"/>
          </w:tcPr>
          <w:p>
            <w:pPr>
              <w:adjustRightInd w:val="0"/>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s="宋体"/>
                <w:color w:val="auto"/>
                <w:sz w:val="24"/>
                <w:highlight w:val="none"/>
              </w:rPr>
            </w:pPr>
          </w:p>
        </w:tc>
        <w:tc>
          <w:tcPr>
            <w:tcW w:w="1354"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643" w:type="dxa"/>
            <w:noWrap w:val="0"/>
            <w:vAlign w:val="center"/>
          </w:tcPr>
          <w:p>
            <w:pPr>
              <w:adjustRightInd w:val="0"/>
              <w:snapToGrid w:val="0"/>
              <w:jc w:val="center"/>
              <w:rPr>
                <w:rFonts w:ascii="宋体" w:hAnsi="宋体" w:cs="宋体"/>
                <w:color w:val="auto"/>
                <w:sz w:val="24"/>
                <w:highlight w:val="none"/>
              </w:rPr>
            </w:pPr>
          </w:p>
        </w:tc>
        <w:tc>
          <w:tcPr>
            <w:tcW w:w="1937" w:type="dxa"/>
            <w:noWrap w:val="0"/>
            <w:vAlign w:val="center"/>
          </w:tcPr>
          <w:p>
            <w:pPr>
              <w:adjustRightInd w:val="0"/>
              <w:snapToGrid w:val="0"/>
              <w:jc w:val="center"/>
              <w:rPr>
                <w:rFonts w:ascii="宋体" w:hAnsi="宋体" w:cs="宋体"/>
                <w:color w:val="auto"/>
                <w:sz w:val="24"/>
                <w:highlight w:val="none"/>
              </w:rPr>
            </w:pPr>
          </w:p>
        </w:tc>
        <w:tc>
          <w:tcPr>
            <w:tcW w:w="845" w:type="dxa"/>
            <w:noWrap w:val="0"/>
            <w:vAlign w:val="center"/>
          </w:tcPr>
          <w:p>
            <w:pPr>
              <w:adjustRightInd w:val="0"/>
              <w:snapToGrid w:val="0"/>
              <w:jc w:val="center"/>
              <w:rPr>
                <w:rFonts w:ascii="宋体" w:hAnsi="宋体" w:cs="宋体"/>
                <w:color w:val="auto"/>
                <w:sz w:val="24"/>
                <w:highlight w:val="none"/>
              </w:rPr>
            </w:pPr>
          </w:p>
        </w:tc>
      </w:tr>
    </w:tbl>
    <w:p>
      <w:pPr>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2. “偏离情况”列应据实填写“正偏离”或“负偏离”或“无偏离”。</w:t>
      </w:r>
    </w:p>
    <w:p>
      <w:pPr>
        <w:spacing w:line="360" w:lineRule="auto"/>
        <w:rPr>
          <w:rFonts w:ascii="宋体" w:hAnsi="宋体" w:cs="宋体"/>
          <w:color w:val="auto"/>
          <w:sz w:val="24"/>
          <w:szCs w:val="20"/>
          <w:highlight w:val="none"/>
        </w:rPr>
      </w:pPr>
    </w:p>
    <w:p>
      <w:pPr>
        <w:autoSpaceDE w:val="0"/>
        <w:autoSpaceDN w:val="0"/>
        <w:adjustRightInd w:val="0"/>
        <w:snapToGrid w:val="0"/>
        <w:spacing w:before="25" w:beforeLines="0" w:after="25" w:afterLines="0"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autoSpaceDE w:val="0"/>
        <w:autoSpaceDN w:val="0"/>
        <w:adjustRightInd w:val="0"/>
        <w:snapToGrid w:val="0"/>
        <w:spacing w:before="25" w:beforeLines="0" w:after="25" w:afterLines="0" w:line="360" w:lineRule="auto"/>
        <w:rPr>
          <w:rFonts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b/>
          <w:color w:val="auto"/>
          <w:sz w:val="24"/>
          <w:szCs w:val="20"/>
          <w:highlight w:val="none"/>
        </w:rPr>
        <w:t xml:space="preserve">6  </w:t>
      </w:r>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cs="宋体"/>
          <w:b/>
          <w:color w:val="auto"/>
          <w:sz w:val="24"/>
          <w:szCs w:val="20"/>
          <w:highlight w:val="none"/>
        </w:rPr>
        <w:t>采购需求偏离表 （实质性格式）</w:t>
      </w:r>
    </w:p>
    <w:p>
      <w:pPr>
        <w:autoSpaceDE w:val="0"/>
        <w:autoSpaceDN w:val="0"/>
        <w:adjustRightIn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采购需求偏离表</w:t>
      </w:r>
    </w:p>
    <w:p>
      <w:pPr>
        <w:pStyle w:val="2"/>
        <w:rPr>
          <w:color w:val="auto"/>
          <w:highlight w:val="none"/>
          <w:u w:val="single"/>
        </w:rPr>
      </w:pPr>
      <w:r>
        <w:rPr>
          <w:rFonts w:hint="eastAsia"/>
          <w:color w:val="auto"/>
          <w:highlight w:val="none"/>
        </w:rPr>
        <w:t>项目名称：</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___</w:t>
      </w:r>
      <w:r>
        <w:rPr>
          <w:rFonts w:hint="eastAsia"/>
          <w:color w:val="auto"/>
          <w:highlight w:val="none"/>
        </w:rPr>
        <w:t xml:space="preserve">     </w:t>
      </w:r>
      <w:r>
        <w:rPr>
          <w:rFonts w:hint="eastAsia"/>
          <w:color w:val="auto"/>
          <w:szCs w:val="20"/>
          <w:highlight w:val="none"/>
        </w:rPr>
        <w:t>项目编号：</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____</w:t>
      </w:r>
    </w:p>
    <w:tbl>
      <w:tblPr>
        <w:tblStyle w:val="2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354" w:type="dxa"/>
            <w:noWrap w:val="0"/>
            <w:vAlign w:val="center"/>
          </w:tcPr>
          <w:p>
            <w:pPr>
              <w:adjustRightInd w:val="0"/>
              <w:snapToGrid w:val="0"/>
              <w:jc w:val="center"/>
              <w:rPr>
                <w:rFonts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条目号（页码）</w:t>
            </w:r>
          </w:p>
        </w:tc>
        <w:tc>
          <w:tcPr>
            <w:tcW w:w="1643" w:type="dxa"/>
            <w:noWrap w:val="0"/>
            <w:vAlign w:val="center"/>
          </w:tcPr>
          <w:p>
            <w:pPr>
              <w:adjustRightInd w:val="0"/>
              <w:snapToGrid w:val="0"/>
              <w:jc w:val="center"/>
              <w:rPr>
                <w:rFonts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要求</w:t>
            </w:r>
          </w:p>
        </w:tc>
        <w:tc>
          <w:tcPr>
            <w:tcW w:w="1643" w:type="dxa"/>
            <w:noWrap w:val="0"/>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投标文件内容</w:t>
            </w:r>
          </w:p>
        </w:tc>
        <w:tc>
          <w:tcPr>
            <w:tcW w:w="1937" w:type="dxa"/>
            <w:noWrap w:val="0"/>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偏离情况</w:t>
            </w:r>
          </w:p>
        </w:tc>
        <w:tc>
          <w:tcPr>
            <w:tcW w:w="845" w:type="dxa"/>
            <w:noWrap w:val="0"/>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olor w:val="auto"/>
                <w:sz w:val="24"/>
                <w:highlight w:val="none"/>
              </w:rPr>
            </w:pPr>
          </w:p>
        </w:tc>
        <w:tc>
          <w:tcPr>
            <w:tcW w:w="1354"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937" w:type="dxa"/>
            <w:noWrap w:val="0"/>
            <w:vAlign w:val="center"/>
          </w:tcPr>
          <w:p>
            <w:pPr>
              <w:adjustRightInd w:val="0"/>
              <w:snapToGrid w:val="0"/>
              <w:jc w:val="center"/>
              <w:rPr>
                <w:rFonts w:ascii="宋体" w:hAnsi="宋体"/>
                <w:color w:val="auto"/>
                <w:sz w:val="24"/>
                <w:highlight w:val="none"/>
              </w:rPr>
            </w:pPr>
          </w:p>
        </w:tc>
        <w:tc>
          <w:tcPr>
            <w:tcW w:w="845" w:type="dxa"/>
            <w:noWrap w:val="0"/>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olor w:val="auto"/>
                <w:sz w:val="24"/>
                <w:highlight w:val="none"/>
              </w:rPr>
            </w:pPr>
          </w:p>
        </w:tc>
        <w:tc>
          <w:tcPr>
            <w:tcW w:w="1354"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937" w:type="dxa"/>
            <w:noWrap w:val="0"/>
            <w:vAlign w:val="center"/>
          </w:tcPr>
          <w:p>
            <w:pPr>
              <w:adjustRightInd w:val="0"/>
              <w:snapToGrid w:val="0"/>
              <w:jc w:val="center"/>
              <w:rPr>
                <w:rFonts w:ascii="宋体" w:hAnsi="宋体"/>
                <w:color w:val="auto"/>
                <w:sz w:val="24"/>
                <w:highlight w:val="none"/>
              </w:rPr>
            </w:pPr>
          </w:p>
        </w:tc>
        <w:tc>
          <w:tcPr>
            <w:tcW w:w="845" w:type="dxa"/>
            <w:noWrap w:val="0"/>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olor w:val="auto"/>
                <w:sz w:val="24"/>
                <w:highlight w:val="none"/>
              </w:rPr>
            </w:pPr>
          </w:p>
        </w:tc>
        <w:tc>
          <w:tcPr>
            <w:tcW w:w="1354"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937" w:type="dxa"/>
            <w:noWrap w:val="0"/>
            <w:vAlign w:val="center"/>
          </w:tcPr>
          <w:p>
            <w:pPr>
              <w:adjustRightInd w:val="0"/>
              <w:snapToGrid w:val="0"/>
              <w:jc w:val="center"/>
              <w:rPr>
                <w:rFonts w:ascii="宋体" w:hAnsi="宋体"/>
                <w:color w:val="auto"/>
                <w:sz w:val="24"/>
                <w:highlight w:val="none"/>
              </w:rPr>
            </w:pPr>
          </w:p>
        </w:tc>
        <w:tc>
          <w:tcPr>
            <w:tcW w:w="845" w:type="dxa"/>
            <w:noWrap w:val="0"/>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noWrap w:val="0"/>
            <w:vAlign w:val="center"/>
          </w:tcPr>
          <w:p>
            <w:pPr>
              <w:adjustRightInd w:val="0"/>
              <w:snapToGrid w:val="0"/>
              <w:jc w:val="center"/>
              <w:rPr>
                <w:rFonts w:ascii="宋体" w:hAnsi="宋体"/>
                <w:color w:val="auto"/>
                <w:sz w:val="24"/>
                <w:highlight w:val="none"/>
              </w:rPr>
            </w:pPr>
          </w:p>
        </w:tc>
        <w:tc>
          <w:tcPr>
            <w:tcW w:w="1354"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643" w:type="dxa"/>
            <w:noWrap w:val="0"/>
            <w:vAlign w:val="center"/>
          </w:tcPr>
          <w:p>
            <w:pPr>
              <w:adjustRightInd w:val="0"/>
              <w:snapToGrid w:val="0"/>
              <w:jc w:val="center"/>
              <w:rPr>
                <w:rFonts w:ascii="宋体" w:hAnsi="宋体"/>
                <w:color w:val="auto"/>
                <w:sz w:val="24"/>
                <w:highlight w:val="none"/>
              </w:rPr>
            </w:pPr>
          </w:p>
        </w:tc>
        <w:tc>
          <w:tcPr>
            <w:tcW w:w="1937" w:type="dxa"/>
            <w:noWrap w:val="0"/>
            <w:vAlign w:val="center"/>
          </w:tcPr>
          <w:p>
            <w:pPr>
              <w:adjustRightInd w:val="0"/>
              <w:snapToGrid w:val="0"/>
              <w:jc w:val="center"/>
              <w:rPr>
                <w:rFonts w:ascii="宋体" w:hAnsi="宋体"/>
                <w:color w:val="auto"/>
                <w:sz w:val="24"/>
                <w:highlight w:val="none"/>
              </w:rPr>
            </w:pPr>
          </w:p>
        </w:tc>
        <w:tc>
          <w:tcPr>
            <w:tcW w:w="845" w:type="dxa"/>
            <w:noWrap w:val="0"/>
            <w:vAlign w:val="center"/>
          </w:tcPr>
          <w:p>
            <w:pPr>
              <w:adjustRightInd w:val="0"/>
              <w:snapToGrid w:val="0"/>
              <w:jc w:val="center"/>
              <w:rPr>
                <w:rFonts w:ascii="宋体" w:hAnsi="宋体"/>
                <w:color w:val="auto"/>
                <w:sz w:val="24"/>
                <w:highlight w:val="none"/>
              </w:rPr>
            </w:pPr>
          </w:p>
        </w:tc>
      </w:tr>
    </w:tbl>
    <w:p>
      <w:pPr>
        <w:tabs>
          <w:tab w:val="left" w:pos="1800"/>
          <w:tab w:val="left" w:pos="5580"/>
        </w:tabs>
        <w:jc w:val="left"/>
        <w:rPr>
          <w:rFonts w:ascii="宋体" w:hAnsi="宋体" w:eastAsia="宋体"/>
          <w:color w:val="auto"/>
          <w:sz w:val="24"/>
          <w:highlight w:val="none"/>
        </w:rPr>
      </w:pPr>
      <w:r>
        <w:rPr>
          <w:rFonts w:ascii="宋体" w:hAnsi="宋体" w:eastAsia="宋体"/>
          <w:color w:val="auto"/>
          <w:sz w:val="24"/>
          <w:highlight w:val="none"/>
        </w:rPr>
        <w:t>注：</w:t>
      </w:r>
    </w:p>
    <w:p>
      <w:pPr>
        <w:tabs>
          <w:tab w:val="left" w:pos="1800"/>
          <w:tab w:val="left" w:pos="5580"/>
        </w:tabs>
        <w:jc w:val="left"/>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 对招标文件</w:t>
      </w:r>
      <w:r>
        <w:rPr>
          <w:rFonts w:hint="eastAsia" w:ascii="宋体" w:hAnsi="宋体"/>
          <w:color w:val="auto"/>
          <w:sz w:val="24"/>
          <w:highlight w:val="none"/>
          <w:lang w:val="en-US" w:eastAsia="zh-CN"/>
        </w:rPr>
        <w:t>第五章《采购需求》</w:t>
      </w:r>
      <w:r>
        <w:rPr>
          <w:rFonts w:ascii="宋体" w:hAnsi="宋体" w:eastAsia="宋体"/>
          <w:color w:val="auto"/>
          <w:sz w:val="24"/>
          <w:highlight w:val="none"/>
        </w:rPr>
        <w:t>中的所有商务、技术要求，除本表所列明的所有偏离外，均视作供应商已对之理解和</w:t>
      </w:r>
      <w:r>
        <w:rPr>
          <w:rFonts w:hint="eastAsia" w:ascii="宋体" w:hAnsi="宋体" w:eastAsia="宋体"/>
          <w:color w:val="auto"/>
          <w:sz w:val="24"/>
          <w:highlight w:val="none"/>
        </w:rPr>
        <w:t>响应</w:t>
      </w:r>
      <w:r>
        <w:rPr>
          <w:rFonts w:ascii="宋体" w:hAnsi="宋体" w:eastAsia="宋体"/>
          <w:color w:val="auto"/>
          <w:sz w:val="24"/>
          <w:highlight w:val="none"/>
        </w:rPr>
        <w:t>。</w:t>
      </w:r>
    </w:p>
    <w:p>
      <w:pPr>
        <w:tabs>
          <w:tab w:val="left" w:pos="1800"/>
          <w:tab w:val="left" w:pos="5580"/>
        </w:tabs>
        <w:jc w:val="left"/>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“偏离情况”列应</w:t>
      </w:r>
      <w:r>
        <w:rPr>
          <w:rFonts w:ascii="宋体" w:hAnsi="宋体" w:eastAsia="宋体"/>
          <w:color w:val="auto"/>
          <w:sz w:val="24"/>
          <w:highlight w:val="none"/>
        </w:rPr>
        <w:t>据实</w:t>
      </w:r>
      <w:r>
        <w:rPr>
          <w:rFonts w:hint="eastAsia" w:ascii="宋体" w:hAnsi="宋体" w:eastAsia="宋体"/>
          <w:color w:val="auto"/>
          <w:sz w:val="24"/>
          <w:highlight w:val="none"/>
        </w:rPr>
        <w:t>填写“正偏离”或“负偏离”或“无偏离”。</w:t>
      </w:r>
    </w:p>
    <w:p>
      <w:pPr>
        <w:pStyle w:val="2"/>
        <w:rPr>
          <w:rFonts w:hint="default" w:eastAsia="宋体"/>
          <w:lang w:val="en-US" w:eastAsia="zh-CN"/>
        </w:rPr>
      </w:pPr>
      <w:r>
        <w:rPr>
          <w:rFonts w:hint="eastAsia"/>
          <w:color w:val="auto"/>
          <w:sz w:val="24"/>
          <w:highlight w:val="none"/>
          <w:lang w:val="en-US" w:eastAsia="zh-CN"/>
        </w:rPr>
        <w:t>3.为方便电子标评审，如有证明材料，建议列明在相应页码。</w:t>
      </w:r>
    </w:p>
    <w:p>
      <w:pPr>
        <w:autoSpaceDE w:val="0"/>
        <w:autoSpaceDN w:val="0"/>
        <w:adjustRightInd w:val="0"/>
        <w:snapToGrid w:val="0"/>
        <w:spacing w:before="25" w:beforeLines="0" w:after="25" w:afterLines="0" w:line="360" w:lineRule="auto"/>
        <w:rPr>
          <w:rFonts w:ascii="宋体" w:hAnsi="宋体"/>
          <w:color w:val="auto"/>
          <w:sz w:val="24"/>
          <w:highlight w:val="none"/>
          <w:lang w:val="zh-CN"/>
        </w:rPr>
      </w:pPr>
    </w:p>
    <w:p>
      <w:pPr>
        <w:autoSpaceDE w:val="0"/>
        <w:autoSpaceDN w:val="0"/>
        <w:adjustRightInd w:val="0"/>
        <w:snapToGrid w:val="0"/>
        <w:spacing w:before="25" w:beforeLines="0" w:after="25" w:afterLines="0"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beforeLines="0" w:after="25" w:afterLines="0" w:line="360" w:lineRule="auto"/>
        <w:rPr>
          <w:rFonts w:ascii="宋体" w:hAnsi="宋体"/>
          <w:color w:val="auto"/>
          <w:sz w:val="24"/>
          <w:szCs w:val="20"/>
          <w:highlight w:val="none"/>
        </w:rPr>
      </w:pPr>
      <w:r>
        <w:rPr>
          <w:rFonts w:ascii="宋体" w:hAnsi="宋体"/>
          <w:color w:val="auto"/>
          <w:sz w:val="24"/>
          <w:szCs w:val="20"/>
          <w:highlight w:val="none"/>
        </w:rPr>
        <w:t xml:space="preserve">日期：_____年______月______日   </w:t>
      </w:r>
    </w:p>
    <w:p>
      <w:pPr>
        <w:pStyle w:val="2"/>
        <w:rPr>
          <w:color w:val="auto"/>
          <w:szCs w:val="20"/>
          <w:highlight w:val="none"/>
        </w:rPr>
      </w:pPr>
      <w:r>
        <w:rPr>
          <w:color w:val="auto"/>
          <w:szCs w:val="20"/>
          <w:highlight w:val="none"/>
        </w:rPr>
        <w:br w:type="page"/>
      </w:r>
    </w:p>
    <w:p>
      <w:pPr>
        <w:tabs>
          <w:tab w:val="left" w:pos="360"/>
        </w:tabs>
        <w:snapToGrid w:val="0"/>
        <w:spacing w:line="360" w:lineRule="auto"/>
        <w:outlineLvl w:val="1"/>
        <w:rPr>
          <w:rFonts w:ascii="宋体" w:hAnsi="宋体" w:cs="宋体"/>
          <w:color w:val="auto"/>
          <w:sz w:val="24"/>
          <w:szCs w:val="20"/>
          <w:highlight w:val="none"/>
        </w:rPr>
      </w:pPr>
      <w:r>
        <w:rPr>
          <w:rFonts w:ascii="宋体" w:hAnsi="宋体" w:cs="宋体"/>
          <w:color w:val="auto"/>
          <w:sz w:val="24"/>
          <w:szCs w:val="20"/>
          <w:highlight w:val="none"/>
        </w:rPr>
        <w:t>7</w:t>
      </w:r>
      <w:r>
        <w:rPr>
          <w:rFonts w:hint="eastAsia" w:ascii="宋体" w:hAnsi="宋体" w:cs="宋体"/>
          <w:color w:val="auto"/>
          <w:sz w:val="24"/>
          <w:szCs w:val="20"/>
          <w:highlight w:val="none"/>
        </w:rPr>
        <w:t>本国产品标准证明文件（实质性格式）</w:t>
      </w:r>
    </w:p>
    <w:p>
      <w:pPr>
        <w:pStyle w:val="202"/>
        <w:shd w:val="clear" w:color="auto" w:fill="FFFFFF"/>
        <w:spacing w:before="30" w:beforeLines="0" w:beforeAutospacing="0" w:after="30" w:afterLines="0" w:afterAutospacing="0"/>
        <w:jc w:val="center"/>
        <w:rPr>
          <w:color w:val="auto"/>
          <w:sz w:val="36"/>
          <w:szCs w:val="36"/>
          <w:highlight w:val="none"/>
        </w:rPr>
      </w:pPr>
      <w:r>
        <w:rPr>
          <w:rStyle w:val="31"/>
          <w:rFonts w:hint="eastAsia"/>
          <w:color w:val="auto"/>
          <w:sz w:val="36"/>
          <w:szCs w:val="36"/>
          <w:highlight w:val="none"/>
          <w:shd w:val="clear" w:color="auto" w:fill="FFFFFF"/>
        </w:rPr>
        <w:t>关于符合本国产品标准的声明函</w:t>
      </w:r>
    </w:p>
    <w:p>
      <w:pPr>
        <w:pStyle w:val="202"/>
        <w:shd w:val="clear" w:color="auto" w:fill="FFFFFF"/>
        <w:spacing w:before="30" w:beforeLines="0" w:beforeAutospacing="0" w:after="30" w:afterLines="0" w:afterAutospacing="0"/>
        <w:ind w:firstLine="420"/>
        <w:rPr>
          <w:color w:val="auto"/>
          <w:highlight w:val="none"/>
        </w:rPr>
      </w:pPr>
    </w:p>
    <w:p>
      <w:pPr>
        <w:pStyle w:val="202"/>
        <w:shd w:val="clear" w:color="auto" w:fill="FFFFFF"/>
        <w:spacing w:before="0" w:beforeLines="0" w:beforeAutospacing="0" w:after="0" w:afterLines="0" w:afterAutospacing="0" w:line="360" w:lineRule="auto"/>
        <w:ind w:firstLine="480" w:firstLineChars="200"/>
        <w:rPr>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202"/>
        <w:shd w:val="clear" w:color="auto" w:fill="FFFFFF"/>
        <w:spacing w:before="0" w:beforeLines="0" w:beforeAutospacing="0" w:after="0" w:afterLines="0" w:afterAutospacing="0" w:line="360" w:lineRule="auto"/>
        <w:ind w:firstLine="480" w:firstLineChars="200"/>
        <w:rPr>
          <w:color w:val="auto"/>
          <w:highlight w:val="none"/>
        </w:rPr>
      </w:pPr>
      <w:r>
        <w:rPr>
          <w:rFonts w:hint="eastAsia"/>
          <w:color w:val="auto"/>
          <w:highlight w:val="none"/>
          <w:shd w:val="clear" w:color="auto" w:fill="FFFFFF"/>
        </w:rPr>
        <w:t>1.</w:t>
      </w:r>
      <w:r>
        <w:rPr>
          <w:rStyle w:val="33"/>
          <w:rFonts w:hint="eastAsia"/>
          <w:color w:val="auto"/>
          <w:highlight w:val="none"/>
          <w:u w:val="single"/>
          <w:shd w:val="clear" w:color="auto" w:fill="FFFFFF"/>
        </w:rPr>
        <w:t>（产品名称1）</w:t>
      </w:r>
      <w:r>
        <w:rPr>
          <w:rStyle w:val="33"/>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33"/>
          <w:rFonts w:hint="eastAsia"/>
          <w:color w:val="auto"/>
          <w:highlight w:val="none"/>
          <w:u w:val="single"/>
          <w:shd w:val="clear" w:color="auto" w:fill="FFFFFF"/>
        </w:rPr>
        <w:t>（厂名）</w:t>
      </w:r>
      <w:r>
        <w:rPr>
          <w:rStyle w:val="33"/>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33"/>
          <w:rFonts w:hint="eastAsia"/>
          <w:color w:val="auto"/>
          <w:highlight w:val="none"/>
          <w:u w:val="single"/>
          <w:shd w:val="clear" w:color="auto" w:fill="FFFFFF"/>
        </w:rPr>
        <w:t>（生产厂址）</w:t>
      </w:r>
      <w:r>
        <w:rPr>
          <w:rFonts w:hint="eastAsia"/>
          <w:color w:val="auto"/>
          <w:highlight w:val="none"/>
          <w:shd w:val="clear" w:color="auto" w:fill="FFFFFF"/>
        </w:rPr>
        <w:t>。</w:t>
      </w:r>
      <w:r>
        <w:rPr>
          <w:rStyle w:val="33"/>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33"/>
          <w:rFonts w:hint="eastAsia"/>
          <w:color w:val="auto"/>
          <w:highlight w:val="none"/>
          <w:u w:val="single"/>
          <w:shd w:val="clear" w:color="auto" w:fill="FFFFFF"/>
        </w:rPr>
        <w:t>（规定比例）</w:t>
      </w:r>
      <w:r>
        <w:rPr>
          <w:rStyle w:val="33"/>
          <w:rFonts w:hint="eastAsia"/>
          <w:color w:val="auto"/>
          <w:highlight w:val="none"/>
          <w:shd w:val="clear" w:color="auto" w:fill="FFFFFF"/>
          <w:vertAlign w:val="superscript"/>
        </w:rPr>
        <w:t>3</w:t>
      </w:r>
      <w:r>
        <w:rPr>
          <w:rFonts w:hint="eastAsia"/>
          <w:color w:val="auto"/>
          <w:highlight w:val="none"/>
          <w:shd w:val="clear" w:color="auto" w:fill="FFFFFF"/>
        </w:rPr>
        <w:t>。</w:t>
      </w:r>
      <w:r>
        <w:rPr>
          <w:rStyle w:val="33"/>
          <w:rFonts w:hint="eastAsia"/>
          <w:color w:val="auto"/>
          <w:highlight w:val="none"/>
          <w:u w:val="single"/>
          <w:shd w:val="clear" w:color="auto" w:fill="FFFFFF"/>
        </w:rPr>
        <w:t>（产品名称1）</w:t>
      </w:r>
      <w:r>
        <w:rPr>
          <w:rFonts w:hint="eastAsia"/>
          <w:color w:val="auto"/>
          <w:highlight w:val="none"/>
          <w:shd w:val="clear" w:color="auto" w:fill="FFFFFF"/>
        </w:rPr>
        <w:t>的</w:t>
      </w:r>
      <w:r>
        <w:rPr>
          <w:rStyle w:val="33"/>
          <w:rFonts w:hint="eastAsia"/>
          <w:color w:val="auto"/>
          <w:highlight w:val="none"/>
          <w:u w:val="single"/>
          <w:shd w:val="clear" w:color="auto" w:fill="FFFFFF"/>
        </w:rPr>
        <w:t>（关键组件）</w:t>
      </w:r>
      <w:r>
        <w:rPr>
          <w:rStyle w:val="33"/>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33"/>
          <w:rFonts w:hint="eastAsia"/>
          <w:color w:val="auto"/>
          <w:highlight w:val="none"/>
          <w:u w:val="single"/>
          <w:shd w:val="clear" w:color="auto" w:fill="FFFFFF"/>
        </w:rPr>
        <w:t>（产品名称1）</w:t>
      </w:r>
      <w:r>
        <w:rPr>
          <w:rFonts w:hint="eastAsia"/>
          <w:color w:val="auto"/>
          <w:highlight w:val="none"/>
          <w:shd w:val="clear" w:color="auto" w:fill="FFFFFF"/>
        </w:rPr>
        <w:t>的</w:t>
      </w:r>
      <w:r>
        <w:rPr>
          <w:rStyle w:val="33"/>
          <w:rFonts w:hint="eastAsia"/>
          <w:color w:val="auto"/>
          <w:highlight w:val="none"/>
          <w:u w:val="single"/>
          <w:shd w:val="clear" w:color="auto" w:fill="FFFFFF"/>
        </w:rPr>
        <w:t>（关键工序）</w:t>
      </w:r>
      <w:r>
        <w:rPr>
          <w:rStyle w:val="33"/>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pPr>
        <w:pStyle w:val="202"/>
        <w:shd w:val="clear" w:color="auto" w:fill="FFFFFF"/>
        <w:spacing w:before="0" w:beforeLines="0" w:beforeAutospacing="0" w:after="0" w:afterLines="0" w:afterAutospacing="0" w:line="360" w:lineRule="auto"/>
        <w:ind w:firstLine="480" w:firstLineChars="200"/>
        <w:rPr>
          <w:color w:val="auto"/>
          <w:highlight w:val="none"/>
        </w:rPr>
      </w:pPr>
      <w:r>
        <w:rPr>
          <w:rFonts w:hint="eastAsia"/>
          <w:color w:val="auto"/>
          <w:highlight w:val="none"/>
          <w:shd w:val="clear" w:color="auto" w:fill="FFFFFF"/>
        </w:rPr>
        <w:t>2.</w:t>
      </w:r>
      <w:r>
        <w:rPr>
          <w:rStyle w:val="33"/>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33"/>
          <w:rFonts w:hint="eastAsia"/>
          <w:color w:val="auto"/>
          <w:highlight w:val="none"/>
          <w:u w:val="single"/>
          <w:shd w:val="clear" w:color="auto" w:fill="FFFFFF"/>
        </w:rPr>
        <w:t>（厂名）</w:t>
      </w:r>
      <w:r>
        <w:rPr>
          <w:rFonts w:hint="eastAsia"/>
          <w:color w:val="auto"/>
          <w:highlight w:val="none"/>
          <w:shd w:val="clear" w:color="auto" w:fill="FFFFFF"/>
        </w:rPr>
        <w:t>，厂址为</w:t>
      </w:r>
      <w:r>
        <w:rPr>
          <w:rStyle w:val="33"/>
          <w:rFonts w:hint="eastAsia"/>
          <w:color w:val="auto"/>
          <w:highlight w:val="none"/>
          <w:u w:val="single"/>
          <w:shd w:val="clear" w:color="auto" w:fill="FFFFFF"/>
        </w:rPr>
        <w:t>（生产厂址）</w:t>
      </w:r>
      <w:r>
        <w:rPr>
          <w:rFonts w:hint="eastAsia"/>
          <w:color w:val="auto"/>
          <w:highlight w:val="none"/>
          <w:shd w:val="clear" w:color="auto" w:fill="FFFFFF"/>
        </w:rPr>
        <w:t>。</w:t>
      </w:r>
      <w:r>
        <w:rPr>
          <w:rStyle w:val="33"/>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33"/>
          <w:rFonts w:hint="eastAsia"/>
          <w:color w:val="auto"/>
          <w:highlight w:val="none"/>
          <w:u w:val="single"/>
          <w:shd w:val="clear" w:color="auto" w:fill="FFFFFF"/>
        </w:rPr>
        <w:t>（规定比例）</w:t>
      </w:r>
      <w:r>
        <w:rPr>
          <w:rFonts w:hint="eastAsia"/>
          <w:color w:val="auto"/>
          <w:highlight w:val="none"/>
          <w:shd w:val="clear" w:color="auto" w:fill="FFFFFF"/>
        </w:rPr>
        <w:t>。</w:t>
      </w:r>
      <w:r>
        <w:rPr>
          <w:rStyle w:val="33"/>
          <w:rFonts w:hint="eastAsia"/>
          <w:color w:val="auto"/>
          <w:highlight w:val="none"/>
          <w:u w:val="single"/>
          <w:shd w:val="clear" w:color="auto" w:fill="FFFFFF"/>
        </w:rPr>
        <w:t>（产品名称2）</w:t>
      </w:r>
      <w:r>
        <w:rPr>
          <w:rFonts w:hint="eastAsia"/>
          <w:color w:val="auto"/>
          <w:highlight w:val="none"/>
          <w:shd w:val="clear" w:color="auto" w:fill="FFFFFF"/>
        </w:rPr>
        <w:t>的</w:t>
      </w:r>
      <w:r>
        <w:rPr>
          <w:rStyle w:val="33"/>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33"/>
          <w:rFonts w:hint="eastAsia"/>
          <w:color w:val="auto"/>
          <w:highlight w:val="none"/>
          <w:u w:val="single"/>
          <w:shd w:val="clear" w:color="auto" w:fill="FFFFFF"/>
        </w:rPr>
        <w:t>（产品名称2）</w:t>
      </w:r>
      <w:r>
        <w:rPr>
          <w:rFonts w:hint="eastAsia"/>
          <w:color w:val="auto"/>
          <w:highlight w:val="none"/>
          <w:shd w:val="clear" w:color="auto" w:fill="FFFFFF"/>
        </w:rPr>
        <w:t>的</w:t>
      </w:r>
      <w:r>
        <w:rPr>
          <w:rStyle w:val="33"/>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pPr>
        <w:pStyle w:val="202"/>
        <w:shd w:val="clear" w:color="auto" w:fill="FFFFFF"/>
        <w:spacing w:before="0" w:beforeLines="0" w:beforeAutospacing="0" w:after="0" w:afterLines="0" w:afterAutospacing="0" w:line="360" w:lineRule="auto"/>
        <w:ind w:firstLine="480" w:firstLineChars="200"/>
        <w:rPr>
          <w:color w:val="auto"/>
          <w:highlight w:val="none"/>
        </w:rPr>
      </w:pPr>
      <w:r>
        <w:rPr>
          <w:rFonts w:hint="eastAsia"/>
          <w:color w:val="auto"/>
          <w:highlight w:val="none"/>
          <w:shd w:val="clear" w:color="auto" w:fill="FFFFFF"/>
        </w:rPr>
        <w:t>……</w:t>
      </w:r>
    </w:p>
    <w:p>
      <w:pPr>
        <w:pStyle w:val="202"/>
        <w:shd w:val="clear" w:color="auto" w:fill="FFFFFF"/>
        <w:spacing w:before="0" w:beforeLines="0" w:beforeAutospacing="0" w:after="0" w:afterLines="0" w:afterAutospacing="0" w:line="360" w:lineRule="auto"/>
        <w:ind w:firstLine="480" w:firstLineChars="200"/>
        <w:rPr>
          <w:color w:val="auto"/>
          <w:highlight w:val="none"/>
        </w:rPr>
      </w:pPr>
      <w:r>
        <w:rPr>
          <w:rFonts w:hint="eastAsia"/>
          <w:color w:val="auto"/>
          <w:highlight w:val="none"/>
          <w:shd w:val="clear" w:color="auto" w:fill="FFFFFF"/>
        </w:rPr>
        <w:t>本公司（单位）对上述声明内容的真实性负责。如有虚假，愿承担相应法律责任。</w:t>
      </w:r>
    </w:p>
    <w:p>
      <w:pPr>
        <w:pStyle w:val="202"/>
        <w:shd w:val="clear" w:color="auto" w:fill="FFFFFF"/>
        <w:spacing w:before="0" w:beforeLines="0" w:beforeAutospacing="0" w:after="0" w:afterLines="0" w:afterAutospacing="0" w:line="360" w:lineRule="auto"/>
        <w:rPr>
          <w:color w:val="auto"/>
          <w:highlight w:val="none"/>
        </w:rPr>
      </w:pPr>
    </w:p>
    <w:p>
      <w:pPr>
        <w:pStyle w:val="202"/>
        <w:shd w:val="clear" w:color="auto" w:fill="FFFFFF"/>
        <w:spacing w:before="0" w:beforeLines="0" w:beforeAutospacing="0" w:after="0" w:afterLines="0" w:afterAutospacing="0" w:line="360" w:lineRule="auto"/>
        <w:jc w:val="right"/>
        <w:rPr>
          <w:color w:val="auto"/>
          <w:highlight w:val="none"/>
          <w:shd w:val="clear" w:color="auto" w:fill="FFFFFF"/>
        </w:rPr>
      </w:pPr>
    </w:p>
    <w:p>
      <w:pPr>
        <w:pStyle w:val="202"/>
        <w:shd w:val="clear" w:color="auto" w:fill="FFFFFF"/>
        <w:spacing w:before="0" w:beforeLines="0" w:beforeAutospacing="0" w:after="0" w:afterLines="0" w:afterAutospacing="0" w:line="360" w:lineRule="auto"/>
        <w:jc w:val="right"/>
        <w:rPr>
          <w:color w:val="auto"/>
          <w:highlight w:val="none"/>
        </w:rPr>
      </w:pPr>
      <w:r>
        <w:rPr>
          <w:rFonts w:hint="eastAsia"/>
          <w:color w:val="auto"/>
          <w:highlight w:val="none"/>
          <w:shd w:val="clear" w:color="auto" w:fill="FFFFFF"/>
        </w:rPr>
        <w:t>公司（单位）名称（盖章）：　        </w:t>
      </w:r>
    </w:p>
    <w:p>
      <w:pPr>
        <w:pStyle w:val="202"/>
        <w:shd w:val="clear" w:color="auto" w:fill="FFFFFF"/>
        <w:spacing w:before="0" w:beforeLines="0" w:beforeAutospacing="0" w:after="0" w:afterLines="0" w:afterAutospacing="0" w:line="360" w:lineRule="auto"/>
        <w:jc w:val="right"/>
        <w:rPr>
          <w:color w:val="auto"/>
          <w:highlight w:val="none"/>
        </w:rPr>
      </w:pPr>
      <w:r>
        <w:rPr>
          <w:rFonts w:hint="eastAsia"/>
          <w:color w:val="auto"/>
          <w:highlight w:val="none"/>
          <w:shd w:val="clear" w:color="auto" w:fill="FFFFFF"/>
        </w:rPr>
        <w:t>日期：　     年　  月　  日         </w:t>
      </w:r>
    </w:p>
    <w:p>
      <w:pPr>
        <w:pStyle w:val="202"/>
        <w:shd w:val="clear" w:color="auto" w:fill="FFFFFF"/>
        <w:spacing w:before="0" w:beforeLines="0" w:beforeAutospacing="0" w:after="0" w:afterLines="0" w:afterAutospacing="0" w:line="360" w:lineRule="auto"/>
        <w:rPr>
          <w:color w:val="auto"/>
          <w:highlight w:val="none"/>
          <w:shd w:val="clear" w:color="auto" w:fill="FFFFFF"/>
        </w:rPr>
      </w:pPr>
    </w:p>
    <w:p>
      <w:pPr>
        <w:pStyle w:val="202"/>
        <w:shd w:val="clear" w:color="auto" w:fill="FFFFFF"/>
        <w:spacing w:before="0" w:beforeLines="0" w:beforeAutospacing="0" w:after="0" w:afterLines="0" w:afterAutospacing="0" w:line="360" w:lineRule="auto"/>
        <w:rPr>
          <w:color w:val="auto"/>
          <w:highlight w:val="none"/>
          <w:shd w:val="clear" w:color="auto" w:fill="FFFFFF"/>
        </w:rPr>
      </w:pPr>
    </w:p>
    <w:p>
      <w:pPr>
        <w:spacing w:line="360" w:lineRule="auto"/>
        <w:ind w:left="424" w:leftChars="1" w:hanging="422" w:hangingChars="201"/>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注：1.产品如有型号，请在“产品名称”栏一并填写。</w:t>
      </w:r>
    </w:p>
    <w:p>
      <w:pPr>
        <w:spacing w:line="360" w:lineRule="auto"/>
        <w:ind w:left="420" w:left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4.该产品的关键组件要求实施前，“关键组件”栏可不填。</w:t>
      </w:r>
    </w:p>
    <w:p>
      <w:pPr>
        <w:spacing w:line="360" w:lineRule="auto"/>
        <w:ind w:left="420" w:left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5.该产品的关键工序要求实施前，“关键工序”栏可不填。</w:t>
      </w:r>
    </w:p>
    <w:p>
      <w:pPr>
        <w:widowControl/>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br w:type="page"/>
      </w:r>
    </w:p>
    <w:p>
      <w:pPr>
        <w:pStyle w:val="202"/>
        <w:shd w:val="clear" w:color="auto" w:fill="FFFFFF"/>
        <w:spacing w:before="30" w:beforeLines="0" w:beforeAutospacing="0" w:after="30" w:afterLines="0" w:afterAutospacing="0"/>
        <w:jc w:val="center"/>
        <w:rPr>
          <w:rStyle w:val="31"/>
          <w:color w:val="auto"/>
          <w:sz w:val="36"/>
          <w:szCs w:val="36"/>
          <w:highlight w:val="none"/>
        </w:rPr>
      </w:pPr>
      <w:r>
        <w:rPr>
          <w:rStyle w:val="31"/>
          <w:rFonts w:hint="eastAsia"/>
          <w:color w:val="auto"/>
          <w:sz w:val="36"/>
          <w:szCs w:val="36"/>
          <w:highlight w:val="none"/>
        </w:rPr>
        <w:t>产品成本占比承诺函</w:t>
      </w:r>
    </w:p>
    <w:p>
      <w:pPr>
        <w:pStyle w:val="202"/>
        <w:shd w:val="clear" w:color="auto" w:fill="FFFFFF"/>
        <w:spacing w:before="30" w:beforeLines="0" w:beforeAutospacing="0" w:after="30" w:afterLines="0" w:afterAutospacing="0"/>
        <w:rPr>
          <w:rStyle w:val="31"/>
          <w:color w:val="auto"/>
          <w:sz w:val="36"/>
          <w:szCs w:val="36"/>
          <w:highlight w:val="none"/>
        </w:rPr>
      </w:pPr>
    </w:p>
    <w:p>
      <w:pPr>
        <w:widowControl/>
        <w:spacing w:line="360" w:lineRule="auto"/>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ascii="宋体" w:hAnsi="宋体" w:cs="宋体"/>
          <w:color w:val="auto"/>
          <w:spacing w:val="6"/>
          <w:sz w:val="24"/>
          <w:highlight w:val="none"/>
        </w:rPr>
      </w:pPr>
      <w:r>
        <w:rPr>
          <w:rFonts w:hint="eastAsia" w:ascii="宋体" w:hAnsi="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cs="宋体"/>
          <w:color w:val="auto"/>
          <w:spacing w:val="6"/>
          <w:sz w:val="24"/>
          <w:highlight w:val="none"/>
        </w:rPr>
        <w:t>______%。</w:t>
      </w:r>
    </w:p>
    <w:p>
      <w:pPr>
        <w:widowControl/>
        <w:spacing w:line="360" w:lineRule="auto"/>
        <w:ind w:firstLine="480" w:firstLineChars="200"/>
        <w:jc w:val="left"/>
        <w:rPr>
          <w:rFonts w:ascii="宋体" w:hAnsi="宋体" w:cs="宋体"/>
          <w:color w:val="auto"/>
          <w:sz w:val="24"/>
          <w:highlight w:val="none"/>
        </w:rPr>
      </w:pPr>
    </w:p>
    <w:p>
      <w:pPr>
        <w:pStyle w:val="202"/>
        <w:shd w:val="clear" w:color="auto" w:fill="FFFFFF"/>
        <w:spacing w:before="0" w:beforeLines="0" w:beforeAutospacing="0" w:after="0" w:afterLines="0" w:afterAutospacing="0" w:line="360" w:lineRule="auto"/>
        <w:jc w:val="right"/>
        <w:rPr>
          <w:color w:val="auto"/>
          <w:highlight w:val="none"/>
        </w:rPr>
      </w:pPr>
      <w:r>
        <w:rPr>
          <w:rFonts w:hint="eastAsia"/>
          <w:color w:val="auto"/>
          <w:highlight w:val="none"/>
          <w:shd w:val="clear" w:color="auto" w:fill="FFFFFF"/>
        </w:rPr>
        <w:t>公司（单位）名称（盖章）：　        </w:t>
      </w:r>
    </w:p>
    <w:p>
      <w:pPr>
        <w:widowControl/>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shd w:val="clear" w:color="auto" w:fill="FFFFFF"/>
        </w:rPr>
        <w:t>日期：　     年　  月　  日     </w:t>
      </w:r>
    </w:p>
    <w:p>
      <w:pPr>
        <w:widowControl/>
        <w:spacing w:line="360" w:lineRule="auto"/>
        <w:jc w:val="left"/>
        <w:rPr>
          <w:rFonts w:ascii="宋体" w:hAnsi="宋体" w:cs="宋体"/>
          <w:color w:val="auto"/>
          <w:sz w:val="24"/>
          <w:highlight w:val="none"/>
        </w:rPr>
      </w:pPr>
    </w:p>
    <w:p>
      <w:pPr>
        <w:widowControl/>
        <w:spacing w:line="360" w:lineRule="auto"/>
        <w:jc w:val="left"/>
        <w:rPr>
          <w:rFonts w:ascii="宋体" w:hAnsi="宋体" w:cs="宋体"/>
          <w:color w:val="auto"/>
          <w:sz w:val="24"/>
          <w:highlight w:val="none"/>
        </w:rPr>
      </w:pP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注：</w:t>
      </w:r>
    </w:p>
    <w:p>
      <w:pPr>
        <w:spacing w:line="360" w:lineRule="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本承诺函应按包分别提供。</w:t>
      </w:r>
    </w:p>
    <w:p>
      <w:pPr>
        <w:spacing w:line="360" w:lineRule="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cs="宋体"/>
          <w:color w:val="auto"/>
          <w:highlight w:val="none"/>
        </w:rPr>
        <w:t>价格评审优惠</w:t>
      </w:r>
      <w:r>
        <w:rPr>
          <w:rFonts w:hint="eastAsia" w:ascii="宋体" w:hAnsi="宋体" w:cs="宋体"/>
          <w:color w:val="auto"/>
          <w:szCs w:val="21"/>
          <w:highlight w:val="none"/>
          <w:shd w:val="clear" w:color="auto" w:fill="FFFFFF"/>
        </w:rPr>
        <w:t>。</w:t>
      </w:r>
    </w:p>
    <w:p>
      <w:pPr>
        <w:spacing w:line="360" w:lineRule="auto"/>
        <w:outlineLvl w:val="2"/>
        <w:rPr>
          <w:rFonts w:ascii="宋体" w:hAnsi="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ascii="宋体" w:hAnsi="宋体" w:cs="宋体"/>
          <w:b/>
          <w:bCs/>
          <w:color w:val="auto"/>
          <w:sz w:val="24"/>
          <w:szCs w:val="20"/>
          <w:highlight w:val="none"/>
        </w:rPr>
      </w:pPr>
      <w:r>
        <w:rPr>
          <w:rFonts w:ascii="宋体" w:hAnsi="宋体" w:cs="宋体"/>
          <w:b/>
          <w:bCs/>
          <w:color w:val="auto"/>
          <w:sz w:val="24"/>
          <w:szCs w:val="20"/>
          <w:highlight w:val="none"/>
        </w:rPr>
        <w:t>8</w:t>
      </w:r>
      <w:r>
        <w:rPr>
          <w:rFonts w:hint="eastAsia" w:ascii="宋体" w:hAnsi="宋体" w:cs="宋体"/>
          <w:b/>
          <w:bCs/>
          <w:color w:val="auto"/>
          <w:sz w:val="24"/>
          <w:szCs w:val="20"/>
          <w:highlight w:val="none"/>
        </w:rPr>
        <w:t>招标文件要求提供或投标人认为应附的其他材料</w:t>
      </w:r>
    </w:p>
    <w:p>
      <w:pPr>
        <w:tabs>
          <w:tab w:val="left" w:pos="55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附件1、类似项目业绩</w:t>
      </w:r>
    </w:p>
    <w:p>
      <w:pPr>
        <w:adjustRightInd w:val="0"/>
        <w:snapToGrid w:val="0"/>
        <w:spacing w:line="360" w:lineRule="auto"/>
        <w:rPr>
          <w:rFonts w:ascii="宋体" w:hAnsi="宋体" w:cs="宋体"/>
          <w:color w:val="auto"/>
          <w:sz w:val="24"/>
          <w:szCs w:val="20"/>
          <w:highlight w:val="none"/>
        </w:rPr>
      </w:pPr>
    </w:p>
    <w:p>
      <w:pPr>
        <w:tabs>
          <w:tab w:val="left" w:pos="1800"/>
          <w:tab w:val="left" w:pos="5580"/>
        </w:tabs>
        <w:spacing w:line="360" w:lineRule="auto"/>
        <w:ind w:firstLine="315" w:firstLineChars="150"/>
        <w:jc w:val="left"/>
        <w:rPr>
          <w:rFonts w:ascii="宋体" w:hAnsi="宋体" w:cs="宋体"/>
          <w:color w:val="auto"/>
          <w:sz w:val="24"/>
          <w:highlight w:val="none"/>
        </w:rPr>
      </w:pPr>
      <w:r>
        <w:rPr>
          <w:rFonts w:hint="eastAsia"/>
          <w:color w:val="auto"/>
          <w:highlight w:val="none"/>
        </w:rPr>
        <w:t>项目名称：</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___</w:t>
      </w:r>
      <w:r>
        <w:rPr>
          <w:rFonts w:hint="eastAsia"/>
          <w:color w:val="auto"/>
          <w:highlight w:val="none"/>
        </w:rPr>
        <w:t xml:space="preserve">     </w:t>
      </w:r>
      <w:r>
        <w:rPr>
          <w:rFonts w:hint="eastAsia"/>
          <w:color w:val="auto"/>
          <w:szCs w:val="20"/>
          <w:highlight w:val="none"/>
        </w:rPr>
        <w:t>项目编号：</w:t>
      </w:r>
      <w:r>
        <w:rPr>
          <w:color w:val="auto"/>
          <w:highlight w:val="none"/>
          <w:u w:val="single"/>
        </w:rPr>
        <w:t>_</w:t>
      </w:r>
      <w:r>
        <w:rPr>
          <w:rFonts w:hint="eastAsia"/>
          <w:color w:val="auto"/>
          <w:highlight w:val="none"/>
          <w:u w:val="single"/>
        </w:rPr>
        <w:t xml:space="preserve">       </w:t>
      </w:r>
      <w:r>
        <w:rPr>
          <w:color w:val="auto"/>
          <w:highlight w:val="none"/>
          <w:u w:val="single"/>
        </w:rPr>
        <w:t>_</w:t>
      </w:r>
      <w:r>
        <w:rPr>
          <w:color w:val="auto"/>
          <w:highlight w:val="none"/>
        </w:rPr>
        <w:t>__</w:t>
      </w:r>
      <w:r>
        <w:rPr>
          <w:rFonts w:hint="eastAsia" w:ascii="宋体" w:hAnsi="宋体" w:cs="宋体"/>
          <w:color w:val="auto"/>
          <w:sz w:val="24"/>
          <w:highlight w:val="none"/>
        </w:rPr>
        <w:t>_</w:t>
      </w:r>
    </w:p>
    <w:p>
      <w:pPr>
        <w:adjustRightInd w:val="0"/>
        <w:snapToGrid w:val="0"/>
        <w:spacing w:line="360" w:lineRule="auto"/>
        <w:rPr>
          <w:rFonts w:ascii="宋体" w:hAnsi="宋体" w:cs="宋体"/>
          <w:b/>
          <w:color w:val="auto"/>
          <w:szCs w:val="21"/>
          <w:highlight w:val="none"/>
        </w:rPr>
      </w:pPr>
    </w:p>
    <w:tbl>
      <w:tblPr>
        <w:tblStyle w:val="29"/>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szCs w:val="21"/>
                <w:highlight w:val="none"/>
              </w:rPr>
            </w:pPr>
          </w:p>
        </w:tc>
      </w:tr>
    </w:tbl>
    <w:p>
      <w:pPr>
        <w:adjustRightInd w:val="0"/>
        <w:snapToGrid w:val="0"/>
        <w:spacing w:line="360" w:lineRule="auto"/>
        <w:ind w:firstLine="620" w:firstLineChars="294"/>
        <w:jc w:val="left"/>
        <w:rPr>
          <w:rFonts w:ascii="宋体" w:hAnsi="宋体" w:cs="宋体"/>
          <w:b/>
          <w:color w:val="auto"/>
          <w:szCs w:val="21"/>
          <w:highlight w:val="none"/>
        </w:rPr>
      </w:pPr>
    </w:p>
    <w:p>
      <w:pPr>
        <w:autoSpaceDE w:val="0"/>
        <w:autoSpaceDN w:val="0"/>
        <w:adjustRightInd w:val="0"/>
        <w:snapToGrid w:val="0"/>
        <w:spacing w:before="25" w:beforeLines="0" w:after="25" w:afterLines="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pStyle w:val="98"/>
        <w:spacing w:line="360" w:lineRule="auto"/>
        <w:ind w:firstLine="480" w:firstLineChars="200"/>
        <w:jc w:val="left"/>
        <w:rPr>
          <w:rFonts w:ascii="宋体" w:hAnsi="宋体" w:cs="宋体"/>
          <w:color w:val="auto"/>
          <w:highlight w:val="none"/>
        </w:rPr>
      </w:pPr>
      <w:r>
        <w:rPr>
          <w:rFonts w:hint="eastAsia" w:ascii="宋体" w:hAnsi="宋体" w:cs="宋体"/>
          <w:color w:val="auto"/>
          <w:sz w:val="24"/>
          <w:highlight w:val="none"/>
        </w:rPr>
        <w:t>日期：_____年______月______日</w:t>
      </w:r>
    </w:p>
    <w:p>
      <w:pPr>
        <w:pStyle w:val="176"/>
        <w:spacing w:line="360" w:lineRule="auto"/>
        <w:ind w:firstLine="420" w:firstLineChars="200"/>
        <w:jc w:val="left"/>
        <w:rPr>
          <w:rFonts w:hint="default" w:hAnsi="宋体" w:cs="宋体"/>
          <w:color w:val="auto"/>
          <w:szCs w:val="21"/>
          <w:highlight w:val="none"/>
        </w:rPr>
      </w:pPr>
      <w:r>
        <w:rPr>
          <w:rFonts w:hAnsi="宋体" w:cs="宋体"/>
          <w:color w:val="auto"/>
          <w:szCs w:val="21"/>
          <w:highlight w:val="none"/>
        </w:rPr>
        <w:tab/>
      </w:r>
    </w:p>
    <w:p>
      <w:pPr>
        <w:widowControl/>
        <w:jc w:val="left"/>
        <w:rPr>
          <w:rFonts w:ascii="宋体" w:hAnsi="宋体" w:cs="宋体"/>
          <w:color w:val="auto"/>
          <w:szCs w:val="21"/>
          <w:highlight w:val="none"/>
        </w:rPr>
      </w:pPr>
      <w:r>
        <w:rPr>
          <w:rFonts w:hint="eastAsia" w:ascii="宋体" w:hAnsi="宋体" w:cs="宋体"/>
          <w:color w:val="auto"/>
          <w:szCs w:val="21"/>
          <w:highlight w:val="none"/>
        </w:rPr>
        <w:br w:type="page"/>
      </w:r>
    </w:p>
    <w:p>
      <w:pPr>
        <w:tabs>
          <w:tab w:val="left" w:pos="55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附件2、招标服务费缴费承诺书</w:t>
      </w:r>
    </w:p>
    <w:p>
      <w:pPr>
        <w:tabs>
          <w:tab w:val="left" w:pos="5580"/>
        </w:tabs>
        <w:spacing w:line="360" w:lineRule="auto"/>
        <w:jc w:val="center"/>
        <w:rPr>
          <w:rFonts w:ascii="宋体" w:hAnsi="宋体" w:cs="宋体"/>
          <w:b/>
          <w:bCs/>
          <w:color w:val="auto"/>
          <w:sz w:val="24"/>
          <w:highlight w:val="none"/>
        </w:rPr>
      </w:pPr>
    </w:p>
    <w:p>
      <w:pPr>
        <w:tabs>
          <w:tab w:val="left" w:pos="5580"/>
        </w:tabs>
        <w:spacing w:line="360" w:lineRule="auto"/>
        <w:jc w:val="center"/>
        <w:rPr>
          <w:rFonts w:ascii="宋体" w:hAnsi="宋体" w:cs="宋体"/>
          <w:b/>
          <w:bCs/>
          <w:color w:val="auto"/>
          <w:sz w:val="24"/>
          <w:highlight w:val="none"/>
        </w:rPr>
      </w:pPr>
    </w:p>
    <w:p>
      <w:pPr>
        <w:tabs>
          <w:tab w:val="left" w:pos="5580"/>
        </w:tabs>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《招标服务费缴费承诺书》</w:t>
      </w:r>
    </w:p>
    <w:p>
      <w:pPr>
        <w:pStyle w:val="176"/>
        <w:spacing w:line="360" w:lineRule="auto"/>
        <w:rPr>
          <w:rFonts w:hint="default" w:hAnsi="宋体" w:cs="宋体"/>
          <w:color w:val="auto"/>
          <w:sz w:val="24"/>
          <w:szCs w:val="24"/>
          <w:highlight w:val="none"/>
        </w:rPr>
      </w:pPr>
    </w:p>
    <w:p>
      <w:pPr>
        <w:pStyle w:val="176"/>
        <w:spacing w:line="360" w:lineRule="auto"/>
        <w:rPr>
          <w:rFonts w:hint="default" w:hAnsi="宋体" w:cs="宋体"/>
          <w:color w:val="auto"/>
          <w:sz w:val="24"/>
          <w:szCs w:val="24"/>
          <w:highlight w:val="none"/>
        </w:rPr>
      </w:pPr>
      <w:r>
        <w:rPr>
          <w:rFonts w:hAnsi="宋体" w:cs="宋体"/>
          <w:color w:val="auto"/>
          <w:sz w:val="24"/>
          <w:szCs w:val="24"/>
          <w:highlight w:val="none"/>
        </w:rPr>
        <w:t xml:space="preserve">致北京国泰建中管理咨询有限公司：   </w:t>
      </w:r>
    </w:p>
    <w:p>
      <w:pPr>
        <w:pStyle w:val="176"/>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我们在贵公司组织的</w:t>
      </w:r>
      <w:r>
        <w:rPr>
          <w:rFonts w:hAnsi="宋体" w:cs="宋体"/>
          <w:color w:val="auto"/>
          <w:sz w:val="24"/>
          <w:szCs w:val="24"/>
          <w:highlight w:val="none"/>
          <w:u w:val="single"/>
        </w:rPr>
        <w:tab/>
      </w:r>
      <w:r>
        <w:rPr>
          <w:rFonts w:hAnsi="宋体" w:cs="宋体"/>
          <w:color w:val="auto"/>
          <w:sz w:val="24"/>
          <w:szCs w:val="24"/>
          <w:highlight w:val="none"/>
          <w:u w:val="single"/>
        </w:rPr>
        <w:t xml:space="preserve">       </w:t>
      </w:r>
      <w:r>
        <w:rPr>
          <w:rFonts w:hAnsi="宋体" w:cs="宋体"/>
          <w:color w:val="auto"/>
          <w:sz w:val="24"/>
          <w:szCs w:val="24"/>
          <w:highlight w:val="none"/>
          <w:u w:val="single"/>
        </w:rPr>
        <w:tab/>
      </w:r>
      <w:r>
        <w:rPr>
          <w:rFonts w:hAnsi="宋体" w:cs="宋体"/>
          <w:color w:val="auto"/>
          <w:sz w:val="24"/>
          <w:szCs w:val="24"/>
          <w:highlight w:val="none"/>
          <w:u w:val="single"/>
        </w:rPr>
        <w:t>（项目名称）</w:t>
      </w:r>
      <w:r>
        <w:rPr>
          <w:rFonts w:hAnsi="宋体" w:cs="宋体"/>
          <w:color w:val="auto"/>
          <w:sz w:val="24"/>
          <w:szCs w:val="24"/>
          <w:highlight w:val="none"/>
        </w:rPr>
        <w:t>招标中若获中标资格，保证在领取中标通知书的同时按招标文件的规定，以支票、电汇形式，向</w:t>
      </w:r>
      <w:r>
        <w:rPr>
          <w:rFonts w:hint="eastAsia" w:eastAsia="宋体" w:cs="宋体"/>
          <w:bCs/>
          <w:color w:val="auto"/>
          <w:sz w:val="24"/>
          <w:highlight w:val="none"/>
          <w:lang w:eastAsia="zh-CN"/>
        </w:rPr>
        <w:t>（</w:t>
      </w:r>
      <w:r>
        <w:rPr>
          <w:rFonts w:hint="eastAsia" w:eastAsia="宋体" w:cs="宋体"/>
          <w:bCs/>
          <w:color w:val="auto"/>
          <w:sz w:val="24"/>
          <w:highlight w:val="none"/>
          <w:lang w:val="en-US" w:eastAsia="zh-CN"/>
        </w:rPr>
        <w:t>账户名称：</w:t>
      </w:r>
      <w:r>
        <w:rPr>
          <w:rFonts w:hint="eastAsia" w:ascii="宋体" w:hAnsi="宋体" w:eastAsia="宋体" w:cs="宋体"/>
          <w:bCs/>
          <w:color w:val="auto"/>
          <w:sz w:val="24"/>
          <w:highlight w:val="none"/>
          <w:u w:val="single"/>
        </w:rPr>
        <w:t>北京国泰建中管理咨询有限公司丰台分公司</w:t>
      </w:r>
      <w:r>
        <w:rPr>
          <w:rFonts w:hint="eastAsia" w:eastAsia="宋体" w:cs="宋体"/>
          <w:bCs/>
          <w:color w:val="auto"/>
          <w:sz w:val="24"/>
          <w:highlight w:val="none"/>
          <w:lang w:eastAsia="zh-CN"/>
        </w:rPr>
        <w:t>，</w:t>
      </w:r>
      <w:r>
        <w:rPr>
          <w:rFonts w:hint="eastAsia" w:ascii="宋体" w:hAnsi="宋体" w:eastAsia="宋体" w:cs="宋体"/>
          <w:bCs/>
          <w:color w:val="auto"/>
          <w:sz w:val="24"/>
          <w:highlight w:val="none"/>
        </w:rPr>
        <w:t>开户银行：</w:t>
      </w:r>
      <w:r>
        <w:rPr>
          <w:rFonts w:hint="eastAsia" w:ascii="宋体" w:hAnsi="宋体" w:eastAsia="宋体" w:cs="宋体"/>
          <w:bCs/>
          <w:color w:val="auto"/>
          <w:sz w:val="24"/>
          <w:highlight w:val="none"/>
          <w:u w:val="single"/>
        </w:rPr>
        <w:t>招商银行股份有限公司北京清华园科技金融支行</w:t>
      </w:r>
      <w:r>
        <w:rPr>
          <w:rFonts w:hint="eastAsia" w:ascii="宋体" w:hAnsi="宋体" w:eastAsia="宋体" w:cs="宋体"/>
          <w:bCs/>
          <w:color w:val="auto"/>
          <w:sz w:val="24"/>
          <w:highlight w:val="none"/>
        </w:rPr>
        <w:t>，账号：</w:t>
      </w:r>
      <w:r>
        <w:rPr>
          <w:rFonts w:hint="eastAsia" w:ascii="宋体" w:hAnsi="宋体" w:eastAsia="宋体" w:cs="宋体"/>
          <w:bCs/>
          <w:color w:val="auto"/>
          <w:sz w:val="24"/>
          <w:highlight w:val="none"/>
          <w:u w:val="single"/>
        </w:rPr>
        <w:t>110967784710000</w:t>
      </w:r>
      <w:r>
        <w:rPr>
          <w:rFonts w:hint="eastAsia" w:ascii="宋体" w:hAnsi="宋体" w:eastAsia="宋体" w:cs="宋体"/>
          <w:bCs/>
          <w:color w:val="auto"/>
          <w:sz w:val="24"/>
          <w:highlight w:val="none"/>
        </w:rPr>
        <w:t>）</w:t>
      </w:r>
      <w:r>
        <w:rPr>
          <w:rFonts w:hAnsi="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并签署支付协议。</w:t>
      </w:r>
    </w:p>
    <w:p>
      <w:pPr>
        <w:pStyle w:val="176"/>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ab/>
      </w:r>
      <w:r>
        <w:rPr>
          <w:rFonts w:hAnsi="宋体" w:cs="宋体"/>
          <w:color w:val="auto"/>
          <w:sz w:val="24"/>
          <w:szCs w:val="24"/>
          <w:highlight w:val="none"/>
        </w:rPr>
        <w:t>特此承诺！</w:t>
      </w:r>
    </w:p>
    <w:p>
      <w:pPr>
        <w:autoSpaceDE w:val="0"/>
        <w:autoSpaceDN w:val="0"/>
        <w:adjustRightInd w:val="0"/>
        <w:snapToGrid w:val="0"/>
        <w:spacing w:before="25" w:beforeLines="0" w:after="25" w:afterLines="0" w:line="360" w:lineRule="auto"/>
        <w:rPr>
          <w:rFonts w:ascii="宋体" w:hAnsi="宋体" w:cs="宋体"/>
          <w:color w:val="auto"/>
          <w:sz w:val="24"/>
          <w:highlight w:val="none"/>
        </w:rPr>
      </w:pPr>
      <w:r>
        <w:rPr>
          <w:rFonts w:hint="eastAsia" w:ascii="宋体" w:hAnsi="宋体" w:cs="宋体"/>
          <w:color w:val="auto"/>
          <w:sz w:val="24"/>
          <w:highlight w:val="none"/>
        </w:rPr>
        <w:tab/>
      </w:r>
    </w:p>
    <w:p>
      <w:pPr>
        <w:autoSpaceDE w:val="0"/>
        <w:autoSpaceDN w:val="0"/>
        <w:adjustRightInd w:val="0"/>
        <w:snapToGrid w:val="0"/>
        <w:spacing w:before="25" w:beforeLines="0" w:after="25" w:afterLines="0"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pStyle w:val="98"/>
        <w:spacing w:line="360" w:lineRule="auto"/>
        <w:ind w:firstLine="480" w:firstLineChars="200"/>
        <w:jc w:val="left"/>
        <w:rPr>
          <w:rFonts w:ascii="宋体" w:hAnsi="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cs="宋体"/>
          <w:color w:val="auto"/>
          <w:sz w:val="24"/>
          <w:highlight w:val="none"/>
        </w:rPr>
        <w:t>日期：_____年______月______日</w:t>
      </w:r>
    </w:p>
    <w:p>
      <w:pPr>
        <w:rPr>
          <w:rFonts w:ascii="宋体" w:hAnsi="宋体" w:cs="宋体"/>
          <w:b/>
          <w:color w:val="auto"/>
          <w:sz w:val="24"/>
          <w:szCs w:val="20"/>
          <w:highlight w:val="none"/>
        </w:rPr>
      </w:pPr>
      <w:r>
        <w:rPr>
          <w:rFonts w:hint="eastAsia" w:ascii="宋体" w:hAnsi="宋体" w:cs="宋体"/>
          <w:b/>
          <w:color w:val="auto"/>
          <w:sz w:val="24"/>
          <w:szCs w:val="20"/>
          <w:highlight w:val="none"/>
        </w:rPr>
        <w:t xml:space="preserve">附件3 </w:t>
      </w:r>
    </w:p>
    <w:p>
      <w:pPr>
        <w:widowControl/>
        <w:jc w:val="center"/>
        <w:rPr>
          <w:rFonts w:ascii="宋体" w:hAnsi="宋体" w:cs="宋体"/>
          <w:color w:val="auto"/>
          <w:sz w:val="24"/>
          <w:szCs w:val="20"/>
          <w:highlight w:val="none"/>
        </w:rPr>
      </w:pPr>
      <w:r>
        <w:rPr>
          <w:rFonts w:hint="eastAsia" w:ascii="宋体" w:hAnsi="宋体" w:cs="宋体"/>
          <w:color w:val="auto"/>
          <w:sz w:val="24"/>
          <w:szCs w:val="20"/>
          <w:highlight w:val="none"/>
        </w:rPr>
        <w:t>投标人信息采集表</w:t>
      </w:r>
    </w:p>
    <w:tbl>
      <w:tblPr>
        <w:tblStyle w:val="29"/>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noWrap w:val="0"/>
            <w:vAlign w:val="top"/>
          </w:tcPr>
          <w:p>
            <w:pPr>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2122" w:type="dxa"/>
            <w:noWrap w:val="0"/>
            <w:vAlign w:val="top"/>
          </w:tcPr>
          <w:p>
            <w:pPr>
              <w:jc w:val="center"/>
              <w:rPr>
                <w:rFonts w:ascii="宋体" w:hAnsi="宋体" w:cs="宋体"/>
                <w:color w:val="auto"/>
                <w:sz w:val="24"/>
                <w:highlight w:val="none"/>
              </w:rPr>
            </w:pPr>
            <w:r>
              <w:rPr>
                <w:rFonts w:hint="eastAsia" w:ascii="宋体" w:hAnsi="宋体" w:cs="宋体"/>
                <w:color w:val="auto"/>
                <w:sz w:val="24"/>
                <w:highlight w:val="none"/>
              </w:rPr>
              <w:t>投标人所属性别</w:t>
            </w:r>
          </w:p>
        </w:tc>
        <w:tc>
          <w:tcPr>
            <w:tcW w:w="2122" w:type="dxa"/>
            <w:noWrap w:val="0"/>
            <w:vAlign w:val="top"/>
          </w:tcPr>
          <w:p>
            <w:pPr>
              <w:jc w:val="center"/>
              <w:rPr>
                <w:rFonts w:ascii="宋体" w:hAnsi="宋体" w:cs="宋体"/>
                <w:color w:val="auto"/>
                <w:sz w:val="24"/>
                <w:highlight w:val="none"/>
              </w:rPr>
            </w:pPr>
            <w:r>
              <w:rPr>
                <w:rFonts w:hint="eastAsia" w:ascii="宋体" w:hAnsi="宋体" w:cs="宋体"/>
                <w:color w:val="auto"/>
                <w:sz w:val="24"/>
                <w:highlight w:val="none"/>
              </w:rPr>
              <w:t>外商投资类型</w:t>
            </w:r>
          </w:p>
        </w:tc>
        <w:tc>
          <w:tcPr>
            <w:tcW w:w="2122" w:type="dxa"/>
            <w:noWrap w:val="0"/>
            <w:vAlign w:val="top"/>
          </w:tcPr>
          <w:p>
            <w:pPr>
              <w:jc w:val="center"/>
              <w:rPr>
                <w:rFonts w:ascii="宋体" w:hAnsi="宋体" w:cs="宋体"/>
                <w:color w:val="auto"/>
                <w:sz w:val="24"/>
                <w:highlight w:val="none"/>
              </w:rPr>
            </w:pPr>
            <w:r>
              <w:rPr>
                <w:rFonts w:hint="eastAsia" w:ascii="宋体" w:hAnsi="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c>
          <w:tcPr>
            <w:tcW w:w="2122" w:type="dxa"/>
            <w:noWrap w:val="0"/>
            <w:vAlign w:val="top"/>
          </w:tcPr>
          <w:p>
            <w:pPr>
              <w:rPr>
                <w:rFonts w:ascii="宋体" w:hAnsi="宋体" w:cs="宋体"/>
                <w:color w:val="auto"/>
                <w:sz w:val="24"/>
                <w:highlight w:val="none"/>
              </w:rPr>
            </w:pPr>
          </w:p>
        </w:tc>
      </w:tr>
    </w:tbl>
    <w:p>
      <w:pPr>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注：1.供应商如为联合体，则应填写联合体各成员信息。</w:t>
      </w:r>
    </w:p>
    <w:p>
      <w:pPr>
        <w:tabs>
          <w:tab w:val="left" w:pos="1800"/>
          <w:tab w:val="left" w:pos="5580"/>
        </w:tabs>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3.外商投资类型请填写“外商单独投资”、“外商部分投资”或“内资”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如外商投资需明确“美资” 、</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日资”等详细信息</w:t>
      </w:r>
      <w:r>
        <w:rPr>
          <w:rFonts w:hint="eastAsia" w:ascii="宋体" w:hAnsi="宋体" w:cs="宋体"/>
          <w:color w:val="auto"/>
          <w:sz w:val="24"/>
          <w:highlight w:val="none"/>
        </w:rPr>
        <w:t>。</w:t>
      </w:r>
    </w:p>
    <w:p>
      <w:pPr>
        <w:pStyle w:val="98"/>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szCs w:val="24"/>
          <w:highlight w:val="none"/>
        </w:rPr>
        <w:t>4.规模请填写“大型企业”、“中型企业”、“小微企业”、“其他”</w:t>
      </w:r>
    </w:p>
    <w:p>
      <w:pPr>
        <w:tabs>
          <w:tab w:val="left" w:pos="5580"/>
        </w:tabs>
        <w:spacing w:line="480" w:lineRule="auto"/>
        <w:ind w:firstLine="482" w:firstLineChars="200"/>
        <w:rPr>
          <w:rFonts w:ascii="宋体" w:hAnsi="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Ansi="宋体" w:cs="宋体"/>
          <w:color w:val="auto"/>
          <w:highlight w:val="none"/>
        </w:rPr>
      </w:pPr>
      <w:r>
        <w:rPr>
          <w:rFonts w:hAnsi="宋体" w:cs="宋体"/>
          <w:bCs/>
          <w:color w:val="auto"/>
          <w:highlight w:val="none"/>
        </w:rPr>
        <w:t>9</w:t>
      </w:r>
      <w:r>
        <w:rPr>
          <w:rFonts w:hint="eastAsia" w:hAnsi="宋体" w:cs="宋体"/>
          <w:bCs/>
          <w:color w:val="auto"/>
          <w:highlight w:val="none"/>
        </w:rPr>
        <w:t>技术部分</w:t>
      </w:r>
    </w:p>
    <w:p>
      <w:pPr>
        <w:tabs>
          <w:tab w:val="left" w:pos="5580"/>
        </w:tabs>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p>
    <w:p>
      <w:pPr>
        <w:tabs>
          <w:tab w:val="left" w:pos="5580"/>
        </w:tabs>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1.请根据本项目的需求，自行编写技术部分的实施（服务）方案</w:t>
      </w:r>
    </w:p>
    <w:p>
      <w:pPr>
        <w:widowControl/>
        <w:spacing w:line="48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2.另外投标人可以自行提供其他对本项目有关的证明材料。</w:t>
      </w:r>
      <w:bookmarkEnd w:id="386"/>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F77134-9DAE-4A5E-B0CD-3B3916630F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7A3C76-63E0-4319-B4F1-30690A6C4C82}"/>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Century Gothic">
    <w:altName w:val="Yu Gothic UI"/>
    <w:panose1 w:val="020B0502020202020204"/>
    <w:charset w:val="00"/>
    <w:family w:val="auto"/>
    <w:pitch w:val="default"/>
    <w:sig w:usb0="00000000" w:usb1="00000000" w:usb2="00000000" w:usb3="00000000" w:csb0="2000009F" w:csb1="DFD7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auto"/>
    <w:pitch w:val="default"/>
    <w:sig w:usb0="A00006FF" w:usb1="4000205B" w:usb2="0000001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ˎ̥">
    <w:altName w:val="yyb"/>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embedRegular r:id="rId3" w:fontKey="{EE6C7CBF-AB0C-4A05-958B-D4344BF77C86}"/>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09"/>
      </w:rPr>
    </w:pPr>
    <w:r>
      <w:fldChar w:fldCharType="begin"/>
    </w:r>
    <w:r>
      <w:rPr>
        <w:rStyle w:val="309"/>
      </w:rPr>
      <w:instrText xml:space="preserve">PAGE  </w:instrText>
    </w:r>
    <w:r>
      <w:fldChar w:fldCharType="separate"/>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43</w:t>
    </w:r>
    <w:r>
      <w:fldChar w:fldCharType="end"/>
    </w:r>
  </w:p>
  <w:p>
    <w:pPr>
      <w:pStyle w:val="17"/>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0000007"/>
    <w:multiLevelType w:val="multilevel"/>
    <w:tmpl w:val="00000007"/>
    <w:lvl w:ilvl="0" w:tentative="0">
      <w:start w:val="1"/>
      <w:numFmt w:val="decimal"/>
      <w:pStyle w:val="18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8"/>
    <w:multiLevelType w:val="singleLevel"/>
    <w:tmpl w:val="00000008"/>
    <w:lvl w:ilvl="0" w:tentative="0">
      <w:start w:val="1"/>
      <w:numFmt w:val="decimal"/>
      <w:pStyle w:val="140"/>
      <w:lvlText w:val="%1."/>
      <w:lvlJc w:val="left"/>
      <w:pPr>
        <w:tabs>
          <w:tab w:val="left" w:pos="360"/>
        </w:tabs>
        <w:ind w:left="360" w:hanging="360"/>
      </w:pPr>
      <w:rPr>
        <w:rFonts w:hint="default"/>
      </w:rPr>
    </w:lvl>
  </w:abstractNum>
  <w:abstractNum w:abstractNumId="3">
    <w:nsid w:val="00000009"/>
    <w:multiLevelType w:val="multilevel"/>
    <w:tmpl w:val="00000009"/>
    <w:lvl w:ilvl="0" w:tentative="0">
      <w:start w:val="1"/>
      <w:numFmt w:val="bullet"/>
      <w:pStyle w:val="173"/>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4">
    <w:nsid w:val="0000000A"/>
    <w:multiLevelType w:val="multilevel"/>
    <w:tmpl w:val="0000000A"/>
    <w:lvl w:ilvl="0" w:tentative="0">
      <w:start w:val="1"/>
      <w:numFmt w:val="decimal"/>
      <w:pStyle w:val="25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B"/>
    <w:multiLevelType w:val="multilevel"/>
    <w:tmpl w:val="0000000B"/>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C"/>
    <w:multiLevelType w:val="multilevel"/>
    <w:tmpl w:val="0000000C"/>
    <w:lvl w:ilvl="0" w:tentative="0">
      <w:start w:val="1"/>
      <w:numFmt w:val="decimal"/>
      <w:pStyle w:val="10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8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0D"/>
    <w:multiLevelType w:val="singleLevel"/>
    <w:tmpl w:val="0000000D"/>
    <w:lvl w:ilvl="0" w:tentative="0">
      <w:start w:val="5"/>
      <w:numFmt w:val="decimal"/>
      <w:lvlText w:val="%1."/>
      <w:lvlJc w:val="left"/>
      <w:pPr>
        <w:tabs>
          <w:tab w:val="left" w:pos="312"/>
        </w:tabs>
      </w:pPr>
    </w:lvl>
  </w:abstractNum>
  <w:abstractNum w:abstractNumId="8">
    <w:nsid w:val="0000000E"/>
    <w:multiLevelType w:val="multilevel"/>
    <w:tmpl w:val="0000000E"/>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28"/>
      <w:lvlText w:val="%1.%2"/>
      <w:lvlJc w:val="left"/>
      <w:pPr>
        <w:ind w:left="851" w:hanging="851"/>
      </w:pPr>
      <w:rPr>
        <w:rFonts w:hint="eastAsia" w:ascii="宋体" w:hAnsi="宋体" w:eastAsia="宋体"/>
        <w:color w:val="auto"/>
      </w:rPr>
    </w:lvl>
    <w:lvl w:ilvl="2" w:tentative="0">
      <w:start w:val="1"/>
      <w:numFmt w:val="decimal"/>
      <w:pStyle w:val="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10"/>
    <w:multiLevelType w:val="multilevel"/>
    <w:tmpl w:val="00000010"/>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00000011"/>
    <w:multiLevelType w:val="multilevel"/>
    <w:tmpl w:val="00000011"/>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00000012"/>
    <w:multiLevelType w:val="multilevel"/>
    <w:tmpl w:val="00000012"/>
    <w:lvl w:ilvl="0" w:tentative="0">
      <w:start w:val="3"/>
      <w:numFmt w:val="decimal"/>
      <w:lvlText w:val="%1."/>
      <w:lvlJc w:val="left"/>
      <w:pPr>
        <w:ind w:left="420" w:hanging="420"/>
      </w:pPr>
      <w:rPr>
        <w:rFonts w:hint="eastAsia"/>
      </w:rPr>
    </w:lvl>
    <w:lvl w:ilvl="1" w:tentative="0">
      <w:start w:val="1"/>
      <w:numFmt w:val="lowerLetter"/>
      <w:pStyle w:val="189"/>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00000013"/>
    <w:multiLevelType w:val="multilevel"/>
    <w:tmpl w:val="0000001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14"/>
    <w:multiLevelType w:val="multilevel"/>
    <w:tmpl w:val="00000014"/>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00000015"/>
    <w:multiLevelType w:val="singleLevel"/>
    <w:tmpl w:val="00000015"/>
    <w:lvl w:ilvl="0" w:tentative="0">
      <w:start w:val="2"/>
      <w:numFmt w:val="decimal"/>
      <w:suff w:val="space"/>
      <w:lvlText w:val="%1."/>
      <w:lvlJc w:val="left"/>
    </w:lvl>
  </w:abstractNum>
  <w:abstractNum w:abstractNumId="16">
    <w:nsid w:val="00000016"/>
    <w:multiLevelType w:val="multilevel"/>
    <w:tmpl w:val="00000016"/>
    <w:lvl w:ilvl="0" w:tentative="0">
      <w:start w:val="1"/>
      <w:numFmt w:val="lowerLetter"/>
      <w:pStyle w:val="12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00000017"/>
    <w:multiLevelType w:val="multilevel"/>
    <w:tmpl w:val="0000001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8">
    <w:nsid w:val="00000018"/>
    <w:multiLevelType w:val="multilevel"/>
    <w:tmpl w:val="0000001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0000019"/>
    <w:multiLevelType w:val="multilevel"/>
    <w:tmpl w:val="0000001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num w:numId="1">
    <w:abstractNumId w:val="6"/>
  </w:num>
  <w:num w:numId="2">
    <w:abstractNumId w:val="8"/>
  </w:num>
  <w:num w:numId="3">
    <w:abstractNumId w:val="16"/>
  </w:num>
  <w:num w:numId="4">
    <w:abstractNumId w:val="2"/>
  </w:num>
  <w:num w:numId="5">
    <w:abstractNumId w:val="17"/>
  </w:num>
  <w:num w:numId="6">
    <w:abstractNumId w:val="3"/>
  </w:num>
  <w:num w:numId="7">
    <w:abstractNumId w:val="1"/>
  </w:num>
  <w:num w:numId="8">
    <w:abstractNumId w:val="12"/>
  </w:num>
  <w:num w:numId="9">
    <w:abstractNumId w:val="4"/>
  </w:num>
  <w:num w:numId="10">
    <w:abstractNumId w:val="15"/>
  </w:num>
  <w:num w:numId="11">
    <w:abstractNumId w:val="7"/>
  </w:num>
  <w:num w:numId="12">
    <w:abstractNumId w:val="13"/>
  </w:num>
  <w:num w:numId="13">
    <w:abstractNumId w:val="18"/>
  </w:num>
  <w:num w:numId="14">
    <w:abstractNumId w:val="19"/>
  </w:num>
  <w:num w:numId="15">
    <w:abstractNumId w:val="10"/>
  </w:num>
  <w:num w:numId="16">
    <w:abstractNumId w:val="9"/>
  </w:num>
  <w:num w:numId="17">
    <w:abstractNumId w:val="0"/>
  </w:num>
  <w:num w:numId="18">
    <w:abstractNumId w:val="5"/>
  </w:num>
  <w:num w:numId="19">
    <w:abstractNumId w:val="11"/>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mita">
    <w15:presenceInfo w15:providerId="None" w15:userId="Sm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24D3"/>
    <w:rsid w:val="06A51D5D"/>
    <w:rsid w:val="16642AC2"/>
    <w:rsid w:val="1CF04F96"/>
    <w:rsid w:val="1DE076B5"/>
    <w:rsid w:val="1FDC85A1"/>
    <w:rsid w:val="282E2D01"/>
    <w:rsid w:val="28D6617B"/>
    <w:rsid w:val="35656F90"/>
    <w:rsid w:val="35C93945"/>
    <w:rsid w:val="385675AB"/>
    <w:rsid w:val="3912363A"/>
    <w:rsid w:val="3A5103DB"/>
    <w:rsid w:val="3B726FE9"/>
    <w:rsid w:val="3CC45BBD"/>
    <w:rsid w:val="3EF55672"/>
    <w:rsid w:val="4E7D125B"/>
    <w:rsid w:val="595B4FF5"/>
    <w:rsid w:val="64E961E1"/>
    <w:rsid w:val="698F672A"/>
    <w:rsid w:val="78CF47B7"/>
    <w:rsid w:val="78EE0278"/>
    <w:rsid w:val="FF7D48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160" w:afterLines="0" w:line="276" w:lineRule="auto"/>
      <w:jc w:val="both"/>
    </w:pPr>
    <w:rPr>
      <w:rFonts w:ascii="Times New Roman" w:hAnsi="Times New Roman" w:eastAsia="宋体" w:cs="Times New Roman"/>
      <w:kern w:val="2"/>
      <w:sz w:val="21"/>
      <w:szCs w:val="24"/>
      <w:lang w:val="en-US" w:eastAsia="zh-CN"/>
    </w:rPr>
  </w:style>
  <w:style w:type="paragraph" w:styleId="3">
    <w:name w:val="heading 1"/>
    <w:basedOn w:val="1"/>
    <w:next w:val="1"/>
    <w:link w:val="306"/>
    <w:uiPriority w:val="0"/>
    <w:pPr>
      <w:keepNext/>
      <w:keepLines/>
      <w:autoSpaceDE w:val="0"/>
      <w:autoSpaceDN w:val="0"/>
      <w:adjustRightInd w:val="0"/>
      <w:spacing w:before="240" w:beforeLines="0" w:after="120" w:afterLines="0" w:line="300" w:lineRule="auto"/>
      <w:jc w:val="center"/>
      <w:outlineLvl w:val="0"/>
    </w:pPr>
    <w:rPr>
      <w:rFonts w:ascii="宋体"/>
      <w:b/>
      <w:kern w:val="44"/>
      <w:sz w:val="32"/>
    </w:rPr>
  </w:style>
  <w:style w:type="paragraph" w:styleId="4">
    <w:name w:val="heading 2"/>
    <w:basedOn w:val="1"/>
    <w:next w:val="1"/>
    <w:link w:val="312"/>
    <w:uiPriority w:val="0"/>
    <w:pPr>
      <w:keepNext/>
      <w:keepLines/>
      <w:autoSpaceDE w:val="0"/>
      <w:autoSpaceDN w:val="0"/>
      <w:adjustRightInd w:val="0"/>
      <w:spacing w:before="120" w:beforeLines="0" w:line="300" w:lineRule="auto"/>
      <w:jc w:val="center"/>
      <w:outlineLvl w:val="1"/>
    </w:pPr>
    <w:rPr>
      <w:rFonts w:ascii="Arial" w:hAnsi="Arial" w:eastAsia="黑体"/>
      <w:b/>
      <w:sz w:val="30"/>
      <w:lang w:val="en-US" w:eastAsia="zh-CN"/>
    </w:rPr>
  </w:style>
  <w:style w:type="paragraph" w:styleId="5">
    <w:name w:val="heading 3"/>
    <w:basedOn w:val="1"/>
    <w:next w:val="6"/>
    <w:link w:val="360"/>
    <w:uiPriority w:val="0"/>
    <w:pPr>
      <w:keepNext/>
      <w:keepLines/>
      <w:autoSpaceDE w:val="0"/>
      <w:autoSpaceDN w:val="0"/>
      <w:adjustRightInd w:val="0"/>
      <w:spacing w:before="360" w:beforeLines="0" w:after="120" w:afterLines="0"/>
      <w:jc w:val="left"/>
      <w:outlineLvl w:val="2"/>
    </w:pPr>
    <w:rPr>
      <w:rFonts w:ascii="宋体" w:eastAsia="宋体"/>
      <w:b/>
      <w:sz w:val="24"/>
      <w:u w:val="single"/>
      <w:lang w:val="en-US" w:eastAsia="zh-CN"/>
    </w:rPr>
  </w:style>
  <w:style w:type="paragraph" w:styleId="7">
    <w:name w:val="heading 4"/>
    <w:basedOn w:val="1"/>
    <w:next w:val="1"/>
    <w:link w:val="331"/>
    <w:uiPriority w:val="0"/>
    <w:pPr>
      <w:keepNext/>
      <w:keepLines/>
      <w:adjustRightInd w:val="0"/>
      <w:spacing w:before="280" w:beforeLines="0" w:after="290" w:afterLines="0" w:line="376" w:lineRule="atLeast"/>
      <w:textAlignment w:val="baseline"/>
      <w:outlineLvl w:val="3"/>
    </w:pPr>
    <w:rPr>
      <w:rFonts w:ascii="Arial" w:hAnsi="Arial" w:eastAsia="黑体"/>
      <w:b/>
      <w:sz w:val="28"/>
    </w:rPr>
  </w:style>
  <w:style w:type="paragraph" w:styleId="8">
    <w:name w:val="heading 5"/>
    <w:basedOn w:val="1"/>
    <w:next w:val="1"/>
    <w:link w:val="263"/>
    <w:uiPriority w:val="0"/>
    <w:pPr>
      <w:keepNext/>
      <w:keepLines/>
      <w:adjustRightInd w:val="0"/>
      <w:spacing w:before="280" w:beforeLines="0" w:after="290" w:afterLines="0" w:line="376" w:lineRule="atLeast"/>
      <w:textAlignment w:val="baseline"/>
      <w:outlineLvl w:val="4"/>
    </w:pPr>
    <w:rPr>
      <w:b/>
      <w:sz w:val="28"/>
    </w:rPr>
  </w:style>
  <w:style w:type="paragraph" w:styleId="9">
    <w:name w:val="heading 6"/>
    <w:basedOn w:val="1"/>
    <w:next w:val="1"/>
    <w:link w:val="362"/>
    <w:uiPriority w:val="0"/>
    <w:pPr>
      <w:keepNext/>
      <w:keepLines/>
      <w:adjustRightInd w:val="0"/>
      <w:spacing w:before="240" w:beforeLines="0" w:after="64" w:afterLines="0" w:line="320" w:lineRule="atLeast"/>
      <w:textAlignment w:val="baseline"/>
      <w:outlineLvl w:val="5"/>
    </w:pPr>
    <w:rPr>
      <w:rFonts w:ascii="Arial" w:hAnsi="Arial" w:eastAsia="黑体"/>
      <w:b/>
      <w:sz w:val="24"/>
    </w:rPr>
  </w:style>
  <w:style w:type="paragraph" w:styleId="10">
    <w:name w:val="heading 7"/>
    <w:basedOn w:val="1"/>
    <w:next w:val="1"/>
    <w:link w:val="356"/>
    <w:uiPriority w:val="0"/>
    <w:pPr>
      <w:keepNext/>
      <w:keepLines/>
      <w:adjustRightInd w:val="0"/>
      <w:spacing w:before="240" w:beforeLines="0" w:after="64" w:afterLines="0" w:line="320" w:lineRule="atLeast"/>
      <w:textAlignment w:val="baseline"/>
      <w:outlineLvl w:val="6"/>
    </w:pPr>
    <w:rPr>
      <w:b/>
      <w:sz w:val="24"/>
    </w:rPr>
  </w:style>
  <w:style w:type="paragraph" w:styleId="11">
    <w:name w:val="heading 8"/>
    <w:basedOn w:val="1"/>
    <w:next w:val="1"/>
    <w:link w:val="324"/>
    <w:uiPriority w:val="0"/>
    <w:pPr>
      <w:keepNext/>
      <w:keepLines/>
      <w:adjustRightInd w:val="0"/>
      <w:spacing w:before="240" w:beforeLines="0" w:after="64" w:afterLines="0" w:line="320" w:lineRule="atLeast"/>
      <w:textAlignment w:val="baseline"/>
      <w:outlineLvl w:val="7"/>
    </w:pPr>
    <w:rPr>
      <w:rFonts w:ascii="Arial" w:hAnsi="Arial" w:eastAsia="黑体"/>
      <w:sz w:val="24"/>
    </w:rPr>
  </w:style>
  <w:style w:type="paragraph" w:styleId="12">
    <w:name w:val="heading 9"/>
    <w:basedOn w:val="1"/>
    <w:next w:val="1"/>
    <w:link w:val="316"/>
    <w:uiPriority w:val="0"/>
    <w:pPr>
      <w:keepNext/>
      <w:keepLines/>
      <w:adjustRightInd w:val="0"/>
      <w:spacing w:before="240" w:beforeLines="0" w:after="64" w:afterLines="0" w:line="320" w:lineRule="atLeast"/>
      <w:textAlignment w:val="baseline"/>
      <w:outlineLvl w:val="8"/>
    </w:pPr>
    <w:rPr>
      <w:rFonts w:ascii="Arial" w:hAnsi="Arial" w:eastAsia="黑体"/>
      <w:sz w:val="21"/>
    </w:rPr>
  </w:style>
  <w:style w:type="character" w:default="1" w:styleId="30">
    <w:name w:val="Default Paragraph Font"/>
    <w:uiPriority w:val="0"/>
  </w:style>
  <w:style w:type="table" w:default="1" w:styleId="2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link w:val="270"/>
    <w:uiPriority w:val="0"/>
    <w:pPr>
      <w:tabs>
        <w:tab w:val="left" w:pos="567"/>
      </w:tabs>
      <w:spacing w:before="120" w:beforeLines="0" w:line="22" w:lineRule="atLeast"/>
    </w:pPr>
    <w:rPr>
      <w:rFonts w:ascii="宋体" w:hAnsi="宋体"/>
      <w:kern w:val="2"/>
      <w:sz w:val="24"/>
      <w:szCs w:val="24"/>
    </w:rPr>
  </w:style>
  <w:style w:type="paragraph" w:customStyle="1" w:styleId="6">
    <w:name w:val="Normal Indent"/>
    <w:basedOn w:val="1"/>
    <w:link w:val="340"/>
    <w:uiPriority w:val="0"/>
    <w:pPr>
      <w:autoSpaceDE w:val="0"/>
      <w:autoSpaceDN w:val="0"/>
      <w:adjustRightInd w:val="0"/>
      <w:ind w:firstLine="420"/>
      <w:jc w:val="left"/>
    </w:pPr>
    <w:rPr>
      <w:rFonts w:ascii="宋体" w:eastAsia="宋体"/>
      <w:kern w:val="2"/>
      <w:sz w:val="24"/>
      <w:szCs w:val="24"/>
      <w:lang w:val="en-US" w:eastAsia="zh-CN"/>
    </w:rPr>
  </w:style>
  <w:style w:type="paragraph" w:styleId="13">
    <w:name w:val="toc 7"/>
    <w:basedOn w:val="1"/>
    <w:next w:val="1"/>
    <w:uiPriority w:val="0"/>
    <w:pPr>
      <w:ind w:left="2520" w:leftChars="1200"/>
    </w:pPr>
  </w:style>
  <w:style w:type="paragraph" w:styleId="14">
    <w:name w:val="caption"/>
    <w:basedOn w:val="1"/>
    <w:next w:val="1"/>
    <w:uiPriority w:val="0"/>
    <w:pPr>
      <w:spacing w:line="480" w:lineRule="auto"/>
    </w:pPr>
    <w:rPr>
      <w:rFonts w:ascii="华文中宋" w:hAnsi="华文中宋" w:eastAsia="华文中宋"/>
      <w:sz w:val="36"/>
      <w:szCs w:val="20"/>
    </w:rPr>
  </w:style>
  <w:style w:type="paragraph" w:styleId="15">
    <w:name w:val="annotation text"/>
    <w:basedOn w:val="1"/>
    <w:link w:val="336"/>
    <w:uiPriority w:val="0"/>
    <w:pPr>
      <w:jc w:val="left"/>
    </w:pPr>
    <w:rPr>
      <w:kern w:val="2"/>
      <w:sz w:val="21"/>
      <w:szCs w:val="24"/>
    </w:rPr>
  </w:style>
  <w:style w:type="paragraph" w:styleId="16">
    <w:name w:val="toc 5"/>
    <w:basedOn w:val="1"/>
    <w:next w:val="1"/>
    <w:uiPriority w:val="0"/>
    <w:pPr>
      <w:ind w:left="1680" w:leftChars="800"/>
    </w:pPr>
  </w:style>
  <w:style w:type="paragraph" w:styleId="17">
    <w:name w:val="toc 3"/>
    <w:basedOn w:val="1"/>
    <w:next w:val="1"/>
    <w:uiPriority w:val="0"/>
    <w:pPr>
      <w:ind w:left="840" w:leftChars="400"/>
    </w:pPr>
  </w:style>
  <w:style w:type="paragraph" w:styleId="18">
    <w:name w:val="toc 8"/>
    <w:basedOn w:val="1"/>
    <w:next w:val="1"/>
    <w:uiPriority w:val="0"/>
    <w:pPr>
      <w:ind w:left="2940" w:leftChars="1400"/>
    </w:pPr>
  </w:style>
  <w:style w:type="paragraph" w:styleId="19">
    <w:name w:val="Balloon Text"/>
    <w:basedOn w:val="1"/>
    <w:link w:val="334"/>
    <w:uiPriority w:val="0"/>
    <w:rPr>
      <w:kern w:val="2"/>
      <w:sz w:val="18"/>
      <w:szCs w:val="18"/>
    </w:rPr>
  </w:style>
  <w:style w:type="paragraph" w:styleId="20">
    <w:name w:val="footer"/>
    <w:basedOn w:val="1"/>
    <w:link w:val="276"/>
    <w:uiPriority w:val="0"/>
    <w:pPr>
      <w:tabs>
        <w:tab w:val="center" w:pos="4153"/>
        <w:tab w:val="right" w:pos="8306"/>
      </w:tabs>
      <w:autoSpaceDE w:val="0"/>
      <w:autoSpaceDN w:val="0"/>
      <w:adjustRightInd w:val="0"/>
      <w:snapToGrid w:val="0"/>
      <w:jc w:val="left"/>
    </w:pPr>
    <w:rPr>
      <w:rFonts w:ascii="宋体" w:eastAsia="宋体"/>
      <w:sz w:val="18"/>
      <w:lang w:val="en-US" w:eastAsia="zh-CN"/>
    </w:rPr>
  </w:style>
  <w:style w:type="paragraph" w:styleId="21">
    <w:name w:val="header"/>
    <w:basedOn w:val="1"/>
    <w:link w:val="281"/>
    <w:uiPriority w:val="0"/>
    <w:pPr>
      <w:pBdr>
        <w:bottom w:val="single" w:color="auto" w:sz="6" w:space="1"/>
      </w:pBdr>
      <w:tabs>
        <w:tab w:val="center" w:pos="4153"/>
        <w:tab w:val="right" w:pos="8306"/>
      </w:tabs>
      <w:snapToGrid w:val="0"/>
      <w:jc w:val="center"/>
    </w:pPr>
    <w:rPr>
      <w:rFonts w:eastAsia="宋体"/>
      <w:kern w:val="2"/>
      <w:sz w:val="18"/>
      <w:szCs w:val="18"/>
      <w:lang w:val="en-US" w:eastAsia="zh-CN"/>
    </w:rPr>
  </w:style>
  <w:style w:type="paragraph" w:styleId="22">
    <w:name w:val="toc 1"/>
    <w:basedOn w:val="1"/>
    <w:next w:val="1"/>
    <w:uiPriority w:val="0"/>
    <w:pPr>
      <w:tabs>
        <w:tab w:val="left" w:pos="1050"/>
        <w:tab w:val="right" w:leader="dot" w:pos="8937"/>
      </w:tabs>
      <w:spacing w:line="300" w:lineRule="auto"/>
    </w:pPr>
    <w:rPr>
      <w:rFonts w:ascii="宋体" w:hAnsi="宋体"/>
      <w:b/>
      <w:sz w:val="24"/>
    </w:rPr>
  </w:style>
  <w:style w:type="paragraph" w:styleId="23">
    <w:name w:val="toc 4"/>
    <w:basedOn w:val="1"/>
    <w:next w:val="1"/>
    <w:uiPriority w:val="0"/>
    <w:pPr>
      <w:ind w:left="1260" w:leftChars="600"/>
    </w:pPr>
  </w:style>
  <w:style w:type="paragraph" w:styleId="24">
    <w:name w:val="footnote text"/>
    <w:basedOn w:val="1"/>
    <w:link w:val="328"/>
    <w:uiPriority w:val="0"/>
    <w:pPr>
      <w:suppressAutoHyphens/>
      <w:snapToGrid w:val="0"/>
      <w:jc w:val="left"/>
    </w:pPr>
    <w:rPr>
      <w:rFonts w:ascii="Calibri" w:hAnsi="Calibri" w:eastAsia="等线"/>
      <w:kern w:val="2"/>
      <w:sz w:val="18"/>
      <w:szCs w:val="18"/>
    </w:rPr>
  </w:style>
  <w:style w:type="paragraph" w:styleId="25">
    <w:name w:val="toc 6"/>
    <w:basedOn w:val="1"/>
    <w:next w:val="1"/>
    <w:uiPriority w:val="0"/>
    <w:pPr>
      <w:ind w:left="2100" w:leftChars="1000"/>
    </w:pPr>
  </w:style>
  <w:style w:type="paragraph" w:styleId="26">
    <w:name w:val="toc 2"/>
    <w:basedOn w:val="1"/>
    <w:next w:val="1"/>
    <w:uiPriority w:val="0"/>
    <w:pPr>
      <w:tabs>
        <w:tab w:val="right" w:leader="dot" w:pos="8937"/>
      </w:tabs>
      <w:spacing w:line="312" w:lineRule="auto"/>
      <w:ind w:left="420" w:leftChars="200"/>
    </w:pPr>
  </w:style>
  <w:style w:type="paragraph" w:styleId="27">
    <w:name w:val="toc 9"/>
    <w:basedOn w:val="1"/>
    <w:next w:val="1"/>
    <w:uiPriority w:val="0"/>
    <w:pPr>
      <w:ind w:left="3360" w:leftChars="1600"/>
    </w:pPr>
  </w:style>
  <w:style w:type="paragraph" w:styleId="28">
    <w:name w:val="Title"/>
    <w:basedOn w:val="1"/>
    <w:link w:val="342"/>
    <w:uiPriority w:val="0"/>
    <w:pPr>
      <w:jc w:val="center"/>
      <w:outlineLvl w:val="0"/>
    </w:pPr>
    <w:rPr>
      <w:b/>
      <w:kern w:val="2"/>
      <w:sz w:val="32"/>
    </w:rPr>
  </w:style>
  <w:style w:type="character" w:styleId="31">
    <w:name w:val="Strong"/>
    <w:uiPriority w:val="0"/>
    <w:rPr>
      <w:b/>
      <w:bCs/>
    </w:rPr>
  </w:style>
  <w:style w:type="character" w:styleId="32">
    <w:name w:val="FollowedHyperlink"/>
    <w:uiPriority w:val="0"/>
    <w:rPr>
      <w:color w:val="800080"/>
      <w:u w:val="single"/>
    </w:rPr>
  </w:style>
  <w:style w:type="character" w:styleId="33">
    <w:name w:val="Emphasis"/>
    <w:uiPriority w:val="0"/>
    <w:rPr>
      <w:color w:val="CC0033"/>
    </w:rPr>
  </w:style>
  <w:style w:type="character" w:styleId="34">
    <w:name w:val="Hyperlink"/>
    <w:uiPriority w:val="0"/>
    <w:rPr>
      <w:color w:val="0000FF"/>
      <w:u w:val="single"/>
    </w:rPr>
  </w:style>
  <w:style w:type="character" w:styleId="35">
    <w:name w:val="footnote reference"/>
    <w:uiPriority w:val="0"/>
    <w:rPr>
      <w:vertAlign w:val="superscript"/>
    </w:rPr>
  </w:style>
  <w:style w:type="paragraph" w:customStyle="1" w:styleId="36">
    <w:name w:val="xl82"/>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color w:val="000000"/>
      <w:kern w:val="0"/>
      <w:sz w:val="24"/>
    </w:rPr>
  </w:style>
  <w:style w:type="paragraph" w:customStyle="1" w:styleId="37">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6600"/>
      <w:kern w:val="0"/>
      <w:sz w:val="20"/>
      <w:szCs w:val="20"/>
    </w:rPr>
  </w:style>
  <w:style w:type="paragraph" w:customStyle="1" w:styleId="38">
    <w:name w:val="p0"/>
    <w:basedOn w:val="1"/>
    <w:uiPriority w:val="0"/>
    <w:pPr>
      <w:widowControl/>
      <w:suppressAutoHyphens/>
      <w:autoSpaceDN w:val="0"/>
      <w:spacing w:before="100" w:beforeLines="0" w:beforeAutospacing="1" w:after="100" w:afterLines="0" w:afterAutospacing="1" w:line="240" w:lineRule="auto"/>
      <w:jc w:val="left"/>
      <w:textAlignment w:val="baseline"/>
    </w:pPr>
    <w:rPr>
      <w:rFonts w:ascii="宋体" w:hAnsi="宋体" w:cs="宋体"/>
      <w:kern w:val="0"/>
      <w:sz w:val="24"/>
    </w:rPr>
  </w:style>
  <w:style w:type="paragraph" w:customStyle="1" w:styleId="39">
    <w:name w:val="xl91"/>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color w:val="000000"/>
      <w:kern w:val="0"/>
      <w:sz w:val="24"/>
    </w:rPr>
  </w:style>
  <w:style w:type="paragraph" w:customStyle="1" w:styleId="40">
    <w:name w:val="22222222222222"/>
    <w:basedOn w:val="1"/>
    <w:uiPriority w:val="0"/>
    <w:pPr>
      <w:widowControl/>
      <w:adjustRightInd w:val="0"/>
      <w:spacing w:line="360" w:lineRule="auto"/>
      <w:ind w:firstLine="480" w:firstLineChars="200"/>
      <w:jc w:val="left"/>
    </w:pPr>
    <w:rPr>
      <w:color w:val="FF0000"/>
      <w:kern w:val="0"/>
      <w:sz w:val="24"/>
      <w:szCs w:val="20"/>
    </w:rPr>
  </w:style>
  <w:style w:type="paragraph" w:customStyle="1" w:styleId="41">
    <w:name w:val="Char3 Char Char Char2"/>
    <w:basedOn w:val="1"/>
    <w:uiPriority w:val="0"/>
    <w:rPr>
      <w:rFonts w:ascii="Tahoma" w:hAnsi="Tahoma"/>
      <w:sz w:val="24"/>
      <w:szCs w:val="20"/>
    </w:rPr>
  </w:style>
  <w:style w:type="paragraph" w:customStyle="1" w:styleId="42">
    <w:name w:val="xl3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eastAsia="Arial Unicode MS"/>
      <w:color w:val="000000"/>
      <w:kern w:val="0"/>
      <w:sz w:val="20"/>
      <w:szCs w:val="20"/>
    </w:rPr>
  </w:style>
  <w:style w:type="paragraph" w:customStyle="1" w:styleId="43">
    <w:name w:val="font12"/>
    <w:basedOn w:val="1"/>
    <w:uiPriority w:val="0"/>
    <w:pPr>
      <w:widowControl/>
      <w:spacing w:before="100" w:beforeLines="0" w:beforeAutospacing="1" w:after="100" w:afterLines="0" w:afterAutospacing="1" w:line="240" w:lineRule="auto"/>
      <w:jc w:val="left"/>
    </w:pPr>
    <w:rPr>
      <w:rFonts w:ascii="宋体" w:hAnsi="宋体" w:cs="宋体"/>
      <w:kern w:val="0"/>
      <w:sz w:val="18"/>
      <w:szCs w:val="18"/>
    </w:rPr>
  </w:style>
  <w:style w:type="paragraph" w:customStyle="1" w:styleId="44">
    <w:name w:val="xl45"/>
    <w:basedOn w:val="1"/>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45">
    <w:name w:val="列表段落1"/>
    <w:basedOn w:val="1"/>
    <w:link w:val="355"/>
    <w:uiPriority w:val="0"/>
    <w:pPr>
      <w:spacing w:line="500" w:lineRule="exact"/>
      <w:ind w:firstLine="562" w:firstLineChars="200"/>
    </w:pPr>
    <w:rPr>
      <w:rFonts w:ascii="宋体" w:hAnsi="宋体"/>
      <w:b/>
      <w:kern w:val="2"/>
      <w:sz w:val="28"/>
      <w:szCs w:val="28"/>
    </w:rPr>
  </w:style>
  <w:style w:type="paragraph" w:customStyle="1" w:styleId="46">
    <w:name w:val="font10"/>
    <w:basedOn w:val="1"/>
    <w:uiPriority w:val="0"/>
    <w:pPr>
      <w:widowControl/>
      <w:spacing w:before="100" w:beforeLines="0" w:beforeAutospacing="1" w:after="100" w:afterLines="0" w:afterAutospacing="1" w:line="240" w:lineRule="auto"/>
      <w:jc w:val="left"/>
    </w:pPr>
    <w:rPr>
      <w:rFonts w:ascii="Calibri" w:hAnsi="Calibri" w:cs="Calibri"/>
      <w:color w:val="000000"/>
      <w:kern w:val="0"/>
      <w:sz w:val="24"/>
    </w:rPr>
  </w:style>
  <w:style w:type="paragraph" w:customStyle="1" w:styleId="47">
    <w:name w:val="xl98"/>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48">
    <w:name w:val="表格1"/>
    <w:basedOn w:val="1"/>
    <w:uiPriority w:val="0"/>
    <w:pPr>
      <w:ind w:firstLine="480" w:firstLineChars="200"/>
      <w:jc w:val="center"/>
    </w:pPr>
    <w:rPr>
      <w:sz w:val="24"/>
      <w:szCs w:val="20"/>
    </w:rPr>
  </w:style>
  <w:style w:type="paragraph" w:customStyle="1" w:styleId="49">
    <w:name w:val="Char Char Char1"/>
    <w:basedOn w:val="1"/>
    <w:uiPriority w:val="0"/>
    <w:rPr>
      <w:rFonts w:ascii="Tahoma" w:hAnsi="Tahoma"/>
      <w:sz w:val="24"/>
      <w:szCs w:val="20"/>
    </w:rPr>
  </w:style>
  <w:style w:type="paragraph" w:customStyle="1" w:styleId="50">
    <w:name w:val="table of figures"/>
    <w:basedOn w:val="1"/>
    <w:next w:val="1"/>
    <w:uiPriority w:val="0"/>
    <w:pPr>
      <w:spacing w:line="360" w:lineRule="auto"/>
      <w:ind w:left="840" w:hanging="420"/>
    </w:pPr>
    <w:rPr>
      <w:kern w:val="0"/>
      <w:szCs w:val="20"/>
    </w:rPr>
  </w:style>
  <w:style w:type="paragraph" w:customStyle="1" w:styleId="51">
    <w:name w:val="font7"/>
    <w:basedOn w:val="1"/>
    <w:uiPriority w:val="0"/>
    <w:pPr>
      <w:widowControl/>
      <w:spacing w:before="100" w:beforeLines="0" w:beforeAutospacing="1" w:after="100" w:afterLines="0" w:afterAutospacing="1"/>
      <w:jc w:val="left"/>
    </w:pPr>
    <w:rPr>
      <w:rFonts w:eastAsia="Arial Unicode MS"/>
      <w:b/>
      <w:bCs/>
      <w:color w:val="000000"/>
      <w:kern w:val="0"/>
      <w:sz w:val="20"/>
      <w:szCs w:val="20"/>
    </w:rPr>
  </w:style>
  <w:style w:type="paragraph" w:customStyle="1" w:styleId="52">
    <w:name w:val="xl6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Arial" w:hAnsi="Arial" w:cs="Arial"/>
      <w:kern w:val="0"/>
      <w:sz w:val="24"/>
    </w:rPr>
  </w:style>
  <w:style w:type="paragraph" w:customStyle="1" w:styleId="53">
    <w:name w:val="font9"/>
    <w:basedOn w:val="1"/>
    <w:uiPriority w:val="0"/>
    <w:pPr>
      <w:widowControl/>
      <w:spacing w:before="100" w:beforeLines="0" w:beforeAutospacing="1" w:after="100" w:afterLines="0" w:afterAutospacing="1"/>
      <w:jc w:val="left"/>
    </w:pPr>
    <w:rPr>
      <w:rFonts w:hint="eastAsia" w:ascii="宋体" w:hAnsi="宋体" w:cs="Arial Unicode MS"/>
      <w:color w:val="000000"/>
      <w:kern w:val="0"/>
      <w:sz w:val="20"/>
      <w:szCs w:val="20"/>
    </w:rPr>
  </w:style>
  <w:style w:type="paragraph" w:customStyle="1" w:styleId="54">
    <w:name w:val="无间隔1"/>
    <w:link w:val="338"/>
    <w:uiPriority w:val="0"/>
    <w:pPr>
      <w:widowControl w:val="0"/>
      <w:spacing w:after="160" w:afterLines="0" w:line="276" w:lineRule="auto"/>
      <w:jc w:val="both"/>
    </w:pPr>
    <w:rPr>
      <w:rFonts w:ascii="Calibri" w:hAnsi="Calibri" w:eastAsia="宋体" w:cs="Times New Roman"/>
      <w:kern w:val="2"/>
      <w:sz w:val="21"/>
      <w:szCs w:val="24"/>
    </w:rPr>
  </w:style>
  <w:style w:type="paragraph" w:customStyle="1" w:styleId="55">
    <w:name w:val="文档正文"/>
    <w:basedOn w:val="1"/>
    <w:uiPriority w:val="0"/>
    <w:pPr>
      <w:snapToGrid w:val="0"/>
      <w:spacing w:before="120" w:beforeLines="0" w:after="120" w:afterLines="0" w:line="180" w:lineRule="auto"/>
    </w:pPr>
    <w:rPr>
      <w:rFonts w:ascii="Arial" w:hAnsi="Arial"/>
      <w:szCs w:val="20"/>
    </w:rPr>
  </w:style>
  <w:style w:type="paragraph" w:customStyle="1" w:styleId="56">
    <w:name w:val="xl7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57">
    <w:name w:val="xl2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58">
    <w:name w:val="xl2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59">
    <w:name w:val="_Style 272"/>
    <w:basedOn w:val="1"/>
    <w:next w:val="1"/>
    <w:uiPriority w:val="0"/>
    <w:pPr>
      <w:ind w:left="840" w:leftChars="400"/>
    </w:pPr>
    <w:rPr>
      <w:szCs w:val="20"/>
    </w:rPr>
  </w:style>
  <w:style w:type="paragraph" w:customStyle="1" w:styleId="60">
    <w:name w:val="列出段落2"/>
    <w:basedOn w:val="1"/>
    <w:qFormat/>
    <w:uiPriority w:val="0"/>
    <w:pPr>
      <w:ind w:firstLine="420" w:firstLineChars="200"/>
    </w:pPr>
    <w:rPr>
      <w:rFonts w:ascii="Calibri" w:hAnsi="Calibri"/>
      <w:szCs w:val="22"/>
    </w:rPr>
  </w:style>
  <w:style w:type="paragraph" w:customStyle="1" w:styleId="61">
    <w:name w:val="修订18"/>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62">
    <w:name w:val="Char2 Char Char Char Char Char Char"/>
    <w:basedOn w:val="1"/>
    <w:uiPriority w:val="0"/>
    <w:pPr>
      <w:widowControl/>
      <w:spacing w:line="400" w:lineRule="exact"/>
      <w:jc w:val="center"/>
    </w:pPr>
  </w:style>
  <w:style w:type="paragraph" w:customStyle="1" w:styleId="63">
    <w:name w:val="Body Text 2"/>
    <w:basedOn w:val="1"/>
    <w:link w:val="296"/>
    <w:qFormat/>
    <w:uiPriority w:val="0"/>
    <w:pPr>
      <w:spacing w:after="120" w:afterLines="0" w:line="480" w:lineRule="auto"/>
    </w:pPr>
    <w:rPr>
      <w:kern w:val="2"/>
      <w:sz w:val="21"/>
      <w:szCs w:val="24"/>
    </w:rPr>
  </w:style>
  <w:style w:type="paragraph" w:customStyle="1" w:styleId="64">
    <w:name w:val="xl83"/>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65">
    <w:name w:val="正文 + 宋体"/>
    <w:basedOn w:val="1"/>
    <w:uiPriority w:val="0"/>
    <w:pPr>
      <w:widowControl/>
      <w:ind w:left="360" w:hanging="360"/>
      <w:jc w:val="left"/>
    </w:pPr>
    <w:rPr>
      <w:rFonts w:ascii="宋体" w:hAnsi="宋体" w:cs="宋体"/>
      <w:b/>
      <w:bCs/>
      <w:color w:val="000000"/>
      <w:kern w:val="0"/>
      <w:sz w:val="18"/>
      <w:szCs w:val="18"/>
    </w:rPr>
  </w:style>
  <w:style w:type="paragraph" w:customStyle="1" w:styleId="66">
    <w:name w:val="表格文字"/>
    <w:basedOn w:val="67"/>
    <w:qFormat/>
    <w:uiPriority w:val="0"/>
    <w:pPr>
      <w:spacing w:before="20" w:beforeLines="0" w:after="20" w:afterLines="0" w:line="240" w:lineRule="auto"/>
      <w:ind w:firstLine="0"/>
    </w:pPr>
    <w:rPr>
      <w:rFonts w:ascii="Century Gothic" w:hAnsi="Century Gothic"/>
      <w:sz w:val="20"/>
      <w:szCs w:val="20"/>
    </w:rPr>
  </w:style>
  <w:style w:type="paragraph" w:customStyle="1" w:styleId="67">
    <w:name w:val="Body Text Indent"/>
    <w:basedOn w:val="1"/>
    <w:link w:val="287"/>
    <w:uiPriority w:val="0"/>
    <w:pPr>
      <w:spacing w:line="360" w:lineRule="auto"/>
      <w:ind w:firstLine="570"/>
    </w:pPr>
    <w:rPr>
      <w:rFonts w:eastAsia="宋体"/>
      <w:kern w:val="2"/>
      <w:sz w:val="24"/>
      <w:szCs w:val="24"/>
      <w:lang w:val="en-US" w:eastAsia="zh-CN"/>
    </w:rPr>
  </w:style>
  <w:style w:type="paragraph" w:customStyle="1" w:styleId="68">
    <w:name w:val="List 2"/>
    <w:basedOn w:val="1"/>
    <w:qFormat/>
    <w:uiPriority w:val="0"/>
    <w:pPr>
      <w:ind w:left="100" w:leftChars="200" w:hanging="200" w:hangingChars="200"/>
    </w:pPr>
  </w:style>
  <w:style w:type="paragraph" w:customStyle="1" w:styleId="69">
    <w:name w:val="Char Char Char1 Char1"/>
    <w:basedOn w:val="1"/>
    <w:qFormat/>
    <w:uiPriority w:val="0"/>
    <w:rPr>
      <w:rFonts w:ascii="Tahoma" w:hAnsi="Tahoma"/>
      <w:sz w:val="24"/>
      <w:szCs w:val="20"/>
    </w:rPr>
  </w:style>
  <w:style w:type="paragraph" w:customStyle="1" w:styleId="70">
    <w:name w:val="pf0"/>
    <w:basedOn w:val="1"/>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71">
    <w:name w:val="Char2 Char Char Char Char Char Char1"/>
    <w:basedOn w:val="1"/>
    <w:uiPriority w:val="0"/>
    <w:pPr>
      <w:widowControl/>
      <w:spacing w:line="400" w:lineRule="exact"/>
      <w:jc w:val="center"/>
    </w:pPr>
  </w:style>
  <w:style w:type="paragraph" w:customStyle="1" w:styleId="72">
    <w:name w:val="Date"/>
    <w:basedOn w:val="1"/>
    <w:next w:val="1"/>
    <w:link w:val="348"/>
    <w:qFormat/>
    <w:uiPriority w:val="0"/>
    <w:pPr>
      <w:ind w:left="100" w:leftChars="2500"/>
    </w:pPr>
    <w:rPr>
      <w:rFonts w:ascii="仿宋_GB2312" w:hAnsi="宋体" w:eastAsia="仿宋_GB2312"/>
      <w:color w:val="000000"/>
      <w:kern w:val="2"/>
      <w:sz w:val="24"/>
      <w:szCs w:val="24"/>
    </w:rPr>
  </w:style>
  <w:style w:type="paragraph" w:customStyle="1" w:styleId="73">
    <w:name w:val="修订12"/>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74">
    <w:name w:val="Char3 Char Char Char"/>
    <w:basedOn w:val="1"/>
    <w:uiPriority w:val="0"/>
    <w:rPr>
      <w:rFonts w:ascii="Tahoma" w:hAnsi="Tahoma"/>
      <w:sz w:val="24"/>
      <w:szCs w:val="20"/>
    </w:rPr>
  </w:style>
  <w:style w:type="paragraph" w:customStyle="1" w:styleId="75">
    <w:name w:val="xl94"/>
    <w:basedOn w:val="1"/>
    <w:uiPriority w:val="0"/>
    <w:pPr>
      <w:widowControl/>
      <w:pBdr>
        <w:left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76">
    <w:name w:val="正文 + 楷体_GB2312"/>
    <w:basedOn w:val="1"/>
    <w:qFormat/>
    <w:uiPriority w:val="0"/>
    <w:pPr>
      <w:widowControl/>
      <w:jc w:val="left"/>
    </w:pPr>
    <w:rPr>
      <w:rFonts w:ascii="楷体_GB2312" w:eastAsia="楷体_GB2312" w:cs="Arial"/>
      <w:kern w:val="0"/>
      <w:sz w:val="24"/>
    </w:rPr>
  </w:style>
  <w:style w:type="paragraph" w:customStyle="1" w:styleId="77">
    <w:name w:val="无间隔2"/>
    <w:qFormat/>
    <w:uiPriority w:val="0"/>
    <w:pPr>
      <w:widowControl w:val="0"/>
      <w:spacing w:after="160" w:afterLines="0" w:line="276" w:lineRule="auto"/>
      <w:jc w:val="both"/>
    </w:pPr>
    <w:rPr>
      <w:rFonts w:ascii="Calibri" w:hAnsi="Calibri" w:eastAsia="宋体" w:cs="Times New Roman"/>
      <w:kern w:val="2"/>
      <w:sz w:val="21"/>
      <w:szCs w:val="21"/>
      <w:lang w:val="en-US" w:eastAsia="zh-CN"/>
    </w:rPr>
  </w:style>
  <w:style w:type="paragraph" w:customStyle="1" w:styleId="78">
    <w:name w:val="xl9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79">
    <w:name w:val="xl4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80">
    <w:name w:val="xl7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81">
    <w:name w:val="xl6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82">
    <w:name w:val="Char Char Char Char Char Char Char Char Char Char2"/>
    <w:basedOn w:val="1"/>
    <w:uiPriority w:val="0"/>
    <w:rPr>
      <w:rFonts w:ascii="宋体" w:hAnsi="宋体" w:cs="Courier New"/>
      <w:sz w:val="32"/>
      <w:szCs w:val="32"/>
    </w:rPr>
  </w:style>
  <w:style w:type="paragraph" w:customStyle="1" w:styleId="83">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84">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85">
    <w:name w:val="xl3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color w:val="000000"/>
      <w:kern w:val="0"/>
      <w:sz w:val="20"/>
      <w:szCs w:val="20"/>
    </w:rPr>
  </w:style>
  <w:style w:type="paragraph" w:customStyle="1" w:styleId="86">
    <w:name w:val="正文重点"/>
    <w:basedOn w:val="1"/>
    <w:link w:val="343"/>
    <w:uiPriority w:val="0"/>
    <w:pPr>
      <w:adjustRightInd w:val="0"/>
      <w:spacing w:line="360" w:lineRule="auto"/>
      <w:ind w:firstLine="482" w:firstLineChars="200"/>
      <w:jc w:val="left"/>
      <w:textAlignment w:val="baseline"/>
    </w:pPr>
    <w:rPr>
      <w:b/>
      <w:sz w:val="24"/>
    </w:rPr>
  </w:style>
  <w:style w:type="paragraph" w:customStyle="1" w:styleId="87">
    <w:name w:val="修订11"/>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88">
    <w:name w:val="1"/>
    <w:link w:val="333"/>
    <w:uiPriority w:val="0"/>
    <w:pPr>
      <w:spacing w:after="160" w:afterLines="0" w:line="276" w:lineRule="auto"/>
    </w:pPr>
    <w:rPr>
      <w:rFonts w:ascii="Calibri" w:hAnsi="Calibri" w:eastAsia="宋体" w:cs="Times New Roman"/>
      <w:kern w:val="2"/>
      <w:sz w:val="21"/>
      <w:szCs w:val="24"/>
      <w:lang w:val="zh-CN" w:eastAsia="zh-CN"/>
    </w:rPr>
  </w:style>
  <w:style w:type="paragraph" w:customStyle="1" w:styleId="89">
    <w:name w:val="xl4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b/>
      <w:bCs/>
      <w:color w:val="000000"/>
      <w:kern w:val="0"/>
      <w:sz w:val="20"/>
      <w:szCs w:val="20"/>
    </w:rPr>
  </w:style>
  <w:style w:type="paragraph" w:customStyle="1" w:styleId="90">
    <w:name w:val="Char Char Char"/>
    <w:basedOn w:val="1"/>
    <w:uiPriority w:val="0"/>
    <w:rPr>
      <w:rFonts w:ascii="Tahoma" w:hAnsi="Tahoma"/>
      <w:sz w:val="24"/>
      <w:szCs w:val="20"/>
    </w:rPr>
  </w:style>
  <w:style w:type="paragraph" w:customStyle="1" w:styleId="91">
    <w:name w:val="样式 宋体 五号 行距: 单倍行距"/>
    <w:basedOn w:val="1"/>
    <w:uiPriority w:val="0"/>
    <w:pPr>
      <w:adjustRightInd w:val="0"/>
      <w:jc w:val="left"/>
      <w:textAlignment w:val="baseline"/>
    </w:pPr>
    <w:rPr>
      <w:rFonts w:ascii="宋体" w:hAnsi="宋体"/>
      <w:kern w:val="0"/>
      <w:szCs w:val="20"/>
    </w:rPr>
  </w:style>
  <w:style w:type="paragraph" w:customStyle="1" w:styleId="92">
    <w:name w:val="Default"/>
    <w:uiPriority w:val="0"/>
    <w:pPr>
      <w:widowControl w:val="0"/>
      <w:autoSpaceDE w:val="0"/>
      <w:autoSpaceDN w:val="0"/>
      <w:adjustRightInd w:val="0"/>
      <w:spacing w:after="160" w:afterLines="0" w:line="276" w:lineRule="auto"/>
    </w:pPr>
    <w:rPr>
      <w:rFonts w:ascii="Symbol" w:hAnsi="Symbol" w:eastAsia="宋体" w:cs="Symbol"/>
      <w:color w:val="000000"/>
      <w:sz w:val="24"/>
      <w:szCs w:val="24"/>
      <w:lang w:val="en-US" w:eastAsia="zh-CN"/>
    </w:rPr>
  </w:style>
  <w:style w:type="paragraph" w:customStyle="1" w:styleId="93">
    <w:name w:val="xl81"/>
    <w:basedOn w:val="1"/>
    <w:uiPriority w:val="0"/>
    <w:pPr>
      <w:widowControl/>
      <w:pBdr>
        <w:left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color w:val="000000"/>
      <w:kern w:val="0"/>
      <w:sz w:val="24"/>
    </w:rPr>
  </w:style>
  <w:style w:type="paragraph" w:customStyle="1" w:styleId="94">
    <w:name w:val="Document Map"/>
    <w:basedOn w:val="1"/>
    <w:link w:val="341"/>
    <w:uiPriority w:val="0"/>
    <w:pPr>
      <w:shd w:val="clear" w:color="auto" w:fill="000080"/>
    </w:pPr>
    <w:rPr>
      <w:kern w:val="2"/>
      <w:sz w:val="21"/>
      <w:szCs w:val="24"/>
      <w:shd w:val="clear" w:color="auto" w:fill="000080"/>
    </w:rPr>
  </w:style>
  <w:style w:type="paragraph" w:customStyle="1" w:styleId="95">
    <w:name w:val="样式1"/>
    <w:basedOn w:val="1"/>
    <w:next w:val="1"/>
    <w:uiPriority w:val="0"/>
    <w:pPr>
      <w:tabs>
        <w:tab w:val="left" w:pos="720"/>
      </w:tabs>
      <w:adjustRightInd w:val="0"/>
      <w:spacing w:after="0" w:afterLines="0" w:line="240" w:lineRule="auto"/>
      <w:ind w:left="720" w:hanging="720"/>
      <w:textAlignment w:val="baseline"/>
    </w:pPr>
    <w:rPr>
      <w:rFonts w:ascii="宋体" w:hAnsi="宋体"/>
      <w:kern w:val="0"/>
      <w:szCs w:val="21"/>
    </w:rPr>
  </w:style>
  <w:style w:type="paragraph" w:customStyle="1" w:styleId="96">
    <w:name w:val="Char3 Char Char Char1"/>
    <w:basedOn w:val="1"/>
    <w:uiPriority w:val="0"/>
    <w:rPr>
      <w:rFonts w:ascii="Tahoma" w:hAnsi="Tahoma"/>
      <w:sz w:val="24"/>
      <w:szCs w:val="20"/>
    </w:rPr>
  </w:style>
  <w:style w:type="paragraph" w:customStyle="1" w:styleId="97">
    <w:name w:val="正文须知-3级"/>
    <w:basedOn w:val="1"/>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98">
    <w:name w:val="index 1"/>
    <w:basedOn w:val="1"/>
    <w:next w:val="1"/>
    <w:uiPriority w:val="0"/>
    <w:rPr>
      <w:szCs w:val="20"/>
    </w:rPr>
  </w:style>
  <w:style w:type="paragraph" w:customStyle="1" w:styleId="99">
    <w:name w:val="正文文本缩进2"/>
    <w:basedOn w:val="1"/>
    <w:uiPriority w:val="0"/>
    <w:pPr>
      <w:spacing w:line="480" w:lineRule="exact"/>
      <w:ind w:firstLine="480" w:firstLineChars="200"/>
    </w:pPr>
    <w:rPr>
      <w:rFonts w:ascii="宋体" w:hAnsi="宋体"/>
      <w:kern w:val="0"/>
      <w:sz w:val="24"/>
      <w:lang w:val="zh-CN"/>
    </w:rPr>
  </w:style>
  <w:style w:type="paragraph" w:customStyle="1" w:styleId="100">
    <w:name w:val="AONormal"/>
    <w:uiPriority w:val="0"/>
    <w:pPr>
      <w:autoSpaceDE w:val="0"/>
      <w:autoSpaceDN w:val="0"/>
      <w:adjustRightInd w:val="0"/>
      <w:spacing w:after="160" w:afterLines="0" w:line="400" w:lineRule="exact"/>
      <w:ind w:firstLine="440" w:firstLineChars="200"/>
    </w:pPr>
    <w:rPr>
      <w:rFonts w:ascii="华文楷体" w:hAnsi="华文楷体" w:eastAsia="华文楷体" w:cs="华文楷体"/>
      <w:sz w:val="22"/>
      <w:szCs w:val="21"/>
      <w:lang w:val="en-US" w:eastAsia="zh-CN"/>
    </w:rPr>
  </w:style>
  <w:style w:type="paragraph" w:customStyle="1" w:styleId="101">
    <w:name w:val="List Paragraph"/>
    <w:basedOn w:val="1"/>
    <w:uiPriority w:val="0"/>
    <w:pPr>
      <w:ind w:firstLine="420" w:firstLineChars="200"/>
    </w:pPr>
  </w:style>
  <w:style w:type="paragraph" w:customStyle="1" w:styleId="102">
    <w:name w:val="章标题"/>
    <w:next w:val="1"/>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rPr>
  </w:style>
  <w:style w:type="paragraph" w:customStyle="1" w:styleId="103">
    <w:name w:val="Body Text First Indent 2"/>
    <w:basedOn w:val="67"/>
    <w:link w:val="345"/>
    <w:uiPriority w:val="0"/>
    <w:pPr>
      <w:spacing w:after="120" w:afterLines="0" w:line="480" w:lineRule="exact"/>
      <w:ind w:left="420" w:leftChars="200" w:firstLine="420" w:firstLineChars="200"/>
    </w:pPr>
    <w:rPr>
      <w:rFonts w:eastAsia="宋体"/>
      <w:kern w:val="2"/>
      <w:sz w:val="24"/>
      <w:szCs w:val="24"/>
      <w:lang w:val="en-US" w:eastAsia="zh-CN"/>
    </w:rPr>
  </w:style>
  <w:style w:type="paragraph" w:customStyle="1" w:styleId="104">
    <w:name w:val="Char21"/>
    <w:basedOn w:val="1"/>
    <w:uiPriority w:val="0"/>
    <w:rPr>
      <w:rFonts w:ascii="Tahoma" w:hAnsi="Tahoma"/>
      <w:sz w:val="24"/>
      <w:szCs w:val="20"/>
    </w:rPr>
  </w:style>
  <w:style w:type="paragraph" w:customStyle="1" w:styleId="105">
    <w:name w:val="无标题条"/>
    <w:next w:val="1"/>
    <w:uiPriority w:val="0"/>
    <w:pPr>
      <w:spacing w:after="160" w:afterLines="0" w:line="276" w:lineRule="auto"/>
      <w:jc w:val="both"/>
    </w:pPr>
    <w:rPr>
      <w:rFonts w:ascii="Times New Roman" w:hAnsi="Times New Roman" w:eastAsia="宋体" w:cs="Times New Roman"/>
      <w:sz w:val="21"/>
      <w:lang w:val="en-US" w:eastAsia="zh-CN"/>
    </w:rPr>
  </w:style>
  <w:style w:type="paragraph" w:customStyle="1" w:styleId="106">
    <w:name w:val="列表段落2"/>
    <w:basedOn w:val="1"/>
    <w:link w:val="294"/>
    <w:uiPriority w:val="0"/>
    <w:pPr>
      <w:spacing w:after="0" w:afterLines="0" w:line="360" w:lineRule="auto"/>
      <w:ind w:firstLine="420" w:firstLineChars="200"/>
    </w:pPr>
    <w:rPr>
      <w:kern w:val="2"/>
      <w:sz w:val="21"/>
    </w:rPr>
  </w:style>
  <w:style w:type="paragraph" w:customStyle="1" w:styleId="107">
    <w:name w:val="xl4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108">
    <w:name w:val="正文缩进2"/>
    <w:basedOn w:val="1"/>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09">
    <w:name w:val="修订15"/>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10">
    <w:name w:val="xl5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11">
    <w:name w:val="HTML Preformatted"/>
    <w:basedOn w:val="1"/>
    <w:link w:val="319"/>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customStyle="1" w:styleId="112">
    <w:name w:val="xl7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113">
    <w:name w:val="xl97"/>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114">
    <w:name w:val="Char Char41"/>
    <w:basedOn w:val="1"/>
    <w:uiPriority w:val="0"/>
    <w:pPr>
      <w:widowControl/>
      <w:spacing w:line="400" w:lineRule="exact"/>
      <w:jc w:val="center"/>
    </w:pPr>
  </w:style>
  <w:style w:type="paragraph" w:customStyle="1" w:styleId="115">
    <w:name w:val="Char Char Char1 Char2"/>
    <w:basedOn w:val="1"/>
    <w:qFormat/>
    <w:uiPriority w:val="0"/>
    <w:rPr>
      <w:rFonts w:ascii="Tahoma" w:hAnsi="Tahoma"/>
      <w:sz w:val="24"/>
      <w:szCs w:val="20"/>
    </w:rPr>
  </w:style>
  <w:style w:type="paragraph" w:customStyle="1" w:styleId="116">
    <w:name w:val="1 Char Char Char Char"/>
    <w:basedOn w:val="1"/>
    <w:qFormat/>
    <w:uiPriority w:val="0"/>
    <w:rPr>
      <w:rFonts w:ascii="Tahoma" w:hAnsi="Tahoma"/>
      <w:sz w:val="24"/>
      <w:szCs w:val="20"/>
    </w:rPr>
  </w:style>
  <w:style w:type="paragraph" w:customStyle="1" w:styleId="117">
    <w:name w:val="Char Char Char2"/>
    <w:basedOn w:val="1"/>
    <w:qFormat/>
    <w:uiPriority w:val="0"/>
    <w:rPr>
      <w:rFonts w:ascii="Tahoma" w:hAnsi="Tahoma"/>
      <w:sz w:val="24"/>
      <w:szCs w:val="20"/>
    </w:rPr>
  </w:style>
  <w:style w:type="paragraph" w:customStyle="1" w:styleId="118">
    <w:name w:val="xl102"/>
    <w:basedOn w:val="1"/>
    <w:qFormat/>
    <w:uiPriority w:val="0"/>
    <w:pPr>
      <w:widowControl/>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119">
    <w:name w:val="??"/>
    <w:qFormat/>
    <w:uiPriority w:val="0"/>
    <w:pPr>
      <w:widowControl w:val="0"/>
      <w:overflowPunct w:val="0"/>
      <w:autoSpaceDE w:val="0"/>
      <w:autoSpaceDN w:val="0"/>
      <w:adjustRightInd w:val="0"/>
      <w:spacing w:after="160" w:afterLines="0" w:line="276" w:lineRule="auto"/>
      <w:jc w:val="both"/>
    </w:pPr>
    <w:rPr>
      <w:rFonts w:ascii="Times New Roman" w:hAnsi="Times New Roman" w:eastAsia="宋体" w:cs="Times New Roman"/>
      <w:kern w:val="2"/>
      <w:sz w:val="21"/>
      <w:lang w:val="en-US" w:eastAsia="en-US"/>
    </w:rPr>
  </w:style>
  <w:style w:type="paragraph" w:customStyle="1" w:styleId="120">
    <w:name w:val="项目编号3"/>
    <w:basedOn w:val="121"/>
    <w:qFormat/>
    <w:uiPriority w:val="0"/>
    <w:pPr>
      <w:numPr>
        <w:ilvl w:val="0"/>
        <w:numId w:val="3"/>
      </w:numPr>
    </w:pPr>
  </w:style>
  <w:style w:type="paragraph" w:customStyle="1" w:styleId="121">
    <w:name w:val="正文文本样式"/>
    <w:basedOn w:val="1"/>
    <w:qFormat/>
    <w:uiPriority w:val="0"/>
    <w:pPr>
      <w:spacing w:line="360" w:lineRule="auto"/>
      <w:ind w:firstLine="482"/>
    </w:pPr>
    <w:rPr>
      <w:rFonts w:cs="宋体"/>
      <w:sz w:val="24"/>
      <w:szCs w:val="20"/>
    </w:rPr>
  </w:style>
  <w:style w:type="paragraph" w:customStyle="1" w:styleId="122">
    <w:name w:val="标题1-附件"/>
    <w:basedOn w:val="3"/>
    <w:qFormat/>
    <w:uiPriority w:val="0"/>
    <w:pPr>
      <w:jc w:val="left"/>
    </w:pPr>
    <w:rPr>
      <w:sz w:val="24"/>
      <w:szCs w:val="24"/>
    </w:rPr>
  </w:style>
  <w:style w:type="paragraph" w:customStyle="1" w:styleId="123">
    <w:name w:val="五级条标题"/>
    <w:basedOn w:val="124"/>
    <w:next w:val="1"/>
    <w:qFormat/>
    <w:uiPriority w:val="0"/>
    <w:pPr>
      <w:numPr>
        <w:ilvl w:val="0"/>
        <w:numId w:val="0"/>
      </w:numPr>
      <w:tabs>
        <w:tab w:val="left" w:pos="360"/>
        <w:tab w:val="left" w:pos="840"/>
      </w:tabs>
      <w:ind w:left="0" w:hanging="840"/>
      <w:outlineLvl w:val="5"/>
    </w:pPr>
  </w:style>
  <w:style w:type="paragraph" w:customStyle="1" w:styleId="124">
    <w:name w:val="四级条标题"/>
    <w:basedOn w:val="125"/>
    <w:next w:val="1"/>
    <w:qFormat/>
    <w:uiPriority w:val="0"/>
    <w:pPr>
      <w:numPr>
        <w:ilvl w:val="3"/>
        <w:numId w:val="0"/>
      </w:numPr>
      <w:tabs>
        <w:tab w:val="left" w:pos="360"/>
        <w:tab w:val="left" w:pos="840"/>
      </w:tabs>
      <w:ind w:left="0" w:hanging="840"/>
      <w:outlineLvl w:val="4"/>
    </w:pPr>
  </w:style>
  <w:style w:type="paragraph" w:customStyle="1" w:styleId="125">
    <w:name w:val="三级条标题"/>
    <w:basedOn w:val="126"/>
    <w:next w:val="1"/>
    <w:qFormat/>
    <w:uiPriority w:val="0"/>
    <w:pPr>
      <w:numPr>
        <w:ilvl w:val="3"/>
        <w:numId w:val="1"/>
      </w:numPr>
      <w:tabs>
        <w:tab w:val="left" w:pos="360"/>
        <w:tab w:val="left" w:pos="840"/>
      </w:tabs>
      <w:ind w:left="0" w:hanging="840"/>
      <w:outlineLvl w:val="3"/>
    </w:pPr>
  </w:style>
  <w:style w:type="paragraph" w:customStyle="1" w:styleId="126">
    <w:name w:val="二级条标题"/>
    <w:basedOn w:val="12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27">
    <w:name w:val="一级条标题"/>
    <w:basedOn w:val="102"/>
    <w:next w:val="1"/>
    <w:qFormat/>
    <w:uiPriority w:val="0"/>
    <w:pPr>
      <w:numPr>
        <w:ilvl w:val="0"/>
        <w:numId w:val="0"/>
      </w:numPr>
      <w:tabs>
        <w:tab w:val="left" w:pos="360"/>
        <w:tab w:val="left" w:pos="840"/>
      </w:tabs>
      <w:ind w:left="0" w:hanging="840"/>
      <w:outlineLvl w:val="1"/>
    </w:pPr>
  </w:style>
  <w:style w:type="paragraph" w:customStyle="1" w:styleId="128">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29">
    <w:name w:val="修订1"/>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30">
    <w:name w:val="正文表格"/>
    <w:basedOn w:val="1"/>
    <w:link w:val="330"/>
    <w:qFormat/>
    <w:uiPriority w:val="0"/>
    <w:pPr>
      <w:adjustRightInd w:val="0"/>
      <w:snapToGrid w:val="0"/>
      <w:jc w:val="left"/>
    </w:pPr>
    <w:rPr>
      <w:rFonts w:ascii="宋体" w:hAnsi="宋体"/>
      <w:color w:val="000000"/>
      <w:kern w:val="2"/>
      <w:sz w:val="21"/>
      <w:szCs w:val="21"/>
    </w:rPr>
  </w:style>
  <w:style w:type="paragraph" w:customStyle="1" w:styleId="131">
    <w:name w:val="xl9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132">
    <w:name w:val="Body Text First Indent"/>
    <w:basedOn w:val="2"/>
    <w:link w:val="272"/>
    <w:qFormat/>
    <w:uiPriority w:val="0"/>
    <w:pPr>
      <w:spacing w:before="0" w:beforeLines="0" w:after="120" w:afterLines="0" w:line="276" w:lineRule="auto"/>
    </w:pPr>
    <w:rPr>
      <w:rFonts w:ascii="宋体" w:hAnsi="宋体"/>
      <w:kern w:val="2"/>
      <w:sz w:val="21"/>
      <w:szCs w:val="24"/>
    </w:rPr>
  </w:style>
  <w:style w:type="paragraph" w:customStyle="1" w:styleId="133">
    <w:name w:val="font8"/>
    <w:basedOn w:val="1"/>
    <w:qFormat/>
    <w:uiPriority w:val="0"/>
    <w:pPr>
      <w:widowControl/>
      <w:spacing w:before="100" w:beforeLines="0" w:beforeAutospacing="1" w:after="100" w:afterLines="0" w:afterAutospacing="1"/>
      <w:jc w:val="left"/>
    </w:pPr>
    <w:rPr>
      <w:kern w:val="0"/>
      <w:sz w:val="36"/>
      <w:szCs w:val="36"/>
    </w:rPr>
  </w:style>
  <w:style w:type="paragraph" w:customStyle="1" w:styleId="134">
    <w:name w:val="标题3"/>
    <w:basedOn w:val="1"/>
    <w:link w:val="361"/>
    <w:qFormat/>
    <w:uiPriority w:val="0"/>
    <w:pPr>
      <w:keepNext/>
      <w:keepLines/>
      <w:widowControl/>
      <w:spacing w:after="0" w:afterLines="0" w:line="360" w:lineRule="auto"/>
      <w:jc w:val="left"/>
      <w:outlineLvl w:val="0"/>
    </w:pPr>
    <w:rPr>
      <w:rFonts w:ascii="宋体" w:hAnsi="宋体" w:cs="宋体"/>
      <w:b/>
      <w:bCs/>
      <w:kern w:val="44"/>
      <w:sz w:val="44"/>
      <w:szCs w:val="44"/>
    </w:rPr>
  </w:style>
  <w:style w:type="paragraph" w:customStyle="1" w:styleId="13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36">
    <w:name w:val="正文小标题"/>
    <w:basedOn w:val="1"/>
    <w:next w:val="6"/>
    <w:link w:val="271"/>
    <w:qFormat/>
    <w:uiPriority w:val="0"/>
    <w:pPr>
      <w:adjustRightInd w:val="0"/>
      <w:snapToGrid w:val="0"/>
      <w:spacing w:before="312" w:beforeLines="100" w:after="312" w:afterLines="100"/>
      <w:ind w:firstLine="482"/>
      <w:jc w:val="left"/>
    </w:pPr>
    <w:rPr>
      <w:rFonts w:ascii="宋体" w:hAnsi="宋体"/>
      <w:b/>
      <w:i/>
      <w:color w:val="FF0000"/>
      <w:kern w:val="2"/>
      <w:sz w:val="24"/>
    </w:rPr>
  </w:style>
  <w:style w:type="paragraph" w:customStyle="1" w:styleId="137">
    <w:name w:val="annotation subject"/>
    <w:basedOn w:val="15"/>
    <w:next w:val="15"/>
    <w:link w:val="363"/>
    <w:qFormat/>
    <w:uiPriority w:val="0"/>
    <w:rPr>
      <w:rFonts w:ascii="Times New Roman" w:hAnsi="Times New Roman" w:eastAsia="宋体" w:cs="Times New Roman"/>
      <w:b/>
      <w:bCs/>
      <w:kern w:val="2"/>
      <w:sz w:val="21"/>
      <w:szCs w:val="24"/>
      <w:lang w:val="en-US" w:eastAsia="zh-CN"/>
    </w:rPr>
  </w:style>
  <w:style w:type="paragraph" w:customStyle="1" w:styleId="138">
    <w:name w:val="Char"/>
    <w:basedOn w:val="1"/>
    <w:qFormat/>
    <w:uiPriority w:val="0"/>
    <w:pPr>
      <w:tabs>
        <w:tab w:val="left" w:pos="360"/>
      </w:tabs>
    </w:pPr>
    <w:rPr>
      <w:sz w:val="24"/>
    </w:rPr>
  </w:style>
  <w:style w:type="paragraph" w:customStyle="1" w:styleId="139">
    <w:name w:val="font6"/>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140">
    <w:name w:val="1名"/>
    <w:basedOn w:val="1"/>
    <w:qFormat/>
    <w:uiPriority w:val="0"/>
    <w:pPr>
      <w:numPr>
        <w:ilvl w:val="0"/>
        <w:numId w:val="4"/>
      </w:numPr>
      <w:spacing w:before="120" w:beforeLines="0"/>
    </w:pPr>
    <w:rPr>
      <w:rFonts w:ascii="宋体"/>
      <w:sz w:val="28"/>
      <w:szCs w:val="20"/>
    </w:rPr>
  </w:style>
  <w:style w:type="paragraph" w:customStyle="1" w:styleId="141">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42">
    <w:name w:val="xl90"/>
    <w:basedOn w:val="1"/>
    <w:qFormat/>
    <w:uiPriority w:val="0"/>
    <w:pPr>
      <w:widowControl/>
      <w:pBdr>
        <w:left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43">
    <w:name w:val="修订9"/>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44">
    <w:name w:val="修订5"/>
    <w:qFormat/>
    <w:uiPriority w:val="0"/>
    <w:pPr>
      <w:spacing w:after="160" w:afterLines="0" w:line="276" w:lineRule="auto"/>
    </w:pPr>
    <w:rPr>
      <w:rFonts w:ascii="Times New Roman" w:hAnsi="Times New Roman" w:eastAsia="宋体" w:cs="Times New Roman"/>
      <w:kern w:val="2"/>
      <w:sz w:val="21"/>
      <w:lang w:val="en-US" w:eastAsia="zh-CN"/>
    </w:rPr>
  </w:style>
  <w:style w:type="paragraph" w:customStyle="1" w:styleId="145">
    <w:name w:val="MM Topic 1"/>
    <w:basedOn w:val="3"/>
    <w:qFormat/>
    <w:uiPriority w:val="0"/>
    <w:pPr>
      <w:suppressAutoHyphens/>
    </w:pPr>
    <w:rPr>
      <w:rFonts w:hAnsi="Calibri"/>
    </w:rPr>
  </w:style>
  <w:style w:type="paragraph" w:customStyle="1" w:styleId="146">
    <w:name w:val="修订13"/>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47">
    <w:name w:val="正文文本样式 加粗"/>
    <w:basedOn w:val="121"/>
    <w:qFormat/>
    <w:uiPriority w:val="0"/>
    <w:rPr>
      <w:b/>
    </w:rPr>
  </w:style>
  <w:style w:type="paragraph" w:customStyle="1" w:styleId="148">
    <w:name w:val="msonormal"/>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0"/>
      <w:szCs w:val="20"/>
    </w:rPr>
  </w:style>
  <w:style w:type="paragraph" w:customStyle="1" w:styleId="150">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151">
    <w:name w:val="font13"/>
    <w:basedOn w:val="1"/>
    <w:qFormat/>
    <w:uiPriority w:val="0"/>
    <w:pPr>
      <w:widowControl/>
      <w:spacing w:before="100" w:beforeLines="0" w:beforeAutospacing="1" w:after="100" w:afterLines="0" w:afterAutospacing="1" w:line="240" w:lineRule="auto"/>
      <w:jc w:val="left"/>
    </w:pPr>
    <w:rPr>
      <w:rFonts w:ascii="等线" w:hAnsi="等线" w:eastAsia="等线" w:cs="宋体"/>
      <w:kern w:val="0"/>
      <w:sz w:val="18"/>
      <w:szCs w:val="18"/>
    </w:rPr>
  </w:style>
  <w:style w:type="paragraph" w:customStyle="1" w:styleId="1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53">
    <w:name w:val="修订7"/>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54">
    <w:name w:val="列出段落3"/>
    <w:basedOn w:val="1"/>
    <w:link w:val="292"/>
    <w:qFormat/>
    <w:uiPriority w:val="0"/>
    <w:pPr>
      <w:ind w:firstLine="420" w:firstLineChars="200"/>
    </w:pPr>
    <w:rPr>
      <w:kern w:val="2"/>
      <w:sz w:val="21"/>
      <w:szCs w:val="21"/>
    </w:rPr>
  </w:style>
  <w:style w:type="paragraph" w:customStyle="1" w:styleId="155">
    <w:name w:val="注释"/>
    <w:basedOn w:val="1"/>
    <w:link w:val="279"/>
    <w:qFormat/>
    <w:uiPriority w:val="0"/>
    <w:pPr>
      <w:adjustRightInd w:val="0"/>
      <w:snapToGrid w:val="0"/>
      <w:ind w:left="420" w:hanging="420" w:hangingChars="200"/>
      <w:jc w:val="left"/>
    </w:pPr>
    <w:rPr>
      <w:rFonts w:ascii="宋体" w:hAnsi="宋体"/>
      <w:kern w:val="2"/>
      <w:sz w:val="21"/>
      <w:szCs w:val="21"/>
    </w:rPr>
  </w:style>
  <w:style w:type="paragraph" w:customStyle="1" w:styleId="156">
    <w:name w:val="xl9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157">
    <w:name w:val="xl99"/>
    <w:basedOn w:val="1"/>
    <w:qFormat/>
    <w:uiPriority w:val="0"/>
    <w:pPr>
      <w:widowControl/>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58">
    <w:name w:val="xl8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color w:val="000000"/>
      <w:kern w:val="0"/>
      <w:sz w:val="24"/>
    </w:rPr>
  </w:style>
  <w:style w:type="paragraph" w:customStyle="1" w:styleId="15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6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16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16"/>
      <w:szCs w:val="16"/>
    </w:rPr>
  </w:style>
  <w:style w:type="paragraph" w:customStyle="1" w:styleId="162">
    <w:name w:val="字元 字元2"/>
    <w:basedOn w:val="1"/>
    <w:qFormat/>
    <w:uiPriority w:val="0"/>
    <w:rPr>
      <w:rFonts w:ascii="Tahoma" w:hAnsi="Tahoma"/>
      <w:sz w:val="24"/>
      <w:szCs w:val="20"/>
    </w:rPr>
  </w:style>
  <w:style w:type="paragraph" w:customStyle="1" w:styleId="1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4">
    <w:name w:val="样式 标题 2 + 宋体 五号 行距: 单倍行距"/>
    <w:basedOn w:val="4"/>
    <w:qFormat/>
    <w:uiPriority w:val="0"/>
    <w:pPr>
      <w:numPr>
        <w:ilvl w:val="1"/>
        <w:numId w:val="5"/>
      </w:numPr>
      <w:tabs>
        <w:tab w:val="left" w:pos="768"/>
        <w:tab w:val="clear" w:pos="1188"/>
      </w:tabs>
      <w:autoSpaceDE/>
      <w:autoSpaceDN/>
      <w:spacing w:before="260" w:beforeLines="0" w:after="260" w:afterLines="0" w:line="240" w:lineRule="auto"/>
      <w:jc w:val="left"/>
      <w:textAlignment w:val="baseline"/>
    </w:pPr>
    <w:rPr>
      <w:rFonts w:ascii="宋体" w:hAnsi="宋体" w:eastAsia="宋体"/>
      <w:bCs/>
      <w:sz w:val="21"/>
    </w:rPr>
  </w:style>
  <w:style w:type="paragraph" w:customStyle="1" w:styleId="165">
    <w:name w:val="正文缩进1"/>
    <w:basedOn w:val="1"/>
    <w:link w:val="327"/>
    <w:qFormat/>
    <w:uiPriority w:val="0"/>
    <w:pPr>
      <w:widowControl/>
      <w:adjustRightInd w:val="0"/>
      <w:snapToGrid w:val="0"/>
      <w:spacing w:line="480" w:lineRule="exact"/>
      <w:ind w:firstLine="567"/>
    </w:pPr>
    <w:rPr>
      <w:rFonts w:ascii="宋体" w:eastAsia="宋体"/>
      <w:snapToGrid w:val="0"/>
      <w:color w:val="000000"/>
      <w:kern w:val="28"/>
      <w:sz w:val="28"/>
    </w:rPr>
  </w:style>
  <w:style w:type="paragraph" w:customStyle="1" w:styleId="166">
    <w:name w:val="列表段落3"/>
    <w:basedOn w:val="1"/>
    <w:qFormat/>
    <w:uiPriority w:val="0"/>
    <w:pPr>
      <w:spacing w:after="0" w:afterLines="0" w:line="240" w:lineRule="auto"/>
      <w:ind w:firstLine="420" w:firstLineChars="200"/>
    </w:pPr>
    <w:rPr>
      <w:rFonts w:ascii="Calibri" w:hAnsi="Calibri" w:cs="宋体"/>
      <w:szCs w:val="22"/>
    </w:rPr>
  </w:style>
  <w:style w:type="paragraph" w:customStyle="1" w:styleId="167">
    <w:name w:val="xl101"/>
    <w:basedOn w:val="1"/>
    <w:qFormat/>
    <w:uiPriority w:val="0"/>
    <w:pPr>
      <w:widowControl/>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68">
    <w:name w:val="xl70"/>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170">
    <w:name w:val="修订19"/>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71">
    <w:name w:val="Body Text Indent 3"/>
    <w:basedOn w:val="1"/>
    <w:link w:val="265"/>
    <w:qFormat/>
    <w:uiPriority w:val="0"/>
    <w:pPr>
      <w:autoSpaceDE w:val="0"/>
      <w:autoSpaceDN w:val="0"/>
      <w:adjustRightInd w:val="0"/>
      <w:spacing w:before="120" w:beforeLines="0" w:line="22" w:lineRule="atLeast"/>
      <w:ind w:left="720" w:firstLine="480"/>
      <w:jc w:val="left"/>
    </w:pPr>
    <w:rPr>
      <w:rFonts w:ascii="宋体"/>
      <w:sz w:val="24"/>
    </w:rPr>
  </w:style>
  <w:style w:type="paragraph" w:customStyle="1" w:styleId="1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73">
    <w:name w:val="功能点标示1"/>
    <w:basedOn w:val="1"/>
    <w:qFormat/>
    <w:uiPriority w:val="0"/>
    <w:pPr>
      <w:numPr>
        <w:ilvl w:val="0"/>
        <w:numId w:val="6"/>
      </w:numPr>
      <w:spacing w:line="360" w:lineRule="auto"/>
      <w:jc w:val="left"/>
    </w:pPr>
    <w:rPr>
      <w:rFonts w:ascii="等线" w:hAnsi="等线" w:eastAsia="等线"/>
      <w:sz w:val="24"/>
    </w:rPr>
  </w:style>
  <w:style w:type="paragraph" w:customStyle="1" w:styleId="174">
    <w:name w:val="Char1"/>
    <w:basedOn w:val="1"/>
    <w:qFormat/>
    <w:uiPriority w:val="0"/>
    <w:pPr>
      <w:tabs>
        <w:tab w:val="left" w:pos="360"/>
      </w:tabs>
    </w:pPr>
    <w:rPr>
      <w:sz w:val="24"/>
    </w:rPr>
  </w:style>
  <w:style w:type="paragraph" w:customStyle="1" w:styleId="175">
    <w:name w:val="修订8"/>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76">
    <w:name w:val="Plain Text"/>
    <w:basedOn w:val="1"/>
    <w:link w:val="304"/>
    <w:qFormat/>
    <w:uiPriority w:val="0"/>
    <w:rPr>
      <w:rFonts w:hint="eastAsia" w:ascii="宋体" w:hAnsi="Courier New" w:eastAsia="宋体" w:cs="宋体"/>
      <w:kern w:val="2"/>
      <w:sz w:val="21"/>
    </w:rPr>
  </w:style>
  <w:style w:type="paragraph" w:customStyle="1" w:styleId="17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178">
    <w:name w:val="xl8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79">
    <w:name w:val="font14"/>
    <w:basedOn w:val="1"/>
    <w:qFormat/>
    <w:uiPriority w:val="0"/>
    <w:pPr>
      <w:widowControl/>
      <w:spacing w:before="100" w:beforeLines="0" w:beforeAutospacing="1" w:after="100" w:afterLines="0" w:afterAutospacing="1" w:line="240" w:lineRule="auto"/>
      <w:jc w:val="left"/>
    </w:pPr>
    <w:rPr>
      <w:rFonts w:ascii="PMingLiU" w:hAnsi="PMingLiU" w:eastAsia="PMingLiU" w:cs="宋体"/>
      <w:kern w:val="0"/>
      <w:sz w:val="18"/>
      <w:szCs w:val="18"/>
    </w:rPr>
  </w:style>
  <w:style w:type="paragraph" w:customStyle="1" w:styleId="180">
    <w:name w:val="项目编号1"/>
    <w:basedOn w:val="1"/>
    <w:qFormat/>
    <w:uiPriority w:val="0"/>
    <w:pPr>
      <w:numPr>
        <w:ilvl w:val="0"/>
        <w:numId w:val="7"/>
      </w:numPr>
      <w:spacing w:before="100" w:beforeLines="0" w:beforeAutospacing="1" w:after="100" w:afterLines="0" w:afterAutospacing="1" w:line="360" w:lineRule="auto"/>
    </w:pPr>
    <w:rPr>
      <w:sz w:val="24"/>
    </w:rPr>
  </w:style>
  <w:style w:type="paragraph" w:customStyle="1" w:styleId="18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2"/>
      <w:szCs w:val="22"/>
    </w:rPr>
  </w:style>
  <w:style w:type="paragraph" w:customStyle="1" w:styleId="18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20"/>
      <w:szCs w:val="20"/>
    </w:rPr>
  </w:style>
  <w:style w:type="paragraph" w:customStyle="1" w:styleId="183">
    <w:name w:val="修订17"/>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84">
    <w:name w:val="修订4"/>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185">
    <w:name w:val="正文大标题"/>
    <w:basedOn w:val="136"/>
    <w:next w:val="6"/>
    <w:link w:val="293"/>
    <w:qFormat/>
    <w:uiPriority w:val="0"/>
    <w:pPr>
      <w:jc w:val="center"/>
    </w:pPr>
    <w:rPr>
      <w:rFonts w:ascii="宋体" w:hAnsi="宋体"/>
      <w:color w:val="000000"/>
      <w:kern w:val="2"/>
      <w:sz w:val="28"/>
      <w:szCs w:val="21"/>
    </w:rPr>
  </w:style>
  <w:style w:type="paragraph" w:customStyle="1" w:styleId="186">
    <w:name w:val="xl37"/>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187">
    <w:name w:val="Char1 Char Char Char1"/>
    <w:basedOn w:val="1"/>
    <w:qFormat/>
    <w:uiPriority w:val="0"/>
    <w:rPr>
      <w:rFonts w:ascii="Tahoma" w:hAnsi="Tahoma" w:cs="仿宋_GB2312"/>
      <w:sz w:val="24"/>
      <w:szCs w:val="28"/>
    </w:rPr>
  </w:style>
  <w:style w:type="paragraph" w:customStyle="1" w:styleId="1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Arial" w:hAnsi="Arial" w:cs="Arial"/>
      <w:kern w:val="0"/>
      <w:sz w:val="24"/>
    </w:rPr>
  </w:style>
  <w:style w:type="paragraph" w:customStyle="1" w:styleId="189">
    <w:name w:val="2级原标题"/>
    <w:basedOn w:val="166"/>
    <w:qFormat/>
    <w:uiPriority w:val="0"/>
    <w:pPr>
      <w:keepLines/>
      <w:numPr>
        <w:ilvl w:val="1"/>
        <w:numId w:val="8"/>
      </w:numPr>
      <w:spacing w:before="240" w:beforeLines="0" w:after="120" w:afterLines="0" w:line="360" w:lineRule="auto"/>
      <w:ind w:firstLine="0" w:firstLineChars="0"/>
      <w:jc w:val="left"/>
      <w:outlineLvl w:val="1"/>
    </w:pPr>
    <w:rPr>
      <w:b/>
      <w:kern w:val="0"/>
      <w:sz w:val="32"/>
      <w:szCs w:val="36"/>
      <w:lang w:eastAsia="en-US"/>
    </w:rPr>
  </w:style>
  <w:style w:type="paragraph" w:customStyle="1" w:styleId="190">
    <w:name w:val="Char Char Char Char Char Char Char Char Char Char"/>
    <w:basedOn w:val="1"/>
    <w:qFormat/>
    <w:uiPriority w:val="0"/>
  </w:style>
  <w:style w:type="paragraph" w:customStyle="1" w:styleId="1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9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Arial" w:hAnsi="Arial" w:cs="Arial"/>
      <w:kern w:val="0"/>
      <w:sz w:val="24"/>
    </w:rPr>
  </w:style>
  <w:style w:type="paragraph" w:customStyle="1" w:styleId="193">
    <w:name w:val="xl8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94">
    <w:name w:val="xl46"/>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195">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96">
    <w:name w:val="图例"/>
    <w:basedOn w:val="1"/>
    <w:qFormat/>
    <w:uiPriority w:val="0"/>
    <w:pPr>
      <w:spacing w:before="120" w:beforeLines="0" w:after="120" w:afterLines="0" w:line="360" w:lineRule="auto"/>
      <w:jc w:val="center"/>
    </w:pPr>
    <w:rPr>
      <w:rFonts w:eastAsia="仿宋_GB2312"/>
      <w:b/>
      <w:sz w:val="24"/>
      <w:szCs w:val="20"/>
    </w:rPr>
  </w:style>
  <w:style w:type="paragraph" w:customStyle="1" w:styleId="197">
    <w:name w:val="font5"/>
    <w:basedOn w:val="1"/>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98">
    <w:name w:val="xl84"/>
    <w:basedOn w:val="1"/>
    <w:qFormat/>
    <w:uiPriority w:val="0"/>
    <w:pPr>
      <w:widowControl/>
      <w:pBdr>
        <w:left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1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0">
    <w:name w:val="正文格式"/>
    <w:basedOn w:val="1"/>
    <w:link w:val="339"/>
    <w:qFormat/>
    <w:uiPriority w:val="0"/>
    <w:pPr>
      <w:spacing w:before="156" w:beforeLines="50" w:line="360" w:lineRule="auto"/>
      <w:ind w:firstLine="480" w:firstLineChars="200"/>
    </w:pPr>
    <w:rPr>
      <w:rFonts w:ascii="宋体" w:hAnsi="宋体"/>
      <w:sz w:val="24"/>
      <w:szCs w:val="24"/>
    </w:rPr>
  </w:style>
  <w:style w:type="paragraph" w:customStyle="1" w:styleId="201">
    <w:name w:val="xl92"/>
    <w:basedOn w:val="1"/>
    <w:qFormat/>
    <w:uiPriority w:val="0"/>
    <w:pPr>
      <w:widowControl/>
      <w:pBdr>
        <w:left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color w:val="000000"/>
      <w:kern w:val="0"/>
      <w:sz w:val="24"/>
    </w:rPr>
  </w:style>
  <w:style w:type="paragraph" w:customStyle="1" w:styleId="20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03">
    <w:name w:val="xl4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204">
    <w:name w:val="Body Text 3"/>
    <w:basedOn w:val="1"/>
    <w:link w:val="314"/>
    <w:qFormat/>
    <w:uiPriority w:val="0"/>
    <w:pPr>
      <w:spacing w:after="120" w:afterLines="0"/>
    </w:pPr>
    <w:rPr>
      <w:kern w:val="2"/>
      <w:sz w:val="16"/>
      <w:szCs w:val="16"/>
    </w:rPr>
  </w:style>
  <w:style w:type="paragraph" w:customStyle="1" w:styleId="205">
    <w:name w:val="Char Char Char1 Char"/>
    <w:basedOn w:val="1"/>
    <w:qFormat/>
    <w:uiPriority w:val="0"/>
    <w:rPr>
      <w:rFonts w:ascii="Tahoma" w:hAnsi="Tahoma"/>
      <w:sz w:val="24"/>
      <w:szCs w:val="20"/>
    </w:rPr>
  </w:style>
  <w:style w:type="paragraph" w:customStyle="1" w:styleId="206">
    <w:name w:val="列出段落1"/>
    <w:basedOn w:val="1"/>
    <w:link w:val="280"/>
    <w:qFormat/>
    <w:uiPriority w:val="0"/>
    <w:pPr>
      <w:spacing w:line="360" w:lineRule="auto"/>
      <w:ind w:firstLine="562" w:firstLineChars="200"/>
    </w:pPr>
    <w:rPr>
      <w:rFonts w:ascii="宋体" w:hAnsi="宋体"/>
      <w:b/>
      <w:kern w:val="2"/>
      <w:sz w:val="28"/>
      <w:szCs w:val="28"/>
    </w:rPr>
  </w:style>
  <w:style w:type="paragraph" w:customStyle="1" w:styleId="20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32"/>
      <w:szCs w:val="32"/>
    </w:rPr>
  </w:style>
  <w:style w:type="paragraph" w:customStyle="1" w:styleId="208">
    <w:name w:val="字元 字元1"/>
    <w:basedOn w:val="1"/>
    <w:qFormat/>
    <w:uiPriority w:val="0"/>
    <w:rPr>
      <w:rFonts w:ascii="Tahoma" w:hAnsi="Tahoma"/>
      <w:sz w:val="24"/>
      <w:szCs w:val="20"/>
    </w:rPr>
  </w:style>
  <w:style w:type="paragraph" w:customStyle="1" w:styleId="209">
    <w:name w:val="Char22"/>
    <w:basedOn w:val="1"/>
    <w:qFormat/>
    <w:uiPriority w:val="0"/>
    <w:rPr>
      <w:rFonts w:ascii="Tahoma" w:hAnsi="Tahoma"/>
      <w:sz w:val="24"/>
      <w:szCs w:val="20"/>
    </w:rPr>
  </w:style>
  <w:style w:type="paragraph" w:customStyle="1" w:styleId="210">
    <w:name w:val="Char Char4"/>
    <w:basedOn w:val="1"/>
    <w:uiPriority w:val="0"/>
    <w:pPr>
      <w:widowControl/>
      <w:spacing w:line="400" w:lineRule="exact"/>
      <w:jc w:val="center"/>
    </w:pPr>
  </w:style>
  <w:style w:type="paragraph" w:customStyle="1" w:styleId="211">
    <w:name w:val="xl36"/>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212">
    <w:name w:val="Block Text"/>
    <w:basedOn w:val="1"/>
    <w:qFormat/>
    <w:uiPriority w:val="0"/>
    <w:pPr>
      <w:widowControl/>
      <w:ind w:left="480" w:right="-341" w:firstLine="513"/>
    </w:pPr>
    <w:rPr>
      <w:kern w:val="0"/>
      <w:sz w:val="24"/>
      <w:szCs w:val="20"/>
    </w:rPr>
  </w:style>
  <w:style w:type="paragraph" w:customStyle="1" w:styleId="213">
    <w:name w:val="List Paragraph1"/>
    <w:basedOn w:val="1"/>
    <w:qFormat/>
    <w:uiPriority w:val="0"/>
    <w:pPr>
      <w:ind w:firstLine="420" w:firstLineChars="200"/>
    </w:pPr>
    <w:rPr>
      <w:rFonts w:ascii="Calibri" w:hAnsi="Calibri"/>
      <w:szCs w:val="22"/>
    </w:rPr>
  </w:style>
  <w:style w:type="paragraph" w:customStyle="1" w:styleId="214">
    <w:name w:val="Char Char1"/>
    <w:basedOn w:val="94"/>
    <w:qFormat/>
    <w:uiPriority w:val="0"/>
    <w:rPr>
      <w:rFonts w:ascii="Tahoma" w:hAnsi="Tahoma"/>
      <w:sz w:val="24"/>
    </w:rPr>
  </w:style>
  <w:style w:type="paragraph" w:customStyle="1" w:styleId="2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b/>
      <w:bCs/>
      <w:kern w:val="0"/>
      <w:sz w:val="24"/>
    </w:rPr>
  </w:style>
  <w:style w:type="paragraph" w:customStyle="1" w:styleId="21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22"/>
      <w:szCs w:val="22"/>
    </w:rPr>
  </w:style>
  <w:style w:type="paragraph" w:customStyle="1" w:styleId="217">
    <w:name w:val="xl100"/>
    <w:basedOn w:val="1"/>
    <w:qFormat/>
    <w:uiPriority w:val="0"/>
    <w:pPr>
      <w:widowControl/>
      <w:spacing w:before="100" w:beforeLines="0" w:beforeAutospacing="1" w:after="100" w:afterLines="0" w:afterAutospacing="1" w:line="240" w:lineRule="auto"/>
      <w:jc w:val="left"/>
      <w:textAlignment w:val="top"/>
    </w:pPr>
    <w:rPr>
      <w:rFonts w:ascii="宋体" w:hAnsi="宋体" w:cs="宋体"/>
      <w:kern w:val="0"/>
      <w:sz w:val="24"/>
    </w:rPr>
  </w:style>
  <w:style w:type="paragraph" w:customStyle="1" w:styleId="218">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9">
    <w:name w:val="Char3"/>
    <w:basedOn w:val="1"/>
    <w:qFormat/>
    <w:uiPriority w:val="0"/>
    <w:pPr>
      <w:tabs>
        <w:tab w:val="left" w:pos="360"/>
      </w:tabs>
    </w:pPr>
    <w:rPr>
      <w:sz w:val="24"/>
    </w:rPr>
  </w:style>
  <w:style w:type="paragraph" w:customStyle="1" w:styleId="220">
    <w:name w:val="xl4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221">
    <w:name w:val="样式 首行缩进:  2 字符"/>
    <w:basedOn w:val="1"/>
    <w:link w:val="347"/>
    <w:qFormat/>
    <w:uiPriority w:val="0"/>
    <w:pPr>
      <w:spacing w:line="360" w:lineRule="auto"/>
      <w:ind w:firstLine="480" w:firstLineChars="200"/>
    </w:pPr>
    <w:rPr>
      <w:rFonts w:cs="宋体"/>
      <w:kern w:val="2"/>
      <w:sz w:val="28"/>
    </w:rPr>
  </w:style>
  <w:style w:type="paragraph" w:customStyle="1" w:styleId="222">
    <w:name w:val="_Style 160"/>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224">
    <w:name w:val="修订6"/>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225">
    <w:name w:val="background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26">
    <w:name w:val="xl35"/>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22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2"/>
      <w:szCs w:val="22"/>
    </w:rPr>
  </w:style>
  <w:style w:type="paragraph" w:customStyle="1" w:styleId="22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16"/>
      <w:szCs w:val="16"/>
    </w:rPr>
  </w:style>
  <w:style w:type="paragraph" w:customStyle="1" w:styleId="229">
    <w:name w:val="修订2"/>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230">
    <w:name w:val="Char2"/>
    <w:basedOn w:val="1"/>
    <w:qFormat/>
    <w:uiPriority w:val="0"/>
    <w:rPr>
      <w:rFonts w:ascii="Tahoma" w:hAnsi="Tahoma"/>
      <w:sz w:val="24"/>
      <w:szCs w:val="20"/>
    </w:rPr>
  </w:style>
  <w:style w:type="paragraph" w:customStyle="1" w:styleId="23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232">
    <w:name w:val="图中文字"/>
    <w:basedOn w:val="1"/>
    <w:qFormat/>
    <w:uiPriority w:val="0"/>
    <w:pPr>
      <w:adjustRightInd w:val="0"/>
      <w:snapToGrid w:val="0"/>
      <w:spacing w:line="0" w:lineRule="atLeast"/>
      <w:jc w:val="center"/>
    </w:pPr>
    <w:rPr>
      <w:sz w:val="24"/>
      <w:szCs w:val="20"/>
    </w:rPr>
  </w:style>
  <w:style w:type="paragraph" w:customStyle="1" w:styleId="233">
    <w:name w:val="目录 53"/>
    <w:next w:val="1"/>
    <w:qFormat/>
    <w:uiPriority w:val="0"/>
    <w:pPr>
      <w:wordWrap w:val="0"/>
      <w:spacing w:after="160" w:afterLines="0" w:line="276" w:lineRule="auto"/>
      <w:ind w:left="1275"/>
      <w:jc w:val="both"/>
    </w:pPr>
    <w:rPr>
      <w:rFonts w:ascii="Times New Roman" w:hAnsi="Times New Roman" w:eastAsia="宋体" w:cs="Times New Roman"/>
      <w:sz w:val="21"/>
      <w:lang w:val="en-US" w:eastAsia="zh-CN"/>
    </w:rPr>
  </w:style>
  <w:style w:type="paragraph" w:customStyle="1" w:styleId="234">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235">
    <w:name w:val="默认段落字体 Para Char Char Char Char"/>
    <w:basedOn w:val="1"/>
    <w:uiPriority w:val="0"/>
    <w:rPr>
      <w:rFonts w:ascii="Arial" w:hAnsi="Arial" w:cs="Arial"/>
      <w:szCs w:val="21"/>
    </w:rPr>
  </w:style>
  <w:style w:type="paragraph" w:customStyle="1" w:styleId="23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top"/>
    </w:pPr>
    <w:rPr>
      <w:rFonts w:ascii="宋体" w:hAnsi="宋体" w:cs="宋体"/>
      <w:color w:val="000000"/>
      <w:kern w:val="0"/>
      <w:sz w:val="24"/>
    </w:rPr>
  </w:style>
  <w:style w:type="paragraph" w:customStyle="1" w:styleId="237">
    <w:name w:val="List"/>
    <w:basedOn w:val="1"/>
    <w:qFormat/>
    <w:uiPriority w:val="0"/>
    <w:pPr>
      <w:ind w:left="200" w:hanging="200" w:hangingChars="200"/>
    </w:pPr>
  </w:style>
  <w:style w:type="paragraph" w:customStyle="1" w:styleId="238">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Body Text Indent 2"/>
    <w:basedOn w:val="1"/>
    <w:link w:val="305"/>
    <w:qFormat/>
    <w:uiPriority w:val="0"/>
    <w:pPr>
      <w:spacing w:line="360" w:lineRule="auto"/>
      <w:ind w:firstLine="560" w:firstLineChars="200"/>
    </w:pPr>
    <w:rPr>
      <w:rFonts w:ascii="宋体" w:hAnsi="宋体" w:eastAsia="仿宋_GB2312" w:cs="宋体"/>
      <w:kern w:val="2"/>
      <w:sz w:val="28"/>
      <w:szCs w:val="28"/>
    </w:rPr>
  </w:style>
  <w:style w:type="paragraph" w:customStyle="1" w:styleId="241">
    <w:name w:val="修订10"/>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242">
    <w:name w:val="xl4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24"/>
    </w:rPr>
  </w:style>
  <w:style w:type="paragraph" w:customStyle="1" w:styleId="243">
    <w:name w:val="修订16"/>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244">
    <w:name w:val="defaul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5">
    <w:name w:val="正文文本缩进1"/>
    <w:basedOn w:val="1"/>
    <w:link w:val="298"/>
    <w:qFormat/>
    <w:uiPriority w:val="0"/>
    <w:pPr>
      <w:spacing w:line="480" w:lineRule="exact"/>
      <w:ind w:firstLine="480" w:firstLineChars="200"/>
    </w:pPr>
    <w:rPr>
      <w:rFonts w:ascii="宋体" w:hAnsi="宋体" w:eastAsia="宋体"/>
      <w:sz w:val="24"/>
      <w:szCs w:val="24"/>
    </w:rPr>
  </w:style>
  <w:style w:type="paragraph" w:customStyle="1" w:styleId="246">
    <w:name w:val="列出段落11"/>
    <w:basedOn w:val="1"/>
    <w:qFormat/>
    <w:uiPriority w:val="0"/>
    <w:pPr>
      <w:spacing w:after="0" w:afterLines="0" w:line="240" w:lineRule="auto"/>
      <w:ind w:firstLine="420" w:firstLineChars="200"/>
    </w:pPr>
    <w:rPr>
      <w:rFonts w:ascii="Calibri" w:hAnsi="Calibri" w:cs="宋体"/>
      <w:szCs w:val="22"/>
    </w:rPr>
  </w:style>
  <w:style w:type="paragraph" w:customStyle="1" w:styleId="247">
    <w:name w:val="xl23"/>
    <w:basedOn w:val="1"/>
    <w:qFormat/>
    <w:uiPriority w:val="0"/>
    <w:pPr>
      <w:widowControl/>
      <w:spacing w:before="100" w:beforeLines="0" w:beforeAutospacing="1" w:after="100" w:afterLines="0" w:afterAutospacing="1" w:line="360" w:lineRule="auto"/>
      <w:textAlignment w:val="top"/>
    </w:pPr>
    <w:rPr>
      <w:kern w:val="0"/>
      <w:sz w:val="24"/>
      <w:szCs w:val="20"/>
    </w:rPr>
  </w:style>
  <w:style w:type="paragraph" w:customStyle="1" w:styleId="248">
    <w:name w:val="缺省文本"/>
    <w:basedOn w:val="1"/>
    <w:qFormat/>
    <w:uiPriority w:val="0"/>
    <w:pPr>
      <w:autoSpaceDE w:val="0"/>
      <w:autoSpaceDN w:val="0"/>
      <w:adjustRightInd w:val="0"/>
      <w:jc w:val="left"/>
    </w:pPr>
    <w:rPr>
      <w:kern w:val="0"/>
      <w:sz w:val="24"/>
    </w:rPr>
  </w:style>
  <w:style w:type="paragraph" w:customStyle="1" w:styleId="249">
    <w:name w:val="项目符号1"/>
    <w:basedOn w:val="121"/>
    <w:qFormat/>
    <w:uiPriority w:val="0"/>
    <w:pPr>
      <w:ind w:left="-25" w:firstLine="0"/>
    </w:pPr>
  </w:style>
  <w:style w:type="paragraph" w:customStyle="1" w:styleId="2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color w:val="000000"/>
      <w:kern w:val="0"/>
      <w:sz w:val="24"/>
    </w:rPr>
  </w:style>
  <w:style w:type="paragraph" w:customStyle="1" w:styleId="251">
    <w:name w:val="xl103"/>
    <w:basedOn w:val="1"/>
    <w:qFormat/>
    <w:uiPriority w:val="0"/>
    <w:pPr>
      <w:widowControl/>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252">
    <w:name w:val="图文"/>
    <w:basedOn w:val="1"/>
    <w:qFormat/>
    <w:uiPriority w:val="0"/>
    <w:pPr>
      <w:adjustRightInd w:val="0"/>
      <w:snapToGrid w:val="0"/>
      <w:spacing w:after="50" w:afterLines="0" w:line="360" w:lineRule="auto"/>
    </w:pPr>
    <w:rPr>
      <w:sz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b/>
      <w:bCs/>
      <w:kern w:val="0"/>
      <w:sz w:val="24"/>
    </w:rPr>
  </w:style>
  <w:style w:type="paragraph" w:customStyle="1" w:styleId="254">
    <w:name w:val="项目编号2"/>
    <w:basedOn w:val="180"/>
    <w:qFormat/>
    <w:uiPriority w:val="0"/>
    <w:pPr>
      <w:numPr>
        <w:ilvl w:val="0"/>
        <w:numId w:val="9"/>
      </w:numPr>
    </w:pPr>
  </w:style>
  <w:style w:type="paragraph" w:customStyle="1" w:styleId="2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eastAsia="Arial Unicode MS"/>
      <w:color w:val="000000"/>
      <w:kern w:val="0"/>
      <w:sz w:val="20"/>
      <w:szCs w:val="20"/>
    </w:rPr>
  </w:style>
  <w:style w:type="paragraph" w:customStyle="1" w:styleId="256">
    <w:name w:val="Char Char Char Char Char Char Char Char Char Char1"/>
    <w:basedOn w:val="1"/>
    <w:qFormat/>
    <w:uiPriority w:val="0"/>
    <w:rPr>
      <w:rFonts w:ascii="宋体" w:hAnsi="宋体" w:cs="Courier New"/>
      <w:sz w:val="32"/>
      <w:szCs w:val="32"/>
    </w:rPr>
  </w:style>
  <w:style w:type="paragraph" w:customStyle="1" w:styleId="257">
    <w:name w:val="修订3"/>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258">
    <w:name w:val="修订14"/>
    <w:qFormat/>
    <w:uiPriority w:val="0"/>
    <w:pPr>
      <w:spacing w:after="160" w:afterLines="0" w:line="276" w:lineRule="auto"/>
    </w:pPr>
    <w:rPr>
      <w:rFonts w:ascii="Times New Roman" w:hAnsi="Times New Roman" w:eastAsia="宋体" w:cs="Times New Roman"/>
      <w:kern w:val="2"/>
      <w:sz w:val="21"/>
      <w:szCs w:val="24"/>
      <w:lang w:val="en-US" w:eastAsia="zh-CN"/>
    </w:rPr>
  </w:style>
  <w:style w:type="paragraph" w:customStyle="1" w:styleId="259">
    <w:name w:val="字元 字元"/>
    <w:basedOn w:val="1"/>
    <w:qFormat/>
    <w:uiPriority w:val="0"/>
    <w:rPr>
      <w:rFonts w:ascii="Tahoma" w:hAnsi="Tahoma"/>
      <w:sz w:val="24"/>
      <w:szCs w:val="20"/>
    </w:rPr>
  </w:style>
  <w:style w:type="paragraph" w:customStyle="1" w:styleId="260">
    <w:name w:val="样式2"/>
    <w:basedOn w:val="98"/>
    <w:qFormat/>
    <w:uiPriority w:val="0"/>
    <w:pPr>
      <w:spacing w:line="360" w:lineRule="auto"/>
      <w:jc w:val="center"/>
    </w:pPr>
    <w:rPr>
      <w:sz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宋体" w:hAnsi="宋体" w:cs="宋体"/>
      <w:kern w:val="0"/>
      <w:sz w:val="24"/>
    </w:rPr>
  </w:style>
  <w:style w:type="paragraph" w:customStyle="1" w:styleId="2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top"/>
    </w:pPr>
    <w:rPr>
      <w:rFonts w:ascii="Arial" w:hAnsi="Arial" w:cs="Arial"/>
      <w:kern w:val="0"/>
      <w:sz w:val="24"/>
    </w:rPr>
  </w:style>
  <w:style w:type="character" w:customStyle="1" w:styleId="263">
    <w:name w:val="标题 5 Char"/>
    <w:link w:val="8"/>
    <w:uiPriority w:val="0"/>
    <w:rPr>
      <w:b/>
      <w:sz w:val="28"/>
    </w:rPr>
  </w:style>
  <w:style w:type="character" w:customStyle="1" w:styleId="264">
    <w:name w:val="Unresolved Mention"/>
    <w:basedOn w:val="30"/>
    <w:qFormat/>
    <w:uiPriority w:val="0"/>
    <w:rPr>
      <w:color w:val="605E5C"/>
      <w:shd w:val="clear" w:color="auto" w:fill="E1DFDD"/>
    </w:rPr>
  </w:style>
  <w:style w:type="character" w:customStyle="1" w:styleId="265">
    <w:name w:val="正文文本缩进 3 Char"/>
    <w:link w:val="171"/>
    <w:qFormat/>
    <w:uiPriority w:val="0"/>
    <w:rPr>
      <w:rFonts w:ascii="宋体"/>
      <w:sz w:val="24"/>
    </w:rPr>
  </w:style>
  <w:style w:type="character" w:customStyle="1" w:styleId="266">
    <w:name w:val="页眉 字符"/>
    <w:uiPriority w:val="0"/>
    <w:rPr>
      <w:rFonts w:eastAsia="宋体"/>
      <w:kern w:val="2"/>
      <w:sz w:val="18"/>
      <w:szCs w:val="18"/>
      <w:lang w:val="en-US" w:eastAsia="zh-CN"/>
    </w:rPr>
  </w:style>
  <w:style w:type="character" w:customStyle="1" w:styleId="267">
    <w:name w:val="Char Char11"/>
    <w:qFormat/>
    <w:uiPriority w:val="0"/>
    <w:rPr>
      <w:rFonts w:ascii="宋体" w:eastAsia="宋体"/>
      <w:b/>
      <w:sz w:val="24"/>
      <w:u w:val="single"/>
      <w:lang w:val="en-US" w:eastAsia="zh-CN"/>
    </w:rPr>
  </w:style>
  <w:style w:type="character" w:customStyle="1" w:styleId="268">
    <w:name w:val="未处理的提及3"/>
    <w:basedOn w:val="30"/>
    <w:qFormat/>
    <w:uiPriority w:val="0"/>
    <w:rPr>
      <w:color w:val="605E5C"/>
      <w:shd w:val="clear" w:color="auto" w:fill="E1DFDD"/>
    </w:rPr>
  </w:style>
  <w:style w:type="character" w:customStyle="1" w:styleId="269">
    <w:name w:val="纯文本 Char"/>
    <w:basedOn w:val="30"/>
    <w:uiPriority w:val="0"/>
    <w:rPr>
      <w:rFonts w:ascii="宋体" w:hAnsi="Courier New" w:eastAsia="宋体" w:cs="Courier New"/>
      <w:szCs w:val="21"/>
    </w:rPr>
  </w:style>
  <w:style w:type="character" w:customStyle="1" w:styleId="270">
    <w:name w:val="正文文本 Char1"/>
    <w:link w:val="2"/>
    <w:qFormat/>
    <w:uiPriority w:val="0"/>
    <w:rPr>
      <w:rFonts w:ascii="宋体" w:hAnsi="宋体"/>
      <w:kern w:val="2"/>
      <w:sz w:val="24"/>
      <w:szCs w:val="24"/>
    </w:rPr>
  </w:style>
  <w:style w:type="character" w:customStyle="1" w:styleId="271">
    <w:name w:val="正文小标题 Char"/>
    <w:link w:val="136"/>
    <w:qFormat/>
    <w:uiPriority w:val="0"/>
    <w:rPr>
      <w:rFonts w:ascii="宋体" w:hAnsi="宋体"/>
      <w:b/>
      <w:i/>
      <w:color w:val="FF0000"/>
      <w:kern w:val="2"/>
      <w:sz w:val="24"/>
    </w:rPr>
  </w:style>
  <w:style w:type="character" w:customStyle="1" w:styleId="272">
    <w:name w:val="正文首行缩进 Char"/>
    <w:basedOn w:val="270"/>
    <w:link w:val="132"/>
    <w:qFormat/>
    <w:uiPriority w:val="0"/>
    <w:rPr>
      <w:rFonts w:ascii="宋体" w:hAnsi="宋体"/>
      <w:kern w:val="2"/>
      <w:sz w:val="21"/>
      <w:szCs w:val="24"/>
    </w:rPr>
  </w:style>
  <w:style w:type="character" w:customStyle="1" w:styleId="273">
    <w:name w:val="正文文本 Char"/>
    <w:qFormat/>
    <w:uiPriority w:val="0"/>
    <w:rPr>
      <w:rFonts w:ascii="Times New Roman" w:hAnsi="Times New Roman" w:eastAsia="宋体" w:cs="Times New Roman"/>
      <w:szCs w:val="20"/>
    </w:rPr>
  </w:style>
  <w:style w:type="character" w:customStyle="1" w:styleId="274">
    <w:name w:val="content-right_8zs40"/>
    <w:qFormat/>
    <w:uiPriority w:val="0"/>
  </w:style>
  <w:style w:type="character" w:customStyle="1" w:styleId="275">
    <w:name w:val="标题 Char"/>
    <w:qFormat/>
    <w:uiPriority w:val="0"/>
    <w:rPr>
      <w:b/>
      <w:kern w:val="2"/>
      <w:sz w:val="32"/>
    </w:rPr>
  </w:style>
  <w:style w:type="character" w:customStyle="1" w:styleId="276">
    <w:name w:val="页脚 Char1"/>
    <w:link w:val="20"/>
    <w:qFormat/>
    <w:uiPriority w:val="0"/>
    <w:rPr>
      <w:rFonts w:ascii="宋体" w:eastAsia="宋体"/>
      <w:sz w:val="18"/>
      <w:lang w:val="en-US" w:eastAsia="zh-CN"/>
    </w:rPr>
  </w:style>
  <w:style w:type="character" w:customStyle="1" w:styleId="277">
    <w:name w:val="页脚 字符"/>
    <w:qFormat/>
    <w:uiPriority w:val="0"/>
    <w:rPr>
      <w:rFonts w:ascii="宋体" w:eastAsia="宋体"/>
      <w:sz w:val="18"/>
      <w:lang w:val="en-US" w:eastAsia="zh-CN"/>
    </w:rPr>
  </w:style>
  <w:style w:type="character" w:customStyle="1" w:styleId="278">
    <w:name w:val="标题 1 Char"/>
    <w:qFormat/>
    <w:uiPriority w:val="0"/>
    <w:rPr>
      <w:rFonts w:ascii="Times New Roman" w:hAnsi="Times New Roman" w:eastAsia="宋体" w:cs="Times New Roman"/>
      <w:b/>
      <w:bCs/>
      <w:kern w:val="44"/>
      <w:sz w:val="44"/>
      <w:szCs w:val="44"/>
    </w:rPr>
  </w:style>
  <w:style w:type="character" w:customStyle="1" w:styleId="279">
    <w:name w:val="注释 Char"/>
    <w:link w:val="155"/>
    <w:qFormat/>
    <w:uiPriority w:val="0"/>
    <w:rPr>
      <w:rFonts w:ascii="宋体" w:hAnsi="宋体"/>
      <w:kern w:val="2"/>
      <w:sz w:val="21"/>
      <w:szCs w:val="21"/>
    </w:rPr>
  </w:style>
  <w:style w:type="character" w:customStyle="1" w:styleId="280">
    <w:name w:val="列出段落 Char1"/>
    <w:link w:val="206"/>
    <w:qFormat/>
    <w:uiPriority w:val="0"/>
    <w:rPr>
      <w:rFonts w:ascii="宋体" w:hAnsi="宋体"/>
      <w:b/>
      <w:kern w:val="2"/>
      <w:sz w:val="28"/>
      <w:szCs w:val="28"/>
    </w:rPr>
  </w:style>
  <w:style w:type="character" w:customStyle="1" w:styleId="281">
    <w:name w:val="页眉 Char1"/>
    <w:link w:val="21"/>
    <w:qFormat/>
    <w:uiPriority w:val="0"/>
    <w:rPr>
      <w:rFonts w:eastAsia="宋体"/>
      <w:kern w:val="2"/>
      <w:sz w:val="18"/>
      <w:szCs w:val="18"/>
      <w:lang w:val="en-US" w:eastAsia="zh-CN"/>
    </w:rPr>
  </w:style>
  <w:style w:type="character" w:customStyle="1" w:styleId="282">
    <w:name w:val="Char Char111"/>
    <w:qFormat/>
    <w:uiPriority w:val="0"/>
    <w:rPr>
      <w:rFonts w:ascii="宋体" w:eastAsia="宋体"/>
      <w:b/>
      <w:sz w:val="24"/>
      <w:u w:val="single"/>
      <w:lang w:val="en-US" w:eastAsia="zh-CN"/>
    </w:rPr>
  </w:style>
  <w:style w:type="character" w:customStyle="1" w:styleId="283">
    <w:name w:val="chanpin1"/>
    <w:qFormat/>
    <w:uiPriority w:val="0"/>
    <w:rPr>
      <w:rFonts w:hint="default" w:ascii="ˎ̥" w:hAnsi="ˎ̥"/>
      <w:color w:val="000000"/>
      <w:sz w:val="20"/>
      <w:szCs w:val="20"/>
      <w:u w:val="none"/>
    </w:rPr>
  </w:style>
  <w:style w:type="character" w:customStyle="1" w:styleId="284">
    <w:name w:val="标题 3 Char Char"/>
    <w:qFormat/>
    <w:uiPriority w:val="0"/>
    <w:rPr>
      <w:rFonts w:eastAsia="宋体"/>
      <w:b/>
      <w:bCs/>
      <w:kern w:val="2"/>
      <w:sz w:val="32"/>
      <w:szCs w:val="32"/>
      <w:lang w:val="en-US" w:eastAsia="zh-CN"/>
    </w:rPr>
  </w:style>
  <w:style w:type="character" w:customStyle="1" w:styleId="285">
    <w:name w:val="纯文本 Char1"/>
    <w:qFormat/>
    <w:uiPriority w:val="0"/>
    <w:rPr>
      <w:rFonts w:ascii="宋体" w:hAnsi="Courier New" w:eastAsia="宋体"/>
      <w:kern w:val="2"/>
      <w:sz w:val="21"/>
      <w:lang w:val="en-US" w:eastAsia="zh-CN"/>
    </w:rPr>
  </w:style>
  <w:style w:type="character" w:customStyle="1" w:styleId="286">
    <w:name w:val="页脚 Char"/>
    <w:qFormat/>
    <w:uiPriority w:val="0"/>
    <w:rPr>
      <w:rFonts w:ascii="宋体" w:eastAsia="宋体"/>
      <w:sz w:val="18"/>
      <w:lang w:val="en-US" w:eastAsia="zh-CN"/>
    </w:rPr>
  </w:style>
  <w:style w:type="character" w:customStyle="1" w:styleId="287">
    <w:name w:val="正文文本缩进 Char2"/>
    <w:link w:val="67"/>
    <w:qFormat/>
    <w:uiPriority w:val="0"/>
    <w:rPr>
      <w:rFonts w:eastAsia="宋体"/>
      <w:kern w:val="2"/>
      <w:sz w:val="24"/>
      <w:szCs w:val="24"/>
      <w:lang w:val="en-US" w:eastAsia="zh-CN"/>
    </w:rPr>
  </w:style>
  <w:style w:type="character" w:customStyle="1" w:styleId="288">
    <w:name w:val="标题 2 Char1"/>
    <w:qFormat/>
    <w:uiPriority w:val="0"/>
    <w:rPr>
      <w:rFonts w:ascii="Arial" w:hAnsi="Arial" w:eastAsia="黑体"/>
      <w:b/>
      <w:sz w:val="30"/>
      <w:lang w:val="en-US" w:eastAsia="zh-CN"/>
    </w:rPr>
  </w:style>
  <w:style w:type="character" w:customStyle="1" w:styleId="289">
    <w:name w:val="日期 Char1"/>
    <w:basedOn w:val="30"/>
    <w:qFormat/>
    <w:uiPriority w:val="0"/>
  </w:style>
  <w:style w:type="character" w:customStyle="1" w:styleId="290">
    <w:name w:val="纯文本 字符"/>
    <w:qFormat/>
    <w:uiPriority w:val="0"/>
    <w:rPr>
      <w:rFonts w:ascii="宋体" w:hAnsi="Courier New" w:eastAsia="宋体" w:cs="Times New Roman"/>
      <w:kern w:val="2"/>
      <w:sz w:val="21"/>
      <w:szCs w:val="21"/>
      <w:lang w:val="en-US" w:eastAsia="zh-CN"/>
    </w:rPr>
  </w:style>
  <w:style w:type="character" w:customStyle="1" w:styleId="291">
    <w:name w:val="txt"/>
    <w:qFormat/>
    <w:uiPriority w:val="0"/>
  </w:style>
  <w:style w:type="character" w:customStyle="1" w:styleId="292">
    <w:name w:val="List Paragraph Char"/>
    <w:link w:val="154"/>
    <w:qFormat/>
    <w:uiPriority w:val="0"/>
    <w:rPr>
      <w:kern w:val="2"/>
      <w:sz w:val="21"/>
      <w:szCs w:val="21"/>
    </w:rPr>
  </w:style>
  <w:style w:type="character" w:customStyle="1" w:styleId="293">
    <w:name w:val="正文大标题 Char"/>
    <w:link w:val="185"/>
    <w:uiPriority w:val="0"/>
    <w:rPr>
      <w:rFonts w:ascii="宋体" w:hAnsi="宋体"/>
      <w:b/>
      <w:color w:val="000000"/>
      <w:kern w:val="2"/>
      <w:sz w:val="28"/>
      <w:szCs w:val="21"/>
    </w:rPr>
  </w:style>
  <w:style w:type="character" w:customStyle="1" w:styleId="294">
    <w:name w:val="列出段落 字符"/>
    <w:link w:val="106"/>
    <w:qFormat/>
    <w:uiPriority w:val="0"/>
    <w:rPr>
      <w:kern w:val="2"/>
      <w:sz w:val="21"/>
    </w:rPr>
  </w:style>
  <w:style w:type="character" w:customStyle="1" w:styleId="295">
    <w:name w:val="批注框文本 Char"/>
    <w:qFormat/>
    <w:uiPriority w:val="0"/>
    <w:rPr>
      <w:rFonts w:ascii="Times New Roman" w:hAnsi="Times New Roman" w:eastAsia="宋体" w:cs="Times New Roman"/>
      <w:sz w:val="18"/>
      <w:szCs w:val="18"/>
    </w:rPr>
  </w:style>
  <w:style w:type="character" w:customStyle="1" w:styleId="296">
    <w:name w:val="正文文本 2 Char1"/>
    <w:basedOn w:val="30"/>
    <w:link w:val="63"/>
    <w:qFormat/>
    <w:uiPriority w:val="0"/>
    <w:rPr>
      <w:kern w:val="2"/>
      <w:sz w:val="21"/>
      <w:szCs w:val="24"/>
    </w:rPr>
  </w:style>
  <w:style w:type="character" w:customStyle="1" w:styleId="297">
    <w:name w:val="正文缩进 Char"/>
    <w:qFormat/>
    <w:uiPriority w:val="0"/>
    <w:rPr>
      <w:rFonts w:ascii="宋体" w:eastAsia="宋体"/>
      <w:kern w:val="2"/>
      <w:sz w:val="24"/>
      <w:szCs w:val="24"/>
      <w:lang w:val="en-US" w:eastAsia="zh-CN"/>
    </w:rPr>
  </w:style>
  <w:style w:type="character" w:customStyle="1" w:styleId="298">
    <w:name w:val="正文文本缩进 Char1"/>
    <w:link w:val="245"/>
    <w:qFormat/>
    <w:uiPriority w:val="0"/>
    <w:rPr>
      <w:rFonts w:ascii="宋体" w:hAnsi="宋体" w:eastAsia="宋体"/>
      <w:sz w:val="24"/>
      <w:szCs w:val="24"/>
    </w:rPr>
  </w:style>
  <w:style w:type="character" w:customStyle="1" w:styleId="299">
    <w:name w:val="annotation reference"/>
    <w:uiPriority w:val="0"/>
    <w:rPr>
      <w:sz w:val="21"/>
      <w:szCs w:val="21"/>
    </w:rPr>
  </w:style>
  <w:style w:type="character" w:customStyle="1" w:styleId="300">
    <w:name w:val="正文文本 字符1"/>
    <w:qFormat/>
    <w:uiPriority w:val="0"/>
    <w:rPr>
      <w:rFonts w:ascii="宋体" w:hAnsi="宋体" w:cs="Times New Roman"/>
      <w:szCs w:val="24"/>
    </w:rPr>
  </w:style>
  <w:style w:type="character" w:customStyle="1" w:styleId="301">
    <w:name w:val="脚注文本 Char"/>
    <w:qFormat/>
    <w:uiPriority w:val="0"/>
    <w:rPr>
      <w:rFonts w:ascii="Times New Roman" w:hAnsi="Times New Roman" w:eastAsia="宋体" w:cs="Times New Roman"/>
      <w:sz w:val="18"/>
      <w:szCs w:val="18"/>
    </w:rPr>
  </w:style>
  <w:style w:type="character" w:customStyle="1" w:styleId="302">
    <w:name w:val="locality"/>
    <w:qFormat/>
    <w:uiPriority w:val="0"/>
  </w:style>
  <w:style w:type="character" w:customStyle="1" w:styleId="303">
    <w:name w:val="标题 2 Char Char"/>
    <w:qFormat/>
    <w:uiPriority w:val="0"/>
    <w:rPr>
      <w:rFonts w:ascii="Arial" w:hAnsi="Arial" w:eastAsia="黑体"/>
      <w:b/>
      <w:bCs/>
      <w:kern w:val="2"/>
      <w:sz w:val="32"/>
      <w:szCs w:val="32"/>
      <w:lang w:val="en-US" w:eastAsia="zh-CN"/>
    </w:rPr>
  </w:style>
  <w:style w:type="character" w:customStyle="1" w:styleId="304">
    <w:name w:val="纯文本 Char2"/>
    <w:link w:val="176"/>
    <w:qFormat/>
    <w:uiPriority w:val="0"/>
    <w:rPr>
      <w:rFonts w:hint="eastAsia" w:ascii="宋体" w:hAnsi="Courier New" w:eastAsia="宋体" w:cs="宋体"/>
      <w:kern w:val="2"/>
      <w:sz w:val="21"/>
    </w:rPr>
  </w:style>
  <w:style w:type="character" w:customStyle="1" w:styleId="305">
    <w:name w:val="正文文本缩进 2 Char1"/>
    <w:link w:val="240"/>
    <w:qFormat/>
    <w:uiPriority w:val="0"/>
    <w:rPr>
      <w:rFonts w:ascii="宋体" w:hAnsi="宋体" w:eastAsia="仿宋_GB2312" w:cs="宋体"/>
      <w:kern w:val="2"/>
      <w:sz w:val="28"/>
      <w:szCs w:val="28"/>
    </w:rPr>
  </w:style>
  <w:style w:type="character" w:customStyle="1" w:styleId="306">
    <w:name w:val="标题 1 Char1"/>
    <w:link w:val="3"/>
    <w:qFormat/>
    <w:uiPriority w:val="0"/>
    <w:rPr>
      <w:rFonts w:ascii="宋体"/>
      <w:b/>
      <w:kern w:val="44"/>
      <w:sz w:val="32"/>
    </w:rPr>
  </w:style>
  <w:style w:type="character" w:customStyle="1" w:styleId="307">
    <w:name w:val="chanpin拷贝"/>
    <w:qFormat/>
    <w:uiPriority w:val="0"/>
  </w:style>
  <w:style w:type="character" w:customStyle="1" w:styleId="308">
    <w:name w:val="Ò³Ã¼ Char Char"/>
    <w:qFormat/>
    <w:uiPriority w:val="0"/>
    <w:rPr>
      <w:sz w:val="18"/>
      <w:szCs w:val="18"/>
    </w:rPr>
  </w:style>
  <w:style w:type="character" w:customStyle="1" w:styleId="309">
    <w:name w:val="page number"/>
    <w:qFormat/>
    <w:uiPriority w:val="0"/>
  </w:style>
  <w:style w:type="character" w:customStyle="1" w:styleId="310">
    <w:name w:val="apple-style-span"/>
    <w:qFormat/>
    <w:uiPriority w:val="0"/>
    <w:rPr>
      <w:rFonts w:cs="Times New Roman"/>
    </w:rPr>
  </w:style>
  <w:style w:type="character" w:customStyle="1" w:styleId="311">
    <w:name w:val="street-address"/>
    <w:qFormat/>
    <w:uiPriority w:val="0"/>
  </w:style>
  <w:style w:type="character" w:customStyle="1" w:styleId="312">
    <w:name w:val="标题 2 Char2"/>
    <w:link w:val="4"/>
    <w:qFormat/>
    <w:uiPriority w:val="0"/>
    <w:rPr>
      <w:rFonts w:ascii="Arial" w:hAnsi="Arial" w:eastAsia="黑体"/>
      <w:b/>
      <w:sz w:val="30"/>
      <w:lang w:val="en-US" w:eastAsia="zh-CN"/>
    </w:rPr>
  </w:style>
  <w:style w:type="character" w:customStyle="1" w:styleId="313">
    <w:name w:val="段1 Char"/>
    <w:qFormat/>
    <w:uiPriority w:val="0"/>
    <w:rPr>
      <w:rFonts w:ascii="宋体" w:eastAsia="宋体"/>
      <w:sz w:val="24"/>
      <w:lang w:val="en-US" w:eastAsia="zh-CN"/>
    </w:rPr>
  </w:style>
  <w:style w:type="character" w:customStyle="1" w:styleId="314">
    <w:name w:val="正文文本 3 Char"/>
    <w:link w:val="204"/>
    <w:qFormat/>
    <w:uiPriority w:val="0"/>
    <w:rPr>
      <w:kern w:val="2"/>
      <w:sz w:val="16"/>
      <w:szCs w:val="16"/>
    </w:rPr>
  </w:style>
  <w:style w:type="character" w:customStyle="1" w:styleId="315">
    <w:name w:val="未处理的提及4"/>
    <w:basedOn w:val="30"/>
    <w:qFormat/>
    <w:uiPriority w:val="0"/>
    <w:rPr>
      <w:color w:val="605E5C"/>
      <w:shd w:val="clear" w:color="auto" w:fill="E1DFDD"/>
    </w:rPr>
  </w:style>
  <w:style w:type="character" w:customStyle="1" w:styleId="316">
    <w:name w:val="标题 9 Char"/>
    <w:link w:val="12"/>
    <w:qFormat/>
    <w:uiPriority w:val="0"/>
    <w:rPr>
      <w:rFonts w:ascii="Arial" w:hAnsi="Arial" w:eastAsia="黑体"/>
      <w:sz w:val="21"/>
    </w:rPr>
  </w:style>
  <w:style w:type="character" w:customStyle="1" w:styleId="317">
    <w:name w:val="NormalCharacter"/>
    <w:qFormat/>
    <w:uiPriority w:val="0"/>
  </w:style>
  <w:style w:type="character" w:customStyle="1" w:styleId="318">
    <w:name w:val="批注文字 字符"/>
    <w:qFormat/>
    <w:uiPriority w:val="0"/>
    <w:rPr>
      <w:rFonts w:ascii="Times New Roman" w:hAnsi="Times New Roman" w:eastAsia="宋体" w:cs="Times New Roman"/>
      <w:sz w:val="24"/>
      <w:lang w:val="en-US" w:eastAsia="zh-CN"/>
    </w:rPr>
  </w:style>
  <w:style w:type="character" w:customStyle="1" w:styleId="319">
    <w:name w:val="HTML 预设格式 Char"/>
    <w:link w:val="111"/>
    <w:qFormat/>
    <w:uiPriority w:val="0"/>
    <w:rPr>
      <w:rFonts w:ascii="宋体" w:hAnsi="宋体" w:cs="宋体"/>
      <w:sz w:val="24"/>
      <w:szCs w:val="24"/>
    </w:rPr>
  </w:style>
  <w:style w:type="character" w:customStyle="1" w:styleId="320">
    <w:name w:val="font01"/>
    <w:basedOn w:val="30"/>
    <w:qFormat/>
    <w:uiPriority w:val="0"/>
    <w:rPr>
      <w:rFonts w:hint="eastAsia" w:ascii="仿宋" w:hAnsi="仿宋" w:eastAsia="仿宋" w:cs="仿宋"/>
      <w:color w:val="000000"/>
      <w:sz w:val="18"/>
      <w:szCs w:val="18"/>
      <w:u w:val="none"/>
    </w:rPr>
  </w:style>
  <w:style w:type="character" w:customStyle="1" w:styleId="321">
    <w:name w:val="font31"/>
    <w:basedOn w:val="30"/>
    <w:qFormat/>
    <w:uiPriority w:val="0"/>
    <w:rPr>
      <w:rFonts w:hint="default" w:ascii="仿宋" w:hAnsi="仿宋" w:eastAsia="仿宋" w:cs="仿宋"/>
      <w:b/>
      <w:color w:val="000000"/>
      <w:sz w:val="22"/>
      <w:szCs w:val="22"/>
      <w:u w:val="none"/>
    </w:rPr>
  </w:style>
  <w:style w:type="character" w:customStyle="1" w:styleId="322">
    <w:name w:val="正文文本缩进 Char"/>
    <w:qFormat/>
    <w:uiPriority w:val="0"/>
    <w:rPr>
      <w:rFonts w:eastAsia="宋体"/>
      <w:kern w:val="2"/>
      <w:sz w:val="24"/>
      <w:szCs w:val="24"/>
      <w:lang w:val="en-US" w:eastAsia="zh-CN"/>
    </w:rPr>
  </w:style>
  <w:style w:type="character" w:customStyle="1" w:styleId="323">
    <w:name w:val="未处理的提及2"/>
    <w:basedOn w:val="30"/>
    <w:qFormat/>
    <w:uiPriority w:val="0"/>
    <w:rPr>
      <w:color w:val="605E5C"/>
      <w:shd w:val="clear" w:color="auto" w:fill="E1DFDD"/>
    </w:rPr>
  </w:style>
  <w:style w:type="character" w:customStyle="1" w:styleId="324">
    <w:name w:val="标题 8 Char"/>
    <w:link w:val="11"/>
    <w:qFormat/>
    <w:uiPriority w:val="0"/>
    <w:rPr>
      <w:rFonts w:ascii="Arial" w:hAnsi="Arial" w:eastAsia="黑体"/>
      <w:sz w:val="24"/>
    </w:rPr>
  </w:style>
  <w:style w:type="character" w:customStyle="1" w:styleId="325">
    <w:name w:val="批注文字 Char"/>
    <w:qFormat/>
    <w:uiPriority w:val="0"/>
    <w:rPr>
      <w:kern w:val="2"/>
      <w:sz w:val="21"/>
      <w:szCs w:val="24"/>
    </w:rPr>
  </w:style>
  <w:style w:type="character" w:customStyle="1" w:styleId="326">
    <w:name w:val="black1"/>
    <w:qFormat/>
    <w:uiPriority w:val="0"/>
    <w:rPr>
      <w:color w:val="000000"/>
    </w:rPr>
  </w:style>
  <w:style w:type="character" w:customStyle="1" w:styleId="327">
    <w:name w:val="正文缩进 Char Char"/>
    <w:link w:val="165"/>
    <w:qFormat/>
    <w:uiPriority w:val="0"/>
    <w:rPr>
      <w:rFonts w:ascii="宋体" w:eastAsia="宋体"/>
      <w:snapToGrid w:val="0"/>
      <w:color w:val="000000"/>
      <w:kern w:val="28"/>
      <w:sz w:val="28"/>
    </w:rPr>
  </w:style>
  <w:style w:type="character" w:customStyle="1" w:styleId="328">
    <w:name w:val="脚注文本 Char1"/>
    <w:basedOn w:val="30"/>
    <w:link w:val="24"/>
    <w:qFormat/>
    <w:uiPriority w:val="0"/>
    <w:rPr>
      <w:rFonts w:ascii="Calibri" w:hAnsi="Calibri" w:eastAsia="等线"/>
      <w:kern w:val="2"/>
      <w:sz w:val="18"/>
      <w:szCs w:val="18"/>
    </w:rPr>
  </w:style>
  <w:style w:type="character" w:customStyle="1" w:styleId="329">
    <w:name w:val="批注框文本 字符"/>
    <w:qFormat/>
    <w:uiPriority w:val="0"/>
    <w:rPr>
      <w:rFonts w:ascii="等线" w:hAnsi="等线" w:eastAsia="宋体" w:cs="Times New Roman"/>
      <w:kern w:val="2"/>
      <w:sz w:val="18"/>
      <w:szCs w:val="18"/>
      <w:lang w:val="en-US" w:eastAsia="zh-CN"/>
    </w:rPr>
  </w:style>
  <w:style w:type="character" w:customStyle="1" w:styleId="330">
    <w:name w:val="正文表格 Char"/>
    <w:link w:val="130"/>
    <w:qFormat/>
    <w:uiPriority w:val="0"/>
    <w:rPr>
      <w:rFonts w:ascii="宋体" w:hAnsi="宋体"/>
      <w:color w:val="000000"/>
      <w:kern w:val="2"/>
      <w:sz w:val="21"/>
      <w:szCs w:val="21"/>
    </w:rPr>
  </w:style>
  <w:style w:type="character" w:customStyle="1" w:styleId="331">
    <w:name w:val="标题 4 Char"/>
    <w:link w:val="7"/>
    <w:qFormat/>
    <w:uiPriority w:val="0"/>
    <w:rPr>
      <w:rFonts w:ascii="Arial" w:hAnsi="Arial" w:eastAsia="黑体"/>
      <w:b/>
      <w:sz w:val="28"/>
    </w:rPr>
  </w:style>
  <w:style w:type="character" w:customStyle="1" w:styleId="332">
    <w:name w:val="普通文字1 Char1"/>
    <w:qFormat/>
    <w:uiPriority w:val="0"/>
    <w:rPr>
      <w:rFonts w:ascii="宋体" w:hAnsi="Courier New" w:eastAsia="宋体"/>
      <w:kern w:val="2"/>
      <w:sz w:val="21"/>
      <w:lang w:val="en-US" w:eastAsia="zh-CN"/>
    </w:rPr>
  </w:style>
  <w:style w:type="character" w:customStyle="1" w:styleId="333">
    <w:name w:val="中等深浅网格 1 - 强调文字颜色 2 Char"/>
    <w:link w:val="88"/>
    <w:qFormat/>
    <w:uiPriority w:val="0"/>
    <w:rPr>
      <w:kern w:val="2"/>
      <w:sz w:val="21"/>
      <w:szCs w:val="24"/>
      <w:lang w:val="zh-CN" w:eastAsia="zh-CN"/>
    </w:rPr>
  </w:style>
  <w:style w:type="character" w:customStyle="1" w:styleId="334">
    <w:name w:val="批注框文本 Char1"/>
    <w:link w:val="19"/>
    <w:qFormat/>
    <w:uiPriority w:val="0"/>
    <w:rPr>
      <w:kern w:val="2"/>
      <w:sz w:val="18"/>
      <w:szCs w:val="18"/>
    </w:rPr>
  </w:style>
  <w:style w:type="character" w:customStyle="1" w:styleId="335">
    <w:name w:val="c21"/>
    <w:qFormat/>
    <w:uiPriority w:val="0"/>
    <w:rPr>
      <w:rFonts w:hint="default" w:ascii="ˎ̥" w:hAnsi="ˎ̥"/>
      <w:color w:val="000000"/>
      <w:sz w:val="20"/>
      <w:szCs w:val="20"/>
      <w:u w:val="none"/>
    </w:rPr>
  </w:style>
  <w:style w:type="character" w:customStyle="1" w:styleId="336">
    <w:name w:val="批注文字 Char1"/>
    <w:link w:val="15"/>
    <w:qFormat/>
    <w:uiPriority w:val="0"/>
    <w:rPr>
      <w:kern w:val="2"/>
      <w:sz w:val="21"/>
      <w:szCs w:val="24"/>
    </w:rPr>
  </w:style>
  <w:style w:type="character" w:customStyle="1" w:styleId="337">
    <w:name w:val="apple-converted-space"/>
    <w:basedOn w:val="30"/>
    <w:qFormat/>
    <w:uiPriority w:val="0"/>
  </w:style>
  <w:style w:type="character" w:customStyle="1" w:styleId="338">
    <w:name w:val="无间隔 字符"/>
    <w:link w:val="54"/>
    <w:qFormat/>
    <w:uiPriority w:val="0"/>
    <w:rPr>
      <w:kern w:val="2"/>
      <w:sz w:val="21"/>
      <w:szCs w:val="24"/>
    </w:rPr>
  </w:style>
  <w:style w:type="character" w:customStyle="1" w:styleId="339">
    <w:name w:val="正文格式 Char"/>
    <w:link w:val="200"/>
    <w:qFormat/>
    <w:uiPriority w:val="0"/>
    <w:rPr>
      <w:rFonts w:ascii="宋体" w:hAnsi="宋体"/>
      <w:sz w:val="24"/>
      <w:szCs w:val="24"/>
    </w:rPr>
  </w:style>
  <w:style w:type="character" w:customStyle="1" w:styleId="340">
    <w:name w:val="正文缩进 Char1"/>
    <w:link w:val="6"/>
    <w:qFormat/>
    <w:uiPriority w:val="0"/>
    <w:rPr>
      <w:rFonts w:ascii="宋体" w:eastAsia="宋体"/>
      <w:kern w:val="2"/>
      <w:sz w:val="24"/>
      <w:szCs w:val="24"/>
      <w:lang w:val="en-US" w:eastAsia="zh-CN"/>
    </w:rPr>
  </w:style>
  <w:style w:type="character" w:customStyle="1" w:styleId="341">
    <w:name w:val="文档结构图 Char"/>
    <w:link w:val="94"/>
    <w:qFormat/>
    <w:uiPriority w:val="0"/>
    <w:rPr>
      <w:kern w:val="2"/>
      <w:sz w:val="21"/>
      <w:szCs w:val="24"/>
      <w:shd w:val="clear" w:color="auto" w:fill="000080"/>
    </w:rPr>
  </w:style>
  <w:style w:type="character" w:customStyle="1" w:styleId="342">
    <w:name w:val="标题 Char1"/>
    <w:link w:val="28"/>
    <w:qFormat/>
    <w:uiPriority w:val="0"/>
    <w:rPr>
      <w:b/>
      <w:kern w:val="2"/>
      <w:sz w:val="32"/>
    </w:rPr>
  </w:style>
  <w:style w:type="character" w:customStyle="1" w:styleId="343">
    <w:name w:val="正文重点 Char"/>
    <w:link w:val="86"/>
    <w:qFormat/>
    <w:uiPriority w:val="0"/>
    <w:rPr>
      <w:b/>
      <w:sz w:val="24"/>
    </w:rPr>
  </w:style>
  <w:style w:type="character" w:customStyle="1" w:styleId="344">
    <w:name w:val="纯文本 字符1"/>
    <w:qFormat/>
    <w:uiPriority w:val="0"/>
    <w:rPr>
      <w:rFonts w:ascii="宋体" w:hAnsi="Courier New"/>
    </w:rPr>
  </w:style>
  <w:style w:type="character" w:customStyle="1" w:styleId="345">
    <w:name w:val="正文首行缩进 2 Char"/>
    <w:link w:val="103"/>
    <w:qFormat/>
    <w:uiPriority w:val="0"/>
    <w:rPr>
      <w:rFonts w:eastAsia="宋体"/>
      <w:kern w:val="2"/>
      <w:sz w:val="24"/>
      <w:szCs w:val="24"/>
      <w:lang w:val="en-US" w:eastAsia="zh-CN"/>
    </w:rPr>
  </w:style>
  <w:style w:type="character" w:customStyle="1" w:styleId="346">
    <w:name w:val="正文文本缩进 2 Char"/>
    <w:qFormat/>
    <w:uiPriority w:val="0"/>
    <w:rPr>
      <w:rFonts w:ascii="宋体" w:hAnsi="Times New Roman" w:eastAsia="宋体" w:cs="Times New Roman"/>
      <w:kern w:val="0"/>
      <w:sz w:val="24"/>
      <w:szCs w:val="20"/>
    </w:rPr>
  </w:style>
  <w:style w:type="character" w:customStyle="1" w:styleId="347">
    <w:name w:val="样式 首行缩进:  2 字符 Char"/>
    <w:link w:val="221"/>
    <w:qFormat/>
    <w:uiPriority w:val="0"/>
    <w:rPr>
      <w:rFonts w:cs="宋体"/>
      <w:kern w:val="2"/>
      <w:sz w:val="28"/>
    </w:rPr>
  </w:style>
  <w:style w:type="character" w:customStyle="1" w:styleId="348">
    <w:name w:val="日期 Char"/>
    <w:link w:val="72"/>
    <w:qFormat/>
    <w:uiPriority w:val="0"/>
    <w:rPr>
      <w:rFonts w:ascii="仿宋_GB2312" w:hAnsi="宋体" w:eastAsia="仿宋_GB2312"/>
      <w:color w:val="000000"/>
      <w:kern w:val="2"/>
      <w:sz w:val="24"/>
      <w:szCs w:val="24"/>
    </w:rPr>
  </w:style>
  <w:style w:type="character" w:customStyle="1" w:styleId="349">
    <w:name w:val="页眉 Char"/>
    <w:qFormat/>
    <w:uiPriority w:val="0"/>
    <w:rPr>
      <w:rFonts w:eastAsia="宋体"/>
      <w:kern w:val="2"/>
      <w:sz w:val="18"/>
      <w:szCs w:val="18"/>
      <w:lang w:val="en-US" w:eastAsia="zh-CN"/>
    </w:rPr>
  </w:style>
  <w:style w:type="character" w:customStyle="1" w:styleId="350">
    <w:name w:val="标题 2 Char"/>
    <w:qFormat/>
    <w:uiPriority w:val="0"/>
    <w:rPr>
      <w:rFonts w:ascii="Arial" w:hAnsi="Arial" w:eastAsia="黑体"/>
      <w:b/>
      <w:sz w:val="30"/>
      <w:lang w:val="en-US" w:eastAsia="zh-CN"/>
    </w:rPr>
  </w:style>
  <w:style w:type="character" w:customStyle="1" w:styleId="351">
    <w:name w:val="title4"/>
    <w:qFormat/>
    <w:uiPriority w:val="0"/>
    <w:rPr>
      <w:b/>
      <w:bCs/>
      <w:color w:val="1D87B3"/>
      <w:sz w:val="15"/>
      <w:szCs w:val="15"/>
    </w:rPr>
  </w:style>
  <w:style w:type="character" w:customStyle="1" w:styleId="352">
    <w:name w:val="HTML Cite"/>
    <w:qFormat/>
    <w:uiPriority w:val="0"/>
    <w:rPr>
      <w:i/>
      <w:iCs/>
    </w:rPr>
  </w:style>
  <w:style w:type="character" w:customStyle="1" w:styleId="353">
    <w:name w:val="未处理的提及1"/>
    <w:basedOn w:val="30"/>
    <w:qFormat/>
    <w:uiPriority w:val="0"/>
    <w:rPr>
      <w:color w:val="605E5C"/>
      <w:shd w:val="clear" w:color="auto" w:fill="E1DFDD"/>
    </w:rPr>
  </w:style>
  <w:style w:type="character" w:customStyle="1" w:styleId="354">
    <w:name w:val="标题 3 Char"/>
    <w:qFormat/>
    <w:uiPriority w:val="0"/>
    <w:rPr>
      <w:rFonts w:ascii="宋体" w:eastAsia="宋体"/>
      <w:b/>
      <w:sz w:val="24"/>
      <w:u w:val="single"/>
      <w:lang w:val="en-US" w:eastAsia="zh-CN"/>
    </w:rPr>
  </w:style>
  <w:style w:type="character" w:customStyle="1" w:styleId="355">
    <w:name w:val="列表段落 字符"/>
    <w:link w:val="45"/>
    <w:qFormat/>
    <w:uiPriority w:val="0"/>
    <w:rPr>
      <w:rFonts w:ascii="宋体" w:hAnsi="宋体"/>
      <w:b/>
      <w:kern w:val="2"/>
      <w:sz w:val="28"/>
      <w:szCs w:val="28"/>
    </w:rPr>
  </w:style>
  <w:style w:type="character" w:customStyle="1" w:styleId="356">
    <w:name w:val="标题 7 Char"/>
    <w:link w:val="10"/>
    <w:qFormat/>
    <w:uiPriority w:val="0"/>
    <w:rPr>
      <w:b/>
      <w:sz w:val="24"/>
    </w:rPr>
  </w:style>
  <w:style w:type="character" w:customStyle="1" w:styleId="357">
    <w:name w:val="批注主题 Char"/>
    <w:qFormat/>
    <w:uiPriority w:val="0"/>
    <w:rPr>
      <w:rFonts w:ascii="Times New Roman" w:hAnsi="Times New Roman" w:eastAsia="宋体" w:cs="Times New Roman"/>
      <w:b/>
      <w:bCs/>
      <w:szCs w:val="20"/>
    </w:rPr>
  </w:style>
  <w:style w:type="character" w:customStyle="1" w:styleId="358">
    <w:name w:val="font11"/>
    <w:basedOn w:val="30"/>
    <w:qFormat/>
    <w:uiPriority w:val="0"/>
    <w:rPr>
      <w:rFonts w:hint="default" w:ascii="仿宋" w:hAnsi="仿宋" w:eastAsia="仿宋" w:cs="仿宋"/>
      <w:b/>
      <w:color w:val="000000"/>
      <w:sz w:val="22"/>
      <w:szCs w:val="22"/>
      <w:u w:val="none"/>
      <w:vertAlign w:val="superscript"/>
    </w:rPr>
  </w:style>
  <w:style w:type="character" w:customStyle="1" w:styleId="359">
    <w:name w:val="正文文本 2 Char"/>
    <w:qFormat/>
    <w:uiPriority w:val="0"/>
    <w:rPr>
      <w:rFonts w:ascii="Times New Roman" w:hAnsi="Times New Roman" w:eastAsia="宋体" w:cs="Times New Roman"/>
      <w:kern w:val="0"/>
      <w:szCs w:val="20"/>
    </w:rPr>
  </w:style>
  <w:style w:type="character" w:customStyle="1" w:styleId="360">
    <w:name w:val="标题 3 Char1"/>
    <w:link w:val="5"/>
    <w:qFormat/>
    <w:uiPriority w:val="0"/>
    <w:rPr>
      <w:rFonts w:ascii="宋体" w:eastAsia="宋体"/>
      <w:b/>
      <w:sz w:val="24"/>
      <w:u w:val="single"/>
      <w:lang w:val="en-US" w:eastAsia="zh-CN"/>
    </w:rPr>
  </w:style>
  <w:style w:type="character" w:customStyle="1" w:styleId="361">
    <w:name w:val="标题3 字符"/>
    <w:basedOn w:val="30"/>
    <w:link w:val="134"/>
    <w:qFormat/>
    <w:uiPriority w:val="0"/>
    <w:rPr>
      <w:rFonts w:ascii="宋体" w:hAnsi="宋体" w:cs="宋体"/>
      <w:b/>
      <w:bCs/>
      <w:kern w:val="44"/>
      <w:sz w:val="44"/>
      <w:szCs w:val="44"/>
    </w:rPr>
  </w:style>
  <w:style w:type="character" w:customStyle="1" w:styleId="362">
    <w:name w:val="标题 6 Char"/>
    <w:link w:val="9"/>
    <w:qFormat/>
    <w:uiPriority w:val="0"/>
    <w:rPr>
      <w:rFonts w:ascii="Arial" w:hAnsi="Arial" w:eastAsia="黑体"/>
      <w:b/>
      <w:sz w:val="24"/>
    </w:rPr>
  </w:style>
  <w:style w:type="character" w:customStyle="1" w:styleId="363">
    <w:name w:val="批注主题 Char1"/>
    <w:link w:val="137"/>
    <w:qFormat/>
    <w:uiPriority w:val="0"/>
    <w:rPr>
      <w:rFonts w:ascii="Times New Roman" w:hAnsi="Times New Roman" w:eastAsia="宋体" w:cs="Times New Roman"/>
      <w:b/>
      <w:bCs/>
      <w:kern w:val="2"/>
      <w:sz w:val="21"/>
      <w:szCs w:val="24"/>
      <w:lang w:val="en-US" w:eastAsia="zh-CN"/>
    </w:rPr>
  </w:style>
  <w:style w:type="character" w:customStyle="1" w:styleId="364">
    <w:name w:val="列出段落 Char"/>
    <w:qFormat/>
    <w:uiPriority w:val="0"/>
    <w:rPr>
      <w:rFonts w:ascii="Calibri" w:hAnsi="Calibri" w:eastAsia="宋体"/>
      <w:kern w:val="2"/>
      <w:sz w:val="21"/>
      <w:szCs w:val="22"/>
      <w:lang w:val="en-US" w:eastAsia="zh-CN"/>
    </w:rPr>
  </w:style>
  <w:style w:type="character" w:customStyle="1" w:styleId="365">
    <w:name w:val="bjh-p"/>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7304</Words>
  <Characters>7987</Characters>
  <Lines>50</Lines>
  <Paragraphs>83</Paragraphs>
  <TotalTime>259</TotalTime>
  <ScaleCrop>false</ScaleCrop>
  <LinksUpToDate>false</LinksUpToDate>
  <CharactersWithSpaces>8173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2026-05-11T21:13:00Z</dcterms:created>
  <dc:creator>崔丽丽</dc:creator>
  <cp:lastModifiedBy>admin</cp:lastModifiedBy>
  <dcterms:modified xsi:type="dcterms:W3CDTF">2026-05-18T04:20:05Z</dcterms:modified>
  <dc:title>admin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6A40E2276DD84222BB24572BF4672BF0_13</vt:lpwstr>
  </property>
  <property fmtid="{D5CDD505-2E9C-101B-9397-08002B2CF9AE}" pid="4" name="KSOTemplateDocerSaveRecord">
    <vt:lpwstr>eyJoZGlkIjoiYWNiNDc5M2U3ZTU4NmUxMDcxYTZiMmY4NGNlYjNkMzUiLCJ1c2VySWQiOiIxMjk0MzUzOTc2In0=</vt:lpwstr>
  </property>
</Properties>
</file>