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69140A">
      <w:pPr>
        <w:spacing w:line="360" w:lineRule="auto"/>
        <w:jc w:val="left"/>
        <w:rPr>
          <w:rFonts w:hint="eastAsia" w:ascii="宋体" w:hAnsi="宋体" w:cs="微软雅黑"/>
          <w:b/>
          <w:color w:val="auto"/>
          <w:sz w:val="24"/>
          <w:szCs w:val="24"/>
          <w:highlight w:val="none"/>
        </w:rPr>
      </w:pPr>
      <w:bookmarkStart w:id="0" w:name="_Hlk508264822"/>
      <w:r>
        <w:rPr>
          <w:rFonts w:hint="eastAsia" w:ascii="宋体" w:hAnsi="宋体" w:cs="微软雅黑"/>
          <w:b/>
          <w:color w:val="auto"/>
          <w:sz w:val="24"/>
          <w:szCs w:val="24"/>
          <w:highlight w:val="none"/>
        </w:rPr>
        <w:t xml:space="preserve"> </w:t>
      </w:r>
    </w:p>
    <w:p w14:paraId="5D4F37DE">
      <w:pPr>
        <w:pStyle w:val="52"/>
        <w:rPr>
          <w:rFonts w:hint="eastAsia"/>
          <w:color w:val="auto"/>
          <w:sz w:val="40"/>
          <w:szCs w:val="40"/>
          <w:highlight w:val="none"/>
          <w:lang w:eastAsia="zh-CN"/>
        </w:rPr>
      </w:pPr>
    </w:p>
    <w:p w14:paraId="5F021DDE">
      <w:pPr>
        <w:pStyle w:val="52"/>
        <w:rPr>
          <w:rFonts w:hint="eastAsia"/>
          <w:color w:val="auto"/>
          <w:sz w:val="44"/>
          <w:szCs w:val="44"/>
          <w:highlight w:val="none"/>
          <w:lang w:eastAsia="zh-CN"/>
        </w:rPr>
      </w:pPr>
    </w:p>
    <w:p w14:paraId="59242EDA">
      <w:pPr>
        <w:pStyle w:val="52"/>
        <w:rPr>
          <w:rFonts w:hint="eastAsia" w:eastAsia="宋体"/>
          <w:color w:val="auto"/>
          <w:sz w:val="44"/>
          <w:szCs w:val="44"/>
          <w:highlight w:val="none"/>
          <w:lang w:eastAsia="zh-CN"/>
        </w:rPr>
      </w:pPr>
      <w:r>
        <w:rPr>
          <w:rFonts w:hint="eastAsia"/>
          <w:color w:val="auto"/>
          <w:sz w:val="44"/>
          <w:szCs w:val="44"/>
          <w:highlight w:val="none"/>
          <w:lang w:eastAsia="zh-CN"/>
        </w:rPr>
        <w:t>北京大学附属中学丰台学校综合楼漏水维修项目</w:t>
      </w:r>
    </w:p>
    <w:p w14:paraId="4732AB09">
      <w:pPr>
        <w:pStyle w:val="52"/>
        <w:rPr>
          <w:rFonts w:hint="eastAsia" w:eastAsia="宋体"/>
          <w:color w:val="auto"/>
          <w:sz w:val="32"/>
          <w:szCs w:val="32"/>
          <w:highlight w:val="none"/>
          <w:lang w:eastAsia="zh-CN"/>
        </w:rPr>
      </w:pPr>
    </w:p>
    <w:p w14:paraId="50C138C7">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bCs/>
          <w:color w:val="auto"/>
          <w:sz w:val="40"/>
          <w:szCs w:val="40"/>
          <w:highlight w:val="none"/>
        </w:rPr>
      </w:pPr>
    </w:p>
    <w:p w14:paraId="10E08BD1">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bCs/>
          <w:color w:val="auto"/>
          <w:sz w:val="44"/>
          <w:szCs w:val="44"/>
          <w:highlight w:val="none"/>
        </w:rPr>
      </w:pPr>
      <w:r>
        <w:rPr>
          <w:rFonts w:hint="eastAsia" w:ascii="宋体" w:hAnsi="宋体"/>
          <w:b/>
          <w:bCs/>
          <w:color w:val="auto"/>
          <w:sz w:val="44"/>
          <w:szCs w:val="44"/>
          <w:highlight w:val="none"/>
        </w:rPr>
        <w:t>竞争性磋商文件</w:t>
      </w:r>
    </w:p>
    <w:p w14:paraId="3F4B903A">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bCs/>
          <w:color w:val="auto"/>
          <w:sz w:val="32"/>
          <w:szCs w:val="32"/>
          <w:highlight w:val="none"/>
        </w:rPr>
      </w:pPr>
    </w:p>
    <w:p w14:paraId="5B9A83F5">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bCs/>
          <w:color w:val="auto"/>
          <w:sz w:val="32"/>
          <w:szCs w:val="32"/>
          <w:highlight w:val="none"/>
        </w:rPr>
      </w:pPr>
    </w:p>
    <w:p w14:paraId="25EA656B">
      <w:pPr>
        <w:keepNext w:val="0"/>
        <w:keepLines w:val="0"/>
        <w:pageBreakBefore w:val="0"/>
        <w:widowControl w:val="0"/>
        <w:kinsoku/>
        <w:wordWrap/>
        <w:overflowPunct/>
        <w:topLinePunct w:val="0"/>
        <w:autoSpaceDE/>
        <w:autoSpaceDN/>
        <w:bidi w:val="0"/>
        <w:adjustRightInd/>
        <w:snapToGrid/>
        <w:spacing w:line="240" w:lineRule="auto"/>
        <w:ind w:left="0" w:firstLine="0" w:firstLineChars="0"/>
        <w:jc w:val="center"/>
        <w:textAlignment w:val="auto"/>
        <w:rPr>
          <w:rFonts w:hint="eastAsia" w:ascii="宋体" w:hAnsi="宋体"/>
          <w:b/>
          <w:bCs/>
          <w:color w:val="auto"/>
          <w:sz w:val="32"/>
          <w:szCs w:val="32"/>
          <w:highlight w:val="none"/>
        </w:rPr>
      </w:pPr>
    </w:p>
    <w:p w14:paraId="50F3DADF">
      <w:pPr>
        <w:pStyle w:val="52"/>
        <w:rPr>
          <w:rFonts w:hint="default"/>
          <w:color w:val="auto"/>
          <w:sz w:val="36"/>
          <w:szCs w:val="36"/>
          <w:highlight w:val="none"/>
          <w:lang w:val="en-US"/>
        </w:rPr>
      </w:pPr>
      <w:r>
        <w:rPr>
          <w:rFonts w:hint="eastAsia"/>
          <w:color w:val="auto"/>
          <w:sz w:val="36"/>
          <w:szCs w:val="36"/>
          <w:highlight w:val="none"/>
        </w:rPr>
        <w:t>项目编号：</w:t>
      </w:r>
      <w:r>
        <w:rPr>
          <w:rFonts w:hint="eastAsia"/>
          <w:color w:val="auto"/>
          <w:sz w:val="36"/>
          <w:szCs w:val="36"/>
          <w:highlight w:val="none"/>
        </w:rPr>
        <w:fldChar w:fldCharType="begin"/>
      </w:r>
      <w:r>
        <w:rPr>
          <w:rFonts w:hint="eastAsia"/>
          <w:color w:val="auto"/>
          <w:sz w:val="36"/>
          <w:szCs w:val="36"/>
          <w:highlight w:val="none"/>
        </w:rPr>
        <w:instrText xml:space="preserve"> HYPERLINK "http://219.232.204.193:8080/frontend/plan/project_detail.html?projectUuid=fc843207-7df8-4af6-984b-eb5c7605c2d0&amp;viewMode=placard" </w:instrText>
      </w:r>
      <w:r>
        <w:rPr>
          <w:rFonts w:hint="eastAsia"/>
          <w:color w:val="auto"/>
          <w:sz w:val="36"/>
          <w:szCs w:val="36"/>
          <w:highlight w:val="none"/>
        </w:rPr>
        <w:fldChar w:fldCharType="separate"/>
      </w:r>
      <w:r>
        <w:rPr>
          <w:rFonts w:hint="eastAsia"/>
          <w:color w:val="auto"/>
          <w:sz w:val="36"/>
          <w:szCs w:val="36"/>
          <w:highlight w:val="none"/>
          <w:lang w:eastAsia="zh-CN"/>
        </w:rPr>
        <w:t>11010626210200028815-XM001</w:t>
      </w:r>
      <w:r>
        <w:rPr>
          <w:rFonts w:hint="eastAsia"/>
          <w:color w:val="auto"/>
          <w:sz w:val="36"/>
          <w:szCs w:val="36"/>
          <w:highlight w:val="none"/>
        </w:rPr>
        <w:fldChar w:fldCharType="end"/>
      </w:r>
    </w:p>
    <w:p w14:paraId="4EAFD7EC">
      <w:pPr>
        <w:pStyle w:val="52"/>
        <w:rPr>
          <w:rFonts w:hint="eastAsia"/>
          <w:color w:val="auto"/>
          <w:sz w:val="32"/>
          <w:szCs w:val="32"/>
          <w:highlight w:val="none"/>
        </w:rPr>
      </w:pPr>
    </w:p>
    <w:p w14:paraId="38A322E9">
      <w:pPr>
        <w:rPr>
          <w:color w:val="auto"/>
          <w:sz w:val="32"/>
          <w:szCs w:val="32"/>
          <w:highlight w:val="none"/>
        </w:rPr>
      </w:pPr>
    </w:p>
    <w:p w14:paraId="102884D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196" w:firstLineChars="61"/>
        <w:jc w:val="both"/>
        <w:textAlignment w:val="auto"/>
        <w:rPr>
          <w:rFonts w:hint="eastAsia"/>
          <w:b/>
          <w:color w:val="auto"/>
          <w:sz w:val="32"/>
          <w:szCs w:val="32"/>
          <w:highlight w:val="none"/>
        </w:rPr>
      </w:pPr>
    </w:p>
    <w:p w14:paraId="02339600">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20" w:firstLineChars="61"/>
        <w:jc w:val="both"/>
        <w:textAlignment w:val="auto"/>
        <w:rPr>
          <w:rFonts w:hint="default"/>
          <w:b/>
          <w:bCs/>
          <w:color w:val="auto"/>
          <w:sz w:val="36"/>
          <w:szCs w:val="36"/>
          <w:highlight w:val="none"/>
          <w:lang w:val="en-US" w:eastAsia="zh-CN"/>
        </w:rPr>
      </w:pPr>
      <w:r>
        <w:rPr>
          <w:rFonts w:hint="eastAsia"/>
          <w:b/>
          <w:color w:val="auto"/>
          <w:sz w:val="36"/>
          <w:szCs w:val="36"/>
          <w:highlight w:val="none"/>
        </w:rPr>
        <w:t>采购人</w:t>
      </w:r>
      <w:r>
        <w:rPr>
          <w:rFonts w:hint="eastAsia"/>
          <w:b/>
          <w:color w:val="auto"/>
          <w:sz w:val="36"/>
          <w:szCs w:val="36"/>
          <w:highlight w:val="none"/>
          <w:lang w:eastAsia="zh-CN"/>
        </w:rPr>
        <w:t>：</w:t>
      </w:r>
      <w:r>
        <w:rPr>
          <w:rFonts w:hint="eastAsia"/>
          <w:b/>
          <w:bCs/>
          <w:color w:val="auto"/>
          <w:sz w:val="36"/>
          <w:szCs w:val="36"/>
          <w:highlight w:val="none"/>
          <w:lang w:eastAsia="zh-CN"/>
        </w:rPr>
        <w:t>北京大学附属中学丰台学校</w:t>
      </w:r>
    </w:p>
    <w:p w14:paraId="7EC33B6B">
      <w:pPr>
        <w:keepNext w:val="0"/>
        <w:keepLines w:val="0"/>
        <w:pageBreakBefore w:val="0"/>
        <w:widowControl w:val="0"/>
        <w:kinsoku/>
        <w:wordWrap/>
        <w:overflowPunct/>
        <w:topLinePunct w:val="0"/>
        <w:autoSpaceDE/>
        <w:autoSpaceDN/>
        <w:bidi w:val="0"/>
        <w:adjustRightInd w:val="0"/>
        <w:snapToGrid w:val="0"/>
        <w:spacing w:line="360" w:lineRule="auto"/>
        <w:ind w:left="0" w:leftChars="0" w:firstLine="220" w:firstLineChars="61"/>
        <w:jc w:val="both"/>
        <w:textAlignment w:val="auto"/>
        <w:rPr>
          <w:rFonts w:hint="eastAsia" w:eastAsia="宋体"/>
          <w:b/>
          <w:color w:val="auto"/>
          <w:sz w:val="36"/>
          <w:szCs w:val="36"/>
          <w:highlight w:val="none"/>
          <w:lang w:eastAsia="zh-CN"/>
        </w:rPr>
      </w:pPr>
      <w:r>
        <w:rPr>
          <w:rFonts w:hint="eastAsia"/>
          <w:b/>
          <w:color w:val="auto"/>
          <w:sz w:val="36"/>
          <w:szCs w:val="36"/>
          <w:highlight w:val="none"/>
        </w:rPr>
        <w:t>采购代理机构：</w:t>
      </w:r>
      <w:r>
        <w:rPr>
          <w:rFonts w:hint="eastAsia"/>
          <w:b/>
          <w:color w:val="auto"/>
          <w:sz w:val="36"/>
          <w:szCs w:val="36"/>
          <w:highlight w:val="none"/>
          <w:lang w:eastAsia="zh-CN"/>
        </w:rPr>
        <w:t>北京东方宏正工程管理有限公司</w:t>
      </w:r>
    </w:p>
    <w:p w14:paraId="22CB7CF2">
      <w:pPr>
        <w:jc w:val="center"/>
        <w:rPr>
          <w:rFonts w:ascii="宋体"/>
          <w:b/>
          <w:color w:val="auto"/>
          <w:sz w:val="36"/>
          <w:szCs w:val="36"/>
          <w:highlight w:val="none"/>
        </w:rPr>
      </w:pPr>
    </w:p>
    <w:p w14:paraId="73851A2A">
      <w:pPr>
        <w:spacing w:line="360" w:lineRule="auto"/>
        <w:jc w:val="center"/>
        <w:rPr>
          <w:color w:val="auto"/>
          <w:kern w:val="0"/>
          <w:sz w:val="36"/>
          <w:szCs w:val="36"/>
          <w:highlight w:val="none"/>
        </w:rPr>
      </w:pPr>
      <w:r>
        <w:rPr>
          <w:rFonts w:hint="eastAsia" w:ascii="宋体" w:hAnsi="宋体"/>
          <w:b/>
          <w:color w:val="auto"/>
          <w:w w:val="80"/>
          <w:sz w:val="36"/>
          <w:szCs w:val="36"/>
          <w:highlight w:val="none"/>
        </w:rPr>
        <w:t>202</w:t>
      </w:r>
      <w:r>
        <w:rPr>
          <w:rFonts w:hint="eastAsia" w:ascii="宋体" w:hAnsi="宋体"/>
          <w:b/>
          <w:color w:val="auto"/>
          <w:w w:val="80"/>
          <w:sz w:val="36"/>
          <w:szCs w:val="36"/>
          <w:highlight w:val="none"/>
          <w:lang w:val="en-US" w:eastAsia="zh-CN"/>
        </w:rPr>
        <w:t>6</w:t>
      </w:r>
      <w:r>
        <w:rPr>
          <w:rFonts w:hint="eastAsia" w:ascii="宋体" w:hAnsi="宋体"/>
          <w:b/>
          <w:color w:val="auto"/>
          <w:w w:val="80"/>
          <w:sz w:val="36"/>
          <w:szCs w:val="36"/>
          <w:highlight w:val="none"/>
        </w:rPr>
        <w:t>年</w:t>
      </w:r>
      <w:r>
        <w:rPr>
          <w:rFonts w:hint="eastAsia" w:ascii="宋体" w:hAnsi="宋体"/>
          <w:b/>
          <w:color w:val="auto"/>
          <w:w w:val="80"/>
          <w:sz w:val="36"/>
          <w:szCs w:val="36"/>
          <w:highlight w:val="none"/>
          <w:lang w:val="en-US" w:eastAsia="zh-CN"/>
        </w:rPr>
        <w:t>6</w:t>
      </w:r>
      <w:r>
        <w:rPr>
          <w:rFonts w:hint="eastAsia" w:ascii="宋体" w:hAnsi="宋体"/>
          <w:b/>
          <w:color w:val="auto"/>
          <w:w w:val="80"/>
          <w:sz w:val="36"/>
          <w:szCs w:val="36"/>
          <w:highlight w:val="none"/>
        </w:rPr>
        <w:t>月</w:t>
      </w:r>
      <w:bookmarkEnd w:id="0"/>
    </w:p>
    <w:p w14:paraId="02115CA5">
      <w:pPr>
        <w:pStyle w:val="13"/>
        <w:spacing w:line="360" w:lineRule="auto"/>
        <w:rPr>
          <w:rFonts w:ascii="Times New Roman" w:hAnsi="Times New Roman" w:cs="Times New Roman"/>
          <w:color w:val="auto"/>
          <w:sz w:val="24"/>
          <w:szCs w:val="24"/>
          <w:highlight w:val="none"/>
        </w:rPr>
        <w:sectPr>
          <w:headerReference r:id="rId3" w:type="default"/>
          <w:footerReference r:id="rId4" w:type="default"/>
          <w:pgSz w:w="11906" w:h="16838"/>
          <w:pgMar w:top="1440" w:right="1080" w:bottom="1440" w:left="1080" w:header="851" w:footer="1417" w:gutter="0"/>
          <w:pgNumType w:start="1"/>
          <w:cols w:space="0" w:num="1"/>
          <w:docGrid w:type="lines" w:linePitch="312" w:charSpace="0"/>
        </w:sectPr>
      </w:pPr>
    </w:p>
    <w:p w14:paraId="2BFEC94D">
      <w:pPr>
        <w:spacing w:line="360" w:lineRule="auto"/>
        <w:jc w:val="center"/>
        <w:outlineLvl w:val="0"/>
        <w:rPr>
          <w:b/>
          <w:color w:val="auto"/>
          <w:sz w:val="24"/>
          <w:szCs w:val="24"/>
          <w:highlight w:val="none"/>
        </w:rPr>
      </w:pPr>
      <w:bookmarkStart w:id="1" w:name="_Toc172719869"/>
      <w:bookmarkStart w:id="2" w:name="_Toc25128"/>
      <w:bookmarkStart w:id="3" w:name="_Toc17721"/>
      <w:bookmarkStart w:id="4" w:name="_Toc25200"/>
      <w:bookmarkStart w:id="5" w:name="_Toc4890"/>
      <w:r>
        <w:rPr>
          <w:rFonts w:hint="eastAsia"/>
          <w:b/>
          <w:color w:val="auto"/>
          <w:sz w:val="24"/>
          <w:szCs w:val="24"/>
          <w:highlight w:val="none"/>
        </w:rPr>
        <w:t>目</w:t>
      </w:r>
      <w:r>
        <w:rPr>
          <w:b/>
          <w:color w:val="auto"/>
          <w:sz w:val="24"/>
          <w:szCs w:val="24"/>
          <w:highlight w:val="none"/>
        </w:rPr>
        <w:t xml:space="preserve">      </w:t>
      </w:r>
      <w:r>
        <w:rPr>
          <w:rFonts w:hint="eastAsia"/>
          <w:b/>
          <w:color w:val="auto"/>
          <w:sz w:val="24"/>
          <w:szCs w:val="24"/>
          <w:highlight w:val="none"/>
        </w:rPr>
        <w:t>录</w:t>
      </w:r>
      <w:bookmarkEnd w:id="1"/>
      <w:bookmarkEnd w:id="2"/>
      <w:bookmarkEnd w:id="3"/>
      <w:bookmarkEnd w:id="4"/>
      <w:bookmarkEnd w:id="5"/>
    </w:p>
    <w:p w14:paraId="687D69EF">
      <w:pPr>
        <w:rPr>
          <w:color w:val="auto"/>
          <w:sz w:val="24"/>
          <w:szCs w:val="24"/>
          <w:highlight w:val="none"/>
        </w:rPr>
      </w:pPr>
    </w:p>
    <w:p w14:paraId="14F4538C">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b w:val="0"/>
          <w:color w:val="auto"/>
          <w:sz w:val="24"/>
          <w:szCs w:val="24"/>
          <w:highlight w:val="none"/>
        </w:rPr>
        <w:fldChar w:fldCharType="begin"/>
      </w:r>
      <w:r>
        <w:rPr>
          <w:rFonts w:ascii="Times New Roman" w:hAnsi="Times New Roman"/>
          <w:b w:val="0"/>
          <w:color w:val="auto"/>
          <w:sz w:val="24"/>
          <w:szCs w:val="24"/>
          <w:highlight w:val="none"/>
        </w:rPr>
        <w:instrText xml:space="preserve"> TOC \o "1-1" \h \z \u </w:instrText>
      </w:r>
      <w:r>
        <w:rPr>
          <w:rFonts w:ascii="Times New Roman" w:hAnsi="Times New Roman"/>
          <w:b w:val="0"/>
          <w:color w:val="auto"/>
          <w:sz w:val="24"/>
          <w:szCs w:val="24"/>
          <w:highlight w:val="none"/>
        </w:rPr>
        <w:fldChar w:fldCharType="separate"/>
      </w:r>
    </w:p>
    <w:p w14:paraId="38942204">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_Toc21327 </w:instrText>
      </w:r>
      <w:r>
        <w:rPr>
          <w:rFonts w:ascii="Times New Roman" w:hAnsi="Times New Roman"/>
          <w:color w:val="auto"/>
          <w:sz w:val="24"/>
          <w:szCs w:val="24"/>
          <w:highlight w:val="none"/>
        </w:rPr>
        <w:fldChar w:fldCharType="separate"/>
      </w:r>
      <w:r>
        <w:rPr>
          <w:color w:val="auto"/>
          <w:sz w:val="24"/>
          <w:szCs w:val="24"/>
          <w:highlight w:val="none"/>
        </w:rPr>
        <w:t>第一章   采购邀请</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_Toc21327 \h </w:instrText>
      </w:r>
      <w:r>
        <w:rPr>
          <w:color w:val="auto"/>
          <w:sz w:val="24"/>
          <w:szCs w:val="24"/>
          <w:highlight w:val="none"/>
        </w:rPr>
        <w:fldChar w:fldCharType="separate"/>
      </w:r>
      <w:r>
        <w:rPr>
          <w:color w:val="auto"/>
          <w:sz w:val="24"/>
          <w:szCs w:val="24"/>
          <w:highlight w:val="none"/>
        </w:rPr>
        <w:t>1</w:t>
      </w:r>
      <w:r>
        <w:rPr>
          <w:color w:val="auto"/>
          <w:sz w:val="24"/>
          <w:szCs w:val="24"/>
          <w:highlight w:val="none"/>
        </w:rPr>
        <w:fldChar w:fldCharType="end"/>
      </w:r>
      <w:r>
        <w:rPr>
          <w:rFonts w:ascii="Times New Roman" w:hAnsi="Times New Roman"/>
          <w:color w:val="auto"/>
          <w:sz w:val="24"/>
          <w:szCs w:val="24"/>
          <w:highlight w:val="none"/>
        </w:rPr>
        <w:fldChar w:fldCharType="end"/>
      </w:r>
    </w:p>
    <w:p w14:paraId="2B756753">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_Toc13864 </w:instrText>
      </w:r>
      <w:r>
        <w:rPr>
          <w:rFonts w:ascii="Times New Roman" w:hAnsi="Times New Roman"/>
          <w:color w:val="auto"/>
          <w:sz w:val="24"/>
          <w:szCs w:val="24"/>
          <w:highlight w:val="none"/>
        </w:rPr>
        <w:fldChar w:fldCharType="separate"/>
      </w:r>
      <w:r>
        <w:rPr>
          <w:color w:val="auto"/>
          <w:sz w:val="24"/>
          <w:szCs w:val="24"/>
          <w:highlight w:val="none"/>
        </w:rPr>
        <w:t>第二章   供应商须知</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_Toc13864 \h </w:instrText>
      </w:r>
      <w:r>
        <w:rPr>
          <w:color w:val="auto"/>
          <w:sz w:val="24"/>
          <w:szCs w:val="24"/>
          <w:highlight w:val="none"/>
        </w:rPr>
        <w:fldChar w:fldCharType="separate"/>
      </w:r>
      <w:r>
        <w:rPr>
          <w:color w:val="auto"/>
          <w:sz w:val="24"/>
          <w:szCs w:val="24"/>
          <w:highlight w:val="none"/>
        </w:rPr>
        <w:t>6</w:t>
      </w:r>
      <w:r>
        <w:rPr>
          <w:color w:val="auto"/>
          <w:sz w:val="24"/>
          <w:szCs w:val="24"/>
          <w:highlight w:val="none"/>
        </w:rPr>
        <w:fldChar w:fldCharType="end"/>
      </w:r>
      <w:r>
        <w:rPr>
          <w:rFonts w:ascii="Times New Roman" w:hAnsi="Times New Roman"/>
          <w:color w:val="auto"/>
          <w:sz w:val="24"/>
          <w:szCs w:val="24"/>
          <w:highlight w:val="none"/>
        </w:rPr>
        <w:fldChar w:fldCharType="end"/>
      </w:r>
    </w:p>
    <w:p w14:paraId="1DEE92FD">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_Toc26750 </w:instrText>
      </w:r>
      <w:r>
        <w:rPr>
          <w:rFonts w:ascii="Times New Roman" w:hAnsi="Times New Roman"/>
          <w:color w:val="auto"/>
          <w:sz w:val="24"/>
          <w:szCs w:val="24"/>
          <w:highlight w:val="none"/>
        </w:rPr>
        <w:fldChar w:fldCharType="separate"/>
      </w:r>
      <w:r>
        <w:rPr>
          <w:color w:val="auto"/>
          <w:sz w:val="24"/>
          <w:szCs w:val="24"/>
          <w:highlight w:val="none"/>
        </w:rPr>
        <w:t>第三章   评审方法和评审标准</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_Toc26750 \h </w:instrText>
      </w:r>
      <w:r>
        <w:rPr>
          <w:color w:val="auto"/>
          <w:sz w:val="24"/>
          <w:szCs w:val="24"/>
          <w:highlight w:val="none"/>
        </w:rPr>
        <w:fldChar w:fldCharType="separate"/>
      </w:r>
      <w:r>
        <w:rPr>
          <w:color w:val="auto"/>
          <w:sz w:val="24"/>
          <w:szCs w:val="24"/>
          <w:highlight w:val="none"/>
        </w:rPr>
        <w:t>23</w:t>
      </w:r>
      <w:r>
        <w:rPr>
          <w:color w:val="auto"/>
          <w:sz w:val="24"/>
          <w:szCs w:val="24"/>
          <w:highlight w:val="none"/>
        </w:rPr>
        <w:fldChar w:fldCharType="end"/>
      </w:r>
      <w:r>
        <w:rPr>
          <w:rFonts w:ascii="Times New Roman" w:hAnsi="Times New Roman"/>
          <w:color w:val="auto"/>
          <w:sz w:val="24"/>
          <w:szCs w:val="24"/>
          <w:highlight w:val="none"/>
        </w:rPr>
        <w:fldChar w:fldCharType="end"/>
      </w:r>
    </w:p>
    <w:p w14:paraId="791DBCDE">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_Toc31310 </w:instrText>
      </w:r>
      <w:r>
        <w:rPr>
          <w:rFonts w:ascii="Times New Roman" w:hAnsi="Times New Roman"/>
          <w:color w:val="auto"/>
          <w:sz w:val="24"/>
          <w:szCs w:val="24"/>
          <w:highlight w:val="none"/>
        </w:rPr>
        <w:fldChar w:fldCharType="separate"/>
      </w:r>
      <w:r>
        <w:rPr>
          <w:color w:val="auto"/>
          <w:sz w:val="24"/>
          <w:szCs w:val="24"/>
          <w:highlight w:val="none"/>
        </w:rPr>
        <w:t xml:space="preserve">第四章  </w:t>
      </w:r>
      <w:r>
        <w:rPr>
          <w:rFonts w:hint="eastAsia"/>
          <w:color w:val="auto"/>
          <w:sz w:val="24"/>
          <w:szCs w:val="24"/>
          <w:highlight w:val="none"/>
          <w:lang w:val="en-US" w:eastAsia="zh-CN"/>
        </w:rPr>
        <w:t xml:space="preserve"> </w:t>
      </w:r>
      <w:r>
        <w:rPr>
          <w:color w:val="auto"/>
          <w:sz w:val="24"/>
          <w:szCs w:val="24"/>
          <w:highlight w:val="none"/>
        </w:rPr>
        <w:t>采购需求</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_Toc31310 \h </w:instrText>
      </w:r>
      <w:r>
        <w:rPr>
          <w:color w:val="auto"/>
          <w:sz w:val="24"/>
          <w:szCs w:val="24"/>
          <w:highlight w:val="none"/>
        </w:rPr>
        <w:fldChar w:fldCharType="separate"/>
      </w:r>
      <w:r>
        <w:rPr>
          <w:color w:val="auto"/>
          <w:sz w:val="24"/>
          <w:szCs w:val="24"/>
          <w:highlight w:val="none"/>
        </w:rPr>
        <w:t>41</w:t>
      </w:r>
      <w:r>
        <w:rPr>
          <w:color w:val="auto"/>
          <w:sz w:val="24"/>
          <w:szCs w:val="24"/>
          <w:highlight w:val="none"/>
        </w:rPr>
        <w:fldChar w:fldCharType="end"/>
      </w:r>
      <w:r>
        <w:rPr>
          <w:rFonts w:ascii="Times New Roman" w:hAnsi="Times New Roman"/>
          <w:color w:val="auto"/>
          <w:sz w:val="24"/>
          <w:szCs w:val="24"/>
          <w:highlight w:val="none"/>
        </w:rPr>
        <w:fldChar w:fldCharType="end"/>
      </w:r>
    </w:p>
    <w:p w14:paraId="19C83239">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_Toc24091 </w:instrText>
      </w:r>
      <w:r>
        <w:rPr>
          <w:rFonts w:ascii="Times New Roman" w:hAnsi="Times New Roman"/>
          <w:color w:val="auto"/>
          <w:sz w:val="24"/>
          <w:szCs w:val="24"/>
          <w:highlight w:val="none"/>
        </w:rPr>
        <w:fldChar w:fldCharType="separate"/>
      </w:r>
      <w:r>
        <w:rPr>
          <w:rFonts w:hint="eastAsia"/>
          <w:color w:val="auto"/>
          <w:sz w:val="24"/>
          <w:szCs w:val="24"/>
          <w:highlight w:val="none"/>
          <w:lang w:val="en-US" w:eastAsia="zh-CN"/>
        </w:rPr>
        <w:t>第五章   工程量清单</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_Toc24091 \h </w:instrText>
      </w:r>
      <w:r>
        <w:rPr>
          <w:color w:val="auto"/>
          <w:sz w:val="24"/>
          <w:szCs w:val="24"/>
          <w:highlight w:val="none"/>
        </w:rPr>
        <w:fldChar w:fldCharType="separate"/>
      </w:r>
      <w:r>
        <w:rPr>
          <w:color w:val="auto"/>
          <w:sz w:val="24"/>
          <w:szCs w:val="24"/>
          <w:highlight w:val="none"/>
        </w:rPr>
        <w:t>44</w:t>
      </w:r>
      <w:r>
        <w:rPr>
          <w:color w:val="auto"/>
          <w:sz w:val="24"/>
          <w:szCs w:val="24"/>
          <w:highlight w:val="none"/>
        </w:rPr>
        <w:fldChar w:fldCharType="end"/>
      </w:r>
      <w:r>
        <w:rPr>
          <w:rFonts w:ascii="Times New Roman" w:hAnsi="Times New Roman"/>
          <w:color w:val="auto"/>
          <w:sz w:val="24"/>
          <w:szCs w:val="24"/>
          <w:highlight w:val="none"/>
        </w:rPr>
        <w:fldChar w:fldCharType="end"/>
      </w:r>
    </w:p>
    <w:p w14:paraId="6EC15E06">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_Toc27630 </w:instrText>
      </w:r>
      <w:r>
        <w:rPr>
          <w:rFonts w:ascii="Times New Roman" w:hAnsi="Times New Roman"/>
          <w:color w:val="auto"/>
          <w:sz w:val="24"/>
          <w:szCs w:val="24"/>
          <w:highlight w:val="none"/>
        </w:rPr>
        <w:fldChar w:fldCharType="separate"/>
      </w:r>
      <w:r>
        <w:rPr>
          <w:color w:val="auto"/>
          <w:sz w:val="24"/>
          <w:szCs w:val="24"/>
          <w:highlight w:val="none"/>
        </w:rPr>
        <w:t>第</w:t>
      </w:r>
      <w:r>
        <w:rPr>
          <w:rFonts w:hint="eastAsia"/>
          <w:color w:val="auto"/>
          <w:sz w:val="24"/>
          <w:szCs w:val="24"/>
          <w:highlight w:val="none"/>
          <w:lang w:val="en-US" w:eastAsia="zh-CN"/>
        </w:rPr>
        <w:t>六</w:t>
      </w:r>
      <w:r>
        <w:rPr>
          <w:color w:val="auto"/>
          <w:sz w:val="24"/>
          <w:szCs w:val="24"/>
          <w:highlight w:val="none"/>
        </w:rPr>
        <w:t xml:space="preserve">章  </w:t>
      </w:r>
      <w:r>
        <w:rPr>
          <w:rFonts w:hint="eastAsia"/>
          <w:color w:val="auto"/>
          <w:sz w:val="24"/>
          <w:szCs w:val="24"/>
          <w:highlight w:val="none"/>
          <w:lang w:val="en-US" w:eastAsia="zh-CN"/>
        </w:rPr>
        <w:t xml:space="preserve"> </w:t>
      </w:r>
      <w:r>
        <w:rPr>
          <w:color w:val="auto"/>
          <w:sz w:val="24"/>
          <w:szCs w:val="24"/>
          <w:highlight w:val="none"/>
        </w:rPr>
        <w:t>合同草案条款</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_Toc27630 \h </w:instrText>
      </w:r>
      <w:r>
        <w:rPr>
          <w:color w:val="auto"/>
          <w:sz w:val="24"/>
          <w:szCs w:val="24"/>
          <w:highlight w:val="none"/>
        </w:rPr>
        <w:fldChar w:fldCharType="separate"/>
      </w:r>
      <w:r>
        <w:rPr>
          <w:color w:val="auto"/>
          <w:sz w:val="24"/>
          <w:szCs w:val="24"/>
          <w:highlight w:val="none"/>
        </w:rPr>
        <w:t>45</w:t>
      </w:r>
      <w:r>
        <w:rPr>
          <w:color w:val="auto"/>
          <w:sz w:val="24"/>
          <w:szCs w:val="24"/>
          <w:highlight w:val="none"/>
        </w:rPr>
        <w:fldChar w:fldCharType="end"/>
      </w:r>
      <w:r>
        <w:rPr>
          <w:rFonts w:ascii="Times New Roman" w:hAnsi="Times New Roman"/>
          <w:color w:val="auto"/>
          <w:sz w:val="24"/>
          <w:szCs w:val="24"/>
          <w:highlight w:val="none"/>
        </w:rPr>
        <w:fldChar w:fldCharType="end"/>
      </w:r>
    </w:p>
    <w:p w14:paraId="7EEED428">
      <w:pPr>
        <w:pStyle w:val="36"/>
        <w:tabs>
          <w:tab w:val="right" w:leader="dot" w:pos="8392"/>
          <w:tab w:val="clear" w:pos="1050"/>
          <w:tab w:val="clear" w:pos="8937"/>
        </w:tabs>
        <w:spacing w:line="360" w:lineRule="auto"/>
        <w:rPr>
          <w:color w:val="auto"/>
          <w:sz w:val="24"/>
          <w:szCs w:val="24"/>
          <w:highlight w:val="none"/>
        </w:rPr>
      </w:pPr>
      <w:r>
        <w:rPr>
          <w:rFonts w:ascii="Times New Roman" w:hAnsi="Times New Roman"/>
          <w:color w:val="auto"/>
          <w:sz w:val="24"/>
          <w:szCs w:val="24"/>
          <w:highlight w:val="none"/>
        </w:rPr>
        <w:fldChar w:fldCharType="begin"/>
      </w:r>
      <w:r>
        <w:rPr>
          <w:rFonts w:ascii="Times New Roman" w:hAnsi="Times New Roman"/>
          <w:color w:val="auto"/>
          <w:sz w:val="24"/>
          <w:szCs w:val="24"/>
          <w:highlight w:val="none"/>
        </w:rPr>
        <w:instrText xml:space="preserve"> HYPERLINK \l _Toc18420 </w:instrText>
      </w:r>
      <w:r>
        <w:rPr>
          <w:rFonts w:ascii="Times New Roman" w:hAnsi="Times New Roman"/>
          <w:color w:val="auto"/>
          <w:sz w:val="24"/>
          <w:szCs w:val="24"/>
          <w:highlight w:val="none"/>
        </w:rPr>
        <w:fldChar w:fldCharType="separate"/>
      </w:r>
      <w:r>
        <w:rPr>
          <w:color w:val="auto"/>
          <w:sz w:val="24"/>
          <w:szCs w:val="24"/>
          <w:highlight w:val="none"/>
        </w:rPr>
        <w:t>第</w:t>
      </w:r>
      <w:r>
        <w:rPr>
          <w:rFonts w:hint="eastAsia"/>
          <w:color w:val="auto"/>
          <w:sz w:val="24"/>
          <w:szCs w:val="24"/>
          <w:highlight w:val="none"/>
          <w:lang w:val="en-US" w:eastAsia="zh-CN"/>
        </w:rPr>
        <w:t>七</w:t>
      </w:r>
      <w:r>
        <w:rPr>
          <w:color w:val="auto"/>
          <w:sz w:val="24"/>
          <w:szCs w:val="24"/>
          <w:highlight w:val="none"/>
        </w:rPr>
        <w:t>章   响应文件格式</w:t>
      </w:r>
      <w:r>
        <w:rPr>
          <w:color w:val="auto"/>
          <w:sz w:val="24"/>
          <w:szCs w:val="24"/>
          <w:highlight w:val="none"/>
        </w:rPr>
        <w:tab/>
      </w:r>
      <w:r>
        <w:rPr>
          <w:color w:val="auto"/>
          <w:sz w:val="24"/>
          <w:szCs w:val="24"/>
          <w:highlight w:val="none"/>
        </w:rPr>
        <w:fldChar w:fldCharType="begin"/>
      </w:r>
      <w:r>
        <w:rPr>
          <w:color w:val="auto"/>
          <w:sz w:val="24"/>
          <w:szCs w:val="24"/>
          <w:highlight w:val="none"/>
        </w:rPr>
        <w:instrText xml:space="preserve"> PAGEREF _Toc18420 \h </w:instrText>
      </w:r>
      <w:r>
        <w:rPr>
          <w:color w:val="auto"/>
          <w:sz w:val="24"/>
          <w:szCs w:val="24"/>
          <w:highlight w:val="none"/>
        </w:rPr>
        <w:fldChar w:fldCharType="separate"/>
      </w:r>
      <w:r>
        <w:rPr>
          <w:color w:val="auto"/>
          <w:sz w:val="24"/>
          <w:szCs w:val="24"/>
          <w:highlight w:val="none"/>
        </w:rPr>
        <w:t>109</w:t>
      </w:r>
      <w:r>
        <w:rPr>
          <w:color w:val="auto"/>
          <w:sz w:val="24"/>
          <w:szCs w:val="24"/>
          <w:highlight w:val="none"/>
        </w:rPr>
        <w:fldChar w:fldCharType="end"/>
      </w:r>
      <w:r>
        <w:rPr>
          <w:rFonts w:ascii="Times New Roman" w:hAnsi="Times New Roman"/>
          <w:color w:val="auto"/>
          <w:sz w:val="24"/>
          <w:szCs w:val="24"/>
          <w:highlight w:val="none"/>
        </w:rPr>
        <w:fldChar w:fldCharType="end"/>
      </w:r>
    </w:p>
    <w:p w14:paraId="4371042D">
      <w:pPr>
        <w:pStyle w:val="36"/>
        <w:spacing w:line="360" w:lineRule="auto"/>
        <w:rPr>
          <w:rFonts w:hint="eastAsia"/>
          <w:b w:val="0"/>
          <w:color w:val="auto"/>
          <w:sz w:val="24"/>
          <w:szCs w:val="24"/>
          <w:highlight w:val="none"/>
        </w:rPr>
      </w:pPr>
      <w:r>
        <w:rPr>
          <w:rFonts w:ascii="Times New Roman" w:hAnsi="Times New Roman"/>
          <w:color w:val="auto"/>
          <w:sz w:val="24"/>
          <w:szCs w:val="24"/>
          <w:highlight w:val="none"/>
        </w:rPr>
        <w:fldChar w:fldCharType="end"/>
      </w:r>
    </w:p>
    <w:p w14:paraId="1E7E005C">
      <w:pPr>
        <w:spacing w:line="360" w:lineRule="auto"/>
        <w:rPr>
          <w:color w:val="auto"/>
          <w:sz w:val="24"/>
          <w:szCs w:val="24"/>
          <w:highlight w:val="none"/>
        </w:rPr>
      </w:pPr>
      <w:r>
        <w:rPr>
          <w:rFonts w:hint="eastAsia"/>
          <w:color w:val="auto"/>
          <w:sz w:val="24"/>
          <w:szCs w:val="24"/>
          <w:highlight w:val="none"/>
        </w:rPr>
        <w:t>注：采购文件条款中以</w:t>
      </w:r>
      <w:r>
        <w:rPr>
          <w:color w:val="auto"/>
          <w:sz w:val="24"/>
          <w:szCs w:val="24"/>
          <w:highlight w:val="none"/>
        </w:rPr>
        <w:t xml:space="preserve"> “</w:t>
      </w:r>
      <w:r>
        <w:rPr>
          <w:rFonts w:eastAsiaTheme="minorEastAsia"/>
          <w:color w:val="auto"/>
          <w:sz w:val="24"/>
          <w:szCs w:val="24"/>
          <w:highlight w:val="none"/>
        </w:rPr>
        <w:t>■</w:t>
      </w:r>
      <w:r>
        <w:rPr>
          <w:color w:val="auto"/>
          <w:sz w:val="24"/>
          <w:szCs w:val="24"/>
          <w:highlight w:val="none"/>
        </w:rPr>
        <w:t>”</w:t>
      </w:r>
      <w:r>
        <w:rPr>
          <w:rFonts w:hint="eastAsia"/>
          <w:color w:val="auto"/>
          <w:sz w:val="24"/>
          <w:szCs w:val="24"/>
          <w:highlight w:val="none"/>
        </w:rPr>
        <w:t>形式标记的内容适用于本项目，以</w:t>
      </w:r>
      <w:r>
        <w:rPr>
          <w:color w:val="auto"/>
          <w:sz w:val="24"/>
          <w:szCs w:val="24"/>
          <w:highlight w:val="none"/>
        </w:rPr>
        <w:t>“</w:t>
      </w:r>
      <w:r>
        <w:rPr>
          <w:rFonts w:eastAsiaTheme="minorEastAsia"/>
          <w:color w:val="auto"/>
          <w:sz w:val="24"/>
          <w:szCs w:val="24"/>
          <w:highlight w:val="none"/>
        </w:rPr>
        <w:t>□</w:t>
      </w:r>
      <w:r>
        <w:rPr>
          <w:color w:val="auto"/>
          <w:sz w:val="24"/>
          <w:szCs w:val="24"/>
          <w:highlight w:val="none"/>
        </w:rPr>
        <w:t>”</w:t>
      </w:r>
      <w:r>
        <w:rPr>
          <w:rFonts w:hint="eastAsia"/>
          <w:color w:val="auto"/>
          <w:sz w:val="24"/>
          <w:szCs w:val="24"/>
          <w:highlight w:val="none"/>
        </w:rPr>
        <w:t>形式标记的内容不适用于本项目。</w:t>
      </w:r>
    </w:p>
    <w:p w14:paraId="262101CE">
      <w:pPr>
        <w:spacing w:line="360" w:lineRule="auto"/>
        <w:jc w:val="center"/>
        <w:outlineLvl w:val="0"/>
        <w:rPr>
          <w:b/>
          <w:color w:val="auto"/>
          <w:sz w:val="24"/>
          <w:szCs w:val="24"/>
          <w:highlight w:val="none"/>
        </w:rPr>
        <w:sectPr>
          <w:footerReference r:id="rId5" w:type="default"/>
          <w:pgSz w:w="11906" w:h="16838"/>
          <w:pgMar w:top="1440" w:right="1080" w:bottom="1440" w:left="1080" w:header="851" w:footer="1417" w:gutter="0"/>
          <w:pgNumType w:start="1"/>
          <w:cols w:space="0" w:num="1"/>
          <w:docGrid w:type="lines" w:linePitch="312" w:charSpace="0"/>
        </w:sectPr>
      </w:pPr>
    </w:p>
    <w:p w14:paraId="3897E8F0">
      <w:pPr>
        <w:spacing w:line="360" w:lineRule="auto"/>
        <w:jc w:val="center"/>
        <w:outlineLvl w:val="0"/>
        <w:rPr>
          <w:b/>
          <w:color w:val="auto"/>
          <w:sz w:val="24"/>
          <w:szCs w:val="24"/>
          <w:highlight w:val="none"/>
        </w:rPr>
      </w:pPr>
      <w:bookmarkStart w:id="6" w:name="_Toc21327"/>
      <w:r>
        <w:rPr>
          <w:b/>
          <w:color w:val="auto"/>
          <w:sz w:val="24"/>
          <w:szCs w:val="24"/>
          <w:highlight w:val="none"/>
        </w:rPr>
        <w:t>第一章   采购邀请</w:t>
      </w:r>
      <w:bookmarkEnd w:id="6"/>
      <w:bookmarkStart w:id="7" w:name="_Toc28359079"/>
      <w:bookmarkStart w:id="8" w:name="_Toc35393621"/>
      <w:bookmarkStart w:id="9" w:name="_Toc28359002"/>
      <w:bookmarkStart w:id="10" w:name="_Hlk24379207"/>
      <w:bookmarkStart w:id="11" w:name="_Toc35393790"/>
    </w:p>
    <w:bookmarkEnd w:id="7"/>
    <w:bookmarkEnd w:id="8"/>
    <w:bookmarkEnd w:id="9"/>
    <w:bookmarkEnd w:id="10"/>
    <w:bookmarkEnd w:id="11"/>
    <w:p w14:paraId="36D01EDF">
      <w:pPr>
        <w:spacing w:line="360" w:lineRule="auto"/>
        <w:ind w:firstLine="480" w:firstLineChars="200"/>
        <w:rPr>
          <w:color w:val="auto"/>
          <w:sz w:val="24"/>
          <w:szCs w:val="24"/>
          <w:highlight w:val="none"/>
        </w:rPr>
      </w:pPr>
    </w:p>
    <w:p w14:paraId="693D2920">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一、项目基本情况</w:t>
      </w:r>
    </w:p>
    <w:p w14:paraId="2184B8C2">
      <w:pPr>
        <w:spacing w:line="360" w:lineRule="auto"/>
        <w:ind w:firstLine="480" w:firstLineChars="200"/>
        <w:rPr>
          <w:rFonts w:hint="default"/>
          <w:color w:val="auto"/>
          <w:sz w:val="24"/>
          <w:szCs w:val="24"/>
          <w:highlight w:val="none"/>
          <w:lang w:val="en-US"/>
        </w:rPr>
      </w:pPr>
      <w:r>
        <w:rPr>
          <w:color w:val="auto"/>
          <w:sz w:val="24"/>
          <w:szCs w:val="24"/>
          <w:highlight w:val="none"/>
        </w:rPr>
        <w:t>1.项目编号：</w:t>
      </w:r>
      <w:r>
        <w:rPr>
          <w:rFonts w:hint="eastAsia"/>
          <w:color w:val="auto"/>
          <w:sz w:val="24"/>
          <w:szCs w:val="24"/>
          <w:highlight w:val="none"/>
        </w:rPr>
        <w:fldChar w:fldCharType="begin"/>
      </w:r>
      <w:r>
        <w:rPr>
          <w:rFonts w:hint="eastAsia"/>
          <w:color w:val="auto"/>
          <w:sz w:val="24"/>
          <w:szCs w:val="24"/>
          <w:highlight w:val="none"/>
        </w:rPr>
        <w:instrText xml:space="preserve"> HYPERLINK "http://219.232.204.193:8080/frontend/plan/project_detail.html?projectUuid=fc843207-7df8-4af6-984b-eb5c7605c2d0&amp;viewMode=placard" </w:instrText>
      </w:r>
      <w:r>
        <w:rPr>
          <w:rFonts w:hint="eastAsia"/>
          <w:color w:val="auto"/>
          <w:sz w:val="24"/>
          <w:szCs w:val="24"/>
          <w:highlight w:val="none"/>
        </w:rPr>
        <w:fldChar w:fldCharType="separate"/>
      </w:r>
      <w:r>
        <w:rPr>
          <w:rFonts w:hint="eastAsia"/>
          <w:color w:val="auto"/>
          <w:sz w:val="24"/>
          <w:szCs w:val="24"/>
          <w:highlight w:val="none"/>
          <w:lang w:eastAsia="zh-CN"/>
        </w:rPr>
        <w:t>11010626210200028815-XM001</w:t>
      </w:r>
      <w:r>
        <w:rPr>
          <w:rFonts w:hint="eastAsia"/>
          <w:color w:val="auto"/>
          <w:sz w:val="24"/>
          <w:szCs w:val="24"/>
          <w:highlight w:val="none"/>
        </w:rPr>
        <w:fldChar w:fldCharType="end"/>
      </w:r>
    </w:p>
    <w:p w14:paraId="71D0A08D">
      <w:pPr>
        <w:spacing w:line="360" w:lineRule="auto"/>
        <w:ind w:firstLine="480" w:firstLineChars="200"/>
        <w:rPr>
          <w:rFonts w:hint="eastAsia" w:eastAsia="宋体"/>
          <w:color w:val="auto"/>
          <w:sz w:val="24"/>
          <w:szCs w:val="24"/>
          <w:highlight w:val="none"/>
          <w:lang w:eastAsia="zh-CN"/>
        </w:rPr>
      </w:pPr>
      <w:r>
        <w:rPr>
          <w:color w:val="auto"/>
          <w:sz w:val="24"/>
          <w:szCs w:val="24"/>
          <w:highlight w:val="none"/>
        </w:rPr>
        <w:t>2.项目名称：</w:t>
      </w:r>
      <w:r>
        <w:rPr>
          <w:rFonts w:hint="eastAsia"/>
          <w:color w:val="auto"/>
          <w:sz w:val="24"/>
          <w:szCs w:val="24"/>
          <w:highlight w:val="none"/>
          <w:lang w:eastAsia="zh-CN"/>
        </w:rPr>
        <w:t>北京大学附属中学丰台学校综合楼漏水维修项目</w:t>
      </w:r>
    </w:p>
    <w:p w14:paraId="6BAC2D31">
      <w:pPr>
        <w:spacing w:line="360" w:lineRule="auto"/>
        <w:ind w:firstLine="480" w:firstLineChars="200"/>
        <w:rPr>
          <w:color w:val="auto"/>
          <w:sz w:val="24"/>
          <w:szCs w:val="24"/>
          <w:highlight w:val="none"/>
        </w:rPr>
      </w:pPr>
      <w:r>
        <w:rPr>
          <w:color w:val="auto"/>
          <w:sz w:val="24"/>
          <w:szCs w:val="24"/>
          <w:highlight w:val="none"/>
        </w:rPr>
        <w:t>3.采购方式：竞争性磋商</w:t>
      </w:r>
    </w:p>
    <w:p w14:paraId="474EA743">
      <w:pPr>
        <w:spacing w:line="360" w:lineRule="auto"/>
        <w:ind w:right="-426" w:rightChars="-203" w:firstLine="480" w:firstLineChars="200"/>
        <w:rPr>
          <w:color w:val="auto"/>
          <w:sz w:val="24"/>
          <w:szCs w:val="24"/>
          <w:highlight w:val="none"/>
        </w:rPr>
      </w:pPr>
      <w:r>
        <w:rPr>
          <w:color w:val="auto"/>
          <w:sz w:val="24"/>
          <w:szCs w:val="24"/>
          <w:highlight w:val="none"/>
        </w:rPr>
        <w:t>4.项目预算金额：</w:t>
      </w:r>
      <w:bookmarkStart w:id="12" w:name="_Hlk170642139"/>
      <w:r>
        <w:rPr>
          <w:rFonts w:hint="eastAsia"/>
          <w:color w:val="auto"/>
          <w:sz w:val="24"/>
          <w:szCs w:val="24"/>
          <w:highlight w:val="none"/>
          <w:u w:val="single"/>
          <w:lang w:eastAsia="zh-CN"/>
        </w:rPr>
        <w:t>172.203501</w:t>
      </w:r>
      <w:r>
        <w:rPr>
          <w:rFonts w:hint="eastAsia"/>
          <w:color w:val="auto"/>
          <w:sz w:val="24"/>
          <w:szCs w:val="24"/>
          <w:highlight w:val="none"/>
        </w:rPr>
        <w:t>万元</w:t>
      </w:r>
      <w:bookmarkEnd w:id="12"/>
      <w:r>
        <w:rPr>
          <w:color w:val="auto"/>
          <w:sz w:val="24"/>
          <w:szCs w:val="24"/>
          <w:highlight w:val="none"/>
        </w:rPr>
        <w:t>、项目最高限价：</w:t>
      </w:r>
      <w:r>
        <w:rPr>
          <w:rFonts w:hint="eastAsia" w:ascii="宋体" w:hAnsi="宋体"/>
          <w:b w:val="0"/>
          <w:bCs w:val="0"/>
          <w:color w:val="auto"/>
          <w:sz w:val="24"/>
          <w:szCs w:val="24"/>
          <w:highlight w:val="none"/>
          <w:u w:val="single"/>
          <w:lang w:val="en-US" w:eastAsia="zh-CN"/>
        </w:rPr>
        <w:t>172.203501</w:t>
      </w:r>
      <w:r>
        <w:rPr>
          <w:rFonts w:hint="eastAsia"/>
          <w:color w:val="auto"/>
          <w:sz w:val="24"/>
          <w:szCs w:val="24"/>
          <w:highlight w:val="none"/>
        </w:rPr>
        <w:t>万元</w:t>
      </w:r>
    </w:p>
    <w:p w14:paraId="2F7395EC">
      <w:pPr>
        <w:spacing w:line="360" w:lineRule="auto"/>
        <w:ind w:firstLine="480" w:firstLineChars="200"/>
        <w:rPr>
          <w:color w:val="auto"/>
          <w:sz w:val="24"/>
          <w:szCs w:val="24"/>
          <w:highlight w:val="none"/>
        </w:rPr>
      </w:pPr>
      <w:r>
        <w:rPr>
          <w:color w:val="auto"/>
          <w:sz w:val="24"/>
          <w:szCs w:val="24"/>
          <w:highlight w:val="none"/>
        </w:rPr>
        <w:t>5.采购需求：</w:t>
      </w:r>
    </w:p>
    <w:tbl>
      <w:tblPr>
        <w:tblStyle w:val="53"/>
        <w:tblW w:w="95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3"/>
        <w:gridCol w:w="2009"/>
        <w:gridCol w:w="2044"/>
        <w:gridCol w:w="872"/>
        <w:gridCol w:w="3899"/>
      </w:tblGrid>
      <w:tr w14:paraId="395910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004B5DBF">
            <w:pPr>
              <w:jc w:val="center"/>
              <w:rPr>
                <w:bCs/>
                <w:color w:val="auto"/>
                <w:sz w:val="24"/>
                <w:szCs w:val="24"/>
                <w:highlight w:val="none"/>
              </w:rPr>
            </w:pPr>
            <w:r>
              <w:rPr>
                <w:bCs/>
                <w:color w:val="auto"/>
                <w:sz w:val="24"/>
                <w:szCs w:val="24"/>
                <w:highlight w:val="none"/>
              </w:rPr>
              <w:t>包号</w:t>
            </w:r>
          </w:p>
        </w:tc>
        <w:tc>
          <w:tcPr>
            <w:tcW w:w="2009" w:type="dxa"/>
            <w:vAlign w:val="center"/>
          </w:tcPr>
          <w:p w14:paraId="66582826">
            <w:pPr>
              <w:jc w:val="center"/>
              <w:rPr>
                <w:bCs/>
                <w:color w:val="auto"/>
                <w:sz w:val="24"/>
                <w:szCs w:val="24"/>
                <w:highlight w:val="none"/>
              </w:rPr>
            </w:pPr>
            <w:r>
              <w:rPr>
                <w:bCs/>
                <w:color w:val="auto"/>
                <w:sz w:val="24"/>
                <w:szCs w:val="24"/>
                <w:highlight w:val="none"/>
              </w:rPr>
              <w:t>标的名称</w:t>
            </w:r>
          </w:p>
        </w:tc>
        <w:tc>
          <w:tcPr>
            <w:tcW w:w="2044" w:type="dxa"/>
            <w:vAlign w:val="center"/>
          </w:tcPr>
          <w:p w14:paraId="5F0929BF">
            <w:pPr>
              <w:jc w:val="center"/>
              <w:rPr>
                <w:bCs/>
                <w:color w:val="auto"/>
                <w:sz w:val="24"/>
                <w:szCs w:val="24"/>
                <w:highlight w:val="none"/>
              </w:rPr>
            </w:pPr>
            <w:r>
              <w:rPr>
                <w:bCs/>
                <w:color w:val="auto"/>
                <w:sz w:val="24"/>
                <w:szCs w:val="24"/>
                <w:highlight w:val="none"/>
              </w:rPr>
              <w:t>采购包预算金额</w:t>
            </w:r>
          </w:p>
          <w:p w14:paraId="7D937AD8">
            <w:pPr>
              <w:jc w:val="center"/>
              <w:rPr>
                <w:bCs/>
                <w:color w:val="auto"/>
                <w:sz w:val="24"/>
                <w:szCs w:val="24"/>
                <w:highlight w:val="none"/>
              </w:rPr>
            </w:pPr>
            <w:r>
              <w:rPr>
                <w:bCs/>
                <w:color w:val="auto"/>
                <w:sz w:val="24"/>
                <w:szCs w:val="24"/>
                <w:highlight w:val="none"/>
              </w:rPr>
              <w:t>（</w:t>
            </w:r>
            <w:r>
              <w:rPr>
                <w:rFonts w:hint="eastAsia"/>
                <w:bCs/>
                <w:color w:val="auto"/>
                <w:sz w:val="24"/>
                <w:szCs w:val="24"/>
                <w:highlight w:val="none"/>
                <w:lang w:val="en-US" w:eastAsia="zh-CN"/>
              </w:rPr>
              <w:t>万</w:t>
            </w:r>
            <w:r>
              <w:rPr>
                <w:bCs/>
                <w:color w:val="auto"/>
                <w:sz w:val="24"/>
                <w:szCs w:val="24"/>
                <w:highlight w:val="none"/>
              </w:rPr>
              <w:t>元）</w:t>
            </w:r>
          </w:p>
        </w:tc>
        <w:tc>
          <w:tcPr>
            <w:tcW w:w="872" w:type="dxa"/>
            <w:vAlign w:val="center"/>
          </w:tcPr>
          <w:p w14:paraId="1DDCB758">
            <w:pPr>
              <w:jc w:val="center"/>
              <w:rPr>
                <w:bCs/>
                <w:color w:val="auto"/>
                <w:sz w:val="24"/>
                <w:szCs w:val="24"/>
                <w:highlight w:val="none"/>
              </w:rPr>
            </w:pPr>
            <w:r>
              <w:rPr>
                <w:bCs/>
                <w:color w:val="auto"/>
                <w:sz w:val="24"/>
                <w:szCs w:val="24"/>
                <w:highlight w:val="none"/>
              </w:rPr>
              <w:t>数量</w:t>
            </w:r>
          </w:p>
        </w:tc>
        <w:tc>
          <w:tcPr>
            <w:tcW w:w="3899" w:type="dxa"/>
            <w:vAlign w:val="center"/>
          </w:tcPr>
          <w:p w14:paraId="37725CA6">
            <w:pPr>
              <w:jc w:val="center"/>
              <w:rPr>
                <w:color w:val="auto"/>
                <w:sz w:val="24"/>
                <w:szCs w:val="24"/>
                <w:highlight w:val="none"/>
              </w:rPr>
            </w:pPr>
            <w:r>
              <w:rPr>
                <w:color w:val="auto"/>
                <w:sz w:val="24"/>
                <w:szCs w:val="24"/>
                <w:highlight w:val="none"/>
              </w:rPr>
              <w:t>简要技术需求或服务要求</w:t>
            </w:r>
          </w:p>
        </w:tc>
      </w:tr>
      <w:tr w14:paraId="22FEF0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703" w:type="dxa"/>
            <w:vAlign w:val="center"/>
          </w:tcPr>
          <w:p w14:paraId="28CEF102">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01</w:t>
            </w:r>
          </w:p>
        </w:tc>
        <w:tc>
          <w:tcPr>
            <w:tcW w:w="2009" w:type="dxa"/>
            <w:vAlign w:val="center"/>
          </w:tcPr>
          <w:p w14:paraId="26009EF6">
            <w:pPr>
              <w:jc w:val="center"/>
              <w:rPr>
                <w:rFonts w:hint="eastAsia" w:ascii="宋体" w:hAnsi="宋体" w:eastAsia="宋体" w:cs="宋体"/>
                <w:bCs/>
                <w:color w:val="auto"/>
                <w:sz w:val="24"/>
                <w:szCs w:val="24"/>
                <w:highlight w:val="none"/>
                <w:lang w:eastAsia="zh-CN"/>
              </w:rPr>
            </w:pPr>
            <w:r>
              <w:rPr>
                <w:rFonts w:hint="eastAsia" w:ascii="宋体" w:hAnsi="宋体" w:cs="宋体"/>
                <w:color w:val="auto"/>
                <w:sz w:val="24"/>
                <w:szCs w:val="24"/>
                <w:highlight w:val="none"/>
                <w:lang w:eastAsia="zh-CN"/>
              </w:rPr>
              <w:t>北京大学附属中学丰台学校综合楼漏水维修项目</w:t>
            </w:r>
          </w:p>
        </w:tc>
        <w:tc>
          <w:tcPr>
            <w:tcW w:w="2044" w:type="dxa"/>
            <w:vAlign w:val="center"/>
          </w:tcPr>
          <w:p w14:paraId="00DF16EB">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lang w:eastAsia="zh-CN"/>
              </w:rPr>
              <w:t>172.203501</w:t>
            </w:r>
          </w:p>
        </w:tc>
        <w:tc>
          <w:tcPr>
            <w:tcW w:w="872" w:type="dxa"/>
            <w:vAlign w:val="center"/>
          </w:tcPr>
          <w:p w14:paraId="097ED6CB">
            <w:pPr>
              <w:jc w:val="center"/>
              <w:rPr>
                <w:rFonts w:hint="eastAsia" w:ascii="宋体" w:hAnsi="宋体" w:cs="宋体"/>
                <w:bCs/>
                <w:color w:val="auto"/>
                <w:sz w:val="24"/>
                <w:szCs w:val="24"/>
                <w:highlight w:val="none"/>
              </w:rPr>
            </w:pPr>
            <w:r>
              <w:rPr>
                <w:rFonts w:hint="eastAsia" w:ascii="宋体" w:hAnsi="宋体" w:cs="宋体"/>
                <w:bCs/>
                <w:color w:val="auto"/>
                <w:sz w:val="24"/>
                <w:szCs w:val="24"/>
                <w:highlight w:val="none"/>
              </w:rPr>
              <w:t>1项</w:t>
            </w:r>
          </w:p>
        </w:tc>
        <w:tc>
          <w:tcPr>
            <w:tcW w:w="3899" w:type="dxa"/>
            <w:vAlign w:val="center"/>
          </w:tcPr>
          <w:p w14:paraId="6202DDAC">
            <w:pPr>
              <w:keepNext w:val="0"/>
              <w:keepLines w:val="0"/>
              <w:pageBreakBefore w:val="0"/>
              <w:widowControl w:val="0"/>
              <w:shd w:val="clear"/>
              <w:kinsoku/>
              <w:wordWrap/>
              <w:overflowPunct/>
              <w:topLinePunct w:val="0"/>
              <w:autoSpaceDE/>
              <w:autoSpaceDN/>
              <w:bidi w:val="0"/>
              <w:adjustRightInd/>
              <w:snapToGrid/>
              <w:spacing w:line="360" w:lineRule="auto"/>
              <w:ind w:firstLine="480" w:firstLineChars="200"/>
              <w:textAlignment w:val="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lang w:val="en-US" w:eastAsia="zh-CN"/>
              </w:rPr>
              <w:t>施工</w:t>
            </w:r>
            <w:r>
              <w:rPr>
                <w:rFonts w:hint="eastAsia" w:ascii="宋体" w:hAnsi="宋体" w:cs="宋体"/>
                <w:color w:val="auto"/>
                <w:kern w:val="0"/>
                <w:sz w:val="24"/>
                <w:szCs w:val="24"/>
                <w:highlight w:val="none"/>
              </w:rPr>
              <w:t>图纸及工程量清单中所示全部内容。</w:t>
            </w:r>
          </w:p>
          <w:p w14:paraId="637A9F51">
            <w:pPr>
              <w:pStyle w:val="42"/>
              <w:spacing w:line="360" w:lineRule="auto"/>
              <w:rPr>
                <w:rFonts w:hint="eastAsia"/>
                <w:color w:val="auto"/>
                <w:sz w:val="24"/>
                <w:szCs w:val="24"/>
                <w:highlight w:val="none"/>
              </w:rPr>
            </w:pPr>
            <w:r>
              <w:rPr>
                <w:rFonts w:hint="eastAsia"/>
                <w:color w:val="auto"/>
                <w:sz w:val="24"/>
                <w:szCs w:val="24"/>
                <w:highlight w:val="none"/>
                <w:lang w:val="en-US" w:eastAsia="zh-CN"/>
              </w:rPr>
              <w:t>（详见采购文件第四章</w:t>
            </w:r>
            <w:r>
              <w:rPr>
                <w:rFonts w:hint="eastAsia"/>
                <w:color w:val="auto"/>
                <w:sz w:val="24"/>
                <w:szCs w:val="24"/>
                <w:highlight w:val="none"/>
              </w:rPr>
              <w:t>采购需求</w:t>
            </w:r>
            <w:r>
              <w:rPr>
                <w:rFonts w:hint="eastAsia"/>
                <w:color w:val="auto"/>
                <w:sz w:val="24"/>
                <w:szCs w:val="24"/>
                <w:highlight w:val="none"/>
                <w:lang w:val="en-US" w:eastAsia="zh-CN"/>
              </w:rPr>
              <w:t>）</w:t>
            </w:r>
          </w:p>
        </w:tc>
      </w:tr>
    </w:tbl>
    <w:p w14:paraId="5324C5E0">
      <w:pPr>
        <w:spacing w:line="360" w:lineRule="auto"/>
        <w:ind w:firstLine="480" w:firstLineChars="200"/>
        <w:rPr>
          <w:color w:val="auto"/>
          <w:sz w:val="24"/>
          <w:szCs w:val="24"/>
          <w:highlight w:val="none"/>
        </w:rPr>
      </w:pPr>
    </w:p>
    <w:p w14:paraId="11851252">
      <w:pPr>
        <w:numPr>
          <w:ilvl w:val="0"/>
          <w:numId w:val="3"/>
        </w:numPr>
        <w:spacing w:line="360" w:lineRule="auto"/>
        <w:ind w:firstLine="480" w:firstLineChars="200"/>
        <w:rPr>
          <w:rFonts w:hint="eastAsia" w:ascii="宋体" w:hAnsi="宋体" w:cs="宋体"/>
          <w:color w:val="auto"/>
          <w:sz w:val="24"/>
          <w:szCs w:val="24"/>
          <w:highlight w:val="none"/>
          <w:lang w:eastAsia="zh-CN"/>
        </w:rPr>
      </w:pPr>
      <w:r>
        <w:rPr>
          <w:color w:val="auto"/>
          <w:sz w:val="24"/>
          <w:szCs w:val="24"/>
          <w:highlight w:val="none"/>
        </w:rPr>
        <w:t>合同履行期限：</w:t>
      </w:r>
      <w:r>
        <w:rPr>
          <w:rFonts w:hint="eastAsia"/>
          <w:color w:val="auto"/>
          <w:sz w:val="24"/>
          <w:szCs w:val="24"/>
          <w:highlight w:val="none"/>
          <w:lang w:val="en-US" w:eastAsia="zh-CN"/>
        </w:rPr>
        <w:t>工期60日历天</w:t>
      </w:r>
      <w:r>
        <w:rPr>
          <w:rFonts w:hint="eastAsia" w:ascii="宋体" w:hAnsi="宋体" w:cs="宋体"/>
          <w:color w:val="auto"/>
          <w:sz w:val="24"/>
          <w:szCs w:val="24"/>
          <w:highlight w:val="none"/>
          <w:lang w:eastAsia="zh-CN"/>
        </w:rPr>
        <w:t>。</w:t>
      </w:r>
    </w:p>
    <w:p w14:paraId="47B312EC">
      <w:pPr>
        <w:numPr>
          <w:ilvl w:val="0"/>
          <w:numId w:val="3"/>
        </w:numPr>
        <w:spacing w:line="360" w:lineRule="auto"/>
        <w:ind w:firstLine="480" w:firstLineChars="200"/>
        <w:rPr>
          <w:color w:val="auto"/>
          <w:sz w:val="24"/>
          <w:szCs w:val="24"/>
          <w:highlight w:val="none"/>
        </w:rPr>
      </w:pPr>
      <w:r>
        <w:rPr>
          <w:rFonts w:hint="eastAsia" w:ascii="宋体" w:hAnsi="宋体" w:cs="宋体"/>
          <w:color w:val="auto"/>
          <w:sz w:val="24"/>
          <w:szCs w:val="24"/>
          <w:highlight w:val="none"/>
          <w:lang w:val="en-US" w:eastAsia="zh-CN"/>
        </w:rPr>
        <w:t>建设地点：北京市丰台区</w:t>
      </w:r>
    </w:p>
    <w:p w14:paraId="320C0536">
      <w:pPr>
        <w:numPr>
          <w:ilvl w:val="0"/>
          <w:numId w:val="3"/>
        </w:numPr>
        <w:spacing w:line="360" w:lineRule="auto"/>
        <w:ind w:firstLine="480" w:firstLineChars="200"/>
        <w:rPr>
          <w:color w:val="auto"/>
          <w:sz w:val="24"/>
          <w:szCs w:val="24"/>
          <w:highlight w:val="none"/>
        </w:rPr>
      </w:pPr>
      <w:r>
        <w:rPr>
          <w:color w:val="auto"/>
          <w:sz w:val="24"/>
          <w:szCs w:val="24"/>
          <w:highlight w:val="none"/>
        </w:rPr>
        <w:t>本项目是否接受联合体：</w:t>
      </w:r>
      <w:r>
        <w:rPr>
          <w:rFonts w:hint="eastAsia"/>
          <w:color w:val="auto"/>
          <w:sz w:val="24"/>
          <w:szCs w:val="24"/>
          <w:highlight w:val="none"/>
          <w:lang w:eastAsia="zh-CN"/>
        </w:rPr>
        <w:t>□</w:t>
      </w:r>
      <w:r>
        <w:rPr>
          <w:color w:val="auto"/>
          <w:sz w:val="24"/>
          <w:szCs w:val="24"/>
          <w:highlight w:val="none"/>
        </w:rPr>
        <w:t xml:space="preserve">是  </w:t>
      </w:r>
      <w:r>
        <w:rPr>
          <w:rFonts w:hint="eastAsia" w:ascii="宋体" w:hAnsi="宋体"/>
          <w:color w:val="auto"/>
          <w:sz w:val="24"/>
          <w:szCs w:val="24"/>
          <w:highlight w:val="none"/>
        </w:rPr>
        <w:t>■</w:t>
      </w:r>
      <w:r>
        <w:rPr>
          <w:color w:val="auto"/>
          <w:sz w:val="24"/>
          <w:szCs w:val="24"/>
          <w:highlight w:val="none"/>
        </w:rPr>
        <w:t>否。</w:t>
      </w:r>
    </w:p>
    <w:p w14:paraId="1230C7A1">
      <w:pPr>
        <w:spacing w:line="360" w:lineRule="auto"/>
        <w:ind w:firstLine="480" w:firstLineChars="200"/>
        <w:rPr>
          <w:color w:val="auto"/>
          <w:sz w:val="24"/>
          <w:szCs w:val="24"/>
          <w:highlight w:val="none"/>
        </w:rPr>
      </w:pPr>
    </w:p>
    <w:p w14:paraId="74672B40">
      <w:pPr>
        <w:pStyle w:val="3"/>
        <w:spacing w:before="0" w:line="360" w:lineRule="auto"/>
        <w:jc w:val="left"/>
        <w:rPr>
          <w:rFonts w:ascii="Times New Roman" w:hAnsi="Times New Roman" w:eastAsia="宋体"/>
          <w:color w:val="auto"/>
          <w:sz w:val="24"/>
          <w:szCs w:val="24"/>
          <w:highlight w:val="none"/>
        </w:rPr>
      </w:pPr>
      <w:bookmarkStart w:id="13" w:name="_Toc28359003"/>
      <w:bookmarkStart w:id="14" w:name="_Toc35393622"/>
      <w:bookmarkStart w:id="15" w:name="_Toc35393791"/>
      <w:bookmarkStart w:id="16" w:name="_Toc28359080"/>
      <w:r>
        <w:rPr>
          <w:rFonts w:ascii="Times New Roman" w:hAnsi="Times New Roman" w:eastAsia="宋体"/>
          <w:color w:val="auto"/>
          <w:sz w:val="24"/>
          <w:szCs w:val="24"/>
          <w:highlight w:val="none"/>
        </w:rPr>
        <w:t>二、申请人的资格要求（须同时满足）</w:t>
      </w:r>
      <w:bookmarkEnd w:id="13"/>
      <w:bookmarkEnd w:id="14"/>
      <w:bookmarkEnd w:id="15"/>
      <w:bookmarkEnd w:id="16"/>
    </w:p>
    <w:p w14:paraId="34F32632">
      <w:pPr>
        <w:spacing w:line="360" w:lineRule="auto"/>
        <w:ind w:firstLine="480" w:firstLineChars="200"/>
        <w:rPr>
          <w:color w:val="auto"/>
          <w:sz w:val="24"/>
          <w:szCs w:val="24"/>
          <w:highlight w:val="none"/>
        </w:rPr>
      </w:pPr>
      <w:r>
        <w:rPr>
          <w:color w:val="auto"/>
          <w:sz w:val="24"/>
          <w:szCs w:val="24"/>
          <w:highlight w:val="none"/>
        </w:rPr>
        <w:t>1.满足《中华人民共和国政府采购法》第二十二条规定；</w:t>
      </w:r>
    </w:p>
    <w:p w14:paraId="6F0D0E06">
      <w:pPr>
        <w:spacing w:line="360" w:lineRule="auto"/>
        <w:ind w:firstLine="480" w:firstLineChars="200"/>
        <w:rPr>
          <w:color w:val="auto"/>
          <w:sz w:val="24"/>
          <w:szCs w:val="24"/>
          <w:highlight w:val="none"/>
        </w:rPr>
      </w:pPr>
      <w:bookmarkStart w:id="17" w:name="_Toc28359081"/>
      <w:bookmarkStart w:id="18" w:name="_Toc28359004"/>
      <w:r>
        <w:rPr>
          <w:color w:val="auto"/>
          <w:sz w:val="24"/>
          <w:szCs w:val="24"/>
          <w:highlight w:val="none"/>
        </w:rPr>
        <w:t>2.落实政府采购政策需满足的资格要求：</w:t>
      </w:r>
    </w:p>
    <w:p w14:paraId="62DFEF6B">
      <w:pPr>
        <w:spacing w:line="360" w:lineRule="auto"/>
        <w:ind w:firstLine="480" w:firstLineChars="200"/>
        <w:rPr>
          <w:color w:val="auto"/>
          <w:sz w:val="24"/>
          <w:szCs w:val="24"/>
          <w:highlight w:val="none"/>
        </w:rPr>
      </w:pPr>
      <w:r>
        <w:rPr>
          <w:color w:val="auto"/>
          <w:sz w:val="24"/>
          <w:szCs w:val="24"/>
          <w:highlight w:val="none"/>
        </w:rPr>
        <w:t>2.1 中小企业政策：</w:t>
      </w:r>
    </w:p>
    <w:p w14:paraId="62E12140">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□本项目不专门面向中小企业预留采购份额。</w:t>
      </w:r>
    </w:p>
    <w:p w14:paraId="4E294DCF">
      <w:pPr>
        <w:spacing w:line="360" w:lineRule="auto"/>
        <w:ind w:firstLine="480" w:firstLineChars="200"/>
        <w:rPr>
          <w:rFonts w:hint="eastAsia" w:ascii="宋体" w:hAnsi="宋体"/>
          <w:color w:val="auto"/>
          <w:sz w:val="24"/>
          <w:szCs w:val="24"/>
          <w:highlight w:val="none"/>
        </w:rPr>
      </w:pPr>
      <w:r>
        <w:rPr>
          <w:rFonts w:hint="eastAsia" w:ascii="宋体" w:hAnsi="宋体"/>
          <w:color w:val="auto"/>
          <w:sz w:val="24"/>
          <w:szCs w:val="24"/>
          <w:highlight w:val="none"/>
        </w:rPr>
        <w:t>■本项目专门面向 ■中小</w:t>
      </w:r>
      <w:r>
        <w:rPr>
          <w:rFonts w:hint="eastAsia" w:ascii="宋体" w:hAnsi="宋体"/>
          <w:color w:val="auto"/>
          <w:sz w:val="24"/>
          <w:szCs w:val="24"/>
          <w:highlight w:val="none"/>
          <w:lang w:eastAsia="zh-CN"/>
        </w:rPr>
        <w:t>□</w:t>
      </w:r>
      <w:r>
        <w:rPr>
          <w:rFonts w:hint="eastAsia" w:ascii="宋体" w:hAnsi="宋体"/>
          <w:color w:val="auto"/>
          <w:sz w:val="24"/>
          <w:szCs w:val="24"/>
          <w:highlight w:val="none"/>
        </w:rPr>
        <w:t>小微企业  采购。即：提供的货物全部由符合政策要求的中小/小微企业制造、服务全部由符合政策要求的中小/小微企业承接。</w:t>
      </w:r>
    </w:p>
    <w:p w14:paraId="5C2D63F4">
      <w:pPr>
        <w:spacing w:line="360" w:lineRule="auto"/>
        <w:ind w:firstLine="480" w:firstLineChars="200"/>
        <w:rPr>
          <w:rFonts w:hint="default" w:ascii="宋体" w:hAnsi="宋体"/>
          <w:color w:val="auto"/>
          <w:sz w:val="24"/>
          <w:szCs w:val="24"/>
          <w:highlight w:val="none"/>
          <w:u w:val="single"/>
          <w:lang w:val="en-US"/>
        </w:rPr>
      </w:pPr>
      <w:r>
        <w:rPr>
          <w:rFonts w:hint="eastAsia" w:ascii="宋体" w:hAnsi="宋体"/>
          <w:color w:val="auto"/>
          <w:sz w:val="24"/>
          <w:szCs w:val="24"/>
          <w:highlight w:val="none"/>
        </w:rPr>
        <w:t>□本项目预留部分采购项目预算专门面向中小</w:t>
      </w:r>
      <w:r>
        <w:rPr>
          <w:rFonts w:hint="eastAsia" w:ascii="宋体" w:hAnsi="宋体"/>
          <w:color w:val="auto"/>
          <w:sz w:val="24"/>
          <w:szCs w:val="24"/>
          <w:highlight w:val="none"/>
          <w:lang w:val="en-US" w:eastAsia="zh-CN"/>
        </w:rPr>
        <w:t>微</w:t>
      </w:r>
      <w:r>
        <w:rPr>
          <w:rFonts w:hint="eastAsia" w:ascii="宋体" w:hAnsi="宋体"/>
          <w:color w:val="auto"/>
          <w:sz w:val="24"/>
          <w:szCs w:val="24"/>
          <w:highlight w:val="none"/>
        </w:rPr>
        <w:t>企业采购。对于预留份额，提供的货物由符合政策要求的中小</w:t>
      </w:r>
      <w:r>
        <w:rPr>
          <w:rFonts w:hint="eastAsia" w:ascii="宋体" w:hAnsi="宋体"/>
          <w:color w:val="auto"/>
          <w:sz w:val="24"/>
          <w:szCs w:val="24"/>
          <w:highlight w:val="none"/>
          <w:lang w:val="en-US" w:eastAsia="zh-CN"/>
        </w:rPr>
        <w:t>微</w:t>
      </w:r>
      <w:r>
        <w:rPr>
          <w:rFonts w:hint="eastAsia" w:ascii="宋体" w:hAnsi="宋体"/>
          <w:color w:val="auto"/>
          <w:sz w:val="24"/>
          <w:szCs w:val="24"/>
          <w:highlight w:val="none"/>
        </w:rPr>
        <w:t>企业制造、服务由符合政策要求的中小</w:t>
      </w:r>
      <w:r>
        <w:rPr>
          <w:rFonts w:hint="eastAsia" w:ascii="宋体" w:hAnsi="宋体"/>
          <w:color w:val="auto"/>
          <w:sz w:val="24"/>
          <w:szCs w:val="24"/>
          <w:highlight w:val="none"/>
          <w:lang w:val="en-US" w:eastAsia="zh-CN"/>
        </w:rPr>
        <w:t>微</w:t>
      </w:r>
      <w:r>
        <w:rPr>
          <w:rFonts w:hint="eastAsia" w:ascii="宋体" w:hAnsi="宋体"/>
          <w:color w:val="auto"/>
          <w:sz w:val="24"/>
          <w:szCs w:val="24"/>
          <w:highlight w:val="none"/>
        </w:rPr>
        <w:t>企业承接。预留份额通过以下措施进行：</w:t>
      </w:r>
      <w:r>
        <w:rPr>
          <w:rFonts w:hint="eastAsia" w:ascii="宋体" w:hAnsi="宋体"/>
          <w:color w:val="auto"/>
          <w:sz w:val="24"/>
          <w:szCs w:val="24"/>
          <w:highlight w:val="none"/>
          <w:u w:val="single"/>
          <w:lang w:val="en-US" w:eastAsia="zh-CN"/>
        </w:rPr>
        <w:t xml:space="preserve">   /  </w:t>
      </w:r>
    </w:p>
    <w:p w14:paraId="1FBB8999">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color w:val="auto"/>
          <w:sz w:val="24"/>
          <w:szCs w:val="24"/>
          <w:highlight w:val="none"/>
        </w:rPr>
        <w:t>2.2 其它落实政府采购政策的资格要求（如有）：</w:t>
      </w:r>
      <w:r>
        <w:rPr>
          <w:rFonts w:hint="eastAsia"/>
          <w:color w:val="auto"/>
          <w:sz w:val="24"/>
          <w:szCs w:val="24"/>
          <w:highlight w:val="none"/>
          <w:u w:val="single"/>
          <w:lang w:val="en-US" w:eastAsia="zh-CN"/>
        </w:rPr>
        <w:t>无</w:t>
      </w:r>
      <w:r>
        <w:rPr>
          <w:color w:val="auto"/>
          <w:sz w:val="24"/>
          <w:szCs w:val="24"/>
          <w:highlight w:val="none"/>
        </w:rPr>
        <w:t>。</w:t>
      </w:r>
    </w:p>
    <w:p w14:paraId="2AF8E595">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color w:val="auto"/>
          <w:sz w:val="24"/>
          <w:szCs w:val="24"/>
          <w:highlight w:val="none"/>
        </w:rPr>
        <w:t>3.本项目的特定资格要求：</w:t>
      </w:r>
    </w:p>
    <w:p w14:paraId="75B3E1CE">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color w:val="auto"/>
          <w:sz w:val="24"/>
          <w:szCs w:val="24"/>
          <w:highlight w:val="none"/>
        </w:rPr>
        <w:t>3.1本项目是否属于政府购买服务：</w:t>
      </w:r>
    </w:p>
    <w:p w14:paraId="73886658">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rFonts w:hint="eastAsia" w:ascii="宋体" w:hAnsi="宋体"/>
          <w:color w:val="auto"/>
          <w:sz w:val="24"/>
          <w:szCs w:val="24"/>
          <w:highlight w:val="none"/>
        </w:rPr>
        <w:t>■</w:t>
      </w:r>
      <w:r>
        <w:rPr>
          <w:color w:val="auto"/>
          <w:sz w:val="24"/>
          <w:szCs w:val="24"/>
          <w:highlight w:val="none"/>
        </w:rPr>
        <w:t>否</w:t>
      </w:r>
    </w:p>
    <w:p w14:paraId="2D274171">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color w:val="auto"/>
          <w:sz w:val="24"/>
          <w:szCs w:val="24"/>
          <w:highlight w:val="none"/>
        </w:rPr>
        <w:t>□是，公益一类事业单位、使用事业编制且由财政拨款保障的群团组织，不得作为承接主体；</w:t>
      </w:r>
    </w:p>
    <w:p w14:paraId="36815016">
      <w:pPr>
        <w:tabs>
          <w:tab w:val="left" w:pos="900"/>
          <w:tab w:val="left" w:pos="1134"/>
          <w:tab w:val="left" w:pos="1589"/>
          <w:tab w:val="left" w:pos="5521"/>
        </w:tabs>
        <w:snapToGrid w:val="0"/>
        <w:spacing w:line="360" w:lineRule="auto"/>
        <w:ind w:firstLine="480" w:firstLineChars="200"/>
        <w:rPr>
          <w:color w:val="auto"/>
          <w:sz w:val="24"/>
          <w:szCs w:val="24"/>
          <w:highlight w:val="none"/>
        </w:rPr>
      </w:pPr>
      <w:r>
        <w:rPr>
          <w:color w:val="auto"/>
          <w:sz w:val="24"/>
          <w:szCs w:val="24"/>
          <w:highlight w:val="none"/>
        </w:rPr>
        <w:t>3.2其他特定资格要求：</w:t>
      </w:r>
    </w:p>
    <w:p w14:paraId="3C413DD5">
      <w:pPr>
        <w:spacing w:line="360" w:lineRule="auto"/>
        <w:ind w:firstLine="480" w:firstLineChars="200"/>
        <w:rPr>
          <w:rFonts w:hint="eastAsia"/>
          <w:i w:val="0"/>
          <w:iCs w:val="0"/>
          <w:color w:val="auto"/>
          <w:sz w:val="24"/>
          <w:szCs w:val="24"/>
          <w:highlight w:val="none"/>
          <w:u w:val="none"/>
          <w:lang w:val="en-US" w:eastAsia="zh-CN"/>
        </w:rPr>
      </w:pPr>
      <w:r>
        <w:rPr>
          <w:rFonts w:hint="eastAsia"/>
          <w:i w:val="0"/>
          <w:iCs w:val="0"/>
          <w:color w:val="auto"/>
          <w:sz w:val="24"/>
          <w:szCs w:val="24"/>
          <w:highlight w:val="none"/>
          <w:u w:val="none"/>
          <w:lang w:val="en-US" w:eastAsia="zh-CN"/>
        </w:rPr>
        <w:t>3.2.1供应商须具备建设行政主管部门核发的</w:t>
      </w:r>
      <w:r>
        <w:rPr>
          <w:rFonts w:hint="eastAsia"/>
          <w:b/>
          <w:bCs/>
          <w:i w:val="0"/>
          <w:iCs w:val="0"/>
          <w:color w:val="auto"/>
          <w:sz w:val="24"/>
          <w:szCs w:val="24"/>
          <w:highlight w:val="none"/>
          <w:u w:val="none"/>
          <w:lang w:val="en-US" w:eastAsia="zh-CN"/>
        </w:rPr>
        <w:t>防水防腐保温工程专业承包贰级及以上</w:t>
      </w:r>
      <w:r>
        <w:rPr>
          <w:rFonts w:hint="eastAsia"/>
          <w:i w:val="0"/>
          <w:iCs w:val="0"/>
          <w:color w:val="auto"/>
          <w:sz w:val="24"/>
          <w:szCs w:val="24"/>
          <w:highlight w:val="none"/>
          <w:u w:val="none"/>
          <w:lang w:val="en-US" w:eastAsia="zh-CN"/>
        </w:rPr>
        <w:t>资质，并具有建设行政主管部门核发的有效的安全生产许可证，若供应商为外地企业，须提供有效的外省市建筑企业来京施工备案表，外地来京建筑企业办理进京备案手续时需一并办理注册建造师备案；</w:t>
      </w:r>
    </w:p>
    <w:p w14:paraId="560A0BD2">
      <w:pPr>
        <w:spacing w:line="360" w:lineRule="auto"/>
        <w:ind w:firstLine="480" w:firstLineChars="200"/>
        <w:rPr>
          <w:rFonts w:hint="eastAsia"/>
          <w:i w:val="0"/>
          <w:iCs w:val="0"/>
          <w:color w:val="auto"/>
          <w:sz w:val="24"/>
          <w:szCs w:val="24"/>
          <w:highlight w:val="none"/>
          <w:u w:val="none"/>
          <w:lang w:val="en-US" w:eastAsia="zh-CN"/>
        </w:rPr>
      </w:pPr>
      <w:r>
        <w:rPr>
          <w:rFonts w:hint="eastAsia"/>
          <w:i w:val="0"/>
          <w:iCs w:val="0"/>
          <w:color w:val="auto"/>
          <w:sz w:val="24"/>
          <w:szCs w:val="24"/>
          <w:highlight w:val="none"/>
          <w:u w:val="none"/>
          <w:lang w:val="en-US" w:eastAsia="zh-CN"/>
        </w:rPr>
        <w:t>3.2.2拟派项目经理须具备</w:t>
      </w:r>
      <w:r>
        <w:rPr>
          <w:rFonts w:hint="eastAsia"/>
          <w:b/>
          <w:bCs/>
          <w:i w:val="0"/>
          <w:iCs w:val="0"/>
          <w:color w:val="auto"/>
          <w:sz w:val="24"/>
          <w:szCs w:val="24"/>
          <w:highlight w:val="none"/>
          <w:u w:val="none"/>
          <w:lang w:val="en-US" w:eastAsia="zh-CN"/>
        </w:rPr>
        <w:t>建筑工程专业二级（含）</w:t>
      </w:r>
      <w:r>
        <w:rPr>
          <w:rFonts w:hint="eastAsia"/>
          <w:i w:val="0"/>
          <w:iCs w:val="0"/>
          <w:color w:val="auto"/>
          <w:sz w:val="24"/>
          <w:szCs w:val="24"/>
          <w:highlight w:val="none"/>
          <w:u w:val="none"/>
          <w:lang w:val="en-US" w:eastAsia="zh-CN"/>
        </w:rPr>
        <w:t>以上注册建造师执业资格证书和有效的安全生产考核合格证书(B证)，且在确定成交时不得担任其他在施建设工程项目的项目经理。</w:t>
      </w:r>
    </w:p>
    <w:p w14:paraId="19EA39E1">
      <w:pPr>
        <w:spacing w:line="360" w:lineRule="auto"/>
        <w:ind w:firstLine="480" w:firstLineChars="200"/>
        <w:rPr>
          <w:rFonts w:hint="eastAsia"/>
          <w:i w:val="0"/>
          <w:iCs w:val="0"/>
          <w:color w:val="auto"/>
          <w:sz w:val="24"/>
          <w:szCs w:val="24"/>
          <w:highlight w:val="none"/>
          <w:u w:val="none"/>
          <w:lang w:val="en-US" w:eastAsia="zh-CN"/>
        </w:rPr>
      </w:pPr>
      <w:r>
        <w:rPr>
          <w:rFonts w:hint="eastAsia"/>
          <w:i w:val="0"/>
          <w:iCs w:val="0"/>
          <w:color w:val="auto"/>
          <w:sz w:val="24"/>
          <w:szCs w:val="24"/>
          <w:highlight w:val="none"/>
          <w:u w:val="none"/>
          <w:lang w:val="en-US" w:eastAsia="zh-CN"/>
        </w:rPr>
        <w:t>3.2.3供应商不得被“信用中国”（www.creditchina.gov.cn）网站列入失信被执行人和重大税收违法案件当事人名单的、不得被“中国政府采购网”（www.ccgp.gov.cn）网站列入政府采购严重违法失信行为记录名单。</w:t>
      </w:r>
    </w:p>
    <w:p w14:paraId="29F6C57C">
      <w:pPr>
        <w:pStyle w:val="42"/>
        <w:ind w:left="0" w:leftChars="0" w:firstLine="0" w:firstLineChars="0"/>
        <w:rPr>
          <w:rFonts w:hint="eastAsia"/>
          <w:color w:val="auto"/>
          <w:sz w:val="24"/>
          <w:szCs w:val="24"/>
          <w:highlight w:val="none"/>
          <w:lang w:val="en-US" w:eastAsia="zh-CN"/>
        </w:rPr>
      </w:pPr>
    </w:p>
    <w:bookmarkEnd w:id="17"/>
    <w:bookmarkEnd w:id="18"/>
    <w:p w14:paraId="49BB3711">
      <w:pPr>
        <w:pStyle w:val="3"/>
        <w:widowControl/>
        <w:spacing w:before="0" w:line="360" w:lineRule="auto"/>
        <w:jc w:val="left"/>
        <w:rPr>
          <w:rFonts w:ascii="Times New Roman" w:hAnsi="Times New Roman" w:eastAsia="宋体"/>
          <w:color w:val="auto"/>
          <w:sz w:val="24"/>
          <w:szCs w:val="24"/>
          <w:highlight w:val="none"/>
        </w:rPr>
      </w:pPr>
      <w:bookmarkStart w:id="19" w:name="_Toc35393792"/>
      <w:bookmarkStart w:id="20" w:name="_Toc35393623"/>
      <w:r>
        <w:rPr>
          <w:rFonts w:ascii="Times New Roman" w:hAnsi="Times New Roman" w:eastAsia="宋体"/>
          <w:color w:val="auto"/>
          <w:sz w:val="24"/>
          <w:szCs w:val="24"/>
          <w:highlight w:val="none"/>
        </w:rPr>
        <w:t>三、获取采购文件</w:t>
      </w:r>
      <w:bookmarkEnd w:id="19"/>
      <w:bookmarkEnd w:id="20"/>
    </w:p>
    <w:p w14:paraId="2E3C6836">
      <w:pPr>
        <w:adjustRightInd w:val="0"/>
        <w:snapToGrid w:val="0"/>
        <w:spacing w:line="360" w:lineRule="auto"/>
        <w:ind w:firstLine="480" w:firstLineChars="200"/>
        <w:rPr>
          <w:rFonts w:hint="eastAsia" w:ascii="宋体" w:hAnsi="宋体"/>
          <w:color w:val="auto"/>
          <w:sz w:val="24"/>
          <w:szCs w:val="24"/>
          <w:highlight w:val="none"/>
        </w:rPr>
      </w:pPr>
      <w:r>
        <w:rPr>
          <w:color w:val="auto"/>
          <w:sz w:val="24"/>
          <w:szCs w:val="24"/>
          <w:highlight w:val="none"/>
          <w:lang w:bidi="ar"/>
        </w:rPr>
        <w:t>1.时间：</w:t>
      </w:r>
      <w:r>
        <w:rPr>
          <w:rFonts w:hint="eastAsia"/>
          <w:b/>
          <w:bCs/>
          <w:color w:val="auto"/>
          <w:sz w:val="24"/>
          <w:szCs w:val="24"/>
          <w:highlight w:val="none"/>
          <w:lang w:bidi="ar"/>
        </w:rPr>
        <w:t>202</w:t>
      </w:r>
      <w:r>
        <w:rPr>
          <w:rFonts w:hint="eastAsia"/>
          <w:b/>
          <w:bCs/>
          <w:color w:val="auto"/>
          <w:sz w:val="24"/>
          <w:szCs w:val="24"/>
          <w:highlight w:val="none"/>
          <w:lang w:val="en-US" w:eastAsia="zh-CN" w:bidi="ar"/>
        </w:rPr>
        <w:t>6</w:t>
      </w:r>
      <w:r>
        <w:rPr>
          <w:rFonts w:hint="eastAsia"/>
          <w:b/>
          <w:bCs/>
          <w:color w:val="auto"/>
          <w:sz w:val="24"/>
          <w:szCs w:val="24"/>
          <w:highlight w:val="none"/>
          <w:lang w:bidi="ar"/>
        </w:rPr>
        <w:t>年</w:t>
      </w:r>
      <w:r>
        <w:rPr>
          <w:rFonts w:hint="eastAsia"/>
          <w:b/>
          <w:bCs/>
          <w:color w:val="auto"/>
          <w:sz w:val="24"/>
          <w:szCs w:val="24"/>
          <w:highlight w:val="none"/>
          <w:lang w:val="en-US" w:eastAsia="zh-CN" w:bidi="ar"/>
        </w:rPr>
        <w:t>06</w:t>
      </w:r>
      <w:r>
        <w:rPr>
          <w:rFonts w:hint="eastAsia"/>
          <w:b/>
          <w:bCs/>
          <w:color w:val="auto"/>
          <w:sz w:val="24"/>
          <w:szCs w:val="24"/>
          <w:highlight w:val="none"/>
          <w:lang w:bidi="ar"/>
        </w:rPr>
        <w:t>月</w:t>
      </w:r>
      <w:r>
        <w:rPr>
          <w:rFonts w:hint="eastAsia"/>
          <w:b/>
          <w:bCs/>
          <w:color w:val="auto"/>
          <w:sz w:val="24"/>
          <w:szCs w:val="24"/>
          <w:highlight w:val="none"/>
          <w:lang w:val="en-US" w:eastAsia="zh-CN" w:bidi="ar"/>
        </w:rPr>
        <w:t>17</w:t>
      </w:r>
      <w:r>
        <w:rPr>
          <w:rFonts w:hint="eastAsia"/>
          <w:b/>
          <w:bCs/>
          <w:color w:val="auto"/>
          <w:sz w:val="24"/>
          <w:szCs w:val="24"/>
          <w:highlight w:val="none"/>
          <w:lang w:bidi="ar"/>
        </w:rPr>
        <w:t>日至202</w:t>
      </w:r>
      <w:r>
        <w:rPr>
          <w:rFonts w:hint="eastAsia"/>
          <w:b/>
          <w:bCs/>
          <w:color w:val="auto"/>
          <w:sz w:val="24"/>
          <w:szCs w:val="24"/>
          <w:highlight w:val="none"/>
          <w:lang w:val="en-US" w:eastAsia="zh-CN" w:bidi="ar"/>
        </w:rPr>
        <w:t>6</w:t>
      </w:r>
      <w:r>
        <w:rPr>
          <w:rFonts w:hint="eastAsia"/>
          <w:b/>
          <w:bCs/>
          <w:color w:val="auto"/>
          <w:sz w:val="24"/>
          <w:szCs w:val="24"/>
          <w:highlight w:val="none"/>
          <w:lang w:bidi="ar"/>
        </w:rPr>
        <w:t>年</w:t>
      </w:r>
      <w:r>
        <w:rPr>
          <w:rFonts w:hint="eastAsia"/>
          <w:b/>
          <w:bCs/>
          <w:color w:val="auto"/>
          <w:sz w:val="24"/>
          <w:szCs w:val="24"/>
          <w:highlight w:val="none"/>
          <w:lang w:val="en-US" w:eastAsia="zh-CN" w:bidi="ar"/>
        </w:rPr>
        <w:t>06</w:t>
      </w:r>
      <w:r>
        <w:rPr>
          <w:rFonts w:hint="eastAsia"/>
          <w:b/>
          <w:bCs/>
          <w:color w:val="auto"/>
          <w:sz w:val="24"/>
          <w:szCs w:val="24"/>
          <w:highlight w:val="none"/>
          <w:lang w:bidi="ar"/>
        </w:rPr>
        <w:t>月</w:t>
      </w:r>
      <w:r>
        <w:rPr>
          <w:rFonts w:hint="eastAsia"/>
          <w:b/>
          <w:bCs/>
          <w:color w:val="auto"/>
          <w:sz w:val="24"/>
          <w:szCs w:val="24"/>
          <w:highlight w:val="none"/>
          <w:lang w:val="en-US" w:eastAsia="zh-CN" w:bidi="ar"/>
        </w:rPr>
        <w:t>24</w:t>
      </w:r>
      <w:r>
        <w:rPr>
          <w:rFonts w:hint="eastAsia"/>
          <w:b/>
          <w:bCs/>
          <w:color w:val="auto"/>
          <w:sz w:val="24"/>
          <w:szCs w:val="24"/>
          <w:highlight w:val="none"/>
          <w:lang w:bidi="ar"/>
        </w:rPr>
        <w:t>日</w:t>
      </w:r>
      <w:r>
        <w:rPr>
          <w:rFonts w:hint="eastAsia" w:ascii="宋体" w:hAnsi="宋体"/>
          <w:color w:val="auto"/>
          <w:sz w:val="24"/>
          <w:szCs w:val="24"/>
          <w:highlight w:val="none"/>
        </w:rPr>
        <w:t>，每天上午09:00至1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:00，下午1</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:00至1</w:t>
      </w:r>
      <w:r>
        <w:rPr>
          <w:rFonts w:hint="eastAsia" w:ascii="宋体" w:hAnsi="宋体"/>
          <w:color w:val="auto"/>
          <w:sz w:val="24"/>
          <w:szCs w:val="24"/>
          <w:highlight w:val="none"/>
          <w:lang w:val="en-US" w:eastAsia="zh-CN"/>
        </w:rPr>
        <w:t>7</w:t>
      </w:r>
      <w:r>
        <w:rPr>
          <w:rFonts w:hint="eastAsia" w:ascii="宋体" w:hAnsi="宋体"/>
          <w:color w:val="auto"/>
          <w:sz w:val="24"/>
          <w:szCs w:val="24"/>
          <w:highlight w:val="none"/>
        </w:rPr>
        <w:t>:00（北京时间，法定节假日除外）。</w:t>
      </w:r>
    </w:p>
    <w:p w14:paraId="5E769BB5">
      <w:pPr>
        <w:adjustRightInd w:val="0"/>
        <w:snapToGrid w:val="0"/>
        <w:spacing w:line="360" w:lineRule="auto"/>
        <w:ind w:firstLine="480" w:firstLineChars="200"/>
        <w:rPr>
          <w:color w:val="auto"/>
          <w:sz w:val="24"/>
          <w:szCs w:val="24"/>
          <w:highlight w:val="none"/>
        </w:rPr>
      </w:pPr>
      <w:r>
        <w:rPr>
          <w:color w:val="auto"/>
          <w:sz w:val="24"/>
          <w:szCs w:val="24"/>
          <w:highlight w:val="none"/>
          <w:lang w:bidi="ar"/>
        </w:rPr>
        <w:t>2.地点：</w:t>
      </w:r>
      <w:r>
        <w:rPr>
          <w:rFonts w:eastAsiaTheme="minorEastAsia"/>
          <w:color w:val="auto"/>
          <w:sz w:val="24"/>
          <w:szCs w:val="24"/>
          <w:highlight w:val="none"/>
          <w:lang w:bidi="ar"/>
        </w:rPr>
        <w:t>北京市政府采购电子交易平台</w:t>
      </w:r>
    </w:p>
    <w:p w14:paraId="3D77E3CE">
      <w:pPr>
        <w:widowControl/>
        <w:adjustRightInd w:val="0"/>
        <w:snapToGrid w:val="0"/>
        <w:spacing w:line="360" w:lineRule="auto"/>
        <w:ind w:firstLine="480" w:firstLineChars="200"/>
        <w:jc w:val="left"/>
        <w:rPr>
          <w:rFonts w:eastAsiaTheme="minorEastAsia"/>
          <w:color w:val="auto"/>
          <w:sz w:val="24"/>
          <w:szCs w:val="24"/>
          <w:highlight w:val="none"/>
          <w:lang w:bidi="ar"/>
        </w:rPr>
      </w:pPr>
      <w:r>
        <w:rPr>
          <w:color w:val="auto"/>
          <w:sz w:val="24"/>
          <w:szCs w:val="24"/>
          <w:highlight w:val="none"/>
          <w:lang w:bidi="ar"/>
        </w:rPr>
        <w:t>3.方式：</w:t>
      </w:r>
      <w:r>
        <w:rPr>
          <w:rFonts w:eastAsiaTheme="minorEastAsia"/>
          <w:color w:val="auto"/>
          <w:sz w:val="24"/>
          <w:szCs w:val="24"/>
          <w:highlight w:val="none"/>
          <w:lang w:bidi="ar"/>
        </w:rPr>
        <w:t>供应商使用CA数字证书</w:t>
      </w:r>
      <w:r>
        <w:rPr>
          <w:color w:val="auto"/>
          <w:sz w:val="24"/>
          <w:szCs w:val="24"/>
          <w:highlight w:val="none"/>
          <w:lang w:bidi="ar"/>
        </w:rPr>
        <w:t>或电子营业执照</w:t>
      </w:r>
      <w:r>
        <w:rPr>
          <w:rFonts w:eastAsiaTheme="minorEastAsia"/>
          <w:color w:val="auto"/>
          <w:sz w:val="24"/>
          <w:szCs w:val="24"/>
          <w:highlight w:val="none"/>
          <w:lang w:bidi="ar"/>
        </w:rPr>
        <w:t>登录北京市政府采购电子交易平台（http://zbcg-bjzc.zhongcy.com/bjczj-portal-site/index.html#/home）获取电子版竞争性磋商文件。</w:t>
      </w:r>
    </w:p>
    <w:p w14:paraId="4C105425">
      <w:pPr>
        <w:widowControl/>
        <w:adjustRightInd w:val="0"/>
        <w:snapToGrid w:val="0"/>
        <w:spacing w:line="360" w:lineRule="auto"/>
        <w:ind w:firstLine="480" w:firstLineChars="200"/>
        <w:jc w:val="left"/>
        <w:rPr>
          <w:color w:val="auto"/>
          <w:sz w:val="24"/>
          <w:szCs w:val="24"/>
          <w:highlight w:val="none"/>
        </w:rPr>
      </w:pPr>
      <w:r>
        <w:rPr>
          <w:color w:val="auto"/>
          <w:sz w:val="24"/>
          <w:szCs w:val="24"/>
          <w:highlight w:val="none"/>
          <w:lang w:bidi="ar"/>
        </w:rPr>
        <w:t>4.售价：</w:t>
      </w:r>
      <w:r>
        <w:rPr>
          <w:rFonts w:hint="eastAsia"/>
          <w:color w:val="auto"/>
          <w:sz w:val="24"/>
          <w:szCs w:val="24"/>
          <w:highlight w:val="none"/>
          <w:lang w:bidi="ar"/>
        </w:rPr>
        <w:t>0</w:t>
      </w:r>
      <w:r>
        <w:rPr>
          <w:color w:val="auto"/>
          <w:sz w:val="24"/>
          <w:szCs w:val="24"/>
          <w:highlight w:val="none"/>
          <w:lang w:bidi="ar"/>
        </w:rPr>
        <w:t>元。</w:t>
      </w:r>
    </w:p>
    <w:p w14:paraId="2978E264">
      <w:pPr>
        <w:tabs>
          <w:tab w:val="left" w:pos="900"/>
          <w:tab w:val="left" w:pos="1980"/>
        </w:tabs>
        <w:snapToGrid w:val="0"/>
        <w:spacing w:line="360" w:lineRule="auto"/>
        <w:ind w:left="840"/>
        <w:rPr>
          <w:color w:val="auto"/>
          <w:sz w:val="24"/>
          <w:szCs w:val="24"/>
          <w:highlight w:val="none"/>
        </w:rPr>
      </w:pPr>
    </w:p>
    <w:p w14:paraId="1D91CCBA">
      <w:pPr>
        <w:pStyle w:val="3"/>
        <w:widowControl/>
        <w:spacing w:before="0" w:line="360" w:lineRule="auto"/>
        <w:jc w:val="left"/>
        <w:rPr>
          <w:rFonts w:ascii="Times New Roman" w:hAnsi="Times New Roman" w:eastAsia="宋体"/>
          <w:color w:val="auto"/>
          <w:sz w:val="24"/>
          <w:szCs w:val="24"/>
          <w:highlight w:val="none"/>
        </w:rPr>
      </w:pPr>
      <w:bookmarkStart w:id="21" w:name="_Toc28359005"/>
      <w:bookmarkStart w:id="22" w:name="_Toc35393624"/>
      <w:bookmarkStart w:id="23" w:name="_Toc35393793"/>
      <w:bookmarkStart w:id="24" w:name="_Toc28359082"/>
      <w:r>
        <w:rPr>
          <w:rFonts w:ascii="Times New Roman" w:hAnsi="Times New Roman" w:eastAsia="宋体"/>
          <w:color w:val="auto"/>
          <w:sz w:val="24"/>
          <w:szCs w:val="24"/>
          <w:highlight w:val="none"/>
        </w:rPr>
        <w:t>四、</w:t>
      </w:r>
      <w:bookmarkEnd w:id="21"/>
      <w:bookmarkEnd w:id="22"/>
      <w:bookmarkEnd w:id="23"/>
      <w:bookmarkEnd w:id="24"/>
      <w:r>
        <w:rPr>
          <w:rFonts w:ascii="Times New Roman" w:hAnsi="Times New Roman" w:eastAsia="宋体"/>
          <w:color w:val="auto"/>
          <w:sz w:val="24"/>
          <w:szCs w:val="24"/>
          <w:highlight w:val="none"/>
        </w:rPr>
        <w:t>响应文件提交</w:t>
      </w:r>
    </w:p>
    <w:p w14:paraId="7D67D076">
      <w:pPr>
        <w:spacing w:line="360" w:lineRule="auto"/>
        <w:ind w:firstLine="480" w:firstLineChars="200"/>
        <w:rPr>
          <w:bCs/>
          <w:color w:val="auto"/>
          <w:sz w:val="24"/>
          <w:szCs w:val="24"/>
          <w:highlight w:val="none"/>
          <w:u w:val="single"/>
        </w:rPr>
      </w:pPr>
      <w:r>
        <w:rPr>
          <w:color w:val="auto"/>
          <w:sz w:val="24"/>
          <w:szCs w:val="24"/>
          <w:highlight w:val="none"/>
          <w:lang w:bidi="ar"/>
        </w:rPr>
        <w:t>截止时间：</w:t>
      </w:r>
      <w:r>
        <w:rPr>
          <w:rFonts w:hint="eastAsia"/>
          <w:b/>
          <w:bCs/>
          <w:color w:val="auto"/>
          <w:sz w:val="24"/>
          <w:szCs w:val="24"/>
          <w:highlight w:val="none"/>
          <w:lang w:bidi="ar"/>
        </w:rPr>
        <w:t>202</w:t>
      </w:r>
      <w:r>
        <w:rPr>
          <w:rFonts w:hint="eastAsia"/>
          <w:b/>
          <w:bCs/>
          <w:color w:val="auto"/>
          <w:sz w:val="24"/>
          <w:szCs w:val="24"/>
          <w:highlight w:val="none"/>
          <w:lang w:val="en-US" w:eastAsia="zh-CN" w:bidi="ar"/>
        </w:rPr>
        <w:t>6</w:t>
      </w:r>
      <w:r>
        <w:rPr>
          <w:rFonts w:hint="eastAsia"/>
          <w:b/>
          <w:bCs/>
          <w:color w:val="auto"/>
          <w:sz w:val="24"/>
          <w:szCs w:val="24"/>
          <w:highlight w:val="none"/>
          <w:lang w:bidi="ar"/>
        </w:rPr>
        <w:t>年</w:t>
      </w:r>
      <w:r>
        <w:rPr>
          <w:rFonts w:hint="eastAsia"/>
          <w:b/>
          <w:bCs/>
          <w:color w:val="auto"/>
          <w:sz w:val="24"/>
          <w:szCs w:val="24"/>
          <w:highlight w:val="none"/>
          <w:lang w:val="en-US" w:eastAsia="zh-CN" w:bidi="ar"/>
        </w:rPr>
        <w:t>06</w:t>
      </w:r>
      <w:r>
        <w:rPr>
          <w:rFonts w:hint="eastAsia"/>
          <w:b/>
          <w:bCs/>
          <w:color w:val="auto"/>
          <w:sz w:val="24"/>
          <w:szCs w:val="24"/>
          <w:highlight w:val="none"/>
          <w:lang w:bidi="ar"/>
        </w:rPr>
        <w:t>月</w:t>
      </w:r>
      <w:r>
        <w:rPr>
          <w:rFonts w:hint="eastAsia"/>
          <w:b/>
          <w:bCs/>
          <w:color w:val="auto"/>
          <w:sz w:val="24"/>
          <w:szCs w:val="24"/>
          <w:highlight w:val="none"/>
          <w:lang w:val="en-US" w:eastAsia="zh-CN" w:bidi="ar"/>
        </w:rPr>
        <w:t>30</w:t>
      </w:r>
      <w:r>
        <w:rPr>
          <w:rFonts w:hint="eastAsia"/>
          <w:b/>
          <w:bCs/>
          <w:color w:val="auto"/>
          <w:sz w:val="24"/>
          <w:szCs w:val="24"/>
          <w:highlight w:val="none"/>
          <w:lang w:bidi="ar"/>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时</w:t>
      </w:r>
      <w:r>
        <w:rPr>
          <w:rFonts w:hint="eastAsia" w:ascii="宋体" w:hAnsi="宋体"/>
          <w:b/>
          <w:bCs/>
          <w:color w:val="auto"/>
          <w:sz w:val="24"/>
          <w:szCs w:val="24"/>
          <w:highlight w:val="none"/>
          <w:lang w:val="en-US" w:eastAsia="zh-CN"/>
        </w:rPr>
        <w:t>00</w:t>
      </w:r>
      <w:r>
        <w:rPr>
          <w:rFonts w:hint="eastAsia" w:ascii="宋体" w:hAnsi="宋体"/>
          <w:b/>
          <w:bCs/>
          <w:color w:val="auto"/>
          <w:sz w:val="24"/>
          <w:szCs w:val="24"/>
          <w:highlight w:val="none"/>
        </w:rPr>
        <w:t>分</w:t>
      </w:r>
      <w:r>
        <w:rPr>
          <w:bCs/>
          <w:color w:val="auto"/>
          <w:sz w:val="24"/>
          <w:szCs w:val="24"/>
          <w:highlight w:val="none"/>
          <w:lang w:bidi="ar"/>
        </w:rPr>
        <w:t>（北京时间）</w:t>
      </w:r>
      <w:r>
        <w:rPr>
          <w:iCs/>
          <w:color w:val="auto"/>
          <w:sz w:val="24"/>
          <w:szCs w:val="24"/>
          <w:highlight w:val="none"/>
          <w:lang w:bidi="ar"/>
        </w:rPr>
        <w:t>。</w:t>
      </w:r>
    </w:p>
    <w:p w14:paraId="12B5375B">
      <w:pPr>
        <w:spacing w:line="360" w:lineRule="auto"/>
        <w:ind w:firstLine="480" w:firstLineChars="200"/>
        <w:jc w:val="left"/>
        <w:rPr>
          <w:color w:val="auto"/>
          <w:sz w:val="24"/>
          <w:szCs w:val="24"/>
          <w:highlight w:val="none"/>
          <w:lang w:val="zh-TW" w:bidi="ar"/>
        </w:rPr>
      </w:pPr>
      <w:r>
        <w:rPr>
          <w:color w:val="auto"/>
          <w:sz w:val="24"/>
          <w:szCs w:val="24"/>
          <w:highlight w:val="none"/>
          <w:lang w:bidi="ar"/>
        </w:rPr>
        <w:t>地点：</w:t>
      </w:r>
      <w:r>
        <w:rPr>
          <w:rFonts w:hint="eastAsia" w:ascii="宋体" w:hAnsi="宋体"/>
          <w:color w:val="auto"/>
          <w:sz w:val="24"/>
          <w:szCs w:val="24"/>
          <w:highlight w:val="none"/>
        </w:rPr>
        <w:t>上传至北京市政府采购电子交易平台 （http://zbcg-bjzc.zhongcy.com/bjczj-portal-site/index.html#/home）。</w:t>
      </w:r>
    </w:p>
    <w:p w14:paraId="4D195488">
      <w:pPr>
        <w:spacing w:line="360" w:lineRule="auto"/>
        <w:ind w:firstLine="480" w:firstLineChars="200"/>
        <w:rPr>
          <w:color w:val="auto"/>
          <w:sz w:val="24"/>
          <w:szCs w:val="24"/>
          <w:highlight w:val="none"/>
          <w:lang w:val="zh-TW" w:bidi="ar"/>
        </w:rPr>
      </w:pPr>
    </w:p>
    <w:p w14:paraId="5FCCC144">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五、开启</w:t>
      </w:r>
    </w:p>
    <w:p w14:paraId="4D1F4211">
      <w:pPr>
        <w:spacing w:line="360" w:lineRule="auto"/>
        <w:ind w:right="480" w:firstLine="420" w:firstLineChars="175"/>
        <w:rPr>
          <w:rFonts w:hint="eastAsia" w:ascii="宋体" w:hAnsi="宋体"/>
          <w:color w:val="auto"/>
          <w:sz w:val="24"/>
          <w:szCs w:val="24"/>
          <w:highlight w:val="none"/>
        </w:rPr>
      </w:pPr>
      <w:r>
        <w:rPr>
          <w:rFonts w:hint="eastAsia" w:ascii="宋体" w:hAnsi="宋体"/>
          <w:color w:val="auto"/>
          <w:sz w:val="24"/>
          <w:szCs w:val="24"/>
          <w:highlight w:val="none"/>
        </w:rPr>
        <w:t>时间：</w:t>
      </w:r>
      <w:r>
        <w:rPr>
          <w:rFonts w:hint="eastAsia"/>
          <w:b/>
          <w:bCs/>
          <w:color w:val="auto"/>
          <w:sz w:val="24"/>
          <w:szCs w:val="24"/>
          <w:highlight w:val="none"/>
          <w:lang w:bidi="ar"/>
        </w:rPr>
        <w:t>202</w:t>
      </w:r>
      <w:r>
        <w:rPr>
          <w:rFonts w:hint="eastAsia"/>
          <w:b/>
          <w:bCs/>
          <w:color w:val="auto"/>
          <w:sz w:val="24"/>
          <w:szCs w:val="24"/>
          <w:highlight w:val="none"/>
          <w:lang w:val="en-US" w:eastAsia="zh-CN" w:bidi="ar"/>
        </w:rPr>
        <w:t>6</w:t>
      </w:r>
      <w:r>
        <w:rPr>
          <w:rFonts w:hint="eastAsia"/>
          <w:b/>
          <w:bCs/>
          <w:color w:val="auto"/>
          <w:sz w:val="24"/>
          <w:szCs w:val="24"/>
          <w:highlight w:val="none"/>
          <w:lang w:bidi="ar"/>
        </w:rPr>
        <w:t>年</w:t>
      </w:r>
      <w:r>
        <w:rPr>
          <w:rFonts w:hint="eastAsia"/>
          <w:b/>
          <w:bCs/>
          <w:color w:val="auto"/>
          <w:sz w:val="24"/>
          <w:szCs w:val="24"/>
          <w:highlight w:val="none"/>
          <w:lang w:val="en-US" w:eastAsia="zh-CN" w:bidi="ar"/>
        </w:rPr>
        <w:t>06</w:t>
      </w:r>
      <w:r>
        <w:rPr>
          <w:rFonts w:hint="eastAsia"/>
          <w:b/>
          <w:bCs/>
          <w:color w:val="auto"/>
          <w:sz w:val="24"/>
          <w:szCs w:val="24"/>
          <w:highlight w:val="none"/>
          <w:lang w:bidi="ar"/>
        </w:rPr>
        <w:t>月</w:t>
      </w:r>
      <w:r>
        <w:rPr>
          <w:rFonts w:hint="eastAsia"/>
          <w:b/>
          <w:bCs/>
          <w:color w:val="auto"/>
          <w:sz w:val="24"/>
          <w:szCs w:val="24"/>
          <w:highlight w:val="none"/>
          <w:lang w:val="en-US" w:eastAsia="zh-CN" w:bidi="ar"/>
        </w:rPr>
        <w:t>30</w:t>
      </w:r>
      <w:bookmarkStart w:id="2064" w:name="_GoBack"/>
      <w:bookmarkEnd w:id="2064"/>
      <w:r>
        <w:rPr>
          <w:rFonts w:hint="eastAsia"/>
          <w:b/>
          <w:bCs/>
          <w:color w:val="auto"/>
          <w:sz w:val="24"/>
          <w:szCs w:val="24"/>
          <w:highlight w:val="none"/>
          <w:lang w:bidi="ar"/>
        </w:rPr>
        <w:t>日</w:t>
      </w:r>
      <w:r>
        <w:rPr>
          <w:rFonts w:hint="eastAsia" w:ascii="宋体" w:hAnsi="宋体"/>
          <w:b/>
          <w:bCs/>
          <w:color w:val="auto"/>
          <w:sz w:val="24"/>
          <w:szCs w:val="24"/>
          <w:highlight w:val="none"/>
          <w:lang w:val="en-US" w:eastAsia="zh-CN"/>
        </w:rPr>
        <w:t>14</w:t>
      </w:r>
      <w:r>
        <w:rPr>
          <w:rFonts w:hint="eastAsia" w:ascii="宋体" w:hAnsi="宋体"/>
          <w:b/>
          <w:bCs/>
          <w:color w:val="auto"/>
          <w:sz w:val="24"/>
          <w:szCs w:val="24"/>
          <w:highlight w:val="none"/>
        </w:rPr>
        <w:t>时</w:t>
      </w:r>
      <w:r>
        <w:rPr>
          <w:rFonts w:hint="eastAsia" w:ascii="宋体" w:hAnsi="宋体"/>
          <w:b/>
          <w:bCs/>
          <w:color w:val="auto"/>
          <w:sz w:val="24"/>
          <w:szCs w:val="24"/>
          <w:highlight w:val="none"/>
          <w:lang w:val="en-US" w:eastAsia="zh-CN"/>
        </w:rPr>
        <w:t>00</w:t>
      </w:r>
      <w:r>
        <w:rPr>
          <w:rFonts w:hint="eastAsia" w:ascii="宋体" w:hAnsi="宋体"/>
          <w:b/>
          <w:bCs/>
          <w:color w:val="auto"/>
          <w:sz w:val="24"/>
          <w:szCs w:val="24"/>
          <w:highlight w:val="none"/>
        </w:rPr>
        <w:t>分</w:t>
      </w:r>
      <w:r>
        <w:rPr>
          <w:rFonts w:hint="eastAsia" w:ascii="宋体" w:hAnsi="宋体"/>
          <w:color w:val="auto"/>
          <w:sz w:val="24"/>
          <w:szCs w:val="24"/>
          <w:highlight w:val="none"/>
        </w:rPr>
        <w:t>（北京时间）</w:t>
      </w:r>
    </w:p>
    <w:p w14:paraId="43366363">
      <w:pPr>
        <w:spacing w:line="360" w:lineRule="auto"/>
        <w:ind w:right="-52" w:firstLine="420" w:firstLineChars="175"/>
        <w:jc w:val="left"/>
        <w:rPr>
          <w:rFonts w:hint="eastAsia" w:ascii="宋体" w:hAnsi="宋体"/>
          <w:color w:val="auto"/>
          <w:sz w:val="24"/>
          <w:szCs w:val="24"/>
          <w:highlight w:val="none"/>
        </w:rPr>
      </w:pPr>
      <w:r>
        <w:rPr>
          <w:rFonts w:hint="eastAsia" w:ascii="宋体" w:hAnsi="宋体"/>
          <w:color w:val="auto"/>
          <w:sz w:val="24"/>
          <w:szCs w:val="24"/>
          <w:highlight w:val="none"/>
        </w:rPr>
        <w:t>地点：北京市政府采购电子交易平台 （http://zbcg-bjzc.zhongcy.com/bjczj-portal-site/index.html#/home）。</w:t>
      </w:r>
    </w:p>
    <w:p w14:paraId="188FA54F">
      <w:pPr>
        <w:spacing w:line="360" w:lineRule="auto"/>
        <w:ind w:firstLine="480" w:firstLineChars="200"/>
        <w:rPr>
          <w:bCs/>
          <w:color w:val="auto"/>
          <w:sz w:val="24"/>
          <w:szCs w:val="24"/>
          <w:highlight w:val="none"/>
          <w:u w:val="single"/>
        </w:rPr>
      </w:pPr>
    </w:p>
    <w:p w14:paraId="59C58118">
      <w:pPr>
        <w:pStyle w:val="3"/>
        <w:spacing w:before="0" w:line="360" w:lineRule="auto"/>
        <w:jc w:val="left"/>
        <w:rPr>
          <w:rFonts w:ascii="Times New Roman" w:hAnsi="Times New Roman" w:eastAsia="宋体"/>
          <w:color w:val="auto"/>
          <w:sz w:val="24"/>
          <w:szCs w:val="24"/>
          <w:highlight w:val="none"/>
        </w:rPr>
      </w:pPr>
      <w:bookmarkStart w:id="25" w:name="_Toc28359084"/>
      <w:bookmarkStart w:id="26" w:name="_Toc35393794"/>
      <w:bookmarkStart w:id="27" w:name="_Toc28359007"/>
      <w:bookmarkStart w:id="28" w:name="_Toc35393625"/>
      <w:r>
        <w:rPr>
          <w:rFonts w:ascii="Times New Roman" w:hAnsi="Times New Roman" w:eastAsia="宋体"/>
          <w:color w:val="auto"/>
          <w:sz w:val="24"/>
          <w:szCs w:val="24"/>
          <w:highlight w:val="none"/>
        </w:rPr>
        <w:t>六、公告期限</w:t>
      </w:r>
      <w:bookmarkEnd w:id="25"/>
      <w:bookmarkEnd w:id="26"/>
      <w:bookmarkEnd w:id="27"/>
      <w:bookmarkEnd w:id="28"/>
    </w:p>
    <w:p w14:paraId="08F654CE">
      <w:pPr>
        <w:spacing w:line="360" w:lineRule="auto"/>
        <w:ind w:firstLine="480" w:firstLineChars="200"/>
        <w:rPr>
          <w:color w:val="auto"/>
          <w:kern w:val="0"/>
          <w:sz w:val="24"/>
          <w:szCs w:val="24"/>
          <w:highlight w:val="none"/>
        </w:rPr>
      </w:pPr>
      <w:r>
        <w:rPr>
          <w:color w:val="auto"/>
          <w:kern w:val="0"/>
          <w:sz w:val="24"/>
          <w:szCs w:val="24"/>
          <w:highlight w:val="none"/>
        </w:rPr>
        <w:t>自本公告发布之日起3个工作日。</w:t>
      </w:r>
    </w:p>
    <w:p w14:paraId="05E78B80">
      <w:pPr>
        <w:pStyle w:val="3"/>
        <w:numPr>
          <w:ilvl w:val="0"/>
          <w:numId w:val="4"/>
        </w:numPr>
        <w:spacing w:before="0" w:line="360" w:lineRule="auto"/>
        <w:jc w:val="left"/>
        <w:rPr>
          <w:rFonts w:ascii="Times New Roman" w:hAnsi="Times New Roman" w:eastAsia="宋体"/>
          <w:color w:val="auto"/>
          <w:sz w:val="24"/>
          <w:szCs w:val="24"/>
          <w:highlight w:val="none"/>
        </w:rPr>
      </w:pPr>
      <w:bookmarkStart w:id="29" w:name="_Toc35393795"/>
      <w:bookmarkStart w:id="30" w:name="_Toc35393626"/>
      <w:r>
        <w:rPr>
          <w:rFonts w:ascii="Times New Roman" w:hAnsi="Times New Roman" w:eastAsia="宋体"/>
          <w:color w:val="auto"/>
          <w:sz w:val="24"/>
          <w:szCs w:val="24"/>
          <w:highlight w:val="none"/>
        </w:rPr>
        <w:t>其他补充事宜</w:t>
      </w:r>
      <w:bookmarkEnd w:id="29"/>
      <w:bookmarkEnd w:id="30"/>
    </w:p>
    <w:p w14:paraId="6B5A3C1B">
      <w:pPr>
        <w:keepNext w:val="0"/>
        <w:keepLines w:val="0"/>
        <w:pageBreakBefore w:val="0"/>
        <w:widowControl w:val="0"/>
        <w:numPr>
          <w:ilvl w:val="0"/>
          <w:numId w:val="0"/>
        </w:numPr>
        <w:kinsoku/>
        <w:wordWrap/>
        <w:overflowPunct/>
        <w:topLinePunct w:val="0"/>
        <w:autoSpaceDE/>
        <w:autoSpaceDN/>
        <w:bidi w:val="0"/>
        <w:adjustRightInd/>
        <w:snapToGrid/>
        <w:spacing w:after="0" w:line="360" w:lineRule="auto"/>
        <w:ind w:leftChars="0" w:firstLine="480" w:firstLineChars="200"/>
        <w:textAlignment w:val="auto"/>
        <w:rPr>
          <w:color w:val="auto"/>
          <w:sz w:val="24"/>
          <w:szCs w:val="24"/>
          <w:highlight w:val="none"/>
        </w:rPr>
      </w:pPr>
      <w:r>
        <w:rPr>
          <w:rFonts w:hint="eastAsia" w:ascii="宋体" w:hAnsi="宋体"/>
          <w:color w:val="auto"/>
          <w:sz w:val="24"/>
          <w:szCs w:val="24"/>
          <w:highlight w:val="none"/>
        </w:rPr>
        <w:t>1、</w:t>
      </w:r>
      <w:r>
        <w:rPr>
          <w:rFonts w:hint="eastAsia" w:ascii="宋体" w:hAnsi="宋体" w:eastAsia="宋体" w:cs="宋体"/>
          <w:color w:val="auto"/>
          <w:sz w:val="24"/>
          <w:szCs w:val="24"/>
          <w:highlight w:val="none"/>
          <w:lang w:val="en-US" w:eastAsia="zh-CN"/>
        </w:rPr>
        <w:t>严格执行《中华人民共和国政府采购法》及有关法规、制度规定，在政府采购活动中扶持贫困地区、监狱企业、中小企业和残疾人福利性单位发展，支持节能减排、环境保护，严格贯彻落实挥发性有机物（VOCs）治理工作，按照北京市房山区财政局 北京市房山区生态环境局关于转发《北京市财政局 北京市生态环境局关于政府采购推广使用低挥发性有机化合物（VOCs）有关事项的通知》（房财采购【2020】149号）执行；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标准，按照《财政部关于推动解决政府采购异常低价问题的通知》（财办库〔2026〕2号）有关要求开展政府采购异常低价审查；供应商有融资需求的按照《北京市财政局 中国人民银行营业管理部关于推进政府采购合同线上融资有关工作的通知》（京财采购〔2023〕637号）进行融资</w:t>
      </w:r>
      <w:r>
        <w:rPr>
          <w:rFonts w:hint="eastAsia" w:ascii="宋体" w:hAnsi="宋体" w:eastAsia="宋体" w:cs="宋体"/>
          <w:color w:val="auto"/>
          <w:sz w:val="24"/>
          <w:szCs w:val="24"/>
          <w:highlight w:val="none"/>
          <w:lang w:eastAsia="zh-CN"/>
        </w:rPr>
        <w:t>。</w:t>
      </w:r>
    </w:p>
    <w:p w14:paraId="2E7C448E">
      <w:pPr>
        <w:spacing w:line="360" w:lineRule="auto"/>
        <w:ind w:firstLine="480" w:firstLineChars="200"/>
        <w:rPr>
          <w:rFonts w:eastAsiaTheme="minorEastAsia"/>
          <w:color w:val="auto"/>
          <w:sz w:val="24"/>
          <w:szCs w:val="24"/>
          <w:highlight w:val="none"/>
          <w:lang w:bidi="ar"/>
        </w:rPr>
      </w:pPr>
      <w:bookmarkStart w:id="31" w:name="_Toc28359008"/>
      <w:bookmarkStart w:id="32" w:name="_Toc28359085"/>
      <w:bookmarkStart w:id="33" w:name="_Toc35393627"/>
      <w:bookmarkStart w:id="34" w:name="_Toc35393796"/>
      <w:r>
        <w:rPr>
          <w:color w:val="auto"/>
          <w:sz w:val="24"/>
          <w:szCs w:val="24"/>
          <w:highlight w:val="none"/>
        </w:rPr>
        <w:t>2.本项目的采购年限为</w:t>
      </w:r>
      <w:r>
        <w:rPr>
          <w:rFonts w:hint="eastAsia"/>
          <w:color w:val="auto"/>
          <w:sz w:val="24"/>
          <w:szCs w:val="24"/>
          <w:highlight w:val="none"/>
          <w:u w:val="single"/>
          <w:lang w:val="en-US" w:eastAsia="zh-CN"/>
        </w:rPr>
        <w:t>/</w:t>
      </w:r>
      <w:r>
        <w:rPr>
          <w:color w:val="auto"/>
          <w:sz w:val="24"/>
          <w:szCs w:val="24"/>
          <w:highlight w:val="none"/>
        </w:rPr>
        <w:t>年、预算金额为</w:t>
      </w:r>
      <w:r>
        <w:rPr>
          <w:rFonts w:hint="eastAsia"/>
          <w:color w:val="auto"/>
          <w:sz w:val="24"/>
          <w:szCs w:val="24"/>
          <w:highlight w:val="none"/>
          <w:u w:val="single"/>
          <w:lang w:val="en-US" w:eastAsia="zh-CN"/>
        </w:rPr>
        <w:t>/</w:t>
      </w:r>
      <w:r>
        <w:rPr>
          <w:color w:val="auto"/>
          <w:sz w:val="24"/>
          <w:szCs w:val="24"/>
          <w:highlight w:val="none"/>
        </w:rPr>
        <w:t>万元、当年安排数为</w:t>
      </w:r>
      <w:r>
        <w:rPr>
          <w:rFonts w:hint="eastAsia"/>
          <w:color w:val="auto"/>
          <w:sz w:val="24"/>
          <w:szCs w:val="24"/>
          <w:highlight w:val="none"/>
          <w:u w:val="single"/>
          <w:lang w:val="en-US" w:eastAsia="zh-CN"/>
        </w:rPr>
        <w:t>/</w:t>
      </w:r>
      <w:r>
        <w:rPr>
          <w:color w:val="auto"/>
          <w:sz w:val="24"/>
          <w:szCs w:val="24"/>
          <w:highlight w:val="none"/>
        </w:rPr>
        <w:t>万元。</w:t>
      </w:r>
      <w:r>
        <w:rPr>
          <w:rFonts w:hint="eastAsia"/>
          <w:b/>
          <w:bCs/>
          <w:color w:val="auto"/>
          <w:sz w:val="24"/>
          <w:szCs w:val="24"/>
          <w:highlight w:val="none"/>
          <w:lang w:val="en-US" w:eastAsia="zh-CN"/>
        </w:rPr>
        <w:t>(本项目不适用）</w:t>
      </w:r>
    </w:p>
    <w:p w14:paraId="38BA7439">
      <w:pPr>
        <w:widowControl/>
        <w:adjustRightInd w:val="0"/>
        <w:snapToGrid w:val="0"/>
        <w:spacing w:line="360" w:lineRule="auto"/>
        <w:ind w:firstLine="480" w:firstLineChars="200"/>
        <w:jc w:val="left"/>
        <w:rPr>
          <w:rFonts w:eastAsiaTheme="minorEastAsia"/>
          <w:bCs/>
          <w:color w:val="auto"/>
          <w:sz w:val="24"/>
          <w:szCs w:val="24"/>
          <w:highlight w:val="none"/>
          <w:lang w:bidi="ar"/>
        </w:rPr>
      </w:pPr>
      <w:r>
        <w:rPr>
          <w:rFonts w:eastAsiaTheme="minorEastAsia"/>
          <w:color w:val="auto"/>
          <w:sz w:val="24"/>
          <w:szCs w:val="24"/>
          <w:highlight w:val="none"/>
          <w:lang w:bidi="ar"/>
        </w:rPr>
        <w:t>3.本项目采用全流程电子化采购方式，请供应商认真学习北京市政府采购电子交易平台发布的相关操作手册</w:t>
      </w:r>
      <w:r>
        <w:rPr>
          <w:color w:val="auto"/>
          <w:sz w:val="24"/>
          <w:szCs w:val="24"/>
          <w:highlight w:val="none"/>
          <w:lang w:bidi="ar"/>
        </w:rPr>
        <w:t>（供应商可在交易平台下载相关手册）</w:t>
      </w:r>
      <w:r>
        <w:rPr>
          <w:rFonts w:eastAsiaTheme="minorEastAsia"/>
          <w:color w:val="auto"/>
          <w:sz w:val="24"/>
          <w:szCs w:val="24"/>
          <w:highlight w:val="none"/>
          <w:lang w:bidi="ar"/>
        </w:rPr>
        <w:t>，办理CA数字证书</w:t>
      </w:r>
      <w:r>
        <w:rPr>
          <w:color w:val="auto"/>
          <w:sz w:val="24"/>
          <w:szCs w:val="24"/>
          <w:highlight w:val="none"/>
          <w:lang w:bidi="ar"/>
        </w:rPr>
        <w:t>或电子营业执照</w:t>
      </w:r>
      <w:r>
        <w:rPr>
          <w:rFonts w:eastAsiaTheme="minorEastAsia"/>
          <w:color w:val="auto"/>
          <w:sz w:val="24"/>
          <w:szCs w:val="24"/>
          <w:highlight w:val="none"/>
          <w:lang w:bidi="ar"/>
        </w:rPr>
        <w:t>、进行北京市政府采购电子交易平台注册绑定，并认真核实</w:t>
      </w:r>
      <w:r>
        <w:rPr>
          <w:rFonts w:eastAsiaTheme="minorEastAsia"/>
          <w:bCs/>
          <w:color w:val="auto"/>
          <w:sz w:val="24"/>
          <w:szCs w:val="24"/>
          <w:highlight w:val="none"/>
          <w:lang w:bidi="ar"/>
        </w:rPr>
        <w:t>CA数字证书</w:t>
      </w:r>
      <w:r>
        <w:rPr>
          <w:color w:val="auto"/>
          <w:sz w:val="24"/>
          <w:szCs w:val="24"/>
          <w:highlight w:val="none"/>
          <w:lang w:bidi="ar"/>
        </w:rPr>
        <w:t>或电子营业执照</w:t>
      </w:r>
      <w:r>
        <w:rPr>
          <w:rFonts w:eastAsiaTheme="minorEastAsia"/>
          <w:bCs/>
          <w:color w:val="auto"/>
          <w:sz w:val="24"/>
          <w:szCs w:val="24"/>
          <w:highlight w:val="none"/>
          <w:lang w:bidi="ar"/>
        </w:rPr>
        <w:t>情况确认是否符合本项目电子化采购流程要求。</w:t>
      </w:r>
    </w:p>
    <w:p w14:paraId="7DC0E67E">
      <w:pPr>
        <w:adjustRightInd w:val="0"/>
        <w:snapToGrid w:val="0"/>
        <w:spacing w:line="360" w:lineRule="auto"/>
        <w:ind w:firstLine="480" w:firstLineChars="200"/>
        <w:rPr>
          <w:rFonts w:eastAsiaTheme="minorEastAsia"/>
          <w:color w:val="auto"/>
          <w:sz w:val="24"/>
          <w:szCs w:val="24"/>
          <w:highlight w:val="none"/>
        </w:rPr>
      </w:pPr>
      <w:r>
        <w:rPr>
          <w:rFonts w:eastAsiaTheme="minorEastAsia"/>
          <w:color w:val="auto"/>
          <w:sz w:val="24"/>
          <w:szCs w:val="24"/>
          <w:highlight w:val="none"/>
          <w:lang w:bidi="ar"/>
        </w:rPr>
        <w:t>CA数字证书服务热线 010-58511086</w:t>
      </w:r>
    </w:p>
    <w:p w14:paraId="7C8EF322">
      <w:pPr>
        <w:adjustRightInd w:val="0"/>
        <w:snapToGrid w:val="0"/>
        <w:spacing w:line="360" w:lineRule="auto"/>
        <w:ind w:firstLine="480" w:firstLineChars="200"/>
        <w:rPr>
          <w:color w:val="auto"/>
          <w:sz w:val="24"/>
          <w:szCs w:val="24"/>
          <w:highlight w:val="none"/>
        </w:rPr>
      </w:pPr>
      <w:r>
        <w:rPr>
          <w:color w:val="auto"/>
          <w:sz w:val="24"/>
          <w:szCs w:val="24"/>
          <w:highlight w:val="none"/>
          <w:lang w:bidi="ar"/>
        </w:rPr>
        <w:t>电子营业执照服务热线 400-699-7000</w:t>
      </w:r>
    </w:p>
    <w:p w14:paraId="658AEC55">
      <w:pPr>
        <w:adjustRightInd w:val="0"/>
        <w:snapToGrid w:val="0"/>
        <w:spacing w:line="360" w:lineRule="auto"/>
        <w:ind w:firstLine="480" w:firstLineChars="200"/>
        <w:rPr>
          <w:rFonts w:eastAsiaTheme="minorEastAsia"/>
          <w:color w:val="auto"/>
          <w:sz w:val="24"/>
          <w:szCs w:val="24"/>
          <w:highlight w:val="none"/>
        </w:rPr>
      </w:pPr>
      <w:r>
        <w:rPr>
          <w:rFonts w:eastAsiaTheme="minorEastAsia"/>
          <w:color w:val="auto"/>
          <w:sz w:val="24"/>
          <w:szCs w:val="24"/>
          <w:highlight w:val="none"/>
          <w:lang w:bidi="ar"/>
        </w:rPr>
        <w:t xml:space="preserve">技术支持服务热线    010-86483801    </w:t>
      </w:r>
    </w:p>
    <w:p w14:paraId="1FCBDCFA">
      <w:pPr>
        <w:widowControl/>
        <w:adjustRightInd w:val="0"/>
        <w:snapToGrid w:val="0"/>
        <w:spacing w:line="360" w:lineRule="auto"/>
        <w:ind w:firstLine="480" w:firstLineChars="200"/>
        <w:jc w:val="left"/>
        <w:rPr>
          <w:rFonts w:eastAsiaTheme="minorEastAsia"/>
          <w:color w:val="auto"/>
          <w:sz w:val="24"/>
          <w:szCs w:val="24"/>
          <w:highlight w:val="none"/>
          <w:lang w:bidi="ar"/>
        </w:rPr>
      </w:pPr>
      <w:r>
        <w:rPr>
          <w:rFonts w:eastAsiaTheme="minorEastAsia"/>
          <w:color w:val="auto"/>
          <w:sz w:val="24"/>
          <w:szCs w:val="24"/>
          <w:highlight w:val="none"/>
          <w:lang w:bidi="ar"/>
        </w:rPr>
        <w:t>3.1办理CA数字证书</w:t>
      </w:r>
      <w:r>
        <w:rPr>
          <w:color w:val="auto"/>
          <w:sz w:val="24"/>
          <w:szCs w:val="24"/>
          <w:highlight w:val="none"/>
          <w:lang w:bidi="ar"/>
        </w:rPr>
        <w:t>或电子营业执照</w:t>
      </w:r>
    </w:p>
    <w:p w14:paraId="74F26449">
      <w:pPr>
        <w:widowControl/>
        <w:adjustRightInd w:val="0"/>
        <w:snapToGrid w:val="0"/>
        <w:spacing w:line="360" w:lineRule="auto"/>
        <w:ind w:firstLine="480" w:firstLineChars="200"/>
        <w:jc w:val="left"/>
        <w:rPr>
          <w:rFonts w:eastAsiaTheme="minorEastAsia"/>
          <w:color w:val="auto"/>
          <w:sz w:val="24"/>
          <w:szCs w:val="24"/>
          <w:highlight w:val="none"/>
        </w:rPr>
      </w:pPr>
      <w:r>
        <w:rPr>
          <w:rFonts w:eastAsiaTheme="minorEastAsia"/>
          <w:color w:val="auto"/>
          <w:sz w:val="24"/>
          <w:szCs w:val="24"/>
          <w:highlight w:val="none"/>
          <w:lang w:bidi="ar"/>
        </w:rPr>
        <w:t>供应商登录北京市政府采购电子交易平台查阅 “用户指南”—“操作指南”—“市场主体CA办理操作流程指引”</w:t>
      </w:r>
      <w:r>
        <w:rPr>
          <w:color w:val="auto"/>
          <w:sz w:val="24"/>
          <w:szCs w:val="24"/>
          <w:highlight w:val="none"/>
          <w:lang w:bidi="ar"/>
        </w:rPr>
        <w:t xml:space="preserve"> /“电子营业执照使用指南”</w:t>
      </w:r>
      <w:r>
        <w:rPr>
          <w:rFonts w:eastAsiaTheme="minorEastAsia"/>
          <w:color w:val="auto"/>
          <w:sz w:val="24"/>
          <w:szCs w:val="24"/>
          <w:highlight w:val="none"/>
          <w:lang w:bidi="ar"/>
        </w:rPr>
        <w:t>，按照程序要求办理。</w:t>
      </w:r>
    </w:p>
    <w:p w14:paraId="64E42DB9">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3.2注册</w:t>
      </w:r>
    </w:p>
    <w:p w14:paraId="46B16EF7">
      <w:pPr>
        <w:adjustRightInd w:val="0"/>
        <w:snapToGrid w:val="0"/>
        <w:spacing w:line="360" w:lineRule="auto"/>
        <w:ind w:firstLine="480" w:firstLineChars="200"/>
        <w:rPr>
          <w:rFonts w:eastAsiaTheme="minorEastAsia"/>
          <w:color w:val="auto"/>
          <w:sz w:val="24"/>
          <w:szCs w:val="24"/>
          <w:highlight w:val="none"/>
        </w:rPr>
      </w:pPr>
      <w:r>
        <w:rPr>
          <w:rFonts w:eastAsiaTheme="minorEastAsia"/>
          <w:color w:val="auto"/>
          <w:sz w:val="24"/>
          <w:szCs w:val="24"/>
          <w:highlight w:val="none"/>
          <w:lang w:bidi="ar"/>
        </w:rPr>
        <w:t>供应商登录北京市政府采购电子交易平台“用户指南”—“操作指南”—“市场主体注册入库操作流程指引”进行自助注册绑定。</w:t>
      </w:r>
    </w:p>
    <w:p w14:paraId="2FF62982">
      <w:pPr>
        <w:widowControl/>
        <w:adjustRightInd w:val="0"/>
        <w:snapToGrid w:val="0"/>
        <w:spacing w:line="360" w:lineRule="auto"/>
        <w:ind w:firstLine="480" w:firstLineChars="200"/>
        <w:jc w:val="left"/>
        <w:rPr>
          <w:rFonts w:eastAsiaTheme="minorEastAsia"/>
          <w:color w:val="auto"/>
          <w:sz w:val="24"/>
          <w:szCs w:val="24"/>
          <w:highlight w:val="none"/>
          <w:lang w:bidi="ar"/>
        </w:rPr>
      </w:pPr>
      <w:r>
        <w:rPr>
          <w:rFonts w:eastAsiaTheme="minorEastAsia"/>
          <w:color w:val="auto"/>
          <w:sz w:val="24"/>
          <w:szCs w:val="24"/>
          <w:highlight w:val="none"/>
          <w:lang w:bidi="ar"/>
        </w:rPr>
        <w:t>3.3驱动、客户端下载</w:t>
      </w:r>
    </w:p>
    <w:p w14:paraId="4D57BF85">
      <w:pPr>
        <w:widowControl/>
        <w:adjustRightInd w:val="0"/>
        <w:snapToGrid w:val="0"/>
        <w:spacing w:line="360" w:lineRule="auto"/>
        <w:ind w:firstLine="480" w:firstLineChars="200"/>
        <w:jc w:val="left"/>
        <w:rPr>
          <w:rFonts w:eastAsiaTheme="minorEastAsia"/>
          <w:color w:val="auto"/>
          <w:sz w:val="24"/>
          <w:szCs w:val="24"/>
          <w:highlight w:val="none"/>
        </w:rPr>
      </w:pPr>
      <w:r>
        <w:rPr>
          <w:rFonts w:eastAsiaTheme="minorEastAsia"/>
          <w:color w:val="auto"/>
          <w:sz w:val="24"/>
          <w:szCs w:val="24"/>
          <w:highlight w:val="none"/>
          <w:lang w:bidi="ar"/>
        </w:rPr>
        <w:t>供应商登录北京市政府采购电子交易平台“用户指南”—“工具下载”—“招标采购系统文件驱动安装包”下载相关驱动。</w:t>
      </w:r>
    </w:p>
    <w:p w14:paraId="08276FBF">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供应商登录北京市政府采购电子交易平台“用户指南”—“工具下载”—“投标文件编制工具”下载相关客户端。</w:t>
      </w:r>
    </w:p>
    <w:p w14:paraId="6420C69A">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3.4 获取电子竞争性磋商文件</w:t>
      </w:r>
    </w:p>
    <w:p w14:paraId="5B38DEDF">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供应商使用CA数字证书</w:t>
      </w:r>
      <w:r>
        <w:rPr>
          <w:color w:val="auto"/>
          <w:sz w:val="24"/>
          <w:szCs w:val="24"/>
          <w:highlight w:val="none"/>
          <w:lang w:bidi="ar"/>
        </w:rPr>
        <w:t>或电子营业执照</w:t>
      </w:r>
      <w:r>
        <w:rPr>
          <w:rFonts w:eastAsiaTheme="minorEastAsia"/>
          <w:color w:val="auto"/>
          <w:sz w:val="24"/>
          <w:szCs w:val="24"/>
          <w:highlight w:val="none"/>
          <w:lang w:bidi="ar"/>
        </w:rPr>
        <w:t>登录北京市政府采购电子交易平台获取电子竞争性磋商文件。</w:t>
      </w:r>
    </w:p>
    <w:p w14:paraId="51DC9D02">
      <w:pPr>
        <w:adjustRightInd w:val="0"/>
        <w:snapToGrid w:val="0"/>
        <w:spacing w:line="360" w:lineRule="auto"/>
        <w:ind w:firstLine="480" w:firstLineChars="200"/>
        <w:rPr>
          <w:rFonts w:eastAsiaTheme="minorEastAsia"/>
          <w:color w:val="auto"/>
          <w:sz w:val="24"/>
          <w:szCs w:val="24"/>
          <w:highlight w:val="none"/>
          <w:lang w:bidi="ar"/>
        </w:rPr>
      </w:pPr>
      <w:r>
        <w:rPr>
          <w:color w:val="auto"/>
          <w:sz w:val="24"/>
          <w:szCs w:val="24"/>
          <w:highlight w:val="none"/>
          <w:lang w:bidi="ar"/>
        </w:rPr>
        <w:t>供应商如计划参与多个采购包的响应，应在登录北京市政府采购电子交易平台后，在【我的项目】栏目依次选择对应采购包，进入项目工作台招标/采购文件环节分别按采购包下载采购文件电子版。未在规定期限内按上述操作获取文件的采购包，供应商无法提交相应包的电子响应文件。</w:t>
      </w:r>
    </w:p>
    <w:p w14:paraId="1F539397">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3.5编制电子响应文件</w:t>
      </w:r>
    </w:p>
    <w:p w14:paraId="3A0ABB54">
      <w:pPr>
        <w:adjustRightInd w:val="0"/>
        <w:snapToGrid w:val="0"/>
        <w:spacing w:line="360" w:lineRule="auto"/>
        <w:ind w:firstLine="480" w:firstLineChars="200"/>
        <w:rPr>
          <w:rFonts w:eastAsiaTheme="minorEastAsia"/>
          <w:color w:val="auto"/>
          <w:sz w:val="24"/>
          <w:szCs w:val="24"/>
          <w:highlight w:val="none"/>
          <w:lang w:bidi="ar"/>
        </w:rPr>
      </w:pPr>
      <w:r>
        <w:rPr>
          <w:rFonts w:eastAsiaTheme="minorEastAsia"/>
          <w:color w:val="auto"/>
          <w:sz w:val="24"/>
          <w:szCs w:val="24"/>
          <w:highlight w:val="none"/>
          <w:lang w:bidi="ar"/>
        </w:rPr>
        <w:t>供应商应使用电子投标客户端编制电子响应文件并进行线上响应，供应商电子响应文件需要加密并加盖电子签章</w:t>
      </w:r>
      <w:r>
        <w:rPr>
          <w:rFonts w:eastAsiaTheme="minorEastAsia"/>
          <w:bCs/>
          <w:color w:val="auto"/>
          <w:sz w:val="24"/>
          <w:szCs w:val="24"/>
          <w:highlight w:val="none"/>
          <w:lang w:bidi="ar"/>
        </w:rPr>
        <w:t>，如无法按照要求在电子响应文件中加盖电子签章和加密，请及时通过技术支持服务热线联系技术人员</w:t>
      </w:r>
      <w:r>
        <w:rPr>
          <w:rFonts w:eastAsiaTheme="minorEastAsia"/>
          <w:color w:val="auto"/>
          <w:sz w:val="24"/>
          <w:szCs w:val="24"/>
          <w:highlight w:val="none"/>
          <w:lang w:bidi="ar"/>
        </w:rPr>
        <w:t>。</w:t>
      </w:r>
    </w:p>
    <w:p w14:paraId="4B275D9A">
      <w:pPr>
        <w:widowControl/>
        <w:spacing w:line="360" w:lineRule="auto"/>
        <w:ind w:firstLine="480" w:firstLineChars="200"/>
        <w:jc w:val="left"/>
        <w:rPr>
          <w:rFonts w:eastAsiaTheme="minorEastAsia"/>
          <w:color w:val="auto"/>
          <w:sz w:val="24"/>
          <w:szCs w:val="24"/>
          <w:highlight w:val="none"/>
          <w:lang w:val="zh-TW" w:bidi="ar"/>
        </w:rPr>
      </w:pPr>
      <w:r>
        <w:rPr>
          <w:rFonts w:eastAsiaTheme="minorEastAsia"/>
          <w:color w:val="auto"/>
          <w:sz w:val="24"/>
          <w:szCs w:val="24"/>
          <w:highlight w:val="none"/>
          <w:lang w:val="zh-TW" w:eastAsia="zh-TW" w:bidi="ar"/>
        </w:rPr>
        <w:t>3.6</w:t>
      </w:r>
      <w:r>
        <w:rPr>
          <w:rFonts w:eastAsiaTheme="minorEastAsia"/>
          <w:color w:val="auto"/>
          <w:sz w:val="24"/>
          <w:szCs w:val="24"/>
          <w:highlight w:val="none"/>
          <w:lang w:val="zh-TW" w:bidi="ar"/>
        </w:rPr>
        <w:t>提交电子响应文件</w:t>
      </w:r>
    </w:p>
    <w:p w14:paraId="5BC68846">
      <w:pPr>
        <w:widowControl/>
        <w:spacing w:line="360" w:lineRule="auto"/>
        <w:ind w:firstLine="480" w:firstLineChars="200"/>
        <w:jc w:val="left"/>
        <w:rPr>
          <w:rFonts w:eastAsiaTheme="minorEastAsia"/>
          <w:color w:val="auto"/>
          <w:sz w:val="24"/>
          <w:szCs w:val="24"/>
          <w:highlight w:val="none"/>
          <w:lang w:bidi="ar"/>
        </w:rPr>
      </w:pPr>
      <w:r>
        <w:rPr>
          <w:rFonts w:eastAsiaTheme="minorEastAsia"/>
          <w:color w:val="auto"/>
          <w:sz w:val="24"/>
          <w:szCs w:val="24"/>
          <w:highlight w:val="none"/>
          <w:lang w:bidi="ar"/>
        </w:rPr>
        <w:t>供应商应于</w:t>
      </w:r>
      <w:r>
        <w:rPr>
          <w:rFonts w:eastAsiaTheme="minorEastAsia"/>
          <w:color w:val="auto"/>
          <w:sz w:val="24"/>
          <w:szCs w:val="24"/>
          <w:highlight w:val="none"/>
        </w:rPr>
        <w:t>响应文件提交</w:t>
      </w:r>
      <w:r>
        <w:rPr>
          <w:rFonts w:eastAsiaTheme="minorEastAsia"/>
          <w:color w:val="auto"/>
          <w:sz w:val="24"/>
          <w:szCs w:val="24"/>
          <w:highlight w:val="none"/>
          <w:lang w:bidi="ar"/>
        </w:rPr>
        <w:t>截止时间前在</w:t>
      </w:r>
      <w:r>
        <w:rPr>
          <w:color w:val="auto"/>
          <w:sz w:val="24"/>
          <w:szCs w:val="24"/>
          <w:highlight w:val="none"/>
          <w:lang w:bidi="ar"/>
        </w:rPr>
        <w:t>北京市政府采购电子交易平台</w:t>
      </w:r>
      <w:r>
        <w:rPr>
          <w:rFonts w:eastAsiaTheme="minorEastAsia"/>
          <w:color w:val="auto"/>
          <w:sz w:val="24"/>
          <w:szCs w:val="24"/>
          <w:highlight w:val="none"/>
          <w:lang w:bidi="ar"/>
        </w:rPr>
        <w:t>提交电子响应文件，上传电子响应文件过程中请保持与互联网的连接畅通。</w:t>
      </w:r>
    </w:p>
    <w:p w14:paraId="6B330068">
      <w:pPr>
        <w:spacing w:line="360" w:lineRule="auto"/>
        <w:ind w:firstLine="480" w:firstLineChars="200"/>
        <w:rPr>
          <w:rFonts w:eastAsiaTheme="minorEastAsia"/>
          <w:color w:val="auto"/>
          <w:sz w:val="24"/>
          <w:szCs w:val="24"/>
          <w:highlight w:val="none"/>
          <w:lang w:eastAsia="zh-TW"/>
        </w:rPr>
      </w:pPr>
      <w:r>
        <w:rPr>
          <w:rFonts w:eastAsiaTheme="minorEastAsia"/>
          <w:color w:val="auto"/>
          <w:sz w:val="24"/>
          <w:szCs w:val="24"/>
          <w:highlight w:val="none"/>
          <w:lang w:val="zh-TW" w:bidi="ar"/>
        </w:rPr>
        <w:t>3.</w:t>
      </w:r>
      <w:r>
        <w:rPr>
          <w:rFonts w:eastAsiaTheme="minorEastAsia"/>
          <w:color w:val="auto"/>
          <w:sz w:val="24"/>
          <w:szCs w:val="24"/>
          <w:highlight w:val="none"/>
          <w:lang w:val="zh-TW" w:eastAsia="zh-TW" w:bidi="ar"/>
        </w:rPr>
        <w:t xml:space="preserve">7 </w:t>
      </w:r>
      <w:r>
        <w:rPr>
          <w:rFonts w:eastAsiaTheme="minorEastAsia"/>
          <w:color w:val="auto"/>
          <w:sz w:val="24"/>
          <w:szCs w:val="24"/>
          <w:highlight w:val="none"/>
          <w:lang w:val="zh-TW" w:bidi="ar"/>
        </w:rPr>
        <w:t>开启响应文件</w:t>
      </w:r>
    </w:p>
    <w:p w14:paraId="01AA3C58">
      <w:pPr>
        <w:adjustRightInd w:val="0"/>
        <w:snapToGrid w:val="0"/>
        <w:spacing w:line="360" w:lineRule="auto"/>
        <w:ind w:firstLine="480" w:firstLineChars="200"/>
        <w:rPr>
          <w:rFonts w:ascii="Times New Roman" w:hAnsi="Times New Roman" w:cs="Times New Roman" w:eastAsiaTheme="minorEastAsia"/>
          <w:bCs/>
          <w:color w:val="auto"/>
          <w:sz w:val="24"/>
          <w:szCs w:val="24"/>
          <w:highlight w:val="none"/>
          <w:lang w:bidi="ar"/>
        </w:rPr>
      </w:pPr>
      <w:r>
        <w:rPr>
          <w:rFonts w:ascii="Times New Roman" w:hAnsi="Times New Roman" w:cs="Times New Roman" w:eastAsiaTheme="minorEastAsia"/>
          <w:bCs/>
          <w:color w:val="auto"/>
          <w:sz w:val="24"/>
          <w:szCs w:val="24"/>
          <w:highlight w:val="none"/>
          <w:lang w:bidi="ar"/>
        </w:rPr>
        <w:t>供应商于</w:t>
      </w:r>
      <w:r>
        <w:rPr>
          <w:rFonts w:ascii="Times New Roman" w:hAnsi="Times New Roman" w:cs="Times New Roman" w:eastAsiaTheme="minorEastAsia"/>
          <w:bCs/>
          <w:color w:val="auto"/>
          <w:sz w:val="24"/>
          <w:szCs w:val="24"/>
          <w:highlight w:val="none"/>
          <w:lang w:val="zh-TW" w:bidi="ar"/>
        </w:rPr>
        <w:t>磋商文件规定的开启时间、在开启地点使用</w:t>
      </w:r>
      <w:r>
        <w:rPr>
          <w:rFonts w:ascii="Times New Roman" w:hAnsi="Times New Roman" w:cs="Times New Roman" w:eastAsiaTheme="minorEastAsia"/>
          <w:bCs/>
          <w:color w:val="auto"/>
          <w:sz w:val="24"/>
          <w:szCs w:val="24"/>
          <w:highlight w:val="none"/>
          <w:lang w:bidi="ar"/>
        </w:rPr>
        <w:t>CA数字证书或电子营业执照</w:t>
      </w:r>
      <w:r>
        <w:rPr>
          <w:rFonts w:ascii="Times New Roman" w:hAnsi="Times New Roman" w:cs="Times New Roman" w:eastAsiaTheme="minorEastAsia"/>
          <w:bCs/>
          <w:color w:val="auto"/>
          <w:sz w:val="24"/>
          <w:szCs w:val="24"/>
          <w:highlight w:val="none"/>
          <w:lang w:val="zh-TW" w:bidi="ar"/>
        </w:rPr>
        <w:t>登录</w:t>
      </w:r>
      <w:r>
        <w:rPr>
          <w:rFonts w:ascii="Times New Roman" w:hAnsi="Times New Roman" w:cs="Times New Roman" w:eastAsiaTheme="minorEastAsia"/>
          <w:bCs/>
          <w:color w:val="auto"/>
          <w:sz w:val="24"/>
          <w:szCs w:val="24"/>
          <w:highlight w:val="none"/>
          <w:lang w:bidi="ar"/>
        </w:rPr>
        <w:t>北京市政府采购电子交易平台解密并开启响应文件。如因供应商问题，解密不成功，则响应无效。</w:t>
      </w:r>
    </w:p>
    <w:p w14:paraId="3D49DE85">
      <w:pPr>
        <w:adjustRightInd w:val="0"/>
        <w:snapToGrid w:val="0"/>
        <w:spacing w:line="360" w:lineRule="auto"/>
        <w:ind w:firstLine="480" w:firstLineChars="200"/>
        <w:rPr>
          <w:rFonts w:hint="default" w:ascii="Times New Roman" w:hAnsi="Times New Roman" w:cs="Times New Roman" w:eastAsiaTheme="minorEastAsia"/>
          <w:bCs/>
          <w:color w:val="auto"/>
          <w:sz w:val="24"/>
          <w:szCs w:val="24"/>
          <w:highlight w:val="none"/>
          <w:lang w:val="en-US" w:eastAsia="zh-CN" w:bidi="ar"/>
        </w:rPr>
      </w:pPr>
      <w:r>
        <w:rPr>
          <w:rFonts w:hint="eastAsia" w:ascii="Times New Roman" w:hAnsi="Times New Roman" w:cs="Times New Roman" w:eastAsiaTheme="minorEastAsia"/>
          <w:bCs/>
          <w:color w:val="auto"/>
          <w:sz w:val="24"/>
          <w:szCs w:val="24"/>
          <w:highlight w:val="none"/>
          <w:lang w:val="en-US" w:eastAsia="zh-CN" w:bidi="ar"/>
        </w:rPr>
        <w:t>4.本项目竞争性磋商公告在中国政府采购网、北京市政府采购网上发布。</w:t>
      </w:r>
    </w:p>
    <w:p w14:paraId="386160B1">
      <w:pPr>
        <w:pStyle w:val="3"/>
        <w:spacing w:before="0" w:line="360" w:lineRule="auto"/>
        <w:jc w:val="left"/>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八、对本项目提出询问，请按以下方式联系。</w:t>
      </w:r>
      <w:bookmarkEnd w:id="31"/>
      <w:bookmarkEnd w:id="32"/>
      <w:bookmarkEnd w:id="33"/>
      <w:bookmarkEnd w:id="34"/>
    </w:p>
    <w:p w14:paraId="0AC7423E">
      <w:pPr>
        <w:widowControl/>
        <w:spacing w:line="360" w:lineRule="auto"/>
        <w:jc w:val="left"/>
        <w:rPr>
          <w:b/>
          <w:color w:val="auto"/>
          <w:sz w:val="24"/>
          <w:szCs w:val="24"/>
          <w:highlight w:val="none"/>
        </w:rPr>
      </w:pPr>
      <w:r>
        <w:rPr>
          <w:color w:val="auto"/>
          <w:sz w:val="24"/>
          <w:szCs w:val="24"/>
          <w:highlight w:val="none"/>
        </w:rPr>
        <w:t>　　　</w:t>
      </w:r>
      <w:r>
        <w:rPr>
          <w:b/>
          <w:color w:val="auto"/>
          <w:sz w:val="24"/>
          <w:szCs w:val="24"/>
          <w:highlight w:val="none"/>
        </w:rPr>
        <w:t>1.采购人信息</w:t>
      </w:r>
    </w:p>
    <w:p w14:paraId="1944F322">
      <w:pPr>
        <w:spacing w:line="360" w:lineRule="auto"/>
        <w:ind w:left="1079" w:leftChars="371" w:hanging="300" w:hangingChars="125"/>
        <w:jc w:val="left"/>
        <w:rPr>
          <w:color w:val="auto"/>
          <w:sz w:val="24"/>
          <w:szCs w:val="24"/>
          <w:highlight w:val="none"/>
        </w:rPr>
      </w:pPr>
      <w:bookmarkStart w:id="35" w:name="_Toc28359086"/>
      <w:bookmarkStart w:id="36" w:name="_Toc28359009"/>
      <w:r>
        <w:rPr>
          <w:color w:val="auto"/>
          <w:sz w:val="24"/>
          <w:szCs w:val="24"/>
          <w:highlight w:val="none"/>
        </w:rPr>
        <w:t>名    称：</w:t>
      </w:r>
      <w:r>
        <w:rPr>
          <w:rFonts w:hint="eastAsia"/>
          <w:color w:val="auto"/>
          <w:sz w:val="24"/>
          <w:szCs w:val="24"/>
          <w:highlight w:val="none"/>
          <w:lang w:eastAsia="zh-CN"/>
        </w:rPr>
        <w:t>北京大学附属中学丰台学校</w:t>
      </w:r>
      <w:r>
        <w:rPr>
          <w:rFonts w:hint="eastAsia"/>
          <w:color w:val="auto"/>
          <w:sz w:val="24"/>
          <w:szCs w:val="24"/>
          <w:highlight w:val="none"/>
        </w:rPr>
        <w:t xml:space="preserve"> </w:t>
      </w:r>
    </w:p>
    <w:p w14:paraId="05301215">
      <w:pPr>
        <w:spacing w:line="360" w:lineRule="auto"/>
        <w:ind w:left="1079" w:leftChars="371" w:hanging="300" w:hangingChars="125"/>
        <w:jc w:val="left"/>
        <w:rPr>
          <w:rFonts w:hint="eastAsia" w:ascii="宋体" w:hAnsi="宋体" w:eastAsia="宋体"/>
          <w:color w:val="auto"/>
          <w:sz w:val="24"/>
          <w:szCs w:val="24"/>
          <w:highlight w:val="none"/>
          <w:lang w:eastAsia="zh-CN"/>
        </w:rPr>
      </w:pPr>
      <w:r>
        <w:rPr>
          <w:color w:val="auto"/>
          <w:sz w:val="24"/>
          <w:szCs w:val="24"/>
          <w:highlight w:val="none"/>
        </w:rPr>
        <w:t>地    址：</w:t>
      </w:r>
      <w:r>
        <w:rPr>
          <w:rFonts w:hint="eastAsia"/>
          <w:color w:val="auto"/>
          <w:sz w:val="24"/>
          <w:szCs w:val="24"/>
          <w:highlight w:val="none"/>
        </w:rPr>
        <w:t>北京市丰台区芳菲路78号</w:t>
      </w:r>
    </w:p>
    <w:p w14:paraId="203261FC">
      <w:pPr>
        <w:spacing w:line="360" w:lineRule="auto"/>
        <w:ind w:left="1079" w:leftChars="371" w:hanging="300" w:hangingChars="125"/>
        <w:jc w:val="left"/>
        <w:rPr>
          <w:rFonts w:hint="default" w:eastAsia="宋体"/>
          <w:color w:val="auto"/>
          <w:sz w:val="24"/>
          <w:szCs w:val="24"/>
          <w:highlight w:val="none"/>
          <w:u w:val="single"/>
          <w:lang w:val="en-US" w:eastAsia="zh-CN"/>
        </w:rPr>
      </w:pPr>
      <w:r>
        <w:rPr>
          <w:color w:val="auto"/>
          <w:sz w:val="24"/>
          <w:szCs w:val="24"/>
          <w:highlight w:val="none"/>
        </w:rPr>
        <w:t>联系方式：</w:t>
      </w:r>
      <w:r>
        <w:rPr>
          <w:rFonts w:hint="eastAsia"/>
          <w:color w:val="auto"/>
          <w:sz w:val="24"/>
          <w:szCs w:val="24"/>
          <w:highlight w:val="none"/>
          <w:lang w:val="en-US" w:eastAsia="zh-CN"/>
        </w:rPr>
        <w:t>曲老师010-58163587</w:t>
      </w:r>
    </w:p>
    <w:p w14:paraId="47E5B66C">
      <w:pPr>
        <w:spacing w:line="360" w:lineRule="auto"/>
        <w:ind w:left="1078" w:leftChars="371" w:hanging="299" w:hangingChars="124"/>
        <w:jc w:val="left"/>
        <w:rPr>
          <w:b/>
          <w:color w:val="auto"/>
          <w:sz w:val="24"/>
          <w:szCs w:val="24"/>
          <w:highlight w:val="none"/>
        </w:rPr>
      </w:pPr>
      <w:r>
        <w:rPr>
          <w:b/>
          <w:color w:val="auto"/>
          <w:sz w:val="24"/>
          <w:szCs w:val="24"/>
          <w:highlight w:val="none"/>
        </w:rPr>
        <w:t>2.采购代理机构信息</w:t>
      </w:r>
      <w:bookmarkEnd w:id="35"/>
      <w:bookmarkEnd w:id="36"/>
    </w:p>
    <w:p w14:paraId="529417B6">
      <w:pPr>
        <w:spacing w:line="360" w:lineRule="auto"/>
        <w:ind w:left="1076" w:leftChars="371" w:hanging="297" w:hangingChars="124"/>
        <w:jc w:val="left"/>
        <w:rPr>
          <w:rFonts w:hint="eastAsia" w:eastAsia="宋体"/>
          <w:color w:val="auto"/>
          <w:sz w:val="24"/>
          <w:szCs w:val="24"/>
          <w:highlight w:val="none"/>
          <w:lang w:eastAsia="zh-CN"/>
        </w:rPr>
      </w:pPr>
      <w:bookmarkStart w:id="37" w:name="_Toc28359010"/>
      <w:bookmarkStart w:id="38" w:name="_Toc28359087"/>
      <w:r>
        <w:rPr>
          <w:color w:val="auto"/>
          <w:sz w:val="24"/>
          <w:szCs w:val="24"/>
          <w:highlight w:val="none"/>
        </w:rPr>
        <w:t>名    称：</w:t>
      </w:r>
      <w:r>
        <w:rPr>
          <w:rFonts w:hint="eastAsia"/>
          <w:color w:val="auto"/>
          <w:sz w:val="24"/>
          <w:szCs w:val="24"/>
          <w:highlight w:val="none"/>
          <w:lang w:eastAsia="zh-CN"/>
        </w:rPr>
        <w:t>北京东方宏正工程管理有限公司</w:t>
      </w:r>
    </w:p>
    <w:p w14:paraId="165E9017">
      <w:pPr>
        <w:spacing w:line="360" w:lineRule="auto"/>
        <w:ind w:left="1076" w:leftChars="371" w:hanging="297" w:hangingChars="124"/>
        <w:jc w:val="left"/>
        <w:rPr>
          <w:rFonts w:hint="eastAsia" w:eastAsia="宋体"/>
          <w:color w:val="auto"/>
          <w:sz w:val="24"/>
          <w:szCs w:val="24"/>
          <w:highlight w:val="none"/>
          <w:lang w:eastAsia="zh-CN"/>
        </w:rPr>
      </w:pPr>
      <w:r>
        <w:rPr>
          <w:color w:val="auto"/>
          <w:sz w:val="24"/>
          <w:szCs w:val="24"/>
          <w:highlight w:val="none"/>
        </w:rPr>
        <w:t>地    址：</w:t>
      </w:r>
      <w:r>
        <w:rPr>
          <w:rFonts w:hint="eastAsia"/>
          <w:color w:val="auto"/>
          <w:sz w:val="24"/>
          <w:szCs w:val="24"/>
          <w:highlight w:val="none"/>
          <w:lang w:eastAsia="zh-CN"/>
        </w:rPr>
        <w:t>北京市丰台区汽车博物馆东路盈坤世纪G座902A</w:t>
      </w:r>
    </w:p>
    <w:p w14:paraId="44CA7635">
      <w:pPr>
        <w:spacing w:line="360" w:lineRule="auto"/>
        <w:ind w:left="1076" w:leftChars="371" w:hanging="297" w:hangingChars="124"/>
        <w:jc w:val="left"/>
        <w:rPr>
          <w:rFonts w:hint="eastAsia" w:eastAsia="宋体"/>
          <w:color w:val="auto"/>
          <w:sz w:val="24"/>
          <w:szCs w:val="24"/>
          <w:highlight w:val="none"/>
          <w:u w:val="single"/>
          <w:lang w:eastAsia="zh-CN"/>
        </w:rPr>
      </w:pPr>
      <w:r>
        <w:rPr>
          <w:color w:val="auto"/>
          <w:sz w:val="24"/>
          <w:szCs w:val="24"/>
          <w:highlight w:val="none"/>
        </w:rPr>
        <w:t>联系方式：</w:t>
      </w:r>
      <w:r>
        <w:rPr>
          <w:rFonts w:hint="eastAsia"/>
          <w:color w:val="auto"/>
          <w:sz w:val="24"/>
          <w:szCs w:val="24"/>
          <w:highlight w:val="none"/>
          <w:lang w:eastAsia="zh-CN"/>
        </w:rPr>
        <w:t>陶韩、王振洋、马阿曼、赵彦朝010-63727291、</w:t>
      </w:r>
      <w:r>
        <w:rPr>
          <w:rFonts w:hint="eastAsia"/>
          <w:color w:val="auto"/>
          <w:sz w:val="24"/>
          <w:szCs w:val="24"/>
          <w:highlight w:val="none"/>
          <w:lang w:val="en-US" w:eastAsia="zh-CN"/>
        </w:rPr>
        <w:t>13661056807</w:t>
      </w:r>
    </w:p>
    <w:p w14:paraId="26259D68">
      <w:pPr>
        <w:spacing w:line="360" w:lineRule="auto"/>
        <w:ind w:left="1078" w:leftChars="371" w:hanging="299" w:hangingChars="124"/>
        <w:rPr>
          <w:b/>
          <w:color w:val="auto"/>
          <w:sz w:val="24"/>
          <w:szCs w:val="24"/>
          <w:highlight w:val="none"/>
          <w:u w:val="single"/>
        </w:rPr>
      </w:pPr>
      <w:r>
        <w:rPr>
          <w:b/>
          <w:color w:val="auto"/>
          <w:sz w:val="24"/>
          <w:szCs w:val="24"/>
          <w:highlight w:val="none"/>
        </w:rPr>
        <w:t>3.项目联系方式</w:t>
      </w:r>
      <w:bookmarkEnd w:id="37"/>
      <w:bookmarkEnd w:id="38"/>
    </w:p>
    <w:p w14:paraId="0C146392">
      <w:pPr>
        <w:pStyle w:val="29"/>
        <w:spacing w:line="360" w:lineRule="auto"/>
        <w:ind w:left="1076" w:leftChars="371" w:hanging="297" w:hangingChars="124"/>
        <w:rPr>
          <w:rFonts w:hint="eastAsia" w:ascii="Times New Roman" w:hAnsi="Times New Roman" w:eastAsia="宋体"/>
          <w:color w:val="auto"/>
          <w:sz w:val="24"/>
          <w:szCs w:val="24"/>
          <w:highlight w:val="none"/>
          <w:u w:val="single"/>
          <w:lang w:eastAsia="zh-CN" w:bidi="ar"/>
        </w:rPr>
      </w:pPr>
      <w:r>
        <w:rPr>
          <w:rFonts w:ascii="Times New Roman" w:hAnsi="Times New Roman"/>
          <w:color w:val="auto"/>
          <w:sz w:val="24"/>
          <w:szCs w:val="24"/>
          <w:highlight w:val="none"/>
        </w:rPr>
        <w:t>项目联系人：</w:t>
      </w:r>
      <w:r>
        <w:rPr>
          <w:rFonts w:hint="eastAsia"/>
          <w:color w:val="auto"/>
          <w:sz w:val="24"/>
          <w:szCs w:val="24"/>
          <w:highlight w:val="none"/>
          <w:lang w:eastAsia="zh-CN"/>
        </w:rPr>
        <w:t>陶韩、王振洋、马阿曼、赵彦朝</w:t>
      </w:r>
    </w:p>
    <w:p w14:paraId="053C81C7">
      <w:pPr>
        <w:pStyle w:val="29"/>
        <w:spacing w:line="360" w:lineRule="auto"/>
        <w:ind w:left="1076" w:leftChars="371" w:hanging="297" w:hangingChars="124"/>
        <w:rPr>
          <w:rFonts w:hint="eastAsia" w:ascii="Times New Roman" w:hAnsi="Times New Roman" w:eastAsia="宋体"/>
          <w:color w:val="auto"/>
          <w:sz w:val="24"/>
          <w:szCs w:val="24"/>
          <w:highlight w:val="none"/>
          <w:lang w:eastAsia="zh-CN"/>
        </w:rPr>
      </w:pPr>
      <w:r>
        <w:rPr>
          <w:rFonts w:ascii="Times New Roman" w:hAnsi="Times New Roman"/>
          <w:color w:val="auto"/>
          <w:sz w:val="24"/>
          <w:szCs w:val="24"/>
          <w:highlight w:val="none"/>
        </w:rPr>
        <w:t>电      话：</w:t>
      </w:r>
      <w:r>
        <w:rPr>
          <w:rFonts w:hint="eastAsia" w:ascii="Times New Roman" w:hAnsi="Times New Roman"/>
          <w:color w:val="auto"/>
          <w:sz w:val="24"/>
          <w:szCs w:val="24"/>
          <w:highlight w:val="none"/>
        </w:rPr>
        <w:t>010-63727291、</w:t>
      </w:r>
      <w:r>
        <w:rPr>
          <w:rFonts w:hint="eastAsia" w:ascii="Times New Roman" w:hAnsi="Times New Roman"/>
          <w:color w:val="auto"/>
          <w:sz w:val="24"/>
          <w:szCs w:val="24"/>
          <w:highlight w:val="none"/>
          <w:lang w:val="en-US" w:eastAsia="zh-CN"/>
        </w:rPr>
        <w:t>13661056807</w:t>
      </w:r>
    </w:p>
    <w:p w14:paraId="14DC9759">
      <w:pPr>
        <w:rPr>
          <w:b/>
          <w:color w:val="auto"/>
          <w:sz w:val="24"/>
          <w:szCs w:val="24"/>
          <w:highlight w:val="none"/>
        </w:rPr>
      </w:pPr>
      <w:bookmarkStart w:id="39" w:name="_Toc226965856"/>
      <w:bookmarkStart w:id="40" w:name="_Toc353825548"/>
      <w:bookmarkStart w:id="41" w:name="_Toc264969275"/>
      <w:bookmarkStart w:id="42" w:name="_Toc150774783"/>
      <w:bookmarkStart w:id="43" w:name="_Toc127161488"/>
      <w:bookmarkStart w:id="44" w:name="_Toc265228423"/>
      <w:bookmarkStart w:id="45" w:name="_Toc127151777"/>
      <w:bookmarkStart w:id="46" w:name="_Toc305158854"/>
      <w:bookmarkStart w:id="47" w:name="_Toc305158928"/>
      <w:bookmarkStart w:id="48" w:name="_Toc512937850"/>
      <w:bookmarkStart w:id="49" w:name="_Toc353873938"/>
      <w:bookmarkStart w:id="50" w:name="_Toc195842950"/>
      <w:r>
        <w:rPr>
          <w:b/>
          <w:color w:val="auto"/>
          <w:sz w:val="24"/>
          <w:szCs w:val="24"/>
          <w:highlight w:val="none"/>
        </w:rPr>
        <w:br w:type="page"/>
      </w:r>
    </w:p>
    <w:p w14:paraId="3E665AE5">
      <w:pPr>
        <w:spacing w:line="360" w:lineRule="auto"/>
        <w:jc w:val="center"/>
        <w:outlineLvl w:val="0"/>
        <w:rPr>
          <w:b/>
          <w:color w:val="auto"/>
          <w:sz w:val="24"/>
          <w:szCs w:val="24"/>
          <w:highlight w:val="none"/>
        </w:rPr>
      </w:pPr>
      <w:bookmarkStart w:id="51" w:name="_Toc13864"/>
      <w:r>
        <w:rPr>
          <w:b/>
          <w:color w:val="auto"/>
          <w:sz w:val="24"/>
          <w:szCs w:val="24"/>
          <w:highlight w:val="none"/>
        </w:rPr>
        <w:t>第二章   供应商须知</w:t>
      </w:r>
      <w:bookmarkEnd w:id="39"/>
      <w:bookmarkEnd w:id="40"/>
      <w:bookmarkEnd w:id="41"/>
      <w:bookmarkEnd w:id="42"/>
      <w:bookmarkEnd w:id="43"/>
      <w:bookmarkEnd w:id="44"/>
      <w:bookmarkEnd w:id="45"/>
      <w:bookmarkEnd w:id="46"/>
      <w:bookmarkEnd w:id="47"/>
      <w:bookmarkEnd w:id="48"/>
      <w:bookmarkEnd w:id="49"/>
      <w:bookmarkEnd w:id="50"/>
      <w:bookmarkEnd w:id="51"/>
    </w:p>
    <w:p w14:paraId="77B9D35D">
      <w:pPr>
        <w:pStyle w:val="3"/>
        <w:tabs>
          <w:tab w:val="center" w:pos="4592"/>
          <w:tab w:val="left" w:pos="7860"/>
        </w:tabs>
        <w:spacing w:before="0" w:line="360" w:lineRule="auto"/>
        <w:rPr>
          <w:rFonts w:ascii="Times New Roman" w:hAnsi="Times New Roman" w:eastAsia="宋体"/>
          <w:b w:val="0"/>
          <w:color w:val="auto"/>
          <w:sz w:val="24"/>
          <w:szCs w:val="24"/>
          <w:highlight w:val="none"/>
        </w:rPr>
      </w:pPr>
      <w:bookmarkStart w:id="52" w:name="_Toc164229214"/>
      <w:bookmarkStart w:id="53" w:name="_Toc151193689"/>
      <w:bookmarkStart w:id="54" w:name="_Toc151190146"/>
      <w:bookmarkStart w:id="55" w:name="_Toc226965792"/>
      <w:bookmarkStart w:id="56" w:name="_Toc127151519"/>
      <w:bookmarkStart w:id="57" w:name="_Toc520356144"/>
      <w:bookmarkStart w:id="58" w:name="_Toc226337215"/>
      <w:bookmarkStart w:id="59" w:name="_Toc164351613"/>
      <w:bookmarkStart w:id="60" w:name="_Toc150509270"/>
      <w:bookmarkStart w:id="61" w:name="_Toc226309763"/>
      <w:bookmarkStart w:id="62" w:name="_Toc127161433"/>
      <w:bookmarkStart w:id="63" w:name="_Toc151193907"/>
      <w:bookmarkStart w:id="64" w:name="_Toc150774619"/>
      <w:bookmarkStart w:id="65" w:name="_Toc151193833"/>
      <w:bookmarkStart w:id="66" w:name="_Toc164608633"/>
      <w:bookmarkStart w:id="67" w:name="_Toc127151720"/>
      <w:bookmarkStart w:id="68" w:name="_Toc149720812"/>
      <w:bookmarkStart w:id="69" w:name="_Toc226965709"/>
      <w:bookmarkStart w:id="70" w:name="_Toc151193617"/>
      <w:bookmarkStart w:id="71" w:name="_Toc164608788"/>
      <w:bookmarkStart w:id="72" w:name="_Toc164229360"/>
      <w:bookmarkStart w:id="73" w:name="_Toc150774724"/>
      <w:bookmarkStart w:id="74" w:name="_Toc142311021"/>
      <w:bookmarkStart w:id="75" w:name="_Toc150480757"/>
      <w:bookmarkStart w:id="76" w:name="_Toc195842884"/>
      <w:bookmarkStart w:id="77" w:name="_Toc151193761"/>
      <w:r>
        <w:rPr>
          <w:rFonts w:ascii="Times New Roman" w:hAnsi="Times New Roman" w:eastAsia="宋体"/>
          <w:color w:val="auto"/>
          <w:sz w:val="24"/>
          <w:szCs w:val="24"/>
          <w:highlight w:val="none"/>
        </w:rPr>
        <w:t>供应商须知资料表</w:t>
      </w:r>
    </w:p>
    <w:p w14:paraId="2EEE7E43">
      <w:pPr>
        <w:jc w:val="center"/>
        <w:rPr>
          <w:b/>
          <w:color w:val="auto"/>
          <w:sz w:val="24"/>
          <w:szCs w:val="24"/>
          <w:highlight w:val="none"/>
        </w:rPr>
      </w:pPr>
    </w:p>
    <w:p w14:paraId="0E6EA456">
      <w:pPr>
        <w:spacing w:line="360" w:lineRule="auto"/>
        <w:ind w:firstLine="480"/>
        <w:rPr>
          <w:color w:val="auto"/>
          <w:sz w:val="24"/>
          <w:szCs w:val="24"/>
          <w:highlight w:val="none"/>
        </w:rPr>
      </w:pPr>
      <w:r>
        <w:rPr>
          <w:color w:val="auto"/>
          <w:sz w:val="24"/>
          <w:szCs w:val="24"/>
          <w:highlight w:val="none"/>
        </w:rPr>
        <w:t>本表是对供应商须知的具体补充和修改，如有矛盾，均以本资料表为准。标记“</w:t>
      </w:r>
      <w:r>
        <w:rPr>
          <w:b/>
          <w:color w:val="auto"/>
          <w:sz w:val="24"/>
          <w:szCs w:val="24"/>
          <w:highlight w:val="none"/>
        </w:rPr>
        <w:t>■</w:t>
      </w:r>
      <w:r>
        <w:rPr>
          <w:color w:val="auto"/>
          <w:sz w:val="24"/>
          <w:szCs w:val="24"/>
          <w:highlight w:val="none"/>
        </w:rPr>
        <w:t>”的选项意为适用于本项目，标记“□”的选项意为不适用于本项目。</w:t>
      </w:r>
    </w:p>
    <w:tbl>
      <w:tblPr>
        <w:tblStyle w:val="53"/>
        <w:tblW w:w="98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81"/>
        <w:gridCol w:w="1690"/>
        <w:gridCol w:w="7208"/>
      </w:tblGrid>
      <w:tr w14:paraId="16E421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0" w:hRule="atLeast"/>
          <w:tblHeader/>
          <w:jc w:val="center"/>
        </w:trPr>
        <w:tc>
          <w:tcPr>
            <w:tcW w:w="981" w:type="dxa"/>
            <w:vAlign w:val="center"/>
          </w:tcPr>
          <w:p w14:paraId="45A34278">
            <w:pPr>
              <w:jc w:val="center"/>
              <w:rPr>
                <w:b/>
                <w:bCs/>
                <w:color w:val="auto"/>
                <w:sz w:val="24"/>
                <w:szCs w:val="24"/>
                <w:highlight w:val="none"/>
              </w:rPr>
            </w:pPr>
            <w:r>
              <w:rPr>
                <w:b/>
                <w:color w:val="auto"/>
                <w:sz w:val="24"/>
                <w:szCs w:val="24"/>
                <w:highlight w:val="none"/>
              </w:rPr>
              <w:t>条款号</w:t>
            </w:r>
          </w:p>
        </w:tc>
        <w:tc>
          <w:tcPr>
            <w:tcW w:w="1690" w:type="dxa"/>
            <w:vAlign w:val="center"/>
          </w:tcPr>
          <w:p w14:paraId="2339DD85">
            <w:pPr>
              <w:jc w:val="center"/>
              <w:rPr>
                <w:b/>
                <w:bCs/>
                <w:color w:val="auto"/>
                <w:sz w:val="24"/>
                <w:szCs w:val="24"/>
                <w:highlight w:val="none"/>
              </w:rPr>
            </w:pPr>
            <w:r>
              <w:rPr>
                <w:b/>
                <w:bCs/>
                <w:color w:val="auto"/>
                <w:sz w:val="24"/>
                <w:szCs w:val="24"/>
                <w:highlight w:val="none"/>
              </w:rPr>
              <w:t>条目</w:t>
            </w:r>
          </w:p>
        </w:tc>
        <w:tc>
          <w:tcPr>
            <w:tcW w:w="7208" w:type="dxa"/>
            <w:vAlign w:val="center"/>
          </w:tcPr>
          <w:p w14:paraId="7DF40EAE">
            <w:pPr>
              <w:jc w:val="center"/>
              <w:rPr>
                <w:b/>
                <w:bCs/>
                <w:color w:val="auto"/>
                <w:sz w:val="24"/>
                <w:szCs w:val="24"/>
                <w:highlight w:val="none"/>
              </w:rPr>
            </w:pPr>
            <w:r>
              <w:rPr>
                <w:b/>
                <w:bCs/>
                <w:color w:val="auto"/>
                <w:sz w:val="24"/>
                <w:szCs w:val="24"/>
                <w:highlight w:val="none"/>
              </w:rPr>
              <w:t>内容</w:t>
            </w:r>
          </w:p>
        </w:tc>
      </w:tr>
      <w:tr w14:paraId="39066F6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5" w:hRule="atLeast"/>
          <w:jc w:val="center"/>
        </w:trPr>
        <w:tc>
          <w:tcPr>
            <w:tcW w:w="981" w:type="dxa"/>
            <w:vAlign w:val="center"/>
          </w:tcPr>
          <w:p w14:paraId="48E4E6F7">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2.2</w:t>
            </w:r>
          </w:p>
        </w:tc>
        <w:tc>
          <w:tcPr>
            <w:tcW w:w="1690" w:type="dxa"/>
            <w:vAlign w:val="center"/>
          </w:tcPr>
          <w:p w14:paraId="107D5A90">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项目属性</w:t>
            </w:r>
          </w:p>
        </w:tc>
        <w:tc>
          <w:tcPr>
            <w:tcW w:w="7208" w:type="dxa"/>
            <w:vAlign w:val="center"/>
          </w:tcPr>
          <w:p w14:paraId="34080F12">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项目属性：</w:t>
            </w:r>
          </w:p>
          <w:p w14:paraId="3436E754">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□服务</w:t>
            </w:r>
          </w:p>
          <w:p w14:paraId="3955476D">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□货物</w:t>
            </w:r>
          </w:p>
          <w:p w14:paraId="17A1E622">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u w:val="single"/>
              </w:rPr>
            </w:pPr>
            <w:r>
              <w:rPr>
                <w:color w:val="auto"/>
                <w:sz w:val="24"/>
                <w:szCs w:val="24"/>
                <w:highlight w:val="none"/>
              </w:rPr>
              <w:t>■</w:t>
            </w:r>
            <w:r>
              <w:rPr>
                <w:rFonts w:hint="eastAsia"/>
                <w:color w:val="auto"/>
                <w:sz w:val="24"/>
                <w:szCs w:val="24"/>
                <w:highlight w:val="none"/>
              </w:rPr>
              <w:t>工程</w:t>
            </w:r>
          </w:p>
        </w:tc>
      </w:tr>
      <w:tr w14:paraId="78EA3A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1" w:type="dxa"/>
            <w:vAlign w:val="center"/>
          </w:tcPr>
          <w:p w14:paraId="46ECC671">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w:t>
            </w:r>
          </w:p>
        </w:tc>
        <w:tc>
          <w:tcPr>
            <w:tcW w:w="1690" w:type="dxa"/>
            <w:vAlign w:val="center"/>
          </w:tcPr>
          <w:p w14:paraId="0485B8D8">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科研仪器设备</w:t>
            </w:r>
          </w:p>
        </w:tc>
        <w:tc>
          <w:tcPr>
            <w:tcW w:w="7208" w:type="dxa"/>
            <w:vAlign w:val="center"/>
          </w:tcPr>
          <w:p w14:paraId="1910D724">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是否属于科研仪器设备采购项目：</w:t>
            </w:r>
          </w:p>
          <w:p w14:paraId="361A3B0C">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□是</w:t>
            </w:r>
          </w:p>
          <w:p w14:paraId="27581354">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■否</w:t>
            </w:r>
          </w:p>
        </w:tc>
      </w:tr>
      <w:tr w14:paraId="0F3998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1" w:type="dxa"/>
            <w:vMerge w:val="restart"/>
            <w:vAlign w:val="center"/>
          </w:tcPr>
          <w:p w14:paraId="4CD081A6">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3.1</w:t>
            </w:r>
          </w:p>
        </w:tc>
        <w:tc>
          <w:tcPr>
            <w:tcW w:w="1690" w:type="dxa"/>
            <w:vAlign w:val="center"/>
          </w:tcPr>
          <w:p w14:paraId="760AA886">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现场考察</w:t>
            </w:r>
          </w:p>
        </w:tc>
        <w:tc>
          <w:tcPr>
            <w:tcW w:w="7208" w:type="dxa"/>
            <w:vAlign w:val="center"/>
          </w:tcPr>
          <w:p w14:paraId="11F01A1D">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■不组织</w:t>
            </w:r>
          </w:p>
          <w:p w14:paraId="432680B5">
            <w:pPr>
              <w:keepNext w:val="0"/>
              <w:keepLines w:val="0"/>
              <w:pageBreakBefore w:val="0"/>
              <w:widowControl w:val="0"/>
              <w:kinsoku/>
              <w:wordWrap/>
              <w:overflowPunct/>
              <w:topLinePunct w:val="0"/>
              <w:autoSpaceDE/>
              <w:autoSpaceDN/>
              <w:bidi w:val="0"/>
              <w:spacing w:line="240" w:lineRule="auto"/>
              <w:ind w:left="0" w:leftChars="0"/>
              <w:jc w:val="left"/>
              <w:textAlignment w:val="auto"/>
              <w:rPr>
                <w:bCs/>
                <w:color w:val="auto"/>
                <w:sz w:val="24"/>
                <w:szCs w:val="24"/>
                <w:highlight w:val="none"/>
              </w:rPr>
            </w:pPr>
            <w:r>
              <w:rPr>
                <w:color w:val="auto"/>
                <w:sz w:val="24"/>
                <w:szCs w:val="24"/>
                <w:highlight w:val="none"/>
              </w:rPr>
              <w:t>□组织，考察时间：___</w:t>
            </w:r>
            <w:r>
              <w:rPr>
                <w:color w:val="auto"/>
                <w:sz w:val="24"/>
                <w:szCs w:val="24"/>
                <w:highlight w:val="none"/>
                <w:lang w:bidi="ar"/>
              </w:rPr>
              <w:t>年</w:t>
            </w:r>
            <w:r>
              <w:rPr>
                <w:color w:val="auto"/>
                <w:sz w:val="24"/>
                <w:szCs w:val="24"/>
                <w:highlight w:val="none"/>
              </w:rPr>
              <w:t>___</w:t>
            </w:r>
            <w:r>
              <w:rPr>
                <w:color w:val="auto"/>
                <w:sz w:val="24"/>
                <w:szCs w:val="24"/>
                <w:highlight w:val="none"/>
                <w:lang w:bidi="ar"/>
              </w:rPr>
              <w:t>月</w:t>
            </w:r>
            <w:r>
              <w:rPr>
                <w:color w:val="auto"/>
                <w:sz w:val="24"/>
                <w:szCs w:val="24"/>
                <w:highlight w:val="none"/>
              </w:rPr>
              <w:t>___</w:t>
            </w:r>
            <w:r>
              <w:rPr>
                <w:color w:val="auto"/>
                <w:sz w:val="24"/>
                <w:szCs w:val="24"/>
                <w:highlight w:val="none"/>
                <w:lang w:bidi="ar"/>
              </w:rPr>
              <w:t>日</w:t>
            </w:r>
            <w:r>
              <w:rPr>
                <w:color w:val="auto"/>
                <w:sz w:val="24"/>
                <w:szCs w:val="24"/>
                <w:highlight w:val="none"/>
              </w:rPr>
              <w:t>___</w:t>
            </w:r>
            <w:r>
              <w:rPr>
                <w:color w:val="auto"/>
                <w:sz w:val="24"/>
                <w:szCs w:val="24"/>
                <w:highlight w:val="none"/>
                <w:lang w:bidi="ar"/>
              </w:rPr>
              <w:t>点</w:t>
            </w:r>
            <w:r>
              <w:rPr>
                <w:color w:val="auto"/>
                <w:sz w:val="24"/>
                <w:szCs w:val="24"/>
                <w:highlight w:val="none"/>
              </w:rPr>
              <w:t>___</w:t>
            </w:r>
            <w:r>
              <w:rPr>
                <w:color w:val="auto"/>
                <w:sz w:val="24"/>
                <w:szCs w:val="24"/>
                <w:highlight w:val="none"/>
                <w:lang w:bidi="ar"/>
              </w:rPr>
              <w:t>分</w:t>
            </w:r>
          </w:p>
          <w:p w14:paraId="3724861B">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考察地点：___________</w:t>
            </w:r>
            <w:r>
              <w:rPr>
                <w:rFonts w:ascii="Times New Roman" w:hAnsi="Times New Roman"/>
                <w:color w:val="auto"/>
                <w:sz w:val="24"/>
                <w:szCs w:val="24"/>
                <w:highlight w:val="none"/>
              </w:rPr>
              <w:t>。</w:t>
            </w:r>
          </w:p>
        </w:tc>
      </w:tr>
      <w:tr w14:paraId="3CADDD0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6" w:hRule="atLeast"/>
          <w:jc w:val="center"/>
        </w:trPr>
        <w:tc>
          <w:tcPr>
            <w:tcW w:w="981" w:type="dxa"/>
            <w:vMerge w:val="continue"/>
            <w:vAlign w:val="center"/>
          </w:tcPr>
          <w:p w14:paraId="2F9450F6">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p>
        </w:tc>
        <w:tc>
          <w:tcPr>
            <w:tcW w:w="1690" w:type="dxa"/>
            <w:vAlign w:val="center"/>
          </w:tcPr>
          <w:p w14:paraId="67F2AD6E">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磋商前答疑会</w:t>
            </w:r>
          </w:p>
        </w:tc>
        <w:tc>
          <w:tcPr>
            <w:tcW w:w="7208" w:type="dxa"/>
            <w:vAlign w:val="center"/>
          </w:tcPr>
          <w:p w14:paraId="63F43A69">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■不召开</w:t>
            </w:r>
          </w:p>
          <w:p w14:paraId="2B71CC1A">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□召开，召开时间：___</w:t>
            </w:r>
            <w:r>
              <w:rPr>
                <w:color w:val="auto"/>
                <w:sz w:val="24"/>
                <w:szCs w:val="24"/>
                <w:highlight w:val="none"/>
                <w:lang w:bidi="ar"/>
              </w:rPr>
              <w:t>年</w:t>
            </w:r>
            <w:r>
              <w:rPr>
                <w:color w:val="auto"/>
                <w:sz w:val="24"/>
                <w:szCs w:val="24"/>
                <w:highlight w:val="none"/>
              </w:rPr>
              <w:t>___</w:t>
            </w:r>
            <w:r>
              <w:rPr>
                <w:color w:val="auto"/>
                <w:sz w:val="24"/>
                <w:szCs w:val="24"/>
                <w:highlight w:val="none"/>
                <w:lang w:bidi="ar"/>
              </w:rPr>
              <w:t>月</w:t>
            </w:r>
            <w:r>
              <w:rPr>
                <w:color w:val="auto"/>
                <w:sz w:val="24"/>
                <w:szCs w:val="24"/>
                <w:highlight w:val="none"/>
              </w:rPr>
              <w:t>___</w:t>
            </w:r>
            <w:r>
              <w:rPr>
                <w:color w:val="auto"/>
                <w:sz w:val="24"/>
                <w:szCs w:val="24"/>
                <w:highlight w:val="none"/>
                <w:lang w:bidi="ar"/>
              </w:rPr>
              <w:t>日</w:t>
            </w:r>
            <w:r>
              <w:rPr>
                <w:color w:val="auto"/>
                <w:sz w:val="24"/>
                <w:szCs w:val="24"/>
                <w:highlight w:val="none"/>
              </w:rPr>
              <w:t>___</w:t>
            </w:r>
            <w:r>
              <w:rPr>
                <w:color w:val="auto"/>
                <w:sz w:val="24"/>
                <w:szCs w:val="24"/>
                <w:highlight w:val="none"/>
                <w:lang w:bidi="ar"/>
              </w:rPr>
              <w:t>点</w:t>
            </w:r>
            <w:r>
              <w:rPr>
                <w:color w:val="auto"/>
                <w:sz w:val="24"/>
                <w:szCs w:val="24"/>
                <w:highlight w:val="none"/>
              </w:rPr>
              <w:t>___</w:t>
            </w:r>
            <w:r>
              <w:rPr>
                <w:color w:val="auto"/>
                <w:sz w:val="24"/>
                <w:szCs w:val="24"/>
                <w:highlight w:val="none"/>
                <w:lang w:bidi="ar"/>
              </w:rPr>
              <w:t>分</w:t>
            </w:r>
          </w:p>
          <w:p w14:paraId="47AFC1E2">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召开地点：___________</w:t>
            </w:r>
            <w:r>
              <w:rPr>
                <w:rFonts w:hint="eastAsia"/>
                <w:color w:val="auto"/>
                <w:sz w:val="24"/>
                <w:szCs w:val="24"/>
                <w:highlight w:val="none"/>
              </w:rPr>
              <w:t>。</w:t>
            </w:r>
          </w:p>
        </w:tc>
      </w:tr>
      <w:tr w14:paraId="74914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31" w:hRule="atLeast"/>
          <w:jc w:val="center"/>
        </w:trPr>
        <w:tc>
          <w:tcPr>
            <w:tcW w:w="981" w:type="dxa"/>
            <w:vAlign w:val="center"/>
          </w:tcPr>
          <w:p w14:paraId="75056541">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4.2.5</w:t>
            </w:r>
          </w:p>
        </w:tc>
        <w:tc>
          <w:tcPr>
            <w:tcW w:w="1690" w:type="dxa"/>
            <w:vAlign w:val="center"/>
          </w:tcPr>
          <w:p w14:paraId="6B0A5749">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标的所属行业</w:t>
            </w:r>
          </w:p>
        </w:tc>
        <w:tc>
          <w:tcPr>
            <w:tcW w:w="7208" w:type="dxa"/>
            <w:vAlign w:val="center"/>
          </w:tcPr>
          <w:p w14:paraId="06C38249">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本项目采购标的对应的中小企业划分标准所属行业：</w:t>
            </w:r>
          </w:p>
          <w:tbl>
            <w:tblPr>
              <w:tblStyle w:val="53"/>
              <w:tblW w:w="70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770"/>
              <w:gridCol w:w="3257"/>
            </w:tblGrid>
            <w:tr w14:paraId="61596E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0" w:type="dxa"/>
                  <w:tcBorders>
                    <w:top w:val="single" w:color="auto" w:sz="4" w:space="0"/>
                    <w:left w:val="single" w:color="auto" w:sz="4" w:space="0"/>
                    <w:bottom w:val="single" w:color="auto" w:sz="4" w:space="0"/>
                    <w:right w:val="single" w:color="auto" w:sz="4" w:space="0"/>
                  </w:tcBorders>
                  <w:vAlign w:val="center"/>
                </w:tcPr>
                <w:p w14:paraId="1569DA40">
                  <w:pPr>
                    <w:keepNext w:val="0"/>
                    <w:keepLines w:val="0"/>
                    <w:pageBreakBefore w:val="0"/>
                    <w:widowControl w:val="0"/>
                    <w:kinsoku/>
                    <w:wordWrap/>
                    <w:overflowPunct/>
                    <w:topLinePunct w:val="0"/>
                    <w:autoSpaceDE/>
                    <w:autoSpaceDN/>
                    <w:bidi w:val="0"/>
                    <w:spacing w:line="360" w:lineRule="auto"/>
                    <w:ind w:left="0" w:leftChars="0"/>
                    <w:jc w:val="center"/>
                    <w:textAlignment w:val="auto"/>
                    <w:rPr>
                      <w:bCs/>
                      <w:color w:val="auto"/>
                      <w:sz w:val="24"/>
                      <w:szCs w:val="24"/>
                      <w:highlight w:val="none"/>
                    </w:rPr>
                  </w:pPr>
                  <w:r>
                    <w:rPr>
                      <w:bCs/>
                      <w:color w:val="auto"/>
                      <w:sz w:val="24"/>
                      <w:szCs w:val="24"/>
                      <w:highlight w:val="none"/>
                    </w:rPr>
                    <w:t>标的名称</w:t>
                  </w:r>
                </w:p>
              </w:tc>
              <w:tc>
                <w:tcPr>
                  <w:tcW w:w="3257" w:type="dxa"/>
                  <w:tcBorders>
                    <w:top w:val="single" w:color="auto" w:sz="4" w:space="0"/>
                    <w:left w:val="single" w:color="auto" w:sz="4" w:space="0"/>
                    <w:bottom w:val="single" w:color="auto" w:sz="4" w:space="0"/>
                    <w:right w:val="single" w:color="auto" w:sz="4" w:space="0"/>
                  </w:tcBorders>
                  <w:vAlign w:val="center"/>
                </w:tcPr>
                <w:p w14:paraId="18E697C7">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中小企业划分标准所属行业</w:t>
                  </w:r>
                </w:p>
              </w:tc>
            </w:tr>
            <w:tr w14:paraId="6DBEA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trPr>
              <w:tc>
                <w:tcPr>
                  <w:tcW w:w="3770" w:type="dxa"/>
                  <w:tcBorders>
                    <w:top w:val="single" w:color="auto" w:sz="4" w:space="0"/>
                    <w:left w:val="single" w:color="auto" w:sz="4" w:space="0"/>
                    <w:bottom w:val="single" w:color="auto" w:sz="4" w:space="0"/>
                    <w:right w:val="single" w:color="auto" w:sz="4" w:space="0"/>
                  </w:tcBorders>
                  <w:vAlign w:val="center"/>
                </w:tcPr>
                <w:p w14:paraId="3EF31F71">
                  <w:pPr>
                    <w:keepNext w:val="0"/>
                    <w:keepLines w:val="0"/>
                    <w:pageBreakBefore w:val="0"/>
                    <w:widowControl w:val="0"/>
                    <w:kinsoku/>
                    <w:wordWrap/>
                    <w:overflowPunct/>
                    <w:topLinePunct w:val="0"/>
                    <w:autoSpaceDE/>
                    <w:autoSpaceDN/>
                    <w:bidi w:val="0"/>
                    <w:spacing w:line="360" w:lineRule="auto"/>
                    <w:ind w:left="0" w:leftChars="0"/>
                    <w:jc w:val="center"/>
                    <w:textAlignment w:val="auto"/>
                    <w:rPr>
                      <w:rFonts w:hint="eastAsia" w:eastAsia="宋体"/>
                      <w:bCs/>
                      <w:color w:val="auto"/>
                      <w:sz w:val="24"/>
                      <w:szCs w:val="24"/>
                      <w:highlight w:val="none"/>
                      <w:lang w:eastAsia="zh-CN"/>
                    </w:rPr>
                  </w:pPr>
                  <w:r>
                    <w:rPr>
                      <w:rFonts w:hint="eastAsia" w:ascii="宋体" w:hAnsi="宋体"/>
                      <w:color w:val="auto"/>
                      <w:sz w:val="24"/>
                      <w:szCs w:val="24"/>
                      <w:highlight w:val="none"/>
                      <w:lang w:eastAsia="zh-CN"/>
                    </w:rPr>
                    <w:t>北京大学附属中学丰台学校综合楼漏水维修项目</w:t>
                  </w:r>
                </w:p>
              </w:tc>
              <w:tc>
                <w:tcPr>
                  <w:tcW w:w="3257" w:type="dxa"/>
                  <w:tcBorders>
                    <w:top w:val="single" w:color="auto" w:sz="4" w:space="0"/>
                    <w:left w:val="single" w:color="auto" w:sz="4" w:space="0"/>
                    <w:bottom w:val="single" w:color="auto" w:sz="4" w:space="0"/>
                    <w:right w:val="single" w:color="auto" w:sz="4" w:space="0"/>
                  </w:tcBorders>
                  <w:vAlign w:val="center"/>
                </w:tcPr>
                <w:p w14:paraId="100A146F">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kern w:val="0"/>
                      <w:sz w:val="24"/>
                      <w:szCs w:val="24"/>
                      <w:highlight w:val="none"/>
                    </w:rPr>
                  </w:pPr>
                  <w:r>
                    <w:rPr>
                      <w:rFonts w:hint="eastAsia"/>
                      <w:color w:val="auto"/>
                      <w:kern w:val="0"/>
                      <w:sz w:val="24"/>
                      <w:szCs w:val="24"/>
                      <w:highlight w:val="none"/>
                    </w:rPr>
                    <w:t>（三）建筑业</w:t>
                  </w:r>
                </w:p>
              </w:tc>
            </w:tr>
          </w:tbl>
          <w:p w14:paraId="46F65E6D">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p>
        </w:tc>
      </w:tr>
      <w:tr w14:paraId="2C1900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4" w:hRule="atLeast"/>
          <w:jc w:val="center"/>
        </w:trPr>
        <w:tc>
          <w:tcPr>
            <w:tcW w:w="981" w:type="dxa"/>
            <w:vAlign w:val="center"/>
          </w:tcPr>
          <w:p w14:paraId="057387C7">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10.2</w:t>
            </w:r>
          </w:p>
        </w:tc>
        <w:tc>
          <w:tcPr>
            <w:tcW w:w="1690" w:type="dxa"/>
            <w:vAlign w:val="center"/>
          </w:tcPr>
          <w:p w14:paraId="3C2C9C75">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报价</w:t>
            </w:r>
          </w:p>
        </w:tc>
        <w:tc>
          <w:tcPr>
            <w:tcW w:w="7208" w:type="dxa"/>
            <w:vAlign w:val="center"/>
          </w:tcPr>
          <w:p w14:paraId="167B1311">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报价的特殊规定：</w:t>
            </w:r>
          </w:p>
          <w:p w14:paraId="0A972F7F">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□无</w:t>
            </w:r>
          </w:p>
          <w:p w14:paraId="6505D714">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■有，具体情形：</w:t>
            </w:r>
            <w:r>
              <w:rPr>
                <w:rFonts w:hint="eastAsia"/>
                <w:color w:val="auto"/>
                <w:sz w:val="24"/>
                <w:szCs w:val="24"/>
                <w:highlight w:val="none"/>
                <w:lang w:val="en-US" w:eastAsia="zh-CN"/>
              </w:rPr>
              <w:t>按工程量清单进行报价</w:t>
            </w:r>
            <w:r>
              <w:rPr>
                <w:color w:val="auto"/>
                <w:sz w:val="24"/>
                <w:szCs w:val="24"/>
                <w:highlight w:val="none"/>
              </w:rPr>
              <w:t>。</w:t>
            </w:r>
          </w:p>
        </w:tc>
      </w:tr>
      <w:tr w14:paraId="1F79A8E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99" w:hRule="atLeast"/>
          <w:jc w:val="center"/>
        </w:trPr>
        <w:tc>
          <w:tcPr>
            <w:tcW w:w="981" w:type="dxa"/>
            <w:vAlign w:val="center"/>
          </w:tcPr>
          <w:p w14:paraId="56256CCA">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11.1</w:t>
            </w:r>
          </w:p>
        </w:tc>
        <w:tc>
          <w:tcPr>
            <w:tcW w:w="1690" w:type="dxa"/>
            <w:vMerge w:val="restart"/>
            <w:vAlign w:val="center"/>
          </w:tcPr>
          <w:p w14:paraId="74CB5394">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磋商保证金</w:t>
            </w:r>
          </w:p>
        </w:tc>
        <w:tc>
          <w:tcPr>
            <w:tcW w:w="7208" w:type="dxa"/>
            <w:vAlign w:val="center"/>
          </w:tcPr>
          <w:p w14:paraId="37523892">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磋商保证金金额：</w:t>
            </w:r>
            <w:r>
              <w:rPr>
                <w:rFonts w:ascii="Times New Roman" w:hAnsi="Times New Roman"/>
                <w:color w:val="auto"/>
                <w:sz w:val="24"/>
                <w:szCs w:val="24"/>
                <w:highlight w:val="none"/>
              </w:rPr>
              <w:t>本项目不要求提供保证金</w:t>
            </w:r>
          </w:p>
          <w:p w14:paraId="685110C7">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01包：___________；</w:t>
            </w:r>
          </w:p>
          <w:p w14:paraId="08FD9709">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 包：___________</w:t>
            </w:r>
            <w:r>
              <w:rPr>
                <w:rFonts w:ascii="Times New Roman" w:hAnsi="Times New Roman"/>
                <w:color w:val="auto"/>
                <w:sz w:val="24"/>
                <w:szCs w:val="24"/>
                <w:highlight w:val="none"/>
              </w:rPr>
              <w:t>。</w:t>
            </w:r>
          </w:p>
          <w:p w14:paraId="0397E799">
            <w:pPr>
              <w:keepNext w:val="0"/>
              <w:keepLines w:val="0"/>
              <w:pageBreakBefore w:val="0"/>
              <w:widowControl w:val="0"/>
              <w:kinsoku/>
              <w:wordWrap/>
              <w:overflowPunct/>
              <w:topLinePunct w:val="0"/>
              <w:autoSpaceDE/>
              <w:autoSpaceDN/>
              <w:bidi w:val="0"/>
              <w:spacing w:line="240" w:lineRule="auto"/>
              <w:ind w:left="720" w:leftChars="0" w:hanging="720" w:hangingChars="300"/>
              <w:textAlignment w:val="auto"/>
              <w:rPr>
                <w:color w:val="auto"/>
                <w:sz w:val="24"/>
                <w:szCs w:val="24"/>
                <w:highlight w:val="none"/>
              </w:rPr>
            </w:pPr>
            <w:r>
              <w:rPr>
                <w:color w:val="auto"/>
                <w:sz w:val="24"/>
                <w:szCs w:val="24"/>
                <w:highlight w:val="none"/>
              </w:rPr>
              <w:t>磋商保证金收受人信息：</w:t>
            </w:r>
          </w:p>
          <w:p w14:paraId="759C9C50">
            <w:pPr>
              <w:keepNext w:val="0"/>
              <w:keepLines w:val="0"/>
              <w:pageBreakBefore w:val="0"/>
              <w:widowControl w:val="0"/>
              <w:kinsoku/>
              <w:wordWrap/>
              <w:overflowPunct/>
              <w:topLinePunct w:val="0"/>
              <w:autoSpaceDE/>
              <w:autoSpaceDN/>
              <w:bidi w:val="0"/>
              <w:spacing w:line="240" w:lineRule="auto"/>
              <w:ind w:left="720" w:leftChars="0" w:hanging="720" w:hangingChars="300"/>
              <w:textAlignment w:val="auto"/>
              <w:rPr>
                <w:rFonts w:hint="eastAsia" w:ascii="宋体" w:hAnsi="宋体"/>
                <w:color w:val="auto"/>
                <w:sz w:val="24"/>
                <w:szCs w:val="24"/>
                <w:highlight w:val="none"/>
              </w:rPr>
            </w:pPr>
            <w:r>
              <w:rPr>
                <w:rFonts w:hint="eastAsia" w:ascii="宋体" w:hAnsi="宋体"/>
                <w:color w:val="auto"/>
                <w:sz w:val="24"/>
                <w:szCs w:val="24"/>
                <w:highlight w:val="none"/>
              </w:rPr>
              <w:t>保证金汇款账户</w:t>
            </w:r>
          </w:p>
          <w:p w14:paraId="1425B10F">
            <w:pPr>
              <w:keepNext w:val="0"/>
              <w:keepLines w:val="0"/>
              <w:pageBreakBefore w:val="0"/>
              <w:widowControl w:val="0"/>
              <w:kinsoku/>
              <w:wordWrap/>
              <w:overflowPunct/>
              <w:topLinePunct w:val="0"/>
              <w:autoSpaceDE/>
              <w:autoSpaceDN/>
              <w:bidi w:val="0"/>
              <w:spacing w:line="240" w:lineRule="auto"/>
              <w:ind w:left="720" w:leftChars="0" w:hanging="720" w:hangingChars="3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开 户 名 称：</w:t>
            </w:r>
            <w:r>
              <w:rPr>
                <w:rFonts w:hint="eastAsia" w:ascii="宋体" w:hAnsi="宋体"/>
                <w:color w:val="auto"/>
                <w:sz w:val="24"/>
                <w:szCs w:val="24"/>
                <w:highlight w:val="none"/>
                <w:lang w:eastAsia="zh-CN"/>
              </w:rPr>
              <w:t>北京东方宏正工程管理有限公司</w:t>
            </w:r>
          </w:p>
          <w:p w14:paraId="05065A01">
            <w:pPr>
              <w:keepNext w:val="0"/>
              <w:keepLines w:val="0"/>
              <w:pageBreakBefore w:val="0"/>
              <w:widowControl w:val="0"/>
              <w:kinsoku/>
              <w:wordWrap/>
              <w:overflowPunct/>
              <w:topLinePunct w:val="0"/>
              <w:autoSpaceDE/>
              <w:autoSpaceDN/>
              <w:bidi w:val="0"/>
              <w:spacing w:line="240" w:lineRule="auto"/>
              <w:ind w:left="720" w:leftChars="0" w:hanging="720" w:hangingChars="300"/>
              <w:textAlignment w:val="auto"/>
              <w:rPr>
                <w:rFonts w:hint="eastAsia" w:ascii="宋体" w:hAnsi="宋体" w:eastAsia="宋体"/>
                <w:color w:val="auto"/>
                <w:sz w:val="24"/>
                <w:szCs w:val="24"/>
                <w:highlight w:val="none"/>
                <w:lang w:eastAsia="zh-CN"/>
              </w:rPr>
            </w:pPr>
            <w:r>
              <w:rPr>
                <w:rFonts w:hint="eastAsia" w:ascii="宋体" w:hAnsi="宋体"/>
                <w:color w:val="auto"/>
                <w:sz w:val="24"/>
                <w:szCs w:val="24"/>
                <w:highlight w:val="none"/>
              </w:rPr>
              <w:t>开 户 银 行：</w:t>
            </w:r>
            <w:r>
              <w:rPr>
                <w:rFonts w:hint="eastAsia" w:ascii="宋体" w:hAnsi="宋体"/>
                <w:color w:val="auto"/>
                <w:sz w:val="24"/>
                <w:szCs w:val="24"/>
                <w:highlight w:val="none"/>
                <w:lang w:eastAsia="zh-CN"/>
              </w:rPr>
              <w:t>招商银行北京建国路支行</w:t>
            </w:r>
          </w:p>
          <w:p w14:paraId="5FB78BC3">
            <w:pPr>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帐号：</w:t>
            </w:r>
            <w:r>
              <w:rPr>
                <w:rFonts w:hint="eastAsia" w:ascii="宋体" w:hAnsi="宋体"/>
                <w:color w:val="auto"/>
                <w:sz w:val="24"/>
                <w:szCs w:val="24"/>
                <w:highlight w:val="none"/>
                <w:lang w:eastAsia="zh-CN"/>
              </w:rPr>
              <w:t>110927695310901</w:t>
            </w:r>
          </w:p>
          <w:p w14:paraId="74172538">
            <w:pPr>
              <w:keepNext w:val="0"/>
              <w:keepLines w:val="0"/>
              <w:pageBreakBefore w:val="0"/>
              <w:widowControl w:val="0"/>
              <w:kinsoku/>
              <w:wordWrap/>
              <w:overflowPunct/>
              <w:topLinePunct w:val="0"/>
              <w:autoSpaceDE/>
              <w:autoSpaceDN/>
              <w:bidi w:val="0"/>
              <w:spacing w:line="240" w:lineRule="auto"/>
              <w:ind w:left="0" w:leftChars="0"/>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lang w:eastAsia="zh-CN"/>
              </w:rPr>
              <w:t>备注：需要备注项目编号（包号）或简称（此备注仅供财务查收提供便利条件，不作为判定投标保证金是否有效的依据）</w:t>
            </w:r>
          </w:p>
        </w:tc>
      </w:tr>
      <w:tr w14:paraId="442325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9" w:hRule="atLeast"/>
          <w:jc w:val="center"/>
        </w:trPr>
        <w:tc>
          <w:tcPr>
            <w:tcW w:w="981" w:type="dxa"/>
            <w:vAlign w:val="center"/>
          </w:tcPr>
          <w:p w14:paraId="1951A9CB">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11.</w:t>
            </w:r>
            <w:r>
              <w:rPr>
                <w:rFonts w:hint="eastAsia" w:ascii="Times New Roman" w:hAnsi="Times New Roman"/>
                <w:color w:val="auto"/>
                <w:sz w:val="24"/>
                <w:szCs w:val="24"/>
                <w:highlight w:val="none"/>
                <w:lang w:val="en-US" w:eastAsia="zh-CN"/>
              </w:rPr>
              <w:t>8</w:t>
            </w:r>
            <w:r>
              <w:rPr>
                <w:rFonts w:hint="default" w:ascii="Times New Roman" w:hAnsi="Times New Roman"/>
                <w:color w:val="auto"/>
                <w:sz w:val="24"/>
                <w:szCs w:val="24"/>
                <w:highlight w:val="none"/>
              </w:rPr>
              <w:t>.5</w:t>
            </w:r>
          </w:p>
        </w:tc>
        <w:tc>
          <w:tcPr>
            <w:tcW w:w="1690" w:type="dxa"/>
            <w:vMerge w:val="continue"/>
            <w:vAlign w:val="center"/>
          </w:tcPr>
          <w:p w14:paraId="6CEB9E98">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p>
        </w:tc>
        <w:tc>
          <w:tcPr>
            <w:tcW w:w="7208" w:type="dxa"/>
            <w:vAlign w:val="center"/>
          </w:tcPr>
          <w:p w14:paraId="263022DC">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磋商保证金不予退还的其他情形：</w:t>
            </w:r>
          </w:p>
          <w:p w14:paraId="1FB60C4B">
            <w:pPr>
              <w:keepNext w:val="0"/>
              <w:keepLines w:val="0"/>
              <w:pageBreakBefore w:val="0"/>
              <w:widowControl w:val="0"/>
              <w:kinsoku/>
              <w:wordWrap/>
              <w:overflowPunct/>
              <w:topLinePunct w:val="0"/>
              <w:autoSpaceDE/>
              <w:autoSpaceDN/>
              <w:bidi w:val="0"/>
              <w:spacing w:line="240" w:lineRule="auto"/>
              <w:ind w:left="0" w:leftChars="0"/>
              <w:jc w:val="left"/>
              <w:textAlignment w:val="auto"/>
              <w:rPr>
                <w:color w:val="auto"/>
                <w:sz w:val="24"/>
                <w:szCs w:val="24"/>
                <w:highlight w:val="none"/>
              </w:rPr>
            </w:pPr>
            <w:r>
              <w:rPr>
                <w:color w:val="auto"/>
                <w:sz w:val="24"/>
                <w:szCs w:val="24"/>
                <w:highlight w:val="none"/>
              </w:rPr>
              <w:t>■无</w:t>
            </w:r>
          </w:p>
          <w:p w14:paraId="26025FD5">
            <w:pPr>
              <w:pStyle w:val="29"/>
              <w:keepNext w:val="0"/>
              <w:keepLines w:val="0"/>
              <w:pageBreakBefore w:val="0"/>
              <w:widowControl w:val="0"/>
              <w:kinsoku/>
              <w:wordWrap/>
              <w:overflowPunct/>
              <w:topLinePunct w:val="0"/>
              <w:autoSpaceDE/>
              <w:autoSpaceDN/>
              <w:bidi w:val="0"/>
              <w:adjustRightInd w:val="0"/>
              <w:snapToGrid w:val="0"/>
              <w:spacing w:line="24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□有，具体情形：___________。</w:t>
            </w:r>
          </w:p>
        </w:tc>
      </w:tr>
      <w:tr w14:paraId="7A6F7D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81" w:type="dxa"/>
            <w:vAlign w:val="center"/>
          </w:tcPr>
          <w:p w14:paraId="1371D940">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12.1</w:t>
            </w:r>
          </w:p>
        </w:tc>
        <w:tc>
          <w:tcPr>
            <w:tcW w:w="1690" w:type="dxa"/>
            <w:vAlign w:val="center"/>
          </w:tcPr>
          <w:p w14:paraId="11A826EC">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响应有效期</w:t>
            </w:r>
          </w:p>
        </w:tc>
        <w:tc>
          <w:tcPr>
            <w:tcW w:w="7208" w:type="dxa"/>
            <w:vAlign w:val="center"/>
          </w:tcPr>
          <w:p w14:paraId="7AE9E7D3">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自提交响应文件的截止之日起算</w:t>
            </w:r>
            <w:r>
              <w:rPr>
                <w:rFonts w:hint="eastAsia"/>
                <w:color w:val="auto"/>
                <w:sz w:val="24"/>
                <w:szCs w:val="24"/>
                <w:highlight w:val="none"/>
              </w:rPr>
              <w:t>90</w:t>
            </w:r>
            <w:r>
              <w:rPr>
                <w:color w:val="auto"/>
                <w:sz w:val="24"/>
                <w:szCs w:val="24"/>
                <w:highlight w:val="none"/>
              </w:rPr>
              <w:t>日历天。</w:t>
            </w:r>
          </w:p>
        </w:tc>
      </w:tr>
      <w:tr w14:paraId="01C536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71" w:hRule="atLeast"/>
          <w:jc w:val="center"/>
        </w:trPr>
        <w:tc>
          <w:tcPr>
            <w:tcW w:w="981" w:type="dxa"/>
            <w:vAlign w:val="center"/>
          </w:tcPr>
          <w:p w14:paraId="6CED9E57">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eastAsia="宋体"/>
                <w:color w:val="auto"/>
                <w:sz w:val="24"/>
                <w:szCs w:val="24"/>
                <w:highlight w:val="none"/>
                <w:lang w:val="en-US" w:eastAsia="zh-CN"/>
              </w:rPr>
            </w:pPr>
            <w:r>
              <w:rPr>
                <w:rFonts w:hint="eastAsia" w:ascii="Times New Roman" w:hAnsi="Times New Roman"/>
                <w:color w:val="auto"/>
                <w:sz w:val="24"/>
                <w:szCs w:val="24"/>
                <w:highlight w:val="none"/>
                <w:lang w:val="en-US" w:eastAsia="zh-CN"/>
              </w:rPr>
              <w:t>14.1</w:t>
            </w:r>
          </w:p>
        </w:tc>
        <w:tc>
          <w:tcPr>
            <w:tcW w:w="1690" w:type="dxa"/>
            <w:vAlign w:val="center"/>
          </w:tcPr>
          <w:p w14:paraId="1D806D9C">
            <w:pPr>
              <w:keepNext w:val="0"/>
              <w:keepLines w:val="0"/>
              <w:widowControl/>
              <w:suppressLineNumbers w:val="0"/>
              <w:jc w:val="center"/>
              <w:rPr>
                <w:color w:val="auto"/>
                <w:sz w:val="24"/>
                <w:szCs w:val="24"/>
                <w:highlight w:val="none"/>
              </w:rPr>
            </w:pPr>
            <w:r>
              <w:rPr>
                <w:rFonts w:eastAsiaTheme="minorEastAsia"/>
                <w:color w:val="auto"/>
                <w:sz w:val="24"/>
                <w:szCs w:val="24"/>
                <w:highlight w:val="none"/>
              </w:rPr>
              <w:t>响应文件的提交</w:t>
            </w:r>
          </w:p>
        </w:tc>
        <w:tc>
          <w:tcPr>
            <w:tcW w:w="7208" w:type="dxa"/>
            <w:vAlign w:val="center"/>
          </w:tcPr>
          <w:p w14:paraId="29E5F602">
            <w:pPr>
              <w:keepNext w:val="0"/>
              <w:keepLines w:val="0"/>
              <w:widowControl/>
              <w:suppressLineNumbers w:val="0"/>
              <w:jc w:val="left"/>
              <w:rPr>
                <w:color w:val="auto"/>
                <w:sz w:val="24"/>
                <w:szCs w:val="24"/>
                <w:highlight w:val="none"/>
              </w:rPr>
            </w:pPr>
            <w:r>
              <w:rPr>
                <w:rFonts w:hint="eastAsia" w:ascii="宋体" w:hAnsi="宋体"/>
                <w:color w:val="auto"/>
                <w:sz w:val="24"/>
                <w:szCs w:val="24"/>
                <w:highlight w:val="none"/>
                <w:lang w:val="en-US" w:eastAsia="zh-CN"/>
              </w:rPr>
              <w:t>供应商应在响应文件递交截止时间前在</w:t>
            </w:r>
            <w:r>
              <w:rPr>
                <w:rFonts w:eastAsiaTheme="minorEastAsia"/>
                <w:color w:val="auto"/>
                <w:sz w:val="24"/>
                <w:szCs w:val="24"/>
                <w:highlight w:val="none"/>
                <w:lang w:bidi="ar"/>
              </w:rPr>
              <w:t>北京市政府采购电子交易平台</w:t>
            </w:r>
            <w:r>
              <w:rPr>
                <w:rFonts w:hint="eastAsia" w:eastAsiaTheme="minorEastAsia"/>
                <w:color w:val="auto"/>
                <w:sz w:val="24"/>
                <w:szCs w:val="24"/>
                <w:highlight w:val="none"/>
                <w:lang w:val="en-US" w:eastAsia="zh-CN" w:bidi="ar"/>
              </w:rPr>
              <w:t>上传电子盖章版本的响应文件。</w:t>
            </w:r>
          </w:p>
        </w:tc>
      </w:tr>
      <w:tr w14:paraId="0EC5D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1" w:type="dxa"/>
            <w:vAlign w:val="center"/>
          </w:tcPr>
          <w:p w14:paraId="4B9BCFA1">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ascii="Times New Roman" w:hAnsi="Times New Roman" w:eastAsiaTheme="minorEastAsia"/>
                <w:color w:val="auto"/>
                <w:sz w:val="24"/>
                <w:szCs w:val="24"/>
                <w:highlight w:val="none"/>
              </w:rPr>
              <w:t>17.2</w:t>
            </w:r>
          </w:p>
        </w:tc>
        <w:tc>
          <w:tcPr>
            <w:tcW w:w="1690" w:type="dxa"/>
            <w:vAlign w:val="center"/>
          </w:tcPr>
          <w:p w14:paraId="045A40F8">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rFonts w:hint="eastAsia" w:eastAsiaTheme="minorEastAsia"/>
                <w:color w:val="auto"/>
                <w:sz w:val="24"/>
                <w:szCs w:val="24"/>
                <w:highlight w:val="none"/>
              </w:rPr>
              <w:t>解密时间</w:t>
            </w:r>
          </w:p>
        </w:tc>
        <w:tc>
          <w:tcPr>
            <w:tcW w:w="7208" w:type="dxa"/>
            <w:vAlign w:val="center"/>
          </w:tcPr>
          <w:p w14:paraId="442E0A79">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rFonts w:hint="eastAsia" w:ascii="宋体" w:hAnsi="宋体"/>
                <w:color w:val="auto"/>
                <w:sz w:val="24"/>
                <w:szCs w:val="24"/>
                <w:highlight w:val="none"/>
              </w:rPr>
              <w:t>解密时间：</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u w:val="single"/>
                <w:lang w:val="en-US" w:eastAsia="zh-CN"/>
              </w:rPr>
              <w:t>15</w:t>
            </w:r>
            <w:r>
              <w:rPr>
                <w:rFonts w:hint="eastAsia" w:ascii="宋体" w:hAnsi="宋体"/>
                <w:color w:val="auto"/>
                <w:sz w:val="24"/>
                <w:szCs w:val="24"/>
                <w:highlight w:val="none"/>
                <w:u w:val="single"/>
              </w:rPr>
              <w:t xml:space="preserve"> </w:t>
            </w:r>
            <w:r>
              <w:rPr>
                <w:rFonts w:hint="eastAsia" w:ascii="宋体" w:hAnsi="宋体"/>
                <w:color w:val="auto"/>
                <w:sz w:val="24"/>
                <w:szCs w:val="24"/>
                <w:highlight w:val="none"/>
              </w:rPr>
              <w:t>分钟</w:t>
            </w:r>
          </w:p>
        </w:tc>
      </w:tr>
      <w:tr w14:paraId="6871F3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95" w:hRule="atLeast"/>
          <w:jc w:val="center"/>
        </w:trPr>
        <w:tc>
          <w:tcPr>
            <w:tcW w:w="981" w:type="dxa"/>
            <w:vAlign w:val="center"/>
          </w:tcPr>
          <w:p w14:paraId="222B3DC7">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20.1</w:t>
            </w:r>
          </w:p>
        </w:tc>
        <w:tc>
          <w:tcPr>
            <w:tcW w:w="1690" w:type="dxa"/>
            <w:vAlign w:val="center"/>
          </w:tcPr>
          <w:p w14:paraId="6FEDAEEA">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成交供应商的确认</w:t>
            </w:r>
          </w:p>
        </w:tc>
        <w:tc>
          <w:tcPr>
            <w:tcW w:w="7208" w:type="dxa"/>
            <w:vAlign w:val="center"/>
          </w:tcPr>
          <w:p w14:paraId="0C5C4CF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采购人是否授权磋商小组直接确定成交供应商：</w:t>
            </w:r>
          </w:p>
          <w:p w14:paraId="4C020A55">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■否</w:t>
            </w:r>
          </w:p>
          <w:p w14:paraId="05532DDB">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□是</w:t>
            </w:r>
          </w:p>
          <w:p w14:paraId="6312EF44">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u w:val="single"/>
              </w:rPr>
            </w:pPr>
            <w:r>
              <w:rPr>
                <w:color w:val="auto"/>
                <w:sz w:val="24"/>
                <w:szCs w:val="24"/>
                <w:highlight w:val="none"/>
              </w:rPr>
              <w:t>成交候选人并列的，按照以下方式确定成交供应商：</w:t>
            </w:r>
            <w:r>
              <w:rPr>
                <w:rFonts w:hint="eastAsia"/>
                <w:color w:val="auto"/>
                <w:sz w:val="24"/>
                <w:szCs w:val="24"/>
                <w:highlight w:val="none"/>
                <w:u w:val="single"/>
              </w:rPr>
              <w:t>得分相同的，按投标报价由低到高顺序确定</w:t>
            </w:r>
            <w:r>
              <w:rPr>
                <w:rFonts w:hint="eastAsia"/>
                <w:color w:val="auto"/>
                <w:sz w:val="24"/>
                <w:szCs w:val="24"/>
                <w:highlight w:val="none"/>
                <w:u w:val="single"/>
                <w:lang w:eastAsia="zh-CN"/>
              </w:rPr>
              <w:t>；</w:t>
            </w:r>
            <w:r>
              <w:rPr>
                <w:rFonts w:hint="eastAsia"/>
                <w:color w:val="auto"/>
                <w:sz w:val="24"/>
                <w:szCs w:val="24"/>
                <w:highlight w:val="none"/>
                <w:u w:val="single"/>
              </w:rPr>
              <w:t>得分且投标报价均相同的，以技术部分得分高者为中标人</w:t>
            </w:r>
            <w:r>
              <w:rPr>
                <w:rFonts w:hint="eastAsia"/>
                <w:color w:val="auto"/>
                <w:sz w:val="24"/>
                <w:szCs w:val="24"/>
                <w:highlight w:val="none"/>
                <w:u w:val="single"/>
                <w:lang w:eastAsia="zh-CN"/>
              </w:rPr>
              <w:t>；</w:t>
            </w:r>
            <w:r>
              <w:rPr>
                <w:rFonts w:hint="eastAsia"/>
                <w:color w:val="auto"/>
                <w:sz w:val="24"/>
                <w:szCs w:val="24"/>
                <w:highlight w:val="none"/>
                <w:u w:val="single"/>
              </w:rPr>
              <w:t>得分、投标报价、技术部分得分均相同的，以商务部分得分高者为中标人</w:t>
            </w:r>
            <w:r>
              <w:rPr>
                <w:rFonts w:hint="eastAsia"/>
                <w:color w:val="auto"/>
                <w:sz w:val="24"/>
                <w:szCs w:val="24"/>
                <w:highlight w:val="none"/>
                <w:u w:val="single"/>
                <w:lang w:eastAsia="zh-CN"/>
              </w:rPr>
              <w:t>；</w:t>
            </w:r>
            <w:r>
              <w:rPr>
                <w:rFonts w:hint="eastAsia"/>
                <w:color w:val="auto"/>
                <w:sz w:val="24"/>
                <w:szCs w:val="24"/>
                <w:highlight w:val="none"/>
                <w:u w:val="single"/>
              </w:rPr>
              <w:t>得分、投标报价技术部分得分、商务部分得分均相同的，随机抽取</w:t>
            </w:r>
            <w:r>
              <w:rPr>
                <w:rFonts w:hint="eastAsia"/>
                <w:color w:val="auto"/>
                <w:sz w:val="24"/>
                <w:szCs w:val="24"/>
                <w:highlight w:val="none"/>
              </w:rPr>
              <w:t>。</w:t>
            </w:r>
          </w:p>
        </w:tc>
      </w:tr>
      <w:tr w14:paraId="5AC65F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81" w:type="dxa"/>
            <w:vAlign w:val="center"/>
          </w:tcPr>
          <w:p w14:paraId="768BA9CA">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23.5</w:t>
            </w:r>
          </w:p>
        </w:tc>
        <w:tc>
          <w:tcPr>
            <w:tcW w:w="1690" w:type="dxa"/>
            <w:vAlign w:val="center"/>
          </w:tcPr>
          <w:p w14:paraId="66FDA869">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分包</w:t>
            </w:r>
          </w:p>
        </w:tc>
        <w:tc>
          <w:tcPr>
            <w:tcW w:w="7208" w:type="dxa"/>
            <w:vAlign w:val="center"/>
          </w:tcPr>
          <w:p w14:paraId="2C32B211">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 xml:space="preserve">本项目是否允许分包： </w:t>
            </w:r>
          </w:p>
          <w:p w14:paraId="2FE5FB90">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■不允许</w:t>
            </w:r>
          </w:p>
          <w:p w14:paraId="24F07E6F">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□允许，具体要求：</w:t>
            </w:r>
          </w:p>
          <w:p w14:paraId="392F27DD">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（1）可以分包履行的具体内容：</w:t>
            </w:r>
            <w:r>
              <w:rPr>
                <w:rFonts w:hint="eastAsia"/>
                <w:color w:val="auto"/>
                <w:sz w:val="24"/>
                <w:szCs w:val="24"/>
                <w:highlight w:val="none"/>
                <w:u w:val="single"/>
              </w:rPr>
              <w:t>非主体、非关键性工作</w:t>
            </w:r>
            <w:r>
              <w:rPr>
                <w:color w:val="auto"/>
                <w:sz w:val="24"/>
                <w:szCs w:val="24"/>
                <w:highlight w:val="none"/>
              </w:rPr>
              <w:t>；</w:t>
            </w:r>
          </w:p>
          <w:p w14:paraId="61192452">
            <w:pPr>
              <w:spacing w:line="360" w:lineRule="auto"/>
              <w:rPr>
                <w:color w:val="auto"/>
                <w:sz w:val="24"/>
                <w:szCs w:val="24"/>
                <w:highlight w:val="none"/>
              </w:rPr>
            </w:pPr>
            <w:r>
              <w:rPr>
                <w:color w:val="auto"/>
                <w:sz w:val="24"/>
                <w:szCs w:val="24"/>
                <w:highlight w:val="none"/>
              </w:rPr>
              <w:t>（2）允许分包的金额或者比例：</w:t>
            </w:r>
            <w:r>
              <w:rPr>
                <w:rFonts w:hint="eastAsia"/>
                <w:color w:val="auto"/>
                <w:sz w:val="24"/>
                <w:szCs w:val="24"/>
                <w:highlight w:val="none"/>
                <w:u w:val="single"/>
              </w:rPr>
              <w:t xml:space="preserve"> /  </w:t>
            </w:r>
            <w:r>
              <w:rPr>
                <w:color w:val="auto"/>
                <w:sz w:val="24"/>
                <w:szCs w:val="24"/>
                <w:highlight w:val="none"/>
              </w:rPr>
              <w:t>；</w:t>
            </w:r>
          </w:p>
          <w:p w14:paraId="1C93523B">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u w:val="single"/>
              </w:rPr>
            </w:pPr>
            <w:r>
              <w:rPr>
                <w:color w:val="auto"/>
                <w:sz w:val="24"/>
                <w:szCs w:val="24"/>
                <w:highlight w:val="none"/>
              </w:rPr>
              <w:t>（3）其他要求：</w:t>
            </w:r>
            <w:r>
              <w:rPr>
                <w:rFonts w:hint="eastAsia"/>
                <w:color w:val="auto"/>
                <w:sz w:val="24"/>
                <w:szCs w:val="24"/>
                <w:highlight w:val="none"/>
                <w:u w:val="single"/>
              </w:rPr>
              <w:t xml:space="preserve"> /  </w:t>
            </w:r>
            <w:r>
              <w:rPr>
                <w:color w:val="auto"/>
                <w:sz w:val="24"/>
                <w:szCs w:val="24"/>
                <w:highlight w:val="none"/>
              </w:rPr>
              <w:t>。</w:t>
            </w:r>
          </w:p>
        </w:tc>
      </w:tr>
      <w:tr w14:paraId="70A53A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47" w:hRule="atLeast"/>
          <w:jc w:val="center"/>
        </w:trPr>
        <w:tc>
          <w:tcPr>
            <w:tcW w:w="981" w:type="dxa"/>
            <w:vAlign w:val="center"/>
          </w:tcPr>
          <w:p w14:paraId="643D82D7">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ascii="Times New Roman" w:hAnsi="Times New Roman"/>
                <w:color w:val="auto"/>
                <w:sz w:val="24"/>
                <w:szCs w:val="24"/>
                <w:highlight w:val="none"/>
              </w:rPr>
              <w:t>22.6</w:t>
            </w:r>
          </w:p>
        </w:tc>
        <w:tc>
          <w:tcPr>
            <w:tcW w:w="1690" w:type="dxa"/>
            <w:vAlign w:val="center"/>
          </w:tcPr>
          <w:p w14:paraId="2F0FACA9">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rFonts w:hint="eastAsia"/>
                <w:color w:val="auto"/>
                <w:sz w:val="24"/>
                <w:szCs w:val="24"/>
                <w:highlight w:val="none"/>
              </w:rPr>
              <w:t>政采贷</w:t>
            </w:r>
          </w:p>
        </w:tc>
        <w:tc>
          <w:tcPr>
            <w:tcW w:w="7208" w:type="dxa"/>
            <w:vAlign w:val="center"/>
          </w:tcPr>
          <w:p w14:paraId="1B1EAE50">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rFonts w:hint="eastAsia" w:asciiTheme="minorEastAsia" w:hAnsiTheme="minorEastAsia" w:eastAsiaTheme="minorEastAsia" w:cstheme="minorEastAsia"/>
                <w:color w:val="auto"/>
                <w:kern w:val="0"/>
                <w:sz w:val="24"/>
                <w:szCs w:val="24"/>
                <w:highlight w:val="none"/>
              </w:rPr>
              <w:t>为更大力度激发市场活力和社会创造力，增强发展动力，按照《北京市全面优化营商环境助力企业高质量发展实施方案》（京政办发〔2023〕8号）部署，进一步加强政府采购合同线上融资“一站式”服务（以下简称“政采贷”），北京市财政局、中国人民银行营业管理部联合发布《关于推进政府采购合同线上融资有关工作的通知》（京财采购〔2023〕637号）。有需求的供应商，可按上述通知要求办理“政采贷”。</w:t>
            </w:r>
          </w:p>
        </w:tc>
      </w:tr>
      <w:tr w14:paraId="04BD78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981" w:type="dxa"/>
            <w:vAlign w:val="center"/>
          </w:tcPr>
          <w:p w14:paraId="0740EE79">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24.1.1</w:t>
            </w:r>
          </w:p>
        </w:tc>
        <w:tc>
          <w:tcPr>
            <w:tcW w:w="1690" w:type="dxa"/>
            <w:vAlign w:val="center"/>
          </w:tcPr>
          <w:p w14:paraId="610951BA">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询问</w:t>
            </w:r>
          </w:p>
        </w:tc>
        <w:tc>
          <w:tcPr>
            <w:tcW w:w="7208" w:type="dxa"/>
            <w:vAlign w:val="center"/>
          </w:tcPr>
          <w:p w14:paraId="3D912822">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询问送达形式：</w:t>
            </w:r>
            <w:r>
              <w:rPr>
                <w:rFonts w:hint="eastAsia"/>
                <w:color w:val="auto"/>
                <w:sz w:val="24"/>
                <w:szCs w:val="24"/>
                <w:highlight w:val="none"/>
              </w:rPr>
              <w:t>递交纸质文件</w:t>
            </w:r>
            <w:r>
              <w:rPr>
                <w:color w:val="auto"/>
                <w:sz w:val="24"/>
                <w:szCs w:val="24"/>
                <w:highlight w:val="none"/>
              </w:rPr>
              <w:t>。</w:t>
            </w:r>
          </w:p>
        </w:tc>
      </w:tr>
      <w:tr w14:paraId="6737012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02" w:hRule="atLeast"/>
          <w:jc w:val="center"/>
        </w:trPr>
        <w:tc>
          <w:tcPr>
            <w:tcW w:w="981" w:type="dxa"/>
            <w:vAlign w:val="center"/>
          </w:tcPr>
          <w:p w14:paraId="73D1BDC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24.3</w:t>
            </w:r>
          </w:p>
        </w:tc>
        <w:tc>
          <w:tcPr>
            <w:tcW w:w="1690" w:type="dxa"/>
            <w:vAlign w:val="center"/>
          </w:tcPr>
          <w:p w14:paraId="506B3850">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联系方式</w:t>
            </w:r>
          </w:p>
        </w:tc>
        <w:tc>
          <w:tcPr>
            <w:tcW w:w="7208" w:type="dxa"/>
            <w:vAlign w:val="center"/>
          </w:tcPr>
          <w:p w14:paraId="3C5C42FC">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接收询问和质疑的联系方式</w:t>
            </w:r>
          </w:p>
          <w:p w14:paraId="3A8282EE">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联系部门：</w:t>
            </w:r>
            <w:r>
              <w:rPr>
                <w:rFonts w:hint="eastAsia"/>
                <w:color w:val="auto"/>
                <w:sz w:val="24"/>
                <w:szCs w:val="24"/>
                <w:highlight w:val="none"/>
                <w:lang w:eastAsia="zh-CN"/>
              </w:rPr>
              <w:t>北京东方宏正工程管理有限公司</w:t>
            </w:r>
            <w:r>
              <w:rPr>
                <w:color w:val="auto"/>
                <w:sz w:val="24"/>
                <w:szCs w:val="24"/>
                <w:highlight w:val="none"/>
              </w:rPr>
              <w:t>；</w:t>
            </w:r>
          </w:p>
          <w:p w14:paraId="3BE5C5F1">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联系电话：</w:t>
            </w:r>
            <w:r>
              <w:rPr>
                <w:rFonts w:hint="eastAsia"/>
                <w:color w:val="auto"/>
                <w:sz w:val="24"/>
                <w:szCs w:val="24"/>
                <w:highlight w:val="none"/>
                <w:lang w:val="en-US" w:eastAsia="zh-CN"/>
              </w:rPr>
              <w:t>13661056807</w:t>
            </w:r>
            <w:r>
              <w:rPr>
                <w:color w:val="auto"/>
                <w:sz w:val="24"/>
                <w:szCs w:val="24"/>
                <w:highlight w:val="none"/>
              </w:rPr>
              <w:t>；</w:t>
            </w:r>
          </w:p>
          <w:p w14:paraId="78E79473">
            <w:pPr>
              <w:keepNext w:val="0"/>
              <w:keepLines w:val="0"/>
              <w:pageBreakBefore w:val="0"/>
              <w:widowControl w:val="0"/>
              <w:kinsoku/>
              <w:wordWrap/>
              <w:overflowPunct/>
              <w:topLinePunct w:val="0"/>
              <w:autoSpaceDE/>
              <w:autoSpaceDN/>
              <w:bidi w:val="0"/>
              <w:spacing w:line="360" w:lineRule="auto"/>
              <w:ind w:left="0" w:leftChars="0"/>
              <w:jc w:val="left"/>
              <w:textAlignment w:val="auto"/>
              <w:rPr>
                <w:color w:val="auto"/>
                <w:sz w:val="24"/>
                <w:szCs w:val="24"/>
                <w:highlight w:val="none"/>
              </w:rPr>
            </w:pPr>
            <w:r>
              <w:rPr>
                <w:color w:val="auto"/>
                <w:sz w:val="24"/>
                <w:szCs w:val="24"/>
                <w:highlight w:val="none"/>
              </w:rPr>
              <w:t>通讯地址：</w:t>
            </w:r>
            <w:r>
              <w:rPr>
                <w:rFonts w:hint="eastAsia" w:ascii="宋体" w:hAnsi="宋体"/>
                <w:color w:val="auto"/>
                <w:sz w:val="24"/>
                <w:szCs w:val="24"/>
                <w:highlight w:val="none"/>
                <w:lang w:eastAsia="zh-CN"/>
              </w:rPr>
              <w:t>北京市丰台区汽车博物馆东路盈坤世纪G座902A</w:t>
            </w:r>
            <w:r>
              <w:rPr>
                <w:color w:val="auto"/>
                <w:sz w:val="24"/>
                <w:szCs w:val="24"/>
                <w:highlight w:val="none"/>
              </w:rPr>
              <w:t>。</w:t>
            </w:r>
          </w:p>
        </w:tc>
      </w:tr>
      <w:tr w14:paraId="6204FD0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7" w:hRule="atLeast"/>
          <w:jc w:val="center"/>
        </w:trPr>
        <w:tc>
          <w:tcPr>
            <w:tcW w:w="981" w:type="dxa"/>
            <w:vAlign w:val="center"/>
          </w:tcPr>
          <w:p w14:paraId="44350FDC">
            <w:pPr>
              <w:pStyle w:val="29"/>
              <w:keepNext w:val="0"/>
              <w:keepLines w:val="0"/>
              <w:pageBreakBefore w:val="0"/>
              <w:widowControl w:val="0"/>
              <w:kinsoku/>
              <w:wordWrap/>
              <w:overflowPunct/>
              <w:topLinePunct w:val="0"/>
              <w:autoSpaceDE/>
              <w:autoSpaceDN/>
              <w:bidi w:val="0"/>
              <w:adjustRightInd w:val="0"/>
              <w:snapToGrid w:val="0"/>
              <w:spacing w:line="360" w:lineRule="auto"/>
              <w:ind w:left="0" w:leftChars="0"/>
              <w:jc w:val="center"/>
              <w:textAlignment w:val="auto"/>
              <w:rPr>
                <w:rFonts w:hint="default" w:ascii="Times New Roman" w:hAnsi="Times New Roman"/>
                <w:color w:val="auto"/>
                <w:sz w:val="24"/>
                <w:szCs w:val="24"/>
                <w:highlight w:val="none"/>
              </w:rPr>
            </w:pPr>
            <w:r>
              <w:rPr>
                <w:rFonts w:hint="default" w:ascii="Times New Roman" w:hAnsi="Times New Roman"/>
                <w:color w:val="auto"/>
                <w:sz w:val="24"/>
                <w:szCs w:val="24"/>
                <w:highlight w:val="none"/>
              </w:rPr>
              <w:t>25</w:t>
            </w:r>
          </w:p>
        </w:tc>
        <w:tc>
          <w:tcPr>
            <w:tcW w:w="1690" w:type="dxa"/>
            <w:vAlign w:val="center"/>
          </w:tcPr>
          <w:p w14:paraId="42AE5612">
            <w:pPr>
              <w:keepNext w:val="0"/>
              <w:keepLines w:val="0"/>
              <w:pageBreakBefore w:val="0"/>
              <w:widowControl w:val="0"/>
              <w:kinsoku/>
              <w:wordWrap/>
              <w:overflowPunct/>
              <w:topLinePunct w:val="0"/>
              <w:autoSpaceDE/>
              <w:autoSpaceDN/>
              <w:bidi w:val="0"/>
              <w:spacing w:line="360" w:lineRule="auto"/>
              <w:ind w:left="0" w:leftChars="0"/>
              <w:jc w:val="center"/>
              <w:textAlignment w:val="auto"/>
              <w:rPr>
                <w:color w:val="auto"/>
                <w:sz w:val="24"/>
                <w:szCs w:val="24"/>
                <w:highlight w:val="none"/>
              </w:rPr>
            </w:pPr>
            <w:r>
              <w:rPr>
                <w:color w:val="auto"/>
                <w:sz w:val="24"/>
                <w:szCs w:val="24"/>
                <w:highlight w:val="none"/>
              </w:rPr>
              <w:t>代理费</w:t>
            </w:r>
          </w:p>
        </w:tc>
        <w:tc>
          <w:tcPr>
            <w:tcW w:w="7208" w:type="dxa"/>
            <w:vAlign w:val="center"/>
          </w:tcPr>
          <w:p w14:paraId="5BDC7F50">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color w:val="auto"/>
                <w:sz w:val="24"/>
                <w:szCs w:val="24"/>
                <w:highlight w:val="none"/>
              </w:rPr>
            </w:pPr>
            <w:r>
              <w:rPr>
                <w:color w:val="auto"/>
                <w:sz w:val="24"/>
                <w:szCs w:val="24"/>
                <w:highlight w:val="none"/>
              </w:rPr>
              <w:t>收费对象：</w:t>
            </w:r>
          </w:p>
          <w:p w14:paraId="75588B13">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color w:val="auto"/>
                <w:sz w:val="24"/>
                <w:szCs w:val="24"/>
                <w:highlight w:val="none"/>
              </w:rPr>
            </w:pPr>
            <w:r>
              <w:rPr>
                <w:color w:val="auto"/>
                <w:sz w:val="24"/>
                <w:szCs w:val="24"/>
                <w:highlight w:val="none"/>
              </w:rPr>
              <w:t>□采购人</w:t>
            </w:r>
          </w:p>
          <w:p w14:paraId="3FD149B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color w:val="auto"/>
                <w:sz w:val="24"/>
                <w:szCs w:val="24"/>
                <w:highlight w:val="none"/>
              </w:rPr>
            </w:pPr>
            <w:r>
              <w:rPr>
                <w:color w:val="auto"/>
                <w:sz w:val="24"/>
                <w:szCs w:val="24"/>
                <w:highlight w:val="none"/>
              </w:rPr>
              <w:t>■成交供应商</w:t>
            </w:r>
          </w:p>
          <w:p w14:paraId="462923BF">
            <w:pPr>
              <w:keepNext w:val="0"/>
              <w:keepLines w:val="0"/>
              <w:pageBreakBefore w:val="0"/>
              <w:widowControl w:val="0"/>
              <w:kinsoku/>
              <w:wordWrap/>
              <w:overflowPunct/>
              <w:topLinePunct w:val="0"/>
              <w:autoSpaceDE/>
              <w:autoSpaceDN/>
              <w:bidi w:val="0"/>
              <w:adjustRightInd/>
              <w:snapToGrid/>
              <w:spacing w:line="360" w:lineRule="auto"/>
              <w:ind w:left="0"/>
              <w:jc w:val="left"/>
              <w:textAlignment w:val="auto"/>
              <w:rPr>
                <w:color w:val="auto"/>
                <w:sz w:val="24"/>
                <w:szCs w:val="24"/>
                <w:highlight w:val="none"/>
                <w:u w:val="single"/>
              </w:rPr>
            </w:pPr>
            <w:r>
              <w:rPr>
                <w:color w:val="auto"/>
                <w:sz w:val="24"/>
                <w:szCs w:val="24"/>
                <w:highlight w:val="none"/>
              </w:rPr>
              <w:t>收费标准：</w:t>
            </w:r>
            <w:r>
              <w:rPr>
                <w:rFonts w:hint="eastAsia"/>
                <w:color w:val="auto"/>
                <w:sz w:val="24"/>
                <w:szCs w:val="24"/>
                <w:highlight w:val="none"/>
              </w:rPr>
              <w:t>参照原计价格[2002]1980号文、发改办价格[2003]857号文及发改价格[2011]534号文有关规定按正常取费的基础向成交供应商收取代理费用</w:t>
            </w:r>
            <w:r>
              <w:rPr>
                <w:color w:val="auto"/>
                <w:sz w:val="24"/>
                <w:szCs w:val="24"/>
                <w:highlight w:val="none"/>
              </w:rPr>
              <w:t>；</w:t>
            </w:r>
          </w:p>
          <w:p w14:paraId="3A8AF84C">
            <w:pPr>
              <w:keepNext w:val="0"/>
              <w:keepLines w:val="0"/>
              <w:pageBreakBefore w:val="0"/>
              <w:widowControl w:val="0"/>
              <w:kinsoku/>
              <w:wordWrap/>
              <w:overflowPunct/>
              <w:topLinePunct w:val="0"/>
              <w:autoSpaceDE/>
              <w:autoSpaceDN/>
              <w:bidi w:val="0"/>
              <w:adjustRightInd/>
              <w:snapToGrid/>
              <w:spacing w:line="360" w:lineRule="auto"/>
              <w:ind w:left="0"/>
              <w:textAlignment w:val="auto"/>
              <w:rPr>
                <w:color w:val="auto"/>
                <w:sz w:val="24"/>
                <w:szCs w:val="24"/>
                <w:highlight w:val="none"/>
              </w:rPr>
            </w:pPr>
            <w:r>
              <w:rPr>
                <w:color w:val="auto"/>
                <w:sz w:val="24"/>
                <w:szCs w:val="24"/>
                <w:highlight w:val="none"/>
              </w:rPr>
              <w:t>缴纳时间：</w:t>
            </w:r>
            <w:r>
              <w:rPr>
                <w:rFonts w:hint="eastAsia"/>
                <w:color w:val="auto"/>
                <w:sz w:val="24"/>
                <w:szCs w:val="24"/>
                <w:highlight w:val="none"/>
              </w:rPr>
              <w:t>领取成交通知书时交纳所有费用</w:t>
            </w:r>
            <w:r>
              <w:rPr>
                <w:color w:val="auto"/>
                <w:sz w:val="24"/>
                <w:szCs w:val="24"/>
                <w:highlight w:val="none"/>
              </w:rPr>
              <w:t>。</w:t>
            </w:r>
          </w:p>
          <w:p w14:paraId="512CF7AE">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color w:val="auto"/>
                <w:sz w:val="24"/>
                <w:szCs w:val="24"/>
                <w:highlight w:val="none"/>
              </w:rPr>
            </w:pPr>
            <w:r>
              <w:rPr>
                <w:rFonts w:hint="eastAsia"/>
                <w:color w:val="auto"/>
                <w:sz w:val="24"/>
                <w:szCs w:val="24"/>
                <w:highlight w:val="none"/>
              </w:rPr>
              <w:t>收款账号：</w:t>
            </w:r>
          </w:p>
          <w:p w14:paraId="4785A872">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rFonts w:hint="eastAsia" w:ascii="宋体" w:hAnsi="宋体"/>
                <w:color w:val="auto"/>
                <w:sz w:val="24"/>
                <w:szCs w:val="24"/>
                <w:highlight w:val="none"/>
              </w:rPr>
            </w:pPr>
            <w:r>
              <w:rPr>
                <w:rFonts w:hint="eastAsia" w:ascii="宋体" w:hAnsi="宋体"/>
                <w:color w:val="auto"/>
                <w:sz w:val="24"/>
                <w:szCs w:val="24"/>
                <w:highlight w:val="none"/>
              </w:rPr>
              <w:t>单位名称：北京东方宏正工程管理有限公司</w:t>
            </w:r>
          </w:p>
          <w:p w14:paraId="6460BDC1">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rFonts w:hint="eastAsia" w:ascii="宋体" w:hAnsi="宋体"/>
                <w:color w:val="auto"/>
                <w:sz w:val="24"/>
                <w:szCs w:val="24"/>
                <w:highlight w:val="none"/>
              </w:rPr>
            </w:pPr>
            <w:r>
              <w:rPr>
                <w:rFonts w:hint="eastAsia" w:ascii="宋体" w:hAnsi="宋体"/>
                <w:color w:val="auto"/>
                <w:sz w:val="24"/>
                <w:szCs w:val="24"/>
                <w:highlight w:val="none"/>
              </w:rPr>
              <w:t>纳税人识别号：91110106664609767P</w:t>
            </w:r>
          </w:p>
          <w:p w14:paraId="5C077F85">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rFonts w:hint="eastAsia" w:ascii="宋体" w:hAnsi="宋体"/>
                <w:color w:val="auto"/>
                <w:sz w:val="24"/>
                <w:szCs w:val="24"/>
                <w:highlight w:val="none"/>
              </w:rPr>
            </w:pPr>
            <w:r>
              <w:rPr>
                <w:rFonts w:hint="eastAsia" w:ascii="宋体" w:hAnsi="宋体"/>
                <w:color w:val="auto"/>
                <w:sz w:val="24"/>
                <w:szCs w:val="24"/>
                <w:highlight w:val="none"/>
              </w:rPr>
              <w:t>开户银行：工行北京和平里北街支行</w:t>
            </w:r>
          </w:p>
          <w:p w14:paraId="12C0ECDC">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rFonts w:hint="eastAsia" w:ascii="宋体" w:hAnsi="宋体"/>
                <w:color w:val="auto"/>
                <w:sz w:val="24"/>
                <w:szCs w:val="24"/>
                <w:highlight w:val="none"/>
              </w:rPr>
            </w:pPr>
            <w:r>
              <w:rPr>
                <w:rFonts w:hint="eastAsia" w:ascii="宋体" w:hAnsi="宋体"/>
                <w:color w:val="auto"/>
                <w:sz w:val="24"/>
                <w:szCs w:val="24"/>
                <w:highlight w:val="none"/>
              </w:rPr>
              <w:t>银行帐号： 0200004219200122879</w:t>
            </w:r>
          </w:p>
          <w:p w14:paraId="270410CB">
            <w:pPr>
              <w:pStyle w:val="42"/>
              <w:keepNext w:val="0"/>
              <w:keepLines w:val="0"/>
              <w:pageBreakBefore w:val="0"/>
              <w:widowControl w:val="0"/>
              <w:kinsoku/>
              <w:wordWrap/>
              <w:overflowPunct/>
              <w:topLinePunct w:val="0"/>
              <w:autoSpaceDE/>
              <w:autoSpaceDN/>
              <w:bidi w:val="0"/>
              <w:adjustRightInd/>
              <w:snapToGrid/>
              <w:spacing w:line="360" w:lineRule="auto"/>
              <w:ind w:left="0" w:leftChars="0" w:firstLine="46"/>
              <w:textAlignment w:val="auto"/>
              <w:rPr>
                <w:color w:val="auto"/>
                <w:sz w:val="24"/>
                <w:szCs w:val="24"/>
                <w:highlight w:val="none"/>
              </w:rPr>
            </w:pPr>
            <w:r>
              <w:rPr>
                <w:rFonts w:hint="eastAsia" w:ascii="宋体" w:hAnsi="宋体"/>
                <w:color w:val="auto"/>
                <w:sz w:val="24"/>
                <w:szCs w:val="24"/>
                <w:highlight w:val="none"/>
              </w:rPr>
              <w:t>开户行行号：102100020307</w:t>
            </w:r>
          </w:p>
        </w:tc>
      </w:tr>
    </w:tbl>
    <w:p w14:paraId="6EA95986">
      <w:pPr>
        <w:rPr>
          <w:b/>
          <w:color w:val="auto"/>
          <w:sz w:val="24"/>
          <w:szCs w:val="24"/>
          <w:highlight w:val="none"/>
        </w:rPr>
      </w:pPr>
      <w:r>
        <w:rPr>
          <w:b/>
          <w:color w:val="auto"/>
          <w:sz w:val="24"/>
          <w:szCs w:val="24"/>
          <w:highlight w:val="none"/>
        </w:rPr>
        <w:br w:type="page"/>
      </w:r>
    </w:p>
    <w:p w14:paraId="1DE0A0C4">
      <w:pPr>
        <w:pStyle w:val="42"/>
        <w:framePr w:wrap="around"/>
        <w:rPr>
          <w:color w:val="auto"/>
          <w:sz w:val="24"/>
          <w:szCs w:val="24"/>
          <w:highlight w:val="none"/>
        </w:rPr>
      </w:pPr>
      <w:r>
        <w:rPr>
          <w:color w:val="auto"/>
          <w:sz w:val="24"/>
          <w:szCs w:val="24"/>
          <w:highlight w:val="none"/>
        </w:rPr>
        <w:br w:type="page"/>
      </w:r>
    </w:p>
    <w:p w14:paraId="76F7085A">
      <w:pPr>
        <w:rPr>
          <w:b/>
          <w:color w:val="auto"/>
          <w:sz w:val="24"/>
          <w:szCs w:val="24"/>
          <w:highlight w:val="none"/>
        </w:rPr>
      </w:pPr>
    </w:p>
    <w:p w14:paraId="51FF1519">
      <w:pPr>
        <w:keepNext w:val="0"/>
        <w:keepLines w:val="0"/>
        <w:pageBreakBefore w:val="0"/>
        <w:widowControl w:val="0"/>
        <w:kinsoku/>
        <w:wordWrap/>
        <w:overflowPunct/>
        <w:topLinePunct w:val="0"/>
        <w:autoSpaceDE/>
        <w:autoSpaceDN/>
        <w:bidi w:val="0"/>
        <w:adjustRightInd/>
        <w:snapToGrid/>
        <w:spacing w:line="360" w:lineRule="auto"/>
        <w:jc w:val="center"/>
        <w:textAlignment w:val="auto"/>
        <w:rPr>
          <w:b/>
          <w:color w:val="auto"/>
          <w:sz w:val="24"/>
          <w:szCs w:val="24"/>
          <w:highlight w:val="none"/>
        </w:rPr>
      </w:pPr>
      <w:r>
        <w:rPr>
          <w:b/>
          <w:color w:val="auto"/>
          <w:sz w:val="24"/>
          <w:szCs w:val="24"/>
          <w:highlight w:val="none"/>
        </w:rPr>
        <w:t>供应商须知</w:t>
      </w:r>
    </w:p>
    <w:p w14:paraId="41D93700">
      <w:pPr>
        <w:pStyle w:val="3"/>
        <w:tabs>
          <w:tab w:val="center" w:pos="4592"/>
          <w:tab w:val="left" w:pos="7860"/>
        </w:tabs>
        <w:spacing w:before="0" w:line="360" w:lineRule="auto"/>
        <w:jc w:val="left"/>
        <w:rPr>
          <w:rFonts w:ascii="Times New Roman" w:hAnsi="Times New Roman" w:eastAsia="宋体"/>
          <w:color w:val="auto"/>
          <w:sz w:val="24"/>
          <w:szCs w:val="24"/>
          <w:highlight w:val="none"/>
        </w:rPr>
      </w:pPr>
      <w:bookmarkStart w:id="78" w:name="_Toc520356143"/>
      <w:bookmarkStart w:id="79" w:name="_Toc127151518"/>
      <w:r>
        <w:rPr>
          <w:rFonts w:ascii="Times New Roman" w:hAnsi="Times New Roman" w:eastAsia="宋体"/>
          <w:color w:val="auto"/>
          <w:sz w:val="24"/>
          <w:szCs w:val="24"/>
          <w:highlight w:val="none"/>
        </w:rPr>
        <w:tab/>
      </w:r>
      <w:bookmarkStart w:id="80" w:name="_Toc151193906"/>
      <w:bookmarkStart w:id="81" w:name="_Toc226965791"/>
      <w:bookmarkStart w:id="82" w:name="_Toc151193760"/>
      <w:bookmarkStart w:id="83" w:name="_Toc226965708"/>
      <w:bookmarkStart w:id="84" w:name="_Toc264969208"/>
      <w:bookmarkStart w:id="85" w:name="_Toc195842883"/>
      <w:bookmarkStart w:id="86" w:name="_Toc150509269"/>
      <w:bookmarkStart w:id="87" w:name="_Toc151193616"/>
      <w:bookmarkStart w:id="88" w:name="_Toc151193688"/>
      <w:bookmarkStart w:id="89" w:name="_Toc226337214"/>
      <w:bookmarkStart w:id="90" w:name="_Toc305158786"/>
      <w:bookmarkStart w:id="91" w:name="_Toc305158860"/>
      <w:bookmarkStart w:id="92" w:name="_Toc226309762"/>
      <w:bookmarkStart w:id="93" w:name="_Toc265228356"/>
      <w:bookmarkStart w:id="94" w:name="_Toc151193832"/>
      <w:bookmarkStart w:id="95" w:name="_Toc151190145"/>
      <w:bookmarkStart w:id="96" w:name="_Toc142311020"/>
      <w:bookmarkStart w:id="97" w:name="_Toc150480756"/>
      <w:bookmarkStart w:id="98" w:name="_Toc150774723"/>
      <w:bookmarkStart w:id="99" w:name="_Toc150774618"/>
      <w:r>
        <w:rPr>
          <w:rFonts w:ascii="Times New Roman" w:hAnsi="Times New Roman" w:eastAsia="宋体"/>
          <w:color w:val="auto"/>
          <w:sz w:val="24"/>
          <w:szCs w:val="24"/>
          <w:highlight w:val="none"/>
        </w:rPr>
        <w:t>一   说  明</w:t>
      </w:r>
      <w:bookmarkEnd w:id="78"/>
      <w:bookmarkEnd w:id="79"/>
      <w:bookmarkEnd w:id="80"/>
      <w:bookmarkEnd w:id="81"/>
      <w:bookmarkEnd w:id="82"/>
      <w:bookmarkEnd w:id="83"/>
      <w:bookmarkEnd w:id="84"/>
      <w:bookmarkEnd w:id="85"/>
      <w:bookmarkEnd w:id="86"/>
      <w:bookmarkEnd w:id="87"/>
      <w:bookmarkEnd w:id="88"/>
      <w:bookmarkEnd w:id="89"/>
      <w:bookmarkEnd w:id="90"/>
      <w:bookmarkEnd w:id="91"/>
      <w:bookmarkEnd w:id="92"/>
      <w:bookmarkEnd w:id="93"/>
      <w:bookmarkEnd w:id="94"/>
      <w:bookmarkEnd w:id="95"/>
      <w:bookmarkEnd w:id="96"/>
      <w:bookmarkEnd w:id="97"/>
      <w:bookmarkEnd w:id="98"/>
      <w:bookmarkEnd w:id="99"/>
      <w:r>
        <w:rPr>
          <w:rFonts w:ascii="Times New Roman" w:hAnsi="Times New Roman" w:eastAsia="宋体"/>
          <w:color w:val="auto"/>
          <w:sz w:val="24"/>
          <w:szCs w:val="24"/>
          <w:highlight w:val="none"/>
        </w:rPr>
        <w:tab/>
      </w:r>
    </w:p>
    <w:p w14:paraId="451FC973">
      <w:pPr>
        <w:numPr>
          <w:ilvl w:val="0"/>
          <w:numId w:val="5"/>
        </w:numPr>
        <w:tabs>
          <w:tab w:val="left" w:pos="360"/>
          <w:tab w:val="clear" w:pos="900"/>
        </w:tabs>
        <w:snapToGrid w:val="0"/>
        <w:spacing w:line="360" w:lineRule="auto"/>
        <w:ind w:left="357" w:hanging="357"/>
        <w:outlineLvl w:val="1"/>
        <w:rPr>
          <w:color w:val="auto"/>
          <w:sz w:val="24"/>
          <w:szCs w:val="24"/>
          <w:highlight w:val="none"/>
        </w:rPr>
      </w:pPr>
      <w:bookmarkStart w:id="100" w:name="_Toc305158861"/>
      <w:bookmarkStart w:id="101" w:name="_Toc265228357"/>
      <w:bookmarkStart w:id="102" w:name="_Toc264969209"/>
      <w:bookmarkStart w:id="103" w:name="_Toc305158787"/>
      <w:r>
        <w:rPr>
          <w:color w:val="auto"/>
          <w:sz w:val="24"/>
          <w:szCs w:val="24"/>
          <w:highlight w:val="none"/>
        </w:rPr>
        <w:t>采购人、采购代理机构、供应商</w:t>
      </w:r>
      <w:bookmarkEnd w:id="100"/>
      <w:bookmarkEnd w:id="101"/>
      <w:bookmarkEnd w:id="102"/>
      <w:bookmarkEnd w:id="103"/>
      <w:r>
        <w:rPr>
          <w:color w:val="auto"/>
          <w:sz w:val="24"/>
          <w:szCs w:val="24"/>
          <w:highlight w:val="none"/>
        </w:rPr>
        <w:t>、联合体</w:t>
      </w:r>
    </w:p>
    <w:p w14:paraId="6F80216F">
      <w:pPr>
        <w:numPr>
          <w:ilvl w:val="1"/>
          <w:numId w:val="5"/>
        </w:numPr>
        <w:tabs>
          <w:tab w:val="left" w:pos="1080"/>
          <w:tab w:val="left" w:pos="2014"/>
          <w:tab w:val="left" w:pos="5521"/>
        </w:tabs>
        <w:snapToGrid w:val="0"/>
        <w:spacing w:line="360" w:lineRule="auto"/>
        <w:ind w:left="1080" w:hanging="720"/>
        <w:rPr>
          <w:color w:val="auto"/>
          <w:sz w:val="24"/>
          <w:szCs w:val="24"/>
          <w:highlight w:val="none"/>
        </w:rPr>
      </w:pPr>
      <w:r>
        <w:rPr>
          <w:color w:val="auto"/>
          <w:sz w:val="24"/>
          <w:szCs w:val="24"/>
          <w:highlight w:val="none"/>
        </w:rPr>
        <w:t>采购人、采购代理机构：指依法进行政府采购的国家机关、事业单位、团体组织，及其委托的采购代理机构。本项目采购人、采购代理机构见第一章《采购邀请》。</w:t>
      </w:r>
    </w:p>
    <w:p w14:paraId="218F854E">
      <w:pPr>
        <w:numPr>
          <w:ilvl w:val="1"/>
          <w:numId w:val="5"/>
        </w:numPr>
        <w:tabs>
          <w:tab w:val="left" w:pos="1080"/>
          <w:tab w:val="left" w:pos="2014"/>
          <w:tab w:val="left" w:pos="5521"/>
        </w:tabs>
        <w:snapToGrid w:val="0"/>
        <w:spacing w:line="360" w:lineRule="auto"/>
        <w:ind w:left="1080" w:hanging="720"/>
        <w:rPr>
          <w:color w:val="auto"/>
          <w:sz w:val="24"/>
          <w:szCs w:val="24"/>
          <w:highlight w:val="none"/>
        </w:rPr>
      </w:pPr>
      <w:r>
        <w:rPr>
          <w:color w:val="auto"/>
          <w:sz w:val="24"/>
          <w:szCs w:val="24"/>
          <w:highlight w:val="none"/>
        </w:rPr>
        <w:t>供应商（也称“申请人”）：指向采购人提供货物、工程或者服务的法人、其他组织或者自然人。</w:t>
      </w:r>
    </w:p>
    <w:p w14:paraId="19F9BD0E">
      <w:pPr>
        <w:numPr>
          <w:ilvl w:val="1"/>
          <w:numId w:val="5"/>
        </w:numPr>
        <w:tabs>
          <w:tab w:val="left" w:pos="1080"/>
          <w:tab w:val="left" w:pos="2014"/>
          <w:tab w:val="left" w:pos="5521"/>
        </w:tabs>
        <w:snapToGrid w:val="0"/>
        <w:spacing w:line="360" w:lineRule="auto"/>
        <w:ind w:left="1080" w:hanging="720"/>
        <w:rPr>
          <w:color w:val="auto"/>
          <w:sz w:val="24"/>
          <w:szCs w:val="24"/>
          <w:highlight w:val="none"/>
        </w:rPr>
      </w:pPr>
      <w:r>
        <w:rPr>
          <w:color w:val="auto"/>
          <w:sz w:val="24"/>
          <w:szCs w:val="24"/>
          <w:highlight w:val="none"/>
        </w:rPr>
        <w:t>联合体：指两个以上的自然人、法人或者其他组织组成一个联合体，以一个供应商的身份共同参加政府采购。</w:t>
      </w:r>
    </w:p>
    <w:p w14:paraId="1CD69303">
      <w:pPr>
        <w:numPr>
          <w:ilvl w:val="0"/>
          <w:numId w:val="5"/>
        </w:numPr>
        <w:tabs>
          <w:tab w:val="left" w:pos="360"/>
          <w:tab w:val="clear" w:pos="900"/>
        </w:tabs>
        <w:snapToGrid w:val="0"/>
        <w:spacing w:line="360" w:lineRule="auto"/>
        <w:ind w:left="357" w:hanging="357"/>
        <w:outlineLvl w:val="1"/>
        <w:rPr>
          <w:color w:val="auto"/>
          <w:sz w:val="24"/>
          <w:szCs w:val="24"/>
          <w:highlight w:val="none"/>
        </w:rPr>
      </w:pPr>
      <w:bookmarkStart w:id="104" w:name="_Toc127161434"/>
      <w:bookmarkStart w:id="105" w:name="_Toc150509271"/>
      <w:bookmarkStart w:id="106" w:name="_Toc150774620"/>
      <w:bookmarkStart w:id="107" w:name="_Toc127151721"/>
      <w:bookmarkStart w:id="108" w:name="_Toc226337216"/>
      <w:bookmarkStart w:id="109" w:name="_Toc305158788"/>
      <w:bookmarkStart w:id="110" w:name="_Toc150480758"/>
      <w:bookmarkStart w:id="111" w:name="_Toc151190147"/>
      <w:bookmarkStart w:id="112" w:name="_Toc151193834"/>
      <w:bookmarkStart w:id="113" w:name="_Toc151193690"/>
      <w:bookmarkStart w:id="114" w:name="_Toc151193908"/>
      <w:bookmarkStart w:id="115" w:name="_Toc151193618"/>
      <w:bookmarkStart w:id="116" w:name="_Toc226965710"/>
      <w:bookmarkStart w:id="117" w:name="_Toc142311022"/>
      <w:bookmarkStart w:id="118" w:name="_Toc164229215"/>
      <w:bookmarkStart w:id="119" w:name="_Toc149720813"/>
      <w:bookmarkStart w:id="120" w:name="_Toc226309764"/>
      <w:bookmarkStart w:id="121" w:name="_Toc127151520"/>
      <w:bookmarkStart w:id="122" w:name="_Toc226965793"/>
      <w:bookmarkStart w:id="123" w:name="_Toc164608789"/>
      <w:bookmarkStart w:id="124" w:name="_Toc151193762"/>
      <w:bookmarkStart w:id="125" w:name="_Toc164608634"/>
      <w:bookmarkStart w:id="126" w:name="_Toc264969210"/>
      <w:bookmarkStart w:id="127" w:name="_Toc164351614"/>
      <w:bookmarkStart w:id="128" w:name="_Toc265228358"/>
      <w:bookmarkStart w:id="129" w:name="_Toc150774725"/>
      <w:bookmarkStart w:id="130" w:name="_Toc164229361"/>
      <w:bookmarkStart w:id="131" w:name="_Toc195842885"/>
      <w:bookmarkStart w:id="132" w:name="_Toc305158862"/>
      <w:r>
        <w:rPr>
          <w:color w:val="auto"/>
          <w:sz w:val="24"/>
          <w:szCs w:val="24"/>
          <w:highlight w:val="none"/>
        </w:rPr>
        <w:t>资金来源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r>
        <w:rPr>
          <w:color w:val="auto"/>
          <w:sz w:val="24"/>
          <w:szCs w:val="24"/>
          <w:highlight w:val="none"/>
        </w:rPr>
        <w:t>、项目属性、科研仪器设备采购</w:t>
      </w:r>
    </w:p>
    <w:p w14:paraId="6ED29428">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资金来源为财政性资金和/或本项目采购中无法与财政性资金分割的非财政性资金。</w:t>
      </w:r>
    </w:p>
    <w:p w14:paraId="1F8AB9F8">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项目属性见《供应商须知资料表》。</w:t>
      </w:r>
    </w:p>
    <w:p w14:paraId="280D2740">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是否属于科研仪器设备采购见《供应商须知资料表》。</w:t>
      </w:r>
    </w:p>
    <w:p w14:paraId="1BA79905">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现场考察、磋商前答疑会</w:t>
      </w:r>
    </w:p>
    <w:p w14:paraId="07A61555">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若《供应商须知资料表》中规定了组织现场考察、召开磋商前答疑会，则供应商应按要求在规定的时间和地点参加。</w:t>
      </w:r>
      <w:bookmarkStart w:id="133" w:name="_Toc151190149"/>
      <w:bookmarkStart w:id="134" w:name="_Toc150774727"/>
      <w:bookmarkStart w:id="135" w:name="_Toc151193620"/>
      <w:bookmarkStart w:id="136" w:name="_Toc226965712"/>
      <w:bookmarkStart w:id="137" w:name="_Toc226337218"/>
      <w:bookmarkStart w:id="138" w:name="_Toc226309766"/>
      <w:bookmarkStart w:id="139" w:name="_Toc150509273"/>
      <w:bookmarkStart w:id="140" w:name="_Toc305158790"/>
      <w:bookmarkStart w:id="141" w:name="_Toc151193764"/>
      <w:bookmarkStart w:id="142" w:name="_Toc127151522"/>
      <w:bookmarkStart w:id="143" w:name="_Toc142311024"/>
      <w:bookmarkStart w:id="144" w:name="_Toc151193692"/>
      <w:bookmarkStart w:id="145" w:name="_Toc151193836"/>
      <w:bookmarkStart w:id="146" w:name="_Toc195842887"/>
      <w:bookmarkStart w:id="147" w:name="_Toc151193910"/>
      <w:bookmarkStart w:id="148" w:name="_Toc305158864"/>
      <w:bookmarkStart w:id="149" w:name="_Toc520356146"/>
      <w:bookmarkStart w:id="150" w:name="_Toc150480760"/>
      <w:bookmarkStart w:id="151" w:name="_Toc226965795"/>
      <w:bookmarkStart w:id="152" w:name="_Toc150774622"/>
      <w:bookmarkStart w:id="153" w:name="_Toc264969212"/>
      <w:bookmarkStart w:id="154" w:name="_Toc265228360"/>
    </w:p>
    <w:p w14:paraId="098D206B">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由于未参加现场考察或磋商前答疑会而导致对项目实际情况不了解，影响响应文件编制、报价准确性、综合因素响应不全面等问题的，由供应商自行承担不利评审后果。</w:t>
      </w:r>
    </w:p>
    <w:p w14:paraId="062167BD">
      <w:pPr>
        <w:numPr>
          <w:ilvl w:val="0"/>
          <w:numId w:val="5"/>
        </w:numPr>
        <w:tabs>
          <w:tab w:val="left" w:pos="360"/>
          <w:tab w:val="clear" w:pos="900"/>
        </w:tabs>
        <w:snapToGrid w:val="0"/>
        <w:spacing w:line="360" w:lineRule="auto"/>
        <w:ind w:left="357" w:hanging="357"/>
        <w:outlineLvl w:val="1"/>
        <w:rPr>
          <w:color w:val="auto"/>
          <w:sz w:val="24"/>
          <w:szCs w:val="24"/>
          <w:highlight w:val="none"/>
        </w:rPr>
      </w:pPr>
      <w:r>
        <w:rPr>
          <w:color w:val="auto"/>
          <w:sz w:val="24"/>
          <w:szCs w:val="24"/>
          <w:highlight w:val="none"/>
        </w:rPr>
        <w:t>政府采购政策（包括但不限于下列具体政策要求）</w:t>
      </w:r>
    </w:p>
    <w:p w14:paraId="4A958059">
      <w:pPr>
        <w:numPr>
          <w:ilvl w:val="1"/>
          <w:numId w:val="5"/>
        </w:numPr>
        <w:tabs>
          <w:tab w:val="left" w:pos="1080"/>
          <w:tab w:val="left" w:pos="2014"/>
        </w:tabs>
        <w:snapToGrid w:val="0"/>
        <w:spacing w:line="360" w:lineRule="auto"/>
        <w:rPr>
          <w:color w:val="auto"/>
          <w:sz w:val="24"/>
          <w:szCs w:val="24"/>
          <w:highlight w:val="none"/>
        </w:rPr>
      </w:pPr>
      <w:r>
        <w:rPr>
          <w:rFonts w:hint="eastAsia"/>
          <w:color w:val="auto"/>
          <w:sz w:val="24"/>
          <w:szCs w:val="24"/>
          <w:highlight w:val="none"/>
        </w:rPr>
        <w:t>采购本国货物、工程和服务</w:t>
      </w:r>
    </w:p>
    <w:p w14:paraId="6469A322">
      <w:pPr>
        <w:numPr>
          <w:ilvl w:val="2"/>
          <w:numId w:val="5"/>
        </w:numPr>
        <w:tabs>
          <w:tab w:val="left" w:pos="2014"/>
        </w:tabs>
        <w:snapToGrid w:val="0"/>
        <w:spacing w:line="360" w:lineRule="auto"/>
        <w:rPr>
          <w:color w:val="auto"/>
          <w:sz w:val="24"/>
          <w:szCs w:val="24"/>
          <w:highlight w:val="none"/>
        </w:rPr>
      </w:pPr>
      <w:r>
        <w:rPr>
          <w:rFonts w:hint="eastAsia"/>
          <w:color w:val="auto"/>
          <w:sz w:val="24"/>
          <w:szCs w:val="24"/>
          <w:highlight w:val="none"/>
        </w:rPr>
        <w:t>政府采购应当采购本国货物、工程和服务。但有《中华人民共和国政府采购法》第十条规定情形的除外。</w:t>
      </w:r>
    </w:p>
    <w:p w14:paraId="43A43029">
      <w:pPr>
        <w:numPr>
          <w:ilvl w:val="2"/>
          <w:numId w:val="5"/>
        </w:numPr>
        <w:tabs>
          <w:tab w:val="left" w:pos="2014"/>
        </w:tabs>
        <w:snapToGrid w:val="0"/>
        <w:spacing w:line="360" w:lineRule="auto"/>
        <w:rPr>
          <w:color w:val="auto"/>
          <w:sz w:val="24"/>
          <w:szCs w:val="24"/>
          <w:highlight w:val="none"/>
        </w:rPr>
      </w:pPr>
      <w:r>
        <w:rPr>
          <w:rFonts w:hint="eastAsia"/>
          <w:color w:val="auto"/>
          <w:sz w:val="24"/>
          <w:szCs w:val="24"/>
          <w:highlight w:val="none"/>
        </w:rPr>
        <w:t>本项目如接受非本国货物、工程、服务参与投标，则具体要求见第四章《采购需求》。</w:t>
      </w:r>
    </w:p>
    <w:p w14:paraId="0CD86273">
      <w:pPr>
        <w:numPr>
          <w:ilvl w:val="2"/>
          <w:numId w:val="5"/>
        </w:numPr>
        <w:tabs>
          <w:tab w:val="left" w:pos="2014"/>
        </w:tabs>
        <w:snapToGrid w:val="0"/>
        <w:spacing w:line="360" w:lineRule="auto"/>
        <w:rPr>
          <w:color w:val="auto"/>
          <w:sz w:val="24"/>
          <w:szCs w:val="24"/>
          <w:highlight w:val="none"/>
        </w:rPr>
      </w:pPr>
      <w:r>
        <w:rPr>
          <w:rFonts w:hint="eastAsia"/>
          <w:color w:val="auto"/>
          <w:sz w:val="24"/>
          <w:szCs w:val="24"/>
          <w:highlight w:val="none"/>
        </w:rPr>
        <w:t>进口产品指通过中国海关报关验放进入中国境内且产自关境外的产品，包括已经进入中国境内的进口产品。关于进口产品的相关规定依据《政府采购进口产品管理办法》（财库〔2007〕119 号文）、《关于政府采购进口产品管理有关问题的通知》（财办库〔2008〕248号文）。</w:t>
      </w:r>
    </w:p>
    <w:p w14:paraId="0A22D57F">
      <w:pPr>
        <w:numPr>
          <w:ilvl w:val="1"/>
          <w:numId w:val="5"/>
        </w:numPr>
        <w:tabs>
          <w:tab w:val="left" w:pos="1080"/>
        </w:tabs>
        <w:snapToGrid w:val="0"/>
        <w:spacing w:line="360" w:lineRule="auto"/>
        <w:rPr>
          <w:color w:val="auto"/>
          <w:sz w:val="24"/>
          <w:szCs w:val="24"/>
          <w:highlight w:val="none"/>
        </w:rPr>
      </w:pPr>
      <w:r>
        <w:rPr>
          <w:rFonts w:hint="eastAsia"/>
          <w:color w:val="auto"/>
          <w:sz w:val="24"/>
          <w:szCs w:val="24"/>
          <w:highlight w:val="none"/>
        </w:rPr>
        <w:t>本国产品</w:t>
      </w:r>
    </w:p>
    <w:p w14:paraId="1C07EA63">
      <w:pPr>
        <w:tabs>
          <w:tab w:val="left" w:pos="1080"/>
          <w:tab w:val="left" w:pos="2014"/>
        </w:tabs>
        <w:snapToGrid w:val="0"/>
        <w:spacing w:line="360" w:lineRule="auto"/>
        <w:ind w:left="1080"/>
        <w:rPr>
          <w:color w:val="auto"/>
          <w:sz w:val="24"/>
          <w:szCs w:val="24"/>
          <w:highlight w:val="none"/>
        </w:rPr>
      </w:pPr>
      <w:r>
        <w:rPr>
          <w:rFonts w:hint="eastAsia"/>
          <w:color w:val="auto"/>
          <w:sz w:val="24"/>
          <w:szCs w:val="24"/>
          <w:highlight w:val="none"/>
        </w:rPr>
        <w:t>本项目按照《国务院办公厅关于在政府采购中实施本国产品标准及相关政策的通知》（国办发〔2025〕34号）和《关于贯彻落实&lt;国务院办公厅关于在政府采购中实施本国产品标准及相关政策的通知&gt;的意见》（财库〔2025〕30号）有关要求，落实本国产品</w:t>
      </w:r>
      <w:r>
        <w:rPr>
          <w:rFonts w:hint="eastAsia"/>
          <w:color w:val="auto"/>
          <w:sz w:val="24"/>
          <w:szCs w:val="24"/>
          <w:highlight w:val="none"/>
          <w:lang w:eastAsia="zh-CN"/>
        </w:rPr>
        <w:t>标准</w:t>
      </w:r>
      <w:r>
        <w:rPr>
          <w:rFonts w:hint="eastAsia"/>
          <w:color w:val="auto"/>
          <w:sz w:val="24"/>
          <w:szCs w:val="24"/>
          <w:highlight w:val="none"/>
        </w:rPr>
        <w:t>。</w:t>
      </w:r>
    </w:p>
    <w:p w14:paraId="6445892D">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中小企业、监狱企业及残疾人福利性单位</w:t>
      </w:r>
    </w:p>
    <w:p w14:paraId="5AAC746A">
      <w:pPr>
        <w:numPr>
          <w:ilvl w:val="2"/>
          <w:numId w:val="5"/>
        </w:numPr>
        <w:snapToGrid w:val="0"/>
        <w:spacing w:line="360" w:lineRule="auto"/>
        <w:rPr>
          <w:color w:val="auto"/>
          <w:sz w:val="24"/>
          <w:szCs w:val="24"/>
          <w:highlight w:val="none"/>
        </w:rPr>
      </w:pPr>
      <w:r>
        <w:rPr>
          <w:color w:val="auto"/>
          <w:sz w:val="24"/>
          <w:szCs w:val="24"/>
          <w:highlight w:val="none"/>
        </w:rPr>
        <w:t>中小企业定义：</w:t>
      </w:r>
    </w:p>
    <w:p w14:paraId="194024F1">
      <w:pPr>
        <w:numPr>
          <w:ilvl w:val="3"/>
          <w:numId w:val="5"/>
        </w:numPr>
        <w:tabs>
          <w:tab w:val="left" w:pos="1980"/>
          <w:tab w:val="left" w:pos="2035"/>
          <w:tab w:val="left" w:pos="2885"/>
          <w:tab w:val="left" w:pos="2977"/>
          <w:tab w:val="clear" w:pos="900"/>
        </w:tabs>
        <w:snapToGrid w:val="0"/>
        <w:spacing w:line="360" w:lineRule="auto"/>
        <w:ind w:left="2835" w:hanging="1134"/>
        <w:rPr>
          <w:color w:val="auto"/>
          <w:sz w:val="24"/>
          <w:szCs w:val="24"/>
          <w:highlight w:val="none"/>
        </w:rPr>
      </w:pPr>
      <w:r>
        <w:rPr>
          <w:rFonts w:hint="eastAsia"/>
          <w:color w:val="auto"/>
          <w:sz w:val="24"/>
          <w:szCs w:val="24"/>
          <w:highlight w:val="none"/>
        </w:rPr>
        <w:t>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政府采购活动中视同中小企业。关于中小企业的相关规定依据《中华人民共和国中小企业促进法》、《关于进一步加大政府采购支持中小企业力度的通知》（财库〔2022〕19 号）、《政府采购促进中小企业发展管理办法》（财库〔2020〕46 号）、《关于印发中小企业划型标准规定的通知》（工信部联企业〔2011〕300 号）。</w:t>
      </w:r>
    </w:p>
    <w:p w14:paraId="4CD5F07D">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供应商提供的货物、工程或者服务符合下列情形的，享受中小企业扶持政策：</w:t>
      </w:r>
    </w:p>
    <w:p w14:paraId="4677DB6E">
      <w:pPr>
        <w:tabs>
          <w:tab w:val="left" w:pos="1980"/>
        </w:tabs>
        <w:snapToGrid w:val="0"/>
        <w:spacing w:line="360" w:lineRule="auto"/>
        <w:ind w:left="2835" w:leftChars="1350"/>
        <w:rPr>
          <w:color w:val="auto"/>
          <w:sz w:val="24"/>
          <w:szCs w:val="24"/>
          <w:highlight w:val="none"/>
        </w:rPr>
      </w:pPr>
      <w:r>
        <w:rPr>
          <w:color w:val="auto"/>
          <w:sz w:val="24"/>
          <w:szCs w:val="24"/>
          <w:highlight w:val="none"/>
        </w:rPr>
        <w:t>（1）在货物采购项目中，货物由中小企业制造，即货物由中小企业生产且使用该中小企业商号或者注册商标；</w:t>
      </w:r>
    </w:p>
    <w:p w14:paraId="7F29D3A3">
      <w:pPr>
        <w:tabs>
          <w:tab w:val="left" w:pos="1980"/>
        </w:tabs>
        <w:snapToGrid w:val="0"/>
        <w:spacing w:line="360" w:lineRule="auto"/>
        <w:ind w:left="2835" w:leftChars="1350"/>
        <w:rPr>
          <w:color w:val="auto"/>
          <w:sz w:val="24"/>
          <w:szCs w:val="24"/>
          <w:highlight w:val="none"/>
        </w:rPr>
      </w:pPr>
      <w:r>
        <w:rPr>
          <w:color w:val="auto"/>
          <w:sz w:val="24"/>
          <w:szCs w:val="24"/>
          <w:highlight w:val="none"/>
        </w:rPr>
        <w:t>（2）在工程采购项目中，工程由中小企业承建，即工程施工单位为中小企业；</w:t>
      </w:r>
    </w:p>
    <w:p w14:paraId="02A91BC4">
      <w:pPr>
        <w:tabs>
          <w:tab w:val="left" w:pos="1980"/>
        </w:tabs>
        <w:snapToGrid w:val="0"/>
        <w:spacing w:line="360" w:lineRule="auto"/>
        <w:ind w:left="2835" w:leftChars="1350"/>
        <w:rPr>
          <w:color w:val="auto"/>
          <w:sz w:val="24"/>
          <w:szCs w:val="24"/>
          <w:highlight w:val="none"/>
        </w:rPr>
      </w:pPr>
      <w:r>
        <w:rPr>
          <w:color w:val="auto"/>
          <w:sz w:val="24"/>
          <w:szCs w:val="24"/>
          <w:highlight w:val="none"/>
        </w:rPr>
        <w:t>（3）在服务采购项目中，服务由中小企业承接，即提供服务的人员为中小企业依照《中华人民共和国劳动合同法》订立劳动合同的从业人员。</w:t>
      </w:r>
    </w:p>
    <w:p w14:paraId="2C9AD1F2">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在货物采购项目中，供应商提供的货物既有中小企业制造货物，也有大型企业制造货物的，不享受中小企业扶持政策。</w:t>
      </w:r>
    </w:p>
    <w:p w14:paraId="4A74FD0B">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以联合体形式参加政府采购活动，联合体各方均为中小企业的，联合体视同中小企业。其中，联合体各方均为小微企业的，联合体视同小微企业。</w:t>
      </w:r>
    </w:p>
    <w:p w14:paraId="051C6E75">
      <w:pPr>
        <w:numPr>
          <w:ilvl w:val="2"/>
          <w:numId w:val="5"/>
        </w:numPr>
        <w:snapToGrid w:val="0"/>
        <w:spacing w:line="360" w:lineRule="auto"/>
        <w:rPr>
          <w:color w:val="auto"/>
          <w:sz w:val="24"/>
          <w:szCs w:val="24"/>
          <w:highlight w:val="none"/>
        </w:rPr>
      </w:pPr>
      <w:r>
        <w:rPr>
          <w:color w:val="auto"/>
          <w:sz w:val="24"/>
          <w:szCs w:val="24"/>
          <w:highlight w:val="none"/>
        </w:rPr>
        <w:t>在</w:t>
      </w:r>
      <w:r>
        <w:rPr>
          <w:rFonts w:hint="eastAsia"/>
          <w:color w:val="auto"/>
          <w:sz w:val="24"/>
          <w:szCs w:val="24"/>
          <w:highlight w:val="none"/>
        </w:rPr>
        <w:t>政府采购活动中，监狱企业视同小型、微型企业，享受预留份额、评审中价格扣除等政府采购促进中小企业发展的政府采购政策。监狱企业定义：是指由司法部认定的为罪犯、戒毒人员</w:t>
      </w:r>
      <w:r>
        <w:rPr>
          <w:color w:val="auto"/>
          <w:sz w:val="24"/>
          <w:szCs w:val="24"/>
          <w:highlight w:val="none"/>
        </w:rPr>
        <w:t>提</w:t>
      </w:r>
      <w:r>
        <w:rPr>
          <w:rFonts w:hint="eastAsia"/>
          <w:color w:val="auto"/>
          <w:sz w:val="24"/>
          <w:szCs w:val="24"/>
          <w:highlight w:val="none"/>
        </w:rPr>
        <w:t>供生产项目和劳动对象，且全部产权属于司法部监狱管理局、戒毒管理局、直属煤矿管理局，各省、自治区、直辖市监狱管理局、戒毒管理局，各地（设区的市）监狱、强制隔离戒毒所、戒毒康复所，以及新疆生产建设兵团监狱管理局、戒毒管理局的企业。</w:t>
      </w:r>
    </w:p>
    <w:p w14:paraId="2EC641B7">
      <w:pPr>
        <w:numPr>
          <w:ilvl w:val="2"/>
          <w:numId w:val="5"/>
        </w:numPr>
        <w:snapToGrid w:val="0"/>
        <w:spacing w:line="360" w:lineRule="auto"/>
        <w:rPr>
          <w:color w:val="auto"/>
          <w:sz w:val="24"/>
          <w:szCs w:val="24"/>
          <w:highlight w:val="none"/>
        </w:rPr>
      </w:pPr>
      <w:r>
        <w:rPr>
          <w:color w:val="auto"/>
          <w:sz w:val="24"/>
          <w:szCs w:val="24"/>
          <w:highlight w:val="none"/>
        </w:rPr>
        <w:t>在</w:t>
      </w:r>
      <w:r>
        <w:rPr>
          <w:rFonts w:hint="eastAsia"/>
          <w:color w:val="auto"/>
          <w:sz w:val="24"/>
          <w:szCs w:val="24"/>
          <w:highlight w:val="none"/>
        </w:rPr>
        <w:t>政府采购活动中，残疾人福利性单位视同小型、微型企业，享受预留份额、评审中价格扣除等促进中小企业发展的政府采购政策。残疾人福利性单位定义：享受政府采购支持政策的残疾人福利性单位应当同时满足以下条件：</w:t>
      </w:r>
    </w:p>
    <w:p w14:paraId="41931815">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安置的残疾人占本单位在职职工人数的比例不低于25%（含25%），并且安置的残疾人人数不少于10 人（含10 人）；</w:t>
      </w:r>
    </w:p>
    <w:p w14:paraId="430FC51B">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依法与安置的每位残疾人签订了一年以上（含一年）的劳动合同或服务协议；</w:t>
      </w:r>
    </w:p>
    <w:p w14:paraId="4F0970BA">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为安置的每位残疾人按月足额缴纳了基本养老保险、基本医疗保险、失业保险、工伤保险和生育保险等社会保险费；</w:t>
      </w:r>
    </w:p>
    <w:p w14:paraId="38367A32">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通过银行等金融机构向安置的每位残疾人，按月支付了不低于单位所在区县适用的经省级人民政府批准的月最低工资标准的工资；</w:t>
      </w:r>
    </w:p>
    <w:p w14:paraId="1CFA95DA">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提供本单位制造的货物、承担的工程或者服务（以下简称产品），或者提供其他残疾人福利性单位制造的货物（不包括使用非残疾人福利性单位注册商标的货物）；</w:t>
      </w:r>
    </w:p>
    <w:p w14:paraId="54537CD3">
      <w:pPr>
        <w:numPr>
          <w:ilvl w:val="3"/>
          <w:numId w:val="5"/>
        </w:numPr>
        <w:tabs>
          <w:tab w:val="left" w:pos="1980"/>
          <w:tab w:val="left" w:pos="2035"/>
          <w:tab w:val="left" w:pos="2885"/>
          <w:tab w:val="left" w:pos="2977"/>
          <w:tab w:val="clear" w:pos="900"/>
        </w:tabs>
        <w:snapToGrid w:val="0"/>
        <w:spacing w:line="360" w:lineRule="auto"/>
        <w:ind w:left="2885"/>
        <w:rPr>
          <w:color w:val="auto"/>
          <w:sz w:val="24"/>
          <w:szCs w:val="24"/>
          <w:highlight w:val="none"/>
        </w:rPr>
      </w:pPr>
      <w:r>
        <w:rPr>
          <w:color w:val="auto"/>
          <w:sz w:val="24"/>
          <w:szCs w:val="24"/>
          <w:highlight w:val="none"/>
        </w:rPr>
        <w:t>前款所称残疾人是指法定劳动年龄内，持有《中华人民共和国残疾人证》或者《中华人民共和国残疾军人证（1 至8 级）》的自然人，包括具有劳动条件和劳动意愿的精神残疾人。在职职工人数是指与残疾人福利性单位建立劳动关系并依法签订劳动合同或服务协议的雇员人数。</w:t>
      </w:r>
    </w:p>
    <w:p w14:paraId="21E88013">
      <w:pPr>
        <w:numPr>
          <w:ilvl w:val="2"/>
          <w:numId w:val="5"/>
        </w:numPr>
        <w:snapToGrid w:val="0"/>
        <w:spacing w:line="360" w:lineRule="auto"/>
        <w:rPr>
          <w:color w:val="auto"/>
          <w:sz w:val="24"/>
          <w:szCs w:val="24"/>
          <w:highlight w:val="none"/>
        </w:rPr>
      </w:pPr>
      <w:r>
        <w:rPr>
          <w:color w:val="auto"/>
          <w:sz w:val="24"/>
          <w:szCs w:val="24"/>
          <w:highlight w:val="none"/>
        </w:rPr>
        <w:t>本项目是否专门面向中小企业预留采购份额见第一章《采购邀请》。</w:t>
      </w:r>
    </w:p>
    <w:p w14:paraId="6F860F13">
      <w:pPr>
        <w:numPr>
          <w:ilvl w:val="2"/>
          <w:numId w:val="5"/>
        </w:numPr>
        <w:snapToGrid w:val="0"/>
        <w:spacing w:line="360" w:lineRule="auto"/>
        <w:rPr>
          <w:color w:val="auto"/>
          <w:sz w:val="24"/>
          <w:szCs w:val="24"/>
          <w:highlight w:val="none"/>
        </w:rPr>
      </w:pPr>
      <w:r>
        <w:rPr>
          <w:color w:val="auto"/>
          <w:sz w:val="24"/>
          <w:szCs w:val="24"/>
          <w:highlight w:val="none"/>
        </w:rPr>
        <w:t>采购标的对应的中小企业划分标准所属行业见《供应商须知资料表》。</w:t>
      </w:r>
    </w:p>
    <w:p w14:paraId="04FD3242">
      <w:pPr>
        <w:numPr>
          <w:ilvl w:val="2"/>
          <w:numId w:val="5"/>
        </w:numPr>
        <w:snapToGrid w:val="0"/>
        <w:spacing w:line="360" w:lineRule="auto"/>
        <w:rPr>
          <w:color w:val="auto"/>
          <w:sz w:val="24"/>
          <w:szCs w:val="24"/>
          <w:highlight w:val="none"/>
        </w:rPr>
      </w:pPr>
      <w:r>
        <w:rPr>
          <w:color w:val="auto"/>
          <w:sz w:val="24"/>
          <w:szCs w:val="24"/>
          <w:highlight w:val="none"/>
        </w:rPr>
        <w:t>小微企业价格评审优惠的政策调整：见第三章《评审方法和评审标准》。</w:t>
      </w:r>
    </w:p>
    <w:p w14:paraId="007DC640">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政府采购节能产品、环境标志产品</w:t>
      </w:r>
    </w:p>
    <w:p w14:paraId="742B4888">
      <w:pPr>
        <w:numPr>
          <w:ilvl w:val="2"/>
          <w:numId w:val="5"/>
        </w:numPr>
        <w:snapToGrid w:val="0"/>
        <w:spacing w:line="360" w:lineRule="auto"/>
        <w:rPr>
          <w:color w:val="auto"/>
          <w:sz w:val="24"/>
          <w:szCs w:val="24"/>
          <w:highlight w:val="none"/>
        </w:rPr>
      </w:pPr>
      <w:r>
        <w:rPr>
          <w:color w:val="auto"/>
          <w:sz w:val="24"/>
          <w:szCs w:val="24"/>
          <w:highlight w:val="none"/>
        </w:rPr>
        <w:t>政府采购节能产品、环境标志产品实施品目清单管理。财政部、发展改革委、生态环境部等部门根据产品节能环保性能、技术水平和市场成熟程度等因素，确定实施政府优先采购和强制采购的产品类别及所依据的相关标准规范，以品目清单的形式发布并适时调整。依据品目清单和认证证书实施政府优先采购和强制采购。</w:t>
      </w:r>
    </w:p>
    <w:p w14:paraId="3B8A8DF5">
      <w:pPr>
        <w:numPr>
          <w:ilvl w:val="2"/>
          <w:numId w:val="5"/>
        </w:numPr>
        <w:snapToGrid w:val="0"/>
        <w:spacing w:line="360" w:lineRule="auto"/>
        <w:rPr>
          <w:color w:val="auto"/>
          <w:sz w:val="24"/>
          <w:szCs w:val="24"/>
          <w:highlight w:val="none"/>
        </w:rPr>
      </w:pPr>
      <w:r>
        <w:rPr>
          <w:color w:val="auto"/>
          <w:sz w:val="24"/>
          <w:szCs w:val="24"/>
          <w:highlight w:val="none"/>
        </w:rPr>
        <w:t xml:space="preserve">采购人拟采购的产品属于品目清单范围的，采购人及其委托的采购代理机构依据国家确定的认证机构出具的、处于有效期之内的节能产品、环境标志产品认证证书，对获得证书的产品实施政府优先采购或强制采购。关于政府采购节能产品、环境标志产品的相关规定依据《关于调整优化节能产品、环境标志产品政府采购执行机制的通知》（财库〔2019〕9号）。 </w:t>
      </w:r>
    </w:p>
    <w:p w14:paraId="4D74BB75">
      <w:pPr>
        <w:numPr>
          <w:ilvl w:val="2"/>
          <w:numId w:val="5"/>
        </w:numPr>
        <w:snapToGrid w:val="0"/>
        <w:spacing w:line="360" w:lineRule="auto"/>
        <w:rPr>
          <w:color w:val="auto"/>
          <w:sz w:val="24"/>
          <w:szCs w:val="24"/>
          <w:highlight w:val="none"/>
        </w:rPr>
      </w:pPr>
      <w:r>
        <w:rPr>
          <w:color w:val="auto"/>
          <w:sz w:val="24"/>
          <w:szCs w:val="24"/>
          <w:highlight w:val="none"/>
        </w:rPr>
        <w:t>如本项目采购产品属于实施政府强制采购品目清单范围的节能产品，则供应商所报产品必须获得国家确定的认证机构出具的、处于有效期之内的节能产品认证证书，</w:t>
      </w:r>
      <w:r>
        <w:rPr>
          <w:color w:val="auto"/>
          <w:kern w:val="0"/>
          <w:sz w:val="24"/>
          <w:szCs w:val="24"/>
          <w:highlight w:val="none"/>
        </w:rPr>
        <w:t>否则</w:t>
      </w:r>
      <w:r>
        <w:rPr>
          <w:b/>
          <w:color w:val="auto"/>
          <w:kern w:val="0"/>
          <w:sz w:val="24"/>
          <w:szCs w:val="24"/>
          <w:highlight w:val="none"/>
        </w:rPr>
        <w:t>响应无效</w:t>
      </w:r>
      <w:r>
        <w:rPr>
          <w:color w:val="auto"/>
          <w:sz w:val="24"/>
          <w:szCs w:val="24"/>
          <w:highlight w:val="none"/>
        </w:rPr>
        <w:t>；</w:t>
      </w:r>
    </w:p>
    <w:p w14:paraId="12484DF9">
      <w:pPr>
        <w:numPr>
          <w:ilvl w:val="2"/>
          <w:numId w:val="5"/>
        </w:numPr>
        <w:snapToGrid w:val="0"/>
        <w:spacing w:line="360" w:lineRule="auto"/>
        <w:rPr>
          <w:color w:val="auto"/>
          <w:sz w:val="24"/>
          <w:szCs w:val="24"/>
          <w:highlight w:val="none"/>
        </w:rPr>
      </w:pPr>
      <w:r>
        <w:rPr>
          <w:color w:val="auto"/>
          <w:sz w:val="24"/>
          <w:szCs w:val="24"/>
          <w:highlight w:val="none"/>
        </w:rPr>
        <w:t>非政府强制采购的节能产品或环境标志产品，依据品目清单和认证证书实施政府优先采购。优先采购的具体规定见第三章《评审方法和评审标准》（如涉及）。</w:t>
      </w:r>
    </w:p>
    <w:p w14:paraId="7AE41475">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正版软件</w:t>
      </w:r>
    </w:p>
    <w:p w14:paraId="1AF1C5E4">
      <w:pPr>
        <w:numPr>
          <w:ilvl w:val="2"/>
          <w:numId w:val="5"/>
        </w:numPr>
        <w:snapToGrid w:val="0"/>
        <w:spacing w:line="360" w:lineRule="auto"/>
        <w:rPr>
          <w:color w:val="auto"/>
          <w:sz w:val="24"/>
          <w:szCs w:val="24"/>
          <w:highlight w:val="none"/>
        </w:rPr>
      </w:pPr>
      <w:r>
        <w:rPr>
          <w:color w:val="auto"/>
          <w:sz w:val="24"/>
          <w:szCs w:val="24"/>
          <w:highlight w:val="none"/>
        </w:rPr>
        <w:t>依据《财政部 国家发展改革委 信息产业部关于印发无线局域网产品政府采购实施意见的通知》（财库〔2005〕366 号），采购无线局域网产品和含有无线局域网功能的计算机、通信设备、打印机、复印机、投影仪等产品的，优先采购符合国家无线局域网安全标准（GB 15629.11/1102）并通过国家产品认证的产品，</w:t>
      </w:r>
      <w:r>
        <w:rPr>
          <w:color w:val="auto"/>
          <w:kern w:val="0"/>
          <w:sz w:val="24"/>
          <w:szCs w:val="24"/>
          <w:highlight w:val="none"/>
        </w:rPr>
        <w:t>否则</w:t>
      </w:r>
      <w:r>
        <w:rPr>
          <w:b/>
          <w:color w:val="auto"/>
          <w:kern w:val="0"/>
          <w:sz w:val="24"/>
          <w:szCs w:val="24"/>
          <w:highlight w:val="none"/>
        </w:rPr>
        <w:t>响应无效</w:t>
      </w:r>
      <w:r>
        <w:rPr>
          <w:color w:val="auto"/>
          <w:sz w:val="24"/>
          <w:szCs w:val="24"/>
          <w:highlight w:val="none"/>
        </w:rPr>
        <w:t>。其中，国家有特殊信息安全要求的项目必须采购认证产品。财政部、国家发展改革委、信息产业部根据政府采购改革进展和无线局域网产品技术及市场成熟等情况，从国家指定的认证机构认证的生产厂商和产品型号中确定优先采购的产品，并以“无线局域网认证产品政府采购清单”（以下简称清单）的形式公布。清单中新增认证产品厂商和型号，由财政部、国家发展改革委、信息产业部以文件形式确定、公布并适时调整。</w:t>
      </w:r>
    </w:p>
    <w:p w14:paraId="48417932">
      <w:pPr>
        <w:numPr>
          <w:ilvl w:val="2"/>
          <w:numId w:val="5"/>
        </w:numPr>
        <w:snapToGrid w:val="0"/>
        <w:spacing w:line="360" w:lineRule="auto"/>
        <w:rPr>
          <w:color w:val="auto"/>
          <w:sz w:val="24"/>
          <w:szCs w:val="24"/>
          <w:highlight w:val="none"/>
        </w:rPr>
      </w:pPr>
      <w:r>
        <w:rPr>
          <w:color w:val="auto"/>
          <w:sz w:val="24"/>
          <w:szCs w:val="24"/>
          <w:highlight w:val="none"/>
        </w:rPr>
        <w:t>各级政府部门在购置计算机办公设备时，必须采购预装正版操作系统软件的计算机产品，相关规定依据《国家版权局、信息产业部、财政部、国务院机关事务管理局关于政府部门购置计算机办公设备必须采购已预装正版操作系统软件产品的通知》（国权联〔2006〕1 号）、《国务院办公厅关于进一步做好政府机关使用正版软件工作的通知》（国办发〔2010〕47 号）、《财政部关于进一步做好政府机关使用正版软件工作的通知》（财预〔2010〕536 号）。</w:t>
      </w:r>
    </w:p>
    <w:p w14:paraId="12D343F1">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网络安全专用产品</w:t>
      </w:r>
    </w:p>
    <w:p w14:paraId="726A1A2A">
      <w:pPr>
        <w:numPr>
          <w:ilvl w:val="2"/>
          <w:numId w:val="5"/>
        </w:numPr>
        <w:tabs>
          <w:tab w:val="left" w:pos="900"/>
          <w:tab w:val="left" w:pos="2014"/>
        </w:tabs>
        <w:snapToGrid w:val="0"/>
        <w:spacing w:line="360" w:lineRule="auto"/>
        <w:rPr>
          <w:rFonts w:eastAsiaTheme="minorEastAsia"/>
          <w:color w:val="auto"/>
          <w:sz w:val="24"/>
          <w:szCs w:val="24"/>
          <w:highlight w:val="none"/>
        </w:rPr>
      </w:pPr>
      <w:r>
        <w:rPr>
          <w:rFonts w:hint="eastAsia"/>
          <w:color w:val="auto"/>
          <w:sz w:val="24"/>
          <w:szCs w:val="24"/>
          <w:highlight w:val="none"/>
        </w:rPr>
        <w:t>根据《关于调整网络安全专用产品安全管理有关事项的公告》（2023年第1号），</w:t>
      </w:r>
      <w:r>
        <w:rPr>
          <w:color w:val="auto"/>
          <w:sz w:val="24"/>
          <w:szCs w:val="24"/>
          <w:highlight w:val="none"/>
        </w:rPr>
        <w:t>所投产品属于列入《网络关键设备和网络安全专用产品目录》的网络安全专用产品时，应当按照《信息安全技术网络安全专用产品安全技术要求》等相关国家标准的强制性要求，由具备资格的机构安全认证合格或者安全检测符合要求</w:t>
      </w:r>
      <w:r>
        <w:rPr>
          <w:rFonts w:hint="eastAsia"/>
          <w:color w:val="auto"/>
          <w:sz w:val="24"/>
          <w:szCs w:val="24"/>
          <w:highlight w:val="none"/>
        </w:rPr>
        <w:t>。</w:t>
      </w:r>
    </w:p>
    <w:p w14:paraId="770CB2E3">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推广使用低挥发性有机化合物（VOCs）</w:t>
      </w:r>
    </w:p>
    <w:p w14:paraId="3D379C16">
      <w:pPr>
        <w:numPr>
          <w:ilvl w:val="2"/>
          <w:numId w:val="5"/>
        </w:numPr>
        <w:snapToGrid w:val="0"/>
        <w:spacing w:line="360" w:lineRule="auto"/>
        <w:rPr>
          <w:color w:val="auto"/>
          <w:sz w:val="24"/>
          <w:szCs w:val="24"/>
          <w:highlight w:val="none"/>
        </w:rPr>
      </w:pPr>
      <w:r>
        <w:rPr>
          <w:color w:val="auto"/>
          <w:sz w:val="24"/>
          <w:szCs w:val="24"/>
          <w:highlight w:val="none"/>
        </w:rPr>
        <w:t>为全面推进本市挥发性有机物（VOCs）治理，贯彻落实挥发性有机物污染治理专项行动有关要求，相关规定依据《北京市财政局北京市生态环境局关于政府采购推广使用低挥发性有机化合物（VOCs）有关事项的通知》（京财采购〔2020〕2381 号）。本项目中涉及涂料、胶黏剂、油墨、清洗剂等挥发性有机物产品的，属于强制性标准的，供应商应执行符合本市和国家的VOCs 含量限制标准（具体标准见第四章《采购需求》），</w:t>
      </w:r>
      <w:r>
        <w:rPr>
          <w:color w:val="auto"/>
          <w:kern w:val="0"/>
          <w:sz w:val="24"/>
          <w:szCs w:val="24"/>
          <w:highlight w:val="none"/>
        </w:rPr>
        <w:t>否则</w:t>
      </w:r>
      <w:r>
        <w:rPr>
          <w:b/>
          <w:color w:val="auto"/>
          <w:kern w:val="0"/>
          <w:sz w:val="24"/>
          <w:szCs w:val="24"/>
          <w:highlight w:val="none"/>
        </w:rPr>
        <w:t>响应无效</w:t>
      </w:r>
      <w:r>
        <w:rPr>
          <w:color w:val="auto"/>
          <w:sz w:val="24"/>
          <w:szCs w:val="24"/>
          <w:highlight w:val="none"/>
        </w:rPr>
        <w:t>；属于推荐性标准的，优先采购，具体见第三章《评审方法和评审标准》。</w:t>
      </w:r>
    </w:p>
    <w:p w14:paraId="75AD89CA">
      <w:pPr>
        <w:numPr>
          <w:ilvl w:val="1"/>
          <w:numId w:val="5"/>
        </w:numPr>
        <w:tabs>
          <w:tab w:val="left" w:pos="1080"/>
        </w:tabs>
        <w:snapToGrid w:val="0"/>
        <w:spacing w:line="360" w:lineRule="auto"/>
        <w:rPr>
          <w:color w:val="auto"/>
          <w:sz w:val="24"/>
          <w:szCs w:val="24"/>
          <w:highlight w:val="none"/>
        </w:rPr>
      </w:pPr>
      <w:r>
        <w:rPr>
          <w:color w:val="auto"/>
          <w:sz w:val="24"/>
          <w:szCs w:val="24"/>
          <w:highlight w:val="none"/>
        </w:rPr>
        <w:t>采购需求标准</w:t>
      </w:r>
    </w:p>
    <w:p w14:paraId="1D8C092A">
      <w:pPr>
        <w:numPr>
          <w:ilvl w:val="2"/>
          <w:numId w:val="5"/>
        </w:numPr>
        <w:snapToGrid w:val="0"/>
        <w:spacing w:line="360" w:lineRule="auto"/>
        <w:rPr>
          <w:color w:val="auto"/>
          <w:sz w:val="24"/>
          <w:szCs w:val="24"/>
          <w:highlight w:val="none"/>
        </w:rPr>
      </w:pPr>
      <w:r>
        <w:rPr>
          <w:color w:val="auto"/>
          <w:sz w:val="24"/>
          <w:szCs w:val="24"/>
          <w:highlight w:val="none"/>
        </w:rPr>
        <w:t>商品包装、快递包装政府采购需求标准（试行）</w:t>
      </w:r>
    </w:p>
    <w:p w14:paraId="70F6887F">
      <w:pPr>
        <w:tabs>
          <w:tab w:val="left" w:pos="900"/>
          <w:tab w:val="left" w:pos="1980"/>
        </w:tabs>
        <w:snapToGrid w:val="0"/>
        <w:spacing w:line="360" w:lineRule="auto"/>
        <w:ind w:left="1985"/>
        <w:rPr>
          <w:color w:val="auto"/>
          <w:sz w:val="24"/>
          <w:szCs w:val="24"/>
          <w:highlight w:val="none"/>
        </w:rPr>
      </w:pPr>
      <w:r>
        <w:rPr>
          <w:color w:val="auto"/>
          <w:sz w:val="24"/>
          <w:szCs w:val="24"/>
          <w:highlight w:val="none"/>
        </w:rPr>
        <w:t>为助力打好污染防治攻坚战，推广使用绿色包装，根据财政部关于印发《商品包装政府采购需求标准（试行）》、《快递包装政府采购需求标准（试行）》的通知（财办库〔2020〕123号），本项目如涉及商品包装和快递包装的，则其具体要求见第四章《采购需求》。</w:t>
      </w:r>
    </w:p>
    <w:p w14:paraId="7CA69528">
      <w:pPr>
        <w:numPr>
          <w:ilvl w:val="2"/>
          <w:numId w:val="5"/>
        </w:numPr>
        <w:tabs>
          <w:tab w:val="left" w:pos="2014"/>
        </w:tabs>
        <w:snapToGrid w:val="0"/>
        <w:spacing w:line="360" w:lineRule="auto"/>
        <w:rPr>
          <w:color w:val="auto"/>
          <w:sz w:val="24"/>
          <w:szCs w:val="24"/>
          <w:highlight w:val="none"/>
        </w:rPr>
      </w:pPr>
      <w:r>
        <w:rPr>
          <w:rFonts w:hint="eastAsia"/>
          <w:color w:val="auto"/>
          <w:sz w:val="24"/>
          <w:szCs w:val="24"/>
          <w:highlight w:val="none"/>
        </w:rPr>
        <w:t>其他</w:t>
      </w:r>
      <w:r>
        <w:rPr>
          <w:color w:val="auto"/>
          <w:sz w:val="24"/>
          <w:szCs w:val="24"/>
          <w:highlight w:val="none"/>
        </w:rPr>
        <w:t>政府采购需求标准</w:t>
      </w:r>
      <w:r>
        <w:rPr>
          <w:rFonts w:hint="eastAsia"/>
          <w:color w:val="auto"/>
          <w:sz w:val="24"/>
          <w:szCs w:val="24"/>
          <w:highlight w:val="none"/>
        </w:rPr>
        <w:t xml:space="preserve"> </w:t>
      </w:r>
    </w:p>
    <w:p w14:paraId="6BEE6284">
      <w:pPr>
        <w:tabs>
          <w:tab w:val="left" w:pos="900"/>
          <w:tab w:val="left" w:pos="1980"/>
        </w:tabs>
        <w:snapToGrid w:val="0"/>
        <w:spacing w:line="360" w:lineRule="auto"/>
        <w:ind w:left="1980"/>
        <w:rPr>
          <w:color w:val="auto"/>
          <w:sz w:val="24"/>
          <w:szCs w:val="24"/>
          <w:highlight w:val="none"/>
        </w:rPr>
      </w:pPr>
      <w:r>
        <w:rPr>
          <w:rFonts w:hint="eastAsia"/>
          <w:color w:val="auto"/>
          <w:sz w:val="24"/>
          <w:szCs w:val="24"/>
          <w:highlight w:val="none"/>
        </w:rPr>
        <w:t>为贯彻落实《深化政府采购制度改革方案》有关要求，推动政府采购需求标准建设，</w:t>
      </w:r>
      <w:bookmarkStart w:id="155" w:name="_Hlk168431650"/>
      <w:r>
        <w:rPr>
          <w:rFonts w:hint="eastAsia"/>
          <w:color w:val="auto"/>
          <w:sz w:val="24"/>
          <w:szCs w:val="24"/>
          <w:highlight w:val="none"/>
        </w:rPr>
        <w:t>财政部门会同有关部门制定发布的</w:t>
      </w:r>
      <w:bookmarkEnd w:id="155"/>
      <w:r>
        <w:rPr>
          <w:rFonts w:hint="eastAsia"/>
          <w:color w:val="auto"/>
          <w:sz w:val="24"/>
          <w:szCs w:val="24"/>
          <w:highlight w:val="none"/>
        </w:rPr>
        <w:t>其他政府采购需求标准，</w:t>
      </w:r>
      <w:r>
        <w:rPr>
          <w:color w:val="auto"/>
          <w:sz w:val="24"/>
          <w:szCs w:val="24"/>
          <w:highlight w:val="none"/>
        </w:rPr>
        <w:t>本项目如涉及，则具体要求见第四章《采购需求》。</w:t>
      </w:r>
    </w:p>
    <w:p w14:paraId="400F28CA">
      <w:pPr>
        <w:pStyle w:val="42"/>
        <w:framePr w:wrap="around"/>
        <w:rPr>
          <w:color w:val="auto"/>
          <w:sz w:val="24"/>
          <w:szCs w:val="24"/>
          <w:highlight w:val="none"/>
        </w:rPr>
      </w:pPr>
    </w:p>
    <w:p w14:paraId="7351238B">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响应费用</w:t>
      </w:r>
    </w:p>
    <w:p w14:paraId="0ACD81D0">
      <w:pPr>
        <w:numPr>
          <w:ilvl w:val="1"/>
          <w:numId w:val="5"/>
        </w:numPr>
        <w:tabs>
          <w:tab w:val="left" w:pos="1080"/>
          <w:tab w:val="left" w:pos="2014"/>
        </w:tabs>
        <w:snapToGrid w:val="0"/>
        <w:spacing w:line="360" w:lineRule="auto"/>
        <w:ind w:left="1080" w:hanging="720"/>
        <w:rPr>
          <w:rFonts w:ascii="Times New Roman" w:hAnsi="Times New Roman" w:cs="Times New Roman" w:eastAsiaTheme="minorEastAsia"/>
          <w:color w:val="auto"/>
          <w:sz w:val="24"/>
          <w:szCs w:val="24"/>
          <w:highlight w:val="none"/>
        </w:rPr>
      </w:pPr>
      <w:r>
        <w:rPr>
          <w:rFonts w:ascii="Times New Roman" w:hAnsi="Times New Roman" w:cs="Times New Roman" w:eastAsiaTheme="minorEastAsia"/>
          <w:color w:val="auto"/>
          <w:sz w:val="24"/>
          <w:szCs w:val="24"/>
          <w:highlight w:val="none"/>
        </w:rPr>
        <w:t>供应商应自行承担所有与准备和参加磋商有关的费用，无论磋商的结果如何，采购人或采购代理机构在任何情况下均无承担这些费用的义务和责任。</w:t>
      </w:r>
    </w:p>
    <w:p w14:paraId="08F9B4D9">
      <w:pPr>
        <w:tabs>
          <w:tab w:val="left" w:pos="1080"/>
        </w:tabs>
        <w:snapToGrid w:val="0"/>
        <w:spacing w:line="360" w:lineRule="auto"/>
        <w:ind w:left="1080"/>
        <w:rPr>
          <w:color w:val="auto"/>
          <w:sz w:val="24"/>
          <w:szCs w:val="24"/>
          <w:highlight w:val="none"/>
        </w:rPr>
      </w:pPr>
      <w:bookmarkStart w:id="156" w:name="_1.8_计量单位"/>
      <w:bookmarkEnd w:id="156"/>
    </w:p>
    <w:p w14:paraId="6E9BA9B8">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   竞争性磋商文件</w:t>
      </w:r>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p>
    <w:p w14:paraId="64CADD38">
      <w:pPr>
        <w:numPr>
          <w:ilvl w:val="0"/>
          <w:numId w:val="5"/>
        </w:numPr>
        <w:tabs>
          <w:tab w:val="left" w:pos="360"/>
        </w:tabs>
        <w:snapToGrid w:val="0"/>
        <w:spacing w:line="360" w:lineRule="auto"/>
        <w:ind w:left="357" w:hanging="357"/>
        <w:outlineLvl w:val="1"/>
        <w:rPr>
          <w:color w:val="auto"/>
          <w:sz w:val="24"/>
          <w:szCs w:val="24"/>
          <w:highlight w:val="none"/>
        </w:rPr>
      </w:pPr>
      <w:bookmarkStart w:id="157" w:name="_Toc149720816"/>
      <w:bookmarkStart w:id="158" w:name="_Toc264969213"/>
      <w:bookmarkStart w:id="159" w:name="_Toc195842888"/>
      <w:bookmarkStart w:id="160" w:name="_Toc151193693"/>
      <w:bookmarkStart w:id="161" w:name="_Toc226965713"/>
      <w:bookmarkStart w:id="162" w:name="_Toc150774728"/>
      <w:bookmarkStart w:id="163" w:name="_Toc226965796"/>
      <w:bookmarkStart w:id="164" w:name="_Toc164229364"/>
      <w:bookmarkStart w:id="165" w:name="_Toc265228361"/>
      <w:bookmarkStart w:id="166" w:name="_Toc164608637"/>
      <w:bookmarkStart w:id="167" w:name="_Toc164608792"/>
      <w:bookmarkStart w:id="168" w:name="_Toc127151724"/>
      <w:bookmarkStart w:id="169" w:name="_Toc150480761"/>
      <w:bookmarkStart w:id="170" w:name="_Toc142311025"/>
      <w:bookmarkStart w:id="171" w:name="_Toc226309767"/>
      <w:bookmarkStart w:id="172" w:name="_Toc151193765"/>
      <w:bookmarkStart w:id="173" w:name="_Toc164351617"/>
      <w:bookmarkStart w:id="174" w:name="_Toc151193911"/>
      <w:bookmarkStart w:id="175" w:name="_Toc305158865"/>
      <w:bookmarkStart w:id="176" w:name="_Toc151193837"/>
      <w:bookmarkStart w:id="177" w:name="_Toc127151523"/>
      <w:bookmarkStart w:id="178" w:name="_Toc151193621"/>
      <w:bookmarkStart w:id="179" w:name="_Toc127161437"/>
      <w:bookmarkStart w:id="180" w:name="_Toc164229218"/>
      <w:bookmarkStart w:id="181" w:name="_Toc305158791"/>
      <w:bookmarkStart w:id="182" w:name="_Toc151190150"/>
      <w:bookmarkStart w:id="183" w:name="_Toc150509274"/>
      <w:bookmarkStart w:id="184" w:name="_Toc150774623"/>
      <w:bookmarkStart w:id="185" w:name="_Toc520356147"/>
      <w:bookmarkStart w:id="186" w:name="_Toc226337219"/>
      <w:r>
        <w:rPr>
          <w:color w:val="auto"/>
          <w:sz w:val="24"/>
          <w:szCs w:val="24"/>
          <w:highlight w:val="none"/>
        </w:rPr>
        <w:t>竞争性磋商文件构</w:t>
      </w:r>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r>
        <w:rPr>
          <w:color w:val="auto"/>
          <w:sz w:val="24"/>
          <w:szCs w:val="24"/>
          <w:highlight w:val="none"/>
        </w:rPr>
        <w:t>成</w:t>
      </w:r>
    </w:p>
    <w:p w14:paraId="5595A467">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竞争性磋商文件包括以下部分：</w:t>
      </w:r>
    </w:p>
    <w:p w14:paraId="68D0F54F">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采购邀请</w:t>
      </w:r>
    </w:p>
    <w:p w14:paraId="335FB523">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供应商须知</w:t>
      </w:r>
    </w:p>
    <w:p w14:paraId="79B4C698">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评审方法和评审标准</w:t>
      </w:r>
    </w:p>
    <w:p w14:paraId="2733AEFB">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采购需求</w:t>
      </w:r>
    </w:p>
    <w:p w14:paraId="6A4D85EF">
      <w:pPr>
        <w:numPr>
          <w:ilvl w:val="0"/>
          <w:numId w:val="6"/>
        </w:numPr>
        <w:tabs>
          <w:tab w:val="left" w:pos="1980"/>
          <w:tab w:val="left" w:pos="2520"/>
        </w:tabs>
        <w:snapToGrid w:val="0"/>
        <w:spacing w:line="360" w:lineRule="auto"/>
        <w:ind w:left="1440" w:firstLine="5"/>
        <w:rPr>
          <w:color w:val="auto"/>
          <w:sz w:val="24"/>
          <w:szCs w:val="24"/>
          <w:highlight w:val="none"/>
        </w:rPr>
      </w:pPr>
      <w:r>
        <w:rPr>
          <w:rFonts w:hint="eastAsia"/>
          <w:color w:val="auto"/>
          <w:sz w:val="24"/>
          <w:szCs w:val="24"/>
          <w:highlight w:val="none"/>
          <w:lang w:val="en-US" w:eastAsia="zh-CN"/>
        </w:rPr>
        <w:t>工程量清单</w:t>
      </w:r>
    </w:p>
    <w:p w14:paraId="04CC8D1B">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合同草案条款</w:t>
      </w:r>
    </w:p>
    <w:p w14:paraId="364E07F2">
      <w:pPr>
        <w:numPr>
          <w:ilvl w:val="0"/>
          <w:numId w:val="6"/>
        </w:numPr>
        <w:tabs>
          <w:tab w:val="left" w:pos="1980"/>
          <w:tab w:val="left" w:pos="2520"/>
        </w:tabs>
        <w:snapToGrid w:val="0"/>
        <w:spacing w:line="360" w:lineRule="auto"/>
        <w:ind w:left="1440" w:firstLine="5"/>
        <w:rPr>
          <w:color w:val="auto"/>
          <w:sz w:val="24"/>
          <w:szCs w:val="24"/>
          <w:highlight w:val="none"/>
        </w:rPr>
      </w:pPr>
      <w:r>
        <w:rPr>
          <w:color w:val="auto"/>
          <w:sz w:val="24"/>
          <w:szCs w:val="24"/>
          <w:highlight w:val="none"/>
        </w:rPr>
        <w:t>响应文件格式</w:t>
      </w:r>
    </w:p>
    <w:p w14:paraId="6A939F29">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供应商应认真阅读竞争性磋商文件的全部内容。供应商应按照竞争性磋商文件要求提交响应文件并保证所提供的全部资料的真实性，并对竞争性磋商文件做出实质性响应，否则</w:t>
      </w:r>
      <w:r>
        <w:rPr>
          <w:b/>
          <w:color w:val="auto"/>
          <w:sz w:val="24"/>
          <w:szCs w:val="24"/>
          <w:highlight w:val="none"/>
        </w:rPr>
        <w:t>响应无效</w:t>
      </w:r>
      <w:r>
        <w:rPr>
          <w:color w:val="auto"/>
          <w:sz w:val="24"/>
          <w:szCs w:val="24"/>
          <w:highlight w:val="none"/>
        </w:rPr>
        <w:t>。</w:t>
      </w:r>
    </w:p>
    <w:p w14:paraId="3C4DD657">
      <w:pPr>
        <w:numPr>
          <w:ilvl w:val="0"/>
          <w:numId w:val="5"/>
        </w:numPr>
        <w:tabs>
          <w:tab w:val="left" w:pos="1080"/>
          <w:tab w:val="left" w:pos="2014"/>
        </w:tabs>
        <w:snapToGrid w:val="0"/>
        <w:spacing w:line="360" w:lineRule="auto"/>
        <w:ind w:left="357" w:hanging="357"/>
        <w:outlineLvl w:val="1"/>
        <w:rPr>
          <w:color w:val="auto"/>
          <w:sz w:val="24"/>
          <w:szCs w:val="24"/>
          <w:highlight w:val="none"/>
        </w:rPr>
      </w:pPr>
      <w:r>
        <w:rPr>
          <w:color w:val="auto"/>
          <w:sz w:val="24"/>
          <w:szCs w:val="24"/>
          <w:highlight w:val="none"/>
        </w:rPr>
        <w:t>对竞争性磋商文件的澄清或修改</w:t>
      </w:r>
    </w:p>
    <w:p w14:paraId="11249768">
      <w:pPr>
        <w:numPr>
          <w:ilvl w:val="1"/>
          <w:numId w:val="5"/>
        </w:numPr>
        <w:tabs>
          <w:tab w:val="left" w:pos="1080"/>
          <w:tab w:val="left" w:pos="1561"/>
          <w:tab w:val="left" w:pos="2014"/>
        </w:tabs>
        <w:snapToGrid w:val="0"/>
        <w:spacing w:line="360" w:lineRule="auto"/>
        <w:ind w:left="1080" w:hanging="720"/>
        <w:rPr>
          <w:color w:val="auto"/>
          <w:sz w:val="24"/>
          <w:szCs w:val="24"/>
          <w:highlight w:val="none"/>
        </w:rPr>
      </w:pPr>
      <w:r>
        <w:rPr>
          <w:color w:val="auto"/>
          <w:sz w:val="24"/>
          <w:szCs w:val="24"/>
          <w:highlight w:val="none"/>
        </w:rPr>
        <w:t>采购人或采购代理机构对已发出的竞争性磋商文件进行必要澄清或者修改的，</w:t>
      </w:r>
      <w:r>
        <w:rPr>
          <w:rFonts w:hint="eastAsia"/>
          <w:color w:val="auto"/>
          <w:sz w:val="24"/>
          <w:szCs w:val="24"/>
          <w:highlight w:val="none"/>
        </w:rPr>
        <w:t>将</w:t>
      </w:r>
      <w:r>
        <w:rPr>
          <w:color w:val="auto"/>
          <w:sz w:val="24"/>
          <w:szCs w:val="24"/>
          <w:highlight w:val="none"/>
        </w:rPr>
        <w:t>以书面形式通知所有获取竞争性磋商文件的潜在供应商。</w:t>
      </w:r>
      <w:r>
        <w:rPr>
          <w:rFonts w:hint="eastAsia"/>
          <w:color w:val="auto"/>
          <w:sz w:val="24"/>
          <w:szCs w:val="24"/>
          <w:highlight w:val="none"/>
        </w:rPr>
        <w:t>采用公告方式邀请供应商参与的，还将</w:t>
      </w:r>
      <w:r>
        <w:rPr>
          <w:color w:val="auto"/>
          <w:sz w:val="24"/>
          <w:szCs w:val="24"/>
          <w:highlight w:val="none"/>
        </w:rPr>
        <w:t>在原公告发布媒体上发布更正公告</w:t>
      </w:r>
      <w:r>
        <w:rPr>
          <w:rFonts w:hint="eastAsia"/>
          <w:color w:val="auto"/>
          <w:sz w:val="24"/>
          <w:szCs w:val="24"/>
          <w:highlight w:val="none"/>
        </w:rPr>
        <w:t>。</w:t>
      </w:r>
    </w:p>
    <w:p w14:paraId="43D1356A">
      <w:pPr>
        <w:numPr>
          <w:ilvl w:val="1"/>
          <w:numId w:val="5"/>
        </w:numPr>
        <w:tabs>
          <w:tab w:val="left" w:pos="1080"/>
          <w:tab w:val="left" w:pos="1561"/>
          <w:tab w:val="left" w:pos="2014"/>
        </w:tabs>
        <w:snapToGrid w:val="0"/>
        <w:spacing w:line="360" w:lineRule="auto"/>
        <w:ind w:left="1080" w:hanging="720"/>
        <w:rPr>
          <w:color w:val="auto"/>
          <w:sz w:val="24"/>
          <w:szCs w:val="24"/>
          <w:highlight w:val="none"/>
        </w:rPr>
      </w:pPr>
      <w:r>
        <w:rPr>
          <w:color w:val="auto"/>
          <w:sz w:val="24"/>
          <w:szCs w:val="24"/>
          <w:highlight w:val="none"/>
        </w:rPr>
        <w:t>上述书面通知，按照获取竞争性磋商文件的潜在供应商提供的联系方式发出，因提供的信息有误导致通知延迟或无法通知的，采购人或采购代理机构不承担责任。</w:t>
      </w:r>
    </w:p>
    <w:p w14:paraId="4BFB0C08">
      <w:pPr>
        <w:numPr>
          <w:ilvl w:val="1"/>
          <w:numId w:val="5"/>
        </w:numPr>
        <w:tabs>
          <w:tab w:val="left" w:pos="1080"/>
          <w:tab w:val="left" w:pos="1561"/>
          <w:tab w:val="left" w:pos="2014"/>
        </w:tabs>
        <w:snapToGrid w:val="0"/>
        <w:spacing w:line="360" w:lineRule="auto"/>
        <w:ind w:left="1080" w:hanging="720"/>
        <w:rPr>
          <w:color w:val="auto"/>
          <w:sz w:val="24"/>
          <w:szCs w:val="24"/>
          <w:highlight w:val="none"/>
        </w:rPr>
      </w:pPr>
      <w:r>
        <w:rPr>
          <w:color w:val="auto"/>
          <w:sz w:val="24"/>
          <w:szCs w:val="24"/>
          <w:highlight w:val="none"/>
        </w:rPr>
        <w:t>澄清或者修改的内容为竞争性磋商文件的组成部分，并对所有获取竞争性磋商文件的潜在供应商具有约束力。澄清或者修改的内容可能影响响应文件编制的，将在提交首次响应文件截止之日3个工作日前；不足上述时间的，将顺延提交响应文件的截止时间。</w:t>
      </w:r>
    </w:p>
    <w:p w14:paraId="790977A7">
      <w:pPr>
        <w:tabs>
          <w:tab w:val="left" w:pos="1080"/>
          <w:tab w:val="left" w:pos="1561"/>
        </w:tabs>
        <w:snapToGrid w:val="0"/>
        <w:spacing w:line="360" w:lineRule="auto"/>
        <w:ind w:left="1080"/>
        <w:rPr>
          <w:color w:val="auto"/>
          <w:sz w:val="24"/>
          <w:szCs w:val="24"/>
          <w:highlight w:val="none"/>
        </w:rPr>
      </w:pPr>
      <w:bookmarkStart w:id="187" w:name="_Toc516367020"/>
      <w:bookmarkStart w:id="188" w:name="_Toc151193914"/>
      <w:bookmarkStart w:id="189" w:name="_Toc226965716"/>
      <w:bookmarkStart w:id="190" w:name="_Toc150774731"/>
      <w:bookmarkStart w:id="191" w:name="_Toc305158794"/>
      <w:bookmarkStart w:id="192" w:name="_Toc151193768"/>
      <w:bookmarkStart w:id="193" w:name="_Toc305158868"/>
      <w:bookmarkStart w:id="194" w:name="_Toc520356150"/>
      <w:bookmarkStart w:id="195" w:name="_Toc195842891"/>
      <w:bookmarkStart w:id="196" w:name="_Toc150480764"/>
      <w:bookmarkStart w:id="197" w:name="_Toc264969216"/>
      <w:bookmarkStart w:id="198" w:name="_Toc151193696"/>
      <w:bookmarkStart w:id="199" w:name="_Toc226337222"/>
      <w:bookmarkStart w:id="200" w:name="_Toc150509277"/>
      <w:bookmarkStart w:id="201" w:name="_Toc226309770"/>
      <w:bookmarkStart w:id="202" w:name="_Toc151193624"/>
      <w:bookmarkStart w:id="203" w:name="_Toc226965799"/>
      <w:bookmarkStart w:id="204" w:name="_Toc150774626"/>
      <w:bookmarkStart w:id="205" w:name="_Toc265228364"/>
      <w:bookmarkStart w:id="206" w:name="_Toc142311028"/>
      <w:bookmarkStart w:id="207" w:name="_Toc151193840"/>
      <w:bookmarkStart w:id="208" w:name="_Toc127151526"/>
      <w:bookmarkStart w:id="209" w:name="_Toc151190153"/>
    </w:p>
    <w:p w14:paraId="7B403F52">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三   响应文件</w:t>
      </w:r>
      <w:bookmarkEnd w:id="187"/>
      <w:r>
        <w:rPr>
          <w:rFonts w:ascii="Times New Roman" w:hAnsi="Times New Roman" w:eastAsia="宋体"/>
          <w:color w:val="auto"/>
          <w:sz w:val="24"/>
          <w:szCs w:val="24"/>
          <w:highlight w:val="none"/>
        </w:rPr>
        <w:t>的编制</w:t>
      </w:r>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p>
    <w:p w14:paraId="6ACA1E27">
      <w:pPr>
        <w:numPr>
          <w:ilvl w:val="0"/>
          <w:numId w:val="5"/>
        </w:numPr>
        <w:tabs>
          <w:tab w:val="left" w:pos="360"/>
        </w:tabs>
        <w:snapToGrid w:val="0"/>
        <w:spacing w:line="360" w:lineRule="auto"/>
        <w:ind w:left="357" w:hanging="357"/>
        <w:outlineLvl w:val="1"/>
        <w:rPr>
          <w:color w:val="auto"/>
          <w:sz w:val="24"/>
          <w:szCs w:val="24"/>
          <w:highlight w:val="none"/>
        </w:rPr>
      </w:pPr>
      <w:bookmarkStart w:id="210" w:name="_Toc150480765"/>
      <w:bookmarkStart w:id="211" w:name="_Toc151193915"/>
      <w:bookmarkStart w:id="212" w:name="_Toc226965717"/>
      <w:bookmarkStart w:id="213" w:name="_Toc151190154"/>
      <w:bookmarkStart w:id="214" w:name="_Toc264969217"/>
      <w:bookmarkStart w:id="215" w:name="_Toc516367021"/>
      <w:bookmarkStart w:id="216" w:name="_Toc151193625"/>
      <w:bookmarkStart w:id="217" w:name="_Toc265228365"/>
      <w:bookmarkStart w:id="218" w:name="_Toc151193841"/>
      <w:bookmarkStart w:id="219" w:name="_Toc305158869"/>
      <w:bookmarkStart w:id="220" w:name="_Toc164608796"/>
      <w:bookmarkStart w:id="221" w:name="_Toc164608641"/>
      <w:bookmarkStart w:id="222" w:name="_Toc150774732"/>
      <w:bookmarkStart w:id="223" w:name="_Toc226965800"/>
      <w:bookmarkStart w:id="224" w:name="_Toc150774627"/>
      <w:bookmarkStart w:id="225" w:name="_Toc226337223"/>
      <w:bookmarkStart w:id="226" w:name="_Toc305158795"/>
      <w:bookmarkStart w:id="227" w:name="_Toc127151527"/>
      <w:bookmarkStart w:id="228" w:name="_Toc164229368"/>
      <w:bookmarkStart w:id="229" w:name="_Toc149720820"/>
      <w:bookmarkStart w:id="230" w:name="_Toc164229222"/>
      <w:bookmarkStart w:id="231" w:name="_Toc195842892"/>
      <w:bookmarkStart w:id="232" w:name="_Toc127161441"/>
      <w:bookmarkStart w:id="233" w:name="_Toc150509278"/>
      <w:bookmarkStart w:id="234" w:name="_Toc151193769"/>
      <w:bookmarkStart w:id="235" w:name="_Toc127151728"/>
      <w:bookmarkStart w:id="236" w:name="_Toc164351621"/>
      <w:bookmarkStart w:id="237" w:name="_Toc226309771"/>
      <w:bookmarkStart w:id="238" w:name="_Toc142311029"/>
      <w:bookmarkStart w:id="239" w:name="_Toc520356151"/>
      <w:bookmarkStart w:id="240" w:name="_Toc151193697"/>
      <w:r>
        <w:rPr>
          <w:color w:val="auto"/>
          <w:sz w:val="24"/>
          <w:szCs w:val="24"/>
          <w:highlight w:val="none"/>
        </w:rPr>
        <w:t>响应范围、竞争性磋商文件中计量单位的使用</w:t>
      </w:r>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r>
        <w:rPr>
          <w:color w:val="auto"/>
          <w:sz w:val="24"/>
          <w:szCs w:val="24"/>
          <w:highlight w:val="none"/>
        </w:rPr>
        <w:t>及磋商语言</w:t>
      </w:r>
    </w:p>
    <w:p w14:paraId="66F3B7A0">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本项目如划分采购包，供应商可以对本项目的其中一个采购包进行响应，也可同时对多个采购包进行响应。供应商应当对所报采购包对应第四章《采购需求》所列的全部内容进行响应，不得将一个采购包中的内容拆开响应，否则其对该采购包</w:t>
      </w:r>
      <w:r>
        <w:rPr>
          <w:b/>
          <w:color w:val="auto"/>
          <w:sz w:val="24"/>
          <w:szCs w:val="24"/>
          <w:highlight w:val="none"/>
        </w:rPr>
        <w:t>响应无效</w:t>
      </w:r>
      <w:r>
        <w:rPr>
          <w:color w:val="auto"/>
          <w:sz w:val="24"/>
          <w:szCs w:val="24"/>
          <w:highlight w:val="none"/>
        </w:rPr>
        <w:t>。</w:t>
      </w:r>
    </w:p>
    <w:p w14:paraId="2ED85FE6">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除竞争性磋商文件有特殊要求外，本项目磋商所使用的计量单位，应采用中华人民共和国法定计量单位。</w:t>
      </w:r>
    </w:p>
    <w:p w14:paraId="3DE3CE2D">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除专用术语外，响应文件及来往函电均应使用中文书写。必要时专用术语应附有中文解释。供应商提交的支持资料和已印制的文献可以用外文，但相应内容应附有中文翻译本，在解释响应文件时以中文翻译本为准。未附中文翻译本或翻译本中文内容明显与外文内容不一致的，其不利后果由供应商自行承担。</w:t>
      </w:r>
    </w:p>
    <w:p w14:paraId="67696318">
      <w:pPr>
        <w:numPr>
          <w:ilvl w:val="0"/>
          <w:numId w:val="5"/>
        </w:numPr>
        <w:tabs>
          <w:tab w:val="left" w:pos="360"/>
        </w:tabs>
        <w:snapToGrid w:val="0"/>
        <w:spacing w:line="360" w:lineRule="auto"/>
        <w:ind w:left="357" w:hanging="357"/>
        <w:outlineLvl w:val="1"/>
        <w:rPr>
          <w:color w:val="auto"/>
          <w:sz w:val="24"/>
          <w:szCs w:val="24"/>
          <w:highlight w:val="none"/>
        </w:rPr>
      </w:pPr>
      <w:bookmarkStart w:id="241" w:name="_Ref467306195"/>
      <w:bookmarkStart w:id="242" w:name="_Ref467306676"/>
      <w:bookmarkStart w:id="243" w:name="_Toc516367022"/>
      <w:bookmarkStart w:id="244" w:name="_Toc151190155"/>
      <w:bookmarkStart w:id="245" w:name="_Toc264969218"/>
      <w:bookmarkStart w:id="246" w:name="_Toc127161442"/>
      <w:bookmarkStart w:id="247" w:name="_Toc151193770"/>
      <w:bookmarkStart w:id="248" w:name="_Toc164229223"/>
      <w:bookmarkStart w:id="249" w:name="_Toc305158870"/>
      <w:bookmarkStart w:id="250" w:name="_Toc305158796"/>
      <w:bookmarkStart w:id="251" w:name="_Toc150480766"/>
      <w:bookmarkStart w:id="252" w:name="_Toc151193626"/>
      <w:bookmarkStart w:id="253" w:name="_Toc164608797"/>
      <w:bookmarkStart w:id="254" w:name="_Toc164351622"/>
      <w:bookmarkStart w:id="255" w:name="_Toc151193842"/>
      <w:bookmarkStart w:id="256" w:name="_Toc195842893"/>
      <w:bookmarkStart w:id="257" w:name="_Toc150774628"/>
      <w:bookmarkStart w:id="258" w:name="_Toc164229369"/>
      <w:bookmarkStart w:id="259" w:name="_Toc127151528"/>
      <w:bookmarkStart w:id="260" w:name="_Toc226309772"/>
      <w:bookmarkStart w:id="261" w:name="_Toc520356152"/>
      <w:bookmarkStart w:id="262" w:name="_Toc265228366"/>
      <w:bookmarkStart w:id="263" w:name="_Toc226965801"/>
      <w:bookmarkStart w:id="264" w:name="_Toc226337224"/>
      <w:bookmarkStart w:id="265" w:name="_Toc142311030"/>
      <w:bookmarkStart w:id="266" w:name="_Toc164608642"/>
      <w:bookmarkStart w:id="267" w:name="_Toc149720821"/>
      <w:bookmarkStart w:id="268" w:name="_Toc150774733"/>
      <w:bookmarkStart w:id="269" w:name="_Toc127151729"/>
      <w:bookmarkStart w:id="270" w:name="_Toc150509279"/>
      <w:bookmarkStart w:id="271" w:name="_Toc151193916"/>
      <w:bookmarkStart w:id="272" w:name="_Toc226965718"/>
      <w:bookmarkStart w:id="273" w:name="_Toc151193698"/>
      <w:r>
        <w:rPr>
          <w:color w:val="auto"/>
          <w:sz w:val="24"/>
          <w:szCs w:val="24"/>
          <w:highlight w:val="none"/>
        </w:rPr>
        <w:t>响应文件</w:t>
      </w:r>
      <w:bookmarkEnd w:id="241"/>
      <w:bookmarkEnd w:id="242"/>
      <w:bookmarkEnd w:id="243"/>
      <w:r>
        <w:rPr>
          <w:color w:val="auto"/>
          <w:sz w:val="24"/>
          <w:szCs w:val="24"/>
          <w:highlight w:val="none"/>
        </w:rPr>
        <w:t>构成</w:t>
      </w:r>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p>
    <w:p w14:paraId="510B8C40">
      <w:pPr>
        <w:numPr>
          <w:ilvl w:val="1"/>
          <w:numId w:val="5"/>
        </w:numPr>
        <w:tabs>
          <w:tab w:val="left" w:pos="1080"/>
          <w:tab w:val="left" w:pos="2014"/>
        </w:tabs>
        <w:snapToGrid w:val="0"/>
        <w:spacing w:line="360" w:lineRule="auto"/>
        <w:ind w:left="1077" w:hanging="720"/>
        <w:rPr>
          <w:color w:val="auto"/>
          <w:sz w:val="24"/>
          <w:szCs w:val="24"/>
          <w:highlight w:val="none"/>
        </w:rPr>
      </w:pPr>
      <w:bookmarkStart w:id="274" w:name="_Ref467052588"/>
      <w:r>
        <w:rPr>
          <w:color w:val="auto"/>
          <w:sz w:val="24"/>
          <w:szCs w:val="24"/>
          <w:highlight w:val="none"/>
        </w:rPr>
        <w:t>供应商应当按照竞争性磋商文件的要求编制响应文件，</w:t>
      </w:r>
      <w:r>
        <w:rPr>
          <w:color w:val="auto"/>
          <w:kern w:val="0"/>
          <w:sz w:val="24"/>
          <w:szCs w:val="24"/>
          <w:highlight w:val="none"/>
        </w:rPr>
        <w:t>并对其提交的响应文件的真实性、合法性承担法律责任</w:t>
      </w:r>
      <w:r>
        <w:rPr>
          <w:color w:val="auto"/>
          <w:sz w:val="24"/>
          <w:szCs w:val="24"/>
          <w:highlight w:val="none"/>
        </w:rPr>
        <w:t>。响应文件的部分格式要求，见第六章《响应文件格式》。</w:t>
      </w:r>
    </w:p>
    <w:p w14:paraId="431048BE">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kern w:val="0"/>
          <w:sz w:val="24"/>
          <w:szCs w:val="24"/>
          <w:highlight w:val="none"/>
        </w:rPr>
        <w:t>对于竞争性磋商文件中标记了“实质性格式”文件的，</w:t>
      </w:r>
      <w:r>
        <w:rPr>
          <w:color w:val="auto"/>
          <w:sz w:val="24"/>
          <w:szCs w:val="24"/>
          <w:highlight w:val="none"/>
        </w:rPr>
        <w:t>供应商不得改变格式中给定的文字所表达的含义，不得删减格式中的实质性内容，不得自行添加与格式中给定的文字内容相矛盾的内容，不得对应当填写的空格不填写或不实质性响应，</w:t>
      </w:r>
      <w:r>
        <w:rPr>
          <w:b/>
          <w:color w:val="auto"/>
          <w:kern w:val="0"/>
          <w:sz w:val="24"/>
          <w:szCs w:val="24"/>
          <w:highlight w:val="none"/>
        </w:rPr>
        <w:t>否则响应无效</w:t>
      </w:r>
      <w:r>
        <w:rPr>
          <w:color w:val="auto"/>
          <w:kern w:val="0"/>
          <w:sz w:val="24"/>
          <w:szCs w:val="24"/>
          <w:highlight w:val="none"/>
        </w:rPr>
        <w:t>。未标记“实质性格式”的文件和竞争性磋商文件未提供格式的内容，可由供应商自行编写。</w:t>
      </w:r>
    </w:p>
    <w:p w14:paraId="62C38487">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第三章《评审方法和评审标准》中涉及的证明文件。</w:t>
      </w:r>
    </w:p>
    <w:p w14:paraId="01C01147">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对照第四章《采购需求》，说明所提供货物和服务已对第四章《采购需求》做出了响应，或申明与第四章《采购需求》的偏差和例外。如第四章《采购需求》中要求提供证明文件的，供应商应当按具体要求提供证明文件。</w:t>
      </w:r>
    </w:p>
    <w:p w14:paraId="4063894A">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供应商认为应附的其他材料。</w:t>
      </w:r>
      <w:bookmarkEnd w:id="274"/>
    </w:p>
    <w:p w14:paraId="4596B413">
      <w:pPr>
        <w:numPr>
          <w:ilvl w:val="0"/>
          <w:numId w:val="5"/>
        </w:numPr>
        <w:tabs>
          <w:tab w:val="left" w:pos="360"/>
        </w:tabs>
        <w:snapToGrid w:val="0"/>
        <w:spacing w:line="360" w:lineRule="auto"/>
        <w:ind w:left="357" w:hanging="357"/>
        <w:outlineLvl w:val="1"/>
        <w:rPr>
          <w:color w:val="auto"/>
          <w:sz w:val="24"/>
          <w:szCs w:val="24"/>
          <w:highlight w:val="none"/>
        </w:rPr>
      </w:pPr>
      <w:bookmarkStart w:id="275" w:name="_Toc164608799"/>
      <w:bookmarkStart w:id="276" w:name="_Toc150774630"/>
      <w:bookmarkStart w:id="277" w:name="_Toc164229371"/>
      <w:bookmarkStart w:id="278" w:name="_Toc142311032"/>
      <w:bookmarkStart w:id="279" w:name="_Toc127151530"/>
      <w:bookmarkStart w:id="280" w:name="_Toc150509281"/>
      <w:bookmarkStart w:id="281" w:name="_Toc150480768"/>
      <w:bookmarkStart w:id="282" w:name="_Toc127151731"/>
      <w:bookmarkStart w:id="283" w:name="_Toc151193772"/>
      <w:bookmarkStart w:id="284" w:name="_Toc151193700"/>
      <w:bookmarkStart w:id="285" w:name="_Toc150774735"/>
      <w:bookmarkStart w:id="286" w:name="_Toc151193844"/>
      <w:bookmarkStart w:id="287" w:name="_Toc520356155"/>
      <w:bookmarkStart w:id="288" w:name="_Toc164229225"/>
      <w:bookmarkStart w:id="289" w:name="_Toc127161444"/>
      <w:bookmarkStart w:id="290" w:name="_Toc164608644"/>
      <w:bookmarkStart w:id="291" w:name="_Toc151193628"/>
      <w:bookmarkStart w:id="292" w:name="_Toc151190157"/>
      <w:bookmarkStart w:id="293" w:name="_Toc149720823"/>
      <w:bookmarkStart w:id="294" w:name="_Toc164351624"/>
      <w:bookmarkStart w:id="295" w:name="_Toc151193918"/>
      <w:bookmarkStart w:id="296" w:name="_Toc195842895"/>
      <w:r>
        <w:rPr>
          <w:color w:val="auto"/>
          <w:sz w:val="24"/>
          <w:szCs w:val="24"/>
          <w:highlight w:val="none"/>
        </w:rPr>
        <w:t>报价</w:t>
      </w:r>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p>
    <w:p w14:paraId="418725BA">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所有响应均以人民币报价。</w:t>
      </w:r>
    </w:p>
    <w:p w14:paraId="78BF2ED4">
      <w:pPr>
        <w:numPr>
          <w:ilvl w:val="1"/>
          <w:numId w:val="5"/>
        </w:numPr>
        <w:tabs>
          <w:tab w:val="left" w:pos="1080"/>
        </w:tabs>
        <w:snapToGrid w:val="0"/>
        <w:spacing w:line="360" w:lineRule="auto"/>
        <w:rPr>
          <w:color w:val="auto"/>
          <w:sz w:val="24"/>
          <w:szCs w:val="24"/>
          <w:highlight w:val="none"/>
        </w:rPr>
      </w:pPr>
      <w:r>
        <w:rPr>
          <w:color w:val="auto"/>
          <w:sz w:val="24"/>
          <w:szCs w:val="24"/>
          <w:highlight w:val="none"/>
        </w:rPr>
        <w:t>供应商的报价应包括为完成本项目所发生的一切费用和税费，采购人将不再支付报价以外的任何费用。</w:t>
      </w:r>
      <w:r>
        <w:rPr>
          <w:rFonts w:hint="eastAsia"/>
          <w:color w:val="auto"/>
          <w:sz w:val="24"/>
          <w:szCs w:val="24"/>
          <w:highlight w:val="none"/>
        </w:rPr>
        <w:t>供应商的报价应包括但不限于下列内容，《供应商须知资料表》中有特殊规定的，从其规定。</w:t>
      </w:r>
    </w:p>
    <w:p w14:paraId="5974682F">
      <w:pPr>
        <w:numPr>
          <w:ilvl w:val="2"/>
          <w:numId w:val="5"/>
        </w:numPr>
        <w:snapToGrid w:val="0"/>
        <w:spacing w:line="360" w:lineRule="auto"/>
        <w:rPr>
          <w:color w:val="auto"/>
          <w:sz w:val="24"/>
          <w:szCs w:val="24"/>
          <w:highlight w:val="none"/>
        </w:rPr>
      </w:pPr>
      <w:r>
        <w:rPr>
          <w:color w:val="auto"/>
          <w:sz w:val="24"/>
          <w:szCs w:val="24"/>
          <w:highlight w:val="none"/>
        </w:rPr>
        <w:t xml:space="preserve">所报货物及标准附件、备品备件、专用工具等的出厂价（包括已在中国国内的进口货物完税后的仓库交货价、展室交货价或货架交货价）和运至最终目的地的运输费和保险费，安装调试、检验、技术服务、培训、质量保证、售后服务、税费等。 </w:t>
      </w:r>
    </w:p>
    <w:p w14:paraId="61CDC5F0">
      <w:pPr>
        <w:numPr>
          <w:ilvl w:val="2"/>
          <w:numId w:val="5"/>
        </w:numPr>
        <w:snapToGrid w:val="0"/>
        <w:spacing w:line="360" w:lineRule="auto"/>
        <w:rPr>
          <w:color w:val="auto"/>
          <w:sz w:val="24"/>
          <w:szCs w:val="24"/>
          <w:highlight w:val="none"/>
        </w:rPr>
      </w:pPr>
      <w:r>
        <w:rPr>
          <w:color w:val="auto"/>
          <w:sz w:val="24"/>
          <w:szCs w:val="24"/>
          <w:highlight w:val="none"/>
        </w:rPr>
        <w:t>按照竞争性磋商文件要求完成本项</w:t>
      </w:r>
      <w:r>
        <w:rPr>
          <w:rFonts w:hint="eastAsia"/>
          <w:color w:val="auto"/>
          <w:sz w:val="24"/>
          <w:szCs w:val="24"/>
          <w:highlight w:val="none"/>
        </w:rPr>
        <w:t>目的全部相关工程或服务费用。</w:t>
      </w:r>
    </w:p>
    <w:p w14:paraId="2E2F737C">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采购人不得向供应商索要或者接受其给予的赠品、回扣或者与采购无关的其他商品、服务。</w:t>
      </w:r>
    </w:p>
    <w:p w14:paraId="6D6E3A14">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供应商不能提供任何有选择性或可调整的最后报价（</w:t>
      </w:r>
      <w:r>
        <w:rPr>
          <w:color w:val="auto"/>
          <w:kern w:val="0"/>
          <w:sz w:val="24"/>
          <w:szCs w:val="24"/>
          <w:highlight w:val="none"/>
        </w:rPr>
        <w:t>竞争性磋商文件</w:t>
      </w:r>
      <w:r>
        <w:rPr>
          <w:color w:val="auto"/>
          <w:sz w:val="24"/>
          <w:szCs w:val="24"/>
          <w:highlight w:val="none"/>
        </w:rPr>
        <w:t>另有规定的除外），否则其</w:t>
      </w:r>
      <w:r>
        <w:rPr>
          <w:b/>
          <w:color w:val="auto"/>
          <w:sz w:val="24"/>
          <w:szCs w:val="24"/>
          <w:highlight w:val="none"/>
        </w:rPr>
        <w:t>响应无效</w:t>
      </w:r>
      <w:r>
        <w:rPr>
          <w:color w:val="auto"/>
          <w:sz w:val="24"/>
          <w:szCs w:val="24"/>
          <w:highlight w:val="none"/>
        </w:rPr>
        <w:t>。</w:t>
      </w:r>
    </w:p>
    <w:p w14:paraId="38B70FE5">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磋商保证金</w:t>
      </w:r>
    </w:p>
    <w:p w14:paraId="61E99D21">
      <w:pPr>
        <w:numPr>
          <w:ilvl w:val="1"/>
          <w:numId w:val="5"/>
        </w:numPr>
        <w:tabs>
          <w:tab w:val="left" w:pos="1080"/>
          <w:tab w:val="left" w:pos="2014"/>
        </w:tabs>
        <w:snapToGrid w:val="0"/>
        <w:spacing w:line="360" w:lineRule="auto"/>
        <w:ind w:left="1077" w:hanging="720"/>
        <w:rPr>
          <w:color w:val="auto"/>
          <w:sz w:val="24"/>
          <w:szCs w:val="24"/>
          <w:highlight w:val="none"/>
        </w:rPr>
      </w:pPr>
      <w:bookmarkStart w:id="297" w:name="_Ref467306302"/>
      <w:r>
        <w:rPr>
          <w:color w:val="auto"/>
          <w:sz w:val="24"/>
          <w:szCs w:val="24"/>
          <w:highlight w:val="none"/>
        </w:rPr>
        <w:t>供应商应按《供应商须知资料表》中规定的金额及要求交纳磋商保证金</w:t>
      </w:r>
      <w:bookmarkEnd w:id="297"/>
      <w:r>
        <w:rPr>
          <w:color w:val="auto"/>
          <w:sz w:val="24"/>
          <w:szCs w:val="24"/>
          <w:highlight w:val="none"/>
        </w:rPr>
        <w:t>，并作为其响应文件的一部分。</w:t>
      </w:r>
    </w:p>
    <w:p w14:paraId="5A3DEC21">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交纳磋商保证金可采用的形式：政府采购法律法规接受的支票、汇票、本票、网上银行支付或者金融机构、担保机构出具的保函等非现金形式。</w:t>
      </w:r>
    </w:p>
    <w:p w14:paraId="14989278">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磋商保证金到账（保函提交）截止时间同首次响应文件提交截止时间。以支票、汇票、本票、网上银行支付等形式提交磋商保证金的，应在首次响应文件提交截止时间前</w:t>
      </w:r>
      <w:r>
        <w:rPr>
          <w:rFonts w:hint="eastAsia"/>
          <w:color w:val="auto"/>
          <w:sz w:val="24"/>
          <w:szCs w:val="24"/>
          <w:highlight w:val="none"/>
        </w:rPr>
        <w:t>到账</w:t>
      </w:r>
      <w:r>
        <w:rPr>
          <w:color w:val="auto"/>
          <w:sz w:val="24"/>
          <w:szCs w:val="24"/>
          <w:highlight w:val="none"/>
        </w:rPr>
        <w:t>；</w:t>
      </w:r>
      <w:r>
        <w:rPr>
          <w:rFonts w:hint="eastAsia"/>
          <w:color w:val="auto"/>
          <w:sz w:val="24"/>
          <w:szCs w:val="24"/>
          <w:highlight w:val="none"/>
        </w:rPr>
        <w:t>以</w:t>
      </w:r>
      <w:r>
        <w:rPr>
          <w:color w:val="auto"/>
          <w:sz w:val="24"/>
          <w:szCs w:val="24"/>
          <w:highlight w:val="none"/>
        </w:rPr>
        <w:t>金融机构、担保机构出具的保函等形式提交</w:t>
      </w:r>
      <w:r>
        <w:rPr>
          <w:rFonts w:hint="eastAsia"/>
          <w:color w:val="auto"/>
          <w:sz w:val="24"/>
          <w:szCs w:val="24"/>
          <w:highlight w:val="none"/>
        </w:rPr>
        <w:t>磋商</w:t>
      </w:r>
      <w:r>
        <w:rPr>
          <w:color w:val="auto"/>
          <w:sz w:val="24"/>
          <w:szCs w:val="24"/>
          <w:highlight w:val="none"/>
        </w:rPr>
        <w:t>保证金的，应在首次响应文件</w:t>
      </w:r>
      <w:r>
        <w:rPr>
          <w:rFonts w:hint="eastAsia"/>
          <w:color w:val="auto"/>
          <w:sz w:val="24"/>
          <w:szCs w:val="24"/>
          <w:highlight w:val="none"/>
        </w:rPr>
        <w:t>提交</w:t>
      </w:r>
      <w:r>
        <w:rPr>
          <w:color w:val="auto"/>
          <w:sz w:val="24"/>
          <w:szCs w:val="24"/>
          <w:highlight w:val="none"/>
        </w:rPr>
        <w:t>截止时间前将原件提交至采购代理机构；由于</w:t>
      </w:r>
      <w:r>
        <w:rPr>
          <w:rFonts w:hint="eastAsia"/>
          <w:color w:val="auto"/>
          <w:sz w:val="24"/>
          <w:szCs w:val="24"/>
          <w:highlight w:val="none"/>
        </w:rPr>
        <w:t>到账时间</w:t>
      </w:r>
      <w:r>
        <w:rPr>
          <w:color w:val="auto"/>
          <w:sz w:val="24"/>
          <w:szCs w:val="24"/>
          <w:highlight w:val="none"/>
        </w:rPr>
        <w:t>晚于首次响应文件提交截止时间的，或者票据错误、印鉴不清等原因导致不能到账的，其</w:t>
      </w:r>
      <w:r>
        <w:rPr>
          <w:b/>
          <w:color w:val="auto"/>
          <w:sz w:val="24"/>
          <w:szCs w:val="24"/>
          <w:highlight w:val="none"/>
        </w:rPr>
        <w:t>响应无效</w:t>
      </w:r>
      <w:r>
        <w:rPr>
          <w:color w:val="auto"/>
          <w:sz w:val="24"/>
          <w:szCs w:val="24"/>
          <w:highlight w:val="none"/>
        </w:rPr>
        <w:t>。</w:t>
      </w:r>
    </w:p>
    <w:p w14:paraId="06187D67">
      <w:pPr>
        <w:numPr>
          <w:ilvl w:val="1"/>
          <w:numId w:val="5"/>
        </w:numPr>
        <w:tabs>
          <w:tab w:val="left" w:pos="1080"/>
          <w:tab w:val="left" w:pos="2014"/>
        </w:tabs>
        <w:snapToGrid w:val="0"/>
        <w:spacing w:line="360" w:lineRule="auto"/>
        <w:ind w:left="1077" w:hanging="720"/>
        <w:rPr>
          <w:color w:val="auto"/>
          <w:sz w:val="24"/>
          <w:szCs w:val="24"/>
          <w:highlight w:val="none"/>
        </w:rPr>
      </w:pPr>
      <w:bookmarkStart w:id="298" w:name="_Hlk168432698"/>
      <w:r>
        <w:rPr>
          <w:rFonts w:hint="eastAsia"/>
          <w:color w:val="auto"/>
          <w:sz w:val="24"/>
          <w:szCs w:val="24"/>
          <w:highlight w:val="none"/>
        </w:rPr>
        <w:t>供应商</w:t>
      </w:r>
      <w:r>
        <w:rPr>
          <w:color w:val="auto"/>
          <w:sz w:val="24"/>
          <w:szCs w:val="24"/>
          <w:highlight w:val="none"/>
        </w:rPr>
        <w:t>除</w:t>
      </w:r>
      <w:r>
        <w:rPr>
          <w:rFonts w:hint="eastAsia"/>
          <w:color w:val="auto"/>
          <w:sz w:val="24"/>
          <w:szCs w:val="24"/>
          <w:highlight w:val="none"/>
        </w:rPr>
        <w:t>需在响应</w:t>
      </w:r>
      <w:r>
        <w:rPr>
          <w:color w:val="auto"/>
          <w:sz w:val="24"/>
          <w:szCs w:val="24"/>
          <w:highlight w:val="none"/>
        </w:rPr>
        <w:t>文件中</w:t>
      </w:r>
      <w:r>
        <w:rPr>
          <w:rFonts w:hint="eastAsia"/>
          <w:color w:val="auto"/>
          <w:sz w:val="24"/>
          <w:szCs w:val="24"/>
          <w:highlight w:val="none"/>
        </w:rPr>
        <w:t>提供“磋商</w:t>
      </w:r>
      <w:r>
        <w:rPr>
          <w:color w:val="auto"/>
          <w:sz w:val="24"/>
          <w:szCs w:val="24"/>
          <w:highlight w:val="none"/>
        </w:rPr>
        <w:t>保证金凭证/交款单据电子件</w:t>
      </w:r>
      <w:r>
        <w:rPr>
          <w:rFonts w:hint="eastAsia"/>
          <w:color w:val="auto"/>
          <w:sz w:val="24"/>
          <w:szCs w:val="24"/>
          <w:highlight w:val="none"/>
        </w:rPr>
        <w:t>”</w:t>
      </w:r>
      <w:r>
        <w:rPr>
          <w:color w:val="auto"/>
          <w:sz w:val="24"/>
          <w:szCs w:val="24"/>
          <w:highlight w:val="none"/>
        </w:rPr>
        <w:t>，</w:t>
      </w:r>
      <w:r>
        <w:rPr>
          <w:rFonts w:hint="eastAsia"/>
          <w:color w:val="auto"/>
          <w:sz w:val="24"/>
          <w:szCs w:val="24"/>
          <w:highlight w:val="none"/>
        </w:rPr>
        <w:t>还需在</w:t>
      </w:r>
      <w:r>
        <w:rPr>
          <w:color w:val="auto"/>
          <w:sz w:val="24"/>
          <w:szCs w:val="24"/>
          <w:highlight w:val="none"/>
        </w:rPr>
        <w:t>首次响应文件提交截止时间</w:t>
      </w:r>
      <w:r>
        <w:rPr>
          <w:rFonts w:hint="eastAsia"/>
          <w:color w:val="auto"/>
          <w:sz w:val="24"/>
          <w:szCs w:val="24"/>
          <w:highlight w:val="none"/>
        </w:rPr>
        <w:t>前，通过电子交易平台上传“磋商</w:t>
      </w:r>
      <w:r>
        <w:rPr>
          <w:color w:val="auto"/>
          <w:sz w:val="24"/>
          <w:szCs w:val="24"/>
          <w:highlight w:val="none"/>
        </w:rPr>
        <w:t>保证金凭证/交款单据电子件</w:t>
      </w:r>
      <w:r>
        <w:rPr>
          <w:rFonts w:hint="eastAsia"/>
          <w:color w:val="auto"/>
          <w:sz w:val="24"/>
          <w:szCs w:val="24"/>
          <w:highlight w:val="none"/>
        </w:rPr>
        <w:t>”。</w:t>
      </w:r>
      <w:bookmarkEnd w:id="298"/>
    </w:p>
    <w:p w14:paraId="3C37CF53">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磋商保证金（保函）有效期同响应有效期。</w:t>
      </w:r>
    </w:p>
    <w:p w14:paraId="441972CD">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供应商为联合体的，可以由联合体中的一方或者多方共同交纳磋商保证金，其交纳的保证金对联合体各方均具有约束力。</w:t>
      </w:r>
    </w:p>
    <w:p w14:paraId="1F55FF89">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采购人、采购代理机构将及时退还供应商的保证金，采用银行保函、担保机构担保函等形式递交的保证金，经供应商同意后采购人、采购代理机构可以不再退还，但因供应商自身原因导致无法及时退还的除外：</w:t>
      </w:r>
    </w:p>
    <w:p w14:paraId="4138F52C">
      <w:pPr>
        <w:numPr>
          <w:ilvl w:val="2"/>
          <w:numId w:val="5"/>
        </w:numPr>
        <w:snapToGrid w:val="0"/>
        <w:spacing w:line="360" w:lineRule="auto"/>
        <w:rPr>
          <w:color w:val="auto"/>
          <w:sz w:val="24"/>
          <w:szCs w:val="24"/>
          <w:highlight w:val="none"/>
        </w:rPr>
      </w:pPr>
      <w:r>
        <w:rPr>
          <w:snapToGrid w:val="0"/>
          <w:color w:val="auto"/>
          <w:kern w:val="0"/>
          <w:sz w:val="24"/>
          <w:szCs w:val="24"/>
          <w:highlight w:val="none"/>
        </w:rPr>
        <w:t>已提交响应文件的供应商，在提交最后报价之前，可以根据磋商情况退出磋商。采购人、采购代理机构将退还退出磋商的供应商的磋商保证金</w:t>
      </w:r>
      <w:r>
        <w:rPr>
          <w:rFonts w:hint="eastAsia"/>
          <w:snapToGrid w:val="0"/>
          <w:color w:val="auto"/>
          <w:kern w:val="0"/>
          <w:sz w:val="24"/>
          <w:szCs w:val="24"/>
          <w:highlight w:val="none"/>
        </w:rPr>
        <w:t>；</w:t>
      </w:r>
    </w:p>
    <w:p w14:paraId="412280FC">
      <w:pPr>
        <w:numPr>
          <w:ilvl w:val="2"/>
          <w:numId w:val="5"/>
        </w:numPr>
        <w:snapToGrid w:val="0"/>
        <w:spacing w:line="360" w:lineRule="auto"/>
        <w:rPr>
          <w:color w:val="auto"/>
          <w:sz w:val="24"/>
          <w:szCs w:val="24"/>
          <w:highlight w:val="none"/>
        </w:rPr>
      </w:pPr>
      <w:r>
        <w:rPr>
          <w:color w:val="auto"/>
          <w:sz w:val="24"/>
          <w:szCs w:val="24"/>
          <w:highlight w:val="none"/>
        </w:rPr>
        <w:t>成交供应商的磋商保证金，在采购合同签订后5个工作日内退还成交供应商；</w:t>
      </w:r>
    </w:p>
    <w:p w14:paraId="63BB21E1">
      <w:pPr>
        <w:numPr>
          <w:ilvl w:val="2"/>
          <w:numId w:val="5"/>
        </w:numPr>
        <w:snapToGrid w:val="0"/>
        <w:spacing w:line="360" w:lineRule="auto"/>
        <w:rPr>
          <w:color w:val="auto"/>
          <w:sz w:val="24"/>
          <w:szCs w:val="24"/>
          <w:highlight w:val="none"/>
        </w:rPr>
      </w:pPr>
      <w:r>
        <w:rPr>
          <w:color w:val="auto"/>
          <w:sz w:val="24"/>
          <w:szCs w:val="24"/>
          <w:highlight w:val="none"/>
        </w:rPr>
        <w:t>未成交供应商的磋商保证金，在成交通知书发出后5个工作日内退还</w:t>
      </w:r>
      <w:r>
        <w:rPr>
          <w:rFonts w:hint="eastAsia"/>
          <w:color w:val="auto"/>
          <w:sz w:val="24"/>
          <w:szCs w:val="24"/>
          <w:highlight w:val="none"/>
        </w:rPr>
        <w:t>。</w:t>
      </w:r>
    </w:p>
    <w:p w14:paraId="1D0FA8E1">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有下列情形之一的，采购人或采购代理机构不予退还磋商保证金：</w:t>
      </w:r>
    </w:p>
    <w:p w14:paraId="7CCE880A">
      <w:pPr>
        <w:numPr>
          <w:ilvl w:val="2"/>
          <w:numId w:val="5"/>
        </w:numPr>
        <w:snapToGrid w:val="0"/>
        <w:spacing w:line="360" w:lineRule="auto"/>
        <w:rPr>
          <w:color w:val="auto"/>
          <w:sz w:val="24"/>
          <w:szCs w:val="24"/>
          <w:highlight w:val="none"/>
        </w:rPr>
      </w:pPr>
      <w:r>
        <w:rPr>
          <w:color w:val="auto"/>
          <w:sz w:val="24"/>
          <w:szCs w:val="24"/>
          <w:highlight w:val="none"/>
        </w:rPr>
        <w:t>供应商在提交响应文件截止时间后撤回响应文件的；</w:t>
      </w:r>
    </w:p>
    <w:p w14:paraId="1A45F2B4">
      <w:pPr>
        <w:numPr>
          <w:ilvl w:val="2"/>
          <w:numId w:val="5"/>
        </w:numPr>
        <w:snapToGrid w:val="0"/>
        <w:spacing w:line="360" w:lineRule="auto"/>
        <w:rPr>
          <w:color w:val="auto"/>
          <w:sz w:val="24"/>
          <w:szCs w:val="24"/>
          <w:highlight w:val="none"/>
        </w:rPr>
      </w:pPr>
      <w:r>
        <w:rPr>
          <w:color w:val="auto"/>
          <w:sz w:val="24"/>
          <w:szCs w:val="24"/>
          <w:highlight w:val="none"/>
        </w:rPr>
        <w:t>供应商在响应文件中提供虚假材料的；</w:t>
      </w:r>
    </w:p>
    <w:p w14:paraId="087C9BAA">
      <w:pPr>
        <w:numPr>
          <w:ilvl w:val="2"/>
          <w:numId w:val="5"/>
        </w:numPr>
        <w:snapToGrid w:val="0"/>
        <w:spacing w:line="360" w:lineRule="auto"/>
        <w:rPr>
          <w:color w:val="auto"/>
          <w:sz w:val="24"/>
          <w:szCs w:val="24"/>
          <w:highlight w:val="none"/>
        </w:rPr>
      </w:pPr>
      <w:r>
        <w:rPr>
          <w:color w:val="auto"/>
          <w:sz w:val="24"/>
          <w:szCs w:val="24"/>
          <w:highlight w:val="none"/>
        </w:rPr>
        <w:t>除因不可抗力或磋商文件认可的情形以外，成交供应商不与采购人签订合同的；</w:t>
      </w:r>
    </w:p>
    <w:p w14:paraId="2F6C8C0B">
      <w:pPr>
        <w:numPr>
          <w:ilvl w:val="2"/>
          <w:numId w:val="5"/>
        </w:numPr>
        <w:snapToGrid w:val="0"/>
        <w:spacing w:line="360" w:lineRule="auto"/>
        <w:rPr>
          <w:color w:val="auto"/>
          <w:sz w:val="24"/>
          <w:szCs w:val="24"/>
          <w:highlight w:val="none"/>
        </w:rPr>
      </w:pPr>
      <w:r>
        <w:rPr>
          <w:color w:val="auto"/>
          <w:sz w:val="24"/>
          <w:szCs w:val="24"/>
          <w:highlight w:val="none"/>
        </w:rPr>
        <w:t>供应商与采购人、其他供应商或者采购代理机构恶意串通的；</w:t>
      </w:r>
    </w:p>
    <w:p w14:paraId="7245602E">
      <w:pPr>
        <w:numPr>
          <w:ilvl w:val="2"/>
          <w:numId w:val="5"/>
        </w:numPr>
        <w:snapToGrid w:val="0"/>
        <w:spacing w:line="360" w:lineRule="auto"/>
        <w:rPr>
          <w:color w:val="auto"/>
          <w:sz w:val="24"/>
          <w:szCs w:val="24"/>
          <w:highlight w:val="none"/>
        </w:rPr>
      </w:pPr>
      <w:r>
        <w:rPr>
          <w:color w:val="auto"/>
          <w:sz w:val="24"/>
          <w:szCs w:val="24"/>
          <w:highlight w:val="none"/>
        </w:rPr>
        <w:t>《供应商须知资料表》规定的其他情形。</w:t>
      </w:r>
    </w:p>
    <w:p w14:paraId="6A87AAE9">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响应有效期</w:t>
      </w:r>
    </w:p>
    <w:p w14:paraId="71B4A38E">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响应文件应在本竞争性磋商文件《供应商须知资料表》中规定的响应有效期内保持有效，响应有效期少于竞争性磋商文件规定期限的，其</w:t>
      </w:r>
      <w:r>
        <w:rPr>
          <w:b/>
          <w:color w:val="auto"/>
          <w:sz w:val="24"/>
          <w:szCs w:val="24"/>
          <w:highlight w:val="none"/>
        </w:rPr>
        <w:t>响应无效</w:t>
      </w:r>
      <w:r>
        <w:rPr>
          <w:color w:val="auto"/>
          <w:sz w:val="24"/>
          <w:szCs w:val="24"/>
          <w:highlight w:val="none"/>
        </w:rPr>
        <w:t>。</w:t>
      </w:r>
    </w:p>
    <w:p w14:paraId="39F3628A">
      <w:pPr>
        <w:numPr>
          <w:ilvl w:val="0"/>
          <w:numId w:val="5"/>
        </w:numPr>
        <w:tabs>
          <w:tab w:val="left" w:pos="360"/>
        </w:tabs>
        <w:snapToGrid w:val="0"/>
        <w:spacing w:line="360" w:lineRule="auto"/>
        <w:ind w:left="357" w:hanging="357"/>
        <w:outlineLvl w:val="1"/>
        <w:rPr>
          <w:color w:val="auto"/>
          <w:sz w:val="24"/>
          <w:szCs w:val="24"/>
          <w:highlight w:val="none"/>
        </w:rPr>
      </w:pPr>
      <w:bookmarkStart w:id="299" w:name="_Toc151193775"/>
      <w:bookmarkStart w:id="300" w:name="_Toc127151533"/>
      <w:bookmarkStart w:id="301" w:name="_Toc151193847"/>
      <w:bookmarkStart w:id="302" w:name="_Toc305158801"/>
      <w:bookmarkStart w:id="303" w:name="_Toc195842898"/>
      <w:bookmarkStart w:id="304" w:name="_Toc150774633"/>
      <w:bookmarkStart w:id="305" w:name="_Toc142311035"/>
      <w:bookmarkStart w:id="306" w:name="_Toc164229228"/>
      <w:bookmarkStart w:id="307" w:name="_Toc151193631"/>
      <w:bookmarkStart w:id="308" w:name="_Toc164608802"/>
      <w:bookmarkStart w:id="309" w:name="_Toc151190160"/>
      <w:bookmarkStart w:id="310" w:name="_Toc305158875"/>
      <w:bookmarkStart w:id="311" w:name="_Toc127161447"/>
      <w:bookmarkStart w:id="312" w:name="_Toc151193921"/>
      <w:bookmarkStart w:id="313" w:name="_Toc226965806"/>
      <w:bookmarkStart w:id="314" w:name="_Toc164608647"/>
      <w:bookmarkStart w:id="315" w:name="_Toc226965723"/>
      <w:bookmarkStart w:id="316" w:name="_Toc164351627"/>
      <w:bookmarkStart w:id="317" w:name="_Toc149720826"/>
      <w:bookmarkStart w:id="318" w:name="_Toc150480771"/>
      <w:bookmarkStart w:id="319" w:name="_Toc520356158"/>
      <w:bookmarkStart w:id="320" w:name="_Toc264969223"/>
      <w:bookmarkStart w:id="321" w:name="_Toc226337229"/>
      <w:bookmarkStart w:id="322" w:name="_Toc151193703"/>
      <w:bookmarkStart w:id="323" w:name="_Toc150509284"/>
      <w:bookmarkStart w:id="324" w:name="_Toc164229374"/>
      <w:bookmarkStart w:id="325" w:name="_Toc265228371"/>
      <w:bookmarkStart w:id="326" w:name="_Toc150774738"/>
      <w:bookmarkStart w:id="327" w:name="_Toc127151734"/>
      <w:bookmarkStart w:id="328" w:name="_Toc226309777"/>
      <w:r>
        <w:rPr>
          <w:color w:val="auto"/>
          <w:sz w:val="24"/>
          <w:szCs w:val="24"/>
          <w:highlight w:val="none"/>
        </w:rPr>
        <w:t>响应文件的签署</w:t>
      </w:r>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r>
        <w:rPr>
          <w:color w:val="auto"/>
          <w:sz w:val="24"/>
          <w:szCs w:val="24"/>
          <w:highlight w:val="none"/>
        </w:rPr>
        <w:t>、盖章</w:t>
      </w:r>
      <w:bookmarkStart w:id="329" w:name="_Toc150480772"/>
      <w:bookmarkStart w:id="330" w:name="_Toc151190161"/>
      <w:bookmarkStart w:id="331" w:name="_Toc265228372"/>
      <w:bookmarkStart w:id="332" w:name="_Toc127151534"/>
      <w:bookmarkStart w:id="333" w:name="_Toc264969224"/>
      <w:bookmarkStart w:id="334" w:name="_Toc150774739"/>
      <w:bookmarkStart w:id="335" w:name="_Toc151193704"/>
      <w:bookmarkStart w:id="336" w:name="_Toc520356159"/>
      <w:bookmarkStart w:id="337" w:name="_Toc150509285"/>
      <w:bookmarkStart w:id="338" w:name="_Toc151193776"/>
      <w:bookmarkStart w:id="339" w:name="_Toc151193922"/>
      <w:bookmarkStart w:id="340" w:name="_Toc226965724"/>
      <w:bookmarkStart w:id="341" w:name="_Toc226309778"/>
      <w:bookmarkStart w:id="342" w:name="_Toc226965807"/>
      <w:bookmarkStart w:id="343" w:name="_Toc195842899"/>
      <w:bookmarkStart w:id="344" w:name="_Toc305158802"/>
      <w:bookmarkStart w:id="345" w:name="_Toc142311036"/>
      <w:bookmarkStart w:id="346" w:name="_Toc151193632"/>
      <w:bookmarkStart w:id="347" w:name="_Toc305158876"/>
      <w:bookmarkStart w:id="348" w:name="_Toc151193848"/>
      <w:bookmarkStart w:id="349" w:name="_Toc226337230"/>
      <w:bookmarkStart w:id="350" w:name="_Toc150774634"/>
    </w:p>
    <w:p w14:paraId="1EB5CBFE">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竞争性磋商文件要求签字的内容(如授权委托书等)，可以使用电子签章或使用原件的电子件(电子件指扫描件、照片等形式电子文件);要求第三方出具的盖章件原件(如联合协议、分包意向协议、制造商授权书原件等)，响应文件中应使用原件的电子件。</w:t>
      </w:r>
    </w:p>
    <w:p w14:paraId="3FA80A70">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竞争性磋商文件要求盖章的内容，一般通过投标文件编制工具加盖电子签章。</w:t>
      </w:r>
    </w:p>
    <w:p w14:paraId="12B2E188">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四   响应文件的提交</w:t>
      </w:r>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7382D9AC">
      <w:pPr>
        <w:numPr>
          <w:ilvl w:val="0"/>
          <w:numId w:val="5"/>
        </w:numPr>
        <w:tabs>
          <w:tab w:val="left" w:pos="360"/>
        </w:tabs>
        <w:snapToGrid w:val="0"/>
        <w:spacing w:line="360" w:lineRule="auto"/>
        <w:ind w:left="357" w:hanging="357"/>
        <w:outlineLvl w:val="1"/>
        <w:rPr>
          <w:color w:val="auto"/>
          <w:sz w:val="24"/>
          <w:szCs w:val="24"/>
          <w:highlight w:val="none"/>
        </w:rPr>
      </w:pPr>
      <w:bookmarkStart w:id="351" w:name="_Toc151193777"/>
      <w:bookmarkStart w:id="352" w:name="_Toc151193705"/>
      <w:bookmarkStart w:id="353" w:name="_Toc164229376"/>
      <w:bookmarkStart w:id="354" w:name="_Toc164351629"/>
      <w:bookmarkStart w:id="355" w:name="_Toc226965725"/>
      <w:bookmarkStart w:id="356" w:name="_Toc305158803"/>
      <w:bookmarkStart w:id="357" w:name="_Toc151193633"/>
      <w:bookmarkStart w:id="358" w:name="_Toc305158877"/>
      <w:bookmarkStart w:id="359" w:name="_Toc149720828"/>
      <w:bookmarkStart w:id="360" w:name="_Toc127151535"/>
      <w:bookmarkStart w:id="361" w:name="_Toc520356160"/>
      <w:bookmarkStart w:id="362" w:name="_Toc150480773"/>
      <w:bookmarkStart w:id="363" w:name="_Toc150774635"/>
      <w:bookmarkStart w:id="364" w:name="_Toc150774740"/>
      <w:bookmarkStart w:id="365" w:name="_Toc151193849"/>
      <w:bookmarkStart w:id="366" w:name="_Toc150509286"/>
      <w:bookmarkStart w:id="367" w:name="_Toc151190162"/>
      <w:bookmarkStart w:id="368" w:name="_Toc226309779"/>
      <w:bookmarkStart w:id="369" w:name="_Toc127161449"/>
      <w:bookmarkStart w:id="370" w:name="_Toc265228373"/>
      <w:bookmarkStart w:id="371" w:name="_Toc164608804"/>
      <w:bookmarkStart w:id="372" w:name="_Toc164229230"/>
      <w:bookmarkStart w:id="373" w:name="_Toc226337231"/>
      <w:bookmarkStart w:id="374" w:name="_Toc195842900"/>
      <w:bookmarkStart w:id="375" w:name="_Toc142311037"/>
      <w:bookmarkStart w:id="376" w:name="_Toc226965808"/>
      <w:bookmarkStart w:id="377" w:name="_Toc151193923"/>
      <w:bookmarkStart w:id="378" w:name="_Toc127151736"/>
      <w:bookmarkStart w:id="379" w:name="_Toc264969225"/>
      <w:bookmarkStart w:id="380" w:name="_Toc164608649"/>
      <w:r>
        <w:rPr>
          <w:color w:val="auto"/>
          <w:sz w:val="24"/>
          <w:szCs w:val="24"/>
          <w:highlight w:val="none"/>
        </w:rPr>
        <w:t>响应文件的</w:t>
      </w:r>
      <w:bookmarkEnd w:id="351"/>
      <w:bookmarkEnd w:id="352"/>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bookmarkEnd w:id="368"/>
      <w:bookmarkEnd w:id="369"/>
      <w:bookmarkEnd w:id="370"/>
      <w:bookmarkEnd w:id="371"/>
      <w:bookmarkEnd w:id="372"/>
      <w:bookmarkEnd w:id="373"/>
      <w:bookmarkEnd w:id="374"/>
      <w:bookmarkEnd w:id="375"/>
      <w:bookmarkEnd w:id="376"/>
      <w:bookmarkEnd w:id="377"/>
      <w:bookmarkEnd w:id="378"/>
      <w:bookmarkEnd w:id="379"/>
      <w:bookmarkEnd w:id="380"/>
      <w:r>
        <w:rPr>
          <w:color w:val="auto"/>
          <w:sz w:val="24"/>
          <w:szCs w:val="24"/>
          <w:highlight w:val="none"/>
        </w:rPr>
        <w:t>提交</w:t>
      </w:r>
    </w:p>
    <w:p w14:paraId="51EE2ACF">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本项目使用北京市政府采购电子交易平台。供应商根据竞争性磋商文件及电子交易平台供应商操作手册要求编制、生成并提交电子响应文件。</w:t>
      </w:r>
    </w:p>
    <w:p w14:paraId="7DE58F52">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采购人及采购代理机构拒绝接受通过电子交易平台以外任何形式提交的响应文件，磋商保证金除外。</w:t>
      </w:r>
    </w:p>
    <w:p w14:paraId="6AB83618">
      <w:pPr>
        <w:numPr>
          <w:ilvl w:val="0"/>
          <w:numId w:val="5"/>
        </w:numPr>
        <w:tabs>
          <w:tab w:val="left" w:pos="360"/>
        </w:tabs>
        <w:snapToGrid w:val="0"/>
        <w:spacing w:line="360" w:lineRule="auto"/>
        <w:ind w:left="357" w:hanging="357"/>
        <w:outlineLvl w:val="1"/>
        <w:rPr>
          <w:color w:val="auto"/>
          <w:sz w:val="24"/>
          <w:szCs w:val="24"/>
          <w:highlight w:val="none"/>
        </w:rPr>
      </w:pPr>
      <w:bookmarkStart w:id="381" w:name="_Toc142311038"/>
      <w:bookmarkStart w:id="382" w:name="_Toc151193924"/>
      <w:bookmarkStart w:id="383" w:name="_Toc264969226"/>
      <w:bookmarkStart w:id="384" w:name="_Toc164608650"/>
      <w:bookmarkStart w:id="385" w:name="_Toc127151737"/>
      <w:bookmarkStart w:id="386" w:name="_Toc127151536"/>
      <w:bookmarkStart w:id="387" w:name="_Toc226309780"/>
      <w:bookmarkStart w:id="388" w:name="_Toc151193850"/>
      <w:bookmarkStart w:id="389" w:name="_Toc305158878"/>
      <w:bookmarkStart w:id="390" w:name="_Toc164351630"/>
      <w:bookmarkStart w:id="391" w:name="_Toc265228374"/>
      <w:bookmarkStart w:id="392" w:name="_Toc150509287"/>
      <w:bookmarkStart w:id="393" w:name="_Toc151193634"/>
      <w:bookmarkStart w:id="394" w:name="_Toc164229231"/>
      <w:bookmarkStart w:id="395" w:name="_Toc151190163"/>
      <w:bookmarkStart w:id="396" w:name="_Toc305158804"/>
      <w:bookmarkStart w:id="397" w:name="_Toc151193778"/>
      <w:bookmarkStart w:id="398" w:name="_Toc226337232"/>
      <w:bookmarkStart w:id="399" w:name="_Toc127161450"/>
      <w:bookmarkStart w:id="400" w:name="_Toc164608805"/>
      <w:bookmarkStart w:id="401" w:name="_Toc226965726"/>
      <w:bookmarkStart w:id="402" w:name="_Toc149720829"/>
      <w:bookmarkStart w:id="403" w:name="_Toc150774636"/>
      <w:bookmarkStart w:id="404" w:name="_Toc151193706"/>
      <w:bookmarkStart w:id="405" w:name="_Toc150480774"/>
      <w:bookmarkStart w:id="406" w:name="_Toc164229377"/>
      <w:bookmarkStart w:id="407" w:name="_Toc195842901"/>
      <w:bookmarkStart w:id="408" w:name="_Toc226965809"/>
      <w:bookmarkStart w:id="409" w:name="_Toc520356161"/>
      <w:bookmarkStart w:id="410" w:name="_Toc150774741"/>
      <w:r>
        <w:rPr>
          <w:color w:val="auto"/>
          <w:sz w:val="24"/>
          <w:szCs w:val="24"/>
          <w:highlight w:val="none"/>
        </w:rPr>
        <w:t>响应文件</w:t>
      </w:r>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bookmarkEnd w:id="406"/>
      <w:bookmarkEnd w:id="407"/>
      <w:bookmarkEnd w:id="408"/>
      <w:bookmarkEnd w:id="409"/>
      <w:bookmarkEnd w:id="410"/>
      <w:r>
        <w:rPr>
          <w:rFonts w:hint="eastAsia"/>
          <w:color w:val="auto"/>
          <w:sz w:val="24"/>
          <w:szCs w:val="24"/>
          <w:highlight w:val="none"/>
        </w:rPr>
        <w:t>提交截止时间</w:t>
      </w:r>
    </w:p>
    <w:p w14:paraId="027EDA32">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供应商应在竞争性磋商文件要求响应文件提交截止时间前，将电子响应文件提交至电子交易平台。</w:t>
      </w:r>
    </w:p>
    <w:p w14:paraId="58B24948">
      <w:pPr>
        <w:numPr>
          <w:ilvl w:val="0"/>
          <w:numId w:val="5"/>
        </w:numPr>
        <w:tabs>
          <w:tab w:val="left" w:pos="360"/>
        </w:tabs>
        <w:snapToGrid w:val="0"/>
        <w:spacing w:line="360" w:lineRule="auto"/>
        <w:ind w:left="357" w:hanging="357"/>
        <w:outlineLvl w:val="1"/>
        <w:rPr>
          <w:color w:val="auto"/>
          <w:sz w:val="24"/>
          <w:szCs w:val="24"/>
          <w:highlight w:val="none"/>
        </w:rPr>
      </w:pPr>
      <w:bookmarkStart w:id="411" w:name="_Toc305158805"/>
      <w:bookmarkStart w:id="412" w:name="_Toc164229232"/>
      <w:bookmarkStart w:id="413" w:name="_Toc151190164"/>
      <w:bookmarkStart w:id="414" w:name="_Toc151193779"/>
      <w:bookmarkStart w:id="415" w:name="_Toc264969227"/>
      <w:bookmarkStart w:id="416" w:name="_Toc151193925"/>
      <w:bookmarkStart w:id="417" w:name="_Toc127151738"/>
      <w:bookmarkStart w:id="418" w:name="_Toc164608651"/>
      <w:bookmarkStart w:id="419" w:name="_Toc149720830"/>
      <w:bookmarkStart w:id="420" w:name="_Toc226337233"/>
      <w:bookmarkStart w:id="421" w:name="_Toc195842902"/>
      <w:bookmarkStart w:id="422" w:name="_Toc151193635"/>
      <w:bookmarkStart w:id="423" w:name="_Toc265228375"/>
      <w:bookmarkStart w:id="424" w:name="_Toc127161451"/>
      <w:bookmarkStart w:id="425" w:name="_Toc226965810"/>
      <w:bookmarkStart w:id="426" w:name="_Toc151193851"/>
      <w:bookmarkStart w:id="427" w:name="_Toc150774742"/>
      <w:bookmarkStart w:id="428" w:name="_Toc127151537"/>
      <w:bookmarkStart w:id="429" w:name="_Toc305158879"/>
      <w:bookmarkStart w:id="430" w:name="_Toc150774637"/>
      <w:bookmarkStart w:id="431" w:name="_Toc164608806"/>
      <w:bookmarkStart w:id="432" w:name="_Toc226309781"/>
      <w:bookmarkStart w:id="433" w:name="_Toc150480775"/>
      <w:bookmarkStart w:id="434" w:name="_Toc164229378"/>
      <w:bookmarkStart w:id="435" w:name="_Toc164351631"/>
      <w:bookmarkStart w:id="436" w:name="_Toc520356162"/>
      <w:bookmarkStart w:id="437" w:name="_Toc151193707"/>
      <w:bookmarkStart w:id="438" w:name="_Toc142311039"/>
      <w:bookmarkStart w:id="439" w:name="_Toc226965727"/>
      <w:bookmarkStart w:id="440" w:name="_Toc150509288"/>
      <w:r>
        <w:rPr>
          <w:color w:val="auto"/>
          <w:sz w:val="24"/>
          <w:szCs w:val="24"/>
          <w:highlight w:val="none"/>
        </w:rPr>
        <w:t>响应文件的修改与撤回</w:t>
      </w:r>
      <w:bookmarkEnd w:id="411"/>
      <w:bookmarkEnd w:id="412"/>
      <w:bookmarkEnd w:id="413"/>
      <w:bookmarkEnd w:id="414"/>
      <w:bookmarkEnd w:id="415"/>
      <w:bookmarkEnd w:id="416"/>
      <w:bookmarkEnd w:id="417"/>
      <w:bookmarkEnd w:id="418"/>
      <w:bookmarkEnd w:id="419"/>
      <w:bookmarkEnd w:id="420"/>
      <w:bookmarkEnd w:id="421"/>
      <w:bookmarkEnd w:id="422"/>
      <w:bookmarkEnd w:id="423"/>
      <w:bookmarkEnd w:id="424"/>
      <w:bookmarkEnd w:id="425"/>
      <w:bookmarkEnd w:id="426"/>
      <w:bookmarkEnd w:id="427"/>
      <w:bookmarkEnd w:id="428"/>
      <w:bookmarkEnd w:id="429"/>
      <w:bookmarkEnd w:id="430"/>
      <w:bookmarkEnd w:id="431"/>
      <w:bookmarkEnd w:id="432"/>
      <w:bookmarkEnd w:id="433"/>
      <w:bookmarkEnd w:id="434"/>
      <w:bookmarkEnd w:id="435"/>
      <w:bookmarkEnd w:id="436"/>
      <w:bookmarkEnd w:id="437"/>
      <w:bookmarkEnd w:id="438"/>
      <w:bookmarkEnd w:id="439"/>
      <w:bookmarkEnd w:id="440"/>
    </w:p>
    <w:p w14:paraId="4AB2422C">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提交响应文件截止时间前，供应商可以通过电子交易平台对所提交的响应文件进行补充、修改或者撤回。磋商保证金的补充、修改或者撤回无需通过电子交易平台，但应就其补充、修改或者撤回通知采购人或采购代理机构。</w:t>
      </w:r>
    </w:p>
    <w:p w14:paraId="33A164DB">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供应商对响应文件的补充、修改的内容应当按照竞争性磋商文件要求签署盖章，作为响应文件的组成部分。补充、修改的内容与响应文件不一致的，以补充、修改的内容为准。</w:t>
      </w:r>
    </w:p>
    <w:p w14:paraId="51A6FB5A">
      <w:pPr>
        <w:tabs>
          <w:tab w:val="left" w:pos="900"/>
          <w:tab w:val="left" w:pos="1080"/>
          <w:tab w:val="left" w:pos="1589"/>
        </w:tabs>
        <w:snapToGrid w:val="0"/>
        <w:spacing w:line="360" w:lineRule="auto"/>
        <w:ind w:left="357"/>
        <w:rPr>
          <w:color w:val="auto"/>
          <w:sz w:val="24"/>
          <w:szCs w:val="24"/>
          <w:highlight w:val="none"/>
        </w:rPr>
      </w:pPr>
    </w:p>
    <w:p w14:paraId="0E0584B7">
      <w:pPr>
        <w:pStyle w:val="3"/>
        <w:spacing w:before="0" w:line="360" w:lineRule="auto"/>
        <w:rPr>
          <w:rFonts w:ascii="Times New Roman" w:hAnsi="Times New Roman" w:eastAsia="宋体"/>
          <w:color w:val="auto"/>
          <w:sz w:val="24"/>
          <w:szCs w:val="24"/>
          <w:highlight w:val="none"/>
        </w:rPr>
      </w:pPr>
      <w:bookmarkStart w:id="441" w:name="_Toc151193926"/>
      <w:bookmarkStart w:id="442" w:name="_Toc150509289"/>
      <w:bookmarkStart w:id="443" w:name="_Toc226965811"/>
      <w:bookmarkStart w:id="444" w:name="_Toc264969228"/>
      <w:bookmarkStart w:id="445" w:name="_Toc151193636"/>
      <w:bookmarkStart w:id="446" w:name="_Toc265228376"/>
      <w:bookmarkStart w:id="447" w:name="_Toc150480776"/>
      <w:bookmarkStart w:id="448" w:name="_Toc151190165"/>
      <w:bookmarkStart w:id="449" w:name="_Toc226309782"/>
      <w:bookmarkStart w:id="450" w:name="_Toc127151538"/>
      <w:bookmarkStart w:id="451" w:name="_Toc305158806"/>
      <w:bookmarkStart w:id="452" w:name="_Toc151193708"/>
      <w:bookmarkStart w:id="453" w:name="_Toc142311040"/>
      <w:bookmarkStart w:id="454" w:name="_Toc195842903"/>
      <w:bookmarkStart w:id="455" w:name="_Toc226337234"/>
      <w:bookmarkStart w:id="456" w:name="_Toc305158880"/>
      <w:bookmarkStart w:id="457" w:name="_Toc151193852"/>
      <w:bookmarkStart w:id="458" w:name="_Toc151193780"/>
      <w:bookmarkStart w:id="459" w:name="_Toc226965728"/>
      <w:bookmarkStart w:id="460" w:name="_Toc150774743"/>
      <w:bookmarkStart w:id="461" w:name="_Toc150774638"/>
      <w:bookmarkStart w:id="462" w:name="_Toc520356163"/>
      <w:r>
        <w:rPr>
          <w:rFonts w:ascii="Times New Roman" w:hAnsi="Times New Roman" w:eastAsia="宋体"/>
          <w:color w:val="auto"/>
          <w:sz w:val="24"/>
          <w:szCs w:val="24"/>
          <w:highlight w:val="none"/>
        </w:rPr>
        <w:t xml:space="preserve">五   </w:t>
      </w:r>
      <w:bookmarkEnd w:id="441"/>
      <w:bookmarkEnd w:id="442"/>
      <w:bookmarkEnd w:id="443"/>
      <w:bookmarkEnd w:id="444"/>
      <w:bookmarkEnd w:id="445"/>
      <w:bookmarkEnd w:id="446"/>
      <w:bookmarkEnd w:id="447"/>
      <w:bookmarkEnd w:id="448"/>
      <w:bookmarkEnd w:id="449"/>
      <w:bookmarkEnd w:id="450"/>
      <w:bookmarkEnd w:id="451"/>
      <w:bookmarkEnd w:id="452"/>
      <w:bookmarkEnd w:id="453"/>
      <w:bookmarkEnd w:id="454"/>
      <w:bookmarkEnd w:id="455"/>
      <w:bookmarkEnd w:id="456"/>
      <w:bookmarkEnd w:id="457"/>
      <w:bookmarkEnd w:id="458"/>
      <w:bookmarkEnd w:id="459"/>
      <w:bookmarkEnd w:id="460"/>
      <w:bookmarkEnd w:id="461"/>
      <w:bookmarkEnd w:id="462"/>
      <w:r>
        <w:rPr>
          <w:rFonts w:ascii="Times New Roman" w:hAnsi="Times New Roman" w:eastAsia="宋体"/>
          <w:color w:val="auto"/>
          <w:sz w:val="24"/>
          <w:szCs w:val="24"/>
          <w:highlight w:val="none"/>
        </w:rPr>
        <w:t>评审</w:t>
      </w:r>
    </w:p>
    <w:p w14:paraId="04C10BDE">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响</w:t>
      </w:r>
      <w:r>
        <w:rPr>
          <w:rFonts w:hint="eastAsia"/>
          <w:color w:val="auto"/>
          <w:sz w:val="24"/>
          <w:szCs w:val="24"/>
          <w:highlight w:val="none"/>
        </w:rPr>
        <w:t>应文件的解密与开启</w:t>
      </w:r>
    </w:p>
    <w:p w14:paraId="7CF0FDA4">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采购人或采购代理机构将按竞争性磋商文件的规定， 在响应文件提交截止时间的同一时间和竞争性磋商文件预先确定的地点开启响应文件。</w:t>
      </w:r>
    </w:p>
    <w:p w14:paraId="443F6D0C">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本项目解密使用北京市政府采购电子交易平台。供应商应在规定的时间内对响应文件进行解密，因非系统原因导致的解密失败，视为无效响应。</w:t>
      </w:r>
    </w:p>
    <w:p w14:paraId="50473190">
      <w:pPr>
        <w:numPr>
          <w:ilvl w:val="1"/>
          <w:numId w:val="5"/>
        </w:numPr>
        <w:tabs>
          <w:tab w:val="left" w:pos="1080"/>
          <w:tab w:val="left" w:pos="2014"/>
        </w:tabs>
        <w:snapToGrid w:val="0"/>
        <w:spacing w:line="360" w:lineRule="auto"/>
        <w:ind w:left="1077" w:hanging="720"/>
        <w:rPr>
          <w:color w:val="auto"/>
          <w:sz w:val="24"/>
          <w:szCs w:val="24"/>
          <w:highlight w:val="none"/>
        </w:rPr>
      </w:pPr>
      <w:bookmarkStart w:id="463" w:name="_Toc520356165"/>
      <w:r>
        <w:rPr>
          <w:rFonts w:hint="eastAsia"/>
          <w:color w:val="auto"/>
          <w:sz w:val="24"/>
          <w:szCs w:val="24"/>
          <w:highlight w:val="none"/>
        </w:rPr>
        <w:t>供应商认为采购人员及相关人员与其他供应商有利害关系的，可以向采购人或采购代理机构书面提出回避申请，并说明理由。采购人或采购代理机构将及时询问被申请回避人员，有利害关系的被申请回避人员将回避。</w:t>
      </w:r>
    </w:p>
    <w:p w14:paraId="3804C6C5">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供应商不足3家的，不予解密。</w:t>
      </w:r>
    </w:p>
    <w:p w14:paraId="2A4A386D">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color w:val="auto"/>
          <w:sz w:val="24"/>
          <w:szCs w:val="24"/>
          <w:highlight w:val="none"/>
        </w:rPr>
        <w:t>本项目不公开报价。</w:t>
      </w:r>
    </w:p>
    <w:bookmarkEnd w:id="463"/>
    <w:p w14:paraId="564530BC">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磋商小组</w:t>
      </w:r>
    </w:p>
    <w:p w14:paraId="376B8AD1">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磋商小组根据政府采购有关规定和本次采购项目的特点进行组建，并负责具体评审事务，独立履行职责。</w:t>
      </w:r>
      <w:bookmarkStart w:id="464" w:name="_Toc520356166"/>
    </w:p>
    <w:p w14:paraId="33B94AB2">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评审专家须符合《财政部关于在政府采购活动中查询及使用信用记录有关问题的通知》（财库〔2016〕125号）的规定。依法自行选定评审专家的，采购人和采购代理机构将查询有关信用记录，对具有行贿、受贿、欺诈等不良信用记录的人员，拒绝其参与政府采购活动。</w:t>
      </w:r>
      <w:bookmarkEnd w:id="464"/>
      <w:bookmarkStart w:id="465" w:name="_Toc520356169"/>
    </w:p>
    <w:p w14:paraId="66734F2D">
      <w:pPr>
        <w:numPr>
          <w:ilvl w:val="0"/>
          <w:numId w:val="5"/>
        </w:numPr>
        <w:tabs>
          <w:tab w:val="left" w:pos="360"/>
        </w:tabs>
        <w:snapToGrid w:val="0"/>
        <w:spacing w:line="360" w:lineRule="auto"/>
        <w:outlineLvl w:val="1"/>
        <w:rPr>
          <w:color w:val="auto"/>
          <w:sz w:val="24"/>
          <w:szCs w:val="24"/>
          <w:highlight w:val="none"/>
        </w:rPr>
      </w:pPr>
      <w:r>
        <w:rPr>
          <w:color w:val="auto"/>
          <w:sz w:val="24"/>
          <w:szCs w:val="24"/>
          <w:highlight w:val="none"/>
        </w:rPr>
        <w:t>评审方法和评审标准</w:t>
      </w:r>
    </w:p>
    <w:p w14:paraId="70B15A3F">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见第三章《评审方法和评审标准》。</w:t>
      </w:r>
    </w:p>
    <w:p w14:paraId="5EE0081D">
      <w:pPr>
        <w:tabs>
          <w:tab w:val="left" w:pos="360"/>
          <w:tab w:val="left" w:pos="1080"/>
        </w:tabs>
        <w:snapToGrid w:val="0"/>
        <w:spacing w:line="360" w:lineRule="auto"/>
        <w:ind w:left="1080"/>
        <w:rPr>
          <w:color w:val="auto"/>
          <w:sz w:val="24"/>
          <w:szCs w:val="24"/>
          <w:highlight w:val="none"/>
        </w:rPr>
      </w:pPr>
    </w:p>
    <w:p w14:paraId="53A429A9">
      <w:pPr>
        <w:pStyle w:val="3"/>
        <w:spacing w:before="0" w:line="360" w:lineRule="auto"/>
        <w:rPr>
          <w:rFonts w:ascii="Times New Roman" w:hAnsi="Times New Roman" w:eastAsia="宋体"/>
          <w:color w:val="auto"/>
          <w:sz w:val="24"/>
          <w:szCs w:val="24"/>
          <w:highlight w:val="none"/>
        </w:rPr>
      </w:pPr>
      <w:bookmarkStart w:id="466" w:name="_Toc151193787"/>
      <w:bookmarkStart w:id="467" w:name="_Toc226337241"/>
      <w:bookmarkStart w:id="468" w:name="_Toc305158887"/>
      <w:bookmarkStart w:id="469" w:name="_Toc151190172"/>
      <w:bookmarkStart w:id="470" w:name="_Toc151193643"/>
      <w:bookmarkStart w:id="471" w:name="_Toc305158813"/>
      <w:bookmarkStart w:id="472" w:name="_Toc150774645"/>
      <w:bookmarkStart w:id="473" w:name="_Toc265228383"/>
      <w:bookmarkStart w:id="474" w:name="_Toc226965735"/>
      <w:bookmarkStart w:id="475" w:name="_Toc264969235"/>
      <w:bookmarkStart w:id="476" w:name="_Toc151193715"/>
      <w:bookmarkStart w:id="477" w:name="_Toc151193933"/>
      <w:bookmarkStart w:id="478" w:name="_Toc142311047"/>
      <w:bookmarkStart w:id="479" w:name="_Toc150774750"/>
      <w:bookmarkStart w:id="480" w:name="_Toc127151545"/>
      <w:bookmarkStart w:id="481" w:name="_Toc195842910"/>
      <w:bookmarkStart w:id="482" w:name="_Toc150480783"/>
      <w:bookmarkStart w:id="483" w:name="_Toc150509296"/>
      <w:bookmarkStart w:id="484" w:name="_Toc151193859"/>
      <w:bookmarkStart w:id="485" w:name="_Toc226965818"/>
      <w:bookmarkStart w:id="486" w:name="_Toc226309789"/>
      <w:r>
        <w:rPr>
          <w:rFonts w:ascii="Times New Roman" w:hAnsi="Times New Roman" w:eastAsia="宋体"/>
          <w:color w:val="auto"/>
          <w:sz w:val="24"/>
          <w:szCs w:val="24"/>
          <w:highlight w:val="none"/>
        </w:rPr>
        <w:t xml:space="preserve">六   </w:t>
      </w:r>
      <w:bookmarkEnd w:id="465"/>
      <w:r>
        <w:rPr>
          <w:rFonts w:ascii="Times New Roman" w:hAnsi="Times New Roman" w:eastAsia="宋体"/>
          <w:color w:val="auto"/>
          <w:sz w:val="24"/>
          <w:szCs w:val="24"/>
          <w:highlight w:val="none"/>
        </w:rPr>
        <w:t>确定</w:t>
      </w:r>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r>
        <w:rPr>
          <w:rFonts w:ascii="Times New Roman" w:hAnsi="Times New Roman" w:eastAsia="宋体"/>
          <w:color w:val="auto"/>
          <w:sz w:val="24"/>
          <w:szCs w:val="24"/>
          <w:highlight w:val="none"/>
        </w:rPr>
        <w:t>成交</w:t>
      </w:r>
    </w:p>
    <w:p w14:paraId="5BDF0C2A">
      <w:pPr>
        <w:numPr>
          <w:ilvl w:val="0"/>
          <w:numId w:val="5"/>
        </w:numPr>
        <w:tabs>
          <w:tab w:val="left" w:pos="360"/>
        </w:tabs>
        <w:snapToGrid w:val="0"/>
        <w:spacing w:line="360" w:lineRule="auto"/>
        <w:ind w:left="357" w:hanging="357"/>
        <w:outlineLvl w:val="1"/>
        <w:rPr>
          <w:color w:val="auto"/>
          <w:sz w:val="24"/>
          <w:szCs w:val="24"/>
          <w:highlight w:val="none"/>
        </w:rPr>
      </w:pPr>
      <w:bookmarkStart w:id="487" w:name="_Toc150774647"/>
      <w:bookmarkStart w:id="488" w:name="_Toc164229242"/>
      <w:bookmarkStart w:id="489" w:name="_Toc149720840"/>
      <w:bookmarkStart w:id="490" w:name="_Toc226337243"/>
      <w:bookmarkStart w:id="491" w:name="_Toc264969237"/>
      <w:bookmarkStart w:id="492" w:name="_Toc164608816"/>
      <w:bookmarkStart w:id="493" w:name="_Toc226965820"/>
      <w:bookmarkStart w:id="494" w:name="_Toc127161461"/>
      <w:bookmarkStart w:id="495" w:name="_Toc151193717"/>
      <w:bookmarkStart w:id="496" w:name="_Toc164229388"/>
      <w:bookmarkStart w:id="497" w:name="_Toc150480785"/>
      <w:bookmarkStart w:id="498" w:name="_Toc164351641"/>
      <w:bookmarkStart w:id="499" w:name="_Toc151193935"/>
      <w:bookmarkStart w:id="500" w:name="_Toc150509298"/>
      <w:bookmarkStart w:id="501" w:name="_Toc305158889"/>
      <w:bookmarkStart w:id="502" w:name="_Toc151193861"/>
      <w:bookmarkStart w:id="503" w:name="_Toc151193645"/>
      <w:bookmarkStart w:id="504" w:name="_Toc164608661"/>
      <w:bookmarkStart w:id="505" w:name="_Toc142311049"/>
      <w:bookmarkStart w:id="506" w:name="_Toc127151748"/>
      <w:bookmarkStart w:id="507" w:name="_Toc195842912"/>
      <w:bookmarkStart w:id="508" w:name="_Toc150774752"/>
      <w:bookmarkStart w:id="509" w:name="_Toc305158815"/>
      <w:bookmarkStart w:id="510" w:name="_Toc226965737"/>
      <w:bookmarkStart w:id="511" w:name="_Toc265228385"/>
      <w:bookmarkStart w:id="512" w:name="_Toc151190174"/>
      <w:bookmarkStart w:id="513" w:name="_Toc226309791"/>
      <w:bookmarkStart w:id="514" w:name="_Toc127151547"/>
      <w:bookmarkStart w:id="515" w:name="_Toc151193789"/>
      <w:r>
        <w:rPr>
          <w:color w:val="auto"/>
          <w:sz w:val="24"/>
          <w:szCs w:val="24"/>
          <w:highlight w:val="none"/>
        </w:rPr>
        <w:t>确定成交供应商</w:t>
      </w:r>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p>
    <w:p w14:paraId="16E283F2">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采购人将在收到评审报告后，从评审报告提出的成交候选供应商中，按照排序由高到低的原则确定成交供应商</w:t>
      </w:r>
      <w:r>
        <w:rPr>
          <w:rFonts w:hint="eastAsia"/>
          <w:color w:val="auto"/>
          <w:sz w:val="24"/>
          <w:szCs w:val="24"/>
          <w:highlight w:val="none"/>
        </w:rPr>
        <w:t>。</w:t>
      </w:r>
      <w:r>
        <w:rPr>
          <w:color w:val="auto"/>
          <w:sz w:val="24"/>
          <w:szCs w:val="24"/>
          <w:highlight w:val="none"/>
        </w:rPr>
        <w:t>采购人是否授权</w:t>
      </w:r>
      <w:r>
        <w:rPr>
          <w:rFonts w:hint="eastAsia"/>
          <w:color w:val="auto"/>
          <w:sz w:val="24"/>
          <w:szCs w:val="24"/>
          <w:highlight w:val="none"/>
        </w:rPr>
        <w:t>磋商</w:t>
      </w:r>
      <w:r>
        <w:rPr>
          <w:color w:val="auto"/>
          <w:sz w:val="24"/>
          <w:szCs w:val="24"/>
          <w:highlight w:val="none"/>
        </w:rPr>
        <w:t>小组直接确定成交供应商，见《供应商须知资料表》。成交候选人并列的，按照《供应商须知资料表》要求确定成交供应商。</w:t>
      </w:r>
    </w:p>
    <w:p w14:paraId="0AECA8D8">
      <w:pPr>
        <w:numPr>
          <w:ilvl w:val="0"/>
          <w:numId w:val="5"/>
        </w:numPr>
        <w:tabs>
          <w:tab w:val="left" w:pos="360"/>
        </w:tabs>
        <w:snapToGrid w:val="0"/>
        <w:spacing w:line="360" w:lineRule="auto"/>
        <w:ind w:left="357" w:hanging="357"/>
        <w:outlineLvl w:val="1"/>
        <w:rPr>
          <w:color w:val="auto"/>
          <w:sz w:val="24"/>
          <w:szCs w:val="24"/>
          <w:highlight w:val="none"/>
        </w:rPr>
      </w:pPr>
      <w:bookmarkStart w:id="516" w:name="_Toc305158817"/>
      <w:bookmarkStart w:id="517" w:name="_Toc305158891"/>
      <w:bookmarkStart w:id="518" w:name="_Toc127161463"/>
      <w:bookmarkStart w:id="519" w:name="_Toc151193791"/>
      <w:bookmarkStart w:id="520" w:name="_Toc151190176"/>
      <w:bookmarkStart w:id="521" w:name="_Toc226965739"/>
      <w:bookmarkStart w:id="522" w:name="_Toc151193863"/>
      <w:bookmarkStart w:id="523" w:name="_Toc151193719"/>
      <w:bookmarkStart w:id="524" w:name="_Toc149720842"/>
      <w:bookmarkStart w:id="525" w:name="_Toc164351643"/>
      <w:bookmarkStart w:id="526" w:name="_Toc151193647"/>
      <w:bookmarkStart w:id="527" w:name="_Toc226309793"/>
      <w:bookmarkStart w:id="528" w:name="_Toc151193937"/>
      <w:bookmarkStart w:id="529" w:name="_Toc164608818"/>
      <w:bookmarkStart w:id="530" w:name="_Toc264969239"/>
      <w:bookmarkStart w:id="531" w:name="_Toc150480787"/>
      <w:bookmarkStart w:id="532" w:name="_Toc150774649"/>
      <w:bookmarkStart w:id="533" w:name="_Toc127151750"/>
      <w:bookmarkStart w:id="534" w:name="_Toc142311051"/>
      <w:bookmarkStart w:id="535" w:name="_Toc164229244"/>
      <w:bookmarkStart w:id="536" w:name="_Toc265228387"/>
      <w:bookmarkStart w:id="537" w:name="_Toc150774754"/>
      <w:bookmarkStart w:id="538" w:name="_Toc195842914"/>
      <w:bookmarkStart w:id="539" w:name="_Toc127151549"/>
      <w:bookmarkStart w:id="540" w:name="_Toc226965822"/>
      <w:bookmarkStart w:id="541" w:name="_Toc164229390"/>
      <w:bookmarkStart w:id="542" w:name="_Toc150509300"/>
      <w:bookmarkStart w:id="543" w:name="_Toc226337245"/>
      <w:bookmarkStart w:id="544" w:name="_Toc164608663"/>
      <w:bookmarkStart w:id="545" w:name="_Toc520356176"/>
      <w:bookmarkStart w:id="546" w:name="_Ref467306425"/>
      <w:bookmarkStart w:id="547" w:name="_Ref467307090"/>
      <w:r>
        <w:rPr>
          <w:color w:val="auto"/>
          <w:sz w:val="24"/>
          <w:szCs w:val="24"/>
          <w:highlight w:val="none"/>
        </w:rPr>
        <w:t>成交公告与成交通知书</w:t>
      </w:r>
      <w:bookmarkEnd w:id="516"/>
      <w:bookmarkEnd w:id="517"/>
    </w:p>
    <w:p w14:paraId="34161659">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采购人或采购代理机构将</w:t>
      </w:r>
      <w:r>
        <w:rPr>
          <w:color w:val="auto"/>
          <w:kern w:val="0"/>
          <w:sz w:val="24"/>
          <w:szCs w:val="24"/>
          <w:highlight w:val="none"/>
        </w:rPr>
        <w:t>在成交供应商确定后2个工作日内，在</w:t>
      </w:r>
      <w:r>
        <w:rPr>
          <w:rFonts w:hint="eastAsia"/>
          <w:color w:val="auto"/>
          <w:sz w:val="24"/>
          <w:szCs w:val="24"/>
          <w:highlight w:val="none"/>
        </w:rPr>
        <w:t>北京市政府采购网</w:t>
      </w:r>
      <w:r>
        <w:rPr>
          <w:color w:val="auto"/>
          <w:kern w:val="0"/>
          <w:sz w:val="24"/>
          <w:szCs w:val="24"/>
          <w:highlight w:val="none"/>
        </w:rPr>
        <w:t>公告成交结果，同时向成交供应商发出成交通知书，</w:t>
      </w:r>
      <w:r>
        <w:rPr>
          <w:color w:val="auto"/>
          <w:sz w:val="24"/>
          <w:szCs w:val="24"/>
          <w:highlight w:val="none"/>
        </w:rPr>
        <w:t>成交公告期限为1个工作日。</w:t>
      </w:r>
    </w:p>
    <w:p w14:paraId="4E6430CB">
      <w:pPr>
        <w:numPr>
          <w:ilvl w:val="1"/>
          <w:numId w:val="5"/>
        </w:numPr>
        <w:tabs>
          <w:tab w:val="left" w:pos="1080"/>
          <w:tab w:val="left" w:pos="2014"/>
        </w:tabs>
        <w:snapToGrid w:val="0"/>
        <w:spacing w:line="360" w:lineRule="auto"/>
        <w:ind w:left="1080" w:hanging="720"/>
        <w:rPr>
          <w:color w:val="auto"/>
          <w:sz w:val="24"/>
          <w:szCs w:val="24"/>
          <w:highlight w:val="none"/>
        </w:rPr>
      </w:pPr>
      <w:r>
        <w:rPr>
          <w:color w:val="auto"/>
          <w:sz w:val="24"/>
          <w:szCs w:val="24"/>
          <w:highlight w:val="none"/>
        </w:rPr>
        <w:t>成交通知书对采购人和成交供应商具有法律效力。成交通知书发出后，采购人改变成交结果的，或者成交供应商放弃成交项目的，将依法承担法律责任</w:t>
      </w:r>
      <w:r>
        <w:rPr>
          <w:rFonts w:hint="eastAsia"/>
          <w:color w:val="auto"/>
          <w:sz w:val="24"/>
          <w:szCs w:val="24"/>
          <w:highlight w:val="none"/>
        </w:rPr>
        <w:t>。</w:t>
      </w:r>
    </w:p>
    <w:p w14:paraId="74B0BB20">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终止</w:t>
      </w:r>
    </w:p>
    <w:p w14:paraId="3B07C398">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在采购中，出现下列情形之一的，采购人或采购代理机构将终止竞争性磋商采购活动，发布项目终止公告并说明原因，重新开展采购活动：</w:t>
      </w:r>
    </w:p>
    <w:p w14:paraId="33E7798F">
      <w:pPr>
        <w:numPr>
          <w:ilvl w:val="2"/>
          <w:numId w:val="5"/>
        </w:numPr>
        <w:snapToGrid w:val="0"/>
        <w:spacing w:line="360" w:lineRule="auto"/>
        <w:rPr>
          <w:color w:val="auto"/>
          <w:sz w:val="24"/>
          <w:szCs w:val="24"/>
          <w:highlight w:val="none"/>
        </w:rPr>
      </w:pPr>
      <w:r>
        <w:rPr>
          <w:color w:val="auto"/>
          <w:sz w:val="24"/>
          <w:szCs w:val="24"/>
          <w:highlight w:val="none"/>
        </w:rPr>
        <w:t>因情况变化，不再符合规定的竞争性磋商采购方式适用情形的；</w:t>
      </w:r>
    </w:p>
    <w:p w14:paraId="522F2689">
      <w:pPr>
        <w:numPr>
          <w:ilvl w:val="2"/>
          <w:numId w:val="5"/>
        </w:numPr>
        <w:snapToGrid w:val="0"/>
        <w:spacing w:line="360" w:lineRule="auto"/>
        <w:rPr>
          <w:color w:val="auto"/>
          <w:sz w:val="24"/>
          <w:szCs w:val="24"/>
          <w:highlight w:val="none"/>
        </w:rPr>
      </w:pPr>
      <w:r>
        <w:rPr>
          <w:color w:val="auto"/>
          <w:sz w:val="24"/>
          <w:szCs w:val="24"/>
          <w:highlight w:val="none"/>
        </w:rPr>
        <w:t>出现影响采购公正的违法、违规行为的；</w:t>
      </w:r>
    </w:p>
    <w:p w14:paraId="75E62976">
      <w:pPr>
        <w:numPr>
          <w:ilvl w:val="2"/>
          <w:numId w:val="5"/>
        </w:numPr>
        <w:snapToGrid w:val="0"/>
        <w:spacing w:line="360" w:lineRule="auto"/>
        <w:rPr>
          <w:color w:val="auto"/>
          <w:sz w:val="24"/>
          <w:szCs w:val="24"/>
          <w:highlight w:val="none"/>
        </w:rPr>
      </w:pPr>
      <w:r>
        <w:rPr>
          <w:snapToGrid w:val="0"/>
          <w:color w:val="auto"/>
          <w:kern w:val="0"/>
          <w:sz w:val="24"/>
          <w:szCs w:val="24"/>
          <w:highlight w:val="none"/>
        </w:rPr>
        <w:t>除了“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的情形外，在采购过程中符合要求的供应商或者报价未超过采购预算的供应商不足3家的。</w:t>
      </w:r>
    </w:p>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p w14:paraId="19D18FF3">
      <w:pPr>
        <w:numPr>
          <w:ilvl w:val="0"/>
          <w:numId w:val="5"/>
        </w:numPr>
        <w:tabs>
          <w:tab w:val="left" w:pos="360"/>
        </w:tabs>
        <w:snapToGrid w:val="0"/>
        <w:spacing w:line="360" w:lineRule="auto"/>
        <w:ind w:left="357" w:hanging="357"/>
        <w:outlineLvl w:val="1"/>
        <w:rPr>
          <w:color w:val="auto"/>
          <w:sz w:val="24"/>
          <w:szCs w:val="24"/>
          <w:highlight w:val="none"/>
        </w:rPr>
      </w:pPr>
      <w:bookmarkStart w:id="548" w:name="_Toc151193720"/>
      <w:bookmarkStart w:id="549" w:name="_Toc226965740"/>
      <w:bookmarkStart w:id="550" w:name="_Toc151193938"/>
      <w:bookmarkStart w:id="551" w:name="_Ref467307204"/>
      <w:bookmarkStart w:id="552" w:name="_Toc164351644"/>
      <w:bookmarkStart w:id="553" w:name="_Toc151193648"/>
      <w:bookmarkStart w:id="554" w:name="_Toc150774755"/>
      <w:bookmarkStart w:id="555" w:name="_Toc226965823"/>
      <w:bookmarkStart w:id="556" w:name="_Toc151190177"/>
      <w:bookmarkStart w:id="557" w:name="_Toc142311052"/>
      <w:bookmarkStart w:id="558" w:name="_Toc520356175"/>
      <w:bookmarkStart w:id="559" w:name="_Toc151193864"/>
      <w:bookmarkStart w:id="560" w:name="_Toc264969240"/>
      <w:bookmarkStart w:id="561" w:name="_Toc164229391"/>
      <w:bookmarkStart w:id="562" w:name="_Toc164608664"/>
      <w:bookmarkStart w:id="563" w:name="_Toc305158892"/>
      <w:bookmarkStart w:id="564" w:name="_Toc305158818"/>
      <w:bookmarkStart w:id="565" w:name="_Toc150480788"/>
      <w:bookmarkStart w:id="566" w:name="_Ref467306978"/>
      <w:bookmarkStart w:id="567" w:name="_Toc150509301"/>
      <w:bookmarkStart w:id="568" w:name="_Ref467306377"/>
      <w:bookmarkStart w:id="569" w:name="_Toc226309794"/>
      <w:bookmarkStart w:id="570" w:name="_Toc195842915"/>
      <w:bookmarkStart w:id="571" w:name="_Toc265228388"/>
      <w:bookmarkStart w:id="572" w:name="_Toc164229245"/>
      <w:bookmarkStart w:id="573" w:name="_Toc150774650"/>
      <w:bookmarkStart w:id="574" w:name="_Toc149720843"/>
      <w:bookmarkStart w:id="575" w:name="_Toc226337246"/>
      <w:bookmarkStart w:id="576" w:name="_Toc127151751"/>
      <w:bookmarkStart w:id="577" w:name="_Toc151193792"/>
      <w:bookmarkStart w:id="578" w:name="_Ref467307062"/>
      <w:bookmarkStart w:id="579" w:name="_Toc127151550"/>
      <w:bookmarkStart w:id="580" w:name="_Toc127161464"/>
      <w:bookmarkStart w:id="581" w:name="_Toc164608819"/>
      <w:r>
        <w:rPr>
          <w:color w:val="auto"/>
          <w:sz w:val="24"/>
          <w:szCs w:val="24"/>
          <w:highlight w:val="none"/>
        </w:rPr>
        <w:t>签订合同</w:t>
      </w:r>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bookmarkEnd w:id="579"/>
      <w:bookmarkEnd w:id="580"/>
      <w:bookmarkEnd w:id="581"/>
    </w:p>
    <w:p w14:paraId="178C2F54">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采购人与成交供应商将在成交通知书发出之日起30日内，按照磋商文件确定的合同文本以及采购标的、规格型号、采购金额、采购数量、技术和服务要求等事项签订政府采购合同。</w:t>
      </w:r>
    </w:p>
    <w:p w14:paraId="78005904">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成交供应商拒绝签订政府采购合同的，采购人可以按照评审报告推荐的成交候选人名单排序，确定下一候选人为成交供应商，也可以重新开展采购活动。拒绝签订政府采购合同的成交供应商不得参加对该项目重新开展的采购活动。</w:t>
      </w:r>
    </w:p>
    <w:p w14:paraId="4063F4CD">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联合体获得成交资格的，联合体各方应当共同与采购人签订合同，就成交项目向采购人承担连带责任。</w:t>
      </w:r>
    </w:p>
    <w:p w14:paraId="55B32A2C">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政府采购合同不能转包。</w:t>
      </w:r>
    </w:p>
    <w:p w14:paraId="5565C1AF">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采购人允许采用分包方式履行合同的，成交供应商可以依法采取分包方式履行合同。本项目</w:t>
      </w:r>
      <w:r>
        <w:rPr>
          <w:rFonts w:hint="eastAsia"/>
          <w:color w:val="auto"/>
          <w:sz w:val="24"/>
          <w:szCs w:val="24"/>
          <w:highlight w:val="none"/>
        </w:rPr>
        <w:t>是</w:t>
      </w:r>
      <w:r>
        <w:rPr>
          <w:color w:val="auto"/>
          <w:sz w:val="24"/>
          <w:szCs w:val="24"/>
          <w:highlight w:val="none"/>
        </w:rPr>
        <w:t>否允许分包，见《供应商须知资料表》。政府采购合同分包履行的，应当在响应文件中载明分包承担主体，分包承担主体应当具备相应资质条件且不得再次分包，</w:t>
      </w:r>
      <w:r>
        <w:rPr>
          <w:b/>
          <w:color w:val="auto"/>
          <w:sz w:val="24"/>
          <w:szCs w:val="24"/>
          <w:highlight w:val="none"/>
        </w:rPr>
        <w:t>否则响应无效</w:t>
      </w:r>
      <w:r>
        <w:rPr>
          <w:color w:val="auto"/>
          <w:sz w:val="24"/>
          <w:szCs w:val="24"/>
          <w:highlight w:val="none"/>
        </w:rPr>
        <w:t>。成交供应商就采购项目和分包项目向采购人负责，分包供应商就分包项目承担责任。</w:t>
      </w:r>
    </w:p>
    <w:p w14:paraId="5F1A82ED">
      <w:pPr>
        <w:numPr>
          <w:ilvl w:val="1"/>
          <w:numId w:val="5"/>
        </w:numPr>
        <w:tabs>
          <w:tab w:val="left" w:pos="1080"/>
          <w:tab w:val="left" w:pos="2014"/>
        </w:tabs>
        <w:snapToGrid w:val="0"/>
        <w:spacing w:line="360" w:lineRule="auto"/>
        <w:ind w:left="1077" w:hanging="720"/>
        <w:rPr>
          <w:color w:val="auto"/>
          <w:sz w:val="24"/>
          <w:szCs w:val="24"/>
          <w:highlight w:val="none"/>
        </w:rPr>
      </w:pPr>
      <w:r>
        <w:rPr>
          <w:rFonts w:hint="eastAsia" w:ascii="宋体" w:hAnsi="宋体"/>
          <w:color w:val="auto"/>
          <w:sz w:val="24"/>
          <w:szCs w:val="24"/>
          <w:highlight w:val="none"/>
        </w:rPr>
        <w:t>“政采贷”融资指引：详见</w:t>
      </w:r>
      <w:r>
        <w:rPr>
          <w:rFonts w:eastAsiaTheme="minorEastAsia"/>
          <w:color w:val="auto"/>
          <w:sz w:val="24"/>
          <w:szCs w:val="24"/>
          <w:highlight w:val="none"/>
        </w:rPr>
        <w:t>《</w:t>
      </w:r>
      <w:r>
        <w:rPr>
          <w:rFonts w:hint="eastAsia" w:eastAsiaTheme="minorEastAsia"/>
          <w:color w:val="auto"/>
          <w:sz w:val="24"/>
          <w:szCs w:val="24"/>
          <w:highlight w:val="none"/>
        </w:rPr>
        <w:t>供应商</w:t>
      </w:r>
      <w:r>
        <w:rPr>
          <w:rFonts w:eastAsiaTheme="minorEastAsia"/>
          <w:color w:val="auto"/>
          <w:sz w:val="24"/>
          <w:szCs w:val="24"/>
          <w:highlight w:val="none"/>
        </w:rPr>
        <w:t>须知资料表》</w:t>
      </w:r>
      <w:r>
        <w:rPr>
          <w:rFonts w:hint="eastAsia" w:eastAsiaTheme="minorEastAsia"/>
          <w:color w:val="auto"/>
          <w:sz w:val="24"/>
          <w:szCs w:val="24"/>
          <w:highlight w:val="none"/>
        </w:rPr>
        <w:t>。</w:t>
      </w:r>
    </w:p>
    <w:bookmarkEnd w:id="545"/>
    <w:bookmarkEnd w:id="546"/>
    <w:bookmarkEnd w:id="547"/>
    <w:p w14:paraId="3BC43F66">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询问与质疑</w:t>
      </w:r>
    </w:p>
    <w:p w14:paraId="72C10A50">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询问</w:t>
      </w:r>
    </w:p>
    <w:p w14:paraId="72B58C3B">
      <w:pPr>
        <w:numPr>
          <w:ilvl w:val="2"/>
          <w:numId w:val="5"/>
        </w:numPr>
        <w:snapToGrid w:val="0"/>
        <w:spacing w:line="360" w:lineRule="auto"/>
        <w:rPr>
          <w:color w:val="auto"/>
          <w:sz w:val="24"/>
          <w:szCs w:val="24"/>
          <w:highlight w:val="none"/>
        </w:rPr>
      </w:pPr>
      <w:r>
        <w:rPr>
          <w:color w:val="auto"/>
          <w:sz w:val="24"/>
          <w:szCs w:val="24"/>
          <w:highlight w:val="none"/>
        </w:rPr>
        <w:t>供应商对政府采购活动事项有疑问的，可依法提出询问，并按《供应商须知资料表》载明的形式送达采购人或采购代理机构。</w:t>
      </w:r>
    </w:p>
    <w:p w14:paraId="39D1A64D">
      <w:pPr>
        <w:numPr>
          <w:ilvl w:val="2"/>
          <w:numId w:val="5"/>
        </w:numPr>
        <w:snapToGrid w:val="0"/>
        <w:spacing w:line="360" w:lineRule="auto"/>
        <w:rPr>
          <w:color w:val="auto"/>
          <w:sz w:val="24"/>
          <w:szCs w:val="24"/>
          <w:highlight w:val="none"/>
        </w:rPr>
      </w:pPr>
      <w:r>
        <w:rPr>
          <w:color w:val="auto"/>
          <w:sz w:val="24"/>
          <w:szCs w:val="24"/>
          <w:highlight w:val="none"/>
        </w:rPr>
        <w:t>采购人或采购代理机构对供应商依法提出的询问，在3个工作日内作出答复，但答复的内容不得涉及商业秘密。</w:t>
      </w:r>
    </w:p>
    <w:p w14:paraId="3AE59CFB">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质疑</w:t>
      </w:r>
    </w:p>
    <w:p w14:paraId="15C42E31">
      <w:pPr>
        <w:numPr>
          <w:ilvl w:val="2"/>
          <w:numId w:val="5"/>
        </w:numPr>
        <w:snapToGrid w:val="0"/>
        <w:spacing w:line="360" w:lineRule="auto"/>
        <w:rPr>
          <w:color w:val="auto"/>
          <w:sz w:val="24"/>
          <w:szCs w:val="24"/>
          <w:highlight w:val="none"/>
        </w:rPr>
      </w:pPr>
      <w:r>
        <w:rPr>
          <w:color w:val="auto"/>
          <w:sz w:val="24"/>
          <w:szCs w:val="24"/>
          <w:highlight w:val="none"/>
        </w:rPr>
        <w:t>供应商认为竞争性磋商文件、采购过程、成交结果使自己的权益受到损害的，可以在知道或者应知其权益受到损害之日起7个工作日内，由供应商派授权代表以书面形式向采购人、采购代理机构提出质疑。采购人、采购代理机构在收到质疑函后7个工作日内作出答复。</w:t>
      </w:r>
    </w:p>
    <w:p w14:paraId="222CBB96">
      <w:pPr>
        <w:numPr>
          <w:ilvl w:val="2"/>
          <w:numId w:val="5"/>
        </w:numPr>
        <w:snapToGrid w:val="0"/>
        <w:spacing w:line="360" w:lineRule="auto"/>
        <w:rPr>
          <w:color w:val="auto"/>
          <w:sz w:val="24"/>
          <w:szCs w:val="24"/>
          <w:highlight w:val="none"/>
        </w:rPr>
      </w:pPr>
      <w:r>
        <w:rPr>
          <w:color w:val="auto"/>
          <w:sz w:val="24"/>
          <w:szCs w:val="24"/>
          <w:highlight w:val="none"/>
        </w:rPr>
        <w:t>质疑函须使用财政部制定的范本文件。</w:t>
      </w:r>
    </w:p>
    <w:p w14:paraId="29251C4C">
      <w:pPr>
        <w:numPr>
          <w:ilvl w:val="2"/>
          <w:numId w:val="5"/>
        </w:numPr>
        <w:snapToGrid w:val="0"/>
        <w:spacing w:line="360" w:lineRule="auto"/>
        <w:rPr>
          <w:color w:val="auto"/>
          <w:sz w:val="24"/>
          <w:szCs w:val="24"/>
          <w:highlight w:val="none"/>
        </w:rPr>
      </w:pPr>
      <w:r>
        <w:rPr>
          <w:color w:val="auto"/>
          <w:sz w:val="24"/>
          <w:szCs w:val="24"/>
          <w:highlight w:val="none"/>
        </w:rPr>
        <w:t>供应商为自然人的，应当由本人签字；供应商为法人或者其他组织的，应当由法定代表人、主要负责人，或者其授权代表签字或者盖章，并加盖公章。</w:t>
      </w:r>
    </w:p>
    <w:p w14:paraId="0FBB48EF">
      <w:pPr>
        <w:numPr>
          <w:ilvl w:val="2"/>
          <w:numId w:val="5"/>
        </w:numPr>
        <w:snapToGrid w:val="0"/>
        <w:spacing w:line="360" w:lineRule="auto"/>
        <w:rPr>
          <w:color w:val="auto"/>
          <w:sz w:val="24"/>
          <w:szCs w:val="24"/>
          <w:highlight w:val="none"/>
        </w:rPr>
      </w:pPr>
      <w:r>
        <w:rPr>
          <w:color w:val="auto"/>
          <w:sz w:val="24"/>
          <w:szCs w:val="24"/>
          <w:highlight w:val="none"/>
        </w:rPr>
        <w:t>供应商应在法定质疑期内一次性提出针对同一采购程序环节的质疑，法定质疑期内针对同一采购程序环节再次提出的质疑，采购人、采购代理机构有权不予答复。</w:t>
      </w:r>
    </w:p>
    <w:p w14:paraId="1EE9AA94">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接收询问和质疑的联系部门、联系电话和通讯地址见《供应商须知资料表》</w:t>
      </w:r>
      <w:r>
        <w:rPr>
          <w:rFonts w:hint="eastAsia"/>
          <w:color w:val="auto"/>
          <w:sz w:val="24"/>
          <w:szCs w:val="24"/>
          <w:highlight w:val="none"/>
        </w:rPr>
        <w:t>。</w:t>
      </w:r>
    </w:p>
    <w:p w14:paraId="0541BA9F">
      <w:pPr>
        <w:numPr>
          <w:ilvl w:val="0"/>
          <w:numId w:val="5"/>
        </w:numPr>
        <w:tabs>
          <w:tab w:val="left" w:pos="360"/>
        </w:tabs>
        <w:snapToGrid w:val="0"/>
        <w:spacing w:line="360" w:lineRule="auto"/>
        <w:ind w:left="357" w:hanging="357"/>
        <w:outlineLvl w:val="1"/>
        <w:rPr>
          <w:color w:val="auto"/>
          <w:sz w:val="24"/>
          <w:szCs w:val="24"/>
          <w:highlight w:val="none"/>
        </w:rPr>
      </w:pPr>
      <w:r>
        <w:rPr>
          <w:color w:val="auto"/>
          <w:sz w:val="24"/>
          <w:szCs w:val="24"/>
          <w:highlight w:val="none"/>
        </w:rPr>
        <w:t>代理费</w:t>
      </w:r>
    </w:p>
    <w:p w14:paraId="45A12AD8">
      <w:pPr>
        <w:numPr>
          <w:ilvl w:val="1"/>
          <w:numId w:val="5"/>
        </w:numPr>
        <w:tabs>
          <w:tab w:val="left" w:pos="1080"/>
          <w:tab w:val="left" w:pos="2014"/>
        </w:tabs>
        <w:snapToGrid w:val="0"/>
        <w:spacing w:line="360" w:lineRule="auto"/>
        <w:ind w:left="1077" w:hanging="720"/>
        <w:rPr>
          <w:color w:val="auto"/>
          <w:sz w:val="24"/>
          <w:szCs w:val="24"/>
          <w:highlight w:val="none"/>
        </w:rPr>
      </w:pPr>
      <w:r>
        <w:rPr>
          <w:color w:val="auto"/>
          <w:sz w:val="24"/>
          <w:szCs w:val="24"/>
          <w:highlight w:val="none"/>
        </w:rPr>
        <w:t>收费对象、收费标准及缴纳时间见《供应商须知资料表》。由成交供应商支付的，成交供应商须一次性向采购代理机构缴纳代理费，报价应包含代理费用。</w:t>
      </w:r>
    </w:p>
    <w:p w14:paraId="52F58C71">
      <w:pPr>
        <w:tabs>
          <w:tab w:val="left" w:pos="360"/>
          <w:tab w:val="left" w:pos="1080"/>
        </w:tabs>
        <w:snapToGrid w:val="0"/>
        <w:spacing w:line="360" w:lineRule="auto"/>
        <w:ind w:left="360"/>
        <w:rPr>
          <w:color w:val="auto"/>
          <w:sz w:val="24"/>
          <w:szCs w:val="24"/>
          <w:highlight w:val="none"/>
        </w:rPr>
      </w:pPr>
    </w:p>
    <w:p w14:paraId="6020AEE6">
      <w:pPr>
        <w:rPr>
          <w:b/>
          <w:color w:val="auto"/>
          <w:sz w:val="24"/>
          <w:szCs w:val="24"/>
          <w:highlight w:val="none"/>
        </w:rPr>
      </w:pPr>
      <w:bookmarkStart w:id="582" w:name="_Toc226965827"/>
      <w:bookmarkStart w:id="583" w:name="_Toc353873934"/>
      <w:bookmarkStart w:id="584" w:name="_Toc142311056"/>
      <w:bookmarkStart w:id="585" w:name="_Toc305158896"/>
      <w:bookmarkStart w:id="586" w:name="_Toc305158822"/>
      <w:bookmarkStart w:id="587" w:name="_Toc127151554"/>
      <w:bookmarkStart w:id="588" w:name="_Toc264969244"/>
      <w:bookmarkStart w:id="589" w:name="_Toc265228392"/>
      <w:bookmarkStart w:id="590" w:name="_Toc353873664"/>
      <w:bookmarkStart w:id="591" w:name="_Toc226337250"/>
      <w:bookmarkStart w:id="592" w:name="_Toc150774759"/>
      <w:bookmarkStart w:id="593" w:name="_Toc353825544"/>
      <w:bookmarkStart w:id="594" w:name="_Toc150480792"/>
      <w:r>
        <w:rPr>
          <w:b/>
          <w:color w:val="auto"/>
          <w:sz w:val="24"/>
          <w:szCs w:val="24"/>
          <w:highlight w:val="none"/>
        </w:rPr>
        <w:br w:type="page"/>
      </w:r>
    </w:p>
    <w:p w14:paraId="31199B13">
      <w:pPr>
        <w:spacing w:line="360" w:lineRule="auto"/>
        <w:jc w:val="center"/>
        <w:outlineLvl w:val="0"/>
        <w:rPr>
          <w:b/>
          <w:color w:val="auto"/>
          <w:sz w:val="24"/>
          <w:szCs w:val="24"/>
          <w:highlight w:val="none"/>
        </w:rPr>
      </w:pPr>
      <w:bookmarkStart w:id="595" w:name="_Toc26750"/>
      <w:r>
        <w:rPr>
          <w:b/>
          <w:color w:val="auto"/>
          <w:sz w:val="24"/>
          <w:szCs w:val="24"/>
          <w:highlight w:val="none"/>
        </w:rPr>
        <w:t xml:space="preserve">第三章   </w:t>
      </w:r>
      <w:bookmarkEnd w:id="582"/>
      <w:bookmarkEnd w:id="583"/>
      <w:bookmarkEnd w:id="584"/>
      <w:bookmarkEnd w:id="585"/>
      <w:bookmarkEnd w:id="586"/>
      <w:bookmarkEnd w:id="587"/>
      <w:bookmarkEnd w:id="588"/>
      <w:bookmarkEnd w:id="589"/>
      <w:bookmarkEnd w:id="590"/>
      <w:bookmarkEnd w:id="591"/>
      <w:bookmarkEnd w:id="592"/>
      <w:bookmarkEnd w:id="593"/>
      <w:bookmarkEnd w:id="594"/>
      <w:r>
        <w:rPr>
          <w:b/>
          <w:color w:val="auto"/>
          <w:sz w:val="24"/>
          <w:szCs w:val="24"/>
          <w:highlight w:val="none"/>
        </w:rPr>
        <w:t>评审方法和评审标准</w:t>
      </w:r>
      <w:bookmarkEnd w:id="595"/>
      <w:bookmarkStart w:id="596" w:name="_Toc487900382"/>
    </w:p>
    <w:p w14:paraId="3E5F0171">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一、资格审查程序</w:t>
      </w:r>
    </w:p>
    <w:p w14:paraId="5DC72836">
      <w:pPr>
        <w:tabs>
          <w:tab w:val="left" w:pos="1080"/>
        </w:tabs>
        <w:snapToGrid w:val="0"/>
        <w:jc w:val="left"/>
        <w:rPr>
          <w:b/>
          <w:color w:val="auto"/>
          <w:sz w:val="24"/>
          <w:szCs w:val="24"/>
          <w:highlight w:val="none"/>
        </w:rPr>
      </w:pPr>
      <w:r>
        <w:rPr>
          <w:b/>
          <w:color w:val="auto"/>
          <w:sz w:val="24"/>
          <w:szCs w:val="24"/>
          <w:highlight w:val="none"/>
        </w:rPr>
        <w:tab/>
      </w:r>
    </w:p>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bookmarkEnd w:id="77"/>
    <w:bookmarkEnd w:id="596"/>
    <w:p w14:paraId="3C5E897E">
      <w:pPr>
        <w:numPr>
          <w:ilvl w:val="0"/>
          <w:numId w:val="7"/>
        </w:numPr>
        <w:tabs>
          <w:tab w:val="left" w:pos="360"/>
        </w:tabs>
        <w:snapToGrid w:val="0"/>
        <w:spacing w:line="360" w:lineRule="auto"/>
        <w:outlineLvl w:val="1"/>
        <w:rPr>
          <w:color w:val="auto"/>
          <w:sz w:val="24"/>
          <w:szCs w:val="24"/>
          <w:highlight w:val="none"/>
        </w:rPr>
      </w:pPr>
      <w:bookmarkStart w:id="597" w:name="_Toc164351635"/>
      <w:bookmarkStart w:id="598" w:name="_Toc164229382"/>
      <w:bookmarkStart w:id="599" w:name="_Toc195842906"/>
      <w:bookmarkStart w:id="600" w:name="_Toc149720834"/>
      <w:bookmarkStart w:id="601" w:name="_Toc151193711"/>
      <w:bookmarkStart w:id="602" w:name="_Toc151190168"/>
      <w:bookmarkStart w:id="603" w:name="_Toc164229236"/>
      <w:bookmarkStart w:id="604" w:name="_Toc264969231"/>
      <w:bookmarkStart w:id="605" w:name="_Toc127151541"/>
      <w:bookmarkStart w:id="606" w:name="_Toc151193639"/>
      <w:bookmarkStart w:id="607" w:name="_Toc265228379"/>
      <w:bookmarkStart w:id="608" w:name="_Toc226309785"/>
      <w:bookmarkStart w:id="609" w:name="_Toc150509292"/>
      <w:bookmarkStart w:id="610" w:name="_Toc305158809"/>
      <w:bookmarkStart w:id="611" w:name="_Toc151193929"/>
      <w:bookmarkStart w:id="612" w:name="_Toc150480779"/>
      <w:bookmarkStart w:id="613" w:name="_Toc127161455"/>
      <w:bookmarkStart w:id="614" w:name="_Toc226337237"/>
      <w:bookmarkStart w:id="615" w:name="_Toc127151742"/>
      <w:bookmarkStart w:id="616" w:name="_Toc164608810"/>
      <w:bookmarkStart w:id="617" w:name="_Toc150774746"/>
      <w:bookmarkStart w:id="618" w:name="_Toc150774641"/>
      <w:bookmarkStart w:id="619" w:name="_Toc226965814"/>
      <w:bookmarkStart w:id="620" w:name="_Toc305158883"/>
      <w:bookmarkStart w:id="621" w:name="_Toc226965731"/>
      <w:bookmarkStart w:id="622" w:name="_Toc151193855"/>
      <w:bookmarkStart w:id="623" w:name="_Toc164608655"/>
      <w:bookmarkStart w:id="624" w:name="_Toc142311043"/>
      <w:bookmarkStart w:id="625" w:name="_Toc151193783"/>
      <w:bookmarkStart w:id="626" w:name="_Toc353825551"/>
      <w:bookmarkStart w:id="627" w:name="_Toc353873941"/>
      <w:bookmarkStart w:id="628" w:name="_Toc305158897"/>
      <w:bookmarkStart w:id="629" w:name="_Toc226337251"/>
      <w:bookmarkStart w:id="630" w:name="_Toc150774760"/>
      <w:bookmarkStart w:id="631" w:name="_Toc127151555"/>
      <w:bookmarkStart w:id="632" w:name="_Toc353825545"/>
      <w:bookmarkStart w:id="633" w:name="_Toc353873935"/>
      <w:bookmarkStart w:id="634" w:name="_Toc226965828"/>
      <w:bookmarkStart w:id="635" w:name="_Toc305158823"/>
      <w:bookmarkStart w:id="636" w:name="_Toc150480793"/>
      <w:bookmarkStart w:id="637" w:name="_Toc142311057"/>
      <w:bookmarkStart w:id="638" w:name="_Toc353873665"/>
      <w:bookmarkStart w:id="639" w:name="_Toc195842920"/>
      <w:bookmarkStart w:id="640" w:name="_Toc264969245"/>
      <w:bookmarkStart w:id="641" w:name="_Toc265228393"/>
      <w:r>
        <w:rPr>
          <w:color w:val="auto"/>
          <w:sz w:val="24"/>
          <w:szCs w:val="24"/>
          <w:highlight w:val="none"/>
        </w:rPr>
        <w:t>响应文件的</w:t>
      </w:r>
      <w:bookmarkEnd w:id="597"/>
      <w:bookmarkEnd w:id="598"/>
      <w:bookmarkEnd w:id="599"/>
      <w:bookmarkEnd w:id="600"/>
      <w:bookmarkEnd w:id="601"/>
      <w:bookmarkEnd w:id="602"/>
      <w:bookmarkEnd w:id="603"/>
      <w:bookmarkEnd w:id="604"/>
      <w:bookmarkEnd w:id="605"/>
      <w:bookmarkEnd w:id="606"/>
      <w:bookmarkEnd w:id="607"/>
      <w:bookmarkEnd w:id="608"/>
      <w:bookmarkEnd w:id="609"/>
      <w:bookmarkEnd w:id="610"/>
      <w:bookmarkEnd w:id="611"/>
      <w:bookmarkEnd w:id="612"/>
      <w:bookmarkEnd w:id="613"/>
      <w:bookmarkEnd w:id="614"/>
      <w:bookmarkEnd w:id="615"/>
      <w:bookmarkEnd w:id="616"/>
      <w:bookmarkEnd w:id="617"/>
      <w:bookmarkEnd w:id="618"/>
      <w:bookmarkEnd w:id="619"/>
      <w:bookmarkEnd w:id="620"/>
      <w:bookmarkEnd w:id="621"/>
      <w:bookmarkEnd w:id="622"/>
      <w:bookmarkEnd w:id="623"/>
      <w:bookmarkEnd w:id="624"/>
      <w:bookmarkEnd w:id="625"/>
      <w:r>
        <w:rPr>
          <w:color w:val="auto"/>
          <w:sz w:val="24"/>
          <w:szCs w:val="24"/>
          <w:highlight w:val="none"/>
        </w:rPr>
        <w:t>资格性检查和符合性审查</w:t>
      </w:r>
    </w:p>
    <w:p w14:paraId="11CD7381">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磋商小组将根据《资格性检查要求》和《符合性审查要求》中规定的内容，对供应商进行检查，并形成检查结果。供应商《响应文件》有任何一项不符合《资格性检查要求》和《符合性审查要求》要求的，视为未实质性响应磋商文件。未实质性响应磋商文件的响应文件按</w:t>
      </w:r>
      <w:r>
        <w:rPr>
          <w:b/>
          <w:color w:val="auto"/>
          <w:sz w:val="24"/>
          <w:szCs w:val="24"/>
          <w:highlight w:val="none"/>
        </w:rPr>
        <w:t>无效响应</w:t>
      </w:r>
      <w:r>
        <w:rPr>
          <w:color w:val="auto"/>
          <w:sz w:val="24"/>
          <w:szCs w:val="24"/>
          <w:highlight w:val="none"/>
        </w:rPr>
        <w:t>处理，磋商小组应当告知提交响应文件的供应商。</w:t>
      </w:r>
    </w:p>
    <w:p w14:paraId="11D4CF58">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《资格性检查要求》中对格式有要求的，除竞争性磋商文件另有规定外，均为“实质性格式”文件。</w:t>
      </w:r>
    </w:p>
    <w:p w14:paraId="2C230E47">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《资格性检查要求》见下表：</w:t>
      </w:r>
    </w:p>
    <w:p w14:paraId="66935224">
      <w:pPr>
        <w:rPr>
          <w:b/>
          <w:color w:val="auto"/>
          <w:sz w:val="24"/>
          <w:szCs w:val="24"/>
          <w:highlight w:val="none"/>
        </w:rPr>
      </w:pPr>
      <w:r>
        <w:rPr>
          <w:b/>
          <w:color w:val="auto"/>
          <w:sz w:val="24"/>
          <w:szCs w:val="24"/>
          <w:highlight w:val="none"/>
        </w:rPr>
        <w:br w:type="page"/>
      </w:r>
    </w:p>
    <w:p w14:paraId="57E7932E">
      <w:pPr>
        <w:tabs>
          <w:tab w:val="left" w:pos="900"/>
          <w:tab w:val="left" w:pos="1080"/>
        </w:tabs>
        <w:snapToGrid w:val="0"/>
        <w:spacing w:line="360" w:lineRule="auto"/>
        <w:ind w:left="1077" w:firstLine="2650" w:firstLineChars="1100"/>
        <w:rPr>
          <w:b/>
          <w:color w:val="auto"/>
          <w:sz w:val="24"/>
          <w:szCs w:val="24"/>
          <w:highlight w:val="none"/>
        </w:rPr>
      </w:pPr>
      <w:r>
        <w:rPr>
          <w:b/>
          <w:color w:val="auto"/>
          <w:sz w:val="24"/>
          <w:szCs w:val="24"/>
          <w:highlight w:val="none"/>
        </w:rPr>
        <w:t>资格性检查要求</w:t>
      </w:r>
    </w:p>
    <w:tbl>
      <w:tblPr>
        <w:tblStyle w:val="53"/>
        <w:tblW w:w="4998"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906"/>
        <w:gridCol w:w="1868"/>
        <w:gridCol w:w="5135"/>
        <w:gridCol w:w="2049"/>
      </w:tblGrid>
      <w:tr w14:paraId="16E1088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blHeader/>
        </w:trPr>
        <w:tc>
          <w:tcPr>
            <w:tcW w:w="455" w:type="pct"/>
            <w:vAlign w:val="center"/>
          </w:tcPr>
          <w:p w14:paraId="6A06404C">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b/>
                <w:color w:val="auto"/>
                <w:sz w:val="24"/>
                <w:szCs w:val="24"/>
                <w:highlight w:val="none"/>
              </w:rPr>
            </w:pPr>
            <w:bookmarkStart w:id="642" w:name="_Hlt487972895"/>
            <w:bookmarkEnd w:id="642"/>
            <w:r>
              <w:rPr>
                <w:b/>
                <w:color w:val="auto"/>
                <w:sz w:val="24"/>
                <w:szCs w:val="24"/>
                <w:highlight w:val="none"/>
              </w:rPr>
              <w:t>序号</w:t>
            </w:r>
          </w:p>
        </w:tc>
        <w:tc>
          <w:tcPr>
            <w:tcW w:w="938" w:type="pct"/>
            <w:vAlign w:val="center"/>
          </w:tcPr>
          <w:p w14:paraId="0CDD95BB">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b/>
                <w:color w:val="auto"/>
                <w:sz w:val="24"/>
                <w:szCs w:val="24"/>
                <w:highlight w:val="none"/>
              </w:rPr>
            </w:pPr>
            <w:r>
              <w:rPr>
                <w:b/>
                <w:color w:val="auto"/>
                <w:sz w:val="24"/>
                <w:szCs w:val="24"/>
                <w:highlight w:val="none"/>
              </w:rPr>
              <w:t>检查因素</w:t>
            </w:r>
          </w:p>
        </w:tc>
        <w:tc>
          <w:tcPr>
            <w:tcW w:w="2578" w:type="pct"/>
            <w:vAlign w:val="center"/>
          </w:tcPr>
          <w:p w14:paraId="2BC5CC8D">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b/>
                <w:color w:val="auto"/>
                <w:sz w:val="24"/>
                <w:szCs w:val="24"/>
                <w:highlight w:val="none"/>
              </w:rPr>
            </w:pPr>
            <w:r>
              <w:rPr>
                <w:b/>
                <w:color w:val="auto"/>
                <w:sz w:val="24"/>
                <w:szCs w:val="24"/>
                <w:highlight w:val="none"/>
              </w:rPr>
              <w:t>检查内容</w:t>
            </w:r>
          </w:p>
        </w:tc>
        <w:tc>
          <w:tcPr>
            <w:tcW w:w="1028" w:type="pct"/>
            <w:vAlign w:val="center"/>
          </w:tcPr>
          <w:p w14:paraId="5E44F7BD">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b/>
                <w:color w:val="auto"/>
                <w:sz w:val="24"/>
                <w:szCs w:val="24"/>
                <w:highlight w:val="none"/>
              </w:rPr>
            </w:pPr>
            <w:r>
              <w:rPr>
                <w:b/>
                <w:color w:val="auto"/>
                <w:sz w:val="24"/>
                <w:szCs w:val="24"/>
                <w:highlight w:val="none"/>
              </w:rPr>
              <w:t>格式要求</w:t>
            </w:r>
          </w:p>
        </w:tc>
      </w:tr>
      <w:tr w14:paraId="46BD883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211922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1</w:t>
            </w:r>
          </w:p>
        </w:tc>
        <w:tc>
          <w:tcPr>
            <w:tcW w:w="938" w:type="pct"/>
            <w:vAlign w:val="center"/>
          </w:tcPr>
          <w:p w14:paraId="07203A2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满足《中华人民共和国政府采购法》第二十二条规定及法律法规的其他规定</w:t>
            </w:r>
          </w:p>
        </w:tc>
        <w:tc>
          <w:tcPr>
            <w:tcW w:w="2578" w:type="pct"/>
            <w:vAlign w:val="center"/>
          </w:tcPr>
          <w:p w14:paraId="7A63EA84">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具体规定见第一章《采购邀请》</w:t>
            </w:r>
          </w:p>
        </w:tc>
        <w:tc>
          <w:tcPr>
            <w:tcW w:w="1028" w:type="pct"/>
            <w:vAlign w:val="center"/>
          </w:tcPr>
          <w:p w14:paraId="6628CFEC">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p>
        </w:tc>
      </w:tr>
      <w:tr w14:paraId="7742E5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7020A7DC">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1-1</w:t>
            </w:r>
          </w:p>
        </w:tc>
        <w:tc>
          <w:tcPr>
            <w:tcW w:w="938" w:type="pct"/>
            <w:vAlign w:val="center"/>
          </w:tcPr>
          <w:p w14:paraId="2FD48DFF">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营业执照等证明文件</w:t>
            </w:r>
          </w:p>
        </w:tc>
        <w:tc>
          <w:tcPr>
            <w:tcW w:w="2578" w:type="pct"/>
            <w:vAlign w:val="center"/>
          </w:tcPr>
          <w:p w14:paraId="085838D8">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供应商为企业(包括合伙企业)的，应提供有效的“营业执照”</w:t>
            </w:r>
            <w:r>
              <w:rPr>
                <w:rFonts w:hint="eastAsia"/>
                <w:color w:val="auto"/>
                <w:sz w:val="24"/>
                <w:szCs w:val="24"/>
                <w:highlight w:val="none"/>
                <w:lang w:eastAsia="zh-CN"/>
              </w:rPr>
              <w:t>；</w:t>
            </w:r>
          </w:p>
          <w:p w14:paraId="3B897BB4">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供应商为事业单位的,应提供有效的“事业单位法人证书"</w:t>
            </w:r>
            <w:r>
              <w:rPr>
                <w:rFonts w:hint="eastAsia"/>
                <w:color w:val="auto"/>
                <w:sz w:val="24"/>
                <w:szCs w:val="24"/>
                <w:highlight w:val="none"/>
                <w:lang w:eastAsia="zh-CN"/>
              </w:rPr>
              <w:t>；</w:t>
            </w:r>
          </w:p>
          <w:p w14:paraId="245B7BF0">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供应商是非企业机构的，应提供有效的“执业许可证”、“登记证书”等证明文件</w:t>
            </w:r>
            <w:r>
              <w:rPr>
                <w:rFonts w:hint="eastAsia"/>
                <w:color w:val="auto"/>
                <w:sz w:val="24"/>
                <w:szCs w:val="24"/>
                <w:highlight w:val="none"/>
                <w:lang w:eastAsia="zh-CN"/>
              </w:rPr>
              <w:t>；</w:t>
            </w:r>
          </w:p>
          <w:p w14:paraId="64AE6DF8">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供应商是个体工商户的,应提供有效的“个体工商户营业执照</w:t>
            </w:r>
            <w:r>
              <w:rPr>
                <w:rFonts w:hint="eastAsia"/>
                <w:color w:val="auto"/>
                <w:sz w:val="24"/>
                <w:szCs w:val="24"/>
                <w:highlight w:val="none"/>
                <w:lang w:eastAsia="zh-CN"/>
              </w:rPr>
              <w:t>”；</w:t>
            </w:r>
          </w:p>
          <w:p w14:paraId="12BD9D63">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供应商是自然人的，应提供有效的自然人身份证明。</w:t>
            </w:r>
          </w:p>
          <w:p w14:paraId="0F4B8DB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rFonts w:hint="eastAsia" w:eastAsia="宋体"/>
                <w:color w:val="auto"/>
                <w:sz w:val="24"/>
                <w:szCs w:val="24"/>
                <w:highlight w:val="none"/>
                <w:lang w:eastAsia="zh-CN"/>
              </w:rPr>
            </w:pPr>
            <w:r>
              <w:rPr>
                <w:rFonts w:hint="eastAsia"/>
                <w:color w:val="auto"/>
                <w:sz w:val="24"/>
                <w:szCs w:val="24"/>
                <w:highlight w:val="none"/>
              </w:rPr>
              <w:t>分支机构参加响应的，应提供该分支机构或其所属法人/其他组织的相应证明文件</w:t>
            </w:r>
            <w:r>
              <w:rPr>
                <w:rFonts w:hint="eastAsia"/>
                <w:color w:val="auto"/>
                <w:sz w:val="24"/>
                <w:szCs w:val="24"/>
                <w:highlight w:val="none"/>
                <w:lang w:eastAsia="zh-CN"/>
              </w:rPr>
              <w:t>；</w:t>
            </w:r>
            <w:r>
              <w:rPr>
                <w:rFonts w:hint="eastAsia"/>
                <w:color w:val="auto"/>
                <w:sz w:val="24"/>
                <w:szCs w:val="24"/>
                <w:highlight w:val="none"/>
              </w:rPr>
              <w:t>同时还应提供其所属法人/其他组织出具的授权其参与本项目的授权书(格式自拟，须加盖其所属法人/其他组织的公章);对于银行、保险、石油石化、电力、电信等行业的分支机构，可以提供上述授权，也可以提供其所属法人/其他组织的有关文件或制度等能够证明授权其独立开展业务的证明材料。</w:t>
            </w:r>
          </w:p>
        </w:tc>
        <w:tc>
          <w:tcPr>
            <w:tcW w:w="1028" w:type="pct"/>
            <w:vAlign w:val="center"/>
          </w:tcPr>
          <w:p w14:paraId="6088B2DE">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提供证明文件</w:t>
            </w:r>
            <w:r>
              <w:rPr>
                <w:rFonts w:hint="eastAsia"/>
                <w:color w:val="auto"/>
                <w:sz w:val="24"/>
                <w:szCs w:val="24"/>
                <w:highlight w:val="none"/>
              </w:rPr>
              <w:t>的电子件或电子证照</w:t>
            </w:r>
          </w:p>
        </w:tc>
      </w:tr>
      <w:tr w14:paraId="4944E8B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5C6AA308">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1-2</w:t>
            </w:r>
          </w:p>
        </w:tc>
        <w:tc>
          <w:tcPr>
            <w:tcW w:w="938" w:type="pct"/>
            <w:vAlign w:val="center"/>
          </w:tcPr>
          <w:p w14:paraId="01FD53C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供应商资格声明书</w:t>
            </w:r>
          </w:p>
        </w:tc>
        <w:tc>
          <w:tcPr>
            <w:tcW w:w="2578" w:type="pct"/>
            <w:vAlign w:val="center"/>
          </w:tcPr>
          <w:p w14:paraId="6E83EC61">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rFonts w:hint="eastAsia" w:eastAsia="宋体"/>
                <w:color w:val="auto"/>
                <w:sz w:val="24"/>
                <w:szCs w:val="24"/>
                <w:highlight w:val="none"/>
                <w:lang w:eastAsia="zh-CN"/>
              </w:rPr>
            </w:pPr>
            <w:r>
              <w:rPr>
                <w:color w:val="auto"/>
                <w:sz w:val="24"/>
                <w:szCs w:val="24"/>
                <w:highlight w:val="none"/>
              </w:rPr>
              <w:t>提供了符合竞争性磋商文件要求的《供应商资格声明书》。</w:t>
            </w:r>
          </w:p>
        </w:tc>
        <w:tc>
          <w:tcPr>
            <w:tcW w:w="1028" w:type="pct"/>
            <w:vAlign w:val="center"/>
          </w:tcPr>
          <w:p w14:paraId="56104571">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格式见《响应文件格式》</w:t>
            </w:r>
          </w:p>
        </w:tc>
      </w:tr>
      <w:tr w14:paraId="0F501AB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3675" w:hRule="atLeast"/>
        </w:trPr>
        <w:tc>
          <w:tcPr>
            <w:tcW w:w="455" w:type="pct"/>
            <w:tcBorders>
              <w:bottom w:val="single" w:color="auto" w:sz="4" w:space="0"/>
            </w:tcBorders>
            <w:vAlign w:val="center"/>
          </w:tcPr>
          <w:p w14:paraId="73A0F7E4">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1-3</w:t>
            </w:r>
          </w:p>
        </w:tc>
        <w:tc>
          <w:tcPr>
            <w:tcW w:w="938" w:type="pct"/>
            <w:tcBorders>
              <w:bottom w:val="single" w:color="auto" w:sz="4" w:space="0"/>
            </w:tcBorders>
            <w:vAlign w:val="center"/>
          </w:tcPr>
          <w:p w14:paraId="0152DB3F">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供应商信用记录</w:t>
            </w:r>
          </w:p>
        </w:tc>
        <w:tc>
          <w:tcPr>
            <w:tcW w:w="2578" w:type="pct"/>
            <w:tcBorders>
              <w:bottom w:val="single" w:color="auto" w:sz="4" w:space="0"/>
            </w:tcBorders>
            <w:vAlign w:val="center"/>
          </w:tcPr>
          <w:p w14:paraId="62B1A546">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查询渠道：信用中国网站和中国政府采购网</w:t>
            </w:r>
            <w:r>
              <w:rPr>
                <w:rFonts w:ascii="宋体" w:hAnsi="宋体"/>
                <w:color w:val="auto"/>
                <w:sz w:val="24"/>
                <w:szCs w:val="24"/>
                <w:highlight w:val="none"/>
              </w:rPr>
              <w:t>（www.creditchina.gov.cn、www.ccgp.gov.cn）；</w:t>
            </w:r>
          </w:p>
          <w:p w14:paraId="541E60C5">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截止时点：</w:t>
            </w:r>
            <w:r>
              <w:rPr>
                <w:color w:val="auto"/>
                <w:kern w:val="0"/>
                <w:sz w:val="24"/>
                <w:szCs w:val="24"/>
                <w:highlight w:val="none"/>
              </w:rPr>
              <w:t>首次响应文件提交截止时间以后</w:t>
            </w:r>
            <w:r>
              <w:rPr>
                <w:color w:val="auto"/>
                <w:sz w:val="24"/>
                <w:szCs w:val="24"/>
                <w:highlight w:val="none"/>
              </w:rPr>
              <w:t>、资格性检查阶段采购人或采购代理机构的实际查询时间为准；</w:t>
            </w:r>
          </w:p>
          <w:p w14:paraId="2C7351EA">
            <w:pPr>
              <w:keepNext w:val="0"/>
              <w:keepLines w:val="0"/>
              <w:pageBreakBefore w:val="0"/>
              <w:widowControl w:val="0"/>
              <w:tabs>
                <w:tab w:val="left" w:pos="900"/>
                <w:tab w:val="left" w:pos="19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信用信息查询记录和证据留存具体方式：查询结果网页打印页作为查询记录和证据，与其他竞争性磋商文件一并保存；</w:t>
            </w:r>
          </w:p>
          <w:p w14:paraId="5F1A4A82">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color w:val="auto"/>
                <w:sz w:val="24"/>
                <w:szCs w:val="24"/>
                <w:highlight w:val="none"/>
              </w:rPr>
              <w:t>信用信息的使用原则：经认定的被列入失信被执行人、重大税收违法案件当事人名单、政府采购严重违法失信行为记录名单的供应商，其</w:t>
            </w:r>
            <w:r>
              <w:rPr>
                <w:b/>
                <w:color w:val="auto"/>
                <w:sz w:val="24"/>
                <w:szCs w:val="24"/>
                <w:highlight w:val="none"/>
              </w:rPr>
              <w:t>响应无效</w:t>
            </w:r>
            <w:r>
              <w:rPr>
                <w:color w:val="auto"/>
                <w:sz w:val="24"/>
                <w:szCs w:val="24"/>
                <w:highlight w:val="none"/>
              </w:rPr>
              <w:t>。联合体形式磋商的，联合</w:t>
            </w:r>
            <w:r>
              <w:rPr>
                <w:rFonts w:hint="eastAsia"/>
                <w:color w:val="auto"/>
                <w:sz w:val="24"/>
                <w:szCs w:val="24"/>
                <w:highlight w:val="none"/>
              </w:rPr>
              <w:t>体成员存在不良信用记录，视同联合体存在不良信用记录。</w:t>
            </w:r>
          </w:p>
        </w:tc>
        <w:tc>
          <w:tcPr>
            <w:tcW w:w="1028" w:type="pct"/>
            <w:tcBorders>
              <w:bottom w:val="single" w:color="auto" w:sz="4" w:space="0"/>
            </w:tcBorders>
            <w:vAlign w:val="center"/>
          </w:tcPr>
          <w:p w14:paraId="0EA94887">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无须供应商提供，由采购人或采购代理机构查询。</w:t>
            </w:r>
          </w:p>
        </w:tc>
      </w:tr>
      <w:tr w14:paraId="44CF33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668" w:hRule="atLeast"/>
        </w:trPr>
        <w:tc>
          <w:tcPr>
            <w:tcW w:w="455" w:type="pct"/>
            <w:tcBorders>
              <w:top w:val="single" w:color="auto" w:sz="4" w:space="0"/>
              <w:bottom w:val="single" w:color="auto" w:sz="4" w:space="0"/>
            </w:tcBorders>
            <w:vAlign w:val="center"/>
          </w:tcPr>
          <w:p w14:paraId="0F1DB6C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rFonts w:hint="eastAsia"/>
                <w:color w:val="auto"/>
                <w:sz w:val="24"/>
                <w:szCs w:val="24"/>
                <w:highlight w:val="none"/>
              </w:rPr>
              <w:t>1-4</w:t>
            </w:r>
          </w:p>
        </w:tc>
        <w:tc>
          <w:tcPr>
            <w:tcW w:w="938" w:type="pct"/>
            <w:tcBorders>
              <w:top w:val="single" w:color="auto" w:sz="4" w:space="0"/>
              <w:bottom w:val="single" w:color="auto" w:sz="4" w:space="0"/>
            </w:tcBorders>
            <w:vAlign w:val="center"/>
          </w:tcPr>
          <w:p w14:paraId="01F8962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法律、行政法规规定的其他条件</w:t>
            </w:r>
          </w:p>
        </w:tc>
        <w:tc>
          <w:tcPr>
            <w:tcW w:w="2578" w:type="pct"/>
            <w:tcBorders>
              <w:top w:val="single" w:color="auto" w:sz="4" w:space="0"/>
              <w:bottom w:val="single" w:color="auto" w:sz="4" w:space="0"/>
            </w:tcBorders>
            <w:vAlign w:val="center"/>
          </w:tcPr>
          <w:p w14:paraId="38A61F8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法律、行政法规规定的其他条件</w:t>
            </w:r>
          </w:p>
        </w:tc>
        <w:tc>
          <w:tcPr>
            <w:tcW w:w="1028" w:type="pct"/>
            <w:tcBorders>
              <w:top w:val="single" w:color="auto" w:sz="4" w:space="0"/>
              <w:bottom w:val="single" w:color="auto" w:sz="4" w:space="0"/>
            </w:tcBorders>
            <w:vAlign w:val="center"/>
          </w:tcPr>
          <w:p w14:paraId="581550F2">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w:t>
            </w:r>
          </w:p>
        </w:tc>
      </w:tr>
      <w:tr w14:paraId="01B27B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960" w:hRule="atLeast"/>
        </w:trPr>
        <w:tc>
          <w:tcPr>
            <w:tcW w:w="455" w:type="pct"/>
            <w:tcBorders>
              <w:top w:val="single" w:color="auto" w:sz="4" w:space="0"/>
              <w:bottom w:val="single" w:color="auto" w:sz="4" w:space="0"/>
            </w:tcBorders>
            <w:vAlign w:val="center"/>
          </w:tcPr>
          <w:p w14:paraId="5C06CC2E">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2</w:t>
            </w:r>
          </w:p>
        </w:tc>
        <w:tc>
          <w:tcPr>
            <w:tcW w:w="938" w:type="pct"/>
            <w:tcBorders>
              <w:top w:val="single" w:color="auto" w:sz="4" w:space="0"/>
              <w:bottom w:val="single" w:color="auto" w:sz="4" w:space="0"/>
            </w:tcBorders>
            <w:vAlign w:val="center"/>
          </w:tcPr>
          <w:p w14:paraId="0BD3E172">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落实政府采购政策需满足的资格要求</w:t>
            </w:r>
          </w:p>
        </w:tc>
        <w:tc>
          <w:tcPr>
            <w:tcW w:w="2578" w:type="pct"/>
            <w:tcBorders>
              <w:top w:val="single" w:color="auto" w:sz="4" w:space="0"/>
              <w:bottom w:val="single" w:color="auto" w:sz="4" w:space="0"/>
            </w:tcBorders>
            <w:vAlign w:val="center"/>
          </w:tcPr>
          <w:p w14:paraId="5A7C98FF">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具体要求见第一章《采购邀请》</w:t>
            </w:r>
          </w:p>
        </w:tc>
        <w:tc>
          <w:tcPr>
            <w:tcW w:w="1028" w:type="pct"/>
            <w:tcBorders>
              <w:top w:val="single" w:color="auto" w:sz="4" w:space="0"/>
              <w:bottom w:val="single" w:color="auto" w:sz="4" w:space="0"/>
            </w:tcBorders>
            <w:vAlign w:val="center"/>
          </w:tcPr>
          <w:p w14:paraId="79064C85">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p>
        </w:tc>
      </w:tr>
      <w:tr w14:paraId="2C86C0E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562" w:hRule="atLeast"/>
        </w:trPr>
        <w:tc>
          <w:tcPr>
            <w:tcW w:w="455" w:type="pct"/>
            <w:tcBorders>
              <w:top w:val="single" w:color="auto" w:sz="4" w:space="0"/>
            </w:tcBorders>
            <w:vAlign w:val="center"/>
          </w:tcPr>
          <w:p w14:paraId="3725DCC2">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rFonts w:hint="eastAsia"/>
                <w:color w:val="auto"/>
                <w:sz w:val="24"/>
                <w:szCs w:val="24"/>
                <w:highlight w:val="none"/>
              </w:rPr>
              <w:t>2-1</w:t>
            </w:r>
          </w:p>
        </w:tc>
        <w:tc>
          <w:tcPr>
            <w:tcW w:w="938" w:type="pct"/>
            <w:tcBorders>
              <w:top w:val="single" w:color="auto" w:sz="4" w:space="0"/>
            </w:tcBorders>
            <w:vAlign w:val="center"/>
          </w:tcPr>
          <w:p w14:paraId="4292E0EF">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中小企业政策</w:t>
            </w:r>
          </w:p>
        </w:tc>
        <w:tc>
          <w:tcPr>
            <w:tcW w:w="2578" w:type="pct"/>
            <w:tcBorders>
              <w:top w:val="single" w:color="auto" w:sz="4" w:space="0"/>
            </w:tcBorders>
            <w:vAlign w:val="center"/>
          </w:tcPr>
          <w:p w14:paraId="17CC153B">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具体要求见第一章《采购邀请》</w:t>
            </w:r>
          </w:p>
        </w:tc>
        <w:tc>
          <w:tcPr>
            <w:tcW w:w="1028" w:type="pct"/>
            <w:tcBorders>
              <w:top w:val="single" w:color="auto" w:sz="4" w:space="0"/>
            </w:tcBorders>
            <w:vAlign w:val="center"/>
          </w:tcPr>
          <w:p w14:paraId="0B573B3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p>
        </w:tc>
      </w:tr>
      <w:tr w14:paraId="1588500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8A46D8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2-1</w:t>
            </w:r>
            <w:r>
              <w:rPr>
                <w:rFonts w:hint="eastAsia"/>
                <w:color w:val="auto"/>
                <w:sz w:val="24"/>
                <w:szCs w:val="24"/>
                <w:highlight w:val="none"/>
              </w:rPr>
              <w:t>-1</w:t>
            </w:r>
          </w:p>
        </w:tc>
        <w:tc>
          <w:tcPr>
            <w:tcW w:w="938" w:type="pct"/>
            <w:vAlign w:val="center"/>
          </w:tcPr>
          <w:p w14:paraId="670A088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中小企业证明文件</w:t>
            </w:r>
          </w:p>
        </w:tc>
        <w:tc>
          <w:tcPr>
            <w:tcW w:w="2578" w:type="pct"/>
            <w:vAlign w:val="center"/>
          </w:tcPr>
          <w:p w14:paraId="06F5863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rFonts w:hint="eastAsia"/>
                <w:color w:val="auto"/>
                <w:sz w:val="24"/>
                <w:szCs w:val="24"/>
                <w:highlight w:val="none"/>
              </w:rPr>
              <w:t>当本项目（包）涉及专门面向中小</w:t>
            </w:r>
          </w:p>
          <w:p w14:paraId="142A08A1">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rFonts w:hint="eastAsia"/>
                <w:color w:val="auto"/>
                <w:sz w:val="24"/>
                <w:szCs w:val="24"/>
                <w:highlight w:val="none"/>
              </w:rPr>
              <w:t>企业采购</w:t>
            </w:r>
            <w:r>
              <w:rPr>
                <w:rFonts w:hint="eastAsia"/>
                <w:color w:val="auto"/>
                <w:sz w:val="24"/>
                <w:szCs w:val="24"/>
                <w:highlight w:val="none"/>
                <w:lang w:val="en-US" w:eastAsia="zh-CN"/>
              </w:rPr>
              <w:t>或</w:t>
            </w:r>
            <w:r>
              <w:rPr>
                <w:rFonts w:hint="eastAsia"/>
                <w:color w:val="auto"/>
                <w:sz w:val="24"/>
                <w:szCs w:val="24"/>
                <w:highlight w:val="none"/>
              </w:rPr>
              <w:t>预留份额</w:t>
            </w:r>
            <w:r>
              <w:rPr>
                <w:rFonts w:hint="eastAsia"/>
                <w:color w:val="auto"/>
                <w:sz w:val="24"/>
                <w:szCs w:val="24"/>
                <w:highlight w:val="none"/>
                <w:lang w:eastAsia="zh-CN"/>
              </w:rPr>
              <w:t>的</w:t>
            </w:r>
            <w:r>
              <w:rPr>
                <w:rFonts w:hint="eastAsia"/>
                <w:color w:val="auto"/>
                <w:sz w:val="24"/>
                <w:szCs w:val="24"/>
                <w:highlight w:val="none"/>
              </w:rPr>
              <w:t>，</w:t>
            </w:r>
            <w:r>
              <w:rPr>
                <w:color w:val="auto"/>
                <w:sz w:val="24"/>
                <w:szCs w:val="24"/>
                <w:highlight w:val="none"/>
              </w:rPr>
              <w:t>提</w:t>
            </w:r>
            <w:r>
              <w:rPr>
                <w:rFonts w:hint="eastAsia"/>
                <w:color w:val="auto"/>
                <w:sz w:val="24"/>
                <w:szCs w:val="24"/>
                <w:highlight w:val="none"/>
              </w:rPr>
              <w:t>供如下资料：</w:t>
            </w:r>
          </w:p>
          <w:p w14:paraId="205565A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1</w:t>
            </w:r>
            <w:r>
              <w:rPr>
                <w:rFonts w:hint="eastAsia"/>
                <w:color w:val="auto"/>
                <w:sz w:val="24"/>
                <w:szCs w:val="24"/>
                <w:highlight w:val="none"/>
              </w:rPr>
              <w:t>、供应商单独响应的，应</w:t>
            </w:r>
            <w:r>
              <w:rPr>
                <w:color w:val="auto"/>
                <w:sz w:val="24"/>
                <w:szCs w:val="24"/>
                <w:highlight w:val="none"/>
              </w:rPr>
              <w:t>提</w:t>
            </w:r>
            <w:r>
              <w:rPr>
                <w:rFonts w:hint="eastAsia"/>
                <w:color w:val="auto"/>
                <w:sz w:val="24"/>
                <w:szCs w:val="24"/>
                <w:highlight w:val="none"/>
              </w:rPr>
              <w:t>供《中小企业声明函》或《残疾人福利性单位声明函》或由省级以上监狱管理局、戒毒管理局（含新疆生产建设兵团）出具的属于监狱企业的证明文件。</w:t>
            </w:r>
          </w:p>
          <w:p w14:paraId="0B67A49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rFonts w:hint="eastAsia" w:eastAsia="宋体"/>
                <w:color w:val="auto"/>
                <w:sz w:val="24"/>
                <w:szCs w:val="24"/>
                <w:highlight w:val="none"/>
                <w:lang w:eastAsia="zh-CN"/>
              </w:rPr>
            </w:pPr>
            <w:r>
              <w:rPr>
                <w:rFonts w:hint="eastAsia"/>
                <w:color w:val="auto"/>
                <w:sz w:val="24"/>
                <w:szCs w:val="24"/>
                <w:highlight w:val="none"/>
              </w:rPr>
              <w:t>2、如磋商文件要求以联合体形式参加或者要求合同分包的，且供应商为联合体或拟进行合同分包的，则联合体中的中小企业、签订分包意向协议的中小企业具体情况须在《中小企业声明函》或《残疾人福利性单位声明函》或由省级以上监狱管理局、戒毒管理局（含新疆生产建设兵团）出具的属于监狱企业的证明文件中如实填报，且满足采购文件关于预留份额的要求。</w:t>
            </w:r>
          </w:p>
        </w:tc>
        <w:tc>
          <w:tcPr>
            <w:tcW w:w="1028" w:type="pct"/>
            <w:vAlign w:val="center"/>
          </w:tcPr>
          <w:p w14:paraId="22223642">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格式见《响应文件格式》</w:t>
            </w:r>
          </w:p>
        </w:tc>
      </w:tr>
      <w:tr w14:paraId="5498F77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2666" w:hRule="atLeast"/>
        </w:trPr>
        <w:tc>
          <w:tcPr>
            <w:tcW w:w="455" w:type="pct"/>
            <w:vAlign w:val="center"/>
          </w:tcPr>
          <w:p w14:paraId="2973E6E7">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2-1-</w:t>
            </w:r>
            <w:r>
              <w:rPr>
                <w:rFonts w:hint="eastAsia"/>
                <w:color w:val="auto"/>
                <w:sz w:val="24"/>
                <w:szCs w:val="24"/>
                <w:highlight w:val="none"/>
              </w:rPr>
              <w:t>2</w:t>
            </w:r>
          </w:p>
        </w:tc>
        <w:tc>
          <w:tcPr>
            <w:tcW w:w="938" w:type="pct"/>
            <w:vAlign w:val="center"/>
          </w:tcPr>
          <w:p w14:paraId="5E6E002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拟分包情况说明及分包意向协议（类型一）</w:t>
            </w:r>
          </w:p>
        </w:tc>
        <w:tc>
          <w:tcPr>
            <w:tcW w:w="2578" w:type="pct"/>
            <w:vAlign w:val="center"/>
          </w:tcPr>
          <w:p w14:paraId="3D081ED9">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如本项目（包）要求通过分包措施预留部分采购份额面向中小企业采购、且供应商因落实政府采购政策拟进行分包的，必须提供；否则无须提供。</w:t>
            </w:r>
          </w:p>
          <w:p w14:paraId="7B944664">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rFonts w:hint="eastAsia" w:eastAsia="宋体"/>
                <w:b/>
                <w:color w:val="auto"/>
                <w:sz w:val="24"/>
                <w:szCs w:val="24"/>
                <w:highlight w:val="none"/>
                <w:lang w:eastAsia="zh-CN"/>
              </w:rPr>
            </w:pPr>
            <w:r>
              <w:rPr>
                <w:color w:val="auto"/>
                <w:sz w:val="24"/>
                <w:szCs w:val="24"/>
                <w:highlight w:val="none"/>
              </w:rPr>
              <w:t>对于预留份额专门面向中小企业采购的项目（包），组成联合体或者接受分包合同的中小企业与联合体内其他企业、分包企业之间不得存在直接控股、管理关系。</w:t>
            </w:r>
          </w:p>
        </w:tc>
        <w:tc>
          <w:tcPr>
            <w:tcW w:w="1028" w:type="pct"/>
            <w:vAlign w:val="center"/>
          </w:tcPr>
          <w:p w14:paraId="025D693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格式见《响应文件格式》</w:t>
            </w:r>
          </w:p>
        </w:tc>
      </w:tr>
      <w:tr w14:paraId="1B9DDDE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0B5B078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2-2</w:t>
            </w:r>
          </w:p>
        </w:tc>
        <w:tc>
          <w:tcPr>
            <w:tcW w:w="938" w:type="pct"/>
            <w:vAlign w:val="center"/>
          </w:tcPr>
          <w:p w14:paraId="3E3B6D8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其它落实政府采购政策的资格要求</w:t>
            </w:r>
          </w:p>
        </w:tc>
        <w:tc>
          <w:tcPr>
            <w:tcW w:w="2578" w:type="pct"/>
            <w:vAlign w:val="center"/>
          </w:tcPr>
          <w:p w14:paraId="08E4A397">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rFonts w:hint="eastAsia" w:eastAsia="宋体"/>
                <w:color w:val="auto"/>
                <w:sz w:val="24"/>
                <w:szCs w:val="24"/>
                <w:highlight w:val="none"/>
                <w:lang w:eastAsia="zh-CN"/>
              </w:rPr>
            </w:pPr>
            <w:r>
              <w:rPr>
                <w:color w:val="auto"/>
                <w:sz w:val="24"/>
                <w:szCs w:val="24"/>
                <w:highlight w:val="none"/>
              </w:rPr>
              <w:t>如有，见第一章《采购邀请》</w:t>
            </w:r>
          </w:p>
        </w:tc>
        <w:tc>
          <w:tcPr>
            <w:tcW w:w="1028" w:type="pct"/>
            <w:vAlign w:val="center"/>
          </w:tcPr>
          <w:p w14:paraId="46649466">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提供证明文件</w:t>
            </w:r>
            <w:r>
              <w:rPr>
                <w:rFonts w:hint="eastAsia"/>
                <w:color w:val="auto"/>
                <w:sz w:val="24"/>
                <w:szCs w:val="24"/>
                <w:highlight w:val="none"/>
              </w:rPr>
              <w:t>的电子件或电子证照</w:t>
            </w:r>
          </w:p>
        </w:tc>
      </w:tr>
      <w:tr w14:paraId="08D186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256C063">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3</w:t>
            </w:r>
          </w:p>
        </w:tc>
        <w:tc>
          <w:tcPr>
            <w:tcW w:w="938" w:type="pct"/>
            <w:vAlign w:val="center"/>
          </w:tcPr>
          <w:p w14:paraId="251F44CC">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本项目的特定资格要求</w:t>
            </w:r>
          </w:p>
        </w:tc>
        <w:tc>
          <w:tcPr>
            <w:tcW w:w="2578" w:type="pct"/>
            <w:vAlign w:val="center"/>
          </w:tcPr>
          <w:p w14:paraId="3B9F0DBE">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r>
              <w:rPr>
                <w:color w:val="auto"/>
                <w:sz w:val="24"/>
                <w:szCs w:val="24"/>
                <w:highlight w:val="none"/>
              </w:rPr>
              <w:t>如有，见第一章《采购邀请》</w:t>
            </w:r>
          </w:p>
        </w:tc>
        <w:tc>
          <w:tcPr>
            <w:tcW w:w="1028" w:type="pct"/>
            <w:vAlign w:val="center"/>
          </w:tcPr>
          <w:p w14:paraId="5FDEFE6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left"/>
              <w:textAlignment w:val="auto"/>
              <w:rPr>
                <w:color w:val="auto"/>
                <w:sz w:val="24"/>
                <w:szCs w:val="24"/>
                <w:highlight w:val="none"/>
              </w:rPr>
            </w:pPr>
          </w:p>
        </w:tc>
      </w:tr>
      <w:tr w14:paraId="06ED9B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7590" w:hRule="atLeast"/>
        </w:trPr>
        <w:tc>
          <w:tcPr>
            <w:tcW w:w="455" w:type="pct"/>
            <w:tcBorders>
              <w:bottom w:val="single" w:color="auto" w:sz="4" w:space="0"/>
            </w:tcBorders>
            <w:vAlign w:val="center"/>
          </w:tcPr>
          <w:p w14:paraId="69179212">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3-1</w:t>
            </w:r>
          </w:p>
        </w:tc>
        <w:tc>
          <w:tcPr>
            <w:tcW w:w="938" w:type="pct"/>
            <w:tcBorders>
              <w:bottom w:val="single" w:color="auto" w:sz="4" w:space="0"/>
            </w:tcBorders>
            <w:vAlign w:val="center"/>
          </w:tcPr>
          <w:p w14:paraId="1C3B7AB5">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本项目对于联合体的要求</w:t>
            </w:r>
          </w:p>
        </w:tc>
        <w:tc>
          <w:tcPr>
            <w:tcW w:w="2578" w:type="pct"/>
            <w:tcBorders>
              <w:bottom w:val="single" w:color="auto" w:sz="4" w:space="0"/>
            </w:tcBorders>
            <w:vAlign w:val="center"/>
          </w:tcPr>
          <w:p w14:paraId="30DF3172">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1、如本项目接受联合体响应，且供应商为联合体时必须提供《联合协议》，明确各方拟承担的工作和责任，并指定联合体牵头人，授权其代表所有联合体成员负责本项目响应和合同实施阶段的牵头、协调工作。该联合协议应当作为响应文件的组成部分，与响应文件其他内容同时提交。</w:t>
            </w:r>
          </w:p>
          <w:p w14:paraId="7D78A506">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2、联合体各成员单位均须提供本表中序号1-1、1-2 的证明文件。联合体各成员单位均应满足本表 3-2 及3-3 项规定。</w:t>
            </w:r>
          </w:p>
          <w:p w14:paraId="185FC361">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3、本表序号 3-4 项规定的其他特定资格要求中的每一小项要求，联合体各方中至少应当有一方符合本表中其他资格要求并提供证明文件。</w:t>
            </w:r>
          </w:p>
          <w:p w14:paraId="2CD71EC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4、联合体中有同类资质的供应商按照联合体分工承担相同工作的，应当按照资质等级较低的供应商确定资质等级。</w:t>
            </w:r>
          </w:p>
          <w:p w14:paraId="53C59203">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5、以联合体形式参加政府采购活动的，联合体各方不得再单独参加或者与其他供应商另外组成联合体参加同一合同项下的政府采购活动。</w:t>
            </w:r>
          </w:p>
          <w:p w14:paraId="5D7F5A60">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6、若联合体中任一成员单位中途退出，则该联合体的响应无效。</w:t>
            </w:r>
          </w:p>
          <w:p w14:paraId="79BAF42E">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7、本项目不接受联合体响应时，供应商不得为联合体。</w:t>
            </w:r>
          </w:p>
        </w:tc>
        <w:tc>
          <w:tcPr>
            <w:tcW w:w="1028" w:type="pct"/>
            <w:tcBorders>
              <w:bottom w:val="single" w:color="auto" w:sz="4" w:space="0"/>
            </w:tcBorders>
            <w:vAlign w:val="center"/>
          </w:tcPr>
          <w:p w14:paraId="14368AB7">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提供《联合协议》</w:t>
            </w:r>
            <w:r>
              <w:rPr>
                <w:rFonts w:hint="eastAsia"/>
                <w:color w:val="auto"/>
                <w:sz w:val="24"/>
                <w:szCs w:val="24"/>
                <w:highlight w:val="none"/>
              </w:rPr>
              <w:t>原</w:t>
            </w:r>
            <w:r>
              <w:rPr>
                <w:color w:val="auto"/>
                <w:sz w:val="24"/>
                <w:szCs w:val="24"/>
                <w:highlight w:val="none"/>
              </w:rPr>
              <w:t>件的电子件</w:t>
            </w:r>
          </w:p>
          <w:p w14:paraId="0B7447A7">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格式见《响应文件格式》</w:t>
            </w:r>
          </w:p>
        </w:tc>
      </w:tr>
      <w:tr w14:paraId="59A453C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803" w:hRule="atLeast"/>
        </w:trPr>
        <w:tc>
          <w:tcPr>
            <w:tcW w:w="455" w:type="pct"/>
            <w:tcBorders>
              <w:top w:val="single" w:color="auto" w:sz="4" w:space="0"/>
            </w:tcBorders>
            <w:vAlign w:val="center"/>
          </w:tcPr>
          <w:p w14:paraId="6480A6ED">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rFonts w:hint="eastAsia"/>
                <w:color w:val="auto"/>
                <w:sz w:val="24"/>
                <w:szCs w:val="24"/>
                <w:highlight w:val="none"/>
              </w:rPr>
              <w:t>3-2</w:t>
            </w:r>
          </w:p>
        </w:tc>
        <w:tc>
          <w:tcPr>
            <w:tcW w:w="938" w:type="pct"/>
            <w:tcBorders>
              <w:top w:val="single" w:color="auto" w:sz="4" w:space="0"/>
            </w:tcBorders>
            <w:vAlign w:val="center"/>
          </w:tcPr>
          <w:p w14:paraId="604ECDB5">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sz w:val="24"/>
                <w:szCs w:val="24"/>
                <w:highlight w:val="none"/>
              </w:rPr>
              <w:t>政府购买服务承接主体的要求</w:t>
            </w:r>
          </w:p>
        </w:tc>
        <w:tc>
          <w:tcPr>
            <w:tcW w:w="2578" w:type="pct"/>
            <w:tcBorders>
              <w:top w:val="single" w:color="auto" w:sz="4" w:space="0"/>
            </w:tcBorders>
            <w:vAlign w:val="center"/>
          </w:tcPr>
          <w:p w14:paraId="0E903025">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rFonts w:hint="eastAsia" w:eastAsia="宋体"/>
                <w:color w:val="auto"/>
                <w:sz w:val="24"/>
                <w:szCs w:val="24"/>
                <w:highlight w:val="none"/>
                <w:lang w:eastAsia="zh-CN"/>
              </w:rPr>
            </w:pPr>
            <w:r>
              <w:rPr>
                <w:rFonts w:hint="eastAsia"/>
                <w:color w:val="auto"/>
                <w:sz w:val="24"/>
                <w:szCs w:val="24"/>
                <w:highlight w:val="none"/>
              </w:rPr>
              <w:t>如本项目属于政府购买服务，供应商不属于公益一类事业单位、使用事业编制且由财政拨款保障的群团组织。</w:t>
            </w:r>
          </w:p>
        </w:tc>
        <w:tc>
          <w:tcPr>
            <w:tcW w:w="1028" w:type="pct"/>
            <w:tcBorders>
              <w:top w:val="single" w:color="auto" w:sz="4" w:space="0"/>
            </w:tcBorders>
            <w:vAlign w:val="center"/>
          </w:tcPr>
          <w:p w14:paraId="4C93B56F">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格式见《响应文件格式》</w:t>
            </w:r>
          </w:p>
        </w:tc>
      </w:tr>
      <w:tr w14:paraId="1C825AA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102F5EE0">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3-</w:t>
            </w:r>
            <w:r>
              <w:rPr>
                <w:rFonts w:hint="eastAsia"/>
                <w:color w:val="auto"/>
                <w:sz w:val="24"/>
                <w:szCs w:val="24"/>
                <w:highlight w:val="none"/>
              </w:rPr>
              <w:t>3</w:t>
            </w:r>
          </w:p>
        </w:tc>
        <w:tc>
          <w:tcPr>
            <w:tcW w:w="938" w:type="pct"/>
            <w:vAlign w:val="center"/>
          </w:tcPr>
          <w:p w14:paraId="04577FD6">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其他特定资格要求</w:t>
            </w:r>
          </w:p>
        </w:tc>
        <w:tc>
          <w:tcPr>
            <w:tcW w:w="2578" w:type="pct"/>
            <w:vAlign w:val="center"/>
          </w:tcPr>
          <w:p w14:paraId="5C12FB16">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rFonts w:hint="eastAsia"/>
                <w:i w:val="0"/>
                <w:iCs w:val="0"/>
                <w:color w:val="auto"/>
                <w:sz w:val="24"/>
                <w:szCs w:val="24"/>
                <w:highlight w:val="none"/>
                <w:u w:val="none"/>
                <w:lang w:val="en-US" w:eastAsia="zh-CN"/>
              </w:rPr>
            </w:pPr>
            <w:r>
              <w:rPr>
                <w:rFonts w:hint="eastAsia"/>
                <w:i w:val="0"/>
                <w:iCs w:val="0"/>
                <w:color w:val="auto"/>
                <w:sz w:val="24"/>
                <w:szCs w:val="24"/>
                <w:highlight w:val="none"/>
                <w:u w:val="none"/>
                <w:lang w:val="en-US" w:eastAsia="zh-CN"/>
              </w:rPr>
              <w:t>（1）供应商须具备建设行政主管部门核发的</w:t>
            </w:r>
            <w:r>
              <w:rPr>
                <w:rFonts w:hint="eastAsia"/>
                <w:b/>
                <w:bCs/>
                <w:i w:val="0"/>
                <w:iCs w:val="0"/>
                <w:color w:val="auto"/>
                <w:sz w:val="24"/>
                <w:szCs w:val="24"/>
                <w:highlight w:val="none"/>
                <w:u w:val="none"/>
                <w:lang w:val="en-US" w:eastAsia="zh-CN"/>
              </w:rPr>
              <w:t>防水防腐保温工程专业承包贰级及以上</w:t>
            </w:r>
            <w:r>
              <w:rPr>
                <w:rFonts w:hint="eastAsia"/>
                <w:i w:val="0"/>
                <w:iCs w:val="0"/>
                <w:color w:val="auto"/>
                <w:sz w:val="24"/>
                <w:szCs w:val="24"/>
                <w:highlight w:val="none"/>
                <w:u w:val="none"/>
                <w:lang w:val="en-US" w:eastAsia="zh-CN"/>
              </w:rPr>
              <w:t>资质，并具有建设行政主管部门核发的有效的安全生产许可证，若供应商为外地企业，须提供有效的外省市建筑企业来京施工备案表，外地来京建筑企业办理进京备案手续时需一并办理注册建造师备案；</w:t>
            </w:r>
          </w:p>
          <w:p w14:paraId="18F65D8C">
            <w:pPr>
              <w:keepNext w:val="0"/>
              <w:keepLines w:val="0"/>
              <w:pageBreakBefore w:val="0"/>
              <w:widowControl w:val="0"/>
              <w:kinsoku/>
              <w:wordWrap/>
              <w:overflowPunct/>
              <w:topLinePunct w:val="0"/>
              <w:autoSpaceDE/>
              <w:autoSpaceDN/>
              <w:bidi w:val="0"/>
              <w:adjustRightInd/>
              <w:snapToGrid/>
              <w:spacing w:line="360" w:lineRule="auto"/>
              <w:ind w:firstLine="480" w:firstLineChars="200"/>
              <w:textAlignment w:val="auto"/>
              <w:rPr>
                <w:color w:val="auto"/>
                <w:sz w:val="24"/>
                <w:szCs w:val="24"/>
                <w:highlight w:val="none"/>
              </w:rPr>
            </w:pPr>
            <w:r>
              <w:rPr>
                <w:rFonts w:hint="eastAsia"/>
                <w:i w:val="0"/>
                <w:iCs w:val="0"/>
                <w:color w:val="auto"/>
                <w:sz w:val="24"/>
                <w:szCs w:val="24"/>
                <w:highlight w:val="none"/>
                <w:u w:val="none"/>
                <w:lang w:val="en-US" w:eastAsia="zh-CN"/>
              </w:rPr>
              <w:t>（2）拟派项目经理须具备</w:t>
            </w:r>
            <w:r>
              <w:rPr>
                <w:rFonts w:hint="eastAsia"/>
                <w:b/>
                <w:bCs/>
                <w:i w:val="0"/>
                <w:iCs w:val="0"/>
                <w:color w:val="auto"/>
                <w:sz w:val="24"/>
                <w:szCs w:val="24"/>
                <w:highlight w:val="none"/>
                <w:u w:val="none"/>
                <w:lang w:val="en-US" w:eastAsia="zh-CN"/>
              </w:rPr>
              <w:t>建筑工程专业二级（含）</w:t>
            </w:r>
            <w:r>
              <w:rPr>
                <w:rFonts w:hint="eastAsia"/>
                <w:i w:val="0"/>
                <w:iCs w:val="0"/>
                <w:color w:val="auto"/>
                <w:sz w:val="24"/>
                <w:szCs w:val="24"/>
                <w:highlight w:val="none"/>
                <w:u w:val="none"/>
                <w:lang w:val="en-US" w:eastAsia="zh-CN"/>
              </w:rPr>
              <w:t>以上注册建造师执业资格证书和有效的安全生产考核合格证书(B证)，且在确定成交时不得担任其他在施建设工程项目的项目经理（提供承诺，格式自拟）。</w:t>
            </w:r>
          </w:p>
        </w:tc>
        <w:tc>
          <w:tcPr>
            <w:tcW w:w="1028" w:type="pct"/>
            <w:vAlign w:val="center"/>
          </w:tcPr>
          <w:p w14:paraId="6004356C">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color w:val="auto"/>
                <w:sz w:val="24"/>
                <w:szCs w:val="24"/>
                <w:highlight w:val="none"/>
              </w:rPr>
              <w:t>提供证明文件的电子件或电子证照</w:t>
            </w:r>
          </w:p>
        </w:tc>
      </w:tr>
      <w:tr w14:paraId="1C923EE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cantSplit/>
          <w:trHeight w:val="468" w:hRule="atLeast"/>
        </w:trPr>
        <w:tc>
          <w:tcPr>
            <w:tcW w:w="455" w:type="pct"/>
            <w:vAlign w:val="center"/>
          </w:tcPr>
          <w:p w14:paraId="4FDBCFFE">
            <w:pPr>
              <w:keepNext w:val="0"/>
              <w:keepLines w:val="0"/>
              <w:pageBreakBefore w:val="0"/>
              <w:widowControl w:val="0"/>
              <w:tabs>
                <w:tab w:val="left" w:pos="1080"/>
              </w:tabs>
              <w:kinsoku/>
              <w:wordWrap/>
              <w:overflowPunct/>
              <w:topLinePunct w:val="0"/>
              <w:autoSpaceDE/>
              <w:autoSpaceDN/>
              <w:bidi w:val="0"/>
              <w:adjustRightInd/>
              <w:snapToGrid w:val="0"/>
              <w:spacing w:line="360" w:lineRule="auto"/>
              <w:jc w:val="center"/>
              <w:textAlignment w:val="auto"/>
              <w:rPr>
                <w:color w:val="auto"/>
                <w:sz w:val="24"/>
                <w:szCs w:val="24"/>
                <w:highlight w:val="none"/>
              </w:rPr>
            </w:pPr>
            <w:r>
              <w:rPr>
                <w:color w:val="auto"/>
                <w:sz w:val="24"/>
                <w:szCs w:val="24"/>
                <w:highlight w:val="none"/>
              </w:rPr>
              <w:t>4</w:t>
            </w:r>
          </w:p>
        </w:tc>
        <w:tc>
          <w:tcPr>
            <w:tcW w:w="938" w:type="pct"/>
            <w:vAlign w:val="center"/>
          </w:tcPr>
          <w:p w14:paraId="3EC726A1">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eastAsiaTheme="minorEastAsia"/>
                <w:color w:val="auto"/>
                <w:kern w:val="0"/>
                <w:sz w:val="24"/>
                <w:szCs w:val="24"/>
                <w:highlight w:val="none"/>
              </w:rPr>
              <w:t>获取磋商文件</w:t>
            </w:r>
          </w:p>
        </w:tc>
        <w:tc>
          <w:tcPr>
            <w:tcW w:w="2578" w:type="pct"/>
            <w:vAlign w:val="center"/>
          </w:tcPr>
          <w:p w14:paraId="4EDC2741">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kern w:val="0"/>
                <w:sz w:val="24"/>
                <w:szCs w:val="24"/>
                <w:highlight w:val="none"/>
              </w:rPr>
            </w:pPr>
            <w:r>
              <w:rPr>
                <w:rFonts w:hint="eastAsia"/>
                <w:color w:val="auto"/>
                <w:kern w:val="0"/>
                <w:sz w:val="24"/>
                <w:szCs w:val="24"/>
                <w:highlight w:val="none"/>
              </w:rPr>
              <w:t>在规定期限内通过北京市政府采购电子交易平台获取所参与包的磋商文件。</w:t>
            </w:r>
          </w:p>
          <w:p w14:paraId="34EFE95C">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r>
              <w:rPr>
                <w:rFonts w:hint="eastAsia"/>
                <w:color w:val="auto"/>
                <w:kern w:val="0"/>
                <w:sz w:val="24"/>
                <w:szCs w:val="24"/>
                <w:highlight w:val="none"/>
              </w:rPr>
              <w:t>注：如本项目接受联合体，且供应商为联合体时，联合体中任一成员获取文件即视为满足要求。</w:t>
            </w:r>
          </w:p>
        </w:tc>
        <w:tc>
          <w:tcPr>
            <w:tcW w:w="1028" w:type="pct"/>
            <w:vAlign w:val="center"/>
          </w:tcPr>
          <w:p w14:paraId="1F3A59C3">
            <w:pPr>
              <w:keepNext w:val="0"/>
              <w:keepLines w:val="0"/>
              <w:pageBreakBefore w:val="0"/>
              <w:widowControl w:val="0"/>
              <w:tabs>
                <w:tab w:val="left" w:pos="1080"/>
              </w:tabs>
              <w:kinsoku/>
              <w:wordWrap/>
              <w:overflowPunct/>
              <w:topLinePunct w:val="0"/>
              <w:autoSpaceDE/>
              <w:autoSpaceDN/>
              <w:bidi w:val="0"/>
              <w:adjustRightInd/>
              <w:snapToGrid w:val="0"/>
              <w:spacing w:line="360" w:lineRule="auto"/>
              <w:textAlignment w:val="auto"/>
              <w:rPr>
                <w:color w:val="auto"/>
                <w:sz w:val="24"/>
                <w:szCs w:val="24"/>
                <w:highlight w:val="none"/>
              </w:rPr>
            </w:pPr>
          </w:p>
        </w:tc>
      </w:tr>
    </w:tbl>
    <w:p w14:paraId="293A11B5">
      <w:pPr>
        <w:widowControl/>
        <w:jc w:val="left"/>
        <w:rPr>
          <w:color w:val="auto"/>
          <w:sz w:val="24"/>
          <w:szCs w:val="24"/>
          <w:highlight w:val="none"/>
        </w:rPr>
      </w:pPr>
    </w:p>
    <w:p w14:paraId="29327931">
      <w:pPr>
        <w:rPr>
          <w:color w:val="auto"/>
          <w:sz w:val="24"/>
          <w:szCs w:val="24"/>
          <w:highlight w:val="none"/>
        </w:rPr>
      </w:pPr>
      <w:r>
        <w:rPr>
          <w:color w:val="auto"/>
          <w:sz w:val="24"/>
          <w:szCs w:val="24"/>
          <w:highlight w:val="none"/>
        </w:rPr>
        <w:br w:type="page"/>
      </w:r>
    </w:p>
    <w:p w14:paraId="468465F8">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《符合性审查要求》见下表：</w:t>
      </w:r>
    </w:p>
    <w:p w14:paraId="6048C3B1">
      <w:pPr>
        <w:widowControl/>
        <w:spacing w:line="360" w:lineRule="auto"/>
        <w:jc w:val="center"/>
        <w:rPr>
          <w:b/>
          <w:color w:val="auto"/>
          <w:kern w:val="0"/>
          <w:sz w:val="24"/>
          <w:szCs w:val="24"/>
          <w:highlight w:val="none"/>
        </w:rPr>
      </w:pPr>
      <w:r>
        <w:rPr>
          <w:b/>
          <w:color w:val="auto"/>
          <w:kern w:val="0"/>
          <w:sz w:val="24"/>
          <w:szCs w:val="24"/>
          <w:highlight w:val="none"/>
        </w:rPr>
        <w:t>符合性审查要求</w:t>
      </w:r>
    </w:p>
    <w:tbl>
      <w:tblPr>
        <w:tblStyle w:val="53"/>
        <w:tblW w:w="930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4"/>
        <w:gridCol w:w="2639"/>
        <w:gridCol w:w="3090"/>
        <w:gridCol w:w="2559"/>
      </w:tblGrid>
      <w:tr w14:paraId="45AE76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tblHeader/>
          <w:jc w:val="center"/>
        </w:trPr>
        <w:tc>
          <w:tcPr>
            <w:tcW w:w="1014" w:type="dxa"/>
            <w:shd w:val="clear" w:color="000000" w:fill="FFFFFF"/>
            <w:vAlign w:val="center"/>
          </w:tcPr>
          <w:p w14:paraId="62884D04">
            <w:pPr>
              <w:widowControl/>
              <w:spacing w:line="360" w:lineRule="auto"/>
              <w:jc w:val="center"/>
              <w:rPr>
                <w:rFonts w:hint="eastAsia" w:asciiTheme="minorEastAsia" w:hAnsiTheme="minorEastAsia" w:eastAsiaTheme="minorEastAsia"/>
                <w:b/>
                <w:color w:val="auto"/>
                <w:kern w:val="0"/>
                <w:sz w:val="24"/>
                <w:szCs w:val="24"/>
                <w:highlight w:val="none"/>
              </w:rPr>
            </w:pPr>
            <w:r>
              <w:rPr>
                <w:rFonts w:asciiTheme="minorEastAsia" w:hAnsiTheme="minorEastAsia" w:eastAsiaTheme="minorEastAsia"/>
                <w:b/>
                <w:color w:val="auto"/>
                <w:kern w:val="0"/>
                <w:sz w:val="24"/>
                <w:szCs w:val="24"/>
                <w:highlight w:val="none"/>
              </w:rPr>
              <w:t>序号</w:t>
            </w:r>
          </w:p>
        </w:tc>
        <w:tc>
          <w:tcPr>
            <w:tcW w:w="2639" w:type="dxa"/>
            <w:shd w:val="clear" w:color="000000" w:fill="FFFFFF"/>
            <w:vAlign w:val="center"/>
          </w:tcPr>
          <w:p w14:paraId="21FF8BFD">
            <w:pPr>
              <w:widowControl/>
              <w:spacing w:line="360" w:lineRule="auto"/>
              <w:jc w:val="center"/>
              <w:rPr>
                <w:rFonts w:hint="eastAsia" w:asciiTheme="minorEastAsia" w:hAnsiTheme="minorEastAsia" w:eastAsiaTheme="minorEastAsia"/>
                <w:b/>
                <w:color w:val="auto"/>
                <w:kern w:val="0"/>
                <w:sz w:val="24"/>
                <w:szCs w:val="24"/>
                <w:highlight w:val="none"/>
              </w:rPr>
            </w:pPr>
            <w:r>
              <w:rPr>
                <w:rFonts w:asciiTheme="minorEastAsia" w:hAnsiTheme="minorEastAsia" w:eastAsiaTheme="minorEastAsia"/>
                <w:b/>
                <w:color w:val="auto"/>
                <w:sz w:val="24"/>
                <w:szCs w:val="24"/>
                <w:highlight w:val="none"/>
              </w:rPr>
              <w:t>检查</w:t>
            </w:r>
            <w:r>
              <w:rPr>
                <w:rFonts w:asciiTheme="minorEastAsia" w:hAnsiTheme="minorEastAsia" w:eastAsiaTheme="minorEastAsia"/>
                <w:b/>
                <w:color w:val="auto"/>
                <w:kern w:val="0"/>
                <w:sz w:val="24"/>
                <w:szCs w:val="24"/>
                <w:highlight w:val="none"/>
              </w:rPr>
              <w:t>因素</w:t>
            </w:r>
          </w:p>
        </w:tc>
        <w:tc>
          <w:tcPr>
            <w:tcW w:w="3090" w:type="dxa"/>
            <w:shd w:val="clear" w:color="000000" w:fill="FFFFFF"/>
            <w:vAlign w:val="center"/>
          </w:tcPr>
          <w:p w14:paraId="63AA3436">
            <w:pPr>
              <w:widowControl/>
              <w:spacing w:line="360" w:lineRule="auto"/>
              <w:jc w:val="center"/>
              <w:rPr>
                <w:rFonts w:hint="eastAsia" w:asciiTheme="minorEastAsia" w:hAnsiTheme="minorEastAsia" w:eastAsiaTheme="minorEastAsia"/>
                <w:b/>
                <w:color w:val="auto"/>
                <w:kern w:val="0"/>
                <w:sz w:val="24"/>
                <w:szCs w:val="24"/>
                <w:highlight w:val="none"/>
              </w:rPr>
            </w:pPr>
            <w:r>
              <w:rPr>
                <w:rFonts w:asciiTheme="minorEastAsia" w:hAnsiTheme="minorEastAsia" w:eastAsiaTheme="minorEastAsia"/>
                <w:b/>
                <w:color w:val="auto"/>
                <w:sz w:val="24"/>
                <w:szCs w:val="24"/>
                <w:highlight w:val="none"/>
              </w:rPr>
              <w:t>检查</w:t>
            </w:r>
            <w:r>
              <w:rPr>
                <w:rFonts w:asciiTheme="minorEastAsia" w:hAnsiTheme="minorEastAsia" w:eastAsiaTheme="minorEastAsia"/>
                <w:b/>
                <w:color w:val="auto"/>
                <w:kern w:val="0"/>
                <w:sz w:val="24"/>
                <w:szCs w:val="24"/>
                <w:highlight w:val="none"/>
              </w:rPr>
              <w:t>内容</w:t>
            </w:r>
          </w:p>
        </w:tc>
        <w:tc>
          <w:tcPr>
            <w:tcW w:w="2559" w:type="dxa"/>
            <w:shd w:val="clear" w:color="000000" w:fill="FFFFFF"/>
            <w:vAlign w:val="center"/>
          </w:tcPr>
          <w:p w14:paraId="13A1EA84">
            <w:pPr>
              <w:widowControl/>
              <w:spacing w:line="360" w:lineRule="auto"/>
              <w:jc w:val="center"/>
              <w:rPr>
                <w:rFonts w:hint="eastAsia" w:asciiTheme="minorEastAsia" w:hAnsiTheme="minorEastAsia" w:eastAsiaTheme="minorEastAsia"/>
                <w:b/>
                <w:color w:val="auto"/>
                <w:kern w:val="0"/>
                <w:sz w:val="24"/>
                <w:szCs w:val="24"/>
                <w:highlight w:val="none"/>
              </w:rPr>
            </w:pPr>
            <w:r>
              <w:rPr>
                <w:rFonts w:asciiTheme="minorEastAsia" w:hAnsiTheme="minorEastAsia" w:eastAsiaTheme="minorEastAsia"/>
                <w:b/>
                <w:color w:val="auto"/>
                <w:kern w:val="0"/>
                <w:sz w:val="24"/>
                <w:szCs w:val="24"/>
                <w:highlight w:val="none"/>
              </w:rPr>
              <w:t>是否允许澄清、说明或者更正</w:t>
            </w:r>
          </w:p>
        </w:tc>
      </w:tr>
      <w:tr w14:paraId="4F9FDC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5111C203">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1</w:t>
            </w:r>
          </w:p>
        </w:tc>
        <w:tc>
          <w:tcPr>
            <w:tcW w:w="2639" w:type="dxa"/>
            <w:shd w:val="clear" w:color="000000" w:fill="FFFFFF"/>
            <w:vAlign w:val="center"/>
          </w:tcPr>
          <w:p w14:paraId="314CD7DD">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lang w:val="en-US" w:eastAsia="zh-CN"/>
              </w:rPr>
              <w:t xml:space="preserve">供应商名称 </w:t>
            </w:r>
          </w:p>
        </w:tc>
        <w:tc>
          <w:tcPr>
            <w:tcW w:w="3090" w:type="dxa"/>
            <w:shd w:val="clear" w:color="000000" w:fill="FFFFFF"/>
            <w:vAlign w:val="center"/>
          </w:tcPr>
          <w:p w14:paraId="6C020CE7">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lang w:val="en-US" w:eastAsia="zh-CN"/>
              </w:rPr>
              <w:t>与营业执照、资质证书、安全生产许可证一致</w:t>
            </w:r>
          </w:p>
        </w:tc>
        <w:tc>
          <w:tcPr>
            <w:tcW w:w="2559" w:type="dxa"/>
            <w:shd w:val="clear" w:color="000000" w:fill="FFFFFF"/>
            <w:vAlign w:val="center"/>
          </w:tcPr>
          <w:p w14:paraId="5ED28924">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56D93D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6A090975">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2</w:t>
            </w:r>
          </w:p>
        </w:tc>
        <w:tc>
          <w:tcPr>
            <w:tcW w:w="2639" w:type="dxa"/>
            <w:shd w:val="clear" w:color="000000" w:fill="FFFFFF"/>
            <w:vAlign w:val="center"/>
          </w:tcPr>
          <w:p w14:paraId="16820112">
            <w:pPr>
              <w:keepNext w:val="0"/>
              <w:keepLines w:val="0"/>
              <w:pageBreakBefore w:val="0"/>
              <w:widowControl/>
              <w:kinsoku/>
              <w:wordWrap/>
              <w:overflowPunct/>
              <w:topLinePunct w:val="0"/>
              <w:bidi w:val="0"/>
              <w:adjustRightInd/>
              <w:snapToGrid/>
              <w:spacing w:line="360" w:lineRule="auto"/>
              <w:jc w:val="center"/>
              <w:textAlignment w:val="auto"/>
              <w:rPr>
                <w:rFonts w:hint="eastAsia" w:cs="宋体" w:asciiTheme="minorEastAsia" w:hAnsiTheme="minorEastAsia" w:eastAsiaTheme="minorEastAsia"/>
                <w:color w:val="auto"/>
                <w:kern w:val="0"/>
                <w:sz w:val="24"/>
                <w:szCs w:val="24"/>
                <w:highlight w:val="none"/>
                <w:lang w:bidi="ar"/>
              </w:rPr>
            </w:pPr>
            <w:r>
              <w:rPr>
                <w:rFonts w:hint="eastAsia" w:cs="宋体" w:asciiTheme="minorEastAsia" w:hAnsiTheme="minorEastAsia" w:eastAsiaTheme="minorEastAsia"/>
                <w:color w:val="auto"/>
                <w:kern w:val="0"/>
                <w:sz w:val="24"/>
                <w:szCs w:val="24"/>
                <w:highlight w:val="none"/>
                <w:lang w:bidi="ar"/>
              </w:rPr>
              <w:t>文件签署、盖章</w:t>
            </w:r>
          </w:p>
        </w:tc>
        <w:tc>
          <w:tcPr>
            <w:tcW w:w="3090" w:type="dxa"/>
            <w:shd w:val="clear" w:color="000000" w:fill="FFFFFF"/>
            <w:vAlign w:val="center"/>
          </w:tcPr>
          <w:p w14:paraId="6BF4B5AB">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响应文件按规定格式签署、盖章</w:t>
            </w:r>
          </w:p>
        </w:tc>
        <w:tc>
          <w:tcPr>
            <w:tcW w:w="2559" w:type="dxa"/>
            <w:shd w:val="clear" w:color="000000" w:fill="FFFFFF"/>
            <w:vAlign w:val="center"/>
          </w:tcPr>
          <w:p w14:paraId="22A91A6E">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4C81245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6A70DFA9">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3</w:t>
            </w:r>
          </w:p>
        </w:tc>
        <w:tc>
          <w:tcPr>
            <w:tcW w:w="2639" w:type="dxa"/>
            <w:shd w:val="clear" w:color="000000" w:fill="FFFFFF"/>
            <w:vAlign w:val="center"/>
          </w:tcPr>
          <w:p w14:paraId="4C57E419">
            <w:pPr>
              <w:keepNext w:val="0"/>
              <w:keepLines w:val="0"/>
              <w:pageBreakBefore w:val="0"/>
              <w:widowControl/>
              <w:kinsoku/>
              <w:wordWrap/>
              <w:overflowPunct/>
              <w:topLinePunct w:val="0"/>
              <w:bidi w:val="0"/>
              <w:adjustRightInd/>
              <w:snapToGrid/>
              <w:spacing w:line="360" w:lineRule="auto"/>
              <w:jc w:val="center"/>
              <w:textAlignment w:val="auto"/>
              <w:rPr>
                <w:rFonts w:hint="eastAsia" w:cs="宋体" w:asciiTheme="minorEastAsia" w:hAnsiTheme="minorEastAsia" w:eastAsiaTheme="minorEastAsia"/>
                <w:color w:val="auto"/>
                <w:kern w:val="0"/>
                <w:sz w:val="24"/>
                <w:szCs w:val="24"/>
                <w:highlight w:val="none"/>
                <w:lang w:bidi="ar"/>
              </w:rPr>
            </w:pPr>
            <w:r>
              <w:rPr>
                <w:rFonts w:hint="eastAsia" w:cs="宋体" w:asciiTheme="minorEastAsia" w:hAnsiTheme="minorEastAsia" w:eastAsiaTheme="minorEastAsia"/>
                <w:color w:val="auto"/>
                <w:kern w:val="0"/>
                <w:sz w:val="24"/>
                <w:szCs w:val="24"/>
                <w:highlight w:val="none"/>
                <w:lang w:bidi="ar"/>
              </w:rPr>
              <w:t>文件完整性、有效性</w:t>
            </w:r>
          </w:p>
        </w:tc>
        <w:tc>
          <w:tcPr>
            <w:tcW w:w="3090" w:type="dxa"/>
            <w:shd w:val="clear" w:color="000000" w:fill="FFFFFF"/>
            <w:vAlign w:val="center"/>
          </w:tcPr>
          <w:p w14:paraId="476B7BFC">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响应文件完整、有效</w:t>
            </w:r>
          </w:p>
        </w:tc>
        <w:tc>
          <w:tcPr>
            <w:tcW w:w="2559" w:type="dxa"/>
            <w:shd w:val="clear" w:color="000000" w:fill="FFFFFF"/>
            <w:vAlign w:val="center"/>
          </w:tcPr>
          <w:p w14:paraId="5FE6761A">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7C53D1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45" w:hRule="atLeast"/>
          <w:jc w:val="center"/>
        </w:trPr>
        <w:tc>
          <w:tcPr>
            <w:tcW w:w="1014" w:type="dxa"/>
            <w:shd w:val="clear" w:color="000000" w:fill="FFFFFF"/>
            <w:vAlign w:val="center"/>
          </w:tcPr>
          <w:p w14:paraId="42CD7A44">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color w:val="auto"/>
                <w:kern w:val="0"/>
                <w:sz w:val="24"/>
                <w:szCs w:val="24"/>
                <w:highlight w:val="none"/>
                <w:lang w:val="en-US" w:eastAsia="zh-CN"/>
              </w:rPr>
              <w:t>4</w:t>
            </w:r>
          </w:p>
        </w:tc>
        <w:tc>
          <w:tcPr>
            <w:tcW w:w="2639" w:type="dxa"/>
            <w:shd w:val="clear" w:color="000000" w:fill="FFFFFF"/>
            <w:vAlign w:val="center"/>
          </w:tcPr>
          <w:p w14:paraId="5FD86216">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lang w:val="en-US" w:eastAsia="zh-CN"/>
              </w:rPr>
              <w:t>报价</w:t>
            </w:r>
          </w:p>
        </w:tc>
        <w:tc>
          <w:tcPr>
            <w:tcW w:w="3090" w:type="dxa"/>
            <w:shd w:val="clear" w:color="000000" w:fill="FFFFFF"/>
            <w:vAlign w:val="center"/>
          </w:tcPr>
          <w:p w14:paraId="0B37C89A">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lang w:val="en-US"/>
              </w:rPr>
            </w:pPr>
            <w:r>
              <w:rPr>
                <w:rFonts w:hint="eastAsia"/>
                <w:color w:val="auto"/>
                <w:sz w:val="24"/>
                <w:szCs w:val="24"/>
                <w:highlight w:val="none"/>
                <w:lang w:val="en-US" w:eastAsia="zh-CN"/>
              </w:rPr>
              <w:t>最终报价唯一且不高于最高限价，且未出现异常低价行为</w:t>
            </w:r>
          </w:p>
        </w:tc>
        <w:tc>
          <w:tcPr>
            <w:tcW w:w="2559" w:type="dxa"/>
            <w:shd w:val="clear" w:color="000000" w:fill="FFFFFF"/>
            <w:vAlign w:val="center"/>
          </w:tcPr>
          <w:p w14:paraId="761770EB">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5FEDAB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36920AA2">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color w:val="auto"/>
                <w:kern w:val="0"/>
                <w:sz w:val="24"/>
                <w:szCs w:val="24"/>
                <w:highlight w:val="none"/>
                <w:lang w:val="en-US" w:eastAsia="zh-CN"/>
              </w:rPr>
              <w:t>5</w:t>
            </w:r>
          </w:p>
        </w:tc>
        <w:tc>
          <w:tcPr>
            <w:tcW w:w="2639" w:type="dxa"/>
            <w:shd w:val="clear" w:color="000000" w:fill="FFFFFF"/>
            <w:vAlign w:val="center"/>
          </w:tcPr>
          <w:p w14:paraId="1BAECC95">
            <w:pPr>
              <w:keepNext w:val="0"/>
              <w:keepLines w:val="0"/>
              <w:pageBreakBefore w:val="0"/>
              <w:widowControl/>
              <w:suppressLineNumbers w:val="0"/>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宋体" w:hAnsi="宋体" w:eastAsia="宋体" w:cs="宋体"/>
                <w:color w:val="auto"/>
                <w:kern w:val="0"/>
                <w:sz w:val="24"/>
                <w:szCs w:val="24"/>
                <w:highlight w:val="none"/>
                <w:lang w:val="en-US" w:eastAsia="zh-CN" w:bidi="ar"/>
              </w:rPr>
              <w:t>工期</w:t>
            </w:r>
          </w:p>
        </w:tc>
        <w:tc>
          <w:tcPr>
            <w:tcW w:w="3090" w:type="dxa"/>
            <w:shd w:val="clear" w:color="000000" w:fill="FFFFFF"/>
            <w:vAlign w:val="center"/>
          </w:tcPr>
          <w:p w14:paraId="1BEB40E7">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符合文件要求</w:t>
            </w:r>
          </w:p>
        </w:tc>
        <w:tc>
          <w:tcPr>
            <w:tcW w:w="2559" w:type="dxa"/>
            <w:shd w:val="clear" w:color="000000" w:fill="FFFFFF"/>
            <w:vAlign w:val="center"/>
          </w:tcPr>
          <w:p w14:paraId="2B25B06A">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209E17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39069101">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6</w:t>
            </w:r>
          </w:p>
        </w:tc>
        <w:tc>
          <w:tcPr>
            <w:tcW w:w="2639" w:type="dxa"/>
            <w:shd w:val="clear" w:color="000000" w:fill="FFFFFF"/>
            <w:vAlign w:val="center"/>
          </w:tcPr>
          <w:p w14:paraId="75BB2473">
            <w:pPr>
              <w:keepNext w:val="0"/>
              <w:keepLines w:val="0"/>
              <w:pageBreakBefore w:val="0"/>
              <w:widowControl/>
              <w:suppressLineNumbers w:val="0"/>
              <w:kinsoku/>
              <w:wordWrap/>
              <w:overflowPunct/>
              <w:topLinePunct w:val="0"/>
              <w:bidi w:val="0"/>
              <w:adjustRightInd/>
              <w:snapToGrid/>
              <w:spacing w:line="360" w:lineRule="auto"/>
              <w:jc w:val="center"/>
              <w:textAlignment w:val="auto"/>
              <w:rPr>
                <w:rFonts w:hint="eastAsia" w:ascii="宋体" w:hAnsi="宋体" w:eastAsia="宋体" w:cs="宋体"/>
                <w:color w:val="auto"/>
                <w:kern w:val="0"/>
                <w:sz w:val="24"/>
                <w:szCs w:val="24"/>
                <w:highlight w:val="none"/>
                <w:lang w:val="en-US" w:eastAsia="zh-CN" w:bidi="ar"/>
              </w:rPr>
            </w:pPr>
            <w:r>
              <w:rPr>
                <w:rFonts w:hint="eastAsia" w:ascii="宋体" w:hAnsi="宋体" w:eastAsia="宋体" w:cs="宋体"/>
                <w:color w:val="auto"/>
                <w:kern w:val="0"/>
                <w:sz w:val="24"/>
                <w:szCs w:val="24"/>
                <w:highlight w:val="none"/>
                <w:lang w:val="en-US" w:eastAsia="zh-CN" w:bidi="ar"/>
              </w:rPr>
              <w:t>工程质量</w:t>
            </w:r>
          </w:p>
        </w:tc>
        <w:tc>
          <w:tcPr>
            <w:tcW w:w="3090" w:type="dxa"/>
            <w:shd w:val="clear" w:color="000000" w:fill="FFFFFF"/>
            <w:vAlign w:val="center"/>
          </w:tcPr>
          <w:p w14:paraId="3EEE0C16">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lang w:val="en-US" w:eastAsia="zh-CN"/>
              </w:rPr>
            </w:pPr>
            <w:r>
              <w:rPr>
                <w:rFonts w:hint="eastAsia"/>
                <w:color w:val="auto"/>
                <w:sz w:val="24"/>
                <w:szCs w:val="24"/>
                <w:highlight w:val="none"/>
                <w:lang w:val="en-US" w:eastAsia="zh-CN"/>
              </w:rPr>
              <w:t>满足合格要求</w:t>
            </w:r>
          </w:p>
        </w:tc>
        <w:tc>
          <w:tcPr>
            <w:tcW w:w="2559" w:type="dxa"/>
            <w:shd w:val="clear" w:color="000000" w:fill="FFFFFF"/>
            <w:vAlign w:val="center"/>
          </w:tcPr>
          <w:p w14:paraId="52EAC316">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79AAEA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3BE584E9">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lang w:eastAsia="zh-CN"/>
              </w:rPr>
            </w:pPr>
            <w:r>
              <w:rPr>
                <w:rFonts w:hint="eastAsia" w:asciiTheme="minorEastAsia" w:hAnsiTheme="minorEastAsia" w:eastAsiaTheme="minorEastAsia"/>
                <w:color w:val="auto"/>
                <w:kern w:val="0"/>
                <w:sz w:val="24"/>
                <w:szCs w:val="24"/>
                <w:highlight w:val="none"/>
                <w:lang w:val="en-US" w:eastAsia="zh-CN"/>
              </w:rPr>
              <w:t>7</w:t>
            </w:r>
          </w:p>
        </w:tc>
        <w:tc>
          <w:tcPr>
            <w:tcW w:w="2639" w:type="dxa"/>
            <w:shd w:val="clear" w:color="000000" w:fill="FFFFFF"/>
            <w:vAlign w:val="center"/>
          </w:tcPr>
          <w:p w14:paraId="6F28AE84">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bidi="ar"/>
              </w:rPr>
              <w:t>响应有效期</w:t>
            </w:r>
          </w:p>
        </w:tc>
        <w:tc>
          <w:tcPr>
            <w:tcW w:w="3090" w:type="dxa"/>
            <w:shd w:val="clear" w:color="000000" w:fill="FFFFFF"/>
            <w:vAlign w:val="center"/>
          </w:tcPr>
          <w:p w14:paraId="06BBEFEC">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响应有效期符合文件要求</w:t>
            </w:r>
          </w:p>
        </w:tc>
        <w:tc>
          <w:tcPr>
            <w:tcW w:w="2559" w:type="dxa"/>
            <w:shd w:val="clear" w:color="000000" w:fill="FFFFFF"/>
            <w:vAlign w:val="center"/>
          </w:tcPr>
          <w:p w14:paraId="72EFEED9">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2ECC725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15EA2612">
            <w:pPr>
              <w:keepNext w:val="0"/>
              <w:keepLines w:val="0"/>
              <w:pageBreakBefore w:val="0"/>
              <w:widowControl/>
              <w:kinsoku/>
              <w:wordWrap/>
              <w:overflowPunct/>
              <w:topLinePunct w:val="0"/>
              <w:bidi w:val="0"/>
              <w:adjustRightInd/>
              <w:snapToGrid/>
              <w:spacing w:line="360" w:lineRule="auto"/>
              <w:jc w:val="center"/>
              <w:textAlignment w:val="auto"/>
              <w:rPr>
                <w:rFonts w:hint="default"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8</w:t>
            </w:r>
          </w:p>
        </w:tc>
        <w:tc>
          <w:tcPr>
            <w:tcW w:w="2639" w:type="dxa"/>
            <w:shd w:val="clear" w:color="000000" w:fill="FFFFFF"/>
            <w:vAlign w:val="center"/>
          </w:tcPr>
          <w:p w14:paraId="52C334FD">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cs="宋体" w:asciiTheme="minorEastAsia" w:hAnsiTheme="minorEastAsia" w:eastAsiaTheme="minorEastAsia"/>
                <w:color w:val="auto"/>
                <w:kern w:val="0"/>
                <w:sz w:val="24"/>
                <w:szCs w:val="24"/>
                <w:highlight w:val="none"/>
                <w:lang w:bidi="ar"/>
              </w:rPr>
              <w:t>实质性响应</w:t>
            </w:r>
          </w:p>
        </w:tc>
        <w:tc>
          <w:tcPr>
            <w:tcW w:w="3090" w:type="dxa"/>
            <w:shd w:val="clear" w:color="000000" w:fill="FFFFFF"/>
            <w:vAlign w:val="center"/>
          </w:tcPr>
          <w:p w14:paraId="25D4AD72">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响应文件对竞争性磋商文件实质性</w:t>
            </w:r>
            <w:r>
              <w:rPr>
                <w:rFonts w:hint="eastAsia"/>
                <w:color w:val="auto"/>
                <w:sz w:val="24"/>
                <w:szCs w:val="24"/>
                <w:highlight w:val="none"/>
                <w:lang w:val="en-US" w:eastAsia="zh-CN"/>
              </w:rPr>
              <w:t>条款</w:t>
            </w:r>
            <w:r>
              <w:rPr>
                <w:rFonts w:hint="eastAsia"/>
                <w:color w:val="auto"/>
                <w:sz w:val="24"/>
                <w:szCs w:val="24"/>
                <w:highlight w:val="none"/>
              </w:rPr>
              <w:t>进行了</w:t>
            </w:r>
            <w:r>
              <w:rPr>
                <w:rFonts w:hint="eastAsia" w:cs="宋体" w:asciiTheme="minorEastAsia" w:hAnsiTheme="minorEastAsia" w:eastAsiaTheme="minorEastAsia"/>
                <w:color w:val="auto"/>
                <w:kern w:val="0"/>
                <w:sz w:val="24"/>
                <w:szCs w:val="24"/>
                <w:highlight w:val="none"/>
                <w:lang w:bidi="ar"/>
              </w:rPr>
              <w:t>实质性</w:t>
            </w:r>
            <w:r>
              <w:rPr>
                <w:rFonts w:hint="eastAsia"/>
                <w:color w:val="auto"/>
                <w:sz w:val="24"/>
                <w:szCs w:val="24"/>
                <w:highlight w:val="none"/>
              </w:rPr>
              <w:t>响应</w:t>
            </w:r>
          </w:p>
        </w:tc>
        <w:tc>
          <w:tcPr>
            <w:tcW w:w="2559" w:type="dxa"/>
            <w:shd w:val="clear" w:color="000000" w:fill="FFFFFF"/>
            <w:vAlign w:val="center"/>
          </w:tcPr>
          <w:p w14:paraId="6B0EB897">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40CBAC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0516547D">
            <w:pPr>
              <w:keepNext w:val="0"/>
              <w:keepLines w:val="0"/>
              <w:pageBreakBefore w:val="0"/>
              <w:widowControl/>
              <w:kinsoku/>
              <w:wordWrap/>
              <w:overflowPunct/>
              <w:topLinePunct w:val="0"/>
              <w:bidi w:val="0"/>
              <w:adjustRightInd/>
              <w:snapToGrid/>
              <w:spacing w:line="360" w:lineRule="auto"/>
              <w:jc w:val="center"/>
              <w:textAlignment w:val="auto"/>
              <w:rPr>
                <w:rFonts w:hint="default"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9</w:t>
            </w:r>
          </w:p>
        </w:tc>
        <w:tc>
          <w:tcPr>
            <w:tcW w:w="2639" w:type="dxa"/>
            <w:shd w:val="clear" w:color="000000" w:fill="FFFFFF"/>
            <w:vAlign w:val="center"/>
          </w:tcPr>
          <w:p w14:paraId="0D35CEDF">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cs="宋体" w:asciiTheme="minorEastAsia" w:hAnsiTheme="minorEastAsia" w:eastAsiaTheme="minorEastAsia"/>
                <w:color w:val="auto"/>
                <w:kern w:val="0"/>
                <w:sz w:val="24"/>
                <w:szCs w:val="24"/>
                <w:highlight w:val="none"/>
                <w:lang w:bidi="ar"/>
              </w:rPr>
            </w:pPr>
            <w:r>
              <w:rPr>
                <w:rFonts w:hint="eastAsia" w:ascii="宋体" w:hAnsi="宋体" w:eastAsia="宋体" w:cs="宋体"/>
                <w:color w:val="auto"/>
                <w:sz w:val="24"/>
                <w:szCs w:val="24"/>
                <w:highlight w:val="none"/>
              </w:rPr>
              <w:t>公平竞争</w:t>
            </w:r>
          </w:p>
        </w:tc>
        <w:tc>
          <w:tcPr>
            <w:tcW w:w="3090" w:type="dxa"/>
            <w:shd w:val="clear" w:color="000000" w:fill="FFFFFF"/>
            <w:vAlign w:val="center"/>
          </w:tcPr>
          <w:p w14:paraId="2F61D3FE">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供应商遵循公平竞争的原则，不存在恶意串通，妨碍其他供应商的竞争行为</w:t>
            </w:r>
            <w:r>
              <w:rPr>
                <w:rFonts w:hint="eastAsia"/>
                <w:color w:val="auto"/>
                <w:sz w:val="24"/>
                <w:szCs w:val="24"/>
                <w:highlight w:val="none"/>
                <w:lang w:eastAsia="zh-CN"/>
              </w:rPr>
              <w:t>，</w:t>
            </w:r>
            <w:r>
              <w:rPr>
                <w:rFonts w:hint="eastAsia"/>
                <w:color w:val="auto"/>
                <w:sz w:val="24"/>
                <w:szCs w:val="24"/>
                <w:highlight w:val="none"/>
              </w:rPr>
              <w:t>不存在损害采购人或者其他供应商的合法权益情形的</w:t>
            </w:r>
          </w:p>
        </w:tc>
        <w:tc>
          <w:tcPr>
            <w:tcW w:w="2559" w:type="dxa"/>
            <w:shd w:val="clear" w:color="000000" w:fill="FFFFFF"/>
            <w:vAlign w:val="center"/>
          </w:tcPr>
          <w:p w14:paraId="43F80735">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463DE9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500D5814">
            <w:pPr>
              <w:keepNext w:val="0"/>
              <w:keepLines w:val="0"/>
              <w:pageBreakBefore w:val="0"/>
              <w:widowControl/>
              <w:kinsoku/>
              <w:wordWrap/>
              <w:overflowPunct/>
              <w:topLinePunct w:val="0"/>
              <w:bidi w:val="0"/>
              <w:adjustRightInd/>
              <w:snapToGrid/>
              <w:spacing w:line="360" w:lineRule="auto"/>
              <w:jc w:val="center"/>
              <w:textAlignment w:val="auto"/>
              <w:rPr>
                <w:rFonts w:hint="default"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10</w:t>
            </w:r>
          </w:p>
        </w:tc>
        <w:tc>
          <w:tcPr>
            <w:tcW w:w="2639" w:type="dxa"/>
            <w:shd w:val="clear" w:color="000000" w:fill="FFFFFF"/>
            <w:vAlign w:val="center"/>
          </w:tcPr>
          <w:p w14:paraId="5611F447">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串通投标</w:t>
            </w:r>
          </w:p>
        </w:tc>
        <w:tc>
          <w:tcPr>
            <w:tcW w:w="3090" w:type="dxa"/>
            <w:shd w:val="clear" w:color="000000" w:fill="FFFFFF"/>
            <w:vAlign w:val="center"/>
          </w:tcPr>
          <w:p w14:paraId="22D8E27F">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不存在《政府采购货物和服务招标投标管理办法》视为</w:t>
            </w:r>
            <w:r>
              <w:rPr>
                <w:rFonts w:hint="eastAsia"/>
                <w:color w:val="auto"/>
                <w:sz w:val="24"/>
                <w:szCs w:val="24"/>
                <w:highlight w:val="none"/>
                <w:lang w:eastAsia="zh-CN"/>
              </w:rPr>
              <w:t>供应商</w:t>
            </w:r>
            <w:r>
              <w:rPr>
                <w:rFonts w:hint="eastAsia"/>
                <w:color w:val="auto"/>
                <w:sz w:val="24"/>
                <w:szCs w:val="24"/>
                <w:highlight w:val="none"/>
              </w:rPr>
              <w:t>串通投标的情形：（一）不同</w:t>
            </w:r>
            <w:r>
              <w:rPr>
                <w:rFonts w:hint="eastAsia"/>
                <w:color w:val="auto"/>
                <w:sz w:val="24"/>
                <w:szCs w:val="24"/>
                <w:highlight w:val="none"/>
                <w:lang w:eastAsia="zh-CN"/>
              </w:rPr>
              <w:t>供应商</w:t>
            </w:r>
            <w:r>
              <w:rPr>
                <w:rFonts w:hint="eastAsia"/>
                <w:color w:val="auto"/>
                <w:sz w:val="24"/>
                <w:szCs w:val="24"/>
                <w:highlight w:val="none"/>
              </w:rPr>
              <w:t>的响应文件由同一单位或者个人编制；（二）不同</w:t>
            </w:r>
            <w:r>
              <w:rPr>
                <w:rFonts w:hint="eastAsia"/>
                <w:color w:val="auto"/>
                <w:sz w:val="24"/>
                <w:szCs w:val="24"/>
                <w:highlight w:val="none"/>
                <w:lang w:eastAsia="zh-CN"/>
              </w:rPr>
              <w:t>供应商</w:t>
            </w:r>
            <w:r>
              <w:rPr>
                <w:rFonts w:hint="eastAsia"/>
                <w:color w:val="auto"/>
                <w:sz w:val="24"/>
                <w:szCs w:val="24"/>
                <w:highlight w:val="none"/>
              </w:rPr>
              <w:t>委托同一单位或者个人办理投标事宜 ； （三）不同</w:t>
            </w:r>
            <w:r>
              <w:rPr>
                <w:rFonts w:hint="eastAsia"/>
                <w:color w:val="auto"/>
                <w:sz w:val="24"/>
                <w:szCs w:val="24"/>
                <w:highlight w:val="none"/>
                <w:lang w:eastAsia="zh-CN"/>
              </w:rPr>
              <w:t>供应商</w:t>
            </w:r>
            <w:r>
              <w:rPr>
                <w:rFonts w:hint="eastAsia"/>
                <w:color w:val="auto"/>
                <w:sz w:val="24"/>
                <w:szCs w:val="24"/>
                <w:highlight w:val="none"/>
              </w:rPr>
              <w:t>的响应文件载明的项目管理成员或者联系人员为同一人；</w:t>
            </w:r>
            <w:r>
              <w:rPr>
                <w:rFonts w:hint="eastAsia"/>
                <w:color w:val="auto"/>
                <w:sz w:val="24"/>
                <w:szCs w:val="24"/>
                <w:highlight w:val="none"/>
                <w:lang w:eastAsia="zh-CN"/>
              </w:rPr>
              <w:t>（</w:t>
            </w:r>
            <w:r>
              <w:rPr>
                <w:rFonts w:hint="eastAsia"/>
                <w:color w:val="auto"/>
                <w:sz w:val="24"/>
                <w:szCs w:val="24"/>
                <w:highlight w:val="none"/>
              </w:rPr>
              <w:t>四）不同</w:t>
            </w:r>
            <w:r>
              <w:rPr>
                <w:rFonts w:hint="eastAsia"/>
                <w:color w:val="auto"/>
                <w:sz w:val="24"/>
                <w:szCs w:val="24"/>
                <w:highlight w:val="none"/>
                <w:lang w:eastAsia="zh-CN"/>
              </w:rPr>
              <w:t>供应商</w:t>
            </w:r>
            <w:r>
              <w:rPr>
                <w:rFonts w:hint="eastAsia"/>
                <w:color w:val="auto"/>
                <w:sz w:val="24"/>
                <w:szCs w:val="24"/>
                <w:highlight w:val="none"/>
              </w:rPr>
              <w:t>的响应文件异常一致或者投标报价呈规律性差异；（五）不同</w:t>
            </w:r>
            <w:r>
              <w:rPr>
                <w:rFonts w:hint="eastAsia"/>
                <w:color w:val="auto"/>
                <w:sz w:val="24"/>
                <w:szCs w:val="24"/>
                <w:highlight w:val="none"/>
                <w:lang w:eastAsia="zh-CN"/>
              </w:rPr>
              <w:t>供应商</w:t>
            </w:r>
            <w:r>
              <w:rPr>
                <w:rFonts w:hint="eastAsia"/>
                <w:color w:val="auto"/>
                <w:sz w:val="24"/>
                <w:szCs w:val="24"/>
                <w:highlight w:val="none"/>
              </w:rPr>
              <w:t>的响应文件相互混装；（六）不同</w:t>
            </w:r>
            <w:r>
              <w:rPr>
                <w:rFonts w:hint="eastAsia"/>
                <w:color w:val="auto"/>
                <w:sz w:val="24"/>
                <w:szCs w:val="24"/>
                <w:highlight w:val="none"/>
                <w:lang w:eastAsia="zh-CN"/>
              </w:rPr>
              <w:t>供应商</w:t>
            </w:r>
            <w:r>
              <w:rPr>
                <w:rFonts w:hint="eastAsia"/>
                <w:color w:val="auto"/>
                <w:sz w:val="24"/>
                <w:szCs w:val="24"/>
                <w:highlight w:val="none"/>
              </w:rPr>
              <w:t>的</w:t>
            </w:r>
            <w:r>
              <w:rPr>
                <w:rFonts w:hint="eastAsia"/>
                <w:color w:val="auto"/>
                <w:sz w:val="24"/>
                <w:szCs w:val="24"/>
                <w:highlight w:val="none"/>
                <w:lang w:eastAsia="zh-CN"/>
              </w:rPr>
              <w:t>响应保证金</w:t>
            </w:r>
            <w:r>
              <w:rPr>
                <w:rFonts w:hint="eastAsia"/>
                <w:color w:val="auto"/>
                <w:sz w:val="24"/>
                <w:szCs w:val="24"/>
                <w:highlight w:val="none"/>
              </w:rPr>
              <w:t>从同一单位或者个人的账户转出</w:t>
            </w:r>
          </w:p>
        </w:tc>
        <w:tc>
          <w:tcPr>
            <w:tcW w:w="2559" w:type="dxa"/>
            <w:shd w:val="clear" w:color="000000" w:fill="FFFFFF"/>
            <w:vAlign w:val="center"/>
          </w:tcPr>
          <w:p w14:paraId="6082BD24">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r w14:paraId="144E95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014" w:type="dxa"/>
            <w:shd w:val="clear" w:color="000000" w:fill="FFFFFF"/>
            <w:vAlign w:val="center"/>
          </w:tcPr>
          <w:p w14:paraId="4C7594AF">
            <w:pPr>
              <w:keepNext w:val="0"/>
              <w:keepLines w:val="0"/>
              <w:pageBreakBefore w:val="0"/>
              <w:widowControl/>
              <w:kinsoku/>
              <w:wordWrap/>
              <w:overflowPunct/>
              <w:topLinePunct w:val="0"/>
              <w:bidi w:val="0"/>
              <w:adjustRightInd/>
              <w:snapToGrid/>
              <w:spacing w:line="360" w:lineRule="auto"/>
              <w:jc w:val="center"/>
              <w:textAlignment w:val="auto"/>
              <w:rPr>
                <w:rFonts w:hint="default" w:asciiTheme="minorEastAsia" w:hAnsiTheme="minorEastAsia" w:eastAsiaTheme="minorEastAsia"/>
                <w:color w:val="auto"/>
                <w:kern w:val="0"/>
                <w:sz w:val="24"/>
                <w:szCs w:val="24"/>
                <w:highlight w:val="none"/>
                <w:lang w:val="en-US" w:eastAsia="zh-CN"/>
              </w:rPr>
            </w:pPr>
            <w:r>
              <w:rPr>
                <w:rFonts w:hint="eastAsia" w:asciiTheme="minorEastAsia" w:hAnsiTheme="minorEastAsia" w:eastAsiaTheme="minorEastAsia"/>
                <w:color w:val="auto"/>
                <w:kern w:val="0"/>
                <w:sz w:val="24"/>
                <w:szCs w:val="24"/>
                <w:highlight w:val="none"/>
                <w:lang w:val="en-US" w:eastAsia="zh-CN"/>
              </w:rPr>
              <w:t>11</w:t>
            </w:r>
          </w:p>
        </w:tc>
        <w:tc>
          <w:tcPr>
            <w:tcW w:w="2639" w:type="dxa"/>
            <w:shd w:val="clear" w:color="000000" w:fill="FFFFFF"/>
            <w:vAlign w:val="center"/>
          </w:tcPr>
          <w:p w14:paraId="7EDCE8E9">
            <w:pPr>
              <w:keepNext w:val="0"/>
              <w:keepLines w:val="0"/>
              <w:pageBreakBefore w:val="0"/>
              <w:kinsoku/>
              <w:wordWrap/>
              <w:overflowPunct/>
              <w:topLinePunct w:val="0"/>
              <w:autoSpaceDE w:val="0"/>
              <w:autoSpaceDN w:val="0"/>
              <w:bidi w:val="0"/>
              <w:adjustRightInd/>
              <w:snapToGrid/>
              <w:spacing w:line="360" w:lineRule="auto"/>
              <w:jc w:val="center"/>
              <w:textAlignment w:val="auto"/>
              <w:rPr>
                <w:rFonts w:hint="eastAsia" w:cs="宋体" w:asciiTheme="minorEastAsia" w:hAnsiTheme="minorEastAsia" w:eastAsiaTheme="minorEastAsia"/>
                <w:color w:val="auto"/>
                <w:kern w:val="0"/>
                <w:sz w:val="24"/>
                <w:szCs w:val="24"/>
                <w:highlight w:val="none"/>
                <w:lang w:bidi="ar"/>
              </w:rPr>
            </w:pPr>
            <w:r>
              <w:rPr>
                <w:rFonts w:hint="eastAsia" w:ascii="宋体" w:hAnsi="宋体" w:eastAsia="宋体" w:cs="宋体"/>
                <w:color w:val="auto"/>
                <w:sz w:val="24"/>
                <w:szCs w:val="24"/>
                <w:highlight w:val="none"/>
              </w:rPr>
              <w:t>附加条件</w:t>
            </w:r>
          </w:p>
        </w:tc>
        <w:tc>
          <w:tcPr>
            <w:tcW w:w="3090" w:type="dxa"/>
            <w:shd w:val="clear" w:color="000000" w:fill="FFFFFF"/>
            <w:vAlign w:val="center"/>
          </w:tcPr>
          <w:p w14:paraId="3C9BBFF7">
            <w:pPr>
              <w:keepNext w:val="0"/>
              <w:keepLines w:val="0"/>
              <w:pageBreakBefore w:val="0"/>
              <w:kinsoku/>
              <w:wordWrap/>
              <w:overflowPunct/>
              <w:topLinePunct w:val="0"/>
              <w:bidi w:val="0"/>
              <w:adjustRightInd/>
              <w:snapToGrid/>
              <w:spacing w:line="360" w:lineRule="auto"/>
              <w:jc w:val="center"/>
              <w:textAlignment w:val="auto"/>
              <w:rPr>
                <w:rFonts w:hint="eastAsia"/>
                <w:color w:val="auto"/>
                <w:sz w:val="24"/>
                <w:szCs w:val="24"/>
                <w:highlight w:val="none"/>
              </w:rPr>
            </w:pPr>
            <w:r>
              <w:rPr>
                <w:rFonts w:hint="eastAsia"/>
                <w:color w:val="auto"/>
                <w:sz w:val="24"/>
                <w:szCs w:val="24"/>
                <w:highlight w:val="none"/>
              </w:rPr>
              <w:t>响应文件未含有采购人不能接受的附加条件的</w:t>
            </w:r>
          </w:p>
        </w:tc>
        <w:tc>
          <w:tcPr>
            <w:tcW w:w="2559" w:type="dxa"/>
            <w:shd w:val="clear" w:color="000000" w:fill="FFFFFF"/>
            <w:vAlign w:val="center"/>
          </w:tcPr>
          <w:p w14:paraId="480F68C7">
            <w:pPr>
              <w:keepNext w:val="0"/>
              <w:keepLines w:val="0"/>
              <w:pageBreakBefore w:val="0"/>
              <w:widowControl/>
              <w:kinsoku/>
              <w:wordWrap/>
              <w:overflowPunct/>
              <w:topLinePunct w:val="0"/>
              <w:bidi w:val="0"/>
              <w:adjustRightInd/>
              <w:snapToGrid/>
              <w:spacing w:line="360" w:lineRule="auto"/>
              <w:jc w:val="center"/>
              <w:textAlignment w:val="auto"/>
              <w:rPr>
                <w:rFonts w:hint="eastAsia" w:asciiTheme="minorEastAsia" w:hAnsiTheme="minorEastAsia" w:eastAsiaTheme="minorEastAsia"/>
                <w:color w:val="auto"/>
                <w:kern w:val="0"/>
                <w:sz w:val="24"/>
                <w:szCs w:val="24"/>
                <w:highlight w:val="none"/>
              </w:rPr>
            </w:pPr>
            <w:r>
              <w:rPr>
                <w:rFonts w:hint="eastAsia" w:asciiTheme="minorEastAsia" w:hAnsiTheme="minorEastAsia" w:eastAsiaTheme="minorEastAsia"/>
                <w:color w:val="auto"/>
                <w:kern w:val="0"/>
                <w:sz w:val="24"/>
                <w:szCs w:val="24"/>
                <w:highlight w:val="none"/>
              </w:rPr>
              <w:t>不允许</w:t>
            </w:r>
          </w:p>
        </w:tc>
      </w:tr>
    </w:tbl>
    <w:p w14:paraId="744A51D5">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磋商、响应文件有关事项的澄清、说明或者更正和最后报价</w:t>
      </w:r>
    </w:p>
    <w:p w14:paraId="6232525C">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磋商小组所有成员应当集中与单一供应商分别进行磋商，并给予所有参加磋商的供应商平等的磋商机会。</w:t>
      </w:r>
    </w:p>
    <w:p w14:paraId="3F8E8889">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kern w:val="0"/>
          <w:sz w:val="24"/>
          <w:szCs w:val="24"/>
          <w:highlight w:val="none"/>
        </w:rPr>
        <w:t>在磋商过程中，磋商小组可以根据磋商文件和磋商情况实质性变动采购需求中的技术、服务要求以及合同草案条款，但不得变动磋商文件中的其他内容。实质性变动的内容，须经采购人代表确认。</w:t>
      </w:r>
    </w:p>
    <w:p w14:paraId="5A18C5F0">
      <w:pPr>
        <w:numPr>
          <w:ilvl w:val="1"/>
          <w:numId w:val="7"/>
        </w:numPr>
        <w:tabs>
          <w:tab w:val="left" w:pos="1080"/>
          <w:tab w:val="left" w:pos="1872"/>
        </w:tabs>
        <w:snapToGrid w:val="0"/>
        <w:spacing w:line="360" w:lineRule="auto"/>
        <w:ind w:left="1077" w:hanging="720"/>
        <w:rPr>
          <w:color w:val="auto"/>
          <w:kern w:val="0"/>
          <w:sz w:val="24"/>
          <w:szCs w:val="24"/>
          <w:highlight w:val="none"/>
        </w:rPr>
      </w:pPr>
      <w:r>
        <w:rPr>
          <w:color w:val="auto"/>
          <w:kern w:val="0"/>
          <w:sz w:val="24"/>
          <w:szCs w:val="24"/>
          <w:highlight w:val="none"/>
        </w:rPr>
        <w:t>对磋商文件作出的实质性变动是磋商文件的有效组成部分，磋商小组应当及时以书面形式同时通知所有参加磋商的供应商。</w:t>
      </w:r>
    </w:p>
    <w:p w14:paraId="036E5DAF">
      <w:pPr>
        <w:numPr>
          <w:ilvl w:val="1"/>
          <w:numId w:val="7"/>
        </w:numPr>
        <w:tabs>
          <w:tab w:val="left" w:pos="1080"/>
          <w:tab w:val="left" w:pos="1872"/>
        </w:tabs>
        <w:snapToGrid w:val="0"/>
        <w:spacing w:line="360" w:lineRule="auto"/>
        <w:ind w:left="1077" w:hanging="720"/>
        <w:rPr>
          <w:color w:val="auto"/>
          <w:kern w:val="0"/>
          <w:sz w:val="24"/>
          <w:szCs w:val="24"/>
          <w:highlight w:val="none"/>
        </w:rPr>
      </w:pPr>
      <w:r>
        <w:rPr>
          <w:color w:val="auto"/>
          <w:kern w:val="0"/>
          <w:sz w:val="24"/>
          <w:szCs w:val="24"/>
          <w:highlight w:val="none"/>
        </w:rPr>
        <w:t>供应商应当按照磋商文件的变动情况和磋商小组的要求重新提交响应文件，并由其法定代表人或授权代表签字或者加盖公章。由授权代表签字的，应当附授权委托书。供应商为自然人的，应当由本人签字并附身份证明。</w:t>
      </w:r>
    </w:p>
    <w:p w14:paraId="3C0CBFB7">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响应文件的澄清、说明或者更正</w:t>
      </w:r>
      <w:r>
        <w:rPr>
          <w:rFonts w:hint="eastAsia"/>
          <w:color w:val="auto"/>
          <w:sz w:val="24"/>
          <w:szCs w:val="24"/>
          <w:highlight w:val="none"/>
        </w:rPr>
        <w:t>：</w:t>
      </w:r>
    </w:p>
    <w:p w14:paraId="5023B1B6">
      <w:pPr>
        <w:numPr>
          <w:ilvl w:val="2"/>
          <w:numId w:val="7"/>
        </w:numPr>
        <w:snapToGrid w:val="0"/>
        <w:spacing w:line="360" w:lineRule="auto"/>
        <w:rPr>
          <w:color w:val="auto"/>
          <w:sz w:val="24"/>
          <w:szCs w:val="24"/>
          <w:highlight w:val="none"/>
        </w:rPr>
      </w:pPr>
      <w:r>
        <w:rPr>
          <w:color w:val="auto"/>
          <w:sz w:val="24"/>
          <w:szCs w:val="24"/>
          <w:highlight w:val="none"/>
        </w:rPr>
        <w:t>磋商小组在对响应文件的有效性、完整性和响应程度进行审查时，可以要求供应商对响应文件中含义不明确、同类问题表述不一致或者有明显文字和计算错误的内容等作出必要的澄清、说明或者更正。</w:t>
      </w:r>
    </w:p>
    <w:p w14:paraId="046571FB">
      <w:pPr>
        <w:numPr>
          <w:ilvl w:val="2"/>
          <w:numId w:val="7"/>
        </w:numPr>
        <w:snapToGrid w:val="0"/>
        <w:spacing w:line="360" w:lineRule="auto"/>
        <w:rPr>
          <w:color w:val="auto"/>
          <w:sz w:val="24"/>
          <w:szCs w:val="24"/>
          <w:highlight w:val="none"/>
        </w:rPr>
      </w:pPr>
      <w:r>
        <w:rPr>
          <w:color w:val="auto"/>
          <w:sz w:val="24"/>
          <w:szCs w:val="24"/>
          <w:highlight w:val="none"/>
        </w:rPr>
        <w:t>磋商小组对响应文件进行审查，如发现供应商提交的响应文件存在不满足《符合性审查要求》的内容，如属于表中“不允许”澄清、说明或者更正的内容，则供应商响应文件按</w:t>
      </w:r>
      <w:r>
        <w:rPr>
          <w:b/>
          <w:color w:val="auto"/>
          <w:sz w:val="24"/>
          <w:szCs w:val="24"/>
          <w:highlight w:val="none"/>
        </w:rPr>
        <w:t>无效处理</w:t>
      </w:r>
      <w:r>
        <w:rPr>
          <w:color w:val="auto"/>
          <w:sz w:val="24"/>
          <w:szCs w:val="24"/>
          <w:highlight w:val="none"/>
        </w:rPr>
        <w:t>；如属于表中的“允许”澄清、说明或更正的内容，磋商小组将要求供应商在规定的时间内对响应文件进行澄清、说明或者更正。如供应商在磋商小组规定的时间内未作出必要的澄清、说明或者更正，或澄清、说明或者更正后仍不能满足采购文件要求的，则供应商的响应文件按</w:t>
      </w:r>
      <w:r>
        <w:rPr>
          <w:b/>
          <w:color w:val="auto"/>
          <w:sz w:val="24"/>
          <w:szCs w:val="24"/>
          <w:highlight w:val="none"/>
        </w:rPr>
        <w:t>无效处理</w:t>
      </w:r>
      <w:r>
        <w:rPr>
          <w:color w:val="auto"/>
          <w:sz w:val="24"/>
          <w:szCs w:val="24"/>
          <w:highlight w:val="none"/>
        </w:rPr>
        <w:t>。</w:t>
      </w:r>
    </w:p>
    <w:p w14:paraId="42D25C03">
      <w:pPr>
        <w:numPr>
          <w:ilvl w:val="2"/>
          <w:numId w:val="7"/>
        </w:numPr>
        <w:snapToGrid w:val="0"/>
        <w:spacing w:line="360" w:lineRule="auto"/>
        <w:rPr>
          <w:color w:val="auto"/>
          <w:sz w:val="24"/>
          <w:szCs w:val="24"/>
          <w:highlight w:val="none"/>
        </w:rPr>
      </w:pPr>
      <w:r>
        <w:rPr>
          <w:color w:val="auto"/>
          <w:sz w:val="24"/>
          <w:szCs w:val="24"/>
          <w:highlight w:val="none"/>
        </w:rPr>
        <w:t>供应商的澄清、说明或者更正不得超出响应文件的范围或者改变响应文件的实质性内容。磋商小组要求供应商澄清、说明或者更正响应文件应当以书面形式作出。供应商的澄清、说明或者更正应当由法定代表人或其授权代表签字或者加盖公章。由授权代表签字的，应当附授权委托书。供应商为自然人的，应当由本人签字并附身份证明。澄清文件将作为响应文件内容的一部分。</w:t>
      </w:r>
    </w:p>
    <w:p w14:paraId="1B20B0EA">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磋商结束后，磋商小组将要求所有实质性响应的供应商在规定时间内提交最后报价。最后报价时间为磋商小组指定的时间，具体时间根据磋商进度另行通知。</w:t>
      </w:r>
    </w:p>
    <w:p w14:paraId="0A3EFE66">
      <w:pPr>
        <w:numPr>
          <w:ilvl w:val="1"/>
          <w:numId w:val="7"/>
        </w:numPr>
        <w:tabs>
          <w:tab w:val="left" w:pos="1080"/>
          <w:tab w:val="left" w:pos="1872"/>
        </w:tabs>
        <w:snapToGrid w:val="0"/>
        <w:spacing w:line="360" w:lineRule="auto"/>
        <w:ind w:left="1077" w:hanging="720"/>
        <w:rPr>
          <w:rFonts w:eastAsiaTheme="minorEastAsia"/>
          <w:snapToGrid w:val="0"/>
          <w:color w:val="auto"/>
          <w:sz w:val="24"/>
          <w:szCs w:val="24"/>
          <w:highlight w:val="none"/>
        </w:rPr>
      </w:pPr>
      <w:bookmarkStart w:id="643" w:name="_Hlk220085436"/>
      <w:r>
        <w:rPr>
          <w:rFonts w:hint="eastAsia" w:eastAsiaTheme="minorEastAsia"/>
          <w:snapToGrid w:val="0"/>
          <w:color w:val="auto"/>
          <w:sz w:val="24"/>
          <w:szCs w:val="24"/>
          <w:highlight w:val="none"/>
        </w:rPr>
        <w:t>异常低价处理</w:t>
      </w:r>
    </w:p>
    <w:p w14:paraId="44A33C0C">
      <w:pPr>
        <w:numPr>
          <w:ilvl w:val="2"/>
          <w:numId w:val="7"/>
        </w:numPr>
        <w:snapToGrid w:val="0"/>
        <w:spacing w:line="360" w:lineRule="auto"/>
        <w:rPr>
          <w:rFonts w:eastAsiaTheme="minorEastAsia"/>
          <w:color w:val="auto"/>
          <w:sz w:val="24"/>
          <w:szCs w:val="24"/>
          <w:highlight w:val="none"/>
        </w:rPr>
      </w:pPr>
      <w:r>
        <w:rPr>
          <w:rFonts w:hint="eastAsia" w:eastAsiaTheme="minorEastAsia"/>
          <w:color w:val="auto"/>
          <w:sz w:val="24"/>
          <w:szCs w:val="24"/>
          <w:highlight w:val="none"/>
        </w:rPr>
        <w:t>政府采购评审中出现下列情形之一的，评审委员会应当启动异常低价投标（响应）审查程序：</w:t>
      </w:r>
    </w:p>
    <w:p w14:paraId="462FA7AE">
      <w:pPr>
        <w:snapToGrid w:val="0"/>
        <w:spacing w:line="360" w:lineRule="auto"/>
        <w:ind w:left="1980"/>
        <w:rPr>
          <w:rFonts w:eastAsiaTheme="minorEastAsia"/>
          <w:color w:val="auto"/>
          <w:sz w:val="24"/>
          <w:szCs w:val="24"/>
          <w:highlight w:val="none"/>
        </w:rPr>
      </w:pPr>
      <w:r>
        <w:rPr>
          <w:rFonts w:hint="eastAsia" w:eastAsiaTheme="minorEastAsia"/>
          <w:color w:val="auto"/>
          <w:sz w:val="24"/>
          <w:szCs w:val="24"/>
          <w:highlight w:val="none"/>
        </w:rPr>
        <w:t>（</w:t>
      </w:r>
      <w:r>
        <w:rPr>
          <w:rFonts w:eastAsiaTheme="minorEastAsia"/>
          <w:color w:val="auto"/>
          <w:sz w:val="24"/>
          <w:szCs w:val="24"/>
          <w:highlight w:val="none"/>
        </w:rPr>
        <w:t>1</w:t>
      </w:r>
      <w:r>
        <w:rPr>
          <w:rFonts w:hint="eastAsia" w:eastAsiaTheme="minorEastAsia"/>
          <w:color w:val="auto"/>
          <w:sz w:val="24"/>
          <w:szCs w:val="24"/>
          <w:highlight w:val="none"/>
        </w:rPr>
        <w:t>）投标（响应）报价低于全部通过符合性审查供应商投标（响应）报价平均值</w:t>
      </w:r>
      <w:r>
        <w:rPr>
          <w:rFonts w:hint="eastAsia" w:eastAsiaTheme="minorEastAsia"/>
          <w:color w:val="auto"/>
          <w:sz w:val="24"/>
          <w:szCs w:val="24"/>
          <w:highlight w:val="none"/>
          <w:lang w:val="en-US" w:eastAsia="zh-CN"/>
        </w:rPr>
        <w:t>50</w:t>
      </w:r>
      <w:r>
        <w:rPr>
          <w:rFonts w:eastAsiaTheme="minorEastAsia"/>
          <w:color w:val="auto"/>
          <w:sz w:val="24"/>
          <w:szCs w:val="24"/>
          <w:highlight w:val="none"/>
        </w:rPr>
        <w:t>%</w:t>
      </w:r>
      <w:r>
        <w:rPr>
          <w:rFonts w:hint="eastAsia" w:eastAsiaTheme="minorEastAsia"/>
          <w:color w:val="auto"/>
          <w:sz w:val="24"/>
          <w:szCs w:val="24"/>
          <w:highlight w:val="none"/>
        </w:rPr>
        <w:t>的，即投标（响应）报价</w:t>
      </w:r>
      <w:r>
        <w:rPr>
          <w:rFonts w:eastAsiaTheme="minorEastAsia"/>
          <w:color w:val="auto"/>
          <w:sz w:val="24"/>
          <w:szCs w:val="24"/>
          <w:highlight w:val="none"/>
        </w:rPr>
        <w:t>&lt;</w:t>
      </w:r>
      <w:r>
        <w:rPr>
          <w:rFonts w:hint="eastAsia" w:eastAsiaTheme="minorEastAsia"/>
          <w:color w:val="auto"/>
          <w:sz w:val="24"/>
          <w:szCs w:val="24"/>
          <w:highlight w:val="none"/>
        </w:rPr>
        <w:t>全部通过符合性审查供应商投标（响应）报价平均值×</w:t>
      </w:r>
      <w:r>
        <w:rPr>
          <w:rFonts w:hint="eastAsia" w:eastAsiaTheme="minorEastAsia"/>
          <w:color w:val="auto"/>
          <w:sz w:val="24"/>
          <w:szCs w:val="24"/>
          <w:highlight w:val="none"/>
          <w:lang w:val="en-US" w:eastAsia="zh-CN"/>
        </w:rPr>
        <w:t>50</w:t>
      </w:r>
      <w:r>
        <w:rPr>
          <w:rFonts w:eastAsiaTheme="minorEastAsia"/>
          <w:color w:val="auto"/>
          <w:sz w:val="24"/>
          <w:szCs w:val="24"/>
          <w:highlight w:val="none"/>
        </w:rPr>
        <w:t>%</w:t>
      </w:r>
      <w:r>
        <w:rPr>
          <w:rFonts w:hint="eastAsia" w:eastAsiaTheme="minorEastAsia"/>
          <w:color w:val="auto"/>
          <w:sz w:val="24"/>
          <w:szCs w:val="24"/>
          <w:highlight w:val="none"/>
        </w:rPr>
        <w:t>；</w:t>
      </w:r>
    </w:p>
    <w:p w14:paraId="6EBA486E">
      <w:pPr>
        <w:snapToGrid w:val="0"/>
        <w:spacing w:line="360" w:lineRule="auto"/>
        <w:ind w:left="1980"/>
        <w:rPr>
          <w:rFonts w:eastAsiaTheme="minorEastAsia"/>
          <w:color w:val="auto"/>
          <w:sz w:val="24"/>
          <w:szCs w:val="24"/>
          <w:highlight w:val="none"/>
        </w:rPr>
      </w:pPr>
      <w:r>
        <w:rPr>
          <w:rFonts w:hint="eastAsia" w:eastAsiaTheme="minorEastAsia"/>
          <w:color w:val="auto"/>
          <w:sz w:val="24"/>
          <w:szCs w:val="24"/>
          <w:highlight w:val="none"/>
        </w:rPr>
        <w:t>（</w:t>
      </w:r>
      <w:r>
        <w:rPr>
          <w:rFonts w:eastAsiaTheme="minorEastAsia"/>
          <w:color w:val="auto"/>
          <w:sz w:val="24"/>
          <w:szCs w:val="24"/>
          <w:highlight w:val="none"/>
        </w:rPr>
        <w:t>2</w:t>
      </w:r>
      <w:r>
        <w:rPr>
          <w:rFonts w:hint="eastAsia" w:eastAsiaTheme="minorEastAsia"/>
          <w:color w:val="auto"/>
          <w:sz w:val="24"/>
          <w:szCs w:val="24"/>
          <w:highlight w:val="none"/>
        </w:rPr>
        <w:t>）投标（响应）报价低于通过符合性审查的次低报价供应商投标（响应）报价</w:t>
      </w:r>
      <w:r>
        <w:rPr>
          <w:rFonts w:hint="eastAsia" w:eastAsiaTheme="minorEastAsia"/>
          <w:color w:val="auto"/>
          <w:sz w:val="24"/>
          <w:szCs w:val="24"/>
          <w:highlight w:val="none"/>
          <w:lang w:val="en-US" w:eastAsia="zh-CN"/>
        </w:rPr>
        <w:t>50</w:t>
      </w:r>
      <w:r>
        <w:rPr>
          <w:rFonts w:eastAsiaTheme="minorEastAsia"/>
          <w:color w:val="auto"/>
          <w:sz w:val="24"/>
          <w:szCs w:val="24"/>
          <w:highlight w:val="none"/>
        </w:rPr>
        <w:t>%</w:t>
      </w:r>
      <w:r>
        <w:rPr>
          <w:rFonts w:hint="eastAsia" w:eastAsiaTheme="minorEastAsia"/>
          <w:color w:val="auto"/>
          <w:sz w:val="24"/>
          <w:szCs w:val="24"/>
          <w:highlight w:val="none"/>
        </w:rPr>
        <w:t>的，即投标（响应）报价</w:t>
      </w:r>
      <w:r>
        <w:rPr>
          <w:rFonts w:eastAsiaTheme="minorEastAsia"/>
          <w:color w:val="auto"/>
          <w:sz w:val="24"/>
          <w:szCs w:val="24"/>
          <w:highlight w:val="none"/>
        </w:rPr>
        <w:t>&lt;</w:t>
      </w:r>
      <w:r>
        <w:rPr>
          <w:rFonts w:hint="eastAsia" w:eastAsiaTheme="minorEastAsia"/>
          <w:color w:val="auto"/>
          <w:sz w:val="24"/>
          <w:szCs w:val="24"/>
          <w:highlight w:val="none"/>
        </w:rPr>
        <w:t>通过符合性审查的次低报价供应商投标（响应）报价×</w:t>
      </w:r>
      <w:r>
        <w:rPr>
          <w:rFonts w:hint="eastAsia" w:eastAsiaTheme="minorEastAsia"/>
          <w:color w:val="auto"/>
          <w:sz w:val="24"/>
          <w:szCs w:val="24"/>
          <w:highlight w:val="none"/>
          <w:lang w:val="en-US" w:eastAsia="zh-CN"/>
        </w:rPr>
        <w:t>50</w:t>
      </w:r>
      <w:r>
        <w:rPr>
          <w:rFonts w:eastAsiaTheme="minorEastAsia"/>
          <w:color w:val="auto"/>
          <w:sz w:val="24"/>
          <w:szCs w:val="24"/>
          <w:highlight w:val="none"/>
        </w:rPr>
        <w:t>%</w:t>
      </w:r>
      <w:r>
        <w:rPr>
          <w:rFonts w:hint="eastAsia" w:eastAsiaTheme="minorEastAsia"/>
          <w:color w:val="auto"/>
          <w:sz w:val="24"/>
          <w:szCs w:val="24"/>
          <w:highlight w:val="none"/>
        </w:rPr>
        <w:t>；</w:t>
      </w:r>
    </w:p>
    <w:p w14:paraId="1A4265D5">
      <w:pPr>
        <w:snapToGrid w:val="0"/>
        <w:spacing w:line="360" w:lineRule="auto"/>
        <w:ind w:left="1980"/>
        <w:rPr>
          <w:rFonts w:eastAsiaTheme="minorEastAsia"/>
          <w:color w:val="auto"/>
          <w:sz w:val="24"/>
          <w:szCs w:val="24"/>
          <w:highlight w:val="none"/>
        </w:rPr>
      </w:pPr>
      <w:r>
        <w:rPr>
          <w:rFonts w:hint="eastAsia" w:eastAsiaTheme="minorEastAsia"/>
          <w:color w:val="auto"/>
          <w:sz w:val="24"/>
          <w:szCs w:val="24"/>
          <w:highlight w:val="none"/>
        </w:rPr>
        <w:t>（</w:t>
      </w:r>
      <w:r>
        <w:rPr>
          <w:rFonts w:eastAsiaTheme="minorEastAsia"/>
          <w:color w:val="auto"/>
          <w:sz w:val="24"/>
          <w:szCs w:val="24"/>
          <w:highlight w:val="none"/>
        </w:rPr>
        <w:t>3</w:t>
      </w:r>
      <w:r>
        <w:rPr>
          <w:rFonts w:hint="eastAsia" w:eastAsiaTheme="minorEastAsia"/>
          <w:color w:val="auto"/>
          <w:sz w:val="24"/>
          <w:szCs w:val="24"/>
          <w:highlight w:val="none"/>
        </w:rPr>
        <w:t>）投标（响应）报价低于采购项目最高限价</w:t>
      </w:r>
      <w:r>
        <w:rPr>
          <w:rFonts w:hint="eastAsia" w:eastAsiaTheme="minorEastAsia"/>
          <w:color w:val="auto"/>
          <w:sz w:val="24"/>
          <w:szCs w:val="24"/>
          <w:highlight w:val="none"/>
          <w:lang w:val="en-US" w:eastAsia="zh-CN"/>
        </w:rPr>
        <w:t>45</w:t>
      </w:r>
      <w:r>
        <w:rPr>
          <w:rFonts w:eastAsiaTheme="minorEastAsia"/>
          <w:color w:val="auto"/>
          <w:sz w:val="24"/>
          <w:szCs w:val="24"/>
          <w:highlight w:val="none"/>
        </w:rPr>
        <w:t>%</w:t>
      </w:r>
      <w:r>
        <w:rPr>
          <w:rFonts w:hint="eastAsia" w:eastAsiaTheme="minorEastAsia"/>
          <w:color w:val="auto"/>
          <w:sz w:val="24"/>
          <w:szCs w:val="24"/>
          <w:highlight w:val="none"/>
        </w:rPr>
        <w:t>的，即投标（响应）报价</w:t>
      </w:r>
      <w:r>
        <w:rPr>
          <w:rFonts w:eastAsiaTheme="minorEastAsia"/>
          <w:color w:val="auto"/>
          <w:sz w:val="24"/>
          <w:szCs w:val="24"/>
          <w:highlight w:val="none"/>
        </w:rPr>
        <w:t>&lt;</w:t>
      </w:r>
      <w:r>
        <w:rPr>
          <w:rFonts w:hint="eastAsia" w:eastAsiaTheme="minorEastAsia"/>
          <w:color w:val="auto"/>
          <w:sz w:val="24"/>
          <w:szCs w:val="24"/>
          <w:highlight w:val="none"/>
        </w:rPr>
        <w:t>采购项目最高限价×</w:t>
      </w:r>
      <w:r>
        <w:rPr>
          <w:rFonts w:hint="eastAsia" w:eastAsiaTheme="minorEastAsia"/>
          <w:color w:val="auto"/>
          <w:sz w:val="24"/>
          <w:szCs w:val="24"/>
          <w:highlight w:val="none"/>
          <w:lang w:val="en-US" w:eastAsia="zh-CN"/>
        </w:rPr>
        <w:t>45</w:t>
      </w:r>
      <w:r>
        <w:rPr>
          <w:rFonts w:eastAsiaTheme="minorEastAsia"/>
          <w:color w:val="auto"/>
          <w:sz w:val="24"/>
          <w:szCs w:val="24"/>
          <w:highlight w:val="none"/>
        </w:rPr>
        <w:t>%</w:t>
      </w:r>
      <w:r>
        <w:rPr>
          <w:rFonts w:hint="eastAsia" w:eastAsiaTheme="minorEastAsia"/>
          <w:color w:val="auto"/>
          <w:sz w:val="24"/>
          <w:szCs w:val="24"/>
          <w:highlight w:val="none"/>
        </w:rPr>
        <w:t>；未设定最高限价的采购项目，以采购项目预算金额作为最高限价；</w:t>
      </w:r>
    </w:p>
    <w:p w14:paraId="70E1F55D">
      <w:pPr>
        <w:snapToGrid w:val="0"/>
        <w:spacing w:line="360" w:lineRule="auto"/>
        <w:ind w:left="1980"/>
        <w:rPr>
          <w:rFonts w:eastAsiaTheme="minorEastAsia"/>
          <w:color w:val="auto"/>
          <w:sz w:val="24"/>
          <w:szCs w:val="24"/>
          <w:highlight w:val="none"/>
        </w:rPr>
      </w:pPr>
      <w:r>
        <w:rPr>
          <w:rFonts w:hint="eastAsia" w:eastAsiaTheme="minorEastAsia"/>
          <w:color w:val="auto"/>
          <w:sz w:val="24"/>
          <w:szCs w:val="24"/>
          <w:highlight w:val="none"/>
        </w:rPr>
        <w:t>（</w:t>
      </w:r>
      <w:r>
        <w:rPr>
          <w:rFonts w:eastAsiaTheme="minorEastAsia"/>
          <w:color w:val="auto"/>
          <w:sz w:val="24"/>
          <w:szCs w:val="24"/>
          <w:highlight w:val="none"/>
        </w:rPr>
        <w:t>4</w:t>
      </w:r>
      <w:r>
        <w:rPr>
          <w:rFonts w:hint="eastAsia" w:eastAsiaTheme="minorEastAsia"/>
          <w:color w:val="auto"/>
          <w:sz w:val="24"/>
          <w:szCs w:val="24"/>
          <w:highlight w:val="none"/>
        </w:rPr>
        <w:t>）评审委员会基于专业判断，认为供应商报价过低，有可能影响产品质量或者不能诚信履约的其他情形。</w:t>
      </w:r>
    </w:p>
    <w:p w14:paraId="7EA8ACAD">
      <w:pPr>
        <w:numPr>
          <w:ilvl w:val="2"/>
          <w:numId w:val="7"/>
        </w:numPr>
        <w:snapToGrid w:val="0"/>
        <w:spacing w:line="360" w:lineRule="auto"/>
        <w:rPr>
          <w:rFonts w:eastAsiaTheme="minorEastAsia"/>
          <w:color w:val="auto"/>
          <w:sz w:val="24"/>
          <w:szCs w:val="24"/>
          <w:highlight w:val="none"/>
        </w:rPr>
      </w:pPr>
      <w:r>
        <w:rPr>
          <w:rFonts w:hint="eastAsia" w:eastAsiaTheme="minorEastAsia"/>
          <w:color w:val="auto"/>
          <w:sz w:val="24"/>
          <w:szCs w:val="24"/>
          <w:highlight w:val="none"/>
        </w:rPr>
        <w:t>评审委员会启动异常低价投标（响应）审查后，属于前述第（</w:t>
      </w:r>
      <w:r>
        <w:rPr>
          <w:rFonts w:eastAsiaTheme="minorEastAsia"/>
          <w:color w:val="auto"/>
          <w:sz w:val="24"/>
          <w:szCs w:val="24"/>
          <w:highlight w:val="none"/>
        </w:rPr>
        <w:t>1</w:t>
      </w:r>
      <w:r>
        <w:rPr>
          <w:rFonts w:hint="eastAsia" w:eastAsiaTheme="minorEastAsia"/>
          <w:color w:val="auto"/>
          <w:sz w:val="24"/>
          <w:szCs w:val="24"/>
          <w:highlight w:val="none"/>
        </w:rPr>
        <w:t>）项至第（</w:t>
      </w:r>
      <w:r>
        <w:rPr>
          <w:rFonts w:eastAsiaTheme="minorEastAsia"/>
          <w:color w:val="auto"/>
          <w:sz w:val="24"/>
          <w:szCs w:val="24"/>
          <w:highlight w:val="none"/>
        </w:rPr>
        <w:t>4</w:t>
      </w:r>
      <w:r>
        <w:rPr>
          <w:rFonts w:hint="eastAsia" w:eastAsiaTheme="minorEastAsia"/>
          <w:color w:val="auto"/>
          <w:sz w:val="24"/>
          <w:szCs w:val="24"/>
          <w:highlight w:val="none"/>
        </w:rPr>
        <w:t>）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w:t>
      </w:r>
      <w:r>
        <w:rPr>
          <w:rFonts w:eastAsiaTheme="minorEastAsia"/>
          <w:color w:val="auto"/>
          <w:sz w:val="24"/>
          <w:szCs w:val="24"/>
          <w:highlight w:val="none"/>
        </w:rPr>
        <w:t>30</w:t>
      </w:r>
      <w:r>
        <w:rPr>
          <w:rFonts w:hint="eastAsia" w:eastAsiaTheme="minorEastAsia"/>
          <w:color w:val="auto"/>
          <w:sz w:val="24"/>
          <w:szCs w:val="24"/>
          <w:highlight w:val="none"/>
        </w:rPr>
        <w:t>分钟。其中，属于第（</w:t>
      </w:r>
      <w:r>
        <w:rPr>
          <w:rFonts w:eastAsiaTheme="minorEastAsia"/>
          <w:color w:val="auto"/>
          <w:sz w:val="24"/>
          <w:szCs w:val="24"/>
          <w:highlight w:val="none"/>
        </w:rPr>
        <w:t>3</w:t>
      </w:r>
      <w:r>
        <w:rPr>
          <w:rFonts w:hint="eastAsia" w:eastAsiaTheme="minorEastAsia"/>
          <w:color w:val="auto"/>
          <w:sz w:val="24"/>
          <w:szCs w:val="24"/>
          <w:highlight w:val="none"/>
        </w:rPr>
        <w:t>）项情形，供应商已随投标（响应）文件一并提交相关书面说明及必要的证明材料的，在评审现场可不再重复提交。</w:t>
      </w:r>
    </w:p>
    <w:p w14:paraId="3A0B32F4">
      <w:pPr>
        <w:numPr>
          <w:ilvl w:val="2"/>
          <w:numId w:val="7"/>
        </w:numPr>
        <w:snapToGrid w:val="0"/>
        <w:spacing w:line="360" w:lineRule="auto"/>
        <w:rPr>
          <w:rFonts w:eastAsiaTheme="minorEastAsia"/>
          <w:color w:val="auto"/>
          <w:sz w:val="24"/>
          <w:szCs w:val="24"/>
          <w:highlight w:val="none"/>
        </w:rPr>
      </w:pPr>
      <w:r>
        <w:rPr>
          <w:rFonts w:hint="eastAsia" w:eastAsiaTheme="minorEastAsia"/>
          <w:color w:val="auto"/>
          <w:sz w:val="24"/>
          <w:szCs w:val="24"/>
          <w:highlight w:val="none"/>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p w14:paraId="465A6397">
      <w:pPr>
        <w:numPr>
          <w:ilvl w:val="2"/>
          <w:numId w:val="7"/>
        </w:numPr>
        <w:snapToGrid w:val="0"/>
        <w:spacing w:line="360" w:lineRule="auto"/>
        <w:rPr>
          <w:rFonts w:eastAsiaTheme="minorEastAsia"/>
          <w:color w:val="auto"/>
          <w:sz w:val="24"/>
          <w:szCs w:val="24"/>
          <w:highlight w:val="none"/>
        </w:rPr>
      </w:pPr>
      <w:bookmarkStart w:id="644" w:name="_Hlk190337965"/>
      <w:r>
        <w:rPr>
          <w:rFonts w:hint="eastAsia" w:eastAsiaTheme="minorEastAsia"/>
          <w:color w:val="auto"/>
          <w:sz w:val="24"/>
          <w:szCs w:val="24"/>
          <w:highlight w:val="none"/>
        </w:rPr>
        <w:t>上述投标（响应）报价指按照本章</w:t>
      </w:r>
      <w:r>
        <w:rPr>
          <w:rFonts w:eastAsiaTheme="minorEastAsia"/>
          <w:color w:val="auto"/>
          <w:sz w:val="24"/>
          <w:szCs w:val="24"/>
          <w:highlight w:val="none"/>
        </w:rPr>
        <w:t>3.2</w:t>
      </w:r>
      <w:r>
        <w:rPr>
          <w:rFonts w:hint="eastAsia" w:eastAsiaTheme="minorEastAsia"/>
          <w:color w:val="auto"/>
          <w:sz w:val="24"/>
          <w:szCs w:val="24"/>
          <w:highlight w:val="none"/>
        </w:rPr>
        <w:t>修正后的报价</w:t>
      </w:r>
      <w:bookmarkEnd w:id="644"/>
      <w:r>
        <w:rPr>
          <w:rFonts w:hint="eastAsia" w:eastAsiaTheme="minorEastAsia"/>
          <w:color w:val="auto"/>
          <w:sz w:val="24"/>
          <w:szCs w:val="24"/>
          <w:highlight w:val="none"/>
        </w:rPr>
        <w:t>。</w:t>
      </w:r>
      <w:bookmarkEnd w:id="643"/>
    </w:p>
    <w:p w14:paraId="502FC1F8">
      <w:pPr>
        <w:numPr>
          <w:ilvl w:val="1"/>
          <w:numId w:val="7"/>
        </w:numPr>
        <w:tabs>
          <w:tab w:val="left" w:pos="1080"/>
          <w:tab w:val="left" w:pos="1872"/>
        </w:tabs>
        <w:snapToGrid w:val="0"/>
        <w:spacing w:line="360" w:lineRule="auto"/>
        <w:ind w:left="1077" w:hanging="720"/>
        <w:rPr>
          <w:color w:val="auto"/>
          <w:sz w:val="24"/>
          <w:szCs w:val="24"/>
          <w:highlight w:val="none"/>
        </w:rPr>
      </w:pPr>
      <w:r>
        <w:rPr>
          <w:snapToGrid w:val="0"/>
          <w:color w:val="auto"/>
          <w:sz w:val="24"/>
          <w:szCs w:val="24"/>
          <w:highlight w:val="none"/>
        </w:rPr>
        <w:t>磋商文件能够详细列明采购标的的技术、服务要求的，磋商结束后，磋商小组应当要求所有实质性响应的供应商在规定时间内提交最后报价，提交最后报价的供应商不得少于3家。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r>
        <w:rPr>
          <w:color w:val="auto"/>
          <w:sz w:val="24"/>
          <w:szCs w:val="24"/>
          <w:highlight w:val="none"/>
        </w:rPr>
        <w:t>市场竞争不充分的科研项目，以及需要扶持的科技成果转化项目，提交最后报价的供应商可以为2家；政府购买服务项目（含政府和社会资本合作项目），在采购过程中符合要求的供应商（社会资本）只有2家的，竞争性磋商采购活动可以继续进行。</w:t>
      </w:r>
    </w:p>
    <w:p w14:paraId="53313370">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最后报价是供应商响应文件的有效组成部分。</w:t>
      </w:r>
    </w:p>
    <w:p w14:paraId="218F428E">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已提交响应文件的供应商，在提交最后报价之前，可以根据磋商情况退出磋商。</w:t>
      </w:r>
    </w:p>
    <w:p w14:paraId="0FF90686">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最后报价的算术修正及政策调整</w:t>
      </w:r>
    </w:p>
    <w:p w14:paraId="5F7BFA5A">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最后报价须包含竞争性磋商文件全部内容，如</w:t>
      </w:r>
      <w:r>
        <w:rPr>
          <w:rFonts w:hint="eastAsia"/>
          <w:color w:val="auto"/>
          <w:sz w:val="24"/>
          <w:szCs w:val="24"/>
          <w:highlight w:val="none"/>
        </w:rPr>
        <w:t>最后</w:t>
      </w:r>
      <w:r>
        <w:rPr>
          <w:color w:val="auto"/>
          <w:sz w:val="24"/>
          <w:szCs w:val="24"/>
          <w:highlight w:val="none"/>
        </w:rPr>
        <w:t>分项报价表有缺漏视为已含在其他各项报价中，将不对最后报价总价进行调整。磋商小组有权要求供应商在评审现场合理的时间内对此进行书面确认，供应商不确认的，视为将一个采购包中的内容拆开响应，其</w:t>
      </w:r>
      <w:r>
        <w:rPr>
          <w:b/>
          <w:color w:val="auto"/>
          <w:sz w:val="24"/>
          <w:szCs w:val="24"/>
          <w:highlight w:val="none"/>
        </w:rPr>
        <w:t>响应无效</w:t>
      </w:r>
      <w:r>
        <w:rPr>
          <w:color w:val="auto"/>
          <w:sz w:val="24"/>
          <w:szCs w:val="24"/>
          <w:highlight w:val="none"/>
        </w:rPr>
        <w:t>。</w:t>
      </w:r>
    </w:p>
    <w:p w14:paraId="324026F6">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最后报价出现前后不一致的，按照下列规定修正：</w:t>
      </w:r>
    </w:p>
    <w:p w14:paraId="62238428">
      <w:pPr>
        <w:numPr>
          <w:ilvl w:val="2"/>
          <w:numId w:val="7"/>
        </w:numPr>
        <w:tabs>
          <w:tab w:val="left" w:pos="1080"/>
          <w:tab w:val="left" w:pos="1589"/>
          <w:tab w:val="left" w:pos="2035"/>
          <w:tab w:val="left" w:pos="2114"/>
        </w:tabs>
        <w:snapToGrid w:val="0"/>
        <w:spacing w:line="360" w:lineRule="auto"/>
        <w:ind w:left="2035"/>
        <w:rPr>
          <w:color w:val="auto"/>
          <w:sz w:val="24"/>
          <w:szCs w:val="24"/>
          <w:highlight w:val="none"/>
        </w:rPr>
      </w:pPr>
      <w:r>
        <w:rPr>
          <w:color w:val="auto"/>
          <w:sz w:val="24"/>
          <w:szCs w:val="24"/>
          <w:highlight w:val="none"/>
        </w:rPr>
        <w:t>竞争性磋商文件对于报价修正是否另有规定：</w:t>
      </w:r>
    </w:p>
    <w:p w14:paraId="0791D5BD">
      <w:pPr>
        <w:tabs>
          <w:tab w:val="left" w:pos="1080"/>
          <w:tab w:val="left" w:pos="1589"/>
          <w:tab w:val="left" w:pos="2035"/>
          <w:tab w:val="left" w:pos="2114"/>
        </w:tabs>
        <w:snapToGrid w:val="0"/>
        <w:spacing w:line="360" w:lineRule="auto"/>
        <w:ind w:left="2035"/>
        <w:rPr>
          <w:color w:val="auto"/>
          <w:sz w:val="24"/>
          <w:szCs w:val="24"/>
          <w:highlight w:val="none"/>
          <w:u w:val="single"/>
        </w:rPr>
      </w:pPr>
      <w:r>
        <w:rPr>
          <w:color w:val="auto"/>
          <w:sz w:val="24"/>
          <w:szCs w:val="24"/>
          <w:highlight w:val="none"/>
        </w:rPr>
        <w:t>□有，具体规定为：___________</w:t>
      </w:r>
    </w:p>
    <w:p w14:paraId="00C17A06">
      <w:pPr>
        <w:tabs>
          <w:tab w:val="left" w:pos="1080"/>
          <w:tab w:val="left" w:pos="1589"/>
          <w:tab w:val="left" w:pos="2035"/>
          <w:tab w:val="left" w:pos="2114"/>
        </w:tabs>
        <w:snapToGrid w:val="0"/>
        <w:spacing w:line="360" w:lineRule="auto"/>
        <w:ind w:left="2035"/>
        <w:rPr>
          <w:color w:val="auto"/>
          <w:sz w:val="24"/>
          <w:szCs w:val="24"/>
          <w:highlight w:val="none"/>
        </w:rPr>
      </w:pPr>
      <w:r>
        <w:rPr>
          <w:color w:val="auto"/>
          <w:sz w:val="24"/>
          <w:szCs w:val="24"/>
          <w:highlight w:val="none"/>
        </w:rPr>
        <w:t>■无，按下述3.2.2-3.2.5项规定修正。</w:t>
      </w:r>
    </w:p>
    <w:p w14:paraId="1972DACD">
      <w:pPr>
        <w:numPr>
          <w:ilvl w:val="2"/>
          <w:numId w:val="7"/>
        </w:numPr>
        <w:tabs>
          <w:tab w:val="left" w:pos="2035"/>
          <w:tab w:val="left" w:pos="2114"/>
          <w:tab w:val="left" w:pos="2977"/>
        </w:tabs>
        <w:snapToGrid w:val="0"/>
        <w:spacing w:line="360" w:lineRule="auto"/>
        <w:ind w:left="2035"/>
        <w:rPr>
          <w:color w:val="auto"/>
          <w:sz w:val="24"/>
          <w:szCs w:val="24"/>
          <w:highlight w:val="none"/>
        </w:rPr>
      </w:pPr>
      <w:r>
        <w:rPr>
          <w:color w:val="auto"/>
          <w:sz w:val="24"/>
          <w:szCs w:val="24"/>
          <w:highlight w:val="none"/>
        </w:rPr>
        <w:t>大写金额和小写金额不一致的，以大写金额为准；</w:t>
      </w:r>
    </w:p>
    <w:p w14:paraId="66409ACD">
      <w:pPr>
        <w:numPr>
          <w:ilvl w:val="2"/>
          <w:numId w:val="7"/>
        </w:numPr>
        <w:tabs>
          <w:tab w:val="left" w:pos="2035"/>
          <w:tab w:val="left" w:pos="2114"/>
          <w:tab w:val="left" w:pos="2977"/>
        </w:tabs>
        <w:snapToGrid w:val="0"/>
        <w:spacing w:line="360" w:lineRule="auto"/>
        <w:ind w:left="2035"/>
        <w:rPr>
          <w:color w:val="auto"/>
          <w:sz w:val="24"/>
          <w:szCs w:val="24"/>
          <w:highlight w:val="none"/>
        </w:rPr>
      </w:pPr>
      <w:r>
        <w:rPr>
          <w:color w:val="auto"/>
          <w:sz w:val="24"/>
          <w:szCs w:val="24"/>
          <w:highlight w:val="none"/>
        </w:rPr>
        <w:t>单价金额小数点或者百分比有明显错位的，以最后报价一览表的总价为准，并修改单价；</w:t>
      </w:r>
    </w:p>
    <w:p w14:paraId="577F95E2">
      <w:pPr>
        <w:numPr>
          <w:ilvl w:val="2"/>
          <w:numId w:val="7"/>
        </w:numPr>
        <w:tabs>
          <w:tab w:val="left" w:pos="2035"/>
          <w:tab w:val="left" w:pos="2114"/>
          <w:tab w:val="left" w:pos="2977"/>
        </w:tabs>
        <w:snapToGrid w:val="0"/>
        <w:spacing w:line="360" w:lineRule="auto"/>
        <w:ind w:left="2035"/>
        <w:rPr>
          <w:color w:val="auto"/>
          <w:sz w:val="24"/>
          <w:szCs w:val="24"/>
          <w:highlight w:val="none"/>
        </w:rPr>
      </w:pPr>
      <w:r>
        <w:rPr>
          <w:color w:val="auto"/>
          <w:sz w:val="24"/>
          <w:szCs w:val="24"/>
          <w:highlight w:val="none"/>
        </w:rPr>
        <w:t>总价金额与按单价汇总金额不一致的，以单价金额计算结果为准。</w:t>
      </w:r>
    </w:p>
    <w:p w14:paraId="54A5D45E">
      <w:pPr>
        <w:numPr>
          <w:ilvl w:val="2"/>
          <w:numId w:val="7"/>
        </w:numPr>
        <w:tabs>
          <w:tab w:val="left" w:pos="1080"/>
          <w:tab w:val="left" w:pos="1589"/>
          <w:tab w:val="left" w:pos="2035"/>
          <w:tab w:val="left" w:pos="2114"/>
        </w:tabs>
        <w:snapToGrid w:val="0"/>
        <w:spacing w:line="360" w:lineRule="auto"/>
        <w:ind w:left="2035"/>
        <w:rPr>
          <w:color w:val="auto"/>
          <w:sz w:val="24"/>
          <w:szCs w:val="24"/>
          <w:highlight w:val="none"/>
        </w:rPr>
      </w:pPr>
      <w:r>
        <w:rPr>
          <w:color w:val="auto"/>
          <w:sz w:val="24"/>
          <w:szCs w:val="24"/>
          <w:highlight w:val="none"/>
        </w:rPr>
        <w:t>同时出现两种以上不一致的，按照前款规定的顺序修正。修正后的报价经供应商书面确认后产生约束力，供应商不确认的，</w:t>
      </w:r>
      <w:r>
        <w:rPr>
          <w:b/>
          <w:color w:val="auto"/>
          <w:sz w:val="24"/>
          <w:szCs w:val="24"/>
          <w:highlight w:val="none"/>
        </w:rPr>
        <w:t>其响应无效</w:t>
      </w:r>
      <w:r>
        <w:rPr>
          <w:color w:val="auto"/>
          <w:sz w:val="24"/>
          <w:szCs w:val="24"/>
          <w:highlight w:val="none"/>
        </w:rPr>
        <w:t>。</w:t>
      </w:r>
    </w:p>
    <w:p w14:paraId="78D10F1C">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落实政府采购政策的价格调整：只有符合第二章《供应商须知》4.2条规定情形的，可以享受中小企业扶持政策，用扣除后的价格参加评审；否则，评审时价格不予扣除。</w:t>
      </w:r>
    </w:p>
    <w:p w14:paraId="073D93C5">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对于未预留份额专门面向中小企业采购的采购项目，以及预留份额项目中的非预留部分采购包，对小微企业报价给予</w:t>
      </w:r>
      <w:r>
        <w:rPr>
          <w:rFonts w:hint="eastAsia"/>
          <w:b/>
          <w:bCs/>
          <w:color w:val="auto"/>
          <w:sz w:val="24"/>
          <w:szCs w:val="24"/>
          <w:highlight w:val="none"/>
          <w:u w:val="single"/>
        </w:rPr>
        <w:t>10</w:t>
      </w:r>
      <w:r>
        <w:rPr>
          <w:b/>
          <w:bCs/>
          <w:color w:val="auto"/>
          <w:sz w:val="24"/>
          <w:szCs w:val="24"/>
          <w:highlight w:val="none"/>
        </w:rPr>
        <w:t>%</w:t>
      </w:r>
      <w:r>
        <w:rPr>
          <w:color w:val="auto"/>
          <w:sz w:val="24"/>
          <w:szCs w:val="24"/>
          <w:highlight w:val="none"/>
        </w:rPr>
        <w:t>的扣除，用扣除后的价格参加评审。</w:t>
      </w:r>
    </w:p>
    <w:p w14:paraId="605AA3F0">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对于未预留份额专门面向中小企业采购的采购项目，以及预留份额项目中的非预留部分采购包，且接受大中型企业与小微企业组成联合体或者允许大中型企业向一家或者多家小微企业分包的采购项目，对于联合协议或者分包意向协议约定小微企业的合同份额占到合同总金额 30%以上的联合体或者大中型企业的报价给予</w:t>
      </w:r>
      <w:r>
        <w:rPr>
          <w:rFonts w:hint="eastAsia"/>
          <w:b/>
          <w:bCs/>
          <w:color w:val="auto"/>
          <w:sz w:val="24"/>
          <w:szCs w:val="24"/>
          <w:highlight w:val="none"/>
          <w:u w:val="single"/>
          <w:lang w:val="en-US" w:eastAsia="zh-CN"/>
        </w:rPr>
        <w:t>4</w:t>
      </w:r>
      <w:r>
        <w:rPr>
          <w:b/>
          <w:bCs/>
          <w:color w:val="auto"/>
          <w:sz w:val="24"/>
          <w:szCs w:val="24"/>
          <w:highlight w:val="none"/>
        </w:rPr>
        <w:t>%</w:t>
      </w:r>
      <w:r>
        <w:rPr>
          <w:color w:val="auto"/>
          <w:sz w:val="24"/>
          <w:szCs w:val="24"/>
          <w:highlight w:val="none"/>
        </w:rPr>
        <w:t>的扣除，用扣除后的价格参加评审。</w:t>
      </w:r>
    </w:p>
    <w:p w14:paraId="105010F2">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组成联合体或者接受分包的小微企业与联合体内其他企业、分包企业之间存在直接控股、管理关系的，不享受价格扣除优惠政策。</w:t>
      </w:r>
    </w:p>
    <w:p w14:paraId="6AA6D6D3">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价格扣除比例对小型企业和微型企业同等对待，不作区分。</w:t>
      </w:r>
    </w:p>
    <w:p w14:paraId="1D8C3E5C">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中小企业参加政府采购活动，应当按照竞争性磋商文件给定的格式出具《中小企业声明函》，否则不得享受相关中小企业扶持政策。</w:t>
      </w:r>
    </w:p>
    <w:p w14:paraId="284123DE">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监狱企业提供了由省级以上监狱管理局（北京市含教育矫治局）、戒毒管理局（含新疆生产建设兵团）出具的属于监狱企业的证明文件的，视同小微企业。</w:t>
      </w:r>
    </w:p>
    <w:p w14:paraId="6609CA52">
      <w:pPr>
        <w:numPr>
          <w:ilvl w:val="2"/>
          <w:numId w:val="7"/>
        </w:numPr>
        <w:tabs>
          <w:tab w:val="left" w:pos="1080"/>
          <w:tab w:val="left" w:pos="1589"/>
          <w:tab w:val="left" w:pos="2035"/>
        </w:tabs>
        <w:snapToGrid w:val="0"/>
        <w:spacing w:line="360" w:lineRule="auto"/>
        <w:ind w:left="2035"/>
        <w:rPr>
          <w:color w:val="auto"/>
          <w:sz w:val="24"/>
          <w:szCs w:val="24"/>
          <w:highlight w:val="none"/>
        </w:rPr>
      </w:pPr>
      <w:r>
        <w:rPr>
          <w:color w:val="auto"/>
          <w:sz w:val="24"/>
          <w:szCs w:val="24"/>
          <w:highlight w:val="none"/>
        </w:rPr>
        <w:t>残疾人福利性单位按竞争性磋商文件要求提供了《残疾人福利性单位声明函》（见附件）的，视同小微企业。</w:t>
      </w:r>
    </w:p>
    <w:p w14:paraId="20A3A15B">
      <w:pPr>
        <w:numPr>
          <w:ilvl w:val="2"/>
          <w:numId w:val="7"/>
        </w:numPr>
        <w:tabs>
          <w:tab w:val="left" w:pos="1080"/>
          <w:tab w:val="left" w:pos="1589"/>
          <w:tab w:val="left" w:pos="2014"/>
        </w:tabs>
        <w:snapToGrid w:val="0"/>
        <w:spacing w:line="360" w:lineRule="auto"/>
        <w:ind w:left="2035"/>
        <w:rPr>
          <w:color w:val="auto"/>
          <w:sz w:val="24"/>
          <w:szCs w:val="24"/>
          <w:highlight w:val="none"/>
        </w:rPr>
      </w:pPr>
      <w:r>
        <w:rPr>
          <w:color w:val="auto"/>
          <w:sz w:val="24"/>
          <w:szCs w:val="24"/>
          <w:highlight w:val="none"/>
        </w:rPr>
        <w:t>若供应商同时属于小型或微型企业、监狱企业、残疾人福利性单位中的两种及以上，将不重复享受小微企业价格扣减的优惠政策。</w:t>
      </w:r>
    </w:p>
    <w:p w14:paraId="4071D34F">
      <w:pPr>
        <w:numPr>
          <w:ilvl w:val="2"/>
          <w:numId w:val="7"/>
        </w:numPr>
        <w:tabs>
          <w:tab w:val="left" w:pos="1080"/>
          <w:tab w:val="left" w:pos="1589"/>
          <w:tab w:val="left" w:pos="2014"/>
        </w:tabs>
        <w:snapToGrid w:val="0"/>
        <w:spacing w:line="360" w:lineRule="auto"/>
        <w:ind w:left="2035"/>
        <w:rPr>
          <w:color w:val="auto"/>
          <w:sz w:val="24"/>
          <w:szCs w:val="24"/>
          <w:highlight w:val="none"/>
        </w:rPr>
      </w:pPr>
      <w:r>
        <w:rPr>
          <w:color w:val="auto"/>
          <w:sz w:val="24"/>
          <w:szCs w:val="24"/>
          <w:highlight w:val="none"/>
        </w:rPr>
        <w:t>其他为落实政府采购政策实施的优先采购：</w:t>
      </w:r>
      <w:r>
        <w:rPr>
          <w:rFonts w:hint="eastAsia"/>
          <w:color w:val="auto"/>
          <w:sz w:val="24"/>
          <w:szCs w:val="24"/>
          <w:highlight w:val="none"/>
          <w:u w:val="single"/>
        </w:rPr>
        <w:t>/</w:t>
      </w:r>
      <w:r>
        <w:rPr>
          <w:color w:val="auto"/>
          <w:sz w:val="24"/>
          <w:szCs w:val="24"/>
          <w:highlight w:val="none"/>
        </w:rPr>
        <w:t>。</w:t>
      </w:r>
    </w:p>
    <w:p w14:paraId="636BB0A0">
      <w:pPr>
        <w:numPr>
          <w:ilvl w:val="1"/>
          <w:numId w:val="7"/>
        </w:numPr>
        <w:tabs>
          <w:tab w:val="left" w:pos="1080"/>
        </w:tabs>
        <w:snapToGrid w:val="0"/>
        <w:spacing w:line="360" w:lineRule="auto"/>
        <w:ind w:left="1077" w:hanging="720"/>
        <w:rPr>
          <w:color w:val="auto"/>
          <w:sz w:val="24"/>
          <w:szCs w:val="24"/>
          <w:highlight w:val="none"/>
        </w:rPr>
      </w:pPr>
      <w:r>
        <w:rPr>
          <w:rFonts w:hint="eastAsia"/>
          <w:color w:val="auto"/>
          <w:sz w:val="24"/>
          <w:szCs w:val="24"/>
          <w:highlight w:val="none"/>
        </w:rPr>
        <w:t>支持本国产品政府采购</w:t>
      </w:r>
      <w:r>
        <w:rPr>
          <w:color w:val="auto"/>
          <w:sz w:val="24"/>
          <w:szCs w:val="24"/>
          <w:highlight w:val="none"/>
        </w:rPr>
        <w:t>的价格调整：只有符合第二章《</w:t>
      </w:r>
      <w:r>
        <w:rPr>
          <w:rFonts w:hint="eastAsia"/>
          <w:color w:val="auto"/>
          <w:sz w:val="24"/>
          <w:szCs w:val="24"/>
          <w:highlight w:val="none"/>
        </w:rPr>
        <w:t>供应商</w:t>
      </w:r>
      <w:r>
        <w:rPr>
          <w:color w:val="auto"/>
          <w:sz w:val="24"/>
          <w:szCs w:val="24"/>
          <w:highlight w:val="none"/>
        </w:rPr>
        <w:t>须知》4.2条规定情形的，可以享受</w:t>
      </w:r>
      <w:r>
        <w:rPr>
          <w:rFonts w:hint="eastAsia"/>
          <w:color w:val="auto"/>
          <w:sz w:val="24"/>
          <w:szCs w:val="24"/>
          <w:highlight w:val="none"/>
        </w:rPr>
        <w:t>本国产品支持</w:t>
      </w:r>
      <w:r>
        <w:rPr>
          <w:color w:val="auto"/>
          <w:sz w:val="24"/>
          <w:szCs w:val="24"/>
          <w:highlight w:val="none"/>
        </w:rPr>
        <w:t>政策，用扣除后的价格参加评审；否则，评</w:t>
      </w:r>
      <w:r>
        <w:rPr>
          <w:rFonts w:hint="eastAsia"/>
          <w:color w:val="auto"/>
          <w:sz w:val="24"/>
          <w:szCs w:val="24"/>
          <w:highlight w:val="none"/>
        </w:rPr>
        <w:t>审</w:t>
      </w:r>
      <w:r>
        <w:rPr>
          <w:color w:val="auto"/>
          <w:sz w:val="24"/>
          <w:szCs w:val="24"/>
          <w:highlight w:val="none"/>
        </w:rPr>
        <w:t>时价格不予扣除。</w:t>
      </w:r>
    </w:p>
    <w:p w14:paraId="0AF9D22D">
      <w:pPr>
        <w:numPr>
          <w:ilvl w:val="2"/>
          <w:numId w:val="7"/>
        </w:numPr>
        <w:tabs>
          <w:tab w:val="left" w:pos="1080"/>
          <w:tab w:val="left" w:pos="2100"/>
          <w:tab w:val="clear" w:pos="1980"/>
        </w:tabs>
        <w:snapToGrid w:val="0"/>
        <w:spacing w:line="360" w:lineRule="auto"/>
        <w:ind w:left="2088" w:leftChars="502" w:hanging="1034" w:hangingChars="431"/>
        <w:rPr>
          <w:color w:val="auto"/>
          <w:sz w:val="24"/>
          <w:szCs w:val="24"/>
          <w:highlight w:val="none"/>
        </w:rPr>
      </w:pPr>
      <w:r>
        <w:rPr>
          <w:rFonts w:hint="eastAsia"/>
          <w:color w:val="auto"/>
          <w:sz w:val="24"/>
          <w:szCs w:val="24"/>
          <w:highlight w:val="none"/>
        </w:rPr>
        <w:t>本项目既有本国产品又有非本国产品参与竞争的，依法对本国产品给予价格评审优惠，对本国产品的报价给予20%的价格扣除，用扣除后的价格参与评审。</w:t>
      </w:r>
    </w:p>
    <w:p w14:paraId="0C829EDF">
      <w:pPr>
        <w:numPr>
          <w:ilvl w:val="2"/>
          <w:numId w:val="7"/>
        </w:numPr>
        <w:tabs>
          <w:tab w:val="left" w:pos="1080"/>
          <w:tab w:val="left" w:pos="2100"/>
          <w:tab w:val="clear" w:pos="1980"/>
        </w:tabs>
        <w:snapToGrid w:val="0"/>
        <w:spacing w:line="360" w:lineRule="auto"/>
        <w:ind w:left="2088" w:leftChars="502" w:hanging="1034" w:hangingChars="431"/>
        <w:rPr>
          <w:color w:val="auto"/>
          <w:sz w:val="24"/>
          <w:szCs w:val="24"/>
          <w:highlight w:val="none"/>
        </w:rPr>
      </w:pPr>
      <w:r>
        <w:rPr>
          <w:rFonts w:hint="eastAsia"/>
          <w:color w:val="auto"/>
          <w:sz w:val="24"/>
          <w:szCs w:val="24"/>
          <w:highlight w:val="none"/>
        </w:rPr>
        <w:t>当采购项目或者采购包中含有多种产品，供应商为该采购项目或者采购包提供的符合本国产品标准的产品成本之和占该供应商提供的全部产品成本之和的比例达到80%以上时，依法对该供应商提供的全部产品给予价格评审优惠，即对该供应商提供的全部产品的总报价给予20%的价格扣除，用扣除后的价格参与评审。</w:t>
      </w:r>
    </w:p>
    <w:p w14:paraId="340EC4AB">
      <w:pPr>
        <w:numPr>
          <w:ilvl w:val="2"/>
          <w:numId w:val="7"/>
        </w:numPr>
        <w:tabs>
          <w:tab w:val="left" w:pos="1080"/>
          <w:tab w:val="left" w:pos="2100"/>
          <w:tab w:val="clear" w:pos="1980"/>
        </w:tabs>
        <w:snapToGrid w:val="0"/>
        <w:spacing w:line="360" w:lineRule="auto"/>
        <w:ind w:left="2088" w:leftChars="502" w:hanging="1034" w:hangingChars="431"/>
        <w:rPr>
          <w:color w:val="auto"/>
          <w:sz w:val="24"/>
          <w:szCs w:val="24"/>
          <w:highlight w:val="none"/>
        </w:rPr>
      </w:pPr>
      <w:r>
        <w:rPr>
          <w:rFonts w:hint="eastAsia"/>
          <w:color w:val="auto"/>
          <w:sz w:val="24"/>
          <w:szCs w:val="24"/>
          <w:highlight w:val="none"/>
        </w:rPr>
        <w:t>供应商提供本国产品参加政府采购活动的，</w:t>
      </w:r>
      <w:r>
        <w:rPr>
          <w:color w:val="auto"/>
          <w:sz w:val="24"/>
          <w:szCs w:val="24"/>
          <w:highlight w:val="none"/>
        </w:rPr>
        <w:t>应当按照</w:t>
      </w:r>
      <w:r>
        <w:rPr>
          <w:rFonts w:hint="eastAsia"/>
          <w:color w:val="auto"/>
          <w:sz w:val="24"/>
          <w:szCs w:val="24"/>
          <w:highlight w:val="none"/>
        </w:rPr>
        <w:t>采购</w:t>
      </w:r>
      <w:r>
        <w:rPr>
          <w:color w:val="auto"/>
          <w:sz w:val="24"/>
          <w:szCs w:val="24"/>
          <w:highlight w:val="none"/>
        </w:rPr>
        <w:t>文件给定的格式出具《</w:t>
      </w:r>
      <w:r>
        <w:rPr>
          <w:rFonts w:hint="eastAsia"/>
          <w:color w:val="auto"/>
          <w:sz w:val="24"/>
          <w:szCs w:val="24"/>
          <w:highlight w:val="none"/>
        </w:rPr>
        <w:t>关于符合本国产品标准的声明函》或提供财政部会同有关部门规定的有关证明文件，否则视为非本国产品。</w:t>
      </w:r>
    </w:p>
    <w:p w14:paraId="69C460D4">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磋商环节及提交最后报价后如出现以下情况的，供应商的</w:t>
      </w:r>
      <w:r>
        <w:rPr>
          <w:b/>
          <w:color w:val="auto"/>
          <w:sz w:val="24"/>
          <w:szCs w:val="24"/>
          <w:highlight w:val="none"/>
        </w:rPr>
        <w:t>响应文件无效</w:t>
      </w:r>
      <w:r>
        <w:rPr>
          <w:color w:val="auto"/>
          <w:sz w:val="24"/>
          <w:szCs w:val="24"/>
          <w:highlight w:val="none"/>
        </w:rPr>
        <w:t>：</w:t>
      </w:r>
    </w:p>
    <w:p w14:paraId="2DC38AC5">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供应商对实质性变动不予确认的；</w:t>
      </w:r>
    </w:p>
    <w:p w14:paraId="41AF74AB">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不满足磋商文件</w:t>
      </w:r>
      <w:r>
        <w:rPr>
          <w:rFonts w:ascii="Segoe UI Symbol" w:hAnsi="Segoe UI Symbol" w:cs="Segoe UI Symbol"/>
          <w:color w:val="auto"/>
          <w:sz w:val="24"/>
          <w:szCs w:val="24"/>
          <w:highlight w:val="none"/>
        </w:rPr>
        <w:t>★</w:t>
      </w:r>
      <w:r>
        <w:rPr>
          <w:color w:val="auto"/>
          <w:sz w:val="24"/>
          <w:szCs w:val="24"/>
          <w:highlight w:val="none"/>
        </w:rPr>
        <w:t>号条款或磋商文件技术指标超出磋商文件</w:t>
      </w:r>
      <w:r>
        <w:rPr>
          <w:rFonts w:hint="eastAsia"/>
          <w:color w:val="auto"/>
          <w:sz w:val="24"/>
          <w:szCs w:val="24"/>
          <w:highlight w:val="none"/>
        </w:rPr>
        <w:t>《</w:t>
      </w:r>
      <w:r>
        <w:rPr>
          <w:color w:val="auto"/>
          <w:sz w:val="24"/>
          <w:szCs w:val="24"/>
          <w:highlight w:val="none"/>
        </w:rPr>
        <w:t>采购需求</w:t>
      </w:r>
      <w:r>
        <w:rPr>
          <w:rFonts w:hint="eastAsia"/>
          <w:color w:val="auto"/>
          <w:sz w:val="24"/>
          <w:szCs w:val="24"/>
          <w:highlight w:val="none"/>
        </w:rPr>
        <w:t>》</w:t>
      </w:r>
      <w:r>
        <w:rPr>
          <w:color w:val="auto"/>
          <w:sz w:val="24"/>
          <w:szCs w:val="24"/>
          <w:highlight w:val="none"/>
        </w:rPr>
        <w:t>中主要技术参数允许偏差的最大范围的（如有）；</w:t>
      </w:r>
    </w:p>
    <w:p w14:paraId="031B9A71">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未按照磋商小组规定的时间、逾期提交最后报价的；</w:t>
      </w:r>
    </w:p>
    <w:p w14:paraId="55009E1E">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如供应商的最后报价超过竞争性磋商文件中规定的项目/采购包预算金额或者项目/采购包最高限价的；</w:t>
      </w:r>
    </w:p>
    <w:p w14:paraId="13BEC02B">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响应文件中出现可选择性或可调整的报价的（竞争性磋商文件另有规定的除外）；</w:t>
      </w:r>
    </w:p>
    <w:p w14:paraId="17DEDEE1">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最后报价出现前后不一致，供应商对修正后的报价不予确认的；</w:t>
      </w:r>
    </w:p>
    <w:p w14:paraId="5C192C7D">
      <w:pPr>
        <w:numPr>
          <w:ilvl w:val="1"/>
          <w:numId w:val="7"/>
        </w:numPr>
        <w:tabs>
          <w:tab w:val="left" w:pos="1080"/>
        </w:tabs>
        <w:snapToGrid w:val="0"/>
        <w:spacing w:line="360" w:lineRule="auto"/>
        <w:ind w:left="1077" w:hanging="720"/>
        <w:rPr>
          <w:color w:val="auto"/>
          <w:sz w:val="24"/>
          <w:szCs w:val="24"/>
          <w:highlight w:val="none"/>
        </w:rPr>
      </w:pPr>
      <w:r>
        <w:rPr>
          <w:color w:val="auto"/>
          <w:sz w:val="24"/>
          <w:szCs w:val="24"/>
          <w:highlight w:val="none"/>
        </w:rPr>
        <w:t>其他：</w:t>
      </w:r>
      <w:r>
        <w:rPr>
          <w:rFonts w:hint="eastAsia"/>
          <w:color w:val="auto"/>
          <w:sz w:val="24"/>
          <w:szCs w:val="24"/>
          <w:highlight w:val="none"/>
          <w:u w:val="single"/>
        </w:rPr>
        <w:t>/</w:t>
      </w:r>
      <w:r>
        <w:rPr>
          <w:color w:val="auto"/>
          <w:sz w:val="24"/>
          <w:szCs w:val="24"/>
          <w:highlight w:val="none"/>
        </w:rPr>
        <w:t>。</w:t>
      </w:r>
    </w:p>
    <w:bookmarkEnd w:id="626"/>
    <w:bookmarkEnd w:id="627"/>
    <w:p w14:paraId="4CCC8D94">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评审方法和评审标准</w:t>
      </w:r>
    </w:p>
    <w:p w14:paraId="5E603C42">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 xml:space="preserve">本项目采用的评审方法为：本项目的评审采用综合评分法。综合评分法，是指响应文件满足磋商文件全部实质性要求且按评审因素的量化指标评审得分最高的供应商为成交候选供应商的评审方法。  </w:t>
      </w:r>
    </w:p>
    <w:p w14:paraId="2CF4937C">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竞争性磋商文件中没有规定的评审标准不得作为评审依据。</w:t>
      </w:r>
    </w:p>
    <w:p w14:paraId="3DCAB7EA">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非政府强制采购的节能产品或环境标志产品，依据品目清单和认证证书实施政府优先采购。优先采购的具体规定（如涉及）</w:t>
      </w:r>
      <w:r>
        <w:rPr>
          <w:rFonts w:hint="eastAsia"/>
          <w:color w:val="auto"/>
          <w:sz w:val="24"/>
          <w:szCs w:val="24"/>
          <w:highlight w:val="none"/>
          <w:u w:val="single"/>
        </w:rPr>
        <w:t>/</w:t>
      </w:r>
      <w:r>
        <w:rPr>
          <w:color w:val="auto"/>
          <w:sz w:val="24"/>
          <w:szCs w:val="24"/>
          <w:highlight w:val="none"/>
        </w:rPr>
        <w:t>。</w:t>
      </w:r>
    </w:p>
    <w:p w14:paraId="24FE6ADE">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关于无线局域网认证产品政府采购清单中的产品，优先采购的具体规定（如涉及）</w:t>
      </w:r>
      <w:r>
        <w:rPr>
          <w:rFonts w:hint="eastAsia"/>
          <w:color w:val="auto"/>
          <w:sz w:val="24"/>
          <w:szCs w:val="24"/>
          <w:highlight w:val="none"/>
          <w:u w:val="single"/>
        </w:rPr>
        <w:t>/</w:t>
      </w:r>
      <w:r>
        <w:rPr>
          <w:color w:val="auto"/>
          <w:sz w:val="24"/>
          <w:szCs w:val="24"/>
          <w:highlight w:val="none"/>
        </w:rPr>
        <w:t>。</w:t>
      </w:r>
    </w:p>
    <w:p w14:paraId="4F569ED7">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确定</w:t>
      </w:r>
      <w:bookmarkStart w:id="645" w:name="_Toc305158888"/>
      <w:bookmarkStart w:id="646" w:name="_Toc150774646"/>
      <w:bookmarkStart w:id="647" w:name="_Toc195842911"/>
      <w:bookmarkStart w:id="648" w:name="_Toc149720839"/>
      <w:bookmarkStart w:id="649" w:name="_Toc127151546"/>
      <w:bookmarkStart w:id="650" w:name="_Toc164351640"/>
      <w:bookmarkStart w:id="651" w:name="_Toc151193934"/>
      <w:bookmarkStart w:id="652" w:name="_Toc226965736"/>
      <w:bookmarkStart w:id="653" w:name="_Toc151190173"/>
      <w:bookmarkStart w:id="654" w:name="_Toc226337242"/>
      <w:bookmarkStart w:id="655" w:name="_Toc226309790"/>
      <w:bookmarkStart w:id="656" w:name="_Toc127151747"/>
      <w:bookmarkStart w:id="657" w:name="_Toc164608660"/>
      <w:bookmarkStart w:id="658" w:name="_Toc264969236"/>
      <w:bookmarkStart w:id="659" w:name="_Ref467307010"/>
      <w:bookmarkStart w:id="660" w:name="_Toc151193788"/>
      <w:bookmarkStart w:id="661" w:name="_Toc520356170"/>
      <w:bookmarkStart w:id="662" w:name="_Toc305158814"/>
      <w:bookmarkStart w:id="663" w:name="_Toc150480784"/>
      <w:bookmarkStart w:id="664" w:name="_Toc226965819"/>
      <w:bookmarkStart w:id="665" w:name="_Toc164229387"/>
      <w:bookmarkStart w:id="666" w:name="_Toc151193860"/>
      <w:bookmarkStart w:id="667" w:name="_Toc164608815"/>
      <w:bookmarkStart w:id="668" w:name="_Toc265228384"/>
      <w:bookmarkStart w:id="669" w:name="_Toc150509297"/>
      <w:bookmarkStart w:id="670" w:name="_Toc142311048"/>
      <w:bookmarkStart w:id="671" w:name="_Toc151193644"/>
      <w:bookmarkStart w:id="672" w:name="_Toc150774751"/>
      <w:bookmarkStart w:id="673" w:name="_Toc151193716"/>
      <w:bookmarkStart w:id="674" w:name="_Toc127161460"/>
      <w:bookmarkStart w:id="675" w:name="_Toc164229241"/>
      <w:r>
        <w:rPr>
          <w:color w:val="auto"/>
          <w:sz w:val="24"/>
          <w:szCs w:val="24"/>
          <w:highlight w:val="none"/>
        </w:rPr>
        <w:t>成交候选人名单</w:t>
      </w:r>
      <w:bookmarkEnd w:id="645"/>
      <w:bookmarkEnd w:id="646"/>
      <w:bookmarkEnd w:id="647"/>
      <w:bookmarkEnd w:id="648"/>
      <w:bookmarkEnd w:id="649"/>
      <w:bookmarkEnd w:id="650"/>
      <w:bookmarkEnd w:id="651"/>
      <w:bookmarkEnd w:id="652"/>
      <w:bookmarkEnd w:id="653"/>
      <w:bookmarkEnd w:id="654"/>
      <w:bookmarkEnd w:id="655"/>
      <w:bookmarkEnd w:id="656"/>
      <w:bookmarkEnd w:id="657"/>
      <w:bookmarkEnd w:id="658"/>
      <w:bookmarkEnd w:id="659"/>
      <w:bookmarkEnd w:id="660"/>
      <w:bookmarkEnd w:id="661"/>
      <w:bookmarkEnd w:id="662"/>
      <w:bookmarkEnd w:id="663"/>
      <w:bookmarkEnd w:id="664"/>
      <w:bookmarkEnd w:id="665"/>
      <w:bookmarkEnd w:id="666"/>
      <w:bookmarkEnd w:id="667"/>
      <w:bookmarkEnd w:id="668"/>
      <w:bookmarkEnd w:id="669"/>
      <w:bookmarkEnd w:id="670"/>
      <w:bookmarkEnd w:id="671"/>
      <w:bookmarkEnd w:id="672"/>
      <w:bookmarkEnd w:id="673"/>
      <w:bookmarkEnd w:id="674"/>
      <w:bookmarkEnd w:id="675"/>
    </w:p>
    <w:p w14:paraId="49186FED">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 xml:space="preserve">磋商小组将根据各供应商的评审排序以及磋商文件中关于成交候选人的相关规定，确定本项目成交候选人名单，按照评审得分由高到低顺序推荐成交候选人的排名顺序。评审得分相同的，按照最后报价由低到高的顺序推荐。评审得分且最后报价相同的，按照技术指标优劣顺序推荐。响应文件满足竞争性磋商文件全部实质性要求，且按照评审因素的量化指标评审得分最高的供应商为排名第一的成交候选人。评分分值计算保留小数点后两位，第三位四舍五入。 </w:t>
      </w:r>
    </w:p>
    <w:p w14:paraId="498ABE6C">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kern w:val="0"/>
          <w:sz w:val="24"/>
          <w:szCs w:val="24"/>
          <w:highlight w:val="none"/>
        </w:rPr>
        <w:t>磋商小组根据上述供应商排序，依次推荐排序前</w:t>
      </w:r>
      <w:r>
        <w:rPr>
          <w:rFonts w:hint="eastAsia"/>
          <w:color w:val="auto"/>
          <w:sz w:val="24"/>
          <w:szCs w:val="24"/>
          <w:highlight w:val="none"/>
          <w:u w:val="single"/>
        </w:rPr>
        <w:t>3</w:t>
      </w:r>
      <w:r>
        <w:rPr>
          <w:color w:val="auto"/>
          <w:sz w:val="24"/>
          <w:szCs w:val="24"/>
          <w:highlight w:val="none"/>
        </w:rPr>
        <w:t>名</w:t>
      </w:r>
      <w:r>
        <w:rPr>
          <w:color w:val="auto"/>
          <w:kern w:val="0"/>
          <w:sz w:val="24"/>
          <w:szCs w:val="24"/>
          <w:highlight w:val="none"/>
        </w:rPr>
        <w:t>的供应商为</w:t>
      </w:r>
      <w:r>
        <w:rPr>
          <w:snapToGrid w:val="0"/>
          <w:color w:val="auto"/>
          <w:kern w:val="0"/>
          <w:sz w:val="24"/>
          <w:szCs w:val="24"/>
          <w:highlight w:val="none"/>
        </w:rPr>
        <w:t>成交候选供应商</w:t>
      </w:r>
      <w:r>
        <w:rPr>
          <w:color w:val="auto"/>
          <w:kern w:val="0"/>
          <w:sz w:val="24"/>
          <w:szCs w:val="24"/>
          <w:highlight w:val="none"/>
        </w:rPr>
        <w:t>（若在磋商文件允许的情形下提交最后报价的供应商为二家，则依次推荐二名供应商为成交候选供应商），并编写评审报告。</w:t>
      </w:r>
    </w:p>
    <w:p w14:paraId="6AB82194">
      <w:pPr>
        <w:numPr>
          <w:ilvl w:val="1"/>
          <w:numId w:val="7"/>
        </w:numPr>
        <w:tabs>
          <w:tab w:val="left" w:pos="1080"/>
          <w:tab w:val="left" w:pos="1872"/>
        </w:tabs>
        <w:snapToGrid w:val="0"/>
        <w:spacing w:line="360" w:lineRule="auto"/>
        <w:ind w:left="1077" w:hanging="720"/>
        <w:rPr>
          <w:color w:val="auto"/>
          <w:sz w:val="24"/>
          <w:szCs w:val="24"/>
          <w:highlight w:val="none"/>
        </w:rPr>
      </w:pPr>
      <w:r>
        <w:rPr>
          <w:color w:val="auto"/>
          <w:sz w:val="24"/>
          <w:szCs w:val="24"/>
          <w:highlight w:val="none"/>
        </w:rPr>
        <w:t>磋商小组要对评分汇总情况进行复核，特别是对排名第一的、报价最低的、响应文件被认定为无效的情形进行重点复核。</w:t>
      </w:r>
    </w:p>
    <w:p w14:paraId="34ED1DA2">
      <w:pPr>
        <w:numPr>
          <w:ilvl w:val="0"/>
          <w:numId w:val="7"/>
        </w:numPr>
        <w:tabs>
          <w:tab w:val="left" w:pos="360"/>
        </w:tabs>
        <w:snapToGrid w:val="0"/>
        <w:spacing w:line="360" w:lineRule="auto"/>
        <w:outlineLvl w:val="1"/>
        <w:rPr>
          <w:color w:val="auto"/>
          <w:sz w:val="24"/>
          <w:szCs w:val="24"/>
          <w:highlight w:val="none"/>
        </w:rPr>
      </w:pPr>
      <w:r>
        <w:rPr>
          <w:color w:val="auto"/>
          <w:sz w:val="24"/>
          <w:szCs w:val="24"/>
          <w:highlight w:val="none"/>
        </w:rPr>
        <w:t>报告违法行为</w:t>
      </w:r>
    </w:p>
    <w:p w14:paraId="079694CA">
      <w:pPr>
        <w:widowControl/>
        <w:numPr>
          <w:ilvl w:val="1"/>
          <w:numId w:val="7"/>
        </w:numPr>
        <w:tabs>
          <w:tab w:val="left" w:pos="1080"/>
          <w:tab w:val="left" w:pos="1872"/>
        </w:tabs>
        <w:snapToGrid w:val="0"/>
        <w:spacing w:line="360" w:lineRule="auto"/>
        <w:ind w:left="1077" w:hanging="720"/>
        <w:jc w:val="left"/>
        <w:rPr>
          <w:b/>
          <w:color w:val="auto"/>
          <w:sz w:val="24"/>
          <w:szCs w:val="24"/>
          <w:highlight w:val="none"/>
        </w:rPr>
      </w:pPr>
      <w:r>
        <w:rPr>
          <w:color w:val="auto"/>
          <w:sz w:val="24"/>
          <w:szCs w:val="24"/>
          <w:highlight w:val="none"/>
        </w:rPr>
        <w:t>磋商小组在评审过程中发现供应商有行贿、提供虚假材料或者串通等违法行为时，有向采购人、采购代理机构或者有关部门报告的职责。</w:t>
      </w:r>
    </w:p>
    <w:p w14:paraId="7456A72A">
      <w:pPr>
        <w:widowControl/>
        <w:numPr>
          <w:ilvl w:val="1"/>
          <w:numId w:val="7"/>
        </w:numPr>
        <w:tabs>
          <w:tab w:val="left" w:pos="1080"/>
          <w:tab w:val="left" w:pos="1872"/>
        </w:tabs>
        <w:snapToGrid w:val="0"/>
        <w:spacing w:line="360" w:lineRule="auto"/>
        <w:ind w:left="1077" w:hanging="720"/>
        <w:jc w:val="left"/>
        <w:rPr>
          <w:color w:val="auto"/>
          <w:sz w:val="24"/>
          <w:szCs w:val="24"/>
          <w:highlight w:val="none"/>
        </w:rPr>
      </w:pPr>
      <w:r>
        <w:rPr>
          <w:rFonts w:hint="eastAsia"/>
          <w:color w:val="auto"/>
          <w:sz w:val="24"/>
          <w:szCs w:val="24"/>
          <w:highlight w:val="none"/>
          <w:lang w:eastAsia="zh-CN"/>
        </w:rPr>
        <w:t>磋商小组</w:t>
      </w:r>
      <w:r>
        <w:rPr>
          <w:color w:val="auto"/>
          <w:sz w:val="24"/>
          <w:szCs w:val="24"/>
          <w:highlight w:val="none"/>
        </w:rPr>
        <w:t>认为</w:t>
      </w:r>
      <w:r>
        <w:rPr>
          <w:rFonts w:hint="eastAsia"/>
          <w:color w:val="auto"/>
          <w:sz w:val="24"/>
          <w:szCs w:val="24"/>
          <w:highlight w:val="none"/>
          <w:lang w:eastAsia="zh-CN"/>
        </w:rPr>
        <w:t>供应商</w:t>
      </w:r>
      <w:r>
        <w:rPr>
          <w:color w:val="auto"/>
          <w:sz w:val="24"/>
          <w:szCs w:val="24"/>
          <w:highlight w:val="none"/>
        </w:rPr>
        <w:t>的报价明显低于其他通过符合性审查</w:t>
      </w:r>
      <w:r>
        <w:rPr>
          <w:rFonts w:hint="eastAsia"/>
          <w:color w:val="auto"/>
          <w:sz w:val="24"/>
          <w:szCs w:val="24"/>
          <w:highlight w:val="none"/>
          <w:lang w:eastAsia="zh-CN"/>
        </w:rPr>
        <w:t>供应商</w:t>
      </w:r>
      <w:r>
        <w:rPr>
          <w:color w:val="auto"/>
          <w:sz w:val="24"/>
          <w:szCs w:val="24"/>
          <w:highlight w:val="none"/>
        </w:rPr>
        <w:t>的报价，有可能影响产品质量或者不能诚信履约的，应当要求其在评标现场合理的时间内提供书面说明，必要时提交相关证明材料；</w:t>
      </w:r>
      <w:r>
        <w:rPr>
          <w:rFonts w:hint="eastAsia"/>
          <w:color w:val="auto"/>
          <w:sz w:val="24"/>
          <w:szCs w:val="24"/>
          <w:highlight w:val="none"/>
          <w:lang w:eastAsia="zh-CN"/>
        </w:rPr>
        <w:t>供应商</w:t>
      </w:r>
      <w:r>
        <w:rPr>
          <w:color w:val="auto"/>
          <w:sz w:val="24"/>
          <w:szCs w:val="24"/>
          <w:highlight w:val="none"/>
        </w:rPr>
        <w:t>不能证明其报价合理性的，</w:t>
      </w:r>
      <w:r>
        <w:rPr>
          <w:rFonts w:hint="eastAsia"/>
          <w:color w:val="auto"/>
          <w:sz w:val="24"/>
          <w:szCs w:val="24"/>
          <w:highlight w:val="none"/>
          <w:lang w:eastAsia="zh-CN"/>
        </w:rPr>
        <w:t>磋商小组</w:t>
      </w:r>
      <w:r>
        <w:rPr>
          <w:color w:val="auto"/>
          <w:sz w:val="24"/>
          <w:szCs w:val="24"/>
          <w:highlight w:val="none"/>
        </w:rPr>
        <w:t>应当将其作为无效投标处理。</w:t>
      </w:r>
    </w:p>
    <w:p w14:paraId="62480FE2">
      <w:pPr>
        <w:rPr>
          <w:rFonts w:ascii="Times New Roman" w:hAnsi="Times New Roman" w:eastAsia="宋体"/>
          <w:color w:val="auto"/>
          <w:sz w:val="24"/>
          <w:szCs w:val="24"/>
          <w:highlight w:val="none"/>
        </w:rPr>
      </w:pPr>
    </w:p>
    <w:p w14:paraId="413A6E7D">
      <w:pPr>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br w:type="page"/>
      </w:r>
    </w:p>
    <w:p w14:paraId="36D6C10E">
      <w:pPr>
        <w:pStyle w:val="3"/>
        <w:spacing w:before="0" w:line="360" w:lineRule="auto"/>
        <w:rPr>
          <w:rFonts w:ascii="Times New Roman" w:hAnsi="Times New Roman" w:eastAsia="宋体"/>
          <w:color w:val="auto"/>
          <w:sz w:val="24"/>
          <w:szCs w:val="24"/>
          <w:highlight w:val="none"/>
        </w:rPr>
      </w:pPr>
      <w:r>
        <w:rPr>
          <w:rFonts w:ascii="Times New Roman" w:hAnsi="Times New Roman" w:eastAsia="宋体"/>
          <w:color w:val="auto"/>
          <w:sz w:val="24"/>
          <w:szCs w:val="24"/>
          <w:highlight w:val="none"/>
        </w:rPr>
        <w:t>二、评</w:t>
      </w:r>
      <w:r>
        <w:rPr>
          <w:rFonts w:hint="eastAsia" w:ascii="Times New Roman" w:hAnsi="Times New Roman" w:eastAsia="宋体"/>
          <w:color w:val="auto"/>
          <w:sz w:val="24"/>
          <w:szCs w:val="24"/>
          <w:highlight w:val="none"/>
        </w:rPr>
        <w:t>审</w:t>
      </w:r>
      <w:r>
        <w:rPr>
          <w:rFonts w:ascii="Times New Roman" w:hAnsi="Times New Roman" w:eastAsia="宋体"/>
          <w:color w:val="auto"/>
          <w:sz w:val="24"/>
          <w:szCs w:val="24"/>
          <w:highlight w:val="none"/>
        </w:rPr>
        <w:t>标准</w:t>
      </w:r>
    </w:p>
    <w:tbl>
      <w:tblPr>
        <w:tblStyle w:val="53"/>
        <w:tblW w:w="4993"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10"/>
        <w:gridCol w:w="2103"/>
        <w:gridCol w:w="899"/>
        <w:gridCol w:w="6229"/>
        <w:gridCol w:w="7"/>
      </w:tblGrid>
      <w:tr w14:paraId="40CF58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97" w:hRule="atLeast"/>
          <w:tblHeader/>
        </w:trPr>
        <w:tc>
          <w:tcPr>
            <w:tcW w:w="357" w:type="pct"/>
            <w:vAlign w:val="center"/>
          </w:tcPr>
          <w:p w14:paraId="6032BE99">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序号</w:t>
            </w:r>
          </w:p>
        </w:tc>
        <w:tc>
          <w:tcPr>
            <w:tcW w:w="1056" w:type="pct"/>
            <w:vAlign w:val="center"/>
          </w:tcPr>
          <w:p w14:paraId="6FF848D6">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评分因素</w:t>
            </w:r>
          </w:p>
        </w:tc>
        <w:tc>
          <w:tcPr>
            <w:tcW w:w="452" w:type="pct"/>
            <w:vAlign w:val="center"/>
          </w:tcPr>
          <w:p w14:paraId="1AAC327B">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分值</w:t>
            </w:r>
          </w:p>
        </w:tc>
        <w:tc>
          <w:tcPr>
            <w:tcW w:w="3130" w:type="pct"/>
            <w:vAlign w:val="center"/>
          </w:tcPr>
          <w:p w14:paraId="44C5DF0C">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评分标准</w:t>
            </w:r>
          </w:p>
        </w:tc>
      </w:tr>
      <w:tr w14:paraId="6C66379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590" w:hRule="atLeast"/>
        </w:trPr>
        <w:tc>
          <w:tcPr>
            <w:tcW w:w="357" w:type="pct"/>
            <w:vAlign w:val="center"/>
          </w:tcPr>
          <w:p w14:paraId="423E1A2E">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一</w:t>
            </w:r>
          </w:p>
        </w:tc>
        <w:tc>
          <w:tcPr>
            <w:tcW w:w="1056" w:type="pct"/>
            <w:vAlign w:val="center"/>
          </w:tcPr>
          <w:p w14:paraId="1B2167E4">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价格部分</w:t>
            </w:r>
          </w:p>
        </w:tc>
        <w:tc>
          <w:tcPr>
            <w:tcW w:w="452" w:type="pct"/>
            <w:vAlign w:val="center"/>
          </w:tcPr>
          <w:p w14:paraId="1A45911F">
            <w:pPr>
              <w:spacing w:line="360" w:lineRule="auto"/>
              <w:ind w:firstLine="28"/>
              <w:jc w:val="center"/>
              <w:rPr>
                <w:rFonts w:hint="default" w:ascii="宋体" w:hAnsi="宋体" w:eastAsia="宋体" w:cs="宋体"/>
                <w:bCs/>
                <w:color w:val="auto"/>
                <w:sz w:val="24"/>
                <w:szCs w:val="24"/>
                <w:highlight w:val="none"/>
                <w:lang w:val="en-US"/>
              </w:rPr>
            </w:pPr>
            <w:r>
              <w:rPr>
                <w:rFonts w:hint="eastAsia" w:ascii="宋体" w:hAnsi="宋体" w:cs="宋体"/>
                <w:bCs/>
                <w:color w:val="auto"/>
                <w:sz w:val="24"/>
                <w:szCs w:val="24"/>
                <w:highlight w:val="none"/>
                <w:lang w:val="en-US" w:eastAsia="zh-CN"/>
              </w:rPr>
              <w:t>30</w:t>
            </w:r>
          </w:p>
        </w:tc>
        <w:tc>
          <w:tcPr>
            <w:tcW w:w="3130" w:type="pct"/>
            <w:vAlign w:val="center"/>
          </w:tcPr>
          <w:p w14:paraId="7992C01E">
            <w:pPr>
              <w:spacing w:line="360" w:lineRule="auto"/>
              <w:rPr>
                <w:rFonts w:hint="eastAsia" w:ascii="宋体" w:hAnsi="宋体" w:eastAsia="宋体" w:cs="宋体"/>
                <w:bCs/>
                <w:color w:val="auto"/>
                <w:sz w:val="24"/>
                <w:szCs w:val="24"/>
                <w:highlight w:val="none"/>
              </w:rPr>
            </w:pPr>
          </w:p>
        </w:tc>
      </w:tr>
      <w:tr w14:paraId="6C1A4F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798" w:hRule="atLeast"/>
        </w:trPr>
        <w:tc>
          <w:tcPr>
            <w:tcW w:w="357" w:type="pct"/>
            <w:vAlign w:val="center"/>
          </w:tcPr>
          <w:p w14:paraId="74571F89">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w:t>
            </w:r>
          </w:p>
        </w:tc>
        <w:tc>
          <w:tcPr>
            <w:tcW w:w="1056" w:type="pct"/>
            <w:vAlign w:val="center"/>
          </w:tcPr>
          <w:p w14:paraId="0606C22C">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报价</w:t>
            </w:r>
          </w:p>
        </w:tc>
        <w:tc>
          <w:tcPr>
            <w:tcW w:w="452" w:type="pct"/>
            <w:vAlign w:val="center"/>
          </w:tcPr>
          <w:p w14:paraId="7F9F9B39">
            <w:pPr>
              <w:spacing w:line="360" w:lineRule="auto"/>
              <w:ind w:firstLine="28" w:firstLineChars="0"/>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30</w:t>
            </w:r>
          </w:p>
        </w:tc>
        <w:tc>
          <w:tcPr>
            <w:tcW w:w="3130" w:type="pct"/>
            <w:vAlign w:val="center"/>
          </w:tcPr>
          <w:p w14:paraId="12E60A7D">
            <w:pPr>
              <w:spacing w:line="360" w:lineRule="auto"/>
              <w:ind w:firstLine="28"/>
              <w:jc w:val="left"/>
              <w:rPr>
                <w:rFonts w:ascii="宋体" w:hAnsi="宋体" w:cs="宋体"/>
                <w:bCs/>
                <w:color w:val="auto"/>
                <w:sz w:val="24"/>
                <w:szCs w:val="24"/>
                <w:highlight w:val="none"/>
              </w:rPr>
            </w:pPr>
            <w:r>
              <w:rPr>
                <w:rFonts w:hint="eastAsia" w:ascii="宋体" w:hAnsi="宋体" w:cs="宋体"/>
                <w:bCs/>
                <w:color w:val="auto"/>
                <w:sz w:val="24"/>
                <w:szCs w:val="24"/>
                <w:highlight w:val="none"/>
              </w:rPr>
              <w:t>满足磋商文件要求的最后报价最低的供应商的价格为磋商基准价，其价格分为满分。其他供应商的价格分统一按照下列公式计算：</w:t>
            </w:r>
          </w:p>
          <w:p w14:paraId="5BFE016E">
            <w:pPr>
              <w:spacing w:line="360" w:lineRule="auto"/>
              <w:ind w:firstLine="28"/>
              <w:jc w:val="left"/>
              <w:rPr>
                <w:rFonts w:ascii="宋体" w:hAnsi="宋体" w:cs="宋体"/>
                <w:bCs/>
                <w:color w:val="auto"/>
                <w:sz w:val="24"/>
                <w:szCs w:val="24"/>
                <w:highlight w:val="none"/>
              </w:rPr>
            </w:pPr>
            <w:r>
              <w:rPr>
                <w:rFonts w:hint="eastAsia" w:ascii="宋体" w:hAnsi="宋体" w:cs="宋体"/>
                <w:bCs/>
                <w:color w:val="auto"/>
                <w:sz w:val="24"/>
                <w:szCs w:val="24"/>
                <w:highlight w:val="none"/>
              </w:rPr>
              <w:t>磋商报价得分=（磋商基准价/最后报价）×</w:t>
            </w:r>
            <w:r>
              <w:rPr>
                <w:rFonts w:hint="eastAsia" w:ascii="宋体" w:hAnsi="宋体" w:cs="宋体"/>
                <w:bCs/>
                <w:color w:val="auto"/>
                <w:sz w:val="24"/>
                <w:szCs w:val="24"/>
                <w:highlight w:val="none"/>
                <w:lang w:val="en-US" w:eastAsia="zh-CN"/>
              </w:rPr>
              <w:t>30</w:t>
            </w:r>
            <w:r>
              <w:rPr>
                <w:rFonts w:hint="eastAsia" w:ascii="宋体" w:hAnsi="宋体" w:cs="宋体"/>
                <w:bCs/>
                <w:color w:val="auto"/>
                <w:sz w:val="24"/>
                <w:szCs w:val="24"/>
                <w:highlight w:val="none"/>
              </w:rPr>
              <w:t>；</w:t>
            </w:r>
          </w:p>
          <w:p w14:paraId="0F54A50A">
            <w:pPr>
              <w:spacing w:line="360" w:lineRule="auto"/>
              <w:ind w:firstLine="28" w:firstLineChars="0"/>
              <w:jc w:val="left"/>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rPr>
              <w:t>此处最后报价指经过报价修正，及因落实政府采购政策进行价格调整后的报价，详见第三章《评审方法和评审标准》3.2、3.3</w:t>
            </w:r>
            <w:r>
              <w:rPr>
                <w:rFonts w:hint="eastAsia" w:ascii="宋体" w:hAnsi="宋体" w:cs="宋体"/>
                <w:bCs/>
                <w:color w:val="auto"/>
                <w:sz w:val="24"/>
                <w:szCs w:val="24"/>
                <w:highlight w:val="none"/>
                <w:lang w:eastAsia="zh-CN"/>
              </w:rPr>
              <w:t>、</w:t>
            </w:r>
            <w:r>
              <w:rPr>
                <w:rFonts w:hint="eastAsia" w:ascii="宋体" w:hAnsi="宋体" w:cs="宋体"/>
                <w:bCs/>
                <w:color w:val="auto"/>
                <w:sz w:val="24"/>
                <w:szCs w:val="24"/>
                <w:highlight w:val="none"/>
                <w:lang w:val="en-US" w:eastAsia="zh-CN"/>
              </w:rPr>
              <w:t>3.4</w:t>
            </w:r>
          </w:p>
        </w:tc>
      </w:tr>
      <w:tr w14:paraId="7D1605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649" w:hRule="atLeast"/>
        </w:trPr>
        <w:tc>
          <w:tcPr>
            <w:tcW w:w="357" w:type="pct"/>
            <w:vAlign w:val="center"/>
          </w:tcPr>
          <w:p w14:paraId="44CFDAB6">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二</w:t>
            </w:r>
          </w:p>
        </w:tc>
        <w:tc>
          <w:tcPr>
            <w:tcW w:w="1056" w:type="pct"/>
            <w:vAlign w:val="center"/>
          </w:tcPr>
          <w:p w14:paraId="44BBB6AF">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商务部分</w:t>
            </w:r>
          </w:p>
        </w:tc>
        <w:tc>
          <w:tcPr>
            <w:tcW w:w="452" w:type="pct"/>
            <w:vAlign w:val="center"/>
          </w:tcPr>
          <w:p w14:paraId="6D82CFA3">
            <w:pPr>
              <w:spacing w:line="360" w:lineRule="auto"/>
              <w:ind w:firstLine="28"/>
              <w:jc w:val="center"/>
              <w:rPr>
                <w:rFonts w:hint="default" w:ascii="宋体" w:hAnsi="宋体" w:eastAsia="宋体" w:cs="宋体"/>
                <w:bCs/>
                <w:color w:val="auto"/>
                <w:sz w:val="24"/>
                <w:szCs w:val="24"/>
                <w:highlight w:val="none"/>
                <w:lang w:val="en-US"/>
              </w:rPr>
            </w:pPr>
            <w:r>
              <w:rPr>
                <w:rFonts w:hint="eastAsia" w:ascii="宋体" w:hAnsi="宋体" w:cs="宋体"/>
                <w:bCs/>
                <w:color w:val="auto"/>
                <w:sz w:val="24"/>
                <w:szCs w:val="24"/>
                <w:highlight w:val="none"/>
                <w:lang w:val="en-US" w:eastAsia="zh-CN"/>
              </w:rPr>
              <w:t>10</w:t>
            </w:r>
          </w:p>
        </w:tc>
        <w:tc>
          <w:tcPr>
            <w:tcW w:w="3130" w:type="pct"/>
            <w:vAlign w:val="center"/>
          </w:tcPr>
          <w:p w14:paraId="3E435072">
            <w:pPr>
              <w:spacing w:line="360" w:lineRule="auto"/>
              <w:ind w:firstLine="28"/>
              <w:jc w:val="center"/>
              <w:rPr>
                <w:rFonts w:hint="eastAsia" w:ascii="宋体" w:hAnsi="宋体" w:eastAsia="宋体" w:cs="宋体"/>
                <w:bCs/>
                <w:color w:val="auto"/>
                <w:sz w:val="24"/>
                <w:szCs w:val="24"/>
                <w:highlight w:val="none"/>
              </w:rPr>
            </w:pPr>
          </w:p>
        </w:tc>
      </w:tr>
      <w:tr w14:paraId="0FA7D0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75" w:hRule="atLeast"/>
        </w:trPr>
        <w:tc>
          <w:tcPr>
            <w:tcW w:w="357" w:type="pct"/>
            <w:vAlign w:val="center"/>
          </w:tcPr>
          <w:p w14:paraId="06864CCB">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2</w:t>
            </w:r>
          </w:p>
        </w:tc>
        <w:tc>
          <w:tcPr>
            <w:tcW w:w="1056" w:type="pct"/>
            <w:vAlign w:val="center"/>
          </w:tcPr>
          <w:p w14:paraId="456504F5">
            <w:pPr>
              <w:widowControl/>
              <w:spacing w:line="360" w:lineRule="auto"/>
              <w:jc w:val="center"/>
              <w:rPr>
                <w:rFonts w:hint="eastAsia" w:ascii="宋体" w:hAnsi="宋体" w:eastAsia="宋体" w:cs="宋体"/>
                <w:bCs/>
                <w:color w:val="auto"/>
                <w:sz w:val="24"/>
                <w:szCs w:val="24"/>
                <w:highlight w:val="none"/>
              </w:rPr>
            </w:pPr>
            <w:r>
              <w:rPr>
                <w:rFonts w:hint="eastAsia" w:ascii="宋体" w:hAnsi="宋体" w:cs="宋体"/>
                <w:bCs/>
                <w:color w:val="auto"/>
                <w:kern w:val="0"/>
                <w:sz w:val="24"/>
                <w:szCs w:val="24"/>
                <w:highlight w:val="none"/>
                <w:lang w:val="en-US" w:eastAsia="zh-CN" w:bidi="ar"/>
              </w:rPr>
              <w:t>项目</w:t>
            </w:r>
            <w:r>
              <w:rPr>
                <w:rFonts w:hint="eastAsia" w:ascii="宋体" w:hAnsi="宋体" w:eastAsia="宋体" w:cs="宋体"/>
                <w:bCs/>
                <w:color w:val="auto"/>
                <w:kern w:val="0"/>
                <w:sz w:val="24"/>
                <w:szCs w:val="24"/>
                <w:highlight w:val="none"/>
                <w:lang w:bidi="ar"/>
              </w:rPr>
              <w:t>业绩</w:t>
            </w:r>
          </w:p>
        </w:tc>
        <w:tc>
          <w:tcPr>
            <w:tcW w:w="452" w:type="pct"/>
            <w:vAlign w:val="center"/>
          </w:tcPr>
          <w:p w14:paraId="6062CDAF">
            <w:pPr>
              <w:widowControl/>
              <w:spacing w:line="360" w:lineRule="auto"/>
              <w:jc w:val="center"/>
              <w:rPr>
                <w:rFonts w:hint="default" w:ascii="宋体" w:hAnsi="宋体" w:eastAsia="宋体" w:cs="宋体"/>
                <w:bCs/>
                <w:color w:val="auto"/>
                <w:kern w:val="0"/>
                <w:sz w:val="24"/>
                <w:szCs w:val="24"/>
                <w:highlight w:val="none"/>
                <w:lang w:val="en-US" w:eastAsia="zh-CN" w:bidi="ar"/>
              </w:rPr>
            </w:pPr>
            <w:r>
              <w:rPr>
                <w:rFonts w:hint="eastAsia" w:ascii="宋体" w:hAnsi="宋体" w:cs="宋体"/>
                <w:bCs/>
                <w:color w:val="auto"/>
                <w:kern w:val="0"/>
                <w:sz w:val="24"/>
                <w:szCs w:val="24"/>
                <w:highlight w:val="none"/>
                <w:lang w:val="en-US" w:eastAsia="zh-CN" w:bidi="ar"/>
              </w:rPr>
              <w:t>10</w:t>
            </w:r>
          </w:p>
        </w:tc>
        <w:tc>
          <w:tcPr>
            <w:tcW w:w="3130" w:type="pct"/>
            <w:vAlign w:val="center"/>
          </w:tcPr>
          <w:p w14:paraId="0011044E">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近五年至今（以签订日期为准）的类似工程业绩，每提供一个业绩得2分，最高得10分；</w:t>
            </w:r>
          </w:p>
          <w:p w14:paraId="49B0AEB8">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注：确保所提供的案例真实有效，须提供业绩合同或中标（成交）通知书复印件并加盖公章，否则不予认可。</w:t>
            </w:r>
          </w:p>
        </w:tc>
      </w:tr>
      <w:tr w14:paraId="6B6ACC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717" w:hRule="atLeast"/>
        </w:trPr>
        <w:tc>
          <w:tcPr>
            <w:tcW w:w="357" w:type="pct"/>
            <w:vAlign w:val="center"/>
          </w:tcPr>
          <w:p w14:paraId="07C76C4B">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三</w:t>
            </w:r>
          </w:p>
        </w:tc>
        <w:tc>
          <w:tcPr>
            <w:tcW w:w="1056" w:type="pct"/>
            <w:vAlign w:val="center"/>
          </w:tcPr>
          <w:p w14:paraId="574C1E60">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技术部分</w:t>
            </w:r>
          </w:p>
        </w:tc>
        <w:tc>
          <w:tcPr>
            <w:tcW w:w="452" w:type="pct"/>
            <w:vAlign w:val="center"/>
          </w:tcPr>
          <w:p w14:paraId="529CA01D">
            <w:pPr>
              <w:spacing w:line="360" w:lineRule="auto"/>
              <w:ind w:firstLine="28"/>
              <w:jc w:val="center"/>
              <w:rPr>
                <w:rFonts w:hint="default" w:ascii="宋体" w:hAnsi="宋体" w:eastAsia="宋体" w:cs="宋体"/>
                <w:bCs/>
                <w:color w:val="auto"/>
                <w:sz w:val="24"/>
                <w:szCs w:val="24"/>
                <w:highlight w:val="none"/>
                <w:lang w:val="en-US" w:eastAsia="zh-CN"/>
              </w:rPr>
            </w:pPr>
            <w:r>
              <w:rPr>
                <w:rFonts w:hint="eastAsia" w:ascii="宋体" w:hAnsi="宋体" w:eastAsia="宋体" w:cs="宋体"/>
                <w:bCs/>
                <w:color w:val="auto"/>
                <w:sz w:val="24"/>
                <w:szCs w:val="24"/>
                <w:highlight w:val="none"/>
                <w:lang w:val="en-US" w:eastAsia="zh-CN"/>
              </w:rPr>
              <w:t>60</w:t>
            </w:r>
          </w:p>
        </w:tc>
        <w:tc>
          <w:tcPr>
            <w:tcW w:w="3130" w:type="pct"/>
            <w:vAlign w:val="center"/>
          </w:tcPr>
          <w:p w14:paraId="64A463F5">
            <w:pPr>
              <w:spacing w:line="360" w:lineRule="auto"/>
              <w:ind w:firstLine="28"/>
              <w:jc w:val="center"/>
              <w:rPr>
                <w:rFonts w:hint="eastAsia" w:ascii="宋体" w:hAnsi="宋体" w:eastAsia="宋体" w:cs="宋体"/>
                <w:bCs/>
                <w:color w:val="auto"/>
                <w:sz w:val="24"/>
                <w:szCs w:val="24"/>
                <w:highlight w:val="none"/>
              </w:rPr>
            </w:pPr>
          </w:p>
        </w:tc>
      </w:tr>
      <w:tr w14:paraId="5735DA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956" w:hRule="atLeast"/>
        </w:trPr>
        <w:tc>
          <w:tcPr>
            <w:tcW w:w="357" w:type="pct"/>
            <w:vAlign w:val="center"/>
          </w:tcPr>
          <w:p w14:paraId="4852461F">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3</w:t>
            </w:r>
          </w:p>
        </w:tc>
        <w:tc>
          <w:tcPr>
            <w:tcW w:w="1056" w:type="pct"/>
            <w:vAlign w:val="center"/>
          </w:tcPr>
          <w:p w14:paraId="2A24F932">
            <w:pPr>
              <w:widowControl/>
              <w:spacing w:line="360" w:lineRule="auto"/>
              <w:jc w:val="center"/>
              <w:rPr>
                <w:rFonts w:hint="default"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项目管理机构</w:t>
            </w:r>
          </w:p>
        </w:tc>
        <w:tc>
          <w:tcPr>
            <w:tcW w:w="452" w:type="pct"/>
            <w:vAlign w:val="center"/>
          </w:tcPr>
          <w:p w14:paraId="702B0DF2">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w:t>
            </w:r>
          </w:p>
        </w:tc>
        <w:tc>
          <w:tcPr>
            <w:tcW w:w="3130" w:type="pct"/>
            <w:shd w:val="clear" w:color="auto" w:fill="auto"/>
            <w:vAlign w:val="center"/>
          </w:tcPr>
          <w:p w14:paraId="6516CA72">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人员配备完全合理，专业齐全，完全满足项目需求得5-10分；</w:t>
            </w:r>
          </w:p>
          <w:p w14:paraId="00738EC5">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提供了人员配备，专业基本齐全，但整体的合理性针对性等稍有欠缺，有待完善，基本能满足项目需求得3-4分；</w:t>
            </w:r>
          </w:p>
          <w:p w14:paraId="6CB66055">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人员配备欠合理，专业不够齐全，满足项目需求有较大困难得1-2分；</w:t>
            </w:r>
          </w:p>
          <w:p w14:paraId="5F801DFD">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人员配备基本不具备合理性和专业齐全性，完全无法满足项目需求或未提供任何的项目管理结构不得分。</w:t>
            </w:r>
          </w:p>
          <w:p w14:paraId="63E554DE">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注：需提供人员清单（姓名、年龄、专业、资格证书等）和加盖公章的相关资格证书复印件。</w:t>
            </w:r>
          </w:p>
        </w:tc>
      </w:tr>
      <w:tr w14:paraId="62D62A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923" w:hRule="atLeast"/>
        </w:trPr>
        <w:tc>
          <w:tcPr>
            <w:tcW w:w="357" w:type="pct"/>
            <w:vAlign w:val="center"/>
          </w:tcPr>
          <w:p w14:paraId="7DE24BAF">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4</w:t>
            </w:r>
          </w:p>
        </w:tc>
        <w:tc>
          <w:tcPr>
            <w:tcW w:w="1056" w:type="pct"/>
            <w:vAlign w:val="center"/>
          </w:tcPr>
          <w:p w14:paraId="4978B120">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施工方案与技术措施</w:t>
            </w:r>
          </w:p>
        </w:tc>
        <w:tc>
          <w:tcPr>
            <w:tcW w:w="452" w:type="pct"/>
            <w:vAlign w:val="center"/>
          </w:tcPr>
          <w:p w14:paraId="7C6B7E95">
            <w:pPr>
              <w:spacing w:line="360" w:lineRule="auto"/>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8</w:t>
            </w:r>
          </w:p>
        </w:tc>
        <w:tc>
          <w:tcPr>
            <w:tcW w:w="3130" w:type="pct"/>
            <w:shd w:val="clear" w:color="auto" w:fill="auto"/>
            <w:vAlign w:val="center"/>
          </w:tcPr>
          <w:p w14:paraId="41E36807">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施工方案内容详实、完整、叙述清楚且合理，完全符合现场实际情况和项目实施要求</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6-8分</w:t>
            </w:r>
          </w:p>
          <w:p w14:paraId="00F2A113">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施工方案内容基本可行、能保证施工，基本符合现场实际情况和项目实施要求</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3-5分</w:t>
            </w:r>
          </w:p>
          <w:p w14:paraId="0F73521E">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施工方案与技术措施的可行性和针对性存在较大欠缺，保证施工安全和项目实施有很大困难</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0-2分</w:t>
            </w:r>
          </w:p>
        </w:tc>
      </w:tr>
      <w:tr w14:paraId="259874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312" w:hRule="atLeast"/>
        </w:trPr>
        <w:tc>
          <w:tcPr>
            <w:tcW w:w="357" w:type="pct"/>
            <w:vAlign w:val="center"/>
          </w:tcPr>
          <w:p w14:paraId="79F4BDD1">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1056" w:type="pct"/>
            <w:vAlign w:val="center"/>
          </w:tcPr>
          <w:p w14:paraId="18013441">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质量管理体系与保证措施</w:t>
            </w:r>
          </w:p>
        </w:tc>
        <w:tc>
          <w:tcPr>
            <w:tcW w:w="452" w:type="pct"/>
            <w:vAlign w:val="center"/>
          </w:tcPr>
          <w:p w14:paraId="565778BC">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7</w:t>
            </w:r>
          </w:p>
        </w:tc>
        <w:tc>
          <w:tcPr>
            <w:tcW w:w="3130" w:type="pct"/>
            <w:shd w:val="clear" w:color="auto" w:fill="auto"/>
            <w:vAlign w:val="center"/>
          </w:tcPr>
          <w:p w14:paraId="2C77ECA6">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质量体系完善，措施有利，完全保障项目实施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5-7</w:t>
            </w:r>
            <w:r>
              <w:rPr>
                <w:rFonts w:hint="eastAsia" w:ascii="宋体" w:hAnsi="宋体" w:eastAsia="宋体" w:cs="宋体"/>
                <w:bCs/>
                <w:color w:val="auto"/>
                <w:kern w:val="0"/>
                <w:sz w:val="24"/>
                <w:szCs w:val="24"/>
                <w:highlight w:val="none"/>
                <w:lang w:eastAsia="zh-CN" w:bidi="ar"/>
              </w:rPr>
              <w:t>；</w:t>
            </w:r>
          </w:p>
          <w:p w14:paraId="4AF84AC1">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质量体系较完善，措施相对合理，内容稍有欠缺</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w:t>
            </w:r>
            <w:r>
              <w:rPr>
                <w:rFonts w:hint="eastAsia" w:ascii="宋体" w:hAnsi="宋体" w:eastAsia="宋体" w:cs="宋体"/>
                <w:bCs/>
                <w:color w:val="auto"/>
                <w:kern w:val="0"/>
                <w:sz w:val="24"/>
                <w:szCs w:val="24"/>
                <w:highlight w:val="none"/>
                <w:lang w:val="en-US" w:eastAsia="zh-CN" w:bidi="ar"/>
              </w:rPr>
              <w:t>4</w:t>
            </w:r>
            <w:r>
              <w:rPr>
                <w:rFonts w:hint="eastAsia" w:ascii="宋体" w:hAnsi="宋体" w:eastAsia="宋体" w:cs="宋体"/>
                <w:bCs/>
                <w:color w:val="auto"/>
                <w:kern w:val="0"/>
                <w:sz w:val="24"/>
                <w:szCs w:val="24"/>
                <w:highlight w:val="none"/>
                <w:lang w:eastAsia="zh-CN" w:bidi="ar"/>
              </w:rPr>
              <w:t>；</w:t>
            </w:r>
          </w:p>
          <w:p w14:paraId="2000298C">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质量体系及措施基本不具备完整性和合理性</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0-1</w:t>
            </w:r>
            <w:r>
              <w:rPr>
                <w:rFonts w:hint="eastAsia" w:ascii="宋体" w:hAnsi="宋体" w:eastAsia="宋体" w:cs="宋体"/>
                <w:bCs/>
                <w:color w:val="auto"/>
                <w:kern w:val="0"/>
                <w:sz w:val="24"/>
                <w:szCs w:val="24"/>
                <w:highlight w:val="none"/>
                <w:lang w:eastAsia="zh-CN" w:bidi="ar"/>
              </w:rPr>
              <w:t>。</w:t>
            </w:r>
          </w:p>
        </w:tc>
      </w:tr>
      <w:tr w14:paraId="3756F2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4A49C9CF">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6</w:t>
            </w:r>
          </w:p>
        </w:tc>
        <w:tc>
          <w:tcPr>
            <w:tcW w:w="1056" w:type="pct"/>
            <w:vAlign w:val="center"/>
          </w:tcPr>
          <w:p w14:paraId="7431EEE0">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安全和绿色施工保障措施</w:t>
            </w:r>
          </w:p>
        </w:tc>
        <w:tc>
          <w:tcPr>
            <w:tcW w:w="452" w:type="pct"/>
            <w:vAlign w:val="center"/>
          </w:tcPr>
          <w:p w14:paraId="215FD85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3130" w:type="pct"/>
            <w:shd w:val="clear" w:color="auto" w:fill="auto"/>
            <w:vAlign w:val="center"/>
          </w:tcPr>
          <w:p w14:paraId="006CA513">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考虑全面，有针对性，措施完善，能完全保障项目实施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4-5</w:t>
            </w:r>
            <w:r>
              <w:rPr>
                <w:rFonts w:hint="eastAsia" w:ascii="宋体" w:hAnsi="宋体" w:eastAsia="宋体" w:cs="宋体"/>
                <w:bCs/>
                <w:color w:val="auto"/>
                <w:kern w:val="0"/>
                <w:sz w:val="24"/>
                <w:szCs w:val="24"/>
                <w:highlight w:val="none"/>
                <w:lang w:eastAsia="zh-CN" w:bidi="ar"/>
              </w:rPr>
              <w:t>；</w:t>
            </w:r>
          </w:p>
          <w:p w14:paraId="7BE82A3C">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全面性和针对性稍有欠缺，基本能保障项目实施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2-3</w:t>
            </w:r>
            <w:r>
              <w:rPr>
                <w:rFonts w:hint="eastAsia" w:ascii="宋体" w:hAnsi="宋体" w:eastAsia="宋体" w:cs="宋体"/>
                <w:bCs/>
                <w:color w:val="auto"/>
                <w:kern w:val="0"/>
                <w:sz w:val="24"/>
                <w:szCs w:val="24"/>
                <w:highlight w:val="none"/>
                <w:lang w:eastAsia="zh-CN" w:bidi="ar"/>
              </w:rPr>
              <w:t>；</w:t>
            </w:r>
          </w:p>
          <w:p w14:paraId="79F014E7">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措施不力，方法不合理，保障项目实施有重大困难</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0-1</w:t>
            </w:r>
          </w:p>
        </w:tc>
      </w:tr>
      <w:tr w14:paraId="66DA7A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34F40197">
            <w:pPr>
              <w:spacing w:line="360" w:lineRule="auto"/>
              <w:ind w:firstLine="28"/>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p>
        </w:tc>
        <w:tc>
          <w:tcPr>
            <w:tcW w:w="1056" w:type="pct"/>
            <w:vAlign w:val="center"/>
          </w:tcPr>
          <w:p w14:paraId="0424032C">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工程进度计划与保证措施</w:t>
            </w:r>
          </w:p>
        </w:tc>
        <w:tc>
          <w:tcPr>
            <w:tcW w:w="452" w:type="pct"/>
            <w:vAlign w:val="center"/>
          </w:tcPr>
          <w:p w14:paraId="569E4EC4">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8</w:t>
            </w:r>
          </w:p>
        </w:tc>
        <w:tc>
          <w:tcPr>
            <w:tcW w:w="3130" w:type="pct"/>
            <w:shd w:val="clear" w:color="auto" w:fill="auto"/>
            <w:vAlign w:val="center"/>
          </w:tcPr>
          <w:p w14:paraId="18D6B610">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科学、可行、针对性强，能完全保障项目实施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6-8</w:t>
            </w:r>
            <w:r>
              <w:rPr>
                <w:rFonts w:hint="eastAsia" w:ascii="宋体" w:hAnsi="宋体" w:eastAsia="宋体" w:cs="宋体"/>
                <w:bCs/>
                <w:color w:val="auto"/>
                <w:kern w:val="0"/>
                <w:sz w:val="24"/>
                <w:szCs w:val="24"/>
                <w:highlight w:val="none"/>
                <w:lang w:eastAsia="zh-CN" w:bidi="ar"/>
              </w:rPr>
              <w:t>；</w:t>
            </w:r>
          </w:p>
          <w:p w14:paraId="4AF5DF82">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合理、可行、细节的完善性稍有欠缺，基本保障项目实施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3-5</w:t>
            </w:r>
            <w:r>
              <w:rPr>
                <w:rFonts w:hint="eastAsia" w:ascii="宋体" w:hAnsi="宋体" w:eastAsia="宋体" w:cs="宋体"/>
                <w:bCs/>
                <w:color w:val="auto"/>
                <w:kern w:val="0"/>
                <w:sz w:val="24"/>
                <w:szCs w:val="24"/>
                <w:highlight w:val="none"/>
                <w:lang w:eastAsia="zh-CN" w:bidi="ar"/>
              </w:rPr>
              <w:t>；</w:t>
            </w:r>
          </w:p>
          <w:p w14:paraId="76C6849F">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欠合理，可行性较差，保障项目实施有较大困难</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w:t>
            </w:r>
            <w:r>
              <w:rPr>
                <w:rFonts w:hint="eastAsia" w:ascii="宋体" w:hAnsi="宋体" w:eastAsia="宋体" w:cs="宋体"/>
                <w:bCs/>
                <w:color w:val="auto"/>
                <w:kern w:val="0"/>
                <w:sz w:val="24"/>
                <w:szCs w:val="24"/>
                <w:highlight w:val="none"/>
                <w:lang w:val="en-US" w:eastAsia="zh-CN" w:bidi="ar"/>
              </w:rPr>
              <w:t>2</w:t>
            </w:r>
            <w:r>
              <w:rPr>
                <w:rFonts w:hint="eastAsia" w:ascii="宋体" w:hAnsi="宋体" w:eastAsia="宋体" w:cs="宋体"/>
                <w:bCs/>
                <w:color w:val="auto"/>
                <w:kern w:val="0"/>
                <w:sz w:val="24"/>
                <w:szCs w:val="24"/>
                <w:highlight w:val="none"/>
                <w:lang w:eastAsia="zh-CN" w:bidi="ar"/>
              </w:rPr>
              <w:t>。</w:t>
            </w:r>
          </w:p>
        </w:tc>
      </w:tr>
      <w:tr w14:paraId="378B2D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7C73E726">
            <w:pPr>
              <w:spacing w:line="360" w:lineRule="auto"/>
              <w:ind w:firstLine="28"/>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8</w:t>
            </w:r>
          </w:p>
        </w:tc>
        <w:tc>
          <w:tcPr>
            <w:tcW w:w="1056" w:type="pct"/>
            <w:vAlign w:val="center"/>
          </w:tcPr>
          <w:p w14:paraId="7F95C65F">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本工程重点难点分析</w:t>
            </w:r>
          </w:p>
        </w:tc>
        <w:tc>
          <w:tcPr>
            <w:tcW w:w="452" w:type="pct"/>
            <w:vAlign w:val="center"/>
          </w:tcPr>
          <w:p w14:paraId="05A44E61">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color w:val="auto"/>
                <w:sz w:val="24"/>
                <w:szCs w:val="24"/>
                <w:highlight w:val="none"/>
                <w:lang w:val="en-US" w:eastAsia="zh-CN"/>
              </w:rPr>
              <w:t>5</w:t>
            </w:r>
          </w:p>
        </w:tc>
        <w:tc>
          <w:tcPr>
            <w:tcW w:w="3130" w:type="pct"/>
            <w:shd w:val="clear" w:color="auto" w:fill="auto"/>
            <w:vAlign w:val="center"/>
          </w:tcPr>
          <w:p w14:paraId="4C40CF9B">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供应商根据经验、现场实际情况，进行了工程重点难点分析，并有切实可行的解决方案</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4-5</w:t>
            </w:r>
            <w:r>
              <w:rPr>
                <w:rFonts w:hint="eastAsia" w:ascii="宋体" w:hAnsi="宋体" w:eastAsia="宋体" w:cs="宋体"/>
                <w:bCs/>
                <w:color w:val="auto"/>
                <w:kern w:val="0"/>
                <w:sz w:val="24"/>
                <w:szCs w:val="24"/>
                <w:highlight w:val="none"/>
                <w:lang w:eastAsia="zh-CN" w:bidi="ar"/>
              </w:rPr>
              <w:t>；</w:t>
            </w:r>
          </w:p>
          <w:p w14:paraId="4F68816C">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进行了比较全面的重点难点分析，解决方案具备可行性和可实施性</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2-3</w:t>
            </w:r>
            <w:r>
              <w:rPr>
                <w:rFonts w:hint="eastAsia" w:ascii="宋体" w:hAnsi="宋体" w:eastAsia="宋体" w:cs="宋体"/>
                <w:bCs/>
                <w:color w:val="auto"/>
                <w:kern w:val="0"/>
                <w:sz w:val="24"/>
                <w:szCs w:val="24"/>
                <w:highlight w:val="none"/>
                <w:lang w:eastAsia="zh-CN" w:bidi="ar"/>
              </w:rPr>
              <w:t>；</w:t>
            </w:r>
          </w:p>
          <w:p w14:paraId="4F81E919">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进行了重点难点分析，但是比较粗糙，不透彻，解决方案的全面性和可实施性有重大欠缺</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0-1</w:t>
            </w:r>
          </w:p>
        </w:tc>
      </w:tr>
      <w:tr w14:paraId="6D4785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43F37B5F">
            <w:pPr>
              <w:spacing w:line="360" w:lineRule="auto"/>
              <w:ind w:firstLine="28"/>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9</w:t>
            </w:r>
          </w:p>
        </w:tc>
        <w:tc>
          <w:tcPr>
            <w:tcW w:w="1056" w:type="pct"/>
            <w:vAlign w:val="center"/>
          </w:tcPr>
          <w:p w14:paraId="60A34555">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成品保护和工程保修工作的管理措施</w:t>
            </w:r>
          </w:p>
        </w:tc>
        <w:tc>
          <w:tcPr>
            <w:tcW w:w="452" w:type="pct"/>
            <w:vAlign w:val="center"/>
          </w:tcPr>
          <w:p w14:paraId="645E97B9">
            <w:pPr>
              <w:spacing w:line="360" w:lineRule="auto"/>
              <w:jc w:val="center"/>
              <w:rPr>
                <w:rFonts w:hint="eastAsia" w:ascii="宋体" w:hAnsi="宋体" w:eastAsia="宋体" w:cs="宋体"/>
                <w:color w:val="auto"/>
                <w:sz w:val="24"/>
                <w:szCs w:val="24"/>
                <w:highlight w:val="none"/>
                <w:lang w:eastAsia="zh-CN"/>
              </w:rPr>
            </w:pPr>
            <w:r>
              <w:rPr>
                <w:rFonts w:hint="eastAsia" w:ascii="宋体" w:hAnsi="宋体" w:cs="宋体"/>
                <w:bCs/>
                <w:color w:val="auto"/>
                <w:sz w:val="24"/>
                <w:szCs w:val="24"/>
                <w:highlight w:val="none"/>
                <w:lang w:val="en-US" w:eastAsia="zh-CN"/>
              </w:rPr>
              <w:t>5</w:t>
            </w:r>
          </w:p>
        </w:tc>
        <w:tc>
          <w:tcPr>
            <w:tcW w:w="3130" w:type="pct"/>
            <w:shd w:val="clear" w:color="auto" w:fill="auto"/>
            <w:vAlign w:val="center"/>
          </w:tcPr>
          <w:p w14:paraId="2C52956C">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认识深刻、方案合理，完全符合项目需求</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4-5</w:t>
            </w:r>
            <w:r>
              <w:rPr>
                <w:rFonts w:hint="eastAsia" w:ascii="宋体" w:hAnsi="宋体" w:eastAsia="宋体" w:cs="宋体"/>
                <w:bCs/>
                <w:color w:val="auto"/>
                <w:kern w:val="0"/>
                <w:sz w:val="24"/>
                <w:szCs w:val="24"/>
                <w:highlight w:val="none"/>
                <w:lang w:eastAsia="zh-CN" w:bidi="ar"/>
              </w:rPr>
              <w:t>；</w:t>
            </w:r>
          </w:p>
          <w:p w14:paraId="35CC34B6">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相应措施具备一定的合理性，但内容的完善程度稍有欠缺</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2-3</w:t>
            </w:r>
            <w:r>
              <w:rPr>
                <w:rFonts w:hint="eastAsia" w:ascii="宋体" w:hAnsi="宋体" w:eastAsia="宋体" w:cs="宋体"/>
                <w:bCs/>
                <w:color w:val="auto"/>
                <w:kern w:val="0"/>
                <w:sz w:val="24"/>
                <w:szCs w:val="24"/>
                <w:highlight w:val="none"/>
                <w:lang w:eastAsia="zh-CN" w:bidi="ar"/>
              </w:rPr>
              <w:t>；</w:t>
            </w:r>
          </w:p>
          <w:p w14:paraId="3335D543">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基本不具备合理性和完善性，满足项目需求有重大困难</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0-1</w:t>
            </w:r>
            <w:r>
              <w:rPr>
                <w:rFonts w:hint="eastAsia" w:ascii="宋体" w:hAnsi="宋体" w:eastAsia="宋体" w:cs="宋体"/>
                <w:bCs/>
                <w:color w:val="auto"/>
                <w:kern w:val="0"/>
                <w:sz w:val="24"/>
                <w:szCs w:val="24"/>
                <w:highlight w:val="none"/>
                <w:lang w:eastAsia="zh-CN" w:bidi="ar"/>
              </w:rPr>
              <w:t>。</w:t>
            </w:r>
          </w:p>
        </w:tc>
      </w:tr>
      <w:tr w14:paraId="0F60EB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45EFEE2A">
            <w:pPr>
              <w:spacing w:line="360" w:lineRule="auto"/>
              <w:ind w:firstLine="28"/>
              <w:jc w:val="center"/>
              <w:rPr>
                <w:rFonts w:hint="default"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10</w:t>
            </w:r>
          </w:p>
        </w:tc>
        <w:tc>
          <w:tcPr>
            <w:tcW w:w="1056" w:type="pct"/>
            <w:vAlign w:val="center"/>
          </w:tcPr>
          <w:p w14:paraId="62736D81">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紧急情况的处理措施、预案以及抵抗风险的措施</w:t>
            </w:r>
          </w:p>
        </w:tc>
        <w:tc>
          <w:tcPr>
            <w:tcW w:w="452" w:type="pct"/>
            <w:vAlign w:val="center"/>
          </w:tcPr>
          <w:p w14:paraId="18D9C94F">
            <w:pPr>
              <w:spacing w:line="360" w:lineRule="auto"/>
              <w:jc w:val="center"/>
              <w:rPr>
                <w:rFonts w:hint="eastAsia" w:ascii="宋体" w:hAnsi="宋体" w:eastAsia="宋体" w:cs="宋体"/>
                <w:bCs/>
                <w:color w:val="auto"/>
                <w:sz w:val="24"/>
                <w:szCs w:val="24"/>
                <w:highlight w:val="none"/>
                <w:lang w:eastAsia="zh-CN"/>
              </w:rPr>
            </w:pPr>
            <w:r>
              <w:rPr>
                <w:rFonts w:hint="eastAsia" w:ascii="宋体" w:hAnsi="宋体" w:cs="宋体"/>
                <w:bCs/>
                <w:color w:val="auto"/>
                <w:sz w:val="24"/>
                <w:szCs w:val="24"/>
                <w:highlight w:val="none"/>
                <w:lang w:val="en-US" w:eastAsia="zh-CN"/>
              </w:rPr>
              <w:t>7</w:t>
            </w:r>
          </w:p>
        </w:tc>
        <w:tc>
          <w:tcPr>
            <w:tcW w:w="3130" w:type="pct"/>
            <w:shd w:val="clear" w:color="auto" w:fill="auto"/>
            <w:vAlign w:val="center"/>
          </w:tcPr>
          <w:p w14:paraId="0756DD36">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措施及方案合理、可行，完全符合项目需求，保障项目实施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val="en-US" w:eastAsia="zh-CN" w:bidi="ar"/>
              </w:rPr>
              <w:t>5-7分；</w:t>
            </w:r>
          </w:p>
          <w:p w14:paraId="72081012">
            <w:pPr>
              <w:widowControl/>
              <w:spacing w:line="360" w:lineRule="auto"/>
              <w:jc w:val="left"/>
              <w:rPr>
                <w:rFonts w:hint="eastAsia" w:ascii="宋体" w:hAnsi="宋体" w:eastAsia="宋体" w:cs="宋体"/>
                <w:bCs/>
                <w:color w:val="auto"/>
                <w:kern w:val="0"/>
                <w:sz w:val="24"/>
                <w:szCs w:val="24"/>
                <w:highlight w:val="none"/>
                <w:lang w:eastAsia="zh-CN" w:bidi="ar"/>
              </w:rPr>
            </w:pPr>
            <w:r>
              <w:rPr>
                <w:rFonts w:hint="eastAsia" w:ascii="宋体" w:hAnsi="宋体" w:eastAsia="宋体" w:cs="宋体"/>
                <w:bCs/>
                <w:color w:val="auto"/>
                <w:kern w:val="0"/>
                <w:sz w:val="24"/>
                <w:szCs w:val="24"/>
                <w:highlight w:val="none"/>
                <w:lang w:bidi="ar"/>
              </w:rPr>
              <w:t>措施及方案的合理性和可行性稍有欠缺，基本能保障项目实施</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w:t>
            </w:r>
            <w:r>
              <w:rPr>
                <w:rFonts w:hint="eastAsia" w:ascii="宋体" w:hAnsi="宋体" w:eastAsia="宋体" w:cs="宋体"/>
                <w:bCs/>
                <w:color w:val="auto"/>
                <w:kern w:val="0"/>
                <w:sz w:val="24"/>
                <w:szCs w:val="24"/>
                <w:highlight w:val="none"/>
                <w:lang w:val="en-US" w:eastAsia="zh-CN" w:bidi="ar"/>
              </w:rPr>
              <w:t>4分</w:t>
            </w:r>
            <w:r>
              <w:rPr>
                <w:rFonts w:hint="eastAsia" w:ascii="宋体" w:hAnsi="宋体" w:eastAsia="宋体" w:cs="宋体"/>
                <w:bCs/>
                <w:color w:val="auto"/>
                <w:kern w:val="0"/>
                <w:sz w:val="24"/>
                <w:szCs w:val="24"/>
                <w:highlight w:val="none"/>
                <w:lang w:eastAsia="zh-CN" w:bidi="ar"/>
              </w:rPr>
              <w:t>；</w:t>
            </w:r>
          </w:p>
          <w:p w14:paraId="38956729">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措施及方案基本不具备可行性和合理性，内容有重大缺漏，完全不能满足项目需求</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w:t>
            </w:r>
            <w:r>
              <w:rPr>
                <w:rFonts w:hint="eastAsia" w:ascii="宋体" w:hAnsi="宋体" w:eastAsia="宋体" w:cs="宋体"/>
                <w:bCs/>
                <w:color w:val="auto"/>
                <w:kern w:val="0"/>
                <w:sz w:val="24"/>
                <w:szCs w:val="24"/>
                <w:highlight w:val="none"/>
                <w:lang w:val="en-US" w:eastAsia="zh-CN" w:bidi="ar"/>
              </w:rPr>
              <w:t>1分</w:t>
            </w:r>
            <w:r>
              <w:rPr>
                <w:rFonts w:hint="eastAsia" w:ascii="宋体" w:hAnsi="宋体" w:eastAsia="宋体" w:cs="宋体"/>
                <w:bCs/>
                <w:color w:val="auto"/>
                <w:kern w:val="0"/>
                <w:sz w:val="24"/>
                <w:szCs w:val="24"/>
                <w:highlight w:val="none"/>
                <w:lang w:eastAsia="zh-CN" w:bidi="ar"/>
              </w:rPr>
              <w:t>。</w:t>
            </w:r>
          </w:p>
        </w:tc>
      </w:tr>
      <w:tr w14:paraId="20C6BEE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3" w:type="pct"/>
          <w:trHeight w:val="149" w:hRule="atLeast"/>
        </w:trPr>
        <w:tc>
          <w:tcPr>
            <w:tcW w:w="357" w:type="pct"/>
            <w:vAlign w:val="center"/>
          </w:tcPr>
          <w:p w14:paraId="65776968">
            <w:pPr>
              <w:spacing w:line="360" w:lineRule="auto"/>
              <w:ind w:firstLine="28"/>
              <w:jc w:val="center"/>
              <w:rPr>
                <w:rFonts w:hint="default" w:ascii="宋体" w:hAnsi="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11</w:t>
            </w:r>
          </w:p>
        </w:tc>
        <w:tc>
          <w:tcPr>
            <w:tcW w:w="1056" w:type="pct"/>
            <w:vAlign w:val="center"/>
          </w:tcPr>
          <w:p w14:paraId="7E5AA2B9">
            <w:pPr>
              <w:widowControl/>
              <w:spacing w:line="360" w:lineRule="auto"/>
              <w:jc w:val="center"/>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val="en-US" w:eastAsia="zh-CN" w:bidi="ar"/>
              </w:rPr>
              <w:t>突发公共卫生安全防控保障方案</w:t>
            </w:r>
          </w:p>
        </w:tc>
        <w:tc>
          <w:tcPr>
            <w:tcW w:w="452" w:type="pct"/>
            <w:vAlign w:val="center"/>
          </w:tcPr>
          <w:p w14:paraId="1076749E">
            <w:pPr>
              <w:spacing w:line="360" w:lineRule="auto"/>
              <w:jc w:val="center"/>
              <w:rPr>
                <w:rFonts w:hint="eastAsia" w:ascii="宋体" w:hAnsi="宋体" w:eastAsia="宋体" w:cs="宋体"/>
                <w:bCs/>
                <w:color w:val="auto"/>
                <w:sz w:val="24"/>
                <w:szCs w:val="24"/>
                <w:highlight w:val="none"/>
                <w:lang w:val="en-US" w:eastAsia="zh-CN"/>
              </w:rPr>
            </w:pPr>
            <w:r>
              <w:rPr>
                <w:rFonts w:hint="eastAsia" w:ascii="宋体" w:hAnsi="宋体" w:cs="宋体"/>
                <w:bCs/>
                <w:color w:val="auto"/>
                <w:sz w:val="24"/>
                <w:szCs w:val="24"/>
                <w:highlight w:val="none"/>
                <w:lang w:val="en-US" w:eastAsia="zh-CN"/>
              </w:rPr>
              <w:t>5</w:t>
            </w:r>
          </w:p>
        </w:tc>
        <w:tc>
          <w:tcPr>
            <w:tcW w:w="3130" w:type="pct"/>
            <w:shd w:val="clear" w:color="auto" w:fill="auto"/>
            <w:vAlign w:val="center"/>
          </w:tcPr>
          <w:p w14:paraId="13E0F687">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针对本项目采购内容提供了合理、完善、科学、可行的突发公共卫生安全防控方案，完全可确保项目在实施过程中不受突发公共卫生安全影响，且确保服务人员安全</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4-5</w:t>
            </w:r>
            <w:r>
              <w:rPr>
                <w:rFonts w:hint="eastAsia" w:ascii="宋体" w:hAnsi="宋体" w:eastAsia="宋体" w:cs="宋体"/>
                <w:bCs/>
                <w:color w:val="auto"/>
                <w:kern w:val="0"/>
                <w:sz w:val="24"/>
                <w:szCs w:val="24"/>
                <w:highlight w:val="none"/>
                <w:lang w:val="en-US" w:eastAsia="zh-CN" w:bidi="ar"/>
              </w:rPr>
              <w:t>分；</w:t>
            </w:r>
          </w:p>
          <w:p w14:paraId="6BAA2F42">
            <w:pPr>
              <w:widowControl/>
              <w:spacing w:line="360" w:lineRule="auto"/>
              <w:jc w:val="left"/>
              <w:rPr>
                <w:rFonts w:hint="eastAsia" w:ascii="宋体" w:hAnsi="宋体" w:eastAsia="宋体" w:cs="宋体"/>
                <w:bCs/>
                <w:color w:val="auto"/>
                <w:kern w:val="0"/>
                <w:sz w:val="24"/>
                <w:szCs w:val="24"/>
                <w:highlight w:val="none"/>
                <w:lang w:bidi="ar"/>
              </w:rPr>
            </w:pPr>
            <w:r>
              <w:rPr>
                <w:rFonts w:hint="eastAsia" w:ascii="宋体" w:hAnsi="宋体" w:eastAsia="宋体" w:cs="宋体"/>
                <w:bCs/>
                <w:color w:val="auto"/>
                <w:kern w:val="0"/>
                <w:sz w:val="24"/>
                <w:szCs w:val="24"/>
                <w:highlight w:val="none"/>
                <w:lang w:bidi="ar"/>
              </w:rPr>
              <w:t>针对本项目采购内容提供了突发公共卫生安全防控方案，具有一定的合理性及可行性，但是细节稍有欠缺，基本可确保项目在实施过程中不受突发公共卫生安全影响，确保人员安全</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2-3</w:t>
            </w:r>
            <w:r>
              <w:rPr>
                <w:rFonts w:hint="eastAsia" w:ascii="宋体" w:hAnsi="宋体" w:eastAsia="宋体" w:cs="宋体"/>
                <w:bCs/>
                <w:color w:val="auto"/>
                <w:kern w:val="0"/>
                <w:sz w:val="24"/>
                <w:szCs w:val="24"/>
                <w:highlight w:val="none"/>
                <w:lang w:val="en-US" w:eastAsia="zh-CN" w:bidi="ar"/>
              </w:rPr>
              <w:t>分</w:t>
            </w:r>
            <w:r>
              <w:rPr>
                <w:rFonts w:hint="eastAsia" w:ascii="宋体" w:hAnsi="宋体" w:eastAsia="宋体" w:cs="宋体"/>
                <w:bCs/>
                <w:color w:val="auto"/>
                <w:kern w:val="0"/>
                <w:sz w:val="24"/>
                <w:szCs w:val="24"/>
                <w:highlight w:val="none"/>
                <w:lang w:eastAsia="zh-CN" w:bidi="ar"/>
              </w:rPr>
              <w:t>；</w:t>
            </w:r>
          </w:p>
          <w:p w14:paraId="1C9BC11F">
            <w:pPr>
              <w:widowControl/>
              <w:spacing w:line="360" w:lineRule="auto"/>
              <w:jc w:val="left"/>
              <w:rPr>
                <w:rFonts w:hint="eastAsia" w:ascii="宋体" w:hAnsi="宋体" w:eastAsia="宋体" w:cs="宋体"/>
                <w:bCs/>
                <w:color w:val="auto"/>
                <w:kern w:val="0"/>
                <w:sz w:val="24"/>
                <w:szCs w:val="24"/>
                <w:highlight w:val="none"/>
                <w:lang w:val="en-US" w:eastAsia="zh-CN" w:bidi="ar"/>
              </w:rPr>
            </w:pPr>
            <w:r>
              <w:rPr>
                <w:rFonts w:hint="eastAsia" w:ascii="宋体" w:hAnsi="宋体" w:eastAsia="宋体" w:cs="宋体"/>
                <w:bCs/>
                <w:color w:val="auto"/>
                <w:kern w:val="0"/>
                <w:sz w:val="24"/>
                <w:szCs w:val="24"/>
                <w:highlight w:val="none"/>
                <w:lang w:bidi="ar"/>
              </w:rPr>
              <w:t>针对采购内容提供了突发公共卫生安全防控方案，但是内容简陋，细节欠缺严重，保障项目在实施过程中完全不受影响及人员安全具有较大困难</w:t>
            </w:r>
            <w:r>
              <w:rPr>
                <w:rFonts w:hint="eastAsia" w:ascii="宋体" w:hAnsi="宋体" w:eastAsia="宋体" w:cs="宋体"/>
                <w:bCs/>
                <w:color w:val="auto"/>
                <w:kern w:val="0"/>
                <w:sz w:val="24"/>
                <w:szCs w:val="24"/>
                <w:highlight w:val="none"/>
                <w:lang w:eastAsia="zh-CN" w:bidi="ar"/>
              </w:rPr>
              <w:t>，</w:t>
            </w:r>
            <w:r>
              <w:rPr>
                <w:rFonts w:hint="eastAsia" w:ascii="宋体" w:hAnsi="宋体" w:eastAsia="宋体" w:cs="宋体"/>
                <w:bCs/>
                <w:color w:val="auto"/>
                <w:kern w:val="0"/>
                <w:sz w:val="24"/>
                <w:szCs w:val="24"/>
                <w:highlight w:val="none"/>
                <w:lang w:bidi="ar"/>
              </w:rPr>
              <w:t>0-1</w:t>
            </w:r>
            <w:r>
              <w:rPr>
                <w:rFonts w:hint="eastAsia" w:ascii="宋体" w:hAnsi="宋体" w:eastAsia="宋体" w:cs="宋体"/>
                <w:bCs/>
                <w:color w:val="auto"/>
                <w:kern w:val="0"/>
                <w:sz w:val="24"/>
                <w:szCs w:val="24"/>
                <w:highlight w:val="none"/>
                <w:lang w:val="en-US" w:eastAsia="zh-CN" w:bidi="ar"/>
              </w:rPr>
              <w:t>分</w:t>
            </w:r>
            <w:r>
              <w:rPr>
                <w:rFonts w:hint="eastAsia" w:ascii="宋体" w:hAnsi="宋体" w:eastAsia="宋体" w:cs="宋体"/>
                <w:bCs/>
                <w:color w:val="auto"/>
                <w:kern w:val="0"/>
                <w:sz w:val="24"/>
                <w:szCs w:val="24"/>
                <w:highlight w:val="none"/>
                <w:lang w:eastAsia="zh-CN" w:bidi="ar"/>
              </w:rPr>
              <w:t>；</w:t>
            </w:r>
          </w:p>
        </w:tc>
      </w:tr>
      <w:tr w14:paraId="082B57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6" w:hRule="atLeast"/>
        </w:trPr>
        <w:tc>
          <w:tcPr>
            <w:tcW w:w="1414" w:type="pct"/>
            <w:gridSpan w:val="2"/>
            <w:vAlign w:val="center"/>
          </w:tcPr>
          <w:p w14:paraId="587BC191">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合计</w:t>
            </w:r>
          </w:p>
        </w:tc>
        <w:tc>
          <w:tcPr>
            <w:tcW w:w="452" w:type="pct"/>
            <w:vAlign w:val="center"/>
          </w:tcPr>
          <w:p w14:paraId="7A201F73">
            <w:pPr>
              <w:spacing w:line="360" w:lineRule="auto"/>
              <w:ind w:firstLine="28"/>
              <w:jc w:val="center"/>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100</w:t>
            </w:r>
          </w:p>
        </w:tc>
        <w:tc>
          <w:tcPr>
            <w:tcW w:w="3133" w:type="pct"/>
            <w:gridSpan w:val="2"/>
            <w:vAlign w:val="center"/>
          </w:tcPr>
          <w:p w14:paraId="5DBDDA01">
            <w:pPr>
              <w:spacing w:line="360" w:lineRule="auto"/>
              <w:rPr>
                <w:rFonts w:hint="eastAsia" w:ascii="宋体" w:hAnsi="宋体" w:eastAsia="宋体" w:cs="宋体"/>
                <w:bCs/>
                <w:color w:val="auto"/>
                <w:sz w:val="24"/>
                <w:szCs w:val="24"/>
                <w:highlight w:val="none"/>
              </w:rPr>
            </w:pPr>
          </w:p>
        </w:tc>
      </w:tr>
    </w:tbl>
    <w:p w14:paraId="56E38A21">
      <w:pPr>
        <w:spacing w:line="360" w:lineRule="auto"/>
        <w:jc w:val="left"/>
        <w:outlineLvl w:val="9"/>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t>注：最终得分保留2位小数。</w:t>
      </w:r>
    </w:p>
    <w:p w14:paraId="30986B1A">
      <w:pPr>
        <w:rPr>
          <w:rFonts w:hint="eastAsia" w:ascii="宋体" w:hAnsi="宋体" w:eastAsia="宋体" w:cs="宋体"/>
          <w:b w:val="0"/>
          <w:bCs/>
          <w:color w:val="auto"/>
          <w:sz w:val="24"/>
          <w:szCs w:val="24"/>
          <w:highlight w:val="none"/>
          <w:lang w:val="en-US" w:eastAsia="zh-CN"/>
        </w:rPr>
      </w:pPr>
      <w:r>
        <w:rPr>
          <w:rFonts w:hint="eastAsia" w:ascii="宋体" w:hAnsi="宋体" w:eastAsia="宋体" w:cs="宋体"/>
          <w:b w:val="0"/>
          <w:bCs/>
          <w:color w:val="auto"/>
          <w:sz w:val="24"/>
          <w:szCs w:val="24"/>
          <w:highlight w:val="none"/>
          <w:lang w:val="en-US" w:eastAsia="zh-CN"/>
        </w:rPr>
        <w:br w:type="page"/>
      </w:r>
    </w:p>
    <w:p w14:paraId="75FD468F">
      <w:pPr>
        <w:spacing w:line="360" w:lineRule="auto"/>
        <w:jc w:val="center"/>
        <w:outlineLvl w:val="0"/>
        <w:rPr>
          <w:b/>
          <w:color w:val="auto"/>
          <w:sz w:val="24"/>
          <w:szCs w:val="24"/>
          <w:highlight w:val="none"/>
        </w:rPr>
      </w:pPr>
      <w:bookmarkStart w:id="676" w:name="_Toc31310"/>
      <w:r>
        <w:rPr>
          <w:b/>
          <w:color w:val="auto"/>
          <w:sz w:val="24"/>
          <w:szCs w:val="24"/>
          <w:highlight w:val="none"/>
        </w:rPr>
        <w:t>第四章  采购需求</w:t>
      </w:r>
      <w:bookmarkEnd w:id="676"/>
    </w:p>
    <w:p w14:paraId="63AB24E5">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eastAsia="zh-CN"/>
        </w:rPr>
        <w:t>一</w:t>
      </w:r>
      <w:r>
        <w:rPr>
          <w:rFonts w:hint="eastAsia" w:ascii="宋体" w:hAnsi="宋体" w:cs="宋体"/>
          <w:b/>
          <w:bCs/>
          <w:color w:val="auto"/>
          <w:sz w:val="24"/>
          <w:szCs w:val="24"/>
          <w:highlight w:val="none"/>
          <w:lang w:eastAsia="zh-CN"/>
        </w:rPr>
        <w:t>、</w:t>
      </w:r>
      <w:r>
        <w:rPr>
          <w:rFonts w:hint="eastAsia" w:ascii="宋体" w:hAnsi="宋体" w:cs="宋体"/>
          <w:b/>
          <w:bCs/>
          <w:color w:val="auto"/>
          <w:sz w:val="24"/>
          <w:szCs w:val="24"/>
          <w:highlight w:val="none"/>
          <w:lang w:val="en-US" w:eastAsia="zh-CN"/>
        </w:rPr>
        <w:t>采购标的</w:t>
      </w:r>
    </w:p>
    <w:p w14:paraId="6DD2D6B6">
      <w:pPr>
        <w:spacing w:line="360" w:lineRule="auto"/>
        <w:ind w:firstLine="4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1、工程名称：</w:t>
      </w:r>
      <w:r>
        <w:rPr>
          <w:rFonts w:hint="eastAsia" w:ascii="宋体" w:hAnsi="宋体" w:cs="宋体"/>
          <w:color w:val="auto"/>
          <w:sz w:val="24"/>
          <w:szCs w:val="24"/>
          <w:highlight w:val="none"/>
          <w:lang w:eastAsia="zh-CN"/>
        </w:rPr>
        <w:t>北京大学附属中学丰台学校综合楼漏水维修项目</w:t>
      </w:r>
      <w:r>
        <w:rPr>
          <w:rFonts w:hint="eastAsia" w:ascii="宋体" w:hAnsi="宋体" w:eastAsia="宋体" w:cs="宋体"/>
          <w:color w:val="auto"/>
          <w:sz w:val="24"/>
          <w:szCs w:val="24"/>
          <w:highlight w:val="none"/>
          <w:lang w:eastAsia="zh-CN"/>
        </w:rPr>
        <w:t>。</w:t>
      </w:r>
    </w:p>
    <w:p w14:paraId="617DC5FB">
      <w:pPr>
        <w:spacing w:line="360" w:lineRule="auto"/>
        <w:ind w:firstLine="440"/>
        <w:rPr>
          <w:rFonts w:hint="eastAsia" w:ascii="宋体" w:hAnsi="宋体" w:eastAsia="宋体" w:cs="宋体"/>
          <w:color w:val="auto"/>
          <w:sz w:val="24"/>
          <w:szCs w:val="24"/>
          <w:highlight w:val="none"/>
          <w:lang w:eastAsia="zh-CN"/>
        </w:rPr>
      </w:pPr>
      <w:r>
        <w:rPr>
          <w:rFonts w:hint="eastAsia" w:ascii="宋体" w:hAnsi="宋体" w:eastAsia="宋体" w:cs="宋体"/>
          <w:color w:val="auto"/>
          <w:sz w:val="24"/>
          <w:szCs w:val="24"/>
          <w:highlight w:val="none"/>
          <w:lang w:eastAsia="zh-CN"/>
        </w:rPr>
        <w:t>2</w:t>
      </w:r>
      <w:r>
        <w:rPr>
          <w:rFonts w:hint="eastAsia" w:ascii="宋体" w:hAnsi="宋体" w:cs="宋体"/>
          <w:color w:val="auto"/>
          <w:sz w:val="24"/>
          <w:szCs w:val="24"/>
          <w:highlight w:val="none"/>
          <w:lang w:eastAsia="zh-CN"/>
        </w:rPr>
        <w:t>、</w:t>
      </w:r>
      <w:r>
        <w:rPr>
          <w:rFonts w:hint="eastAsia" w:ascii="宋体" w:hAnsi="宋体" w:eastAsia="宋体" w:cs="宋体"/>
          <w:color w:val="auto"/>
          <w:sz w:val="24"/>
          <w:szCs w:val="24"/>
          <w:highlight w:val="none"/>
          <w:lang w:eastAsia="zh-CN"/>
        </w:rPr>
        <w:t>工程地点：</w:t>
      </w:r>
      <w:r>
        <w:rPr>
          <w:rFonts w:hint="eastAsia" w:ascii="宋体" w:hAnsi="宋体" w:cs="宋体"/>
          <w:color w:val="auto"/>
          <w:sz w:val="24"/>
          <w:szCs w:val="24"/>
          <w:highlight w:val="none"/>
          <w:lang w:val="en-US" w:eastAsia="zh-CN"/>
        </w:rPr>
        <w:t>北京市丰台</w:t>
      </w:r>
      <w:r>
        <w:rPr>
          <w:rFonts w:hint="eastAsia" w:ascii="宋体" w:hAnsi="宋体" w:cs="宋体"/>
          <w:color w:val="auto"/>
          <w:sz w:val="24"/>
          <w:szCs w:val="24"/>
          <w:highlight w:val="none"/>
          <w:lang w:eastAsia="zh-CN"/>
        </w:rPr>
        <w:t>区</w:t>
      </w:r>
    </w:p>
    <w:p w14:paraId="7FAB44C3">
      <w:pPr>
        <w:spacing w:line="360" w:lineRule="auto"/>
        <w:rPr>
          <w:rFonts w:hint="default" w:ascii="宋体" w:hAnsi="宋体" w:eastAsia="宋体" w:cs="宋体"/>
          <w:b/>
          <w:bCs/>
          <w:color w:val="auto"/>
          <w:sz w:val="24"/>
          <w:szCs w:val="24"/>
          <w:highlight w:val="none"/>
          <w:lang w:val="en-US" w:eastAsia="zh-CN"/>
        </w:rPr>
      </w:pPr>
      <w:r>
        <w:rPr>
          <w:rFonts w:hint="eastAsia" w:ascii="宋体" w:hAnsi="宋体" w:cs="宋体"/>
          <w:b/>
          <w:bCs/>
          <w:color w:val="auto"/>
          <w:sz w:val="24"/>
          <w:szCs w:val="24"/>
          <w:highlight w:val="none"/>
          <w:lang w:val="en-US" w:eastAsia="zh-CN"/>
        </w:rPr>
        <w:t>二、工程概况</w:t>
      </w:r>
    </w:p>
    <w:p w14:paraId="501B25BD">
      <w:pPr>
        <w:autoSpaceDE w:val="0"/>
        <w:autoSpaceDN w:val="0"/>
        <w:spacing w:line="360" w:lineRule="auto"/>
        <w:ind w:right="33" w:firstLine="480" w:firstLineChars="200"/>
        <w:outlineLvl w:val="9"/>
        <w:rPr>
          <w:rFonts w:hint="eastAsia" w:ascii="宋体" w:hAnsi="宋体" w:eastAsia="宋体" w:cs="宋体"/>
          <w:color w:val="auto"/>
          <w:sz w:val="24"/>
          <w:szCs w:val="24"/>
          <w:highlight w:val="none"/>
          <w:lang w:val="en-US" w:eastAsia="zh-CN"/>
        </w:rPr>
      </w:pPr>
    </w:p>
    <w:p w14:paraId="45B6B849">
      <w:pPr>
        <w:pStyle w:val="22"/>
        <w:numPr>
          <w:ilvl w:val="0"/>
          <w:numId w:val="8"/>
        </w:numPr>
        <w:spacing w:line="360" w:lineRule="auto"/>
        <w:ind w:firstLine="0" w:firstLineChars="0"/>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招标范围</w:t>
      </w:r>
    </w:p>
    <w:p w14:paraId="2288D4AB">
      <w:pPr>
        <w:pStyle w:val="22"/>
        <w:keepNext w:val="0"/>
        <w:keepLines w:val="0"/>
        <w:pageBreakBefore w:val="0"/>
        <w:widowControl w:val="0"/>
        <w:numPr>
          <w:ilvl w:val="0"/>
          <w:numId w:val="0"/>
        </w:numPr>
        <w:kinsoku/>
        <w:wordWrap/>
        <w:overflowPunct/>
        <w:topLinePunct w:val="0"/>
        <w:autoSpaceDE/>
        <w:autoSpaceDN/>
        <w:bidi w:val="0"/>
        <w:adjustRightInd/>
        <w:snapToGrid/>
        <w:spacing w:before="0" w:line="360" w:lineRule="auto"/>
        <w:ind w:firstLine="480" w:firstLineChars="200"/>
        <w:textAlignment w:val="auto"/>
        <w:rPr>
          <w:rFonts w:hint="eastAsia"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北京大学附属中学丰台学校综合楼漏水维修项目施工图纸及工程量清单中所示全部内容。</w:t>
      </w:r>
    </w:p>
    <w:p w14:paraId="575AC6E8">
      <w:pPr>
        <w:pStyle w:val="22"/>
        <w:numPr>
          <w:ilvl w:val="0"/>
          <w:numId w:val="8"/>
        </w:numPr>
        <w:spacing w:line="360" w:lineRule="auto"/>
        <w:ind w:firstLine="0" w:firstLineChars="0"/>
        <w:rPr>
          <w:rFonts w:hint="eastAsia"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工期</w:t>
      </w:r>
    </w:p>
    <w:p w14:paraId="1C546C5D">
      <w:pPr>
        <w:pStyle w:val="22"/>
        <w:numPr>
          <w:ilvl w:val="0"/>
          <w:numId w:val="0"/>
        </w:numPr>
        <w:spacing w:line="360" w:lineRule="auto"/>
        <w:ind w:leftChars="200"/>
        <w:rPr>
          <w:rFonts w:hint="eastAsia"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总工期：60日历天</w:t>
      </w:r>
    </w:p>
    <w:p w14:paraId="28445C92">
      <w:pPr>
        <w:pStyle w:val="22"/>
        <w:numPr>
          <w:ilvl w:val="0"/>
          <w:numId w:val="0"/>
        </w:numPr>
        <w:spacing w:line="360" w:lineRule="auto"/>
        <w:ind w:leftChars="200"/>
        <w:rPr>
          <w:rFonts w:hint="eastAsia"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计划开工日期：2026年07月01日</w:t>
      </w:r>
    </w:p>
    <w:p w14:paraId="381FE279">
      <w:pPr>
        <w:pStyle w:val="22"/>
        <w:numPr>
          <w:ilvl w:val="0"/>
          <w:numId w:val="0"/>
        </w:numPr>
        <w:spacing w:line="360" w:lineRule="auto"/>
        <w:ind w:leftChars="200"/>
        <w:rPr>
          <w:rFonts w:hint="default" w:cs="宋体"/>
          <w:b w:val="0"/>
          <w:bCs w:val="0"/>
          <w:color w:val="auto"/>
          <w:kern w:val="2"/>
          <w:sz w:val="24"/>
          <w:szCs w:val="24"/>
          <w:highlight w:val="none"/>
          <w:lang w:val="en-US" w:eastAsia="zh-CN" w:bidi="ar-SA"/>
        </w:rPr>
      </w:pPr>
      <w:r>
        <w:rPr>
          <w:rFonts w:hint="eastAsia" w:cs="宋体"/>
          <w:b w:val="0"/>
          <w:bCs w:val="0"/>
          <w:color w:val="auto"/>
          <w:kern w:val="2"/>
          <w:sz w:val="24"/>
          <w:szCs w:val="24"/>
          <w:highlight w:val="none"/>
          <w:lang w:val="en-US" w:eastAsia="zh-CN" w:bidi="ar-SA"/>
        </w:rPr>
        <w:t>计划竣工日期：2026年08月31日</w:t>
      </w:r>
    </w:p>
    <w:p w14:paraId="49812E00">
      <w:pPr>
        <w:pStyle w:val="22"/>
        <w:numPr>
          <w:ilvl w:val="0"/>
          <w:numId w:val="8"/>
        </w:numPr>
        <w:spacing w:line="360" w:lineRule="auto"/>
        <w:ind w:firstLine="0" w:firstLineChars="0"/>
        <w:rPr>
          <w:rFonts w:hint="default" w:cs="宋体"/>
          <w:b/>
          <w:bCs/>
          <w:color w:val="auto"/>
          <w:kern w:val="2"/>
          <w:sz w:val="24"/>
          <w:szCs w:val="24"/>
          <w:highlight w:val="none"/>
          <w:lang w:val="en-US" w:eastAsia="zh-CN" w:bidi="ar-SA"/>
        </w:rPr>
      </w:pPr>
      <w:r>
        <w:rPr>
          <w:rFonts w:hint="eastAsia" w:cs="宋体"/>
          <w:b/>
          <w:bCs/>
          <w:color w:val="auto"/>
          <w:kern w:val="2"/>
          <w:sz w:val="24"/>
          <w:szCs w:val="24"/>
          <w:highlight w:val="none"/>
          <w:lang w:val="en-US" w:eastAsia="zh-CN" w:bidi="ar-SA"/>
        </w:rPr>
        <w:t>质量标准：合格</w:t>
      </w:r>
    </w:p>
    <w:p w14:paraId="7D9C9F04">
      <w:pPr>
        <w:spacing w:line="360" w:lineRule="auto"/>
        <w:ind w:firstLine="480" w:firstLineChars="200"/>
        <w:rPr>
          <w:rFonts w:hint="eastAsia"/>
          <w:color w:val="auto"/>
          <w:sz w:val="24"/>
          <w:szCs w:val="24"/>
          <w:highlight w:val="none"/>
        </w:rPr>
      </w:pPr>
      <w:r>
        <w:rPr>
          <w:rFonts w:hint="eastAsia"/>
          <w:color w:val="auto"/>
          <w:sz w:val="24"/>
          <w:szCs w:val="24"/>
          <w:highlight w:val="none"/>
        </w:rPr>
        <w:t>本工程要求的质量标准为符合现行国家有关工程施工验收规范和标准的要求（合格）。</w:t>
      </w:r>
    </w:p>
    <w:p w14:paraId="4338F4F5">
      <w:pPr>
        <w:spacing w:line="360" w:lineRule="auto"/>
        <w:ind w:firstLine="480" w:firstLineChars="200"/>
        <w:rPr>
          <w:rFonts w:hint="eastAsia"/>
          <w:b/>
          <w:bCs/>
          <w:color w:val="auto"/>
          <w:sz w:val="24"/>
          <w:szCs w:val="24"/>
          <w:highlight w:val="none"/>
          <w:lang w:eastAsia="zh-CN"/>
        </w:rPr>
      </w:pPr>
      <w:r>
        <w:rPr>
          <w:rFonts w:hint="eastAsia"/>
          <w:color w:val="auto"/>
          <w:sz w:val="24"/>
          <w:szCs w:val="24"/>
          <w:highlight w:val="none"/>
        </w:rPr>
        <w:t>工程质量标准：</w:t>
      </w:r>
      <w:r>
        <w:rPr>
          <w:rFonts w:hint="eastAsia"/>
          <w:b/>
          <w:bCs/>
          <w:color w:val="auto"/>
          <w:sz w:val="24"/>
          <w:szCs w:val="24"/>
          <w:highlight w:val="none"/>
        </w:rPr>
        <w:t>合格</w:t>
      </w:r>
      <w:r>
        <w:rPr>
          <w:rFonts w:hint="eastAsia"/>
          <w:b/>
          <w:bCs/>
          <w:color w:val="auto"/>
          <w:sz w:val="24"/>
          <w:szCs w:val="24"/>
          <w:highlight w:val="none"/>
          <w:lang w:eastAsia="zh-CN"/>
        </w:rPr>
        <w:t>。</w:t>
      </w:r>
    </w:p>
    <w:p w14:paraId="50A9BD67">
      <w:pPr>
        <w:pStyle w:val="22"/>
        <w:spacing w:line="360" w:lineRule="auto"/>
        <w:rPr>
          <w:rFonts w:hint="default" w:ascii="宋体" w:hAnsi="宋体" w:eastAsia="宋体" w:cs="宋体"/>
          <w:b/>
          <w:bCs/>
          <w:color w:val="auto"/>
          <w:sz w:val="24"/>
          <w:szCs w:val="24"/>
          <w:highlight w:val="none"/>
          <w:lang w:val="en-US" w:eastAsia="zh-CN"/>
        </w:rPr>
      </w:pPr>
      <w:r>
        <w:rPr>
          <w:rFonts w:hint="eastAsia"/>
          <w:b/>
          <w:bCs/>
          <w:color w:val="auto"/>
          <w:sz w:val="24"/>
          <w:szCs w:val="24"/>
          <w:highlight w:val="none"/>
          <w:lang w:val="en-US" w:eastAsia="zh-CN"/>
        </w:rPr>
        <w:t>六、</w:t>
      </w:r>
      <w:r>
        <w:rPr>
          <w:rFonts w:hint="eastAsia" w:cs="宋体"/>
          <w:b/>
          <w:bCs/>
          <w:color w:val="auto"/>
          <w:sz w:val="24"/>
          <w:szCs w:val="24"/>
          <w:highlight w:val="none"/>
          <w:lang w:val="en-US" w:eastAsia="zh-CN"/>
        </w:rPr>
        <w:t>付款方式</w:t>
      </w:r>
    </w:p>
    <w:p w14:paraId="62523D8F">
      <w:pPr>
        <w:pStyle w:val="22"/>
        <w:spacing w:line="360" w:lineRule="auto"/>
        <w:ind w:firstLine="480" w:firstLineChars="200"/>
        <w:rPr>
          <w:rFonts w:hint="eastAsia" w:ascii="宋体" w:hAnsi="宋体" w:eastAsia="宋体" w:cs="宋体"/>
          <w:color w:val="auto"/>
          <w:sz w:val="24"/>
          <w:szCs w:val="24"/>
          <w:highlight w:val="none"/>
          <w:lang w:eastAsia="zh-CN"/>
        </w:rPr>
      </w:pPr>
      <w:r>
        <w:rPr>
          <w:rFonts w:hint="eastAsia" w:cs="宋体"/>
          <w:color w:val="auto"/>
          <w:sz w:val="24"/>
          <w:szCs w:val="24"/>
          <w:highlight w:val="none"/>
          <w:lang w:val="en-US" w:eastAsia="zh-CN"/>
        </w:rPr>
        <w:t>详见合同部分付款方式</w:t>
      </w:r>
      <w:r>
        <w:rPr>
          <w:rFonts w:hint="eastAsia" w:ascii="宋体" w:hAnsi="宋体" w:eastAsia="宋体" w:cs="宋体"/>
          <w:color w:val="auto"/>
          <w:sz w:val="24"/>
          <w:szCs w:val="24"/>
          <w:highlight w:val="none"/>
          <w:lang w:eastAsia="zh-CN"/>
        </w:rPr>
        <w:t>。</w:t>
      </w:r>
    </w:p>
    <w:p w14:paraId="182F4C81">
      <w:pPr>
        <w:spacing w:line="360" w:lineRule="auto"/>
        <w:rPr>
          <w:b/>
          <w:bCs/>
          <w:color w:val="auto"/>
          <w:sz w:val="24"/>
          <w:szCs w:val="24"/>
          <w:highlight w:val="none"/>
        </w:rPr>
      </w:pPr>
      <w:r>
        <w:rPr>
          <w:rFonts w:hint="eastAsia"/>
          <w:b/>
          <w:bCs/>
          <w:color w:val="auto"/>
          <w:sz w:val="24"/>
          <w:szCs w:val="24"/>
          <w:highlight w:val="none"/>
          <w:lang w:val="en-US" w:eastAsia="zh-CN"/>
        </w:rPr>
        <w:t>七、其他</w:t>
      </w:r>
      <w:r>
        <w:rPr>
          <w:rFonts w:hint="eastAsia"/>
          <w:b/>
          <w:bCs/>
          <w:color w:val="auto"/>
          <w:sz w:val="24"/>
          <w:szCs w:val="24"/>
          <w:highlight w:val="none"/>
        </w:rPr>
        <w:t>要求</w:t>
      </w:r>
    </w:p>
    <w:p w14:paraId="5871E49D">
      <w:pPr>
        <w:pStyle w:val="42"/>
        <w:keepNext w:val="0"/>
        <w:keepLines w:val="0"/>
        <w:pageBreakBefore w:val="0"/>
        <w:framePr w:hSpace="0" w:wrap="auto" w:vAnchor="margin" w:hAnchor="text" w:xAlign="left" w:yAlign="inline"/>
        <w:widowControl w:val="0"/>
        <w:numPr>
          <w:ilvl w:val="0"/>
          <w:numId w:val="9"/>
        </w:numPr>
        <w:kinsoku/>
        <w:wordWrap/>
        <w:overflowPunct/>
        <w:topLinePunct w:val="0"/>
        <w:autoSpaceDE/>
        <w:autoSpaceDN/>
        <w:bidi w:val="0"/>
        <w:adjustRightInd/>
        <w:snapToGrid/>
        <w:spacing w:line="360" w:lineRule="auto"/>
        <w:ind w:left="845" w:leftChars="0" w:hanging="425" w:firstLineChars="0"/>
        <w:jc w:val="left"/>
        <w:textAlignment w:val="auto"/>
        <w:rPr>
          <w:rFonts w:hint="eastAsia" w:ascii="宋体" w:hAnsi="宋体"/>
          <w:color w:val="auto"/>
          <w:sz w:val="24"/>
          <w:szCs w:val="24"/>
          <w:highlight w:val="none"/>
          <w:lang w:eastAsia="zh-CN"/>
        </w:rPr>
      </w:pPr>
      <w:r>
        <w:rPr>
          <w:rFonts w:hint="eastAsia" w:ascii="宋体" w:hAnsi="宋体"/>
          <w:color w:val="auto"/>
          <w:sz w:val="24"/>
          <w:szCs w:val="24"/>
          <w:highlight w:val="none"/>
        </w:rPr>
        <w:t>工程名称：</w:t>
      </w:r>
      <w:r>
        <w:rPr>
          <w:rFonts w:hint="eastAsia" w:ascii="宋体" w:hAnsi="宋体"/>
          <w:color w:val="auto"/>
          <w:sz w:val="24"/>
          <w:szCs w:val="24"/>
          <w:highlight w:val="none"/>
          <w:lang w:eastAsia="zh-CN"/>
        </w:rPr>
        <w:t>北京大学附属中学丰台学校综合楼漏水维修项目</w:t>
      </w:r>
    </w:p>
    <w:p w14:paraId="71735C39">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建设单位：</w:t>
      </w:r>
      <w:r>
        <w:rPr>
          <w:rFonts w:hint="eastAsia" w:ascii="宋体" w:hAnsi="宋体" w:cs="Times New Roman"/>
          <w:color w:val="auto"/>
          <w:kern w:val="2"/>
          <w:sz w:val="24"/>
          <w:szCs w:val="24"/>
          <w:highlight w:val="none"/>
          <w:lang w:val="en-US" w:eastAsia="zh-CN" w:bidi="ar-SA"/>
        </w:rPr>
        <w:t>北京大学附属中学丰台学校</w:t>
      </w:r>
    </w:p>
    <w:p w14:paraId="478729A1">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缺陷责任期；</w:t>
      </w:r>
      <w:r>
        <w:rPr>
          <w:rFonts w:hint="eastAsia" w:ascii="宋体" w:hAnsi="宋体" w:cs="Times New Roman"/>
          <w:color w:val="auto"/>
          <w:kern w:val="2"/>
          <w:sz w:val="24"/>
          <w:szCs w:val="24"/>
          <w:highlight w:val="none"/>
          <w:lang w:val="en-US" w:eastAsia="zh-CN" w:bidi="ar-SA"/>
        </w:rPr>
        <w:t>12</w:t>
      </w:r>
      <w:r>
        <w:rPr>
          <w:rFonts w:hint="eastAsia" w:ascii="宋体" w:hAnsi="宋体" w:eastAsia="宋体" w:cs="Times New Roman"/>
          <w:color w:val="auto"/>
          <w:kern w:val="2"/>
          <w:sz w:val="24"/>
          <w:szCs w:val="24"/>
          <w:highlight w:val="none"/>
          <w:lang w:val="en-US" w:eastAsia="zh-CN" w:bidi="ar-SA"/>
        </w:rPr>
        <w:t>个月</w:t>
      </w:r>
      <w:r>
        <w:rPr>
          <w:rFonts w:hint="eastAsia" w:ascii="宋体" w:hAnsi="宋体" w:cs="Times New Roman"/>
          <w:color w:val="auto"/>
          <w:kern w:val="2"/>
          <w:sz w:val="24"/>
          <w:szCs w:val="24"/>
          <w:highlight w:val="none"/>
          <w:lang w:val="en-US" w:eastAsia="zh-CN" w:bidi="ar-SA"/>
        </w:rPr>
        <w:t xml:space="preserve">   </w:t>
      </w:r>
    </w:p>
    <w:p w14:paraId="554E128C">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cs="Times New Roman"/>
          <w:color w:val="auto"/>
          <w:kern w:val="2"/>
          <w:sz w:val="24"/>
          <w:szCs w:val="24"/>
          <w:highlight w:val="none"/>
          <w:lang w:val="en-US" w:eastAsia="zh-CN" w:bidi="ar-SA"/>
        </w:rPr>
        <w:t>招标控制价</w:t>
      </w:r>
      <w:r>
        <w:rPr>
          <w:rFonts w:hint="eastAsia" w:ascii="宋体" w:hAnsi="宋体" w:eastAsia="宋体" w:cs="Times New Roman"/>
          <w:color w:val="auto"/>
          <w:kern w:val="2"/>
          <w:sz w:val="24"/>
          <w:szCs w:val="24"/>
          <w:highlight w:val="none"/>
          <w:lang w:val="en-US" w:eastAsia="zh-CN" w:bidi="ar-SA"/>
        </w:rPr>
        <w:t>：</w:t>
      </w:r>
      <w:r>
        <w:rPr>
          <w:rFonts w:hint="eastAsia" w:ascii="????" w:hAnsi="????" w:eastAsia="????"/>
          <w:color w:val="auto"/>
          <w:sz w:val="24"/>
          <w:szCs w:val="24"/>
          <w:highlight w:val="none"/>
        </w:rPr>
        <w:t>1722035.01</w:t>
      </w:r>
      <w:r>
        <w:rPr>
          <w:rFonts w:hint="eastAsia" w:ascii="宋体" w:hAnsi="宋体" w:eastAsia="宋体" w:cs="Times New Roman"/>
          <w:color w:val="auto"/>
          <w:kern w:val="2"/>
          <w:sz w:val="24"/>
          <w:szCs w:val="24"/>
          <w:highlight w:val="none"/>
          <w:u w:val="none"/>
          <w:lang w:val="en-US" w:eastAsia="zh-CN" w:bidi="ar-SA"/>
        </w:rPr>
        <w:t>元</w:t>
      </w:r>
      <w:r>
        <w:rPr>
          <w:rFonts w:hint="eastAsia" w:ascii="宋体" w:hAnsi="宋体" w:eastAsia="宋体" w:cs="Times New Roman"/>
          <w:color w:val="auto"/>
          <w:kern w:val="2"/>
          <w:sz w:val="24"/>
          <w:szCs w:val="24"/>
          <w:highlight w:val="none"/>
          <w:lang w:val="en-US" w:eastAsia="zh-CN" w:bidi="ar-SA"/>
        </w:rPr>
        <w:t>（人民币）</w:t>
      </w:r>
    </w:p>
    <w:p w14:paraId="3DAB808F">
      <w:pPr>
        <w:keepNext w:val="0"/>
        <w:keepLines w:val="0"/>
        <w:pageBreakBefore w:val="0"/>
        <w:widowControl w:val="0"/>
        <w:numPr>
          <w:ilvl w:val="0"/>
          <w:numId w:val="9"/>
        </w:numPr>
        <w:kinsoku/>
        <w:wordWrap/>
        <w:overflowPunct/>
        <w:topLinePunct w:val="0"/>
        <w:autoSpaceDE/>
        <w:autoSpaceDN/>
        <w:bidi w:val="0"/>
        <w:adjustRightInd/>
        <w:snapToGrid/>
        <w:spacing w:line="360" w:lineRule="auto"/>
        <w:ind w:left="845" w:leftChars="0" w:hanging="425" w:firstLineChars="0"/>
        <w:textAlignment w:val="auto"/>
        <w:rPr>
          <w:rFonts w:hint="eastAsia" w:ascii="宋体" w:hAnsi="宋体" w:eastAsia="宋体" w:cs="Times New Roman"/>
          <w:color w:val="auto"/>
          <w:kern w:val="2"/>
          <w:sz w:val="24"/>
          <w:szCs w:val="24"/>
          <w:highlight w:val="none"/>
          <w:lang w:val="en-US" w:eastAsia="zh-CN" w:bidi="ar-SA"/>
        </w:rPr>
      </w:pPr>
      <w:r>
        <w:rPr>
          <w:rFonts w:hint="eastAsia" w:ascii="宋体" w:hAnsi="宋体" w:eastAsia="宋体" w:cs="Times New Roman"/>
          <w:color w:val="auto"/>
          <w:kern w:val="2"/>
          <w:sz w:val="24"/>
          <w:szCs w:val="24"/>
          <w:highlight w:val="none"/>
          <w:lang w:val="en-US" w:eastAsia="zh-CN" w:bidi="ar-SA"/>
        </w:rPr>
        <w:t>其他要求：供应商应仔细核对图纸及工程量清单中全部内容，图纸或工程量清单中已包含的内容视为均已包含在供应商应答总价中</w:t>
      </w:r>
      <w:r>
        <w:rPr>
          <w:rFonts w:hint="eastAsia" w:ascii="宋体" w:hAnsi="宋体" w:cs="Times New Roman"/>
          <w:color w:val="auto"/>
          <w:kern w:val="2"/>
          <w:sz w:val="24"/>
          <w:szCs w:val="24"/>
          <w:highlight w:val="none"/>
          <w:lang w:val="en-US" w:eastAsia="zh-CN" w:bidi="ar-SA"/>
        </w:rPr>
        <w:t>。</w:t>
      </w:r>
    </w:p>
    <w:p w14:paraId="1C39AE43">
      <w:pPr>
        <w:spacing w:line="360" w:lineRule="auto"/>
        <w:jc w:val="left"/>
        <w:rPr>
          <w:rFonts w:hint="eastAsia" w:ascii="宋体" w:hAnsi="宋体"/>
          <w:b/>
          <w:bCs/>
          <w:color w:val="auto"/>
          <w:sz w:val="24"/>
          <w:szCs w:val="24"/>
          <w:highlight w:val="none"/>
        </w:rPr>
      </w:pPr>
      <w:r>
        <w:rPr>
          <w:rFonts w:hint="eastAsia" w:ascii="宋体" w:hAnsi="宋体"/>
          <w:b/>
          <w:bCs/>
          <w:color w:val="auto"/>
          <w:sz w:val="24"/>
          <w:szCs w:val="24"/>
          <w:highlight w:val="none"/>
          <w:lang w:val="en-US" w:eastAsia="zh-CN"/>
        </w:rPr>
        <w:t>八</w:t>
      </w:r>
      <w:r>
        <w:rPr>
          <w:rFonts w:hint="eastAsia" w:ascii="宋体" w:hAnsi="宋体"/>
          <w:b/>
          <w:bCs/>
          <w:color w:val="auto"/>
          <w:sz w:val="24"/>
          <w:szCs w:val="24"/>
          <w:highlight w:val="none"/>
        </w:rPr>
        <w:t>、成果文件：</w:t>
      </w:r>
    </w:p>
    <w:p w14:paraId="0EDA377C">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1. 成果文件的组成：竣工验收全部资料</w:t>
      </w:r>
      <w:r>
        <w:rPr>
          <w:rFonts w:ascii="宋体" w:hAnsi="宋体"/>
          <w:color w:val="auto"/>
          <w:sz w:val="24"/>
          <w:szCs w:val="24"/>
          <w:highlight w:val="none"/>
        </w:rPr>
        <w:t xml:space="preserve"> </w:t>
      </w:r>
    </w:p>
    <w:p w14:paraId="2994C366">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2. 成果文件的份数要求：纸质文件一式</w:t>
      </w: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份（需盖章）。</w:t>
      </w:r>
    </w:p>
    <w:p w14:paraId="478C0FB5">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3. 成果文件的载体要求</w:t>
      </w:r>
    </w:p>
    <w:p w14:paraId="7924B6F6">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（1）纸质版的要求；验收报告采用 A4 纸装订；</w:t>
      </w:r>
    </w:p>
    <w:p w14:paraId="51D60F0C">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（2）电子版的要求；/。</w:t>
      </w:r>
    </w:p>
    <w:p w14:paraId="090A7BF9">
      <w:pPr>
        <w:spacing w:line="360" w:lineRule="auto"/>
        <w:ind w:firstLine="424" w:firstLineChars="177"/>
        <w:jc w:val="left"/>
        <w:rPr>
          <w:rFonts w:hint="eastAsia" w:ascii="宋体" w:hAnsi="宋体"/>
          <w:color w:val="auto"/>
          <w:sz w:val="24"/>
          <w:szCs w:val="24"/>
          <w:highlight w:val="none"/>
        </w:rPr>
      </w:pPr>
      <w:r>
        <w:rPr>
          <w:rFonts w:hint="eastAsia" w:ascii="宋体" w:hAnsi="宋体"/>
          <w:color w:val="auto"/>
          <w:sz w:val="24"/>
          <w:szCs w:val="24"/>
          <w:highlight w:val="none"/>
        </w:rPr>
        <w:t>（3）其他要求：/。</w:t>
      </w:r>
    </w:p>
    <w:p w14:paraId="3C753EE2">
      <w:pPr>
        <w:spacing w:line="360" w:lineRule="auto"/>
        <w:rPr>
          <w:rFonts w:hint="eastAsia" w:ascii="宋体" w:hAnsi="宋体"/>
          <w:b/>
          <w:bCs w:val="0"/>
          <w:color w:val="auto"/>
          <w:sz w:val="24"/>
          <w:szCs w:val="24"/>
          <w:highlight w:val="none"/>
        </w:rPr>
      </w:pPr>
      <w:r>
        <w:rPr>
          <w:rFonts w:hint="eastAsia" w:ascii="宋体" w:hAnsi="宋体"/>
          <w:b/>
          <w:bCs w:val="0"/>
          <w:color w:val="auto"/>
          <w:sz w:val="24"/>
          <w:szCs w:val="24"/>
          <w:highlight w:val="none"/>
          <w:lang w:val="en-US" w:eastAsia="zh-CN"/>
        </w:rPr>
        <w:t>九</w:t>
      </w:r>
      <w:r>
        <w:rPr>
          <w:rFonts w:hint="eastAsia" w:ascii="宋体" w:hAnsi="宋体"/>
          <w:b/>
          <w:bCs w:val="0"/>
          <w:color w:val="auto"/>
          <w:sz w:val="24"/>
          <w:szCs w:val="24"/>
          <w:highlight w:val="none"/>
        </w:rPr>
        <w:t>、项目履约验收</w:t>
      </w:r>
    </w:p>
    <w:p w14:paraId="0A94C778">
      <w:pPr>
        <w:widowControl/>
        <w:spacing w:line="360" w:lineRule="auto"/>
        <w:ind w:firstLine="424" w:firstLineChars="177"/>
        <w:jc w:val="left"/>
        <w:rPr>
          <w:rFonts w:hint="eastAsia" w:ascii="宋体" w:hAnsi="宋体"/>
          <w:bCs/>
          <w:color w:val="auto"/>
          <w:sz w:val="24"/>
          <w:szCs w:val="24"/>
          <w:highlight w:val="none"/>
        </w:rPr>
      </w:pPr>
      <w:r>
        <w:rPr>
          <w:rFonts w:hint="eastAsia" w:ascii="宋体" w:hAnsi="宋体"/>
          <w:bCs/>
          <w:color w:val="auto"/>
          <w:sz w:val="24"/>
          <w:szCs w:val="24"/>
          <w:highlight w:val="none"/>
        </w:rPr>
        <w:t>工程质量应符合</w:t>
      </w:r>
      <w:r>
        <w:rPr>
          <w:rFonts w:hint="eastAsia" w:ascii="宋体" w:hAnsi="宋体"/>
          <w:bCs/>
          <w:color w:val="auto"/>
          <w:sz w:val="24"/>
          <w:szCs w:val="24"/>
          <w:highlight w:val="none"/>
          <w:lang w:val="en-US" w:eastAsia="zh-CN"/>
        </w:rPr>
        <w:t>国家法律法规</w:t>
      </w:r>
      <w:r>
        <w:rPr>
          <w:rFonts w:hint="eastAsia" w:ascii="宋体" w:hAnsi="宋体"/>
          <w:bCs/>
          <w:color w:val="auto"/>
          <w:sz w:val="24"/>
          <w:szCs w:val="24"/>
          <w:highlight w:val="none"/>
        </w:rPr>
        <w:t>和相关专业验收规范的规定。</w:t>
      </w:r>
    </w:p>
    <w:p w14:paraId="3BFC0975">
      <w:pPr>
        <w:widowControl/>
        <w:spacing w:line="360" w:lineRule="auto"/>
        <w:ind w:firstLine="424" w:firstLineChars="177"/>
        <w:jc w:val="left"/>
        <w:rPr>
          <w:rFonts w:hint="eastAsia" w:ascii="宋体" w:hAnsi="宋体"/>
          <w:bCs/>
          <w:color w:val="auto"/>
          <w:sz w:val="24"/>
          <w:szCs w:val="24"/>
          <w:highlight w:val="none"/>
        </w:rPr>
      </w:pPr>
      <w:r>
        <w:rPr>
          <w:rFonts w:hint="eastAsia" w:ascii="宋体" w:hAnsi="宋体"/>
          <w:bCs/>
          <w:color w:val="auto"/>
          <w:sz w:val="24"/>
          <w:szCs w:val="24"/>
          <w:highlight w:val="none"/>
        </w:rPr>
        <w:t>工程施工应符合工程勘察、设计文件的要求。</w:t>
      </w:r>
    </w:p>
    <w:p w14:paraId="1509EF43">
      <w:pPr>
        <w:widowControl/>
        <w:spacing w:line="360" w:lineRule="auto"/>
        <w:ind w:firstLine="424" w:firstLineChars="177"/>
        <w:jc w:val="left"/>
        <w:rPr>
          <w:rFonts w:hint="eastAsia" w:ascii="宋体" w:hAnsi="宋体"/>
          <w:bCs/>
          <w:color w:val="auto"/>
          <w:sz w:val="24"/>
          <w:szCs w:val="24"/>
          <w:highlight w:val="none"/>
        </w:rPr>
      </w:pPr>
      <w:r>
        <w:rPr>
          <w:rFonts w:hint="eastAsia" w:ascii="宋体" w:hAnsi="宋体"/>
          <w:bCs/>
          <w:color w:val="auto"/>
          <w:sz w:val="24"/>
          <w:szCs w:val="24"/>
          <w:highlight w:val="none"/>
          <w:lang w:val="en-US" w:eastAsia="zh-CN"/>
        </w:rPr>
        <w:t>项目验收工作由建设单位组织，</w:t>
      </w:r>
      <w:r>
        <w:rPr>
          <w:rFonts w:hint="eastAsia" w:ascii="宋体" w:hAnsi="宋体"/>
          <w:bCs/>
          <w:color w:val="auto"/>
          <w:sz w:val="24"/>
          <w:szCs w:val="24"/>
          <w:highlight w:val="none"/>
        </w:rPr>
        <w:t>参加工程验收的人员应具备相应的资格。</w:t>
      </w:r>
    </w:p>
    <w:p w14:paraId="284872A9">
      <w:pPr>
        <w:widowControl/>
        <w:spacing w:line="360" w:lineRule="auto"/>
        <w:ind w:firstLine="424" w:firstLineChars="177"/>
        <w:jc w:val="left"/>
        <w:rPr>
          <w:rFonts w:hint="eastAsia" w:ascii="宋体" w:hAnsi="宋体"/>
          <w:bCs/>
          <w:color w:val="auto"/>
          <w:sz w:val="24"/>
          <w:szCs w:val="24"/>
          <w:highlight w:val="none"/>
        </w:rPr>
      </w:pPr>
      <w:r>
        <w:rPr>
          <w:rFonts w:hint="eastAsia" w:ascii="宋体" w:hAnsi="宋体"/>
          <w:bCs/>
          <w:color w:val="auto"/>
          <w:sz w:val="24"/>
          <w:szCs w:val="24"/>
          <w:highlight w:val="none"/>
        </w:rPr>
        <w:t>工程质量的验收应在承包人自行检查评定的基础上进行。</w:t>
      </w:r>
    </w:p>
    <w:p w14:paraId="0672A73D">
      <w:pPr>
        <w:widowControl/>
        <w:spacing w:line="360" w:lineRule="auto"/>
        <w:ind w:firstLine="424" w:firstLineChars="177"/>
        <w:jc w:val="left"/>
        <w:rPr>
          <w:rFonts w:hint="eastAsia" w:ascii="宋体" w:hAnsi="宋体"/>
          <w:bCs/>
          <w:color w:val="auto"/>
          <w:sz w:val="24"/>
          <w:szCs w:val="24"/>
          <w:highlight w:val="none"/>
        </w:rPr>
      </w:pPr>
      <w:r>
        <w:rPr>
          <w:rFonts w:hint="eastAsia" w:ascii="宋体" w:hAnsi="宋体"/>
          <w:bCs/>
          <w:color w:val="auto"/>
          <w:sz w:val="24"/>
          <w:szCs w:val="24"/>
          <w:highlight w:val="none"/>
        </w:rPr>
        <w:t>隐蔽工程在隐蔽前应由承包人通知有关单位进行验收，并应形成验收文件。</w:t>
      </w:r>
    </w:p>
    <w:p w14:paraId="24943AB2">
      <w:pPr>
        <w:numPr>
          <w:ilvl w:val="0"/>
          <w:numId w:val="0"/>
        </w:numPr>
        <w:spacing w:line="440" w:lineRule="exact"/>
        <w:rPr>
          <w:rFonts w:eastAsiaTheme="minorEastAsia"/>
          <w:b/>
          <w:bCs w:val="0"/>
          <w:color w:val="auto"/>
          <w:sz w:val="24"/>
          <w:szCs w:val="24"/>
          <w:highlight w:val="none"/>
        </w:rPr>
      </w:pPr>
      <w:r>
        <w:rPr>
          <w:rFonts w:hint="eastAsia" w:eastAsiaTheme="minorEastAsia"/>
          <w:b/>
          <w:bCs w:val="0"/>
          <w:color w:val="auto"/>
          <w:sz w:val="24"/>
          <w:szCs w:val="24"/>
          <w:highlight w:val="none"/>
          <w:lang w:val="en-US" w:eastAsia="zh-CN"/>
        </w:rPr>
        <w:t>十、</w:t>
      </w:r>
      <w:r>
        <w:rPr>
          <w:rFonts w:eastAsiaTheme="minorEastAsia"/>
          <w:b/>
          <w:bCs w:val="0"/>
          <w:color w:val="auto"/>
          <w:sz w:val="24"/>
          <w:szCs w:val="24"/>
          <w:highlight w:val="none"/>
        </w:rPr>
        <w:t>工程量清单（</w:t>
      </w:r>
      <w:r>
        <w:rPr>
          <w:rFonts w:hint="eastAsia" w:eastAsiaTheme="minorEastAsia"/>
          <w:b/>
          <w:bCs w:val="0"/>
          <w:color w:val="auto"/>
          <w:sz w:val="24"/>
          <w:szCs w:val="24"/>
          <w:highlight w:val="none"/>
          <w:lang w:val="en-US" w:eastAsia="zh-CN"/>
        </w:rPr>
        <w:t>另附</w:t>
      </w:r>
      <w:r>
        <w:rPr>
          <w:rFonts w:eastAsiaTheme="minorEastAsia"/>
          <w:b/>
          <w:bCs w:val="0"/>
          <w:color w:val="auto"/>
          <w:sz w:val="24"/>
          <w:szCs w:val="24"/>
          <w:highlight w:val="none"/>
        </w:rPr>
        <w:t>）</w:t>
      </w:r>
    </w:p>
    <w:p w14:paraId="2124A300">
      <w:pPr>
        <w:spacing w:line="360" w:lineRule="auto"/>
        <w:rPr>
          <w:rFonts w:hint="default"/>
          <w:b/>
          <w:bCs/>
          <w:color w:val="auto"/>
          <w:sz w:val="24"/>
          <w:szCs w:val="24"/>
          <w:highlight w:val="none"/>
          <w:lang w:val="en-US" w:eastAsia="zh-CN"/>
        </w:rPr>
      </w:pPr>
    </w:p>
    <w:p w14:paraId="3D58216A">
      <w:pPr>
        <w:rPr>
          <w:color w:val="auto"/>
          <w:sz w:val="24"/>
          <w:szCs w:val="24"/>
          <w:highlight w:val="none"/>
        </w:rPr>
      </w:pPr>
      <w:r>
        <w:rPr>
          <w:color w:val="auto"/>
          <w:sz w:val="24"/>
          <w:szCs w:val="24"/>
          <w:highlight w:val="none"/>
        </w:rPr>
        <w:br w:type="page"/>
      </w:r>
    </w:p>
    <w:p w14:paraId="07079341">
      <w:pPr>
        <w:numPr>
          <w:ilvl w:val="0"/>
          <w:numId w:val="10"/>
        </w:numPr>
        <w:spacing w:line="360" w:lineRule="auto"/>
        <w:jc w:val="center"/>
        <w:outlineLvl w:val="0"/>
        <w:rPr>
          <w:rFonts w:hint="eastAsia"/>
          <w:b/>
          <w:color w:val="auto"/>
          <w:sz w:val="24"/>
          <w:szCs w:val="24"/>
          <w:highlight w:val="none"/>
          <w:lang w:val="en-US" w:eastAsia="zh-CN"/>
        </w:rPr>
      </w:pPr>
      <w:r>
        <w:rPr>
          <w:b/>
          <w:color w:val="auto"/>
          <w:sz w:val="24"/>
          <w:szCs w:val="24"/>
          <w:highlight w:val="none"/>
        </w:rPr>
        <w:t xml:space="preserve">  </w:t>
      </w:r>
      <w:bookmarkStart w:id="677" w:name="_Toc24091"/>
      <w:r>
        <w:rPr>
          <w:rFonts w:hint="eastAsia"/>
          <w:b/>
          <w:color w:val="auto"/>
          <w:sz w:val="24"/>
          <w:szCs w:val="24"/>
          <w:highlight w:val="none"/>
          <w:lang w:val="en-US" w:eastAsia="zh-CN"/>
        </w:rPr>
        <w:t>工程量清单</w:t>
      </w:r>
      <w:bookmarkEnd w:id="677"/>
    </w:p>
    <w:p w14:paraId="683630FB">
      <w:pPr>
        <w:numPr>
          <w:ilvl w:val="0"/>
          <w:numId w:val="0"/>
        </w:numPr>
        <w:spacing w:line="360" w:lineRule="auto"/>
        <w:jc w:val="center"/>
        <w:outlineLvl w:val="9"/>
        <w:rPr>
          <w:rFonts w:hint="default"/>
          <w:b/>
          <w:color w:val="auto"/>
          <w:sz w:val="24"/>
          <w:szCs w:val="24"/>
          <w:highlight w:val="none"/>
          <w:lang w:val="en-US" w:eastAsia="zh-CN"/>
        </w:rPr>
      </w:pPr>
      <w:r>
        <w:rPr>
          <w:rFonts w:hint="eastAsia"/>
          <w:b/>
          <w:color w:val="auto"/>
          <w:sz w:val="24"/>
          <w:szCs w:val="24"/>
          <w:highlight w:val="none"/>
          <w:lang w:val="en-US" w:eastAsia="zh-CN"/>
        </w:rPr>
        <w:t>另附</w:t>
      </w:r>
    </w:p>
    <w:p w14:paraId="72E700C9">
      <w:pPr>
        <w:rPr>
          <w:b/>
          <w:color w:val="auto"/>
          <w:sz w:val="24"/>
          <w:szCs w:val="24"/>
          <w:highlight w:val="none"/>
        </w:rPr>
      </w:pPr>
      <w:r>
        <w:rPr>
          <w:b/>
          <w:color w:val="auto"/>
          <w:sz w:val="24"/>
          <w:szCs w:val="24"/>
          <w:highlight w:val="none"/>
        </w:rPr>
        <w:br w:type="page"/>
      </w:r>
    </w:p>
    <w:p w14:paraId="3D7BCD22">
      <w:pPr>
        <w:spacing w:line="360" w:lineRule="auto"/>
        <w:jc w:val="center"/>
        <w:outlineLvl w:val="0"/>
        <w:rPr>
          <w:b/>
          <w:color w:val="auto"/>
          <w:sz w:val="24"/>
          <w:szCs w:val="24"/>
          <w:highlight w:val="none"/>
        </w:rPr>
      </w:pPr>
      <w:bookmarkStart w:id="678" w:name="_Toc27630"/>
      <w:r>
        <w:rPr>
          <w:b/>
          <w:color w:val="auto"/>
          <w:sz w:val="24"/>
          <w:szCs w:val="24"/>
          <w:highlight w:val="none"/>
        </w:rPr>
        <w:t>第</w:t>
      </w:r>
      <w:r>
        <w:rPr>
          <w:rFonts w:hint="eastAsia"/>
          <w:b/>
          <w:color w:val="auto"/>
          <w:sz w:val="24"/>
          <w:szCs w:val="24"/>
          <w:highlight w:val="none"/>
          <w:lang w:val="en-US" w:eastAsia="zh-CN"/>
        </w:rPr>
        <w:t>六</w:t>
      </w:r>
      <w:r>
        <w:rPr>
          <w:b/>
          <w:color w:val="auto"/>
          <w:sz w:val="24"/>
          <w:szCs w:val="24"/>
          <w:highlight w:val="none"/>
        </w:rPr>
        <w:t>章  合同草案条款</w:t>
      </w:r>
      <w:bookmarkEnd w:id="678"/>
    </w:p>
    <w:p w14:paraId="6C7003B8">
      <w:pPr>
        <w:rPr>
          <w:color w:val="auto"/>
          <w:sz w:val="24"/>
          <w:szCs w:val="24"/>
          <w:highlight w:val="none"/>
        </w:rPr>
      </w:pPr>
    </w:p>
    <w:p w14:paraId="2DD2C22D">
      <w:pPr>
        <w:rPr>
          <w:rFonts w:hint="eastAsia"/>
          <w:color w:val="auto"/>
          <w:sz w:val="24"/>
          <w:szCs w:val="24"/>
          <w:highlight w:val="none"/>
          <w:lang w:eastAsia="zh-CN"/>
        </w:rPr>
      </w:pPr>
    </w:p>
    <w:p w14:paraId="097000BB">
      <w:pPr>
        <w:spacing w:line="560" w:lineRule="exact"/>
        <w:rPr>
          <w:rFonts w:hint="eastAsia" w:ascii="宋体" w:hAnsi="宋体" w:eastAsia="宋体" w:cs="宋体"/>
          <w:iCs/>
          <w:color w:val="auto"/>
          <w:sz w:val="24"/>
          <w:szCs w:val="24"/>
          <w:highlight w:val="none"/>
          <w:lang w:eastAsia="zh-CN"/>
        </w:rPr>
      </w:pPr>
    </w:p>
    <w:p w14:paraId="173B3FBF">
      <w:pPr>
        <w:jc w:val="left"/>
        <w:rPr>
          <w:color w:val="auto"/>
          <w:sz w:val="24"/>
          <w:szCs w:val="24"/>
          <w:highlight w:val="none"/>
        </w:rPr>
      </w:pPr>
      <w:r>
        <w:rPr>
          <w:rFonts w:hint="eastAsia"/>
          <w:color w:val="auto"/>
          <w:sz w:val="24"/>
          <w:szCs w:val="24"/>
          <w:highlight w:val="none"/>
        </w:rPr>
        <w:t>合同编号：</w:t>
      </w:r>
    </w:p>
    <w:p w14:paraId="4CEE6D13">
      <w:pPr>
        <w:rPr>
          <w:color w:val="auto"/>
          <w:sz w:val="24"/>
          <w:szCs w:val="24"/>
          <w:highlight w:val="none"/>
        </w:rPr>
      </w:pPr>
    </w:p>
    <w:p w14:paraId="0C40523C">
      <w:pPr>
        <w:rPr>
          <w:color w:val="auto"/>
          <w:sz w:val="24"/>
          <w:szCs w:val="24"/>
          <w:highlight w:val="none"/>
        </w:rPr>
      </w:pPr>
    </w:p>
    <w:p w14:paraId="0940BE2A">
      <w:pPr>
        <w:rPr>
          <w:color w:val="auto"/>
          <w:sz w:val="24"/>
          <w:szCs w:val="24"/>
          <w:highlight w:val="none"/>
        </w:rPr>
      </w:pPr>
    </w:p>
    <w:p w14:paraId="27024429">
      <w:pPr>
        <w:rPr>
          <w:color w:val="auto"/>
          <w:sz w:val="24"/>
          <w:szCs w:val="24"/>
          <w:highlight w:val="none"/>
        </w:rPr>
      </w:pPr>
    </w:p>
    <w:p w14:paraId="05E35031">
      <w:pPr>
        <w:rPr>
          <w:color w:val="auto"/>
          <w:sz w:val="24"/>
          <w:szCs w:val="24"/>
          <w:highlight w:val="none"/>
        </w:rPr>
      </w:pPr>
    </w:p>
    <w:p w14:paraId="29BD98EC">
      <w:pPr>
        <w:rPr>
          <w:color w:val="auto"/>
          <w:sz w:val="24"/>
          <w:szCs w:val="24"/>
          <w:highlight w:val="none"/>
        </w:rPr>
      </w:pPr>
    </w:p>
    <w:p w14:paraId="3694C717">
      <w:pPr>
        <w:rPr>
          <w:color w:val="auto"/>
          <w:sz w:val="24"/>
          <w:szCs w:val="24"/>
          <w:highlight w:val="none"/>
        </w:rPr>
      </w:pPr>
    </w:p>
    <w:p w14:paraId="09F09E7F">
      <w:pPr>
        <w:rPr>
          <w:color w:val="auto"/>
          <w:sz w:val="24"/>
          <w:szCs w:val="24"/>
          <w:highlight w:val="none"/>
        </w:rPr>
      </w:pPr>
    </w:p>
    <w:p w14:paraId="62FA73D4">
      <w:pPr>
        <w:rPr>
          <w:color w:val="auto"/>
          <w:sz w:val="24"/>
          <w:szCs w:val="24"/>
          <w:highlight w:val="none"/>
        </w:rPr>
      </w:pPr>
    </w:p>
    <w:p w14:paraId="547826C4">
      <w:pPr>
        <w:rPr>
          <w:color w:val="auto"/>
          <w:sz w:val="24"/>
          <w:szCs w:val="24"/>
          <w:highlight w:val="none"/>
        </w:rPr>
      </w:pPr>
    </w:p>
    <w:p w14:paraId="57CE9A8A">
      <w:pPr>
        <w:rPr>
          <w:color w:val="auto"/>
          <w:sz w:val="24"/>
          <w:szCs w:val="24"/>
          <w:highlight w:val="none"/>
        </w:rPr>
      </w:pPr>
    </w:p>
    <w:p w14:paraId="35CC8166">
      <w:pPr>
        <w:rPr>
          <w:color w:val="auto"/>
          <w:sz w:val="24"/>
          <w:szCs w:val="24"/>
          <w:highlight w:val="none"/>
        </w:rPr>
      </w:pPr>
    </w:p>
    <w:p w14:paraId="3931CDDF">
      <w:pPr>
        <w:rPr>
          <w:color w:val="auto"/>
          <w:sz w:val="24"/>
          <w:szCs w:val="24"/>
          <w:highlight w:val="none"/>
        </w:rPr>
      </w:pPr>
    </w:p>
    <w:p w14:paraId="72A05667">
      <w:pPr>
        <w:rPr>
          <w:color w:val="auto"/>
          <w:sz w:val="24"/>
          <w:szCs w:val="24"/>
          <w:highlight w:val="none"/>
        </w:rPr>
      </w:pPr>
    </w:p>
    <w:p w14:paraId="798882BB">
      <w:pPr>
        <w:jc w:val="center"/>
        <w:rPr>
          <w:color w:val="auto"/>
          <w:sz w:val="24"/>
          <w:szCs w:val="24"/>
          <w:highlight w:val="none"/>
        </w:rPr>
      </w:pPr>
      <w:r>
        <w:rPr>
          <w:rFonts w:hint="eastAsia"/>
          <w:color w:val="auto"/>
          <w:sz w:val="24"/>
          <w:szCs w:val="24"/>
          <w:highlight w:val="none"/>
        </w:rPr>
        <w:t>建设工程施工合同</w:t>
      </w:r>
    </w:p>
    <w:p w14:paraId="69F5D523">
      <w:pPr>
        <w:jc w:val="center"/>
        <w:rPr>
          <w:color w:val="auto"/>
          <w:sz w:val="24"/>
          <w:szCs w:val="24"/>
          <w:highlight w:val="none"/>
        </w:rPr>
      </w:pPr>
    </w:p>
    <w:p w14:paraId="651D7F8D">
      <w:pPr>
        <w:jc w:val="center"/>
        <w:rPr>
          <w:color w:val="auto"/>
          <w:sz w:val="24"/>
          <w:szCs w:val="24"/>
          <w:highlight w:val="none"/>
        </w:rPr>
      </w:pPr>
    </w:p>
    <w:p w14:paraId="2AFBE7C7">
      <w:pPr>
        <w:jc w:val="center"/>
        <w:rPr>
          <w:color w:val="auto"/>
          <w:sz w:val="24"/>
          <w:szCs w:val="24"/>
          <w:highlight w:val="none"/>
        </w:rPr>
      </w:pPr>
    </w:p>
    <w:p w14:paraId="3DC28935">
      <w:pPr>
        <w:rPr>
          <w:color w:val="auto"/>
          <w:sz w:val="24"/>
          <w:szCs w:val="24"/>
          <w:highlight w:val="none"/>
        </w:rPr>
      </w:pPr>
    </w:p>
    <w:p w14:paraId="35213B57">
      <w:pPr>
        <w:rPr>
          <w:color w:val="auto"/>
          <w:sz w:val="24"/>
          <w:szCs w:val="24"/>
          <w:highlight w:val="none"/>
        </w:rPr>
      </w:pPr>
    </w:p>
    <w:p w14:paraId="462C2592">
      <w:pPr>
        <w:spacing w:line="360" w:lineRule="auto"/>
        <w:rPr>
          <w:rFonts w:ascii="宋体" w:hAnsi="宋体" w:cs="Arial"/>
          <w:color w:val="auto"/>
          <w:sz w:val="24"/>
          <w:szCs w:val="24"/>
          <w:highlight w:val="none"/>
          <w:u w:val="single"/>
        </w:rPr>
      </w:pPr>
      <w:r>
        <w:rPr>
          <w:rFonts w:hint="eastAsia"/>
          <w:color w:val="auto"/>
          <w:sz w:val="24"/>
          <w:szCs w:val="24"/>
          <w:highlight w:val="none"/>
        </w:rPr>
        <w:t>工 程 名 称 ：</w:t>
      </w:r>
      <w:r>
        <w:rPr>
          <w:rFonts w:hint="eastAsia"/>
          <w:color w:val="auto"/>
          <w:sz w:val="24"/>
          <w:szCs w:val="24"/>
          <w:highlight w:val="none"/>
          <w:lang w:eastAsia="zh-CN"/>
        </w:rPr>
        <w:t>北京大学附属中学丰台学校综合楼漏水维修项目</w:t>
      </w:r>
    </w:p>
    <w:p w14:paraId="3ED1AFE1">
      <w:pPr>
        <w:rPr>
          <w:b/>
          <w:color w:val="auto"/>
          <w:sz w:val="24"/>
          <w:szCs w:val="24"/>
          <w:highlight w:val="none"/>
        </w:rPr>
      </w:pPr>
    </w:p>
    <w:p w14:paraId="14E0C31C">
      <w:pPr>
        <w:jc w:val="center"/>
        <w:rPr>
          <w:b/>
          <w:color w:val="auto"/>
          <w:sz w:val="24"/>
          <w:szCs w:val="24"/>
          <w:highlight w:val="none"/>
        </w:rPr>
      </w:pPr>
    </w:p>
    <w:p w14:paraId="7D9893EC">
      <w:pPr>
        <w:jc w:val="center"/>
        <w:rPr>
          <w:b/>
          <w:color w:val="auto"/>
          <w:sz w:val="24"/>
          <w:szCs w:val="24"/>
          <w:highlight w:val="none"/>
        </w:rPr>
      </w:pPr>
    </w:p>
    <w:p w14:paraId="25844893">
      <w:pPr>
        <w:jc w:val="center"/>
        <w:rPr>
          <w:b/>
          <w:color w:val="auto"/>
          <w:sz w:val="24"/>
          <w:szCs w:val="24"/>
          <w:highlight w:val="none"/>
        </w:rPr>
      </w:pPr>
    </w:p>
    <w:p w14:paraId="3845BDCE">
      <w:pPr>
        <w:spacing w:line="360" w:lineRule="auto"/>
        <w:jc w:val="center"/>
        <w:rPr>
          <w:rFonts w:hint="eastAsia" w:ascii="宋体" w:hAnsi="宋体" w:cs="宋体"/>
          <w:b/>
          <w:color w:val="auto"/>
          <w:sz w:val="24"/>
          <w:szCs w:val="24"/>
          <w:highlight w:val="none"/>
        </w:rPr>
      </w:pPr>
    </w:p>
    <w:p w14:paraId="12DDCF51">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33082DE4">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 xml:space="preserve"> 第一部分 合同协议书</w:t>
      </w:r>
    </w:p>
    <w:p w14:paraId="6B4C8D60">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编号：</w:t>
      </w:r>
      <w:r>
        <w:rPr>
          <w:rFonts w:hint="eastAsia" w:ascii="宋体" w:hAnsi="宋体" w:cs="宋体"/>
          <w:color w:val="auto"/>
          <w:sz w:val="24"/>
          <w:szCs w:val="24"/>
          <w:highlight w:val="none"/>
          <w:u w:val="single"/>
        </w:rPr>
        <w:t xml:space="preserve">                   </w:t>
      </w:r>
    </w:p>
    <w:p w14:paraId="7AC2E50A">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B5642E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 定 代 表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715068A">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法定注册地址：</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EE282CF">
      <w:pPr>
        <w:spacing w:line="360" w:lineRule="auto"/>
        <w:rPr>
          <w:rFonts w:hint="eastAsia" w:ascii="宋体" w:hAnsi="宋体" w:eastAsia="宋体" w:cs="宋体"/>
          <w:color w:val="auto"/>
          <w:sz w:val="24"/>
          <w:szCs w:val="24"/>
          <w:highlight w:val="none"/>
        </w:rPr>
      </w:pPr>
    </w:p>
    <w:p w14:paraId="583A4F1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承包人（全称）：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FEEFB3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 定 代 表 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394E218D">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法定注册地址</w:t>
      </w:r>
      <w:r>
        <w:rPr>
          <w:rFonts w:hint="eastAsia" w:ascii="宋体" w:hAnsi="宋体" w:eastAsia="宋体" w:cs="宋体"/>
          <w:b/>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C3B5396">
      <w:pPr>
        <w:spacing w:line="360" w:lineRule="auto"/>
        <w:rPr>
          <w:rFonts w:hint="eastAsia" w:ascii="宋体" w:hAnsi="宋体" w:eastAsia="宋体" w:cs="宋体"/>
          <w:color w:val="auto"/>
          <w:sz w:val="24"/>
          <w:szCs w:val="24"/>
          <w:highlight w:val="none"/>
          <w:u w:val="single"/>
        </w:rPr>
      </w:pPr>
    </w:p>
    <w:p w14:paraId="73F9CE52">
      <w:pPr>
        <w:spacing w:line="360" w:lineRule="auto"/>
        <w:ind w:firstLine="0"/>
        <w:rPr>
          <w:rFonts w:hint="eastAsia" w:ascii="宋体" w:hAnsi="宋体" w:eastAsia="宋体" w:cs="宋体"/>
          <w:color w:val="auto"/>
          <w:sz w:val="24"/>
          <w:szCs w:val="24"/>
          <w:highlight w:val="none"/>
        </w:rPr>
      </w:pPr>
    </w:p>
    <w:p w14:paraId="57276D0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发包人为建设</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北京大学附属中学丰台学校综合楼漏水维修项目</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以下简称“本工程”），已接受承包人提出的承担本工程的施工、竣工、交付并维修其任何缺陷的投标。依照《中华人民共和国招标投标法》、《中华人民共和国民法典》、《中华人民共和国建筑法》及其他有关法律、行政法规，遵循平等、自愿、公平和诚实信用的原则，双方共同达成并订立如下协议。</w:t>
      </w:r>
    </w:p>
    <w:p w14:paraId="48065A2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一、工程概况</w:t>
      </w:r>
    </w:p>
    <w:p w14:paraId="2550A641">
      <w:pPr>
        <w:spacing w:line="360" w:lineRule="auto"/>
        <w:ind w:left="1620" w:leftChars="2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工程名称：</w:t>
      </w:r>
      <w:r>
        <w:rPr>
          <w:rFonts w:hint="eastAsia" w:ascii="宋体" w:hAnsi="宋体" w:cs="宋体"/>
          <w:color w:val="auto"/>
          <w:sz w:val="24"/>
          <w:szCs w:val="24"/>
          <w:highlight w:val="none"/>
          <w:u w:val="single"/>
          <w:lang w:eastAsia="zh-CN"/>
        </w:rPr>
        <w:t>北京大学附属中学丰台学校综合楼漏水维修项目</w:t>
      </w:r>
    </w:p>
    <w:p w14:paraId="0273D39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工程地点：</w:t>
      </w:r>
      <w:r>
        <w:rPr>
          <w:rFonts w:hint="eastAsia" w:ascii="宋体" w:hAnsi="宋体" w:eastAsia="宋体" w:cs="宋体"/>
          <w:color w:val="auto"/>
          <w:sz w:val="24"/>
          <w:szCs w:val="24"/>
          <w:highlight w:val="none"/>
          <w:u w:val="single"/>
        </w:rPr>
        <w:t xml:space="preserve">  北京市</w:t>
      </w:r>
      <w:r>
        <w:rPr>
          <w:rFonts w:hint="eastAsia" w:ascii="宋体" w:hAnsi="宋体" w:cs="宋体"/>
          <w:color w:val="auto"/>
          <w:sz w:val="24"/>
          <w:szCs w:val="24"/>
          <w:highlight w:val="none"/>
          <w:u w:val="single"/>
          <w:lang w:val="en-US" w:eastAsia="zh-CN"/>
        </w:rPr>
        <w:t>丰台</w:t>
      </w:r>
      <w:r>
        <w:rPr>
          <w:rFonts w:hint="eastAsia" w:ascii="宋体" w:hAnsi="宋体" w:eastAsia="宋体" w:cs="宋体"/>
          <w:color w:val="auto"/>
          <w:sz w:val="24"/>
          <w:szCs w:val="24"/>
          <w:highlight w:val="none"/>
          <w:u w:val="single"/>
        </w:rPr>
        <w:t xml:space="preserve">区   </w:t>
      </w:r>
    </w:p>
    <w:p w14:paraId="216DB466">
      <w:pPr>
        <w:spacing w:line="360" w:lineRule="auto"/>
        <w:ind w:left="1620" w:leftChars="200" w:hanging="1200" w:hangingChars="500"/>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工程内容：</w:t>
      </w:r>
      <w:r>
        <w:rPr>
          <w:rFonts w:hint="eastAsia" w:ascii="宋体" w:hAnsi="宋体" w:eastAsia="宋体" w:cs="宋体"/>
          <w:color w:val="auto"/>
          <w:sz w:val="24"/>
          <w:szCs w:val="24"/>
          <w:highlight w:val="none"/>
          <w:u w:val="single"/>
          <w:lang w:eastAsia="zh-CN"/>
        </w:rPr>
        <w:t>包括</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lang w:eastAsia="zh-CN"/>
        </w:rPr>
        <w:t>等完成全部工程的工作内容</w:t>
      </w:r>
      <w:r>
        <w:rPr>
          <w:rFonts w:hint="eastAsia" w:ascii="宋体" w:hAnsi="宋体" w:eastAsia="宋体" w:cs="宋体"/>
          <w:color w:val="auto"/>
          <w:sz w:val="24"/>
          <w:szCs w:val="24"/>
          <w:highlight w:val="none"/>
          <w:u w:val="single"/>
          <w:lang w:val="en-US" w:eastAsia="zh-CN"/>
        </w:rPr>
        <w:t xml:space="preserve"> </w:t>
      </w:r>
    </w:p>
    <w:p w14:paraId="653B3318">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群体工程应附“承包人承揽工程项目一览表”（附件二）</w:t>
      </w:r>
    </w:p>
    <w:p w14:paraId="69F6F0F6">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工程立项批准文号：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7CC29A68">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资金来源：</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财政资金</w:t>
      </w:r>
      <w:r>
        <w:rPr>
          <w:rFonts w:hint="eastAsia" w:ascii="宋体" w:hAnsi="宋体" w:eastAsia="宋体" w:cs="宋体"/>
          <w:color w:val="auto"/>
          <w:sz w:val="24"/>
          <w:szCs w:val="24"/>
          <w:highlight w:val="none"/>
          <w:u w:val="single"/>
        </w:rPr>
        <w:t xml:space="preserve">                </w:t>
      </w:r>
    </w:p>
    <w:p w14:paraId="4EBA4D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二、工程承包范围</w:t>
      </w:r>
    </w:p>
    <w:p w14:paraId="19EC5B21">
      <w:pPr>
        <w:pStyle w:val="108"/>
        <w:numPr>
          <w:ilvl w:val="0"/>
          <w:numId w:val="0"/>
        </w:numPr>
        <w:tabs>
          <w:tab w:val="left" w:pos="420"/>
          <w:tab w:val="left" w:pos="1140"/>
        </w:tabs>
        <w:spacing w:line="360" w:lineRule="auto"/>
        <w:ind w:firstLine="480" w:firstLineChars="200"/>
        <w:outlineLvl w:val="9"/>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承包范围：</w:t>
      </w:r>
      <w:r>
        <w:rPr>
          <w:rFonts w:hint="eastAsia" w:ascii="宋体" w:hAnsi="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lang w:eastAsia="zh-CN"/>
        </w:rPr>
        <w:t>。</w:t>
      </w:r>
    </w:p>
    <w:p w14:paraId="5F162FD1">
      <w:pPr>
        <w:spacing w:line="360" w:lineRule="auto"/>
        <w:ind w:left="1620" w:leftChars="200" w:hanging="1200" w:hangingChars="500"/>
        <w:rPr>
          <w:rFonts w:hint="eastAsia" w:ascii="宋体" w:hAnsi="宋体" w:eastAsia="宋体" w:cs="宋体"/>
          <w:color w:val="auto"/>
          <w:sz w:val="24"/>
          <w:szCs w:val="24"/>
          <w:highlight w:val="none"/>
          <w:u w:val="single"/>
        </w:rPr>
      </w:pPr>
    </w:p>
    <w:p w14:paraId="3CACC19E">
      <w:pPr>
        <w:spacing w:line="360" w:lineRule="auto"/>
        <w:ind w:left="1620" w:leftChars="200" w:hanging="1200" w:hangingChars="5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三、合同工期</w:t>
      </w:r>
    </w:p>
    <w:p w14:paraId="103BF65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计划开工日期：</w:t>
      </w:r>
    </w:p>
    <w:p w14:paraId="7540BC47">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计划竣工日期：</w:t>
      </w:r>
    </w:p>
    <w:p w14:paraId="5D99AFE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lang w:val="en-US" w:eastAsia="zh-CN"/>
        </w:rPr>
        <w:t>实际</w:t>
      </w:r>
      <w:r>
        <w:rPr>
          <w:rFonts w:hint="eastAsia" w:ascii="宋体" w:hAnsi="宋体" w:eastAsia="宋体" w:cs="宋体"/>
          <w:color w:val="auto"/>
          <w:sz w:val="24"/>
          <w:szCs w:val="24"/>
          <w:highlight w:val="none"/>
          <w:u w:val="single"/>
        </w:rPr>
        <w:t>以</w:t>
      </w:r>
      <w:r>
        <w:rPr>
          <w:rFonts w:hint="eastAsia" w:ascii="宋体" w:hAnsi="宋体" w:eastAsia="宋体" w:cs="宋体"/>
          <w:color w:val="auto"/>
          <w:sz w:val="24"/>
          <w:szCs w:val="24"/>
          <w:highlight w:val="none"/>
          <w:u w:val="single"/>
          <w:lang w:val="en-US" w:eastAsia="zh-CN"/>
        </w:rPr>
        <w:t>监理</w:t>
      </w:r>
      <w:r>
        <w:rPr>
          <w:rFonts w:hint="eastAsia" w:ascii="宋体" w:hAnsi="宋体" w:eastAsia="宋体" w:cs="宋体"/>
          <w:color w:val="auto"/>
          <w:sz w:val="24"/>
          <w:szCs w:val="24"/>
          <w:highlight w:val="none"/>
          <w:u w:val="single"/>
        </w:rPr>
        <w:t>发出的开工通知中载明的开工日期</w:t>
      </w:r>
      <w:r>
        <w:rPr>
          <w:rFonts w:hint="eastAsia" w:ascii="宋体" w:hAnsi="宋体" w:eastAsia="宋体" w:cs="宋体"/>
          <w:color w:val="auto"/>
          <w:sz w:val="24"/>
          <w:szCs w:val="24"/>
          <w:highlight w:val="none"/>
          <w:u w:val="single"/>
          <w:lang w:val="en-US" w:eastAsia="zh-CN"/>
        </w:rPr>
        <w:t>为准</w:t>
      </w:r>
      <w:r>
        <w:rPr>
          <w:rFonts w:hint="eastAsia" w:ascii="宋体" w:hAnsi="宋体" w:eastAsia="宋体" w:cs="宋体"/>
          <w:color w:val="auto"/>
          <w:sz w:val="24"/>
          <w:szCs w:val="24"/>
          <w:highlight w:val="none"/>
          <w:u w:val="single"/>
        </w:rPr>
        <w:t>；</w:t>
      </w:r>
    </w:p>
    <w:p w14:paraId="228CA593">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工期总日历天数</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lang w:val="en-US" w:eastAsia="zh-CN"/>
        </w:rPr>
        <w:t>60</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天，自监理人发出的开工通知中载明的开工日期起算。</w:t>
      </w:r>
    </w:p>
    <w:p w14:paraId="663E586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四、质量标准</w:t>
      </w:r>
    </w:p>
    <w:p w14:paraId="2CE1DECF">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工程质量标准：</w:t>
      </w:r>
      <w:r>
        <w:rPr>
          <w:rFonts w:hint="eastAsia" w:ascii="宋体" w:hAnsi="宋体" w:eastAsia="宋体" w:cs="宋体"/>
          <w:color w:val="auto"/>
          <w:sz w:val="24"/>
          <w:szCs w:val="24"/>
          <w:highlight w:val="none"/>
          <w:u w:val="single"/>
        </w:rPr>
        <w:t xml:space="preserve">   合格       </w:t>
      </w:r>
    </w:p>
    <w:p w14:paraId="4431FF6C">
      <w:pPr>
        <w:spacing w:line="360" w:lineRule="auto"/>
        <w:ind w:firstLine="480" w:firstLineChars="200"/>
        <w:rPr>
          <w:rFonts w:hint="eastAsia" w:ascii="宋体" w:hAnsi="宋体" w:eastAsia="宋体" w:cs="宋体"/>
          <w:color w:val="auto"/>
          <w:sz w:val="24"/>
          <w:szCs w:val="24"/>
          <w:highlight w:val="none"/>
        </w:rPr>
      </w:pPr>
      <w:bookmarkStart w:id="679" w:name="_Hlk8723675"/>
      <w:r>
        <w:rPr>
          <w:rFonts w:hint="eastAsia" w:ascii="宋体" w:hAnsi="宋体" w:eastAsia="宋体" w:cs="宋体"/>
          <w:color w:val="auto"/>
          <w:sz w:val="24"/>
          <w:szCs w:val="24"/>
          <w:highlight w:val="none"/>
        </w:rPr>
        <w:t>五、施工现场安全生产标准化管理目标等级要求</w:t>
      </w:r>
    </w:p>
    <w:p w14:paraId="6FB014D9">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施工现场安全生产标准化管理目标等级：</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达标（合格）</w:t>
      </w:r>
      <w:r>
        <w:rPr>
          <w:rFonts w:hint="eastAsia" w:ascii="宋体" w:hAnsi="宋体" w:eastAsia="宋体" w:cs="宋体"/>
          <w:color w:val="auto"/>
          <w:sz w:val="24"/>
          <w:szCs w:val="24"/>
          <w:highlight w:val="none"/>
          <w:u w:val="single"/>
        </w:rPr>
        <w:t xml:space="preserve">     </w:t>
      </w:r>
      <w:bookmarkEnd w:id="679"/>
    </w:p>
    <w:p w14:paraId="1B0B5E69">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六、合同形式</w:t>
      </w:r>
    </w:p>
    <w:p w14:paraId="78B39B09">
      <w:pPr>
        <w:spacing w:line="360" w:lineRule="auto"/>
        <w:ind w:firstLine="480" w:firstLineChars="200"/>
        <w:rPr>
          <w:rFonts w:hint="eastAsia" w:ascii="宋体" w:hAnsi="宋体" w:eastAsia="宋体" w:cs="宋体"/>
          <w:b/>
          <w:color w:val="auto"/>
          <w:sz w:val="24"/>
          <w:szCs w:val="24"/>
          <w:highlight w:val="none"/>
          <w:u w:val="single"/>
        </w:rPr>
      </w:pPr>
      <w:r>
        <w:rPr>
          <w:rFonts w:hint="eastAsia" w:ascii="宋体" w:hAnsi="宋体" w:eastAsia="宋体" w:cs="宋体"/>
          <w:color w:val="auto"/>
          <w:sz w:val="24"/>
          <w:szCs w:val="24"/>
          <w:highlight w:val="none"/>
        </w:rPr>
        <w:t xml:space="preserve">本合同采用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固定单价</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合同形式。</w:t>
      </w:r>
    </w:p>
    <w:p w14:paraId="1C4F291D">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七、签约合同价</w:t>
      </w:r>
    </w:p>
    <w:p w14:paraId="18F371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金额（含税大写）：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（人民币）</w:t>
      </w:r>
    </w:p>
    <w:p w14:paraId="70B3038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（含税小写）￥：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72E0BB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（除税大写）：</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（人民币）</w:t>
      </w:r>
    </w:p>
    <w:p w14:paraId="20F51B6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（除税小写）￥：</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34F21C9D">
      <w:pPr>
        <w:spacing w:line="360" w:lineRule="auto"/>
        <w:ind w:firstLine="720" w:firstLineChars="3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税率：</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w:t>
      </w:r>
    </w:p>
    <w:p w14:paraId="1713893D">
      <w:pPr>
        <w:spacing w:line="360" w:lineRule="auto"/>
        <w:ind w:firstLine="720" w:firstLineChars="3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其中：安全文明施工费</w:t>
      </w:r>
      <w:bookmarkStart w:id="680" w:name="_Hlk8292053"/>
      <w:r>
        <w:rPr>
          <w:rFonts w:hint="eastAsia" w:ascii="宋体" w:hAnsi="宋体" w:eastAsia="宋体" w:cs="宋体"/>
          <w:color w:val="auto"/>
          <w:sz w:val="24"/>
          <w:szCs w:val="24"/>
          <w:highlight w:val="none"/>
        </w:rPr>
        <w:t>（含税）：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bookmarkEnd w:id="680"/>
    </w:p>
    <w:p w14:paraId="56269898">
      <w:pPr>
        <w:wordWrap w:val="0"/>
        <w:spacing w:line="360" w:lineRule="auto"/>
        <w:ind w:left="1260" w:leftChars="600" w:firstLine="240" w:firstLineChars="1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建筑垃圾运输处置费（含税）：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4F708E5D">
      <w:pPr>
        <w:spacing w:line="360" w:lineRule="auto"/>
        <w:ind w:firstLine="1440" w:firstLineChars="6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暂列金额（含税）：</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194AD4DC">
      <w:pPr>
        <w:spacing w:line="360" w:lineRule="auto"/>
        <w:ind w:firstLine="1440" w:firstLineChars="600"/>
        <w:jc w:val="left"/>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专业工程暂估价</w:t>
      </w:r>
      <w:r>
        <w:rPr>
          <w:rFonts w:hint="eastAsia" w:ascii="宋体" w:hAnsi="宋体" w:eastAsia="宋体" w:cs="宋体"/>
          <w:color w:val="auto"/>
          <w:sz w:val="24"/>
          <w:szCs w:val="24"/>
          <w:highlight w:val="none"/>
        </w:rPr>
        <w:t>（含税）</w:t>
      </w:r>
      <w:r>
        <w:rPr>
          <w:rFonts w:hint="eastAsia" w:ascii="宋体" w:hAnsi="宋体" w:eastAsia="宋体" w:cs="宋体"/>
          <w:bCs/>
          <w:color w:val="auto"/>
          <w:sz w:val="24"/>
          <w:szCs w:val="24"/>
          <w:highlight w:val="none"/>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元</w:t>
      </w:r>
    </w:p>
    <w:p w14:paraId="7ED04252">
      <w:pPr>
        <w:spacing w:line="360" w:lineRule="auto"/>
        <w:ind w:firstLine="1456" w:firstLineChars="607"/>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w:t>
      </w:r>
    </w:p>
    <w:p w14:paraId="20D964CF">
      <w:pPr>
        <w:spacing w:line="360" w:lineRule="auto"/>
        <w:ind w:firstLine="480" w:firstLineChars="2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八、承包人项目经理：</w:t>
      </w:r>
    </w:p>
    <w:p w14:paraId="69937974">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姓名：</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      职称：</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0E9A26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身份证号：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   建造师执业资格证书号：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 xml:space="preserve"> ；</w:t>
      </w:r>
    </w:p>
    <w:p w14:paraId="09D5769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建造师注册证书号：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lang w:bidi="ar"/>
        </w:rPr>
        <w:t>。</w:t>
      </w:r>
    </w:p>
    <w:p w14:paraId="23EC93DD">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建造师执业印章号：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094DD6D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bidi="ar"/>
        </w:rPr>
        <w:t>安全生产考核合格证书号：</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u w:val="single"/>
          <w:lang w:val="en-US" w:eastAsia="zh-CN" w:bidi="ar"/>
        </w:rPr>
        <w:t xml:space="preserve">  </w:t>
      </w:r>
      <w:r>
        <w:rPr>
          <w:rFonts w:hint="eastAsia" w:ascii="宋体" w:hAnsi="宋体" w:eastAsia="宋体" w:cs="宋体"/>
          <w:color w:val="auto"/>
          <w:sz w:val="24"/>
          <w:szCs w:val="24"/>
          <w:highlight w:val="none"/>
          <w:u w:val="single"/>
          <w:lang w:bidi="ar"/>
        </w:rPr>
        <w:t xml:space="preserve">  </w:t>
      </w:r>
      <w:r>
        <w:rPr>
          <w:rFonts w:hint="eastAsia" w:ascii="宋体" w:hAnsi="宋体" w:eastAsia="宋体" w:cs="宋体"/>
          <w:color w:val="auto"/>
          <w:sz w:val="24"/>
          <w:szCs w:val="24"/>
          <w:highlight w:val="none"/>
          <w:lang w:bidi="ar"/>
        </w:rPr>
        <w:t>。</w:t>
      </w:r>
    </w:p>
    <w:p w14:paraId="3A1F0CA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九、合同文件的组成</w:t>
      </w:r>
    </w:p>
    <w:p w14:paraId="1208DD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下列文件共同构成合同文件：</w:t>
      </w:r>
    </w:p>
    <w:p w14:paraId="599C48FC">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1、本协议书；</w:t>
      </w:r>
    </w:p>
    <w:p w14:paraId="303D241E">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2、</w:t>
      </w:r>
      <w:r>
        <w:rPr>
          <w:rFonts w:hint="eastAsia" w:ascii="宋体" w:hAnsi="宋体" w:eastAsia="宋体" w:cs="宋体"/>
          <w:color w:val="auto"/>
          <w:sz w:val="24"/>
          <w:szCs w:val="24"/>
          <w:highlight w:val="none"/>
          <w:lang w:val="en-US" w:eastAsia="zh-CN"/>
        </w:rPr>
        <w:t>成交</w:t>
      </w:r>
      <w:r>
        <w:rPr>
          <w:rFonts w:hint="eastAsia" w:ascii="宋体" w:hAnsi="宋体" w:eastAsia="宋体" w:cs="宋体"/>
          <w:color w:val="auto"/>
          <w:sz w:val="24"/>
          <w:szCs w:val="24"/>
          <w:highlight w:val="none"/>
        </w:rPr>
        <w:t>通知书；</w:t>
      </w:r>
    </w:p>
    <w:p w14:paraId="438D17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3、合同条款专用部分；</w:t>
      </w:r>
    </w:p>
    <w:p w14:paraId="082C2C9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、合同条款通用部分；</w:t>
      </w:r>
    </w:p>
    <w:p w14:paraId="2637E92A">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、技术标准和要求；</w:t>
      </w:r>
    </w:p>
    <w:p w14:paraId="4253732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、图纸；</w:t>
      </w:r>
    </w:p>
    <w:p w14:paraId="09D7E427">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7</w:t>
      </w:r>
      <w:r>
        <w:rPr>
          <w:rFonts w:hint="eastAsia" w:ascii="宋体" w:hAnsi="宋体" w:eastAsia="宋体" w:cs="宋体"/>
          <w:color w:val="auto"/>
          <w:sz w:val="24"/>
          <w:szCs w:val="24"/>
          <w:highlight w:val="none"/>
        </w:rPr>
        <w:t>、已标价工程量清单；</w:t>
      </w:r>
    </w:p>
    <w:p w14:paraId="2EE07AE2">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、其他合同文件。</w:t>
      </w:r>
    </w:p>
    <w:p w14:paraId="7B070A8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上述文件互相补充和解释，如有不明确或不一致之处，以合同约定次序在先者为准。</w:t>
      </w:r>
    </w:p>
    <w:p w14:paraId="08F29FA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十、本协议书中有关词语定义与合同条款中的定义相同。</w:t>
      </w:r>
    </w:p>
    <w:p w14:paraId="42DDB606">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十一、承包人承诺按照合同约定进行施工、竣工、交付并承担质量缺陷保修责任。</w:t>
      </w:r>
    </w:p>
    <w:p w14:paraId="7D156495">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十二、发包人承诺按照合同约定的条件、期限和方式向承包人支付合同价款。</w:t>
      </w:r>
    </w:p>
    <w:p w14:paraId="69CE4EC1">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十三、本协议书连同其他合同文件正本一式两份，合同双方各执一份；副本一式</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肆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份，其中一份在合同报送建设行政主管部门备案时留存。</w:t>
      </w:r>
    </w:p>
    <w:p w14:paraId="780963AB">
      <w:pPr>
        <w:spacing w:line="360" w:lineRule="auto"/>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十四、合同未尽事宜，双方另行签订补充协议，但不得背离本协议第八条所约定的合同文件的实质性内容。补充协议是合同文件的组成部分。</w:t>
      </w:r>
    </w:p>
    <w:p w14:paraId="6425A1C7">
      <w:pPr>
        <w:spacing w:line="360" w:lineRule="auto"/>
        <w:rPr>
          <w:rFonts w:hint="eastAsia" w:ascii="宋体" w:hAnsi="宋体" w:eastAsia="宋体" w:cs="宋体"/>
          <w:b/>
          <w:bCs/>
          <w:color w:val="auto"/>
          <w:sz w:val="24"/>
          <w:szCs w:val="24"/>
          <w:highlight w:val="none"/>
        </w:rPr>
      </w:pPr>
    </w:p>
    <w:p w14:paraId="73BE1D1B">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发包人：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r>
        <w:rPr>
          <w:rFonts w:hint="eastAsia" w:ascii="宋体" w:hAnsi="宋体" w:eastAsia="宋体" w:cs="宋体"/>
          <w:bCs/>
          <w:color w:val="auto"/>
          <w:sz w:val="24"/>
          <w:szCs w:val="24"/>
          <w:highlight w:val="none"/>
        </w:rPr>
        <w:t xml:space="preserve"> 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（盖单位章）</w:t>
      </w:r>
    </w:p>
    <w:p w14:paraId="1333DA6B">
      <w:pPr>
        <w:spacing w:line="360" w:lineRule="auto"/>
        <w:rPr>
          <w:rFonts w:hint="eastAsia" w:ascii="宋体" w:hAnsi="宋体" w:eastAsia="宋体" w:cs="宋体"/>
          <w:color w:val="auto"/>
          <w:sz w:val="24"/>
          <w:szCs w:val="24"/>
          <w:highlight w:val="none"/>
        </w:rPr>
      </w:pPr>
    </w:p>
    <w:p w14:paraId="6338DBDB">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法定代表人或其</w:t>
      </w:r>
      <w:r>
        <w:rPr>
          <w:rFonts w:hint="eastAsia" w:ascii="宋体" w:hAnsi="宋体" w:eastAsia="宋体" w:cs="宋体"/>
          <w:color w:val="auto"/>
          <w:sz w:val="24"/>
          <w:szCs w:val="24"/>
          <w:highlight w:val="none"/>
        </w:rPr>
        <w:t xml:space="preserve">                      </w:t>
      </w:r>
      <w:r>
        <w:rPr>
          <w:rFonts w:hint="eastAsia" w:ascii="宋体" w:hAnsi="宋体" w:eastAsia="宋体" w:cs="宋体"/>
          <w:bCs/>
          <w:color w:val="auto"/>
          <w:sz w:val="24"/>
          <w:szCs w:val="24"/>
          <w:highlight w:val="none"/>
        </w:rPr>
        <w:t>法定代表人或其</w:t>
      </w:r>
    </w:p>
    <w:p w14:paraId="2FD2864A">
      <w:pPr>
        <w:spacing w:line="360" w:lineRule="auto"/>
        <w:rPr>
          <w:rFonts w:hint="eastAsia" w:ascii="宋体" w:hAnsi="宋体" w:eastAsia="宋体" w:cs="宋体"/>
          <w:color w:val="auto"/>
          <w:sz w:val="24"/>
          <w:szCs w:val="24"/>
          <w:highlight w:val="none"/>
        </w:rPr>
      </w:pPr>
      <w:r>
        <w:rPr>
          <w:rFonts w:hint="eastAsia" w:ascii="宋体" w:hAnsi="宋体" w:eastAsia="宋体" w:cs="宋体"/>
          <w:bCs/>
          <w:color w:val="auto"/>
          <w:sz w:val="24"/>
          <w:szCs w:val="24"/>
          <w:highlight w:val="none"/>
        </w:rPr>
        <w:t>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（签字） </w:t>
      </w:r>
      <w:r>
        <w:rPr>
          <w:rFonts w:hint="eastAsia" w:ascii="宋体" w:hAnsi="宋体" w:eastAsia="宋体" w:cs="宋体"/>
          <w:bCs/>
          <w:color w:val="auto"/>
          <w:sz w:val="24"/>
          <w:szCs w:val="24"/>
          <w:highlight w:val="none"/>
        </w:rPr>
        <w:t xml:space="preserve"> 委托代理人：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（签字）</w:t>
      </w:r>
    </w:p>
    <w:p w14:paraId="6DDC5064">
      <w:pPr>
        <w:spacing w:line="360" w:lineRule="auto"/>
        <w:rPr>
          <w:rFonts w:hint="eastAsia" w:ascii="宋体" w:hAnsi="宋体" w:eastAsia="宋体" w:cs="宋体"/>
          <w:color w:val="auto"/>
          <w:sz w:val="24"/>
          <w:szCs w:val="24"/>
          <w:highlight w:val="none"/>
          <w:u w:val="single"/>
        </w:rPr>
      </w:pPr>
    </w:p>
    <w:p w14:paraId="12296626">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 日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rPr>
        <w:t xml:space="preserve">月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 xml:space="preserve"> 日 </w:t>
      </w:r>
    </w:p>
    <w:p w14:paraId="19A78EB7">
      <w:pPr>
        <w:spacing w:line="360" w:lineRule="auto"/>
        <w:rPr>
          <w:rFonts w:hint="eastAsia" w:ascii="宋体" w:hAnsi="宋体" w:eastAsia="宋体" w:cs="宋体"/>
          <w:color w:val="auto"/>
          <w:sz w:val="24"/>
          <w:szCs w:val="24"/>
          <w:highlight w:val="none"/>
        </w:rPr>
      </w:pPr>
    </w:p>
    <w:p w14:paraId="161F466E">
      <w:pPr>
        <w:spacing w:line="360" w:lineRule="auto"/>
        <w:rPr>
          <w:rFonts w:hint="eastAsia" w:ascii="宋体" w:hAnsi="宋体" w:eastAsia="宋体" w:cs="宋体"/>
          <w:b/>
          <w:color w:val="auto"/>
          <w:sz w:val="24"/>
          <w:szCs w:val="24"/>
          <w:highlight w:val="none"/>
        </w:rPr>
      </w:pPr>
      <w:r>
        <w:rPr>
          <w:rFonts w:hint="eastAsia" w:ascii="宋体" w:hAnsi="宋体" w:eastAsia="宋体" w:cs="宋体"/>
          <w:color w:val="auto"/>
          <w:sz w:val="24"/>
          <w:szCs w:val="24"/>
          <w:highlight w:val="none"/>
        </w:rPr>
        <w:t>签约地点：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
          <w:color w:val="auto"/>
          <w:sz w:val="24"/>
          <w:szCs w:val="24"/>
          <w:highlight w:val="none"/>
          <w:u w:val="single"/>
        </w:rPr>
        <w:t xml:space="preserve"> </w:t>
      </w:r>
    </w:p>
    <w:p w14:paraId="0F7BAA37">
      <w:pPr>
        <w:rPr>
          <w:rFonts w:hint="eastAsia" w:ascii="宋体" w:hAnsi="宋体" w:cs="宋体"/>
          <w:b/>
          <w:color w:val="auto"/>
          <w:sz w:val="24"/>
          <w:szCs w:val="24"/>
          <w:highlight w:val="none"/>
        </w:rPr>
      </w:pPr>
      <w:r>
        <w:rPr>
          <w:rFonts w:hint="eastAsia" w:ascii="宋体" w:hAnsi="宋体" w:cs="宋体"/>
          <w:b/>
          <w:color w:val="auto"/>
          <w:sz w:val="24"/>
          <w:szCs w:val="24"/>
          <w:highlight w:val="none"/>
        </w:rPr>
        <w:br w:type="page"/>
      </w:r>
    </w:p>
    <w:p w14:paraId="2124D941">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第二部分 通用合同条款</w:t>
      </w:r>
    </w:p>
    <w:p w14:paraId="4F68D58C">
      <w:pPr>
        <w:pStyle w:val="296"/>
        <w:spacing w:before="120" w:after="120"/>
        <w:outlineLvl w:val="9"/>
        <w:rPr>
          <w:rFonts w:hint="eastAsia" w:hAnsi="宋体"/>
          <w:color w:val="auto"/>
          <w:sz w:val="24"/>
          <w:szCs w:val="24"/>
          <w:highlight w:val="none"/>
        </w:rPr>
      </w:pPr>
      <w:bookmarkStart w:id="681" w:name="_Toc401660260"/>
      <w:bookmarkStart w:id="682" w:name="_Toc338944704"/>
      <w:bookmarkStart w:id="683" w:name="_Toc342296262"/>
      <w:r>
        <w:rPr>
          <w:rFonts w:hint="eastAsia" w:hAnsi="宋体"/>
          <w:color w:val="auto"/>
          <w:sz w:val="24"/>
          <w:szCs w:val="24"/>
          <w:highlight w:val="none"/>
        </w:rPr>
        <w:t>1. 一般约定</w:t>
      </w:r>
      <w:bookmarkEnd w:id="681"/>
      <w:bookmarkEnd w:id="682"/>
      <w:bookmarkEnd w:id="683"/>
    </w:p>
    <w:p w14:paraId="658FBFEA">
      <w:pPr>
        <w:pStyle w:val="299"/>
        <w:spacing w:before="120" w:after="120"/>
        <w:outlineLvl w:val="9"/>
        <w:rPr>
          <w:rFonts w:hint="eastAsia" w:hAnsi="宋体" w:cs="宋体"/>
          <w:color w:val="auto"/>
          <w:sz w:val="24"/>
          <w:szCs w:val="24"/>
          <w:highlight w:val="none"/>
        </w:rPr>
      </w:pPr>
      <w:bookmarkStart w:id="684" w:name="_Toc401660261"/>
      <w:bookmarkStart w:id="685" w:name="_Toc342296263"/>
      <w:bookmarkStart w:id="686" w:name="_Toc338944705"/>
      <w:r>
        <w:rPr>
          <w:rFonts w:hint="eastAsia" w:hAnsi="宋体" w:cs="宋体"/>
          <w:color w:val="auto"/>
          <w:sz w:val="24"/>
          <w:szCs w:val="24"/>
          <w:highlight w:val="none"/>
        </w:rPr>
        <w:t>1.1 词语定义</w:t>
      </w:r>
      <w:bookmarkEnd w:id="684"/>
      <w:bookmarkEnd w:id="685"/>
      <w:bookmarkEnd w:id="686"/>
    </w:p>
    <w:p w14:paraId="3386F08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通用合同条款、专用合同条款中的下列词语应具有本款所赋予的含义。</w:t>
      </w:r>
    </w:p>
    <w:p w14:paraId="6E6C956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 合同</w:t>
      </w:r>
    </w:p>
    <w:p w14:paraId="55B3059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1.1.1.1 合同文件（或称合同）：指合同协议书、中标通知书、投标函及投标函附录、专用合同条款、通用合同条款、技术标准和要求、图纸、已标价工程量清单，以及其他合同文件。</w:t>
      </w:r>
    </w:p>
    <w:p w14:paraId="0B4693E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1.1.1.2 合同协议书：指第1.5款所指的合同协议书。</w:t>
      </w:r>
    </w:p>
    <w:p w14:paraId="383330E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1.1.1.3 中标通知书：指发包人通知承包人中标的函件。</w:t>
      </w:r>
    </w:p>
    <w:p w14:paraId="02021790">
      <w:pPr>
        <w:spacing w:line="400" w:lineRule="exact"/>
        <w:ind w:firstLine="820" w:firstLineChars="342"/>
        <w:rPr>
          <w:rFonts w:hint="eastAsia" w:ascii="宋体" w:hAnsi="宋体" w:cs="宋体"/>
          <w:dstrike/>
          <w:color w:val="auto"/>
          <w:sz w:val="24"/>
          <w:szCs w:val="24"/>
          <w:highlight w:val="none"/>
        </w:rPr>
      </w:pPr>
      <w:r>
        <w:rPr>
          <w:rFonts w:hint="eastAsia" w:ascii="宋体" w:hAnsi="宋体" w:cs="宋体"/>
          <w:color w:val="auto"/>
          <w:sz w:val="24"/>
          <w:szCs w:val="24"/>
          <w:highlight w:val="none"/>
        </w:rPr>
        <w:t>1.1.1.4 投标函：指构成合同文件组成部分的由承包人填写并签署的投标函。</w:t>
      </w:r>
    </w:p>
    <w:p w14:paraId="78D07EF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1.1.1.5 投标函附录：指附在投标函后构成合同文件的投标函附录。</w:t>
      </w:r>
    </w:p>
    <w:p w14:paraId="0DB2158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1.1.1.6 技术标准和要求：指构成合同文件组成部分的名为技术标准和要求的文件，包括合同双方当事人约定对其所作的修改或补充。</w:t>
      </w:r>
    </w:p>
    <w:p w14:paraId="4A09F76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1.1.1.7图纸：指包含在合同中的工程图纸，以及由发包人按合同约定提供的任何补充和修改的图纸，包括配套的说明。</w:t>
      </w:r>
    </w:p>
    <w:p w14:paraId="2E23E8FF">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1.1.1.8 已标价工程量清单：指构成合同文件组成部分的由承包人按照规定的格式和要求填写并标明价格的工程量清单。</w:t>
      </w:r>
    </w:p>
    <w:p w14:paraId="407ED7D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1.1.1.9 其他合同文件：指经合同双方当事人确认构成合同文件的其他文件。</w:t>
      </w:r>
    </w:p>
    <w:p w14:paraId="55343C7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合同当事人和人员</w:t>
      </w:r>
    </w:p>
    <w:p w14:paraId="4197ECF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1.1.2.1 合同当事人:指发包人和（或）承包人。</w:t>
      </w:r>
    </w:p>
    <w:p w14:paraId="33E884B4">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1.1.2.2 发包人：指专用合同条款中指明并与承包人在合同协议书中签字的当事人。</w:t>
      </w:r>
    </w:p>
    <w:p w14:paraId="0452C9A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1.1.2.3 承包人：指与发包人签订合同协议书的当事人。</w:t>
      </w:r>
    </w:p>
    <w:p w14:paraId="5C3BED6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1.1.2.4 承包人项目经理：指承包人派驻施工场地的全权负责人。</w:t>
      </w:r>
    </w:p>
    <w:p w14:paraId="035B72F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1.1.2.5 分包人：指从承包人处分包合同中某一部分工程，并与其签订分包合同的分包人。</w:t>
      </w:r>
    </w:p>
    <w:p w14:paraId="0661CB0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1.1.2.6 监理人：指在专用合同条款中指明的，受发包人委托对合同履行实施管理的法人或其他组织。</w:t>
      </w:r>
    </w:p>
    <w:p w14:paraId="678E0CC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1.1.2.7 总监理工程师（总监）：指由监理人委派常驻施工场地对合同履行实施管理的全权负责人。</w:t>
      </w:r>
    </w:p>
    <w:p w14:paraId="6A1AD4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工程和设备</w:t>
      </w:r>
    </w:p>
    <w:p w14:paraId="1673192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1.1.3.1 工程：指永久工程和（或）临时工程。</w:t>
      </w:r>
    </w:p>
    <w:p w14:paraId="25A120C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1.1.3.2 永久工程：指按合同约定建造并移交给发包人的工程，包括工程设备。</w:t>
      </w:r>
    </w:p>
    <w:p w14:paraId="13ED817B">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1.1.3.3 临时工程：指为完成合同约定的永久工程所修建的各类临时性工程，不包括施工设备。</w:t>
      </w:r>
    </w:p>
    <w:p w14:paraId="09AEC4F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1.1.3.4 单位工程：指专用合同条款中指明特定范围的永久工程。</w:t>
      </w:r>
    </w:p>
    <w:p w14:paraId="35C40F4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1.1.3.5 工程设备：指构成或计划构成永久工程一部分的机电设备、金属结构设备、仪器装置及其他类似的设备和装置。</w:t>
      </w:r>
    </w:p>
    <w:p w14:paraId="49FFF9A9">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1.1.3.6 施工设备：指为完成合同约定的各项工作所需的设备、器具和其他物品，不包括临时工程和材料。</w:t>
      </w:r>
    </w:p>
    <w:p w14:paraId="686BE76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1.1.3.7 临时设施：指为完成合同约定的各项工作所服务的临时性生产和生活设施。</w:t>
      </w:r>
    </w:p>
    <w:p w14:paraId="6BB7BCB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1.1.3.8 承包人设备：指承包人自带的施工设备。</w:t>
      </w:r>
    </w:p>
    <w:p w14:paraId="0670B949">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1.1.3.9 施工场地（或称工地、现场）：指用于合同工程施工的场所，以及在合同中指定作为施工场地组成部分的其他场所，包括永久占地和临时占地。</w:t>
      </w:r>
    </w:p>
    <w:p w14:paraId="1D2E0F1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1.1.3.10 永久占地：指专用合同条款中指明为实施合同工程需永久占用的土地。</w:t>
      </w:r>
    </w:p>
    <w:p w14:paraId="21ABA84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1.1.3.11 临时占地：指专用合同条款中指明为实施合同工程需临时占用的土地。</w:t>
      </w:r>
    </w:p>
    <w:p w14:paraId="2C683B2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日期</w:t>
      </w:r>
    </w:p>
    <w:p w14:paraId="4A0E525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1.1.4.1 开工通知：指监理人按第11.1款通知承包人开工的函件。</w:t>
      </w:r>
    </w:p>
    <w:p w14:paraId="53CA6A5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1.1.4.2 开工日期：指监理人按第11.1款发出的开工通知中写明的开工日期。</w:t>
      </w:r>
    </w:p>
    <w:p w14:paraId="711E7EF4">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1.1.4.3工期：指承包人在投标函中承诺的完成合同工程所需的期限，包括按第11.3款、第11.4款和第11.6款约定所作的变更。</w:t>
      </w:r>
    </w:p>
    <w:p w14:paraId="7EC2D4B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1.1.4.4 竣工日期：指第1.1.4.3目约定工期届满时的日期。实际竣工日期以工程接收证书中写明的日期为准。</w:t>
      </w:r>
    </w:p>
    <w:p w14:paraId="6734A7D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1.1.4.5 缺陷责任期：指履行第19.2款约定的缺陷责任的期限，具体期限由专用合同条款约定，包括根据第19.3款约定所作的延长。</w:t>
      </w:r>
    </w:p>
    <w:p w14:paraId="73BABF09">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1.1.4.6 基准日期：指投标截止时间前28天的日期。</w:t>
      </w:r>
    </w:p>
    <w:p w14:paraId="4817FAD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1.1.4.7 天：除特别指明外，指日历天。合同中按天计算时间的，开始当天不计入，从次日开始计算。期限最后一天的截止时间为当天24:00。</w:t>
      </w:r>
    </w:p>
    <w:p w14:paraId="318C3A8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1.1.5 合同价格和费用</w:t>
      </w:r>
    </w:p>
    <w:p w14:paraId="487C668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1.1.5.1 签约合同价：指签定合同时合同协议书中写明的，包括了暂列金额、暂估价的合同总金额。</w:t>
      </w:r>
    </w:p>
    <w:p w14:paraId="70EB39F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1.1.5.2 合同价格：指承包人按合同约定完成了包括缺陷责任期内的全部承包工作后，发包人应付给承包人的金额，包括在履行合同过程中按合同约定进行的变更和调整。</w:t>
      </w:r>
    </w:p>
    <w:p w14:paraId="1F564ED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1.1.5.3 费用：指为履行合同所发生的或将要发生的所有合理开支，包括管理费和应分摊的其他费用，但不包括利润。</w:t>
      </w:r>
    </w:p>
    <w:p w14:paraId="20D6170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1.1.5.4 暂列金额：指已标价工程量清单中所列的暂列金额，用于在签订协议书时尚未确定或不可预见变更的施工及其所需材料、工程设备、服务等的金额，包括以计日工方式支付的金额。</w:t>
      </w:r>
    </w:p>
    <w:p w14:paraId="477B8066">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1.1.5.5暂估价：指发包人在工程量清单中给定的用于支付必然发生但暂时不能确定价格的材料、设备以及专业工程的金额。</w:t>
      </w:r>
    </w:p>
    <w:p w14:paraId="314FA63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1.1.5.6 计日工：指对零星工作采取的一种计价方式，按合同中的计日工子目及其单价计价付款。</w:t>
      </w:r>
    </w:p>
    <w:p w14:paraId="2E0CC99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1.1.5.7 质量保证金（或称保留金）：指按第17.4.1项约定用于保证在缺陷责任期内履行缺陷修复义务的金额。</w:t>
      </w:r>
    </w:p>
    <w:p w14:paraId="7EAC002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1.1.6 其他</w:t>
      </w:r>
    </w:p>
    <w:p w14:paraId="220E9B0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1.1.6.1 书面形式：指合同文件、信函、电报、传真等可以有形地表现所载内容的形式。</w:t>
      </w:r>
    </w:p>
    <w:p w14:paraId="09115577">
      <w:pPr>
        <w:pStyle w:val="299"/>
        <w:spacing w:before="120" w:after="120"/>
        <w:outlineLvl w:val="9"/>
        <w:rPr>
          <w:rFonts w:hint="eastAsia" w:hAnsi="宋体" w:cs="宋体"/>
          <w:color w:val="auto"/>
          <w:sz w:val="24"/>
          <w:szCs w:val="24"/>
          <w:highlight w:val="none"/>
        </w:rPr>
      </w:pPr>
      <w:bookmarkStart w:id="687" w:name="_Toc179632631"/>
      <w:bookmarkStart w:id="688" w:name="_Toc401660262"/>
      <w:bookmarkStart w:id="689" w:name="_Toc338944706"/>
      <w:bookmarkStart w:id="690" w:name="_Toc152042391"/>
      <w:bookmarkStart w:id="691" w:name="_Toc144974581"/>
      <w:bookmarkStart w:id="692" w:name="_Toc152045613"/>
      <w:bookmarkStart w:id="693" w:name="_Toc342296264"/>
      <w:r>
        <w:rPr>
          <w:rFonts w:hint="eastAsia" w:hAnsi="宋体" w:cs="宋体"/>
          <w:color w:val="auto"/>
          <w:sz w:val="24"/>
          <w:szCs w:val="24"/>
          <w:highlight w:val="none"/>
        </w:rPr>
        <w:t>1.2 语言文字</w:t>
      </w:r>
      <w:bookmarkEnd w:id="687"/>
      <w:bookmarkEnd w:id="688"/>
      <w:bookmarkEnd w:id="689"/>
      <w:bookmarkEnd w:id="690"/>
      <w:bookmarkEnd w:id="691"/>
      <w:bookmarkEnd w:id="692"/>
      <w:bookmarkEnd w:id="693"/>
    </w:p>
    <w:p w14:paraId="4F1B34A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除专用术语外，合同使用的语言文字为中文。必要时专用术语应附有中文注释。</w:t>
      </w:r>
    </w:p>
    <w:p w14:paraId="253941A4">
      <w:pPr>
        <w:pStyle w:val="299"/>
        <w:spacing w:before="120" w:after="120"/>
        <w:outlineLvl w:val="9"/>
        <w:rPr>
          <w:rFonts w:hint="eastAsia" w:hAnsi="宋体" w:cs="宋体"/>
          <w:color w:val="auto"/>
          <w:sz w:val="24"/>
          <w:szCs w:val="24"/>
          <w:highlight w:val="none"/>
        </w:rPr>
      </w:pPr>
      <w:bookmarkStart w:id="694" w:name="_Toc342296265"/>
      <w:bookmarkStart w:id="695" w:name="_Toc179632632"/>
      <w:bookmarkStart w:id="696" w:name="_Toc152045614"/>
      <w:bookmarkStart w:id="697" w:name="_Toc152042392"/>
      <w:bookmarkStart w:id="698" w:name="_Toc401660263"/>
      <w:bookmarkStart w:id="699" w:name="_Toc338944707"/>
      <w:bookmarkStart w:id="700" w:name="_Toc144974582"/>
      <w:r>
        <w:rPr>
          <w:rFonts w:hint="eastAsia" w:hAnsi="宋体" w:cs="宋体"/>
          <w:color w:val="auto"/>
          <w:sz w:val="24"/>
          <w:szCs w:val="24"/>
          <w:highlight w:val="none"/>
        </w:rPr>
        <w:t>1.3 法律</w:t>
      </w:r>
      <w:bookmarkEnd w:id="694"/>
      <w:bookmarkEnd w:id="695"/>
      <w:bookmarkEnd w:id="696"/>
      <w:bookmarkEnd w:id="697"/>
      <w:bookmarkEnd w:id="698"/>
      <w:bookmarkEnd w:id="699"/>
      <w:bookmarkEnd w:id="700"/>
    </w:p>
    <w:p w14:paraId="2A39914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适用于合同的法律包括中华人民共和国法律、行政法规、部门规章，以及工程所在地的地方法规、自治条例、单行条例和地方政府规章。</w:t>
      </w:r>
    </w:p>
    <w:p w14:paraId="607FA048">
      <w:pPr>
        <w:pStyle w:val="299"/>
        <w:spacing w:before="120" w:after="120"/>
        <w:outlineLvl w:val="9"/>
        <w:rPr>
          <w:rFonts w:hint="eastAsia" w:hAnsi="宋体" w:cs="宋体"/>
          <w:color w:val="auto"/>
          <w:sz w:val="24"/>
          <w:szCs w:val="24"/>
          <w:highlight w:val="none"/>
        </w:rPr>
      </w:pPr>
      <w:bookmarkStart w:id="701" w:name="_Toc342296266"/>
      <w:bookmarkStart w:id="702" w:name="_Toc338944708"/>
      <w:bookmarkStart w:id="703" w:name="_Toc401660264"/>
      <w:r>
        <w:rPr>
          <w:rFonts w:hint="eastAsia" w:hAnsi="宋体" w:cs="宋体"/>
          <w:color w:val="auto"/>
          <w:sz w:val="24"/>
          <w:szCs w:val="24"/>
          <w:highlight w:val="none"/>
        </w:rPr>
        <w:t>1.4 合同文件的优先顺序</w:t>
      </w:r>
      <w:bookmarkEnd w:id="701"/>
      <w:bookmarkEnd w:id="702"/>
      <w:bookmarkEnd w:id="703"/>
    </w:p>
    <w:p w14:paraId="43797E5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组成合同的各项文件应互相解释，互为说明。除专用合同条款另有约定外，解释合同文件的优先顺序如下：</w:t>
      </w:r>
    </w:p>
    <w:p w14:paraId="73580B18">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（1）合同协议书；</w:t>
      </w:r>
    </w:p>
    <w:p w14:paraId="1A09CBDC">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（2）中标通知书；</w:t>
      </w:r>
    </w:p>
    <w:p w14:paraId="4EA02A9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（3）专用合同条款；</w:t>
      </w:r>
    </w:p>
    <w:p w14:paraId="0DC36CCC">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（4）通用合同条款；</w:t>
      </w:r>
    </w:p>
    <w:p w14:paraId="6A2D90F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（5）技术标准和要求；</w:t>
      </w:r>
    </w:p>
    <w:p w14:paraId="183F77E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（6）图纸；</w:t>
      </w:r>
    </w:p>
    <w:p w14:paraId="366B529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（7）已标价工程量清单；</w:t>
      </w:r>
    </w:p>
    <w:p w14:paraId="0390053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（8）其他合同文件。</w:t>
      </w:r>
    </w:p>
    <w:p w14:paraId="7CCE122D">
      <w:pPr>
        <w:pStyle w:val="299"/>
        <w:spacing w:before="120" w:after="120"/>
        <w:outlineLvl w:val="9"/>
        <w:rPr>
          <w:rFonts w:hint="eastAsia" w:hAnsi="宋体" w:cs="宋体"/>
          <w:color w:val="auto"/>
          <w:sz w:val="24"/>
          <w:szCs w:val="24"/>
          <w:highlight w:val="none"/>
        </w:rPr>
      </w:pPr>
      <w:bookmarkStart w:id="704" w:name="_Toc342296267"/>
      <w:bookmarkStart w:id="705" w:name="_Toc338944709"/>
      <w:bookmarkStart w:id="706" w:name="_Toc401660265"/>
      <w:r>
        <w:rPr>
          <w:rFonts w:hint="eastAsia" w:hAnsi="宋体" w:cs="宋体"/>
          <w:color w:val="auto"/>
          <w:sz w:val="24"/>
          <w:szCs w:val="24"/>
          <w:highlight w:val="none"/>
        </w:rPr>
        <w:t>1.5 合同协议书</w:t>
      </w:r>
      <w:bookmarkEnd w:id="704"/>
      <w:bookmarkEnd w:id="705"/>
      <w:bookmarkEnd w:id="706"/>
    </w:p>
    <w:p w14:paraId="60D3ED5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承包人按中标通知书规定的时间与发包人签订合同协议书。除法律另有规定或合同另有约定外，发包人和承包人的法定代表人或其委托代理人在合同协议书上签字并盖单位章后，合同生效。</w:t>
      </w:r>
    </w:p>
    <w:p w14:paraId="5CDFEDB8">
      <w:pPr>
        <w:pStyle w:val="299"/>
        <w:spacing w:before="120" w:after="120"/>
        <w:outlineLvl w:val="9"/>
        <w:rPr>
          <w:rFonts w:hint="eastAsia" w:hAnsi="宋体" w:cs="宋体"/>
          <w:color w:val="auto"/>
          <w:sz w:val="24"/>
          <w:szCs w:val="24"/>
          <w:highlight w:val="none"/>
        </w:rPr>
      </w:pPr>
      <w:bookmarkStart w:id="707" w:name="_Toc401660266"/>
      <w:bookmarkStart w:id="708" w:name="_Toc342296268"/>
      <w:bookmarkStart w:id="709" w:name="_Toc338944710"/>
      <w:r>
        <w:rPr>
          <w:rFonts w:hint="eastAsia" w:hAnsi="宋体" w:cs="宋体"/>
          <w:color w:val="auto"/>
          <w:sz w:val="24"/>
          <w:szCs w:val="24"/>
          <w:highlight w:val="none"/>
        </w:rPr>
        <w:t>1.6 图纸和承包人文件</w:t>
      </w:r>
      <w:bookmarkEnd w:id="707"/>
      <w:bookmarkEnd w:id="708"/>
      <w:bookmarkEnd w:id="709"/>
    </w:p>
    <w:p w14:paraId="24B5D70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1.6.1图纸的提供</w:t>
      </w:r>
    </w:p>
    <w:p w14:paraId="5D97FC1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除专用合同条款另有约定外，图纸应在合理的期限内按照合同约定的数量提供给承包人。由于发包人未按时提供图纸造成工期延误的，按第11.3款的约定办理。</w:t>
      </w:r>
    </w:p>
    <w:p w14:paraId="41AA27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1.6.2 承包人提供的文件</w:t>
      </w:r>
    </w:p>
    <w:p w14:paraId="173DB32B">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按专用合同条款约定由承包人提供的文件，包括部分工程的大样图、加工图等，承包人应按约定的数量和期限报送监理人。监理人应在专用合同条款约定的期限内批复。</w:t>
      </w:r>
    </w:p>
    <w:p w14:paraId="690E27E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1.6.3 图纸的修改</w:t>
      </w:r>
    </w:p>
    <w:p w14:paraId="08391A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图纸需要修改和补充的，应由监理人取得发包人同意后，在该工程或工程相应部位施工前的合理期限内签发图纸修改图给承包人，具体签发期限在专用合同条款中约定。承包人应按修改后的图纸施工。</w:t>
      </w:r>
    </w:p>
    <w:p w14:paraId="78A9B4C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1.6.4 图纸的错误</w:t>
      </w:r>
    </w:p>
    <w:p w14:paraId="0C4B3B2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承包人发现发包人提供的图纸存在明显错误或疏忽，应及时通知监理人。</w:t>
      </w:r>
    </w:p>
    <w:p w14:paraId="26855F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1.6.5 图纸和承包人文件的保管</w:t>
      </w:r>
    </w:p>
    <w:p w14:paraId="6578BDE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监理人和承包人均应在施工场地各保存一套完整的包含第1.6.1项、第1.6.2项、第1.6.3项约定内容的图纸和承包人文件。</w:t>
      </w:r>
    </w:p>
    <w:p w14:paraId="5D719586">
      <w:pPr>
        <w:pStyle w:val="299"/>
        <w:spacing w:before="120" w:after="120"/>
        <w:outlineLvl w:val="9"/>
        <w:rPr>
          <w:rFonts w:hint="eastAsia" w:hAnsi="宋体" w:cs="宋体"/>
          <w:color w:val="auto"/>
          <w:sz w:val="24"/>
          <w:szCs w:val="24"/>
          <w:highlight w:val="none"/>
        </w:rPr>
      </w:pPr>
      <w:bookmarkStart w:id="710" w:name="_Toc342296269"/>
      <w:bookmarkStart w:id="711" w:name="_Toc338944711"/>
      <w:bookmarkStart w:id="712" w:name="_Toc401660267"/>
      <w:r>
        <w:rPr>
          <w:rFonts w:hint="eastAsia" w:hAnsi="宋体" w:cs="宋体"/>
          <w:color w:val="auto"/>
          <w:sz w:val="24"/>
          <w:szCs w:val="24"/>
          <w:highlight w:val="none"/>
        </w:rPr>
        <w:t>1.7 联络</w:t>
      </w:r>
      <w:bookmarkEnd w:id="710"/>
      <w:bookmarkEnd w:id="711"/>
      <w:bookmarkEnd w:id="712"/>
    </w:p>
    <w:p w14:paraId="193957D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 与合同有关的通知、批准、证明、证书、指示、要求、请求、同意、意见、确定和决定等，均应采用书面形式。</w:t>
      </w:r>
    </w:p>
    <w:p w14:paraId="06EA7B7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 第1.7.1项中的通知、批准、证明、证书、指示、要求、请求、同意、意见、确定和决定等来往函件，均应在合同约定的期限内送达指定地点和接收人，并办理签收手续。</w:t>
      </w:r>
    </w:p>
    <w:p w14:paraId="1F65D372">
      <w:pPr>
        <w:pStyle w:val="299"/>
        <w:spacing w:before="120" w:after="120"/>
        <w:outlineLvl w:val="9"/>
        <w:rPr>
          <w:rFonts w:hint="eastAsia" w:hAnsi="宋体" w:cs="宋体"/>
          <w:color w:val="auto"/>
          <w:sz w:val="24"/>
          <w:szCs w:val="24"/>
          <w:highlight w:val="none"/>
        </w:rPr>
      </w:pPr>
      <w:bookmarkStart w:id="713" w:name="_Toc401660268"/>
      <w:bookmarkStart w:id="714" w:name="_Toc152045619"/>
      <w:bookmarkStart w:id="715" w:name="_Toc338944712"/>
      <w:bookmarkStart w:id="716" w:name="_Toc152042397"/>
      <w:bookmarkStart w:id="717" w:name="_Toc179632637"/>
      <w:bookmarkStart w:id="718" w:name="_Toc342296270"/>
      <w:bookmarkStart w:id="719" w:name="_Toc144974587"/>
      <w:r>
        <w:rPr>
          <w:rFonts w:hint="eastAsia" w:hAnsi="宋体" w:cs="宋体"/>
          <w:color w:val="auto"/>
          <w:sz w:val="24"/>
          <w:szCs w:val="24"/>
          <w:highlight w:val="none"/>
        </w:rPr>
        <w:t>1.8 转让</w:t>
      </w:r>
      <w:bookmarkEnd w:id="713"/>
      <w:bookmarkEnd w:id="714"/>
      <w:bookmarkEnd w:id="715"/>
      <w:bookmarkEnd w:id="716"/>
      <w:bookmarkEnd w:id="717"/>
      <w:bookmarkEnd w:id="718"/>
      <w:bookmarkEnd w:id="719"/>
    </w:p>
    <w:p w14:paraId="28CF94C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除合同另有约定外，未经对方当事人同意，一方当事人不得将合同权利全部或部分转让给第三人，也不得全部或部分转移合同义务。</w:t>
      </w:r>
    </w:p>
    <w:p w14:paraId="12712792">
      <w:pPr>
        <w:pStyle w:val="299"/>
        <w:spacing w:before="120" w:after="120"/>
        <w:outlineLvl w:val="9"/>
        <w:rPr>
          <w:rFonts w:hint="eastAsia" w:hAnsi="宋体" w:cs="宋体"/>
          <w:color w:val="auto"/>
          <w:sz w:val="24"/>
          <w:szCs w:val="24"/>
          <w:highlight w:val="none"/>
        </w:rPr>
      </w:pPr>
      <w:bookmarkStart w:id="720" w:name="_Toc152042398"/>
      <w:bookmarkStart w:id="721" w:name="_Toc144974588"/>
      <w:bookmarkStart w:id="722" w:name="_Toc152045620"/>
      <w:bookmarkStart w:id="723" w:name="_Toc338944713"/>
      <w:bookmarkStart w:id="724" w:name="_Toc401660269"/>
      <w:bookmarkStart w:id="725" w:name="_Toc179632638"/>
      <w:bookmarkStart w:id="726" w:name="_Toc342296271"/>
      <w:r>
        <w:rPr>
          <w:rFonts w:hint="eastAsia" w:hAnsi="宋体" w:cs="宋体"/>
          <w:color w:val="auto"/>
          <w:sz w:val="24"/>
          <w:szCs w:val="24"/>
          <w:highlight w:val="none"/>
        </w:rPr>
        <w:t>1.9 严禁贿赂</w:t>
      </w:r>
      <w:bookmarkEnd w:id="720"/>
      <w:bookmarkEnd w:id="721"/>
      <w:bookmarkEnd w:id="722"/>
      <w:bookmarkEnd w:id="723"/>
      <w:bookmarkEnd w:id="724"/>
      <w:bookmarkEnd w:id="725"/>
      <w:bookmarkEnd w:id="726"/>
    </w:p>
    <w:p w14:paraId="0295E7A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合同双方当事人不得以贿赂或变相贿赂的方式，谋取不当利益或损害对方权益。因贿赂造成对方损失的，行为人应赔偿损失，并承担相应的法律责任。</w:t>
      </w:r>
    </w:p>
    <w:p w14:paraId="24A3399B">
      <w:pPr>
        <w:pStyle w:val="299"/>
        <w:spacing w:before="120" w:after="120"/>
        <w:outlineLvl w:val="9"/>
        <w:rPr>
          <w:rFonts w:hint="eastAsia" w:hAnsi="宋体" w:cs="宋体"/>
          <w:color w:val="auto"/>
          <w:sz w:val="24"/>
          <w:szCs w:val="24"/>
          <w:highlight w:val="none"/>
        </w:rPr>
      </w:pPr>
      <w:bookmarkStart w:id="727" w:name="_Toc152042399"/>
      <w:bookmarkStart w:id="728" w:name="_Toc338944714"/>
      <w:bookmarkStart w:id="729" w:name="_Toc179632639"/>
      <w:bookmarkStart w:id="730" w:name="_Toc152045621"/>
      <w:bookmarkStart w:id="731" w:name="_Toc401660270"/>
      <w:bookmarkStart w:id="732" w:name="_Toc144974589"/>
      <w:bookmarkStart w:id="733" w:name="_Toc342296272"/>
      <w:r>
        <w:rPr>
          <w:rFonts w:hint="eastAsia" w:hAnsi="宋体" w:cs="宋体"/>
          <w:color w:val="auto"/>
          <w:sz w:val="24"/>
          <w:szCs w:val="24"/>
          <w:highlight w:val="none"/>
        </w:rPr>
        <w:t>1.10 化石、文物</w:t>
      </w:r>
      <w:bookmarkEnd w:id="727"/>
      <w:bookmarkEnd w:id="728"/>
      <w:bookmarkEnd w:id="729"/>
      <w:bookmarkEnd w:id="730"/>
      <w:bookmarkEnd w:id="731"/>
      <w:bookmarkEnd w:id="732"/>
      <w:bookmarkEnd w:id="733"/>
    </w:p>
    <w:p w14:paraId="032130B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1.10.1 在施工场地发掘的所有文物、古迹以及具有地质研究或考古价值的其他遗迹、化石、钱币或物品属于国家所有。一旦发现上述文物，承包人应采取有效合理的保护措施，防止任何人员移动或损坏上述物品，并立即报告当地文物行政部门，同时通知监理人。发包人、监理人和承包人应按文物行政部门要求采取妥善保护措施，由此导致费用增加和（或）工期延误由发包人承担。</w:t>
      </w:r>
    </w:p>
    <w:p w14:paraId="2978BDB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1.10.2 承包人发现文物后不及时报告或隐瞒不报，致使文物丢失或损坏的，应赔偿损失，并承担相应的法律责任。</w:t>
      </w:r>
    </w:p>
    <w:p w14:paraId="109714A9">
      <w:pPr>
        <w:pStyle w:val="299"/>
        <w:spacing w:before="120" w:after="120"/>
        <w:outlineLvl w:val="9"/>
        <w:rPr>
          <w:rFonts w:hint="eastAsia" w:hAnsi="宋体" w:cs="宋体"/>
          <w:color w:val="auto"/>
          <w:sz w:val="24"/>
          <w:szCs w:val="24"/>
          <w:highlight w:val="none"/>
        </w:rPr>
      </w:pPr>
      <w:bookmarkStart w:id="734" w:name="_Toc401660271"/>
      <w:bookmarkStart w:id="735" w:name="_Toc152045622"/>
      <w:bookmarkStart w:id="736" w:name="_Toc144974590"/>
      <w:bookmarkStart w:id="737" w:name="_Toc342296273"/>
      <w:bookmarkStart w:id="738" w:name="_Toc338944715"/>
      <w:bookmarkStart w:id="739" w:name="_Toc179632640"/>
      <w:bookmarkStart w:id="740" w:name="_Toc152042400"/>
      <w:r>
        <w:rPr>
          <w:rFonts w:hint="eastAsia" w:hAnsi="宋体" w:cs="宋体"/>
          <w:color w:val="auto"/>
          <w:sz w:val="24"/>
          <w:szCs w:val="24"/>
          <w:highlight w:val="none"/>
        </w:rPr>
        <w:t>1.11 专利技术</w:t>
      </w:r>
      <w:bookmarkEnd w:id="734"/>
      <w:bookmarkEnd w:id="735"/>
      <w:bookmarkEnd w:id="736"/>
      <w:bookmarkEnd w:id="737"/>
      <w:bookmarkEnd w:id="738"/>
      <w:bookmarkEnd w:id="739"/>
      <w:bookmarkEnd w:id="740"/>
    </w:p>
    <w:p w14:paraId="16EABDF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1.11.1 承包人在使用任何材料、承包人设备、工程设备或采用施工工艺时，因侵犯专利权或其他知识产权所引起的责任，由承包人承担，但由于遵照发包人提供的设计或技术标准和要求引起的除外。</w:t>
      </w:r>
    </w:p>
    <w:p w14:paraId="1389B24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1.11.2 承包人在投标文件中采用专利技术的，专利技术的使用费包含在投标报价内。</w:t>
      </w:r>
    </w:p>
    <w:p w14:paraId="01F9797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1.11.3 承包人的技术秘密和声明需要保密的资料和信息，发包人和监理人不得为合同以外的目的泄露给他人。</w:t>
      </w:r>
    </w:p>
    <w:p w14:paraId="3865E523">
      <w:pPr>
        <w:pStyle w:val="299"/>
        <w:spacing w:before="120" w:after="120"/>
        <w:outlineLvl w:val="9"/>
        <w:rPr>
          <w:rFonts w:hint="eastAsia" w:hAnsi="宋体" w:cs="宋体"/>
          <w:color w:val="auto"/>
          <w:sz w:val="24"/>
          <w:szCs w:val="24"/>
          <w:highlight w:val="none"/>
        </w:rPr>
      </w:pPr>
      <w:bookmarkStart w:id="741" w:name="_Toc338944716"/>
      <w:bookmarkStart w:id="742" w:name="_Toc342296274"/>
      <w:bookmarkStart w:id="743" w:name="_Toc401660272"/>
      <w:bookmarkStart w:id="744" w:name="_Toc152045623"/>
      <w:bookmarkStart w:id="745" w:name="_Toc144974591"/>
      <w:bookmarkStart w:id="746" w:name="_Toc152042401"/>
      <w:bookmarkStart w:id="747" w:name="_Toc179632641"/>
      <w:r>
        <w:rPr>
          <w:rFonts w:hint="eastAsia" w:hAnsi="宋体" w:cs="宋体"/>
          <w:color w:val="auto"/>
          <w:sz w:val="24"/>
          <w:szCs w:val="24"/>
          <w:highlight w:val="none"/>
        </w:rPr>
        <w:t>1.12 图纸和文件的保密</w:t>
      </w:r>
      <w:bookmarkEnd w:id="741"/>
      <w:bookmarkEnd w:id="742"/>
      <w:bookmarkEnd w:id="743"/>
      <w:bookmarkEnd w:id="744"/>
      <w:bookmarkEnd w:id="745"/>
      <w:bookmarkEnd w:id="746"/>
      <w:bookmarkEnd w:id="747"/>
    </w:p>
    <w:p w14:paraId="0008BC6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1.12.1 发包人提供的图纸和文件，未经发包人同意，承包人不得为合同以外的目的泄露给他人或公开发表与引用。</w:t>
      </w:r>
    </w:p>
    <w:p w14:paraId="6915D77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1.12.2 承包人提供的文件，未经承包人同意，发包人和监理人不得为合同以外的目的泄露给他人或公开发表与引用。</w:t>
      </w:r>
    </w:p>
    <w:p w14:paraId="33C06A35">
      <w:pPr>
        <w:pStyle w:val="296"/>
        <w:spacing w:before="120" w:after="120"/>
        <w:outlineLvl w:val="9"/>
        <w:rPr>
          <w:rFonts w:hint="eastAsia" w:hAnsi="宋体"/>
          <w:color w:val="auto"/>
          <w:sz w:val="24"/>
          <w:szCs w:val="24"/>
          <w:highlight w:val="none"/>
        </w:rPr>
      </w:pPr>
      <w:bookmarkStart w:id="748" w:name="_Toc401660273"/>
      <w:bookmarkStart w:id="749" w:name="_Toc342296275"/>
      <w:bookmarkStart w:id="750" w:name="_Toc338944717"/>
      <w:r>
        <w:rPr>
          <w:rFonts w:hint="eastAsia" w:hAnsi="宋体"/>
          <w:color w:val="auto"/>
          <w:sz w:val="24"/>
          <w:szCs w:val="24"/>
          <w:highlight w:val="none"/>
        </w:rPr>
        <w:t>2. 发包人义务</w:t>
      </w:r>
      <w:bookmarkEnd w:id="748"/>
      <w:bookmarkEnd w:id="749"/>
      <w:bookmarkEnd w:id="750"/>
    </w:p>
    <w:p w14:paraId="1902A705">
      <w:pPr>
        <w:pStyle w:val="299"/>
        <w:spacing w:before="120" w:after="120"/>
        <w:outlineLvl w:val="9"/>
        <w:rPr>
          <w:rFonts w:hint="eastAsia" w:hAnsi="宋体" w:cs="宋体"/>
          <w:color w:val="auto"/>
          <w:sz w:val="24"/>
          <w:szCs w:val="24"/>
          <w:highlight w:val="none"/>
        </w:rPr>
      </w:pPr>
      <w:bookmarkStart w:id="751" w:name="_Toc401660274"/>
      <w:bookmarkStart w:id="752" w:name="_Toc179632643"/>
      <w:bookmarkStart w:id="753" w:name="_Toc152042403"/>
      <w:bookmarkStart w:id="754" w:name="_Toc338944718"/>
      <w:bookmarkStart w:id="755" w:name="_Toc152045625"/>
      <w:bookmarkStart w:id="756" w:name="_Toc144974593"/>
      <w:bookmarkStart w:id="757" w:name="_Toc342296276"/>
      <w:r>
        <w:rPr>
          <w:rFonts w:hint="eastAsia" w:hAnsi="宋体" w:cs="宋体"/>
          <w:color w:val="auto"/>
          <w:sz w:val="24"/>
          <w:szCs w:val="24"/>
          <w:highlight w:val="none"/>
        </w:rPr>
        <w:t>2.1 遵守法律</w:t>
      </w:r>
      <w:bookmarkEnd w:id="751"/>
      <w:bookmarkEnd w:id="752"/>
      <w:bookmarkEnd w:id="753"/>
      <w:bookmarkEnd w:id="754"/>
      <w:bookmarkEnd w:id="755"/>
      <w:bookmarkEnd w:id="756"/>
      <w:bookmarkEnd w:id="757"/>
    </w:p>
    <w:p w14:paraId="03FA8F9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发包人在履行合同过程中应遵守法律，并保证承包人免于承担因发包人违反法律而引起的任何责任。</w:t>
      </w:r>
    </w:p>
    <w:p w14:paraId="42484CDE">
      <w:pPr>
        <w:pStyle w:val="299"/>
        <w:spacing w:before="120" w:after="120"/>
        <w:outlineLvl w:val="9"/>
        <w:rPr>
          <w:rFonts w:hint="eastAsia" w:hAnsi="宋体" w:cs="宋体"/>
          <w:color w:val="auto"/>
          <w:sz w:val="24"/>
          <w:szCs w:val="24"/>
          <w:highlight w:val="none"/>
        </w:rPr>
      </w:pPr>
      <w:bookmarkStart w:id="758" w:name="_Toc144974594"/>
      <w:bookmarkStart w:id="759" w:name="_Toc401660275"/>
      <w:bookmarkStart w:id="760" w:name="_Toc179632644"/>
      <w:bookmarkStart w:id="761" w:name="_Toc338944719"/>
      <w:bookmarkStart w:id="762" w:name="_Toc152042404"/>
      <w:bookmarkStart w:id="763" w:name="_Toc152045626"/>
      <w:bookmarkStart w:id="764" w:name="_Toc342296277"/>
      <w:r>
        <w:rPr>
          <w:rFonts w:hint="eastAsia" w:hAnsi="宋体" w:cs="宋体"/>
          <w:color w:val="auto"/>
          <w:sz w:val="24"/>
          <w:szCs w:val="24"/>
          <w:highlight w:val="none"/>
        </w:rPr>
        <w:t>2.2 发出开工通知</w:t>
      </w:r>
      <w:bookmarkEnd w:id="758"/>
      <w:bookmarkEnd w:id="759"/>
      <w:bookmarkEnd w:id="760"/>
      <w:bookmarkEnd w:id="761"/>
      <w:bookmarkEnd w:id="762"/>
      <w:bookmarkEnd w:id="763"/>
      <w:bookmarkEnd w:id="764"/>
    </w:p>
    <w:p w14:paraId="39495AD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发包人应委托监理人按第11.1款的约定向承包人发出开工通知。</w:t>
      </w:r>
    </w:p>
    <w:p w14:paraId="475ED4F8">
      <w:pPr>
        <w:pStyle w:val="299"/>
        <w:spacing w:before="120" w:after="120"/>
        <w:outlineLvl w:val="9"/>
        <w:rPr>
          <w:rFonts w:hint="eastAsia" w:hAnsi="宋体" w:cs="宋体"/>
          <w:color w:val="auto"/>
          <w:sz w:val="24"/>
          <w:szCs w:val="24"/>
          <w:highlight w:val="none"/>
        </w:rPr>
      </w:pPr>
      <w:bookmarkStart w:id="765" w:name="_Toc401660276"/>
      <w:bookmarkStart w:id="766" w:name="_Toc342296278"/>
      <w:bookmarkStart w:id="767" w:name="_Toc338944720"/>
      <w:r>
        <w:rPr>
          <w:rFonts w:hint="eastAsia" w:hAnsi="宋体" w:cs="宋体"/>
          <w:color w:val="auto"/>
          <w:sz w:val="24"/>
          <w:szCs w:val="24"/>
          <w:highlight w:val="none"/>
        </w:rPr>
        <w:t>2.3 提供施工场地</w:t>
      </w:r>
      <w:bookmarkEnd w:id="765"/>
      <w:bookmarkEnd w:id="766"/>
      <w:bookmarkEnd w:id="767"/>
    </w:p>
    <w:p w14:paraId="04EED37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发包人应按专用合同条款约定向承包人提供施工场地，以及施工场地内地下管线和地下设施等有关资料，并保证资料的真实、准确、完整。</w:t>
      </w:r>
    </w:p>
    <w:p w14:paraId="6904ECDC">
      <w:pPr>
        <w:pStyle w:val="299"/>
        <w:spacing w:before="120" w:after="120"/>
        <w:outlineLvl w:val="9"/>
        <w:rPr>
          <w:rFonts w:hint="eastAsia" w:hAnsi="宋体" w:cs="宋体"/>
          <w:color w:val="auto"/>
          <w:sz w:val="24"/>
          <w:szCs w:val="24"/>
          <w:highlight w:val="none"/>
        </w:rPr>
      </w:pPr>
      <w:bookmarkStart w:id="768" w:name="_Toc144974596"/>
      <w:bookmarkStart w:id="769" w:name="_Toc401660277"/>
      <w:bookmarkStart w:id="770" w:name="_Toc179632646"/>
      <w:bookmarkStart w:id="771" w:name="_Toc152042406"/>
      <w:bookmarkStart w:id="772" w:name="_Toc338944721"/>
      <w:bookmarkStart w:id="773" w:name="_Toc342296279"/>
      <w:bookmarkStart w:id="774" w:name="_Toc152045628"/>
      <w:r>
        <w:rPr>
          <w:rFonts w:hint="eastAsia" w:hAnsi="宋体" w:cs="宋体"/>
          <w:color w:val="auto"/>
          <w:sz w:val="24"/>
          <w:szCs w:val="24"/>
          <w:highlight w:val="none"/>
        </w:rPr>
        <w:t>2.4 协助承包人办理证件和批件</w:t>
      </w:r>
      <w:bookmarkEnd w:id="768"/>
      <w:bookmarkEnd w:id="769"/>
      <w:bookmarkEnd w:id="770"/>
      <w:bookmarkEnd w:id="771"/>
      <w:bookmarkEnd w:id="772"/>
      <w:bookmarkEnd w:id="773"/>
      <w:bookmarkEnd w:id="774"/>
    </w:p>
    <w:p w14:paraId="1F98894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发包人应协助承包人办理法律规定的有关施工证件和批件。</w:t>
      </w:r>
    </w:p>
    <w:p w14:paraId="3BFEE3B2">
      <w:pPr>
        <w:pStyle w:val="299"/>
        <w:spacing w:before="120" w:after="120"/>
        <w:outlineLvl w:val="9"/>
        <w:rPr>
          <w:rFonts w:hint="eastAsia" w:hAnsi="宋体" w:cs="宋体"/>
          <w:color w:val="auto"/>
          <w:sz w:val="24"/>
          <w:szCs w:val="24"/>
          <w:highlight w:val="none"/>
        </w:rPr>
      </w:pPr>
      <w:bookmarkStart w:id="775" w:name="_Toc401660278"/>
      <w:bookmarkStart w:id="776" w:name="_Toc342296280"/>
      <w:bookmarkStart w:id="777" w:name="_Toc338944722"/>
      <w:r>
        <w:rPr>
          <w:rFonts w:hint="eastAsia" w:hAnsi="宋体" w:cs="宋体"/>
          <w:color w:val="auto"/>
          <w:sz w:val="24"/>
          <w:szCs w:val="24"/>
          <w:highlight w:val="none"/>
        </w:rPr>
        <w:t>2.5 组织设计交底</w:t>
      </w:r>
      <w:bookmarkEnd w:id="775"/>
      <w:bookmarkEnd w:id="776"/>
      <w:bookmarkEnd w:id="777"/>
    </w:p>
    <w:p w14:paraId="370BCA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发包人应根据合同进度计划，组织设计单位向承包人进行设计交底。</w:t>
      </w:r>
    </w:p>
    <w:p w14:paraId="349E35F6">
      <w:pPr>
        <w:pStyle w:val="299"/>
        <w:spacing w:before="120" w:after="120"/>
        <w:outlineLvl w:val="9"/>
        <w:rPr>
          <w:rFonts w:hint="eastAsia" w:hAnsi="宋体" w:cs="宋体"/>
          <w:color w:val="auto"/>
          <w:sz w:val="24"/>
          <w:szCs w:val="24"/>
          <w:highlight w:val="none"/>
        </w:rPr>
      </w:pPr>
      <w:bookmarkStart w:id="778" w:name="_Toc338944723"/>
      <w:bookmarkStart w:id="779" w:name="_Toc342296281"/>
      <w:bookmarkStart w:id="780" w:name="_Toc401660279"/>
      <w:r>
        <w:rPr>
          <w:rFonts w:hint="eastAsia" w:hAnsi="宋体" w:cs="宋体"/>
          <w:color w:val="auto"/>
          <w:sz w:val="24"/>
          <w:szCs w:val="24"/>
          <w:highlight w:val="none"/>
        </w:rPr>
        <w:t>2.6 支付合同价款</w:t>
      </w:r>
      <w:bookmarkEnd w:id="778"/>
      <w:bookmarkEnd w:id="779"/>
      <w:bookmarkEnd w:id="780"/>
    </w:p>
    <w:p w14:paraId="3F1A7B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发包人应按合同约定向承包人及时支付合同价款。</w:t>
      </w:r>
    </w:p>
    <w:p w14:paraId="7D4AD27D">
      <w:pPr>
        <w:pStyle w:val="299"/>
        <w:spacing w:before="120" w:after="120"/>
        <w:outlineLvl w:val="9"/>
        <w:rPr>
          <w:rFonts w:hint="eastAsia" w:hAnsi="宋体" w:cs="宋体"/>
          <w:color w:val="auto"/>
          <w:sz w:val="24"/>
          <w:szCs w:val="24"/>
          <w:highlight w:val="none"/>
        </w:rPr>
      </w:pPr>
      <w:bookmarkStart w:id="781" w:name="_Toc144974599"/>
      <w:bookmarkStart w:id="782" w:name="_Toc401660280"/>
      <w:bookmarkStart w:id="783" w:name="_Toc342296282"/>
      <w:bookmarkStart w:id="784" w:name="_Toc152042409"/>
      <w:bookmarkStart w:id="785" w:name="_Toc152045631"/>
      <w:bookmarkStart w:id="786" w:name="_Toc338944724"/>
      <w:bookmarkStart w:id="787" w:name="_Toc179632649"/>
      <w:r>
        <w:rPr>
          <w:rFonts w:hint="eastAsia" w:hAnsi="宋体" w:cs="宋体"/>
          <w:color w:val="auto"/>
          <w:sz w:val="24"/>
          <w:szCs w:val="24"/>
          <w:highlight w:val="none"/>
        </w:rPr>
        <w:t>2.7 组织竣工验收</w:t>
      </w:r>
      <w:bookmarkEnd w:id="781"/>
      <w:bookmarkEnd w:id="782"/>
      <w:bookmarkEnd w:id="783"/>
      <w:bookmarkEnd w:id="784"/>
      <w:bookmarkEnd w:id="785"/>
      <w:bookmarkEnd w:id="786"/>
      <w:bookmarkEnd w:id="787"/>
    </w:p>
    <w:p w14:paraId="0743EB3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发包人应按合同约定及时组织竣工验收。</w:t>
      </w:r>
    </w:p>
    <w:p w14:paraId="6FD9A92D">
      <w:pPr>
        <w:pStyle w:val="299"/>
        <w:spacing w:before="120" w:after="120"/>
        <w:outlineLvl w:val="9"/>
        <w:rPr>
          <w:rFonts w:hint="eastAsia" w:hAnsi="宋体" w:cs="宋体"/>
          <w:color w:val="auto"/>
          <w:sz w:val="24"/>
          <w:szCs w:val="24"/>
          <w:highlight w:val="none"/>
        </w:rPr>
      </w:pPr>
      <w:bookmarkStart w:id="788" w:name="_Toc401660281"/>
      <w:bookmarkStart w:id="789" w:name="_Toc342296283"/>
      <w:bookmarkStart w:id="790" w:name="_Toc338944725"/>
      <w:r>
        <w:rPr>
          <w:rFonts w:hint="eastAsia" w:hAnsi="宋体" w:cs="宋体"/>
          <w:color w:val="auto"/>
          <w:sz w:val="24"/>
          <w:szCs w:val="24"/>
          <w:highlight w:val="none"/>
        </w:rPr>
        <w:t>2.8 其他义务</w:t>
      </w:r>
      <w:bookmarkEnd w:id="788"/>
      <w:bookmarkEnd w:id="789"/>
      <w:bookmarkEnd w:id="790"/>
    </w:p>
    <w:p w14:paraId="4E78037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发包人应履行合同约定的其他义务。</w:t>
      </w:r>
    </w:p>
    <w:p w14:paraId="1F383F6D">
      <w:pPr>
        <w:pStyle w:val="296"/>
        <w:spacing w:before="120" w:after="120"/>
        <w:outlineLvl w:val="9"/>
        <w:rPr>
          <w:rFonts w:hint="eastAsia" w:hAnsi="宋体"/>
          <w:color w:val="auto"/>
          <w:sz w:val="24"/>
          <w:szCs w:val="24"/>
          <w:highlight w:val="none"/>
        </w:rPr>
      </w:pPr>
      <w:bookmarkStart w:id="791" w:name="_Toc338944726"/>
      <w:bookmarkStart w:id="792" w:name="_Toc401660282"/>
      <w:bookmarkStart w:id="793" w:name="_Toc342296284"/>
      <w:r>
        <w:rPr>
          <w:rFonts w:hint="eastAsia" w:hAnsi="宋体"/>
          <w:color w:val="auto"/>
          <w:sz w:val="24"/>
          <w:szCs w:val="24"/>
          <w:highlight w:val="none"/>
        </w:rPr>
        <w:t>3. 监理人</w:t>
      </w:r>
      <w:bookmarkEnd w:id="791"/>
      <w:bookmarkEnd w:id="792"/>
      <w:bookmarkEnd w:id="793"/>
    </w:p>
    <w:p w14:paraId="5F3878F8">
      <w:pPr>
        <w:pStyle w:val="299"/>
        <w:spacing w:before="120" w:after="120"/>
        <w:outlineLvl w:val="9"/>
        <w:rPr>
          <w:rFonts w:hint="eastAsia" w:hAnsi="宋体" w:cs="宋体"/>
          <w:color w:val="auto"/>
          <w:sz w:val="24"/>
          <w:szCs w:val="24"/>
          <w:highlight w:val="none"/>
        </w:rPr>
      </w:pPr>
      <w:bookmarkStart w:id="794" w:name="_Toc342296285"/>
      <w:bookmarkStart w:id="795" w:name="_Toc338944727"/>
      <w:bookmarkStart w:id="796" w:name="_Toc401660283"/>
      <w:r>
        <w:rPr>
          <w:rFonts w:hint="eastAsia" w:hAnsi="宋体" w:cs="宋体"/>
          <w:color w:val="auto"/>
          <w:sz w:val="24"/>
          <w:szCs w:val="24"/>
          <w:highlight w:val="none"/>
        </w:rPr>
        <w:t>3.1 监理人的职责和权力</w:t>
      </w:r>
      <w:bookmarkEnd w:id="794"/>
      <w:bookmarkEnd w:id="795"/>
      <w:bookmarkEnd w:id="796"/>
    </w:p>
    <w:p w14:paraId="62C08A0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 监理人受发包人委托，享有合同约定的权力。监理人在行使某项权力前需要经发包人事先批准而通用合同条款没有指明的，应在专用合同条款中指明。</w:t>
      </w:r>
    </w:p>
    <w:p w14:paraId="27C1FE7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3.1.2 监理人发出的任何指示应视为已得到发包人的批准，但监理人无权免除或变更合同约定的发包人和承包人的权利、义务和责任。</w:t>
      </w:r>
    </w:p>
    <w:p w14:paraId="351908F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3.1.3 合同约定应由承包人承担的义务和责任，不因监理人对承包人提交文件的审查或批准，对工程、材料和设备的检查和检验，以及为实施监理作出的指示等职务行为而减轻或解除。</w:t>
      </w:r>
    </w:p>
    <w:p w14:paraId="31E0EB02">
      <w:pPr>
        <w:pStyle w:val="299"/>
        <w:spacing w:before="120" w:after="120"/>
        <w:outlineLvl w:val="9"/>
        <w:rPr>
          <w:rFonts w:hint="eastAsia" w:hAnsi="宋体" w:cs="宋体"/>
          <w:color w:val="auto"/>
          <w:sz w:val="24"/>
          <w:szCs w:val="24"/>
          <w:highlight w:val="none"/>
        </w:rPr>
      </w:pPr>
      <w:bookmarkStart w:id="797" w:name="_Toc342296286"/>
      <w:bookmarkStart w:id="798" w:name="_Toc152045635"/>
      <w:bookmarkStart w:id="799" w:name="_Toc144974603"/>
      <w:bookmarkStart w:id="800" w:name="_Toc179632653"/>
      <w:bookmarkStart w:id="801" w:name="_Toc338944728"/>
      <w:bookmarkStart w:id="802" w:name="_Toc152042413"/>
      <w:bookmarkStart w:id="803" w:name="_Toc401660284"/>
      <w:r>
        <w:rPr>
          <w:rFonts w:hint="eastAsia" w:hAnsi="宋体" w:cs="宋体"/>
          <w:color w:val="auto"/>
          <w:sz w:val="24"/>
          <w:szCs w:val="24"/>
          <w:highlight w:val="none"/>
        </w:rPr>
        <w:t>3.2 总监理工程师</w:t>
      </w:r>
      <w:bookmarkEnd w:id="797"/>
      <w:bookmarkEnd w:id="798"/>
      <w:bookmarkEnd w:id="799"/>
      <w:bookmarkEnd w:id="800"/>
      <w:bookmarkEnd w:id="801"/>
      <w:bookmarkEnd w:id="802"/>
      <w:bookmarkEnd w:id="803"/>
    </w:p>
    <w:p w14:paraId="71A9043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发包人应在发出开工通知前将总监理工程师的任命通知承包人。总监理工程师更换时，应在调离14天前通知承包人。总监理工程师短期离开施工场地的，应委派代表代行其职责，并通知承包人。</w:t>
      </w:r>
    </w:p>
    <w:p w14:paraId="3432DA97">
      <w:pPr>
        <w:pStyle w:val="299"/>
        <w:spacing w:before="120" w:after="120"/>
        <w:outlineLvl w:val="9"/>
        <w:rPr>
          <w:rFonts w:hint="eastAsia" w:hAnsi="宋体" w:cs="宋体"/>
          <w:color w:val="auto"/>
          <w:sz w:val="24"/>
          <w:szCs w:val="24"/>
          <w:highlight w:val="none"/>
        </w:rPr>
      </w:pPr>
      <w:bookmarkStart w:id="804" w:name="_Toc401660285"/>
      <w:bookmarkStart w:id="805" w:name="_Toc338944729"/>
      <w:bookmarkStart w:id="806" w:name="_Toc342296287"/>
      <w:r>
        <w:rPr>
          <w:rFonts w:hint="eastAsia" w:hAnsi="宋体" w:cs="宋体"/>
          <w:color w:val="auto"/>
          <w:sz w:val="24"/>
          <w:szCs w:val="24"/>
          <w:highlight w:val="none"/>
        </w:rPr>
        <w:t>3.3 监理人员</w:t>
      </w:r>
      <w:bookmarkEnd w:id="804"/>
      <w:bookmarkEnd w:id="805"/>
      <w:bookmarkEnd w:id="806"/>
    </w:p>
    <w:p w14:paraId="6D8915A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3.3.1 总监理工程师可以授权其他监理人员负责执行其指派的一项或多项监理工作。总监理工程师应将被授权监理人员的姓名及其授权范围通知承包人。被授权的监理人员在授权范围内发出的指示视为已得到总监理工程师的同意，与总监理工程师发出的指示具有同等效力。总监理工程师撤销某项授权时，应将撤销授权的决定及时通知承包人。</w:t>
      </w:r>
    </w:p>
    <w:p w14:paraId="0567D46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3.3.2 监理人员对承包人的任何工作、工程或其采用的材料和工程设备未在约定的或合理的期限内提出否定意见的，视为已获批准，但不影响监理人在以后拒绝该项工作、工程、材料或工程设备的权利。</w:t>
      </w:r>
    </w:p>
    <w:p w14:paraId="2799B77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3.3.3 承包人对总监理工程师授权的监理人员发出的指示有疑问的，可向总监理工程师提出书面异议，总监理工程师应在48小时内对该指示予以确认、更改或撤销。</w:t>
      </w:r>
    </w:p>
    <w:p w14:paraId="7FF7D63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3.3.4 除专用合同条款另有约定外，总监理工程师不应将第3.5款约定应由总监理工程师作出确定的权力授权或委托给其他监理人员。</w:t>
      </w:r>
    </w:p>
    <w:p w14:paraId="6E2BDA5E">
      <w:pPr>
        <w:pStyle w:val="299"/>
        <w:spacing w:before="120" w:after="120"/>
        <w:outlineLvl w:val="9"/>
        <w:rPr>
          <w:rFonts w:hint="eastAsia" w:hAnsi="宋体" w:cs="宋体"/>
          <w:color w:val="auto"/>
          <w:sz w:val="24"/>
          <w:szCs w:val="24"/>
          <w:highlight w:val="none"/>
        </w:rPr>
      </w:pPr>
      <w:bookmarkStart w:id="807" w:name="_Toc338944730"/>
      <w:bookmarkStart w:id="808" w:name="_Toc401660286"/>
      <w:bookmarkStart w:id="809" w:name="_Toc342296288"/>
      <w:r>
        <w:rPr>
          <w:rFonts w:hint="eastAsia" w:hAnsi="宋体" w:cs="宋体"/>
          <w:color w:val="auto"/>
          <w:sz w:val="24"/>
          <w:szCs w:val="24"/>
          <w:highlight w:val="none"/>
        </w:rPr>
        <w:t>3.4 监理人的指示</w:t>
      </w:r>
      <w:bookmarkEnd w:id="807"/>
      <w:bookmarkEnd w:id="808"/>
      <w:bookmarkEnd w:id="809"/>
    </w:p>
    <w:p w14:paraId="302C12A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3.4.1 监理人应按第3.1款的约定向承包人发出指示，监理人的指示应盖有监理人授权的施工场地机构章，并由总监理工程师或总监理工程师按第3.3.1项约定授权的监理人员签字。</w:t>
      </w:r>
    </w:p>
    <w:p w14:paraId="0E093AB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3.4.2 承包人收到监理人按第3.4.1项作出的指示后应遵照执行。指示构成变更的，应按第15条处理。</w:t>
      </w:r>
    </w:p>
    <w:p w14:paraId="5676C9F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3.4.3 在紧急情况下，总监理工程师或被授权的监理人员可以当场签发临时书面指示，承包人应遵照执行。承包人应在收到上述临时书面指示后24小时内，向监理人发出书面确认函。监理人在收到书面确认函后24小时内未予答复的，该书面确认函应被视为监理人的正式指示。</w:t>
      </w:r>
    </w:p>
    <w:p w14:paraId="5FB52F2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3.4.4 除合同另有约定外，承包人只从总监理工程师或按第3.3.1项被授权的监理人员处取得指示。</w:t>
      </w:r>
    </w:p>
    <w:p w14:paraId="3D95B9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3.4.5 由于监理人未能按合同约定发出指示、指示延误或指示错误而导致承包人费用增加和（或）工期延误的，由发包人承担赔偿责任。</w:t>
      </w:r>
    </w:p>
    <w:p w14:paraId="3E18D596">
      <w:pPr>
        <w:pStyle w:val="299"/>
        <w:spacing w:before="120" w:after="120"/>
        <w:outlineLvl w:val="9"/>
        <w:rPr>
          <w:rFonts w:hint="eastAsia" w:hAnsi="宋体" w:cs="宋体"/>
          <w:color w:val="auto"/>
          <w:sz w:val="24"/>
          <w:szCs w:val="24"/>
          <w:highlight w:val="none"/>
        </w:rPr>
      </w:pPr>
      <w:bookmarkStart w:id="810" w:name="_Toc342296289"/>
      <w:bookmarkStart w:id="811" w:name="_Toc338944731"/>
      <w:bookmarkStart w:id="812" w:name="_Toc401660287"/>
      <w:bookmarkStart w:id="813" w:name="_Toc152045638"/>
      <w:bookmarkStart w:id="814" w:name="_Toc144974606"/>
      <w:bookmarkStart w:id="815" w:name="_Toc179632656"/>
      <w:bookmarkStart w:id="816" w:name="_Toc152042416"/>
      <w:r>
        <w:rPr>
          <w:rFonts w:hint="eastAsia" w:hAnsi="宋体" w:cs="宋体"/>
          <w:color w:val="auto"/>
          <w:sz w:val="24"/>
          <w:szCs w:val="24"/>
          <w:highlight w:val="none"/>
        </w:rPr>
        <w:t>3.5 商定或确定</w:t>
      </w:r>
      <w:bookmarkEnd w:id="810"/>
      <w:bookmarkEnd w:id="811"/>
      <w:bookmarkEnd w:id="812"/>
      <w:bookmarkEnd w:id="813"/>
      <w:bookmarkEnd w:id="814"/>
      <w:bookmarkEnd w:id="815"/>
      <w:bookmarkEnd w:id="816"/>
    </w:p>
    <w:p w14:paraId="7412017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3.5.1合同约定总监理工程师应按照本款对任何事项进行商定或确定时，总监理工程师应与合同当事人协商，尽量达成一致。不能达成一致的，总监理工程师应认真研究后审慎确定。</w:t>
      </w:r>
    </w:p>
    <w:p w14:paraId="2FAEA4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3.5.2 总监理工程师应将商定或确定的事项通知合同当事人，并附详细依据。对总监理工程师的确定有异议的，构成争议，按照第24条的约定处理。在争议解决前，双方应暂按总监理工程师的确定执行，按照第24条的约定对总监理工程师的确定作出修改的，按修改后的结果执行。</w:t>
      </w:r>
    </w:p>
    <w:p w14:paraId="31E7AE06">
      <w:pPr>
        <w:pStyle w:val="296"/>
        <w:spacing w:before="120" w:after="120"/>
        <w:outlineLvl w:val="9"/>
        <w:rPr>
          <w:rFonts w:hint="eastAsia" w:hAnsi="宋体"/>
          <w:color w:val="auto"/>
          <w:sz w:val="24"/>
          <w:szCs w:val="24"/>
          <w:highlight w:val="none"/>
        </w:rPr>
      </w:pPr>
      <w:bookmarkStart w:id="817" w:name="_Toc338944732"/>
      <w:bookmarkStart w:id="818" w:name="_Toc401660288"/>
      <w:bookmarkStart w:id="819" w:name="_Toc342296290"/>
      <w:r>
        <w:rPr>
          <w:rFonts w:hint="eastAsia" w:hAnsi="宋体"/>
          <w:color w:val="auto"/>
          <w:sz w:val="24"/>
          <w:szCs w:val="24"/>
          <w:highlight w:val="none"/>
        </w:rPr>
        <w:t>4. 承包人</w:t>
      </w:r>
      <w:bookmarkEnd w:id="817"/>
      <w:bookmarkEnd w:id="818"/>
      <w:bookmarkEnd w:id="819"/>
    </w:p>
    <w:p w14:paraId="2D76F57B">
      <w:pPr>
        <w:pStyle w:val="299"/>
        <w:spacing w:before="120" w:after="120"/>
        <w:outlineLvl w:val="9"/>
        <w:rPr>
          <w:rFonts w:hint="eastAsia" w:hAnsi="宋体" w:cs="宋体"/>
          <w:color w:val="auto"/>
          <w:sz w:val="24"/>
          <w:szCs w:val="24"/>
          <w:highlight w:val="none"/>
        </w:rPr>
      </w:pPr>
      <w:bookmarkStart w:id="820" w:name="_Toc401660289"/>
      <w:bookmarkStart w:id="821" w:name="_Toc338944733"/>
      <w:bookmarkStart w:id="822" w:name="_Toc342296291"/>
      <w:r>
        <w:rPr>
          <w:rFonts w:hint="eastAsia" w:hAnsi="宋体" w:cs="宋体"/>
          <w:color w:val="auto"/>
          <w:sz w:val="24"/>
          <w:szCs w:val="24"/>
          <w:highlight w:val="none"/>
        </w:rPr>
        <w:t>4.1 承包人的一般义务</w:t>
      </w:r>
      <w:bookmarkEnd w:id="820"/>
      <w:bookmarkEnd w:id="821"/>
      <w:bookmarkEnd w:id="822"/>
    </w:p>
    <w:p w14:paraId="2CCBE59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 遵守法律</w:t>
      </w:r>
    </w:p>
    <w:p w14:paraId="50ADE50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承包人在履行合同过程中应遵守法律，并保证发包人免于承担因承包人违反法律而引起的任何责任。</w:t>
      </w:r>
    </w:p>
    <w:p w14:paraId="265667C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4.1.2 依法纳税</w:t>
      </w:r>
    </w:p>
    <w:p w14:paraId="105048F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承包人应按有关法律规定纳税，应缴纳的税金包括在合同价格内。</w:t>
      </w:r>
    </w:p>
    <w:p w14:paraId="198E5EC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4.1.3 完成各项承包工作</w:t>
      </w:r>
    </w:p>
    <w:p w14:paraId="792247E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以及监理人根据第3.4款作出的指示，实施、完成全部工程，并修补工程中的任何缺陷。除专用合同条款另有约定外，承包人应提供为完成合同工作所需的劳务、材料、施工设备、工程设备和其他物品，并按合同约定负责临时设施的设计、建造、运行、维护、管理和拆除。</w:t>
      </w:r>
    </w:p>
    <w:p w14:paraId="1733935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4.1.4 对施工作业和施工方法的完备性负责</w:t>
      </w:r>
    </w:p>
    <w:p w14:paraId="45FAE25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承包人应按合同约定的工作内容和施工进度要求，编制施工组织设计和施工措施计划，并对所有施工作业和施工方法的完备性和安全可靠性负责。</w:t>
      </w:r>
    </w:p>
    <w:p w14:paraId="3B3DA58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4.1.5 保证工程施工和人员的安全</w:t>
      </w:r>
    </w:p>
    <w:p w14:paraId="51E5BC5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承包人应按第9.2款约定采取施工安全措施，确保工程及其人员、材料、设备和设施的安全，防止因工程施工造成的人身伤害和财产损失。</w:t>
      </w:r>
    </w:p>
    <w:p w14:paraId="78B9EF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4.1.6 负责施工场地及其周边环境与生态的保护工作</w:t>
      </w:r>
    </w:p>
    <w:p w14:paraId="5F688C5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承包人应按照第9.4款约定负责施工场地及其周边环境与生态的保护工作。</w:t>
      </w:r>
    </w:p>
    <w:p w14:paraId="0B28AA0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4.1.7 避免施工对公众与他人的利益造成损害</w:t>
      </w:r>
    </w:p>
    <w:p w14:paraId="683CAA7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在进行合同约定的各项工作时，不得侵害发包人与他人使用公用道路、水源、市政管网等公共设施的权利，避免对邻近的公共设施产生干扰。承包人占用或使用他人的施工场地，影响他人作业或生活的，应承担相应责任。</w:t>
      </w:r>
    </w:p>
    <w:p w14:paraId="64F193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4.1.8 为他人提供方便</w:t>
      </w:r>
    </w:p>
    <w:p w14:paraId="63845CC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承包人应按监理人的指示为他人在施工场地或附近实施与工程有关的其他各项工作提供可能的条件。除合同另有约定外，提供有关条件的内容和可能发生的费用，由监理人按第3.5款商定或确定。</w:t>
      </w:r>
    </w:p>
    <w:p w14:paraId="49BA1AC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4.1.9 工程的维护和照管</w:t>
      </w:r>
    </w:p>
    <w:p w14:paraId="3FE1F35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工程接收证书颁发前，承包人应负责照管和维护工程。工程接收证书颁发时尚有部分未竣工工程的，承包人还应负责该未竣工工程的照管和维护工作，直至竣工后移交给发包人为止。</w:t>
      </w:r>
    </w:p>
    <w:p w14:paraId="46B7182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4.1.10 其他义务</w:t>
      </w:r>
    </w:p>
    <w:p w14:paraId="5026868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承包人应履行合同约定的其他义务。</w:t>
      </w:r>
    </w:p>
    <w:p w14:paraId="67F5436C">
      <w:pPr>
        <w:pStyle w:val="299"/>
        <w:spacing w:before="120" w:after="120"/>
        <w:outlineLvl w:val="9"/>
        <w:rPr>
          <w:rFonts w:hint="eastAsia" w:hAnsi="宋体" w:cs="宋体"/>
          <w:color w:val="auto"/>
          <w:sz w:val="24"/>
          <w:szCs w:val="24"/>
          <w:highlight w:val="none"/>
        </w:rPr>
      </w:pPr>
      <w:bookmarkStart w:id="823" w:name="_Toc152042419"/>
      <w:bookmarkStart w:id="824" w:name="_Toc342296292"/>
      <w:bookmarkStart w:id="825" w:name="_Toc152045641"/>
      <w:bookmarkStart w:id="826" w:name="_Toc144974609"/>
      <w:bookmarkStart w:id="827" w:name="_Toc179632659"/>
      <w:bookmarkStart w:id="828" w:name="_Toc401660290"/>
      <w:bookmarkStart w:id="829" w:name="_Toc338944734"/>
      <w:r>
        <w:rPr>
          <w:rFonts w:hint="eastAsia" w:hAnsi="宋体" w:cs="宋体"/>
          <w:color w:val="auto"/>
          <w:sz w:val="24"/>
          <w:szCs w:val="24"/>
          <w:highlight w:val="none"/>
        </w:rPr>
        <w:t>4.2 履约担保</w:t>
      </w:r>
      <w:bookmarkEnd w:id="823"/>
      <w:bookmarkEnd w:id="824"/>
      <w:bookmarkEnd w:id="825"/>
      <w:bookmarkEnd w:id="826"/>
      <w:bookmarkEnd w:id="827"/>
      <w:bookmarkEnd w:id="828"/>
      <w:bookmarkEnd w:id="829"/>
    </w:p>
    <w:p w14:paraId="497478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承包人应保证其履约担保在发包人颁发工程接收证书前一直有效。发包人应在工程接收证书颁发后28天内把履约担保退还给承包人。</w:t>
      </w:r>
    </w:p>
    <w:p w14:paraId="0EBDCD27">
      <w:pPr>
        <w:pStyle w:val="299"/>
        <w:spacing w:before="120" w:after="120"/>
        <w:outlineLvl w:val="9"/>
        <w:rPr>
          <w:rFonts w:hint="eastAsia" w:hAnsi="宋体" w:cs="宋体"/>
          <w:color w:val="auto"/>
          <w:sz w:val="24"/>
          <w:szCs w:val="24"/>
          <w:highlight w:val="none"/>
        </w:rPr>
      </w:pPr>
      <w:bookmarkStart w:id="830" w:name="_Toc338944735"/>
      <w:bookmarkStart w:id="831" w:name="_Toc342296293"/>
      <w:bookmarkStart w:id="832" w:name="_Toc401660291"/>
      <w:r>
        <w:rPr>
          <w:rFonts w:hint="eastAsia" w:hAnsi="宋体" w:cs="宋体"/>
          <w:color w:val="auto"/>
          <w:sz w:val="24"/>
          <w:szCs w:val="24"/>
          <w:highlight w:val="none"/>
        </w:rPr>
        <w:t>4.3 分包</w:t>
      </w:r>
      <w:bookmarkEnd w:id="830"/>
      <w:bookmarkEnd w:id="831"/>
      <w:bookmarkEnd w:id="832"/>
    </w:p>
    <w:p w14:paraId="13F28C2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4.3.1 承包人不得将其承包的全部工程转包给第三人，或将其承包的全部工程肢解后以分包的名义转包给第三人。</w:t>
      </w:r>
    </w:p>
    <w:p w14:paraId="25D4408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4.3.2 承包人不得将工程主体、关键性工作分包给第三人。除专用合同条款另有约定外，未经发包人同意，承包人不得将工程的其他部分或工作分包给第三人。</w:t>
      </w:r>
    </w:p>
    <w:p w14:paraId="7780905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4.3.3 分包人的资格能力应与其分包工程的标准和规模相适应。</w:t>
      </w:r>
    </w:p>
    <w:p w14:paraId="5BA7F2A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4.3.4 按投标函附录约定分包工程的，承包人应向发包人和监理人提交分包合同副本。</w:t>
      </w:r>
    </w:p>
    <w:p w14:paraId="2EE68FF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4.3.5 承包人应与分包人就分包工程向发包人承担连带责任。</w:t>
      </w:r>
    </w:p>
    <w:p w14:paraId="1BA5B12F">
      <w:pPr>
        <w:pStyle w:val="299"/>
        <w:spacing w:before="120" w:after="120"/>
        <w:outlineLvl w:val="9"/>
        <w:rPr>
          <w:rFonts w:hint="eastAsia" w:hAnsi="宋体" w:cs="宋体"/>
          <w:color w:val="auto"/>
          <w:sz w:val="24"/>
          <w:szCs w:val="24"/>
          <w:highlight w:val="none"/>
        </w:rPr>
      </w:pPr>
      <w:bookmarkStart w:id="833" w:name="_Toc338944736"/>
      <w:bookmarkStart w:id="834" w:name="_Toc144974611"/>
      <w:bookmarkStart w:id="835" w:name="_Toc152042421"/>
      <w:bookmarkStart w:id="836" w:name="_Toc152045643"/>
      <w:bookmarkStart w:id="837" w:name="_Toc179632661"/>
      <w:bookmarkStart w:id="838" w:name="_Toc342296294"/>
      <w:bookmarkStart w:id="839" w:name="_Toc401660292"/>
      <w:r>
        <w:rPr>
          <w:rFonts w:hint="eastAsia" w:hAnsi="宋体" w:cs="宋体"/>
          <w:color w:val="auto"/>
          <w:sz w:val="24"/>
          <w:szCs w:val="24"/>
          <w:highlight w:val="none"/>
        </w:rPr>
        <w:t>4.4 联合体</w:t>
      </w:r>
      <w:bookmarkEnd w:id="833"/>
      <w:bookmarkEnd w:id="834"/>
      <w:bookmarkEnd w:id="835"/>
      <w:bookmarkEnd w:id="836"/>
      <w:bookmarkEnd w:id="837"/>
      <w:bookmarkEnd w:id="838"/>
      <w:bookmarkEnd w:id="839"/>
    </w:p>
    <w:p w14:paraId="545C0CF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4.4.1 联合体各方应共同与发包人签订合同协议书。联合体各方应为履行合同承担连带责任。</w:t>
      </w:r>
    </w:p>
    <w:p w14:paraId="74F7B2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4.4.2 联合体协议经发包人确认后作为合同附件。在履行合同过程中，未经发包人同意，不得修改联合体协议。</w:t>
      </w:r>
    </w:p>
    <w:p w14:paraId="34639A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4.4.3 联合体牵头人负责与发包人和监理人联系，并接受指示，负责组织联合体各成员全面履行合同。</w:t>
      </w:r>
    </w:p>
    <w:p w14:paraId="12363C2F">
      <w:pPr>
        <w:pStyle w:val="299"/>
        <w:spacing w:before="120" w:after="120"/>
        <w:outlineLvl w:val="9"/>
        <w:rPr>
          <w:rFonts w:hint="eastAsia" w:hAnsi="宋体" w:cs="宋体"/>
          <w:color w:val="auto"/>
          <w:sz w:val="24"/>
          <w:szCs w:val="24"/>
          <w:highlight w:val="none"/>
        </w:rPr>
      </w:pPr>
      <w:bookmarkStart w:id="840" w:name="_Toc338944737"/>
      <w:bookmarkStart w:id="841" w:name="_Toc401660293"/>
      <w:bookmarkStart w:id="842" w:name="_Toc342296295"/>
      <w:r>
        <w:rPr>
          <w:rFonts w:hint="eastAsia" w:hAnsi="宋体" w:cs="宋体"/>
          <w:color w:val="auto"/>
          <w:sz w:val="24"/>
          <w:szCs w:val="24"/>
          <w:highlight w:val="none"/>
        </w:rPr>
        <w:t>4.5 承包人项目经理</w:t>
      </w:r>
      <w:bookmarkEnd w:id="840"/>
      <w:bookmarkEnd w:id="841"/>
      <w:bookmarkEnd w:id="842"/>
    </w:p>
    <w:p w14:paraId="391754D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4.5.1承包人应按合同约定指派项目经理，并在约定的期限内到职。承包人更换项目经理应事先征得发包人同意，并应在更换14天前通知发包人和监理人。承包人项目经理短期离开施工场地，应事先征得监理人同意，并委派代表代行其职责。</w:t>
      </w:r>
    </w:p>
    <w:p w14:paraId="7155087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4.5.2 承包人项目经理应按合同约定以及监理人按第3.4款作出的指示，负责组织合同工程的实施。在情况紧急且无法与监理人取得联系时，可采取保证工程和人员生命财产安全的紧急措施，并在采取措施后24小时内向监理人提交书面报告。</w:t>
      </w:r>
    </w:p>
    <w:p w14:paraId="26E2A92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4.5.3承包人为履行合同发出的一切函件均应盖有承包人授权的施工场地管理机构章，并由承包人项目经理或其授权代表签字。</w:t>
      </w:r>
    </w:p>
    <w:p w14:paraId="431DE4E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4.5.4 承包人项目经理可以授权其下属人员履行其某项职责，但事先应将这些人员的姓名和授权范围通知监理人。</w:t>
      </w:r>
    </w:p>
    <w:p w14:paraId="7A31C83D">
      <w:pPr>
        <w:pStyle w:val="299"/>
        <w:spacing w:before="120" w:after="120"/>
        <w:outlineLvl w:val="9"/>
        <w:rPr>
          <w:rFonts w:hint="eastAsia" w:hAnsi="宋体" w:cs="宋体"/>
          <w:color w:val="auto"/>
          <w:sz w:val="24"/>
          <w:szCs w:val="24"/>
          <w:highlight w:val="none"/>
        </w:rPr>
      </w:pPr>
      <w:bookmarkStart w:id="843" w:name="_Toc342296296"/>
      <w:bookmarkStart w:id="844" w:name="_Toc144974613"/>
      <w:bookmarkStart w:id="845" w:name="_Toc338944738"/>
      <w:bookmarkStart w:id="846" w:name="_Toc401660294"/>
      <w:bookmarkStart w:id="847" w:name="_Toc179632663"/>
      <w:bookmarkStart w:id="848" w:name="_Toc152045645"/>
      <w:bookmarkStart w:id="849" w:name="_Toc152042423"/>
      <w:r>
        <w:rPr>
          <w:rFonts w:hint="eastAsia" w:hAnsi="宋体" w:cs="宋体"/>
          <w:color w:val="auto"/>
          <w:sz w:val="24"/>
          <w:szCs w:val="24"/>
          <w:highlight w:val="none"/>
        </w:rPr>
        <w:t>4.6 承包人人员的管理</w:t>
      </w:r>
      <w:bookmarkEnd w:id="843"/>
      <w:bookmarkEnd w:id="844"/>
      <w:bookmarkEnd w:id="845"/>
      <w:bookmarkEnd w:id="846"/>
      <w:bookmarkEnd w:id="847"/>
      <w:bookmarkEnd w:id="848"/>
      <w:bookmarkEnd w:id="849"/>
    </w:p>
    <w:p w14:paraId="6CD8052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4.6.1 承包人应在接到开工通知后28天内，向监理人提交承包人在施工场地的管理机构以及人员安排的报告，其内容应包括管理机构的设置、各主要岗位的技术和管理人员名单及其资格，以及各工种技术工人的安排状况。承包人应向监理人提交施工场地人员变动情况的报告。</w:t>
      </w:r>
    </w:p>
    <w:p w14:paraId="4CF3DD8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4.6.2 为完成合同约定的各项工作，承包人应向施工场地派遣或雇佣足够数量的下列人员：</w:t>
      </w:r>
    </w:p>
    <w:p w14:paraId="49B08A88">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（1）具有相应资格的专业技工和合格的普工；</w:t>
      </w:r>
    </w:p>
    <w:p w14:paraId="40AC5A18">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（2）具有相应施工经验的技术人员；</w:t>
      </w:r>
    </w:p>
    <w:p w14:paraId="2BFD59A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（3）具有相应岗位资格的各级管理人员。</w:t>
      </w:r>
    </w:p>
    <w:p w14:paraId="11E3528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4.6.3 承包人安排在施工场地的主要管理人员和技术骨干应相对稳定。承包人更换主要管理人员和技术骨干时，应取得监理人的同意。</w:t>
      </w:r>
    </w:p>
    <w:p w14:paraId="6A59177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4.6.4 特殊岗位的工作人员均应持有相应的资格证明，监理人有权随时检查。监理人认为有必要时，可进行现场考核。</w:t>
      </w:r>
    </w:p>
    <w:p w14:paraId="4ABE717F">
      <w:pPr>
        <w:pStyle w:val="299"/>
        <w:spacing w:before="120" w:after="120"/>
        <w:outlineLvl w:val="9"/>
        <w:rPr>
          <w:rFonts w:hint="eastAsia" w:hAnsi="宋体" w:cs="宋体"/>
          <w:color w:val="auto"/>
          <w:sz w:val="24"/>
          <w:szCs w:val="24"/>
          <w:highlight w:val="none"/>
        </w:rPr>
      </w:pPr>
      <w:bookmarkStart w:id="850" w:name="_Toc179632664"/>
      <w:bookmarkStart w:id="851" w:name="_Toc342296297"/>
      <w:bookmarkStart w:id="852" w:name="_Toc152045646"/>
      <w:bookmarkStart w:id="853" w:name="_Toc152042424"/>
      <w:bookmarkStart w:id="854" w:name="_Toc338944739"/>
      <w:bookmarkStart w:id="855" w:name="_Toc401660295"/>
      <w:bookmarkStart w:id="856" w:name="_Toc144974614"/>
      <w:r>
        <w:rPr>
          <w:rFonts w:hint="eastAsia" w:hAnsi="宋体" w:cs="宋体"/>
          <w:color w:val="auto"/>
          <w:sz w:val="24"/>
          <w:szCs w:val="24"/>
          <w:highlight w:val="none"/>
        </w:rPr>
        <w:t>4.7 撤换承包人项目经理和其他人员</w:t>
      </w:r>
      <w:bookmarkEnd w:id="850"/>
      <w:bookmarkEnd w:id="851"/>
      <w:bookmarkEnd w:id="852"/>
      <w:bookmarkEnd w:id="853"/>
      <w:bookmarkEnd w:id="854"/>
      <w:bookmarkEnd w:id="855"/>
      <w:bookmarkEnd w:id="856"/>
    </w:p>
    <w:p w14:paraId="4AB0B3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承包人应对其项目经理和其他人员进行有效管理。监理人要求撤换不能胜任本职工作、行为不端或玩忽职守的承包人项目经理和其他人员的，承包人应予以撤换。</w:t>
      </w:r>
    </w:p>
    <w:p w14:paraId="60A38043">
      <w:pPr>
        <w:pStyle w:val="299"/>
        <w:spacing w:before="120" w:after="120"/>
        <w:outlineLvl w:val="9"/>
        <w:rPr>
          <w:rFonts w:hint="eastAsia" w:hAnsi="宋体" w:cs="宋体"/>
          <w:color w:val="auto"/>
          <w:sz w:val="24"/>
          <w:szCs w:val="24"/>
          <w:highlight w:val="none"/>
        </w:rPr>
      </w:pPr>
      <w:bookmarkStart w:id="857" w:name="_Toc401660296"/>
      <w:bookmarkStart w:id="858" w:name="_Toc144974615"/>
      <w:bookmarkStart w:id="859" w:name="_Toc152042425"/>
      <w:bookmarkStart w:id="860" w:name="_Toc342296298"/>
      <w:bookmarkStart w:id="861" w:name="_Toc179632665"/>
      <w:bookmarkStart w:id="862" w:name="_Toc338944740"/>
      <w:bookmarkStart w:id="863" w:name="_Toc152045647"/>
      <w:r>
        <w:rPr>
          <w:rFonts w:hint="eastAsia" w:hAnsi="宋体" w:cs="宋体"/>
          <w:color w:val="auto"/>
          <w:sz w:val="24"/>
          <w:szCs w:val="24"/>
          <w:highlight w:val="none"/>
        </w:rPr>
        <w:t>4.8 保障承包人人员的合法权益</w:t>
      </w:r>
      <w:bookmarkEnd w:id="857"/>
      <w:bookmarkEnd w:id="858"/>
      <w:bookmarkEnd w:id="859"/>
      <w:bookmarkEnd w:id="860"/>
      <w:bookmarkEnd w:id="861"/>
      <w:bookmarkEnd w:id="862"/>
      <w:bookmarkEnd w:id="863"/>
    </w:p>
    <w:p w14:paraId="6ECD6F6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4.8.1 承包人应与其雇佣的人员签订劳动合同，并按时发放工资。</w:t>
      </w:r>
    </w:p>
    <w:p w14:paraId="0592600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4.8.2 承包人应按劳动法的规定安排工作时间，保证其雇佣人员享有休息和休假的权利。因工程施工的特殊需要占用休假日或延长工作时间的，应不超过法律规定的限度，并按法律规定给予补休或付酬。</w:t>
      </w:r>
    </w:p>
    <w:p w14:paraId="6D91C3C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4.8.3 承包人应为其雇佣人员提供必要的食宿条件，以及符合环境保护和卫生要求的生活环境，在远离城镇的施工场地，还应配备必要的伤病防治和急救的医务人员与医疗设施。</w:t>
      </w:r>
    </w:p>
    <w:p w14:paraId="1669241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4.8.4 承包人应按国家有关劳动保护的规定，采取有效的防止粉尘、降低噪声、控制有害气体和保障高温、高寒、高空作业安全等劳动保护措施。其雇佣人员在施工中受到伤害的，承包人应立即采取有效措施进行抢救和治疗。</w:t>
      </w:r>
    </w:p>
    <w:p w14:paraId="0EF7E52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4.8.5 承包人应按有关法律规定和合同约定，为其雇佣人员办理保险。</w:t>
      </w:r>
    </w:p>
    <w:p w14:paraId="05E7E33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4.8.6 承包人应负责处理其雇佣人员因工伤亡事故的善后事宜。</w:t>
      </w:r>
    </w:p>
    <w:p w14:paraId="079AE4F1">
      <w:pPr>
        <w:pStyle w:val="299"/>
        <w:spacing w:before="120" w:after="120"/>
        <w:outlineLvl w:val="9"/>
        <w:rPr>
          <w:rFonts w:hint="eastAsia" w:hAnsi="宋体" w:cs="宋体"/>
          <w:color w:val="auto"/>
          <w:sz w:val="24"/>
          <w:szCs w:val="24"/>
          <w:highlight w:val="none"/>
        </w:rPr>
      </w:pPr>
      <w:bookmarkStart w:id="864" w:name="_Toc179632666"/>
      <w:bookmarkStart w:id="865" w:name="_Toc401660297"/>
      <w:bookmarkStart w:id="866" w:name="_Toc152045648"/>
      <w:bookmarkStart w:id="867" w:name="_Toc152042426"/>
      <w:bookmarkStart w:id="868" w:name="_Toc338944741"/>
      <w:bookmarkStart w:id="869" w:name="_Toc342296299"/>
      <w:bookmarkStart w:id="870" w:name="_Toc144974616"/>
      <w:r>
        <w:rPr>
          <w:rFonts w:hint="eastAsia" w:hAnsi="宋体" w:cs="宋体"/>
          <w:color w:val="auto"/>
          <w:sz w:val="24"/>
          <w:szCs w:val="24"/>
          <w:highlight w:val="none"/>
        </w:rPr>
        <w:t>4.9 工程价款应专款专用</w:t>
      </w:r>
      <w:bookmarkEnd w:id="864"/>
      <w:bookmarkEnd w:id="865"/>
      <w:bookmarkEnd w:id="866"/>
      <w:bookmarkEnd w:id="867"/>
      <w:bookmarkEnd w:id="868"/>
      <w:bookmarkEnd w:id="869"/>
      <w:bookmarkEnd w:id="870"/>
    </w:p>
    <w:p w14:paraId="38A5992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发包人按合同约定支付给承包人的各项价款应专用于合同工程。</w:t>
      </w:r>
    </w:p>
    <w:p w14:paraId="64C929ED">
      <w:pPr>
        <w:pStyle w:val="299"/>
        <w:spacing w:before="120" w:after="120"/>
        <w:outlineLvl w:val="9"/>
        <w:rPr>
          <w:rFonts w:hint="eastAsia" w:hAnsi="宋体" w:cs="宋体"/>
          <w:color w:val="auto"/>
          <w:sz w:val="24"/>
          <w:szCs w:val="24"/>
          <w:highlight w:val="none"/>
        </w:rPr>
      </w:pPr>
      <w:bookmarkStart w:id="871" w:name="_Toc152045649"/>
      <w:bookmarkStart w:id="872" w:name="_Toc179632667"/>
      <w:bookmarkStart w:id="873" w:name="_Toc401660298"/>
      <w:bookmarkStart w:id="874" w:name="_Toc144974617"/>
      <w:bookmarkStart w:id="875" w:name="_Toc338944742"/>
      <w:bookmarkStart w:id="876" w:name="_Toc152042427"/>
      <w:bookmarkStart w:id="877" w:name="_Toc342296300"/>
      <w:r>
        <w:rPr>
          <w:rFonts w:hint="eastAsia" w:hAnsi="宋体" w:cs="宋体"/>
          <w:color w:val="auto"/>
          <w:sz w:val="24"/>
          <w:szCs w:val="24"/>
          <w:highlight w:val="none"/>
        </w:rPr>
        <w:t>4.10 承包人现场查勘</w:t>
      </w:r>
      <w:bookmarkEnd w:id="871"/>
      <w:bookmarkEnd w:id="872"/>
      <w:bookmarkEnd w:id="873"/>
      <w:bookmarkEnd w:id="874"/>
      <w:bookmarkEnd w:id="875"/>
      <w:bookmarkEnd w:id="876"/>
      <w:bookmarkEnd w:id="877"/>
    </w:p>
    <w:p w14:paraId="459A75D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4.10.1 发包人应将其持有的现场地质勘探资料、水文气象资料提供给承包人，并对其准确性负责。但承包人应对其阅读上述有关资料后所作出的解释和推断负责。</w:t>
      </w:r>
    </w:p>
    <w:p w14:paraId="2450B5E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4.10.2 承包人应对施工场地和周围环境进行查勘，并收集有关地质、水文、气象条件、交通条件、风俗习惯以及其他为完成合同工作有关的当地资料。在全部合同工作中，应视为承包人已充分估计了应承担的责任和风险。</w:t>
      </w:r>
    </w:p>
    <w:p w14:paraId="36F93270">
      <w:pPr>
        <w:pStyle w:val="299"/>
        <w:spacing w:before="120" w:after="120"/>
        <w:outlineLvl w:val="9"/>
        <w:rPr>
          <w:rFonts w:hint="eastAsia" w:hAnsi="宋体" w:cs="宋体"/>
          <w:color w:val="auto"/>
          <w:sz w:val="24"/>
          <w:szCs w:val="24"/>
          <w:highlight w:val="none"/>
        </w:rPr>
      </w:pPr>
      <w:bookmarkStart w:id="878" w:name="_Toc338944743"/>
      <w:bookmarkStart w:id="879" w:name="_Toc401660299"/>
      <w:bookmarkStart w:id="880" w:name="_Toc342296301"/>
      <w:r>
        <w:rPr>
          <w:rFonts w:hint="eastAsia" w:hAnsi="宋体" w:cs="宋体"/>
          <w:color w:val="auto"/>
          <w:sz w:val="24"/>
          <w:szCs w:val="24"/>
          <w:highlight w:val="none"/>
        </w:rPr>
        <w:t>4.11 不利物质条件</w:t>
      </w:r>
      <w:bookmarkEnd w:id="878"/>
      <w:bookmarkEnd w:id="879"/>
      <w:bookmarkEnd w:id="880"/>
    </w:p>
    <w:p w14:paraId="0FA6E2E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4.11.1 不利物质条件，除专用合同条款另有约定外，是指承包人在施工场地遇到的不可预见的自然物质条件、非自然的物质障碍和污染物，包括地下和水文条件，但不包括气候条件。</w:t>
      </w:r>
    </w:p>
    <w:p w14:paraId="0CC9CE8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4.11.2 承包人遇到不利物质条件时，应采取适应不利物质条件的合理措施继续施工，并及时通知监理人。监理人应当及时发出指示，指示构成变更的，按第15条约定办理。监理人没有发出指示的，承包人因采取合理措施而增加的费用和（或）工期延误，由发包人承担。</w:t>
      </w:r>
    </w:p>
    <w:p w14:paraId="2CDFE879">
      <w:pPr>
        <w:pStyle w:val="296"/>
        <w:spacing w:before="120" w:after="120"/>
        <w:outlineLvl w:val="9"/>
        <w:rPr>
          <w:rFonts w:hint="eastAsia" w:hAnsi="宋体"/>
          <w:color w:val="auto"/>
          <w:sz w:val="24"/>
          <w:szCs w:val="24"/>
          <w:highlight w:val="none"/>
        </w:rPr>
      </w:pPr>
      <w:bookmarkStart w:id="881" w:name="_Toc338944744"/>
      <w:bookmarkStart w:id="882" w:name="_Toc342296302"/>
      <w:bookmarkStart w:id="883" w:name="_Toc401660300"/>
      <w:r>
        <w:rPr>
          <w:rFonts w:hint="eastAsia" w:hAnsi="宋体"/>
          <w:color w:val="auto"/>
          <w:sz w:val="24"/>
          <w:szCs w:val="24"/>
          <w:highlight w:val="none"/>
        </w:rPr>
        <w:t>5. 材料和工程设备</w:t>
      </w:r>
      <w:bookmarkEnd w:id="881"/>
      <w:bookmarkEnd w:id="882"/>
      <w:bookmarkEnd w:id="883"/>
    </w:p>
    <w:p w14:paraId="118E8AB7">
      <w:pPr>
        <w:pStyle w:val="299"/>
        <w:spacing w:before="120" w:after="120"/>
        <w:outlineLvl w:val="9"/>
        <w:rPr>
          <w:rFonts w:hint="eastAsia" w:hAnsi="宋体" w:cs="宋体"/>
          <w:color w:val="auto"/>
          <w:sz w:val="24"/>
          <w:szCs w:val="24"/>
          <w:highlight w:val="none"/>
        </w:rPr>
      </w:pPr>
      <w:bookmarkStart w:id="884" w:name="_Toc342296303"/>
      <w:bookmarkStart w:id="885" w:name="_Toc401660301"/>
      <w:bookmarkStart w:id="886" w:name="_Toc338944745"/>
      <w:r>
        <w:rPr>
          <w:rFonts w:hint="eastAsia" w:hAnsi="宋体" w:cs="宋体"/>
          <w:color w:val="auto"/>
          <w:sz w:val="24"/>
          <w:szCs w:val="24"/>
          <w:highlight w:val="none"/>
        </w:rPr>
        <w:t>5.1 承包人提供的材料和工程设备</w:t>
      </w:r>
      <w:bookmarkEnd w:id="884"/>
      <w:bookmarkEnd w:id="885"/>
      <w:bookmarkEnd w:id="886"/>
    </w:p>
    <w:p w14:paraId="41267F9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5.1.1 除专用合同条款另有约定外，承包人提供的材料和工程设备均由承包人负责采购、运输和保管。承包人应对其采购的材料和工程设备负责。</w:t>
      </w:r>
    </w:p>
    <w:p w14:paraId="2145648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5.1.2 承包人应按专用合同条款的约定，将各项材料和工程设备的供货人及品种、规格、数量和供货时间等报送监理人审批。承包人应向监理人提交其负责提供的材料和工程设备的质量证明文件，并满足合同约定的质量标准。</w:t>
      </w:r>
    </w:p>
    <w:p w14:paraId="29B1B06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5.1.3对承包人提供的材料和工程设备，承包人应会同监理人进行检验和交货验收，查验材料合格证明和产品合格证书，并按合同约定和监理人指示，进行材料的抽样检验和工程设备的检验测试，检验和测试结果应提交监理人，所需费用由承包人承担。</w:t>
      </w:r>
    </w:p>
    <w:p w14:paraId="0BC286A8">
      <w:pPr>
        <w:pStyle w:val="299"/>
        <w:spacing w:before="120" w:after="120"/>
        <w:outlineLvl w:val="9"/>
        <w:rPr>
          <w:rFonts w:hint="eastAsia" w:hAnsi="宋体" w:cs="宋体"/>
          <w:color w:val="auto"/>
          <w:sz w:val="24"/>
          <w:szCs w:val="24"/>
          <w:highlight w:val="none"/>
        </w:rPr>
      </w:pPr>
      <w:bookmarkStart w:id="887" w:name="_Toc342296304"/>
      <w:bookmarkStart w:id="888" w:name="_Toc401660302"/>
      <w:bookmarkStart w:id="889" w:name="_Toc338944746"/>
      <w:r>
        <w:rPr>
          <w:rFonts w:hint="eastAsia" w:hAnsi="宋体" w:cs="宋体"/>
          <w:color w:val="auto"/>
          <w:sz w:val="24"/>
          <w:szCs w:val="24"/>
          <w:highlight w:val="none"/>
        </w:rPr>
        <w:t>5.2 发包人提供的材料和工程设备</w:t>
      </w:r>
      <w:bookmarkEnd w:id="887"/>
      <w:bookmarkEnd w:id="888"/>
      <w:bookmarkEnd w:id="889"/>
    </w:p>
    <w:p w14:paraId="010D4FE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5.2.1 发包人提供的材料和工程设备，应在专用合同条款中写明材料和工程设备的名称、规格、数量、价格、交货方式、交货地点和计划交货日期等。</w:t>
      </w:r>
    </w:p>
    <w:p w14:paraId="5545B9E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5.2.2 承包人应根据合同进度计划的安排，向监理人报送要求发包人交货的日期计划。发包人应按照监理人与合同双方当事人商定的交货日期，向承包人提交材料和工程设备。</w:t>
      </w:r>
    </w:p>
    <w:p w14:paraId="20B555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5.2.3 发包人应在材料和工程设备到货7天前通知承包人，承包人应会同监理人在约定的时间内，赴交货地点共同进行验收。除专用合同条款另有约定外，发包人提供的材料和工程设备验收后，由承包人负责接收、运输和保管。</w:t>
      </w:r>
    </w:p>
    <w:p w14:paraId="40D48CA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5.2.4 发包人要求向承包人提前交货的，承包人不得拒绝，但发包人应承担承包人由此增加的费用。</w:t>
      </w:r>
    </w:p>
    <w:p w14:paraId="0E0758F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5.2.5 承包人要求更改交货日期或地点的，应事先报请监理人批准。由于承包人要求更改交货时间或地点所增加的费用和（或）工期延误由承包人承担。</w:t>
      </w:r>
    </w:p>
    <w:p w14:paraId="58E0CB8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5.2.6 发包人提供的材料和工程设备的规格、数量或质量不符合合同要求，或由于发包人原因发生交货日期延误及交货地点变更等情况的，发包人应承担由此增加的费用和（或）工期延误，并向承包人支付合理利润。</w:t>
      </w:r>
    </w:p>
    <w:p w14:paraId="673167BD">
      <w:pPr>
        <w:pStyle w:val="299"/>
        <w:spacing w:before="120" w:after="120"/>
        <w:outlineLvl w:val="9"/>
        <w:rPr>
          <w:rFonts w:hint="eastAsia" w:hAnsi="宋体" w:cs="宋体"/>
          <w:color w:val="auto"/>
          <w:sz w:val="24"/>
          <w:szCs w:val="24"/>
          <w:highlight w:val="none"/>
        </w:rPr>
      </w:pPr>
      <w:bookmarkStart w:id="890" w:name="_Toc338944747"/>
      <w:bookmarkStart w:id="891" w:name="_Toc179632672"/>
      <w:bookmarkStart w:id="892" w:name="_Toc152045654"/>
      <w:bookmarkStart w:id="893" w:name="_Toc144974622"/>
      <w:bookmarkStart w:id="894" w:name="_Toc342296305"/>
      <w:bookmarkStart w:id="895" w:name="_Toc152042432"/>
      <w:bookmarkStart w:id="896" w:name="_Toc401660303"/>
      <w:r>
        <w:rPr>
          <w:rFonts w:hint="eastAsia" w:hAnsi="宋体" w:cs="宋体"/>
          <w:color w:val="auto"/>
          <w:sz w:val="24"/>
          <w:szCs w:val="24"/>
          <w:highlight w:val="none"/>
        </w:rPr>
        <w:t>5.3 材料和工程设备专用于合同工程</w:t>
      </w:r>
      <w:bookmarkEnd w:id="890"/>
      <w:bookmarkEnd w:id="891"/>
      <w:bookmarkEnd w:id="892"/>
      <w:bookmarkEnd w:id="893"/>
      <w:bookmarkEnd w:id="894"/>
      <w:bookmarkEnd w:id="895"/>
      <w:bookmarkEnd w:id="896"/>
    </w:p>
    <w:p w14:paraId="071CAC4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5.3.1运入施工场地的材料、工程设备，包括备品备件、安装专用工器具与随机资料，必须专用于合同工程，未经监理人同意，承包人不得运出施工场地或挪作他用。</w:t>
      </w:r>
    </w:p>
    <w:p w14:paraId="601F32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5.3.2 随同工程设备运入施工场地的备品备件、专用工器具与随机资料，应由承包人会同监理人按供货人的装箱单清点后共同封存，未经监理人同意不得启用。承包人因合同工作需要使用上述物品时，应向监理人提出申请。</w:t>
      </w:r>
    </w:p>
    <w:p w14:paraId="581F20DC">
      <w:pPr>
        <w:pStyle w:val="299"/>
        <w:spacing w:before="120" w:after="120"/>
        <w:outlineLvl w:val="9"/>
        <w:rPr>
          <w:rFonts w:hint="eastAsia" w:hAnsi="宋体" w:cs="宋体"/>
          <w:color w:val="auto"/>
          <w:sz w:val="24"/>
          <w:szCs w:val="24"/>
          <w:highlight w:val="none"/>
        </w:rPr>
      </w:pPr>
      <w:bookmarkStart w:id="897" w:name="_Toc342296306"/>
      <w:bookmarkStart w:id="898" w:name="_Toc152042433"/>
      <w:bookmarkStart w:id="899" w:name="_Toc179632673"/>
      <w:bookmarkStart w:id="900" w:name="_Toc152045655"/>
      <w:bookmarkStart w:id="901" w:name="_Toc144974623"/>
      <w:bookmarkStart w:id="902" w:name="_Toc401660304"/>
      <w:bookmarkStart w:id="903" w:name="_Toc338944748"/>
      <w:r>
        <w:rPr>
          <w:rFonts w:hint="eastAsia" w:hAnsi="宋体" w:cs="宋体"/>
          <w:color w:val="auto"/>
          <w:sz w:val="24"/>
          <w:szCs w:val="24"/>
          <w:highlight w:val="none"/>
        </w:rPr>
        <w:t>5.4 禁止使用不合格的材料和工程设备</w:t>
      </w:r>
      <w:bookmarkEnd w:id="897"/>
      <w:bookmarkEnd w:id="898"/>
      <w:bookmarkEnd w:id="899"/>
      <w:bookmarkEnd w:id="900"/>
      <w:bookmarkEnd w:id="901"/>
      <w:bookmarkEnd w:id="902"/>
      <w:bookmarkEnd w:id="903"/>
    </w:p>
    <w:p w14:paraId="313D485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5.4.1 监理人有权拒绝承包人提供的不合格材料或工程设备，并要求承包人立即进行更换。监理人应在更换后再次进行检查和检验，由此增加的费用和（或）工期延误由承包人承担。</w:t>
      </w:r>
    </w:p>
    <w:p w14:paraId="466C4AC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5.4.2 监理人发现承包人使用了不合格的材料和工程设备，应即时发出指示要求承包人立即改正，并禁止在工程中继续使用不合格的材料和工程设备。</w:t>
      </w:r>
    </w:p>
    <w:p w14:paraId="3239E0F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5.4.3 发包人提供的材料或工程设备不符合合同要求的，承包人有权拒绝，并可要求发包人更换，由此增加的费用和（或）工期延误由发包人承担。</w:t>
      </w:r>
    </w:p>
    <w:p w14:paraId="4D991644">
      <w:pPr>
        <w:pStyle w:val="296"/>
        <w:spacing w:before="120" w:after="120"/>
        <w:outlineLvl w:val="9"/>
        <w:rPr>
          <w:rFonts w:hint="eastAsia" w:hAnsi="宋体"/>
          <w:color w:val="auto"/>
          <w:sz w:val="24"/>
          <w:szCs w:val="24"/>
          <w:highlight w:val="none"/>
        </w:rPr>
      </w:pPr>
      <w:bookmarkStart w:id="904" w:name="_Toc338944749"/>
      <w:bookmarkStart w:id="905" w:name="_Toc342296307"/>
      <w:bookmarkStart w:id="906" w:name="_Toc401660305"/>
      <w:r>
        <w:rPr>
          <w:rFonts w:hint="eastAsia" w:hAnsi="宋体"/>
          <w:color w:val="auto"/>
          <w:sz w:val="24"/>
          <w:szCs w:val="24"/>
          <w:highlight w:val="none"/>
        </w:rPr>
        <w:t>6. 施工设备和临时设施</w:t>
      </w:r>
      <w:bookmarkEnd w:id="904"/>
      <w:bookmarkEnd w:id="905"/>
      <w:bookmarkEnd w:id="906"/>
    </w:p>
    <w:p w14:paraId="7EAD5FBD">
      <w:pPr>
        <w:pStyle w:val="299"/>
        <w:spacing w:before="120" w:after="120"/>
        <w:outlineLvl w:val="9"/>
        <w:rPr>
          <w:rFonts w:hint="eastAsia" w:hAnsi="宋体" w:cs="宋体"/>
          <w:color w:val="auto"/>
          <w:sz w:val="24"/>
          <w:szCs w:val="24"/>
          <w:highlight w:val="none"/>
        </w:rPr>
      </w:pPr>
      <w:bookmarkStart w:id="907" w:name="_Toc342296308"/>
      <w:bookmarkStart w:id="908" w:name="_Toc338944750"/>
      <w:bookmarkStart w:id="909" w:name="_Toc401660306"/>
      <w:r>
        <w:rPr>
          <w:rFonts w:hint="eastAsia" w:hAnsi="宋体" w:cs="宋体"/>
          <w:color w:val="auto"/>
          <w:sz w:val="24"/>
          <w:szCs w:val="24"/>
          <w:highlight w:val="none"/>
        </w:rPr>
        <w:t>6.1 承包人提供的施工设备和临时设施</w:t>
      </w:r>
      <w:bookmarkEnd w:id="907"/>
      <w:bookmarkEnd w:id="908"/>
      <w:bookmarkEnd w:id="909"/>
    </w:p>
    <w:p w14:paraId="5830388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6.1.1 承包人应按合同进度计划的要求，及时配置施工设备和修建临时设施。进入施工场地的承包人设备需经监理人核查后才能投入使用。承包人更换合同约定的承包人设备的，应报监理人批准。</w:t>
      </w:r>
    </w:p>
    <w:p w14:paraId="15A2E9D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6.1.2除专用合同条款另有约定外，承包人应自行承担修建临时设施的费用，需要临时占地的，应由发包人办理申请手续并承担相应费用。</w:t>
      </w:r>
    </w:p>
    <w:p w14:paraId="629CF901">
      <w:pPr>
        <w:pStyle w:val="299"/>
        <w:spacing w:before="120" w:after="120"/>
        <w:outlineLvl w:val="9"/>
        <w:rPr>
          <w:rFonts w:hint="eastAsia" w:hAnsi="宋体" w:cs="宋体"/>
          <w:color w:val="auto"/>
          <w:sz w:val="24"/>
          <w:szCs w:val="24"/>
          <w:highlight w:val="none"/>
        </w:rPr>
      </w:pPr>
      <w:bookmarkStart w:id="910" w:name="_Toc342296309"/>
      <w:bookmarkStart w:id="911" w:name="_Toc401660307"/>
      <w:bookmarkStart w:id="912" w:name="_Toc338944751"/>
      <w:r>
        <w:rPr>
          <w:rFonts w:hint="eastAsia" w:hAnsi="宋体" w:cs="宋体"/>
          <w:color w:val="auto"/>
          <w:sz w:val="24"/>
          <w:szCs w:val="24"/>
          <w:highlight w:val="none"/>
        </w:rPr>
        <w:t>6.2 发包人提供的施工设备和临时设施</w:t>
      </w:r>
      <w:bookmarkEnd w:id="910"/>
      <w:bookmarkEnd w:id="911"/>
      <w:bookmarkEnd w:id="912"/>
    </w:p>
    <w:p w14:paraId="3FFA2E7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发包人提供的施工设备或临时设施在专用合同条款中约定。</w:t>
      </w:r>
    </w:p>
    <w:p w14:paraId="793F89CC">
      <w:pPr>
        <w:pStyle w:val="299"/>
        <w:spacing w:before="120" w:after="120"/>
        <w:outlineLvl w:val="9"/>
        <w:rPr>
          <w:rFonts w:hint="eastAsia" w:hAnsi="宋体" w:cs="宋体"/>
          <w:color w:val="auto"/>
          <w:sz w:val="24"/>
          <w:szCs w:val="24"/>
          <w:highlight w:val="none"/>
        </w:rPr>
      </w:pPr>
      <w:bookmarkStart w:id="913" w:name="_Toc342296310"/>
      <w:bookmarkStart w:id="914" w:name="_Toc152042437"/>
      <w:bookmarkStart w:id="915" w:name="_Toc401660308"/>
      <w:bookmarkStart w:id="916" w:name="_Toc144974627"/>
      <w:bookmarkStart w:id="917" w:name="_Toc152045659"/>
      <w:bookmarkStart w:id="918" w:name="_Toc338944752"/>
      <w:bookmarkStart w:id="919" w:name="_Toc179632677"/>
      <w:r>
        <w:rPr>
          <w:rFonts w:hint="eastAsia" w:hAnsi="宋体" w:cs="宋体"/>
          <w:color w:val="auto"/>
          <w:sz w:val="24"/>
          <w:szCs w:val="24"/>
          <w:highlight w:val="none"/>
        </w:rPr>
        <w:t>6.3 要求承包人增加或更换施工设备</w:t>
      </w:r>
      <w:bookmarkEnd w:id="913"/>
      <w:bookmarkEnd w:id="914"/>
      <w:bookmarkEnd w:id="915"/>
      <w:bookmarkEnd w:id="916"/>
      <w:bookmarkEnd w:id="917"/>
      <w:bookmarkEnd w:id="918"/>
      <w:bookmarkEnd w:id="919"/>
    </w:p>
    <w:p w14:paraId="31D444A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承包人使用的施工设备不能满足合同进度计划和（或）质量要求时，监理人有权要求承包人增加或更换施工设备，承包人应及时增加或更换，由此增加的费用和（或）工期延误由承包人承担。</w:t>
      </w:r>
    </w:p>
    <w:p w14:paraId="6CF51DFF">
      <w:pPr>
        <w:pStyle w:val="299"/>
        <w:spacing w:before="120" w:after="120"/>
        <w:outlineLvl w:val="9"/>
        <w:rPr>
          <w:rFonts w:hint="eastAsia" w:hAnsi="宋体" w:cs="宋体"/>
          <w:color w:val="auto"/>
          <w:sz w:val="24"/>
          <w:szCs w:val="24"/>
          <w:highlight w:val="none"/>
        </w:rPr>
      </w:pPr>
      <w:bookmarkStart w:id="920" w:name="_Toc338944753"/>
      <w:bookmarkStart w:id="921" w:name="_Toc401660309"/>
      <w:bookmarkStart w:id="922" w:name="_Toc342296311"/>
      <w:r>
        <w:rPr>
          <w:rFonts w:hint="eastAsia" w:hAnsi="宋体" w:cs="宋体"/>
          <w:color w:val="auto"/>
          <w:sz w:val="24"/>
          <w:szCs w:val="24"/>
          <w:highlight w:val="none"/>
        </w:rPr>
        <w:t>6.4 施工设备和临时设施专用于合同工程</w:t>
      </w:r>
      <w:bookmarkEnd w:id="920"/>
      <w:bookmarkEnd w:id="921"/>
      <w:bookmarkEnd w:id="922"/>
    </w:p>
    <w:p w14:paraId="1B18C12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6.4.1除合同另有约定外，运入施工场地的所有施工设备以及在施工场地建设的临时设施应专用于合同工程。未经监理人同意，不得将上述施工设备和临时设施中的任何部分运出施工场地或挪作他用。</w:t>
      </w:r>
    </w:p>
    <w:p w14:paraId="04ADE30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6.4.2 经监理人同意，承包人可根据合同进度计划撤走闲置的施工设备。</w:t>
      </w:r>
    </w:p>
    <w:p w14:paraId="50EC2B48">
      <w:pPr>
        <w:pStyle w:val="296"/>
        <w:spacing w:before="120" w:after="120"/>
        <w:outlineLvl w:val="9"/>
        <w:rPr>
          <w:rFonts w:hint="eastAsia" w:hAnsi="宋体"/>
          <w:color w:val="auto"/>
          <w:sz w:val="24"/>
          <w:szCs w:val="24"/>
          <w:highlight w:val="none"/>
        </w:rPr>
      </w:pPr>
      <w:bookmarkStart w:id="923" w:name="_Toc342296312"/>
      <w:bookmarkStart w:id="924" w:name="_Toc401660310"/>
      <w:bookmarkStart w:id="925" w:name="_Toc338944754"/>
      <w:r>
        <w:rPr>
          <w:rFonts w:hint="eastAsia" w:hAnsi="宋体"/>
          <w:color w:val="auto"/>
          <w:sz w:val="24"/>
          <w:szCs w:val="24"/>
          <w:highlight w:val="none"/>
        </w:rPr>
        <w:t>7. 交通运输</w:t>
      </w:r>
      <w:bookmarkEnd w:id="923"/>
      <w:bookmarkEnd w:id="924"/>
      <w:bookmarkEnd w:id="925"/>
    </w:p>
    <w:p w14:paraId="48D1365C">
      <w:pPr>
        <w:pStyle w:val="299"/>
        <w:spacing w:before="120" w:after="120"/>
        <w:outlineLvl w:val="9"/>
        <w:rPr>
          <w:rFonts w:hint="eastAsia" w:hAnsi="宋体" w:cs="宋体"/>
          <w:color w:val="auto"/>
          <w:sz w:val="24"/>
          <w:szCs w:val="24"/>
          <w:highlight w:val="none"/>
        </w:rPr>
      </w:pPr>
      <w:bookmarkStart w:id="926" w:name="_Toc401660311"/>
      <w:bookmarkStart w:id="927" w:name="_Toc338944755"/>
      <w:bookmarkStart w:id="928" w:name="_Toc342296313"/>
      <w:r>
        <w:rPr>
          <w:rFonts w:hint="eastAsia" w:hAnsi="宋体" w:cs="宋体"/>
          <w:color w:val="auto"/>
          <w:sz w:val="24"/>
          <w:szCs w:val="24"/>
          <w:highlight w:val="none"/>
        </w:rPr>
        <w:t>7.1 道路通行权和场外设施</w:t>
      </w:r>
      <w:bookmarkEnd w:id="926"/>
      <w:bookmarkEnd w:id="927"/>
      <w:bookmarkEnd w:id="928"/>
    </w:p>
    <w:p w14:paraId="5A68B9B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发包人应根据合同工程的施工需要，负责办理取得出入施工场地的专用和临时道路的通行权，以及取得为工程建设所需修建场外设施的权利，并承担有关费用。承包人应协助发包人办理上述手续。</w:t>
      </w:r>
    </w:p>
    <w:p w14:paraId="77595570">
      <w:pPr>
        <w:pStyle w:val="299"/>
        <w:spacing w:before="120" w:after="120"/>
        <w:outlineLvl w:val="9"/>
        <w:rPr>
          <w:rFonts w:hint="eastAsia" w:hAnsi="宋体" w:cs="宋体"/>
          <w:color w:val="auto"/>
          <w:sz w:val="24"/>
          <w:szCs w:val="24"/>
          <w:highlight w:val="none"/>
        </w:rPr>
      </w:pPr>
      <w:bookmarkStart w:id="929" w:name="_Toc342296314"/>
      <w:bookmarkStart w:id="930" w:name="_Toc401660312"/>
      <w:bookmarkStart w:id="931" w:name="_Toc338944756"/>
      <w:r>
        <w:rPr>
          <w:rFonts w:hint="eastAsia" w:hAnsi="宋体" w:cs="宋体"/>
          <w:color w:val="auto"/>
          <w:sz w:val="24"/>
          <w:szCs w:val="24"/>
          <w:highlight w:val="none"/>
        </w:rPr>
        <w:t>7.2 场内施工道路</w:t>
      </w:r>
      <w:bookmarkEnd w:id="929"/>
      <w:bookmarkEnd w:id="930"/>
      <w:bookmarkEnd w:id="931"/>
    </w:p>
    <w:p w14:paraId="5CBB3F1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7.2.1 除专用合同条款另有约定外，承包人应负责修建、维修、养护和管理施工所需的临时道路和交通设施，包括维修、养护和管理发包人提供的道路和交通设施，并承担相应费用。</w:t>
      </w:r>
    </w:p>
    <w:p w14:paraId="1B07E63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7.2.2 除专用合同条款另有约定外，承包人修建的临时道路和交通设施应免费提供发包人和监理人使用。</w:t>
      </w:r>
    </w:p>
    <w:p w14:paraId="43B5910D">
      <w:pPr>
        <w:pStyle w:val="299"/>
        <w:spacing w:before="120" w:after="120"/>
        <w:outlineLvl w:val="9"/>
        <w:rPr>
          <w:rFonts w:hint="eastAsia" w:hAnsi="宋体" w:cs="宋体"/>
          <w:color w:val="auto"/>
          <w:sz w:val="24"/>
          <w:szCs w:val="24"/>
          <w:highlight w:val="none"/>
        </w:rPr>
      </w:pPr>
      <w:bookmarkStart w:id="932" w:name="_Toc144974632"/>
      <w:bookmarkStart w:id="933" w:name="_Toc342296315"/>
      <w:bookmarkStart w:id="934" w:name="_Toc152042442"/>
      <w:bookmarkStart w:id="935" w:name="_Toc152045664"/>
      <w:bookmarkStart w:id="936" w:name="_Toc179632682"/>
      <w:bookmarkStart w:id="937" w:name="_Toc338944757"/>
      <w:bookmarkStart w:id="938" w:name="_Toc401660313"/>
      <w:r>
        <w:rPr>
          <w:rFonts w:hint="eastAsia" w:hAnsi="宋体" w:cs="宋体"/>
          <w:color w:val="auto"/>
          <w:sz w:val="24"/>
          <w:szCs w:val="24"/>
          <w:highlight w:val="none"/>
        </w:rPr>
        <w:t>7.3 场外交通</w:t>
      </w:r>
      <w:bookmarkEnd w:id="932"/>
      <w:bookmarkEnd w:id="933"/>
      <w:bookmarkEnd w:id="934"/>
      <w:bookmarkEnd w:id="935"/>
      <w:bookmarkEnd w:id="936"/>
      <w:bookmarkEnd w:id="937"/>
      <w:bookmarkEnd w:id="938"/>
    </w:p>
    <w:p w14:paraId="5B28EA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7.3.1 承包人车辆外出行驶所需的场外公共道路的通行费、养路费和税款等由承包人承担。</w:t>
      </w:r>
    </w:p>
    <w:p w14:paraId="3336A93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7.3.2 承包人应遵守有关交通法规，严格按照道路和桥梁的限制荷重安全行驶，并服从交通管理部门的检查和监督。</w:t>
      </w:r>
    </w:p>
    <w:p w14:paraId="598D5A42">
      <w:pPr>
        <w:pStyle w:val="299"/>
        <w:spacing w:before="120" w:after="120"/>
        <w:outlineLvl w:val="9"/>
        <w:rPr>
          <w:rFonts w:hint="eastAsia" w:hAnsi="宋体" w:cs="宋体"/>
          <w:color w:val="auto"/>
          <w:sz w:val="24"/>
          <w:szCs w:val="24"/>
          <w:highlight w:val="none"/>
        </w:rPr>
      </w:pPr>
      <w:bookmarkStart w:id="939" w:name="_Toc338944758"/>
      <w:bookmarkStart w:id="940" w:name="_Toc342296316"/>
      <w:bookmarkStart w:id="941" w:name="_Toc401660314"/>
      <w:r>
        <w:rPr>
          <w:rFonts w:hint="eastAsia" w:hAnsi="宋体" w:cs="宋体"/>
          <w:color w:val="auto"/>
          <w:sz w:val="24"/>
          <w:szCs w:val="24"/>
          <w:highlight w:val="none"/>
        </w:rPr>
        <w:t>7.4 超大件和超重件的运输</w:t>
      </w:r>
      <w:bookmarkEnd w:id="939"/>
      <w:bookmarkEnd w:id="940"/>
      <w:bookmarkEnd w:id="941"/>
    </w:p>
    <w:p w14:paraId="18CA265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承包人负责运输的超大件或超重件，应由承包人负责向交通管理部门办理申请手续，发包人给予协助。运输超大件或超重件所需的道路和桥梁临时加固改造费用和其他有关费用，由承包人承担，但专用合同条款另有约定除外。</w:t>
      </w:r>
    </w:p>
    <w:p w14:paraId="0665F196">
      <w:pPr>
        <w:pStyle w:val="299"/>
        <w:spacing w:before="120" w:after="120"/>
        <w:outlineLvl w:val="9"/>
        <w:rPr>
          <w:rFonts w:hint="eastAsia" w:hAnsi="宋体" w:cs="宋体"/>
          <w:color w:val="auto"/>
          <w:sz w:val="24"/>
          <w:szCs w:val="24"/>
          <w:highlight w:val="none"/>
        </w:rPr>
      </w:pPr>
      <w:bookmarkStart w:id="942" w:name="_Toc401660315"/>
      <w:bookmarkStart w:id="943" w:name="_Toc342296317"/>
      <w:bookmarkStart w:id="944" w:name="_Toc338944759"/>
      <w:r>
        <w:rPr>
          <w:rFonts w:hint="eastAsia" w:hAnsi="宋体" w:cs="宋体"/>
          <w:color w:val="auto"/>
          <w:sz w:val="24"/>
          <w:szCs w:val="24"/>
          <w:highlight w:val="none"/>
        </w:rPr>
        <w:t>7.5 道路和桥梁的损坏责任</w:t>
      </w:r>
      <w:bookmarkEnd w:id="942"/>
      <w:bookmarkEnd w:id="943"/>
      <w:bookmarkEnd w:id="944"/>
    </w:p>
    <w:p w14:paraId="4E46D8F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因承包人运输造成施工场地内外公共道路和桥梁损坏的，由承包人承担修复损坏的全部费用和可能引起的赔偿。</w:t>
      </w:r>
    </w:p>
    <w:p w14:paraId="06835B5B">
      <w:pPr>
        <w:pStyle w:val="299"/>
        <w:spacing w:before="120" w:after="120"/>
        <w:outlineLvl w:val="9"/>
        <w:rPr>
          <w:rFonts w:hint="eastAsia" w:hAnsi="宋体" w:cs="宋体"/>
          <w:color w:val="auto"/>
          <w:sz w:val="24"/>
          <w:szCs w:val="24"/>
          <w:highlight w:val="none"/>
        </w:rPr>
      </w:pPr>
      <w:bookmarkStart w:id="945" w:name="_Toc152042445"/>
      <w:bookmarkStart w:id="946" w:name="_Toc152045667"/>
      <w:bookmarkStart w:id="947" w:name="_Toc338944760"/>
      <w:bookmarkStart w:id="948" w:name="_Toc144974635"/>
      <w:bookmarkStart w:id="949" w:name="_Toc342296318"/>
      <w:bookmarkStart w:id="950" w:name="_Toc179632685"/>
      <w:bookmarkStart w:id="951" w:name="_Toc401660316"/>
      <w:r>
        <w:rPr>
          <w:rFonts w:hint="eastAsia" w:hAnsi="宋体" w:cs="宋体"/>
          <w:color w:val="auto"/>
          <w:sz w:val="24"/>
          <w:szCs w:val="24"/>
          <w:highlight w:val="none"/>
        </w:rPr>
        <w:t>7.6 水路和航空运输</w:t>
      </w:r>
      <w:bookmarkEnd w:id="945"/>
      <w:bookmarkEnd w:id="946"/>
      <w:bookmarkEnd w:id="947"/>
      <w:bookmarkEnd w:id="948"/>
      <w:bookmarkEnd w:id="949"/>
      <w:bookmarkEnd w:id="950"/>
      <w:bookmarkEnd w:id="951"/>
    </w:p>
    <w:p w14:paraId="353A08C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本条上述各款的内容适用于水路运输和航空运输，其中“道路”一词的涵义包括河道、航线、船闸、机场、码头、堤防以及水路或航空运输中其他相似结构物；“车辆”一词的涵义包括船舶和飞机等。</w:t>
      </w:r>
    </w:p>
    <w:p w14:paraId="30D0CB2B">
      <w:pPr>
        <w:pStyle w:val="296"/>
        <w:spacing w:before="120" w:after="120"/>
        <w:outlineLvl w:val="9"/>
        <w:rPr>
          <w:rFonts w:hint="eastAsia" w:hAnsi="宋体"/>
          <w:color w:val="auto"/>
          <w:sz w:val="24"/>
          <w:szCs w:val="24"/>
          <w:highlight w:val="none"/>
        </w:rPr>
      </w:pPr>
      <w:bookmarkStart w:id="952" w:name="_Toc401660317"/>
      <w:bookmarkStart w:id="953" w:name="_Toc338944761"/>
      <w:bookmarkStart w:id="954" w:name="_Toc342296319"/>
      <w:r>
        <w:rPr>
          <w:rFonts w:hint="eastAsia" w:hAnsi="宋体"/>
          <w:color w:val="auto"/>
          <w:sz w:val="24"/>
          <w:szCs w:val="24"/>
          <w:highlight w:val="none"/>
        </w:rPr>
        <w:t>8. 测量放线</w:t>
      </w:r>
      <w:bookmarkEnd w:id="952"/>
      <w:bookmarkEnd w:id="953"/>
      <w:bookmarkEnd w:id="954"/>
    </w:p>
    <w:p w14:paraId="5D221739">
      <w:pPr>
        <w:pStyle w:val="299"/>
        <w:spacing w:before="120" w:after="120"/>
        <w:outlineLvl w:val="9"/>
        <w:rPr>
          <w:rFonts w:hint="eastAsia" w:hAnsi="宋体" w:cs="宋体"/>
          <w:color w:val="auto"/>
          <w:sz w:val="24"/>
          <w:szCs w:val="24"/>
          <w:highlight w:val="none"/>
        </w:rPr>
      </w:pPr>
      <w:bookmarkStart w:id="955" w:name="_Toc338944762"/>
      <w:bookmarkStart w:id="956" w:name="_Toc401660318"/>
      <w:bookmarkStart w:id="957" w:name="_Toc342296320"/>
      <w:r>
        <w:rPr>
          <w:rFonts w:hint="eastAsia" w:hAnsi="宋体" w:cs="宋体"/>
          <w:color w:val="auto"/>
          <w:sz w:val="24"/>
          <w:szCs w:val="24"/>
          <w:highlight w:val="none"/>
        </w:rPr>
        <w:t>8.1 施工控制网</w:t>
      </w:r>
      <w:bookmarkEnd w:id="955"/>
      <w:bookmarkEnd w:id="956"/>
      <w:bookmarkEnd w:id="957"/>
    </w:p>
    <w:p w14:paraId="1BE36E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8.1.1发包人应在专用合同条款约定的期限内，通过监理人向承包人提供测量基准点、基准线和水准点及其书面资料。除专用合同条款另有约定外，承包人应根据国家测绘基准、测绘系统和工程测量技术规范，按上述基准点（线）以及合同工程精度要求，测设施工控制网，并在专用合同条款约定的期限内，将施工控制网资料报送监理人审批。</w:t>
      </w:r>
    </w:p>
    <w:p w14:paraId="2A9FFFE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8.1.2承包人应负责管理施工控制网点。施工控制网点丢失或损坏的，承包人应及时修复。承包人应承担施工控制网点的管理与修复费用，并在工程竣工后将施工控制网点移交发包人。</w:t>
      </w:r>
    </w:p>
    <w:p w14:paraId="1BE888E9">
      <w:pPr>
        <w:pStyle w:val="299"/>
        <w:spacing w:before="120" w:after="120"/>
        <w:outlineLvl w:val="9"/>
        <w:rPr>
          <w:rFonts w:hint="eastAsia" w:hAnsi="宋体" w:cs="宋体"/>
          <w:color w:val="auto"/>
          <w:sz w:val="24"/>
          <w:szCs w:val="24"/>
          <w:highlight w:val="none"/>
        </w:rPr>
      </w:pPr>
      <w:bookmarkStart w:id="958" w:name="_Toc152045670"/>
      <w:bookmarkStart w:id="959" w:name="_Toc152042448"/>
      <w:bookmarkStart w:id="960" w:name="_Toc342296321"/>
      <w:bookmarkStart w:id="961" w:name="_Toc401660319"/>
      <w:bookmarkStart w:id="962" w:name="_Toc144974638"/>
      <w:bookmarkStart w:id="963" w:name="_Toc338944763"/>
      <w:bookmarkStart w:id="964" w:name="_Toc179632688"/>
      <w:r>
        <w:rPr>
          <w:rFonts w:hint="eastAsia" w:hAnsi="宋体" w:cs="宋体"/>
          <w:color w:val="auto"/>
          <w:sz w:val="24"/>
          <w:szCs w:val="24"/>
          <w:highlight w:val="none"/>
        </w:rPr>
        <w:t>8.2 施工测量</w:t>
      </w:r>
      <w:bookmarkEnd w:id="958"/>
      <w:bookmarkEnd w:id="959"/>
      <w:bookmarkEnd w:id="960"/>
      <w:bookmarkEnd w:id="961"/>
      <w:bookmarkEnd w:id="962"/>
      <w:bookmarkEnd w:id="963"/>
      <w:bookmarkEnd w:id="964"/>
    </w:p>
    <w:p w14:paraId="33F8E05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8.2.1承包人应负责施工过程中的全部施工测量放线工作，并配置合格的人员、仪器、设备和其他物品。</w:t>
      </w:r>
    </w:p>
    <w:p w14:paraId="1BA7D7D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8.2.2监理人可以指示承包人进行抽样复测，当复测中发现错误或出现超过合同约定的误差时，承包人应按监理人指示进行修正或补测，并承担相应的复测费用。</w:t>
      </w:r>
    </w:p>
    <w:p w14:paraId="10E45DB7">
      <w:pPr>
        <w:pStyle w:val="299"/>
        <w:spacing w:before="120" w:after="120"/>
        <w:outlineLvl w:val="9"/>
        <w:rPr>
          <w:rFonts w:hint="eastAsia" w:hAnsi="宋体" w:cs="宋体"/>
          <w:color w:val="auto"/>
          <w:sz w:val="24"/>
          <w:szCs w:val="24"/>
          <w:highlight w:val="none"/>
        </w:rPr>
      </w:pPr>
      <w:bookmarkStart w:id="965" w:name="_Toc152045671"/>
      <w:bookmarkStart w:id="966" w:name="_Toc144974639"/>
      <w:bookmarkStart w:id="967" w:name="_Toc338944764"/>
      <w:bookmarkStart w:id="968" w:name="_Toc401660320"/>
      <w:bookmarkStart w:id="969" w:name="_Toc152042449"/>
      <w:bookmarkStart w:id="970" w:name="_Toc342296322"/>
      <w:bookmarkStart w:id="971" w:name="_Toc179632689"/>
      <w:r>
        <w:rPr>
          <w:rFonts w:hint="eastAsia" w:hAnsi="宋体" w:cs="宋体"/>
          <w:color w:val="auto"/>
          <w:sz w:val="24"/>
          <w:szCs w:val="24"/>
          <w:highlight w:val="none"/>
        </w:rPr>
        <w:t>8.3 基准资料错误的责任</w:t>
      </w:r>
      <w:bookmarkEnd w:id="965"/>
      <w:bookmarkEnd w:id="966"/>
      <w:bookmarkEnd w:id="967"/>
      <w:bookmarkEnd w:id="968"/>
      <w:bookmarkEnd w:id="969"/>
      <w:bookmarkEnd w:id="970"/>
      <w:bookmarkEnd w:id="971"/>
    </w:p>
    <w:p w14:paraId="23647C1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对其提供的测量基准点、基准线和水准点及其书面资料的真实性、准确性和完整性负责。发包人提供上述基准资料错误导致承包人测量放线工作的返工或造成工程损失的，发包人应当承担由此增加的费用和（或）工期延误，并向承包人支付合理利润。承包人发现发包人提供的上述基准资料存在明显错误或疏忽的，应及时通知监理人。</w:t>
      </w:r>
    </w:p>
    <w:p w14:paraId="6AC8C23E">
      <w:pPr>
        <w:pStyle w:val="299"/>
        <w:spacing w:before="120" w:after="120"/>
        <w:outlineLvl w:val="9"/>
        <w:rPr>
          <w:rFonts w:hint="eastAsia" w:hAnsi="宋体" w:cs="宋体"/>
          <w:color w:val="auto"/>
          <w:sz w:val="24"/>
          <w:szCs w:val="24"/>
          <w:highlight w:val="none"/>
        </w:rPr>
      </w:pPr>
      <w:bookmarkStart w:id="972" w:name="_Toc152042450"/>
      <w:bookmarkStart w:id="973" w:name="_Toc338944765"/>
      <w:bookmarkStart w:id="974" w:name="_Toc152045672"/>
      <w:bookmarkStart w:id="975" w:name="_Toc401660321"/>
      <w:bookmarkStart w:id="976" w:name="_Toc179632690"/>
      <w:bookmarkStart w:id="977" w:name="_Toc144974640"/>
      <w:bookmarkStart w:id="978" w:name="_Toc342296323"/>
      <w:r>
        <w:rPr>
          <w:rFonts w:hint="eastAsia" w:hAnsi="宋体" w:cs="宋体"/>
          <w:color w:val="auto"/>
          <w:sz w:val="24"/>
          <w:szCs w:val="24"/>
          <w:highlight w:val="none"/>
        </w:rPr>
        <w:t>8.4 监理人使用施工控制网</w:t>
      </w:r>
      <w:bookmarkEnd w:id="972"/>
      <w:bookmarkEnd w:id="973"/>
      <w:bookmarkEnd w:id="974"/>
      <w:bookmarkEnd w:id="975"/>
      <w:bookmarkEnd w:id="976"/>
      <w:bookmarkEnd w:id="977"/>
      <w:bookmarkEnd w:id="978"/>
    </w:p>
    <w:p w14:paraId="7D142176">
      <w:pPr>
        <w:spacing w:line="400" w:lineRule="exact"/>
        <w:ind w:firstLine="480" w:firstLineChars="200"/>
        <w:rPr>
          <w:rFonts w:hint="eastAsia" w:ascii="宋体" w:hAnsi="宋体" w:cs="宋体"/>
          <w:dstrike/>
          <w:color w:val="auto"/>
          <w:sz w:val="24"/>
          <w:szCs w:val="24"/>
          <w:highlight w:val="none"/>
        </w:rPr>
      </w:pPr>
      <w:r>
        <w:rPr>
          <w:rFonts w:hint="eastAsia" w:ascii="宋体" w:hAnsi="宋体" w:cs="宋体"/>
          <w:color w:val="auto"/>
          <w:sz w:val="24"/>
          <w:szCs w:val="24"/>
          <w:highlight w:val="none"/>
        </w:rPr>
        <w:t>监理人需要使用施工控制网的，承包人应提供必要的协助，发包人不再为此支付费用。</w:t>
      </w:r>
    </w:p>
    <w:p w14:paraId="3D3B42B0">
      <w:pPr>
        <w:pStyle w:val="296"/>
        <w:spacing w:before="120" w:after="120"/>
        <w:outlineLvl w:val="9"/>
        <w:rPr>
          <w:rFonts w:hint="eastAsia" w:hAnsi="宋体"/>
          <w:color w:val="auto"/>
          <w:sz w:val="24"/>
          <w:szCs w:val="24"/>
          <w:highlight w:val="none"/>
        </w:rPr>
      </w:pPr>
      <w:bookmarkStart w:id="979" w:name="_Toc338944766"/>
      <w:bookmarkStart w:id="980" w:name="_Toc401660322"/>
      <w:bookmarkStart w:id="981" w:name="_Toc342296324"/>
      <w:r>
        <w:rPr>
          <w:rFonts w:hint="eastAsia" w:hAnsi="宋体"/>
          <w:color w:val="auto"/>
          <w:sz w:val="24"/>
          <w:szCs w:val="24"/>
          <w:highlight w:val="none"/>
        </w:rPr>
        <w:t>9. 施工安全、治安保卫和环境保护</w:t>
      </w:r>
      <w:bookmarkEnd w:id="979"/>
      <w:bookmarkEnd w:id="980"/>
      <w:bookmarkEnd w:id="981"/>
    </w:p>
    <w:p w14:paraId="352582B2">
      <w:pPr>
        <w:pStyle w:val="299"/>
        <w:spacing w:before="120" w:after="120"/>
        <w:outlineLvl w:val="9"/>
        <w:rPr>
          <w:rFonts w:hint="eastAsia" w:hAnsi="宋体" w:cs="宋体"/>
          <w:color w:val="auto"/>
          <w:sz w:val="24"/>
          <w:szCs w:val="24"/>
          <w:highlight w:val="none"/>
        </w:rPr>
      </w:pPr>
      <w:bookmarkStart w:id="982" w:name="_Toc152045674"/>
      <w:bookmarkStart w:id="983" w:name="_Toc338944767"/>
      <w:bookmarkStart w:id="984" w:name="_Toc179632692"/>
      <w:bookmarkStart w:id="985" w:name="_Toc144974642"/>
      <w:bookmarkStart w:id="986" w:name="_Toc152042452"/>
      <w:bookmarkStart w:id="987" w:name="_Toc342296325"/>
      <w:bookmarkStart w:id="988" w:name="_Toc401660323"/>
      <w:r>
        <w:rPr>
          <w:rFonts w:hint="eastAsia" w:hAnsi="宋体" w:cs="宋体"/>
          <w:color w:val="auto"/>
          <w:sz w:val="24"/>
          <w:szCs w:val="24"/>
          <w:highlight w:val="none"/>
        </w:rPr>
        <w:t>9.1 发包人的施工安全责任</w:t>
      </w:r>
      <w:bookmarkEnd w:id="982"/>
      <w:bookmarkEnd w:id="983"/>
      <w:bookmarkEnd w:id="984"/>
      <w:bookmarkEnd w:id="985"/>
      <w:bookmarkEnd w:id="986"/>
      <w:bookmarkEnd w:id="987"/>
      <w:bookmarkEnd w:id="988"/>
    </w:p>
    <w:p w14:paraId="53FB764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9.1.1 发包人应按合同约定履行安全职责，授权监理人按合同约定的安全工作内容监督、检查承包人安全工作的实施，组织承包人和有关单位进行安全检查。</w:t>
      </w:r>
    </w:p>
    <w:p w14:paraId="589565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9.1.2 发包人应对其现场机构雇佣的全部人员的工伤事故承担责任，但由于承包人原因造成发包人人员工伤的，应由承包人承担责任。</w:t>
      </w:r>
    </w:p>
    <w:p w14:paraId="099CED0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9.1.3 发包人应负责赔偿以下各种情况造成的第三者人身伤亡和财产损失：</w:t>
      </w:r>
    </w:p>
    <w:p w14:paraId="4C83B94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（1）工程或工程的任何部分对土地的占用所造成的第三者财产损失；</w:t>
      </w:r>
    </w:p>
    <w:p w14:paraId="2FF71D6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（2）由于发包人原因在施工场地及其毗邻地带造成的第三者人身伤亡和财产损失。</w:t>
      </w:r>
    </w:p>
    <w:p w14:paraId="7B371F5A">
      <w:pPr>
        <w:pStyle w:val="299"/>
        <w:spacing w:before="120" w:after="120"/>
        <w:outlineLvl w:val="9"/>
        <w:rPr>
          <w:rFonts w:hint="eastAsia" w:hAnsi="宋体" w:cs="宋体"/>
          <w:color w:val="auto"/>
          <w:sz w:val="24"/>
          <w:szCs w:val="24"/>
          <w:highlight w:val="none"/>
        </w:rPr>
      </w:pPr>
      <w:bookmarkStart w:id="989" w:name="_Toc401660324"/>
      <w:bookmarkStart w:id="990" w:name="_Toc342296326"/>
      <w:bookmarkStart w:id="991" w:name="_Toc338944768"/>
      <w:r>
        <w:rPr>
          <w:rFonts w:hint="eastAsia" w:hAnsi="宋体" w:cs="宋体"/>
          <w:color w:val="auto"/>
          <w:sz w:val="24"/>
          <w:szCs w:val="24"/>
          <w:highlight w:val="none"/>
        </w:rPr>
        <w:t>9.2 承包人的施工安全责任</w:t>
      </w:r>
      <w:bookmarkEnd w:id="989"/>
      <w:bookmarkEnd w:id="990"/>
      <w:bookmarkEnd w:id="991"/>
    </w:p>
    <w:p w14:paraId="4EE1D45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9.2.1 承包人应按合同约定履行安全职责,执行监理人有关安全工作的指示,并在专用合同条款约定的期限内，按合同约定的安全工作内容，编制施工安全措施计划报送监理人审批。</w:t>
      </w:r>
    </w:p>
    <w:p w14:paraId="43C0D28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9.2.2 承包人应加强施工作业安全管理，特别应加强易燃、易爆材料、火工器材、有毒与腐蚀性材料和其他危险品的管理，以及对爆破作业和地下工程施工等危险作业的管理。</w:t>
      </w:r>
    </w:p>
    <w:p w14:paraId="6B19F69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9.2.3 承包人应严格按照国家安全标准制定施工安全操作规程，配备必要的安全生产和劳动保护设施，加强对承包人人员的安全教育，并发放安全工作手册和劳动保护用具。</w:t>
      </w:r>
    </w:p>
    <w:p w14:paraId="5AA0F2A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9.2.4 承包人应按监理人的指示制定应对灾害的紧急预案，报送监理人审批。承包人还应按预案做好安全检查，配置必要的救助物资和器材，切实保护好有关人员的人身和财产安全。</w:t>
      </w:r>
    </w:p>
    <w:p w14:paraId="5C3C06D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9.2.5 合同约定的安全作业环境及安全施工措施所需费用应遵守有关规定，并包括在相关工作的合同价格中。因采取合同未约定的安全作业环境及安全施工措施增加的费用，由监理人按第3.5款商定或确定。</w:t>
      </w:r>
    </w:p>
    <w:p w14:paraId="6C46736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9.2.6 承包人应对其履行合同所雇佣的全部人员，包括分包人人员的工伤事故承担责任，但由于发包人原因造成承包人人员工伤事故的，应由发包人承担责任。</w:t>
      </w:r>
    </w:p>
    <w:p w14:paraId="23EFB54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9.2.7 由于承包人原因在施工场地内及其毗邻地带造成的第三者人员伤亡和财产损失，由承包人负责赔偿。</w:t>
      </w:r>
    </w:p>
    <w:p w14:paraId="5D8BA132">
      <w:pPr>
        <w:pStyle w:val="299"/>
        <w:spacing w:before="120" w:after="120"/>
        <w:outlineLvl w:val="9"/>
        <w:rPr>
          <w:rFonts w:hint="eastAsia" w:hAnsi="宋体" w:cs="宋体"/>
          <w:color w:val="auto"/>
          <w:sz w:val="24"/>
          <w:szCs w:val="24"/>
          <w:highlight w:val="none"/>
        </w:rPr>
      </w:pPr>
      <w:bookmarkStart w:id="992" w:name="_Toc342296327"/>
      <w:bookmarkStart w:id="993" w:name="_Toc338944769"/>
      <w:bookmarkStart w:id="994" w:name="_Toc401660325"/>
      <w:r>
        <w:rPr>
          <w:rFonts w:hint="eastAsia" w:hAnsi="宋体" w:cs="宋体"/>
          <w:color w:val="auto"/>
          <w:sz w:val="24"/>
          <w:szCs w:val="24"/>
          <w:highlight w:val="none"/>
        </w:rPr>
        <w:t>9.3 治安保卫</w:t>
      </w:r>
      <w:bookmarkEnd w:id="992"/>
      <w:bookmarkEnd w:id="993"/>
      <w:bookmarkEnd w:id="994"/>
    </w:p>
    <w:p w14:paraId="79167A1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9.3.1 除合同另有约定外，发包人应与当地公安部门协商，在现场建立治安管理机构或联防组织，统一管理施工场地的治安保卫事项，履行合同工程的治安保卫职责。</w:t>
      </w:r>
    </w:p>
    <w:p w14:paraId="4BB013F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9.3.2 发包人和承包人除应协助现场治安管理机构或联防组织维护施工场地的社会治安外，还应做好包括生活区在内的各自管辖区的治安保卫工作。</w:t>
      </w:r>
    </w:p>
    <w:p w14:paraId="1A2D2B8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9.3.3 除合同另有约定外，发包人和承包人应在工程开工后，共同编制施工场地治安管理计划，并制定应对突发治安事件的紧急预案。在工程施工过程中，发生暴乱、爆炸等恐怖事件，以及群殴、械斗等群体性突发治安事件的，发包人和承包人应立即向当地政府报告。发包人和承包人应积极协助当地有关部门采取措施平息事态，防止事态扩大，尽量减少财产损失和避免人员伤亡。</w:t>
      </w:r>
    </w:p>
    <w:p w14:paraId="23A3E846">
      <w:pPr>
        <w:pStyle w:val="299"/>
        <w:spacing w:before="120" w:after="120"/>
        <w:outlineLvl w:val="9"/>
        <w:rPr>
          <w:rFonts w:hint="eastAsia" w:hAnsi="宋体" w:cs="宋体"/>
          <w:color w:val="auto"/>
          <w:sz w:val="24"/>
          <w:szCs w:val="24"/>
          <w:highlight w:val="none"/>
        </w:rPr>
      </w:pPr>
      <w:bookmarkStart w:id="995" w:name="_Toc338944770"/>
      <w:bookmarkStart w:id="996" w:name="_Toc401660326"/>
      <w:bookmarkStart w:id="997" w:name="_Toc342296328"/>
      <w:r>
        <w:rPr>
          <w:rFonts w:hint="eastAsia" w:hAnsi="宋体" w:cs="宋体"/>
          <w:color w:val="auto"/>
          <w:sz w:val="24"/>
          <w:szCs w:val="24"/>
          <w:highlight w:val="none"/>
        </w:rPr>
        <w:t>9.4 环境保护</w:t>
      </w:r>
      <w:bookmarkEnd w:id="995"/>
      <w:bookmarkEnd w:id="996"/>
      <w:bookmarkEnd w:id="997"/>
    </w:p>
    <w:p w14:paraId="3B752FD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9.4.1 承包人在施工过程中，应遵守有关环境保护的法律，履行合同约定的环境保护义务，并对违反法律和合同约定义务所造成的环境破坏、人身伤害和财产损失负责。</w:t>
      </w:r>
    </w:p>
    <w:p w14:paraId="084002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9.4.2 承包人应按合同约定的环保工作内容，编制施工环保措施计划，报送监理人审批。</w:t>
      </w:r>
    </w:p>
    <w:p w14:paraId="5EF760E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9.4.3 承包人应按照批准的施工环保措施计划有序地堆放和处理施工废弃物，避免对环境造成破坏。因承包人任意堆放或弃置施工废弃物造成妨碍公共交通、影响城镇居民生活、降低河流行洪能力、危及居民安全、破坏周边环境，或者影响其他承包人施工等后果的，承包人应承担责任。</w:t>
      </w:r>
    </w:p>
    <w:p w14:paraId="505E671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9.4.4 承包人应按合同约定采取有效措施，对施工开挖的边坡及时进行支护,维护排水设施，并进行水土保护，避免因施工造成的地质灾害。</w:t>
      </w:r>
    </w:p>
    <w:p w14:paraId="5C0A1C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9.4.5 承包人应按国家饮用水管理标准定期对饮用水源进行监测，防止施工活动污染饮用水源。</w:t>
      </w:r>
    </w:p>
    <w:p w14:paraId="4A99304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9.4.6 承包人应按合同约定，加强对噪声、粉尘、废气、废水和废油的控制，努力降低噪声，控制粉尘和废气浓度，做好废水和废油的治理和排放。</w:t>
      </w:r>
    </w:p>
    <w:p w14:paraId="3C9C85B5">
      <w:pPr>
        <w:pStyle w:val="299"/>
        <w:spacing w:before="120" w:after="120"/>
        <w:outlineLvl w:val="9"/>
        <w:rPr>
          <w:rFonts w:hint="eastAsia" w:hAnsi="宋体" w:cs="宋体"/>
          <w:color w:val="auto"/>
          <w:sz w:val="24"/>
          <w:szCs w:val="24"/>
          <w:highlight w:val="none"/>
        </w:rPr>
      </w:pPr>
      <w:bookmarkStart w:id="998" w:name="_Toc144974646"/>
      <w:bookmarkStart w:id="999" w:name="_Toc338944771"/>
      <w:bookmarkStart w:id="1000" w:name="_Toc342296329"/>
      <w:bookmarkStart w:id="1001" w:name="_Toc152042456"/>
      <w:bookmarkStart w:id="1002" w:name="_Toc152045678"/>
      <w:bookmarkStart w:id="1003" w:name="_Toc401660327"/>
      <w:bookmarkStart w:id="1004" w:name="_Toc179632696"/>
      <w:r>
        <w:rPr>
          <w:rFonts w:hint="eastAsia" w:hAnsi="宋体" w:cs="宋体"/>
          <w:color w:val="auto"/>
          <w:sz w:val="24"/>
          <w:szCs w:val="24"/>
          <w:highlight w:val="none"/>
        </w:rPr>
        <w:t>9.5 事故处理</w:t>
      </w:r>
      <w:bookmarkEnd w:id="998"/>
      <w:bookmarkEnd w:id="999"/>
      <w:bookmarkEnd w:id="1000"/>
      <w:bookmarkEnd w:id="1001"/>
      <w:bookmarkEnd w:id="1002"/>
      <w:bookmarkEnd w:id="1003"/>
      <w:bookmarkEnd w:id="1004"/>
    </w:p>
    <w:p w14:paraId="47F9613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施工过程中发生事故的，承包人应立即通知监理人，监理人应立即通知发包人。发包人和承包人应立即组织人员和设备进行紧急抢救和抢修，减少人员伤亡和财产损失，防止事故扩大，并保护事故现场。需要移动现场物品时，应作出标记和书面记录，妥善保管有关证据。发包人和承包人应按国家有关规定，及时如实地向有关部门报告事故发生的情况，以及正在采取的紧急措施等。</w:t>
      </w:r>
    </w:p>
    <w:p w14:paraId="46F6CAEA">
      <w:pPr>
        <w:pStyle w:val="296"/>
        <w:spacing w:before="120" w:after="120"/>
        <w:outlineLvl w:val="9"/>
        <w:rPr>
          <w:rFonts w:hint="eastAsia" w:hAnsi="宋体"/>
          <w:color w:val="auto"/>
          <w:sz w:val="24"/>
          <w:szCs w:val="24"/>
          <w:highlight w:val="none"/>
        </w:rPr>
      </w:pPr>
      <w:bookmarkStart w:id="1005" w:name="_Toc338944772"/>
      <w:bookmarkStart w:id="1006" w:name="_Toc342296330"/>
      <w:bookmarkStart w:id="1007" w:name="_Toc401660328"/>
      <w:r>
        <w:rPr>
          <w:rFonts w:hint="eastAsia" w:hAnsi="宋体"/>
          <w:color w:val="auto"/>
          <w:sz w:val="24"/>
          <w:szCs w:val="24"/>
          <w:highlight w:val="none"/>
        </w:rPr>
        <w:t>10. 进度计划</w:t>
      </w:r>
      <w:bookmarkEnd w:id="1005"/>
      <w:bookmarkEnd w:id="1006"/>
      <w:bookmarkEnd w:id="1007"/>
    </w:p>
    <w:p w14:paraId="5AF7605A">
      <w:pPr>
        <w:pStyle w:val="299"/>
        <w:spacing w:before="120" w:after="120"/>
        <w:outlineLvl w:val="9"/>
        <w:rPr>
          <w:rFonts w:hint="eastAsia" w:hAnsi="宋体" w:cs="宋体"/>
          <w:color w:val="auto"/>
          <w:sz w:val="24"/>
          <w:szCs w:val="24"/>
          <w:highlight w:val="none"/>
        </w:rPr>
      </w:pPr>
      <w:bookmarkStart w:id="1008" w:name="_Toc338944773"/>
      <w:bookmarkStart w:id="1009" w:name="_Toc401660329"/>
      <w:bookmarkStart w:id="1010" w:name="_Toc342296331"/>
      <w:r>
        <w:rPr>
          <w:rFonts w:hint="eastAsia" w:hAnsi="宋体" w:cs="宋体"/>
          <w:color w:val="auto"/>
          <w:sz w:val="24"/>
          <w:szCs w:val="24"/>
          <w:highlight w:val="none"/>
        </w:rPr>
        <w:t>10.1 合同进度计划</w:t>
      </w:r>
      <w:bookmarkEnd w:id="1008"/>
      <w:bookmarkEnd w:id="1009"/>
      <w:bookmarkEnd w:id="1010"/>
    </w:p>
    <w:p w14:paraId="14EF156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专用合同条款约定的内容和期限，编制详细的施工进度计划和施工方案说明报送监理人。监理人应在专用合同条款约定的期限内批复或提出修改意见，否则该进度计划视为已得到批准。经监理人批准的施工进度计划称合同进度计划，是控制合同工程进度的依据。承包人还应根据合同进度计划，编制更为详细的分阶段或分项进度计划，报监理人审批。</w:t>
      </w:r>
    </w:p>
    <w:p w14:paraId="259F2419">
      <w:pPr>
        <w:pStyle w:val="299"/>
        <w:spacing w:before="120" w:after="120"/>
        <w:outlineLvl w:val="9"/>
        <w:rPr>
          <w:rFonts w:hint="eastAsia" w:hAnsi="宋体" w:cs="宋体"/>
          <w:color w:val="auto"/>
          <w:sz w:val="24"/>
          <w:szCs w:val="24"/>
          <w:highlight w:val="none"/>
        </w:rPr>
      </w:pPr>
      <w:bookmarkStart w:id="1011" w:name="_Toc342296332"/>
      <w:bookmarkStart w:id="1012" w:name="_Toc401660330"/>
      <w:bookmarkStart w:id="1013" w:name="_Toc338944774"/>
      <w:r>
        <w:rPr>
          <w:rFonts w:hint="eastAsia" w:hAnsi="宋体" w:cs="宋体"/>
          <w:color w:val="auto"/>
          <w:sz w:val="24"/>
          <w:szCs w:val="24"/>
          <w:highlight w:val="none"/>
        </w:rPr>
        <w:t>10.2 合同进度计划的修订</w:t>
      </w:r>
      <w:bookmarkEnd w:id="1011"/>
      <w:bookmarkEnd w:id="1012"/>
      <w:bookmarkEnd w:id="1013"/>
    </w:p>
    <w:p w14:paraId="30E3A99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论何种原因造成工程的实际进度与第10.1款的合同进度计划不符时，承包人可以在专用合同条款约定的期限内向监理人提交修订合同进度计划的申请报告，并附有关措施和相关资料，报监理人审批；监理人也可以直接向承包人作出修订合同进度计划的指示，承包人应按该指示修订合同进度计划，报监理人审批。监理人应在专用合同条款约定的期限内批复。监理人在批复前应获得发包人同意。</w:t>
      </w:r>
    </w:p>
    <w:p w14:paraId="1AE32961">
      <w:pPr>
        <w:pStyle w:val="296"/>
        <w:spacing w:before="120" w:after="120"/>
        <w:outlineLvl w:val="9"/>
        <w:rPr>
          <w:rFonts w:hint="eastAsia" w:hAnsi="宋体"/>
          <w:color w:val="auto"/>
          <w:sz w:val="24"/>
          <w:szCs w:val="24"/>
          <w:highlight w:val="none"/>
        </w:rPr>
      </w:pPr>
      <w:bookmarkStart w:id="1014" w:name="_Toc401660331"/>
      <w:bookmarkStart w:id="1015" w:name="_Toc342296333"/>
      <w:bookmarkStart w:id="1016" w:name="_Toc338944775"/>
      <w:r>
        <w:rPr>
          <w:rFonts w:hint="eastAsia" w:hAnsi="宋体"/>
          <w:color w:val="auto"/>
          <w:sz w:val="24"/>
          <w:szCs w:val="24"/>
          <w:highlight w:val="none"/>
        </w:rPr>
        <w:t>11. 开工和竣工</w:t>
      </w:r>
      <w:bookmarkEnd w:id="1014"/>
      <w:bookmarkEnd w:id="1015"/>
      <w:bookmarkEnd w:id="1016"/>
    </w:p>
    <w:p w14:paraId="35800D0D">
      <w:pPr>
        <w:pStyle w:val="299"/>
        <w:spacing w:before="120" w:after="120"/>
        <w:outlineLvl w:val="9"/>
        <w:rPr>
          <w:rFonts w:hint="eastAsia" w:hAnsi="宋体" w:cs="宋体"/>
          <w:color w:val="auto"/>
          <w:sz w:val="24"/>
          <w:szCs w:val="24"/>
          <w:highlight w:val="none"/>
        </w:rPr>
      </w:pPr>
      <w:bookmarkStart w:id="1017" w:name="_Toc152042461"/>
      <w:bookmarkStart w:id="1018" w:name="_Toc342296334"/>
      <w:bookmarkStart w:id="1019" w:name="_Toc144974651"/>
      <w:bookmarkStart w:id="1020" w:name="_Toc401660332"/>
      <w:bookmarkStart w:id="1021" w:name="_Toc338944776"/>
      <w:bookmarkStart w:id="1022" w:name="_Toc179632701"/>
      <w:bookmarkStart w:id="1023" w:name="_Toc152045683"/>
      <w:r>
        <w:rPr>
          <w:rFonts w:hint="eastAsia" w:hAnsi="宋体" w:cs="宋体"/>
          <w:color w:val="auto"/>
          <w:sz w:val="24"/>
          <w:szCs w:val="24"/>
          <w:highlight w:val="none"/>
        </w:rPr>
        <w:t>11.1 开工</w:t>
      </w:r>
      <w:bookmarkEnd w:id="1017"/>
      <w:bookmarkEnd w:id="1018"/>
      <w:bookmarkEnd w:id="1019"/>
      <w:bookmarkEnd w:id="1020"/>
      <w:bookmarkEnd w:id="1021"/>
      <w:bookmarkEnd w:id="1022"/>
      <w:bookmarkEnd w:id="1023"/>
    </w:p>
    <w:p w14:paraId="0B83FB6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11.1.1 监理人应在开工日期7天前向承包人发出开工通知。监理人在发出开工通知前应获得发包人同意。工期自监理人发出的开工通知中载明的开工日期起计算。承包人应在开工日期后尽快施工。</w:t>
      </w:r>
    </w:p>
    <w:p w14:paraId="3AECFB1C">
      <w:pPr>
        <w:spacing w:line="400" w:lineRule="exact"/>
        <w:ind w:firstLine="480" w:firstLineChars="200"/>
        <w:rPr>
          <w:rFonts w:hint="eastAsia" w:ascii="宋体" w:hAnsi="宋体" w:cs="宋体"/>
          <w:color w:val="auto"/>
          <w:sz w:val="24"/>
          <w:szCs w:val="24"/>
          <w:highlight w:val="none"/>
          <w:shd w:val="pct10" w:color="auto" w:fill="FFFFFF"/>
        </w:rPr>
      </w:pPr>
      <w:r>
        <w:rPr>
          <w:rFonts w:hint="eastAsia" w:ascii="宋体" w:hAnsi="宋体" w:cs="宋体"/>
          <w:color w:val="auto"/>
          <w:sz w:val="24"/>
          <w:szCs w:val="24"/>
          <w:highlight w:val="none"/>
        </w:rPr>
        <w:t>11.1.2 承包人应按第10.1款约定的合同进度计划，向监理人提交工程开工报审表，经监理人审批后执行。开工报审表应详细说明按合同进度计划正常施工所需的施工道路、临时设施、材料设备、施工人员等施工组织措施的落实情况以及工程的进度安排。</w:t>
      </w:r>
    </w:p>
    <w:p w14:paraId="7A4A2787">
      <w:pPr>
        <w:pStyle w:val="299"/>
        <w:spacing w:before="120" w:after="120"/>
        <w:outlineLvl w:val="9"/>
        <w:rPr>
          <w:rFonts w:hint="eastAsia" w:hAnsi="宋体" w:cs="宋体"/>
          <w:color w:val="auto"/>
          <w:sz w:val="24"/>
          <w:szCs w:val="24"/>
          <w:highlight w:val="none"/>
        </w:rPr>
      </w:pPr>
      <w:bookmarkStart w:id="1024" w:name="_Toc401660333"/>
      <w:bookmarkStart w:id="1025" w:name="_Toc179632702"/>
      <w:bookmarkStart w:id="1026" w:name="_Toc152045684"/>
      <w:bookmarkStart w:id="1027" w:name="_Toc144974652"/>
      <w:bookmarkStart w:id="1028" w:name="_Toc342296335"/>
      <w:bookmarkStart w:id="1029" w:name="_Toc338944777"/>
      <w:bookmarkStart w:id="1030" w:name="_Toc152042462"/>
      <w:r>
        <w:rPr>
          <w:rFonts w:hint="eastAsia" w:hAnsi="宋体" w:cs="宋体"/>
          <w:color w:val="auto"/>
          <w:sz w:val="24"/>
          <w:szCs w:val="24"/>
          <w:highlight w:val="none"/>
        </w:rPr>
        <w:t>11.2 竣工</w:t>
      </w:r>
      <w:bookmarkEnd w:id="1024"/>
      <w:bookmarkEnd w:id="1025"/>
      <w:bookmarkEnd w:id="1026"/>
      <w:bookmarkEnd w:id="1027"/>
      <w:bookmarkEnd w:id="1028"/>
      <w:bookmarkEnd w:id="1029"/>
      <w:bookmarkEnd w:id="1030"/>
    </w:p>
    <w:p w14:paraId="2748FA1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承包人应在第1.1.4.3目约定的期限内完成合同工程。实际竣工日期在接收证书中写明。</w:t>
      </w:r>
    </w:p>
    <w:p w14:paraId="49CE0885">
      <w:pPr>
        <w:pStyle w:val="299"/>
        <w:spacing w:before="120" w:after="120"/>
        <w:outlineLvl w:val="9"/>
        <w:rPr>
          <w:rFonts w:hint="eastAsia" w:hAnsi="宋体" w:cs="宋体"/>
          <w:color w:val="auto"/>
          <w:sz w:val="24"/>
          <w:szCs w:val="24"/>
          <w:highlight w:val="none"/>
        </w:rPr>
      </w:pPr>
      <w:bookmarkStart w:id="1031" w:name="_Toc401660334"/>
      <w:bookmarkStart w:id="1032" w:name="_Toc338944778"/>
      <w:bookmarkStart w:id="1033" w:name="_Toc342296336"/>
      <w:r>
        <w:rPr>
          <w:rFonts w:hint="eastAsia" w:hAnsi="宋体" w:cs="宋体"/>
          <w:color w:val="auto"/>
          <w:sz w:val="24"/>
          <w:szCs w:val="24"/>
          <w:highlight w:val="none"/>
        </w:rPr>
        <w:t>11.3 发包人的工期延误</w:t>
      </w:r>
      <w:bookmarkEnd w:id="1031"/>
      <w:bookmarkEnd w:id="1032"/>
      <w:bookmarkEnd w:id="1033"/>
    </w:p>
    <w:p w14:paraId="1E331F2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在履行合同过程中，由于发包人的下列原因造成工期延误的，承包人有权要求发包人延长工期和（或）增加费用，并支付合理利润。需要修订合同进度计划的，按照第10.2款的约定办理。</w:t>
      </w:r>
    </w:p>
    <w:p w14:paraId="6E82E67D">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（1）增加合同工作内容；</w:t>
      </w:r>
    </w:p>
    <w:p w14:paraId="20DF9CF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（2）改变合同中任何一项工作的质量要求或其他特性；</w:t>
      </w:r>
    </w:p>
    <w:p w14:paraId="23C89D4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（3）发包人迟延提供材料、工程设备或变更交货地点的；</w:t>
      </w:r>
    </w:p>
    <w:p w14:paraId="55151AD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（4）因发包人原因导致的暂停施工；</w:t>
      </w:r>
    </w:p>
    <w:p w14:paraId="770F72D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（5）提供图纸延误；</w:t>
      </w:r>
    </w:p>
    <w:p w14:paraId="0D84308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（6）未按合同约定及时支付预付款、进度款；</w:t>
      </w:r>
    </w:p>
    <w:p w14:paraId="0C1430C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（7）发包人造成工期延误的其他原因。</w:t>
      </w:r>
    </w:p>
    <w:p w14:paraId="3BF34C95">
      <w:pPr>
        <w:pStyle w:val="299"/>
        <w:spacing w:before="120" w:after="120"/>
        <w:outlineLvl w:val="9"/>
        <w:rPr>
          <w:rFonts w:hint="eastAsia" w:hAnsi="宋体" w:cs="宋体"/>
          <w:color w:val="auto"/>
          <w:sz w:val="24"/>
          <w:szCs w:val="24"/>
          <w:highlight w:val="none"/>
        </w:rPr>
      </w:pPr>
      <w:bookmarkStart w:id="1034" w:name="_Toc338944779"/>
      <w:bookmarkStart w:id="1035" w:name="_Toc401660335"/>
      <w:bookmarkStart w:id="1036" w:name="_Toc342296337"/>
      <w:r>
        <w:rPr>
          <w:rFonts w:hint="eastAsia" w:hAnsi="宋体" w:cs="宋体"/>
          <w:color w:val="auto"/>
          <w:sz w:val="24"/>
          <w:szCs w:val="24"/>
          <w:highlight w:val="none"/>
        </w:rPr>
        <w:t>11.4 异常恶劣的气候条件</w:t>
      </w:r>
      <w:bookmarkEnd w:id="1034"/>
      <w:bookmarkEnd w:id="1035"/>
      <w:bookmarkEnd w:id="1036"/>
    </w:p>
    <w:p w14:paraId="31B0FA1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由于出现专用合同条款规定的异常恶劣气候的条件导致工期延误的，承包人有权要求发包人延长工期。</w:t>
      </w:r>
    </w:p>
    <w:p w14:paraId="39DC2468">
      <w:pPr>
        <w:pStyle w:val="299"/>
        <w:spacing w:before="120" w:after="120"/>
        <w:outlineLvl w:val="9"/>
        <w:rPr>
          <w:rFonts w:hint="eastAsia" w:hAnsi="宋体" w:cs="宋体"/>
          <w:color w:val="auto"/>
          <w:sz w:val="24"/>
          <w:szCs w:val="24"/>
          <w:highlight w:val="none"/>
        </w:rPr>
      </w:pPr>
      <w:bookmarkStart w:id="1037" w:name="_Toc401660336"/>
      <w:bookmarkStart w:id="1038" w:name="_Toc342296338"/>
      <w:bookmarkStart w:id="1039" w:name="_Toc338944780"/>
      <w:r>
        <w:rPr>
          <w:rFonts w:hint="eastAsia" w:hAnsi="宋体" w:cs="宋体"/>
          <w:color w:val="auto"/>
          <w:sz w:val="24"/>
          <w:szCs w:val="24"/>
          <w:highlight w:val="none"/>
        </w:rPr>
        <w:t>11.5 承包人的工期延误</w:t>
      </w:r>
      <w:bookmarkEnd w:id="1037"/>
      <w:bookmarkEnd w:id="1038"/>
      <w:bookmarkEnd w:id="1039"/>
    </w:p>
    <w:p w14:paraId="40A68C5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于承包人原因，未能按合同进度计划完成工作，或监理人认为承包人施工进度不能满足合同工期要求的，承包人应采取措施加快进度，并承担加快进度所增加的费用。由于承包人原因造成工期延误，承包人应支付逾期竣工违约金。逾期竣工违约金的计算方法在专用合同条款中约定。承包人支付逾期竣工违约金，不免除承包人完成工程及修补缺陷的义务。</w:t>
      </w:r>
    </w:p>
    <w:p w14:paraId="6DD9E279">
      <w:pPr>
        <w:pStyle w:val="299"/>
        <w:spacing w:before="120" w:after="120"/>
        <w:outlineLvl w:val="9"/>
        <w:rPr>
          <w:rFonts w:hint="eastAsia" w:hAnsi="宋体" w:cs="宋体"/>
          <w:color w:val="auto"/>
          <w:sz w:val="24"/>
          <w:szCs w:val="24"/>
          <w:highlight w:val="none"/>
        </w:rPr>
      </w:pPr>
      <w:bookmarkStart w:id="1040" w:name="_Toc401660337"/>
      <w:bookmarkStart w:id="1041" w:name="_Toc342296339"/>
      <w:bookmarkStart w:id="1042" w:name="_Toc338944781"/>
      <w:r>
        <w:rPr>
          <w:rFonts w:hint="eastAsia" w:hAnsi="宋体" w:cs="宋体"/>
          <w:color w:val="auto"/>
          <w:sz w:val="24"/>
          <w:szCs w:val="24"/>
          <w:highlight w:val="none"/>
        </w:rPr>
        <w:t>11.6 工期提前</w:t>
      </w:r>
      <w:bookmarkEnd w:id="1040"/>
      <w:bookmarkEnd w:id="1041"/>
      <w:bookmarkEnd w:id="1042"/>
    </w:p>
    <w:p w14:paraId="673C339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要求承包人提前竣工，或承包人提出提前竣工的建议能够给发包人带来效益的，应由监理人与承包人共同协商采取加快工程进度的措施和修订合同进度计划。发包人应承担承包人由此增加的费用，并向承包人支付专用合同条款约定的相应奖金。</w:t>
      </w:r>
    </w:p>
    <w:p w14:paraId="78157112">
      <w:pPr>
        <w:pStyle w:val="296"/>
        <w:spacing w:before="120" w:after="120"/>
        <w:outlineLvl w:val="9"/>
        <w:rPr>
          <w:rFonts w:hint="eastAsia" w:hAnsi="宋体"/>
          <w:color w:val="auto"/>
          <w:sz w:val="24"/>
          <w:szCs w:val="24"/>
          <w:highlight w:val="none"/>
        </w:rPr>
      </w:pPr>
      <w:bookmarkStart w:id="1043" w:name="_Toc401660338"/>
      <w:bookmarkStart w:id="1044" w:name="_Toc338944782"/>
      <w:bookmarkStart w:id="1045" w:name="_Toc342296340"/>
      <w:r>
        <w:rPr>
          <w:rFonts w:hint="eastAsia" w:hAnsi="宋体"/>
          <w:color w:val="auto"/>
          <w:sz w:val="24"/>
          <w:szCs w:val="24"/>
          <w:highlight w:val="none"/>
        </w:rPr>
        <w:t>12. 暂停施工</w:t>
      </w:r>
      <w:bookmarkEnd w:id="1043"/>
      <w:bookmarkEnd w:id="1044"/>
      <w:bookmarkEnd w:id="1045"/>
    </w:p>
    <w:p w14:paraId="25B9911B">
      <w:pPr>
        <w:pStyle w:val="299"/>
        <w:spacing w:before="120" w:after="120"/>
        <w:outlineLvl w:val="9"/>
        <w:rPr>
          <w:rFonts w:hint="eastAsia" w:hAnsi="宋体" w:cs="宋体"/>
          <w:color w:val="auto"/>
          <w:sz w:val="24"/>
          <w:szCs w:val="24"/>
          <w:highlight w:val="none"/>
        </w:rPr>
      </w:pPr>
      <w:bookmarkStart w:id="1046" w:name="_Toc338944783"/>
      <w:bookmarkStart w:id="1047" w:name="_Toc401660339"/>
      <w:bookmarkStart w:id="1048" w:name="_Toc342296341"/>
      <w:r>
        <w:rPr>
          <w:rFonts w:hint="eastAsia" w:hAnsi="宋体" w:cs="宋体"/>
          <w:color w:val="auto"/>
          <w:sz w:val="24"/>
          <w:szCs w:val="24"/>
          <w:highlight w:val="none"/>
        </w:rPr>
        <w:t>12.1 承包人暂停施工的责任</w:t>
      </w:r>
      <w:bookmarkEnd w:id="1046"/>
      <w:bookmarkEnd w:id="1047"/>
      <w:bookmarkEnd w:id="1048"/>
    </w:p>
    <w:p w14:paraId="04FB8D4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因下列暂停施工增加的费用和（或）工期延误由承包人承担：</w:t>
      </w:r>
    </w:p>
    <w:p w14:paraId="1A5A048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（1）承包人违约引起的暂停施工；</w:t>
      </w:r>
    </w:p>
    <w:p w14:paraId="0E99F1D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（2）由于承包人原因为工程合理施工和安全保障所必需的暂停施工；</w:t>
      </w:r>
    </w:p>
    <w:p w14:paraId="694C2329">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（3）承包人擅自暂停施工；</w:t>
      </w:r>
    </w:p>
    <w:p w14:paraId="3585858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（4）承包人其他原因引起的暂停施工；</w:t>
      </w:r>
    </w:p>
    <w:p w14:paraId="61D4214C">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（5）专用合同条款约定由承包人承担的其他暂停施工。</w:t>
      </w:r>
    </w:p>
    <w:p w14:paraId="63C57C54">
      <w:pPr>
        <w:pStyle w:val="299"/>
        <w:spacing w:before="120" w:after="120"/>
        <w:outlineLvl w:val="9"/>
        <w:rPr>
          <w:rFonts w:hint="eastAsia" w:hAnsi="宋体" w:cs="宋体"/>
          <w:color w:val="auto"/>
          <w:sz w:val="24"/>
          <w:szCs w:val="24"/>
          <w:highlight w:val="none"/>
        </w:rPr>
      </w:pPr>
      <w:bookmarkStart w:id="1049" w:name="_Toc401660340"/>
      <w:bookmarkStart w:id="1050" w:name="_Toc342296342"/>
      <w:bookmarkStart w:id="1051" w:name="_Toc179632709"/>
      <w:bookmarkStart w:id="1052" w:name="_Toc144974660"/>
      <w:bookmarkStart w:id="1053" w:name="_Toc152045691"/>
      <w:bookmarkStart w:id="1054" w:name="_Toc338944784"/>
      <w:bookmarkStart w:id="1055" w:name="_Toc152042469"/>
      <w:r>
        <w:rPr>
          <w:rFonts w:hint="eastAsia" w:hAnsi="宋体" w:cs="宋体"/>
          <w:color w:val="auto"/>
          <w:sz w:val="24"/>
          <w:szCs w:val="24"/>
          <w:highlight w:val="none"/>
        </w:rPr>
        <w:t>12.2 发包人暂停施工的责任</w:t>
      </w:r>
      <w:bookmarkEnd w:id="1049"/>
      <w:bookmarkEnd w:id="1050"/>
      <w:bookmarkEnd w:id="1051"/>
      <w:bookmarkEnd w:id="1052"/>
      <w:bookmarkEnd w:id="1053"/>
      <w:bookmarkEnd w:id="1054"/>
      <w:bookmarkEnd w:id="1055"/>
    </w:p>
    <w:p w14:paraId="77397C7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由于发包人原因引起的暂停施工造成工期延误的，承包人有权要求发包人延长工期和（或）增加费用，并支付合理利润。</w:t>
      </w:r>
    </w:p>
    <w:p w14:paraId="6CDAFEA6">
      <w:pPr>
        <w:pStyle w:val="299"/>
        <w:spacing w:before="120" w:after="120"/>
        <w:outlineLvl w:val="9"/>
        <w:rPr>
          <w:rFonts w:hint="eastAsia" w:hAnsi="宋体" w:cs="宋体"/>
          <w:color w:val="auto"/>
          <w:sz w:val="24"/>
          <w:szCs w:val="24"/>
          <w:highlight w:val="none"/>
        </w:rPr>
      </w:pPr>
      <w:bookmarkStart w:id="1056" w:name="_Toc401660341"/>
      <w:bookmarkStart w:id="1057" w:name="_Toc342296343"/>
      <w:bookmarkStart w:id="1058" w:name="_Toc179632710"/>
      <w:bookmarkStart w:id="1059" w:name="_Toc152042470"/>
      <w:bookmarkStart w:id="1060" w:name="_Toc144974661"/>
      <w:bookmarkStart w:id="1061" w:name="_Toc338944785"/>
      <w:bookmarkStart w:id="1062" w:name="_Toc152045692"/>
      <w:r>
        <w:rPr>
          <w:rFonts w:hint="eastAsia" w:hAnsi="宋体" w:cs="宋体"/>
          <w:color w:val="auto"/>
          <w:sz w:val="24"/>
          <w:szCs w:val="24"/>
          <w:highlight w:val="none"/>
        </w:rPr>
        <w:t>12.3 监理人暂停施工指示</w:t>
      </w:r>
      <w:bookmarkEnd w:id="1056"/>
      <w:bookmarkEnd w:id="1057"/>
      <w:bookmarkEnd w:id="1058"/>
      <w:bookmarkEnd w:id="1059"/>
      <w:bookmarkEnd w:id="1060"/>
      <w:bookmarkEnd w:id="1061"/>
      <w:bookmarkEnd w:id="1062"/>
    </w:p>
    <w:p w14:paraId="4D39EB2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12.3.1 监理人认为有必要时，可向承包人作出暂停施工的指示，承包人应按监理人指示暂停施工。不论由于何种原因引起的暂停施工，暂停施工期间承包人应负责妥善保护工程并提供安全保障。</w:t>
      </w:r>
    </w:p>
    <w:p w14:paraId="4C1655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12.3.2 由于发包人的原因发生暂停施工的紧急情况，且监理人未及时下达暂停施工指示的，承包人可先暂停施工，并及时向监理人提出暂停施工的书面请求。监理人应在接到书面请求后的24小时内予以答复，逾期未答复的，视为同意承包人的暂停施工请求。</w:t>
      </w:r>
    </w:p>
    <w:p w14:paraId="2B27527B">
      <w:pPr>
        <w:pStyle w:val="299"/>
        <w:spacing w:before="120" w:after="120"/>
        <w:outlineLvl w:val="9"/>
        <w:rPr>
          <w:rFonts w:hint="eastAsia" w:hAnsi="宋体" w:cs="宋体"/>
          <w:color w:val="auto"/>
          <w:sz w:val="24"/>
          <w:szCs w:val="24"/>
          <w:highlight w:val="none"/>
        </w:rPr>
      </w:pPr>
      <w:bookmarkStart w:id="1063" w:name="_Toc144974662"/>
      <w:bookmarkStart w:id="1064" w:name="_Toc152045693"/>
      <w:bookmarkStart w:id="1065" w:name="_Toc152042471"/>
      <w:bookmarkStart w:id="1066" w:name="_Toc338944786"/>
      <w:bookmarkStart w:id="1067" w:name="_Toc342296344"/>
      <w:bookmarkStart w:id="1068" w:name="_Toc401660342"/>
      <w:bookmarkStart w:id="1069" w:name="_Toc179632711"/>
      <w:r>
        <w:rPr>
          <w:rFonts w:hint="eastAsia" w:hAnsi="宋体" w:cs="宋体"/>
          <w:color w:val="auto"/>
          <w:sz w:val="24"/>
          <w:szCs w:val="24"/>
          <w:highlight w:val="none"/>
        </w:rPr>
        <w:t>12.4 暂停施工后的复工</w:t>
      </w:r>
      <w:bookmarkEnd w:id="1063"/>
      <w:bookmarkEnd w:id="1064"/>
      <w:bookmarkEnd w:id="1065"/>
      <w:bookmarkEnd w:id="1066"/>
      <w:bookmarkEnd w:id="1067"/>
      <w:bookmarkEnd w:id="1068"/>
      <w:bookmarkEnd w:id="1069"/>
    </w:p>
    <w:p w14:paraId="00483C0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12.4.1 暂停施工后，监理人应与发包人和承包人协商，采取有效措施积极消除暂停施工的影响。当工程具备复工条件时，监理人应立即向承包人发出复工通知。承包人收到复工通知后，应在监理人指定的期限内复工。</w:t>
      </w:r>
    </w:p>
    <w:p w14:paraId="74D86E9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12.4.2 承包人无故拖延和拒绝复工的，由此增加的费用和工期延误由承包人承担；因发包人原因无法按时复工的，承包人有权要求发包人延长工期和（或）增加费用，并支付合理利润。</w:t>
      </w:r>
    </w:p>
    <w:p w14:paraId="7A652E4C">
      <w:pPr>
        <w:pStyle w:val="299"/>
        <w:spacing w:before="120" w:after="120"/>
        <w:outlineLvl w:val="9"/>
        <w:rPr>
          <w:rFonts w:hint="eastAsia" w:hAnsi="宋体" w:cs="宋体"/>
          <w:color w:val="auto"/>
          <w:sz w:val="24"/>
          <w:szCs w:val="24"/>
          <w:highlight w:val="none"/>
        </w:rPr>
      </w:pPr>
      <w:bookmarkStart w:id="1070" w:name="_Toc342296345"/>
      <w:bookmarkStart w:id="1071" w:name="_Toc179632712"/>
      <w:bookmarkStart w:id="1072" w:name="_Toc338944787"/>
      <w:bookmarkStart w:id="1073" w:name="_Toc152045694"/>
      <w:bookmarkStart w:id="1074" w:name="_Toc401660343"/>
      <w:bookmarkStart w:id="1075" w:name="_Toc144974663"/>
      <w:bookmarkStart w:id="1076" w:name="_Toc152042472"/>
      <w:r>
        <w:rPr>
          <w:rFonts w:hint="eastAsia" w:hAnsi="宋体" w:cs="宋体"/>
          <w:color w:val="auto"/>
          <w:sz w:val="24"/>
          <w:szCs w:val="24"/>
          <w:highlight w:val="none"/>
        </w:rPr>
        <w:t>12.5 暂停施工持续56天以上</w:t>
      </w:r>
      <w:bookmarkEnd w:id="1070"/>
      <w:bookmarkEnd w:id="1071"/>
      <w:bookmarkEnd w:id="1072"/>
      <w:bookmarkEnd w:id="1073"/>
      <w:bookmarkEnd w:id="1074"/>
      <w:bookmarkEnd w:id="1075"/>
      <w:bookmarkEnd w:id="1076"/>
    </w:p>
    <w:p w14:paraId="0DA95F3C">
      <w:pPr>
        <w:spacing w:line="400" w:lineRule="exact"/>
        <w:ind w:firstLine="470" w:firstLineChars="196"/>
        <w:rPr>
          <w:rFonts w:hint="eastAsia" w:ascii="宋体" w:hAnsi="宋体" w:cs="宋体"/>
          <w:color w:val="auto"/>
          <w:sz w:val="24"/>
          <w:szCs w:val="24"/>
          <w:highlight w:val="none"/>
        </w:rPr>
      </w:pPr>
      <w:r>
        <w:rPr>
          <w:rFonts w:hint="eastAsia" w:ascii="宋体" w:hAnsi="宋体" w:cs="宋体"/>
          <w:color w:val="auto"/>
          <w:sz w:val="24"/>
          <w:szCs w:val="24"/>
          <w:highlight w:val="none"/>
        </w:rPr>
        <w:t>12.5.1 监理人发出暂停施工指示后56天内未向承包人发出复工通知，除了该项停工属于第12.1款的情况外，承包人可向监理人提交书面通知，要求监理人在收到书面通知后28天内准许已暂停施工的工程或其中一部分工程继续施工。如监理人逾期不予批准，则承包人可以通知监理人，将工程受影响的部分视为按第15.1（1）项的可取消工作。如暂停施工影响到整个工程，可视为发包人违约，应按第22.2款的规定办理。</w:t>
      </w:r>
    </w:p>
    <w:p w14:paraId="029A149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12.5.2 由于承包人责任引起的暂停施工，如承包人在收到监理人暂停施工指示后56天内不认真采取有效的复工措施，造成工期延误，可视为承包人违约，应按第22.1款的规定办理。</w:t>
      </w:r>
    </w:p>
    <w:p w14:paraId="6E288361">
      <w:pPr>
        <w:pStyle w:val="296"/>
        <w:spacing w:before="120" w:after="120"/>
        <w:outlineLvl w:val="9"/>
        <w:rPr>
          <w:rFonts w:hint="eastAsia" w:hAnsi="宋体"/>
          <w:color w:val="auto"/>
          <w:sz w:val="24"/>
          <w:szCs w:val="24"/>
          <w:highlight w:val="none"/>
        </w:rPr>
      </w:pPr>
      <w:bookmarkStart w:id="1077" w:name="_Toc342296346"/>
      <w:bookmarkStart w:id="1078" w:name="_Toc338944788"/>
      <w:bookmarkStart w:id="1079" w:name="_Toc401660344"/>
      <w:r>
        <w:rPr>
          <w:rFonts w:hint="eastAsia" w:hAnsi="宋体"/>
          <w:color w:val="auto"/>
          <w:sz w:val="24"/>
          <w:szCs w:val="24"/>
          <w:highlight w:val="none"/>
        </w:rPr>
        <w:t>13. 工程质量</w:t>
      </w:r>
      <w:bookmarkEnd w:id="1077"/>
      <w:bookmarkEnd w:id="1078"/>
      <w:bookmarkEnd w:id="1079"/>
    </w:p>
    <w:p w14:paraId="00DC82D2">
      <w:pPr>
        <w:pStyle w:val="299"/>
        <w:spacing w:before="120" w:after="120"/>
        <w:outlineLvl w:val="9"/>
        <w:rPr>
          <w:rFonts w:hint="eastAsia" w:hAnsi="宋体" w:cs="宋体"/>
          <w:color w:val="auto"/>
          <w:sz w:val="24"/>
          <w:szCs w:val="24"/>
          <w:highlight w:val="none"/>
        </w:rPr>
      </w:pPr>
      <w:bookmarkStart w:id="1080" w:name="_Toc152045696"/>
      <w:bookmarkStart w:id="1081" w:name="_Toc342296347"/>
      <w:bookmarkStart w:id="1082" w:name="_Toc338944789"/>
      <w:bookmarkStart w:id="1083" w:name="_Toc401660345"/>
      <w:bookmarkStart w:id="1084" w:name="_Toc152042474"/>
      <w:bookmarkStart w:id="1085" w:name="_Toc179632714"/>
      <w:bookmarkStart w:id="1086" w:name="_Toc144974665"/>
      <w:r>
        <w:rPr>
          <w:rFonts w:hint="eastAsia" w:hAnsi="宋体" w:cs="宋体"/>
          <w:color w:val="auto"/>
          <w:sz w:val="24"/>
          <w:szCs w:val="24"/>
          <w:highlight w:val="none"/>
        </w:rPr>
        <w:t>13.1 工程质量要求</w:t>
      </w:r>
      <w:bookmarkEnd w:id="1080"/>
      <w:bookmarkEnd w:id="1081"/>
      <w:bookmarkEnd w:id="1082"/>
      <w:bookmarkEnd w:id="1083"/>
      <w:bookmarkEnd w:id="1084"/>
      <w:bookmarkEnd w:id="1085"/>
      <w:bookmarkEnd w:id="1086"/>
    </w:p>
    <w:p w14:paraId="214CCCF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13.1.1 工程质量验收按合同约定验收标准执行。</w:t>
      </w:r>
    </w:p>
    <w:p w14:paraId="389A44F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13.1.2 因承包人原因造成工程质量达不到合同约定验收标准的，监理人有权要求承包人返工直至符合合同要求为止，由此造成的费用增加和（或）工期延误由承包人承担。</w:t>
      </w:r>
    </w:p>
    <w:p w14:paraId="5341C80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13.1.3 因发包人原因造成工程质量达不到合同约定验收标准的，发包人应承担由于承包人返工造成的费用增加和（或）工期延误，并支付承包人合理利润。</w:t>
      </w:r>
    </w:p>
    <w:p w14:paraId="51982810">
      <w:pPr>
        <w:pStyle w:val="299"/>
        <w:spacing w:before="120" w:after="120"/>
        <w:outlineLvl w:val="9"/>
        <w:rPr>
          <w:rFonts w:hint="eastAsia" w:hAnsi="宋体" w:cs="宋体"/>
          <w:color w:val="auto"/>
          <w:sz w:val="24"/>
          <w:szCs w:val="24"/>
          <w:highlight w:val="none"/>
        </w:rPr>
      </w:pPr>
      <w:bookmarkStart w:id="1087" w:name="_Toc401660346"/>
      <w:bookmarkStart w:id="1088" w:name="_Toc342296348"/>
      <w:bookmarkStart w:id="1089" w:name="_Toc338944790"/>
      <w:r>
        <w:rPr>
          <w:rFonts w:hint="eastAsia" w:hAnsi="宋体" w:cs="宋体"/>
          <w:color w:val="auto"/>
          <w:sz w:val="24"/>
          <w:szCs w:val="24"/>
          <w:highlight w:val="none"/>
        </w:rPr>
        <w:t>13.2 承包人的质量管理</w:t>
      </w:r>
      <w:bookmarkEnd w:id="1087"/>
      <w:bookmarkEnd w:id="1088"/>
      <w:bookmarkEnd w:id="1089"/>
    </w:p>
    <w:p w14:paraId="127F110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13.2.1 承包人应在施工场地设置专门的质量检查机构，配备专职质量检查人员，建立完善的质量检查制度。承包人应在合同约定的期限内，提交工程质量保证措施文件，包括质量检查机构的组织和岗位责任、质检人员的组成、质量检查程序和实施细则等，报送监理人审批。</w:t>
      </w:r>
    </w:p>
    <w:p w14:paraId="13ABFAE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13.2.2 承包人应加强对施工人员的质量教育和技术培训，定期考核施工人员的劳动技能，严格执行规范和操作规程。</w:t>
      </w:r>
    </w:p>
    <w:p w14:paraId="6C264187">
      <w:pPr>
        <w:pStyle w:val="299"/>
        <w:spacing w:before="120" w:after="120"/>
        <w:outlineLvl w:val="9"/>
        <w:rPr>
          <w:rFonts w:hint="eastAsia" w:hAnsi="宋体" w:cs="宋体"/>
          <w:color w:val="auto"/>
          <w:sz w:val="24"/>
          <w:szCs w:val="24"/>
          <w:highlight w:val="none"/>
        </w:rPr>
      </w:pPr>
      <w:bookmarkStart w:id="1090" w:name="_Toc342296349"/>
      <w:bookmarkStart w:id="1091" w:name="_Toc338944791"/>
      <w:bookmarkStart w:id="1092" w:name="_Toc401660347"/>
      <w:r>
        <w:rPr>
          <w:rFonts w:hint="eastAsia" w:hAnsi="宋体" w:cs="宋体"/>
          <w:color w:val="auto"/>
          <w:sz w:val="24"/>
          <w:szCs w:val="24"/>
          <w:highlight w:val="none"/>
        </w:rPr>
        <w:t>13.3 承包人的质量检查</w:t>
      </w:r>
      <w:bookmarkEnd w:id="1090"/>
      <w:bookmarkEnd w:id="1091"/>
      <w:bookmarkEnd w:id="1092"/>
    </w:p>
    <w:p w14:paraId="3D72A89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承包人应按合同约定对材料、工程设备以及工程的所有部位及其施工工艺进行全过程的质量检查和检验，并作详细记录，编制工程质量报表，报送监理人审查。</w:t>
      </w:r>
    </w:p>
    <w:p w14:paraId="44789229">
      <w:pPr>
        <w:pStyle w:val="299"/>
        <w:spacing w:before="120" w:after="120"/>
        <w:outlineLvl w:val="9"/>
        <w:rPr>
          <w:rFonts w:hint="eastAsia" w:hAnsi="宋体" w:cs="宋体"/>
          <w:color w:val="auto"/>
          <w:sz w:val="24"/>
          <w:szCs w:val="24"/>
          <w:highlight w:val="none"/>
        </w:rPr>
      </w:pPr>
      <w:bookmarkStart w:id="1093" w:name="_Toc338944792"/>
      <w:bookmarkStart w:id="1094" w:name="_Toc342296350"/>
      <w:bookmarkStart w:id="1095" w:name="_Toc401660348"/>
      <w:r>
        <w:rPr>
          <w:rFonts w:hint="eastAsia" w:hAnsi="宋体" w:cs="宋体"/>
          <w:color w:val="auto"/>
          <w:sz w:val="24"/>
          <w:szCs w:val="24"/>
          <w:highlight w:val="none"/>
        </w:rPr>
        <w:t>13.4 监理人的质量检查</w:t>
      </w:r>
      <w:bookmarkEnd w:id="1093"/>
      <w:bookmarkEnd w:id="1094"/>
      <w:bookmarkEnd w:id="1095"/>
    </w:p>
    <w:p w14:paraId="491F761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有权对工程的所有部位及其施工工艺、材料和工程设备进行检查和检验。承包人应为监理人的检查和检验提供方便，包括监理人到施工场地，或制造、加工地点，或合同约定的其他地方进行察看和查阅施工原始记录。承包人还应按监理人指示，进行施工场地取样试验、工程复核测量和设备性能检测，提供试验样品、提交试验报告和测量成果以及监理人要求进行的其他工作。监理人的检查和检验，不免除承包人按合同约定应负的责任。</w:t>
      </w:r>
    </w:p>
    <w:p w14:paraId="289BDAB9">
      <w:pPr>
        <w:pStyle w:val="299"/>
        <w:spacing w:before="120" w:after="120"/>
        <w:outlineLvl w:val="9"/>
        <w:rPr>
          <w:rFonts w:hint="eastAsia" w:hAnsi="宋体" w:cs="宋体"/>
          <w:color w:val="auto"/>
          <w:sz w:val="24"/>
          <w:szCs w:val="24"/>
          <w:highlight w:val="none"/>
        </w:rPr>
      </w:pPr>
      <w:bookmarkStart w:id="1096" w:name="_Toc342296351"/>
      <w:bookmarkStart w:id="1097" w:name="_Toc338944793"/>
      <w:bookmarkStart w:id="1098" w:name="_Toc401660349"/>
      <w:r>
        <w:rPr>
          <w:rFonts w:hint="eastAsia" w:hAnsi="宋体" w:cs="宋体"/>
          <w:color w:val="auto"/>
          <w:sz w:val="24"/>
          <w:szCs w:val="24"/>
          <w:highlight w:val="none"/>
        </w:rPr>
        <w:t>13.5 工程隐蔽部位覆盖前的检查</w:t>
      </w:r>
      <w:bookmarkEnd w:id="1096"/>
      <w:bookmarkEnd w:id="1097"/>
      <w:bookmarkEnd w:id="1098"/>
    </w:p>
    <w:p w14:paraId="229D2D1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13.5.1 通知监理人检查</w:t>
      </w:r>
    </w:p>
    <w:p w14:paraId="53C088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经承包人自检确认的工程隐蔽部位具备覆盖条件后，承包人应通知监理人在约定的期限内检查。承包人的通知应附有自检记录和必要的检查资料。监理人应按时到场检查。经监理人检查确认质量符合隐蔽要求，并在检查记录上签字后，承包人才能进行覆盖。监理人检查确认质量不合格的，承包人应在监理人指示的时间内修整返工后，由监理人重新检查。</w:t>
      </w:r>
    </w:p>
    <w:p w14:paraId="1A363F1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13.5.2 监理人未到场检查</w:t>
      </w:r>
    </w:p>
    <w:p w14:paraId="409D6AA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监理人未按第13.5.1项约定的时间进行检查的，除监理人另有指示外，承包人可自行完成覆盖工作，并作相应记录报送监理人，监理人应签字确认。监理人事后对检查记录有疑问的，可按第13.5.3项的约定重新检查。</w:t>
      </w:r>
    </w:p>
    <w:p w14:paraId="4619836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13.5.3 监理人重新检查</w:t>
      </w:r>
    </w:p>
    <w:p w14:paraId="7A00193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按第13.5.1项或第13.5.2项覆盖工程隐蔽部位后，监理人对质量有疑问的，可要求承包人对已覆盖的部位进行钻孔探测或揭开重新检验，承包人应遵照执行，并在检验后重新覆盖恢复原状。经检验证明工程质量符合合同要求的，由发包人承担由此增加的费用和（或）工期延误，并支付承包人合理利润；经检验证明工程质量不符合合同要求的，由此增加的费用和（或）工期延误由承包人承担。</w:t>
      </w:r>
    </w:p>
    <w:p w14:paraId="3E3B11F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13.5.4 承包人私自覆盖</w:t>
      </w:r>
    </w:p>
    <w:p w14:paraId="32E372F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承包人未通知监理人到场检查，私自将工程隐蔽部位覆盖的，监理人有权指示承包人钻孔探测或揭开检查，由此增加的费用和（或）工期延误由承包人承担。</w:t>
      </w:r>
    </w:p>
    <w:p w14:paraId="2C9480EE">
      <w:pPr>
        <w:pStyle w:val="299"/>
        <w:spacing w:before="120" w:after="120"/>
        <w:outlineLvl w:val="9"/>
        <w:rPr>
          <w:rFonts w:hint="eastAsia" w:hAnsi="宋体" w:cs="宋体"/>
          <w:color w:val="auto"/>
          <w:sz w:val="24"/>
          <w:szCs w:val="24"/>
          <w:highlight w:val="none"/>
        </w:rPr>
      </w:pPr>
      <w:bookmarkStart w:id="1099" w:name="_Toc179632719"/>
      <w:bookmarkStart w:id="1100" w:name="_Toc144974670"/>
      <w:bookmarkStart w:id="1101" w:name="_Toc338944794"/>
      <w:bookmarkStart w:id="1102" w:name="_Toc401660350"/>
      <w:bookmarkStart w:id="1103" w:name="_Toc152045701"/>
      <w:bookmarkStart w:id="1104" w:name="_Toc152042479"/>
      <w:bookmarkStart w:id="1105" w:name="_Toc342296352"/>
      <w:r>
        <w:rPr>
          <w:rFonts w:hint="eastAsia" w:hAnsi="宋体" w:cs="宋体"/>
          <w:color w:val="auto"/>
          <w:sz w:val="24"/>
          <w:szCs w:val="24"/>
          <w:highlight w:val="none"/>
        </w:rPr>
        <w:t>13.6 清除不合格工程</w:t>
      </w:r>
      <w:bookmarkEnd w:id="1099"/>
      <w:bookmarkEnd w:id="1100"/>
      <w:bookmarkEnd w:id="1101"/>
      <w:bookmarkEnd w:id="1102"/>
      <w:bookmarkEnd w:id="1103"/>
      <w:bookmarkEnd w:id="1104"/>
      <w:bookmarkEnd w:id="1105"/>
    </w:p>
    <w:p w14:paraId="0FB0233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13.6.1 承包人使用不合格材料、工程设备，或采用不适当的施工工艺，或施工不当，造成工程不合格的，监理人可以随时发出指示，要求承包人立即采取措施进行补救，直至达到合同要求的质量标准，由此增加的费用和（或）工期延误由承包人承担。</w:t>
      </w:r>
    </w:p>
    <w:p w14:paraId="004542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13.6.2 由于发包人提供的材料或工程设备不合格造成的工程不合格，需要承包人采取措施补救的，发包人应承担由此增加的费用和（或）工期延误，并支付承包人合理利润。</w:t>
      </w:r>
    </w:p>
    <w:p w14:paraId="53CA434B">
      <w:pPr>
        <w:pStyle w:val="296"/>
        <w:spacing w:before="120" w:after="120"/>
        <w:outlineLvl w:val="9"/>
        <w:rPr>
          <w:rFonts w:hint="eastAsia" w:hAnsi="宋体"/>
          <w:color w:val="auto"/>
          <w:sz w:val="24"/>
          <w:szCs w:val="24"/>
          <w:highlight w:val="none"/>
        </w:rPr>
      </w:pPr>
      <w:bookmarkStart w:id="1106" w:name="_Toc152042480"/>
      <w:bookmarkStart w:id="1107" w:name="_Toc401660351"/>
      <w:bookmarkStart w:id="1108" w:name="_Toc342296353"/>
      <w:bookmarkStart w:id="1109" w:name="_Toc179632720"/>
      <w:bookmarkStart w:id="1110" w:name="_Toc144974671"/>
      <w:bookmarkStart w:id="1111" w:name="_Toc152045702"/>
      <w:bookmarkStart w:id="1112" w:name="_Toc338944795"/>
      <w:r>
        <w:rPr>
          <w:rFonts w:hint="eastAsia" w:hAnsi="宋体"/>
          <w:color w:val="auto"/>
          <w:sz w:val="24"/>
          <w:szCs w:val="24"/>
          <w:highlight w:val="none"/>
        </w:rPr>
        <w:t>14. 试验和检验</w:t>
      </w:r>
      <w:bookmarkEnd w:id="1106"/>
      <w:bookmarkEnd w:id="1107"/>
      <w:bookmarkEnd w:id="1108"/>
      <w:bookmarkEnd w:id="1109"/>
      <w:bookmarkEnd w:id="1110"/>
      <w:bookmarkEnd w:id="1111"/>
      <w:bookmarkEnd w:id="1112"/>
    </w:p>
    <w:p w14:paraId="4DB80F27">
      <w:pPr>
        <w:pStyle w:val="299"/>
        <w:spacing w:before="120" w:after="120"/>
        <w:outlineLvl w:val="9"/>
        <w:rPr>
          <w:rFonts w:hint="eastAsia" w:hAnsi="宋体" w:cs="宋体"/>
          <w:color w:val="auto"/>
          <w:sz w:val="24"/>
          <w:szCs w:val="24"/>
          <w:highlight w:val="none"/>
        </w:rPr>
      </w:pPr>
      <w:bookmarkStart w:id="1113" w:name="_Toc152042481"/>
      <w:bookmarkStart w:id="1114" w:name="_Toc179632721"/>
      <w:bookmarkStart w:id="1115" w:name="_Toc338944796"/>
      <w:bookmarkStart w:id="1116" w:name="_Toc401660352"/>
      <w:bookmarkStart w:id="1117" w:name="_Toc152045703"/>
      <w:bookmarkStart w:id="1118" w:name="_Toc144974672"/>
      <w:bookmarkStart w:id="1119" w:name="_Toc342296354"/>
      <w:r>
        <w:rPr>
          <w:rFonts w:hint="eastAsia" w:hAnsi="宋体" w:cs="宋体"/>
          <w:color w:val="auto"/>
          <w:sz w:val="24"/>
          <w:szCs w:val="24"/>
          <w:highlight w:val="none"/>
        </w:rPr>
        <w:t>14.1 材料、工程设备和工程的试验和检验</w:t>
      </w:r>
      <w:bookmarkEnd w:id="1113"/>
      <w:bookmarkEnd w:id="1114"/>
      <w:bookmarkEnd w:id="1115"/>
      <w:bookmarkEnd w:id="1116"/>
      <w:bookmarkEnd w:id="1117"/>
      <w:bookmarkEnd w:id="1118"/>
      <w:bookmarkEnd w:id="1119"/>
    </w:p>
    <w:p w14:paraId="4201ACF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14.1.1 承包人应按合同约定进行材料、工程设备和工程的试验和检验，并为监理人对上述材料、工程设备和工程的质量检查提供必要的试验资料和原始记录。按合同约定应由监理人与承包人共同进行试验和检验的，由承包人负责提供必要的试验资料和原始记录。</w:t>
      </w:r>
    </w:p>
    <w:p w14:paraId="0B0214B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14.1.2 监理人未按合同约定派员参加试验和检验的，除监理人另有指示外，承包人可自行试验和检验，并应立即将试验和检验结果报送监理人，监理人应签字确认。</w:t>
      </w:r>
    </w:p>
    <w:p w14:paraId="4A9CB1E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14.1.3 监理人对承包人的试验和检验结果有疑问的，或为查清承包人试验和检验成果的可靠性要求承包人重新试验和检验的，可按合同约定由监理人与承包人共同进行。重新试验和检验的结果证明该项材料、工程设备或工程的质量不符合合同要求的，由此增加的费用和（或）工期延误由承包人承担；重新试验和检验结果证明该项材料、工程设备和工程符合合同要求，由发包人承担由此增加的费用和（或）工期延误，并支付承包人合理利润。</w:t>
      </w:r>
    </w:p>
    <w:p w14:paraId="09F3863F">
      <w:pPr>
        <w:pStyle w:val="299"/>
        <w:spacing w:before="120" w:after="120"/>
        <w:outlineLvl w:val="9"/>
        <w:rPr>
          <w:rFonts w:hint="eastAsia" w:hAnsi="宋体" w:cs="宋体"/>
          <w:color w:val="auto"/>
          <w:sz w:val="24"/>
          <w:szCs w:val="24"/>
          <w:highlight w:val="none"/>
        </w:rPr>
      </w:pPr>
      <w:bookmarkStart w:id="1120" w:name="_Toc152042482"/>
      <w:bookmarkStart w:id="1121" w:name="_Toc144974673"/>
      <w:bookmarkStart w:id="1122" w:name="_Toc179632722"/>
      <w:bookmarkStart w:id="1123" w:name="_Toc338944797"/>
      <w:bookmarkStart w:id="1124" w:name="_Toc401660353"/>
      <w:bookmarkStart w:id="1125" w:name="_Toc342296355"/>
      <w:bookmarkStart w:id="1126" w:name="_Toc152045704"/>
      <w:r>
        <w:rPr>
          <w:rFonts w:hint="eastAsia" w:hAnsi="宋体" w:cs="宋体"/>
          <w:color w:val="auto"/>
          <w:sz w:val="24"/>
          <w:szCs w:val="24"/>
          <w:highlight w:val="none"/>
        </w:rPr>
        <w:t>14.2 现场材料试验</w:t>
      </w:r>
      <w:bookmarkEnd w:id="1120"/>
      <w:bookmarkEnd w:id="1121"/>
      <w:bookmarkEnd w:id="1122"/>
      <w:bookmarkEnd w:id="1123"/>
      <w:bookmarkEnd w:id="1124"/>
      <w:bookmarkEnd w:id="1125"/>
      <w:bookmarkEnd w:id="1126"/>
    </w:p>
    <w:p w14:paraId="59DD16E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14.2.1 承包人根据合同约定或监理人指示进行的现场材料试验，应由承包人提供试验场所、试验人员、试验设备器材以及其他必要的试验条件。</w:t>
      </w:r>
    </w:p>
    <w:p w14:paraId="43ADA8D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14.2.2 监理人在必要时可以使用承包人的试验场所、试验设备器材以及其他试验条件，进行以工程质量检查为目的的复核性材料试验，承包人应予以协助。</w:t>
      </w:r>
    </w:p>
    <w:p w14:paraId="5A5F101C">
      <w:pPr>
        <w:pStyle w:val="299"/>
        <w:spacing w:before="120" w:after="120"/>
        <w:outlineLvl w:val="9"/>
        <w:rPr>
          <w:rFonts w:hint="eastAsia" w:hAnsi="宋体" w:cs="宋体"/>
          <w:color w:val="auto"/>
          <w:sz w:val="24"/>
          <w:szCs w:val="24"/>
          <w:highlight w:val="none"/>
        </w:rPr>
      </w:pPr>
      <w:bookmarkStart w:id="1127" w:name="_Toc144974674"/>
      <w:bookmarkStart w:id="1128" w:name="_Toc152045705"/>
      <w:bookmarkStart w:id="1129" w:name="_Toc338944798"/>
      <w:bookmarkStart w:id="1130" w:name="_Toc401660354"/>
      <w:bookmarkStart w:id="1131" w:name="_Toc179632723"/>
      <w:bookmarkStart w:id="1132" w:name="_Toc342296356"/>
      <w:bookmarkStart w:id="1133" w:name="_Toc152042483"/>
      <w:r>
        <w:rPr>
          <w:rFonts w:hint="eastAsia" w:hAnsi="宋体" w:cs="宋体"/>
          <w:color w:val="auto"/>
          <w:sz w:val="24"/>
          <w:szCs w:val="24"/>
          <w:highlight w:val="none"/>
        </w:rPr>
        <w:t>14.3 现场工艺试验</w:t>
      </w:r>
      <w:bookmarkEnd w:id="1127"/>
      <w:bookmarkEnd w:id="1128"/>
      <w:bookmarkEnd w:id="1129"/>
      <w:bookmarkEnd w:id="1130"/>
      <w:bookmarkEnd w:id="1131"/>
      <w:bookmarkEnd w:id="1132"/>
      <w:bookmarkEnd w:id="1133"/>
    </w:p>
    <w:p w14:paraId="3B906E0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承包人应按合同约定或监理人指示进行现场工艺试验。对大型的现场工艺试验，监理人认为必要时，应由承包人根据监理人提出的工艺试验要求，编制工艺试验措施计划，报送监理人审批。</w:t>
      </w:r>
    </w:p>
    <w:p w14:paraId="5888B260">
      <w:pPr>
        <w:pStyle w:val="296"/>
        <w:spacing w:before="120" w:after="120"/>
        <w:outlineLvl w:val="9"/>
        <w:rPr>
          <w:rFonts w:hint="eastAsia" w:hAnsi="宋体"/>
          <w:color w:val="auto"/>
          <w:sz w:val="24"/>
          <w:szCs w:val="24"/>
          <w:highlight w:val="none"/>
        </w:rPr>
      </w:pPr>
      <w:bookmarkStart w:id="1134" w:name="_Toc401660355"/>
      <w:bookmarkStart w:id="1135" w:name="_Toc338944799"/>
      <w:bookmarkStart w:id="1136" w:name="_Toc342296357"/>
      <w:r>
        <w:rPr>
          <w:rFonts w:hint="eastAsia" w:hAnsi="宋体"/>
          <w:color w:val="auto"/>
          <w:sz w:val="24"/>
          <w:szCs w:val="24"/>
          <w:highlight w:val="none"/>
        </w:rPr>
        <w:t>15. 变更</w:t>
      </w:r>
      <w:bookmarkEnd w:id="1134"/>
      <w:bookmarkEnd w:id="1135"/>
      <w:bookmarkEnd w:id="1136"/>
    </w:p>
    <w:p w14:paraId="00D3323E">
      <w:pPr>
        <w:pStyle w:val="299"/>
        <w:spacing w:before="120" w:after="120"/>
        <w:outlineLvl w:val="9"/>
        <w:rPr>
          <w:rFonts w:hint="eastAsia" w:hAnsi="宋体" w:cs="宋体"/>
          <w:color w:val="auto"/>
          <w:sz w:val="24"/>
          <w:szCs w:val="24"/>
          <w:highlight w:val="none"/>
        </w:rPr>
      </w:pPr>
      <w:bookmarkStart w:id="1137" w:name="_Toc401660356"/>
      <w:bookmarkStart w:id="1138" w:name="_Toc342296358"/>
      <w:bookmarkStart w:id="1139" w:name="_Toc338944800"/>
      <w:r>
        <w:rPr>
          <w:rFonts w:hint="eastAsia" w:hAnsi="宋体" w:cs="宋体"/>
          <w:color w:val="auto"/>
          <w:sz w:val="24"/>
          <w:szCs w:val="24"/>
          <w:highlight w:val="none"/>
        </w:rPr>
        <w:t>15.1 变更的范围和内容</w:t>
      </w:r>
      <w:bookmarkEnd w:id="1137"/>
      <w:bookmarkEnd w:id="1138"/>
      <w:bookmarkEnd w:id="1139"/>
    </w:p>
    <w:p w14:paraId="5BC0CA1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除专用合同条款另有约定外，在履行合同中发生以下情形之一，应按照本条规定进行变更。</w:t>
      </w:r>
    </w:p>
    <w:p w14:paraId="3B102D10">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（1）取消合同中任何一项工作，但被取消的工作不能转由发包人或其他人实施；</w:t>
      </w:r>
    </w:p>
    <w:p w14:paraId="378B9C98">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（2）改变合同中任何一项工作的质量或其他特性；</w:t>
      </w:r>
    </w:p>
    <w:p w14:paraId="709986D4">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（3）改变合同工程的基线、标高、位置或尺寸；</w:t>
      </w:r>
    </w:p>
    <w:p w14:paraId="0D270242">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（4）改变合同中任何一项工作的施工时间或改变已批准的施工工艺或顺序；</w:t>
      </w:r>
    </w:p>
    <w:p w14:paraId="36FB71F7">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（5）为完成工程需要追加的额外工作。</w:t>
      </w:r>
    </w:p>
    <w:p w14:paraId="603DC460">
      <w:pPr>
        <w:pStyle w:val="299"/>
        <w:spacing w:before="120" w:after="120"/>
        <w:outlineLvl w:val="9"/>
        <w:rPr>
          <w:rFonts w:hint="eastAsia" w:hAnsi="宋体" w:cs="宋体"/>
          <w:color w:val="auto"/>
          <w:sz w:val="24"/>
          <w:szCs w:val="24"/>
          <w:highlight w:val="none"/>
        </w:rPr>
      </w:pPr>
      <w:bookmarkStart w:id="1140" w:name="_Toc152042486"/>
      <w:bookmarkStart w:id="1141" w:name="_Toc144974677"/>
      <w:bookmarkStart w:id="1142" w:name="_Toc179632726"/>
      <w:bookmarkStart w:id="1143" w:name="_Toc152045708"/>
      <w:bookmarkStart w:id="1144" w:name="_Toc338944801"/>
      <w:bookmarkStart w:id="1145" w:name="_Toc401660357"/>
      <w:bookmarkStart w:id="1146" w:name="_Toc342296359"/>
      <w:r>
        <w:rPr>
          <w:rFonts w:hint="eastAsia" w:hAnsi="宋体" w:cs="宋体"/>
          <w:color w:val="auto"/>
          <w:sz w:val="24"/>
          <w:szCs w:val="24"/>
          <w:highlight w:val="none"/>
        </w:rPr>
        <w:t>15.2 变更权</w:t>
      </w:r>
      <w:bookmarkEnd w:id="1140"/>
      <w:bookmarkEnd w:id="1141"/>
      <w:bookmarkEnd w:id="1142"/>
      <w:bookmarkEnd w:id="1143"/>
      <w:bookmarkEnd w:id="1144"/>
      <w:bookmarkEnd w:id="1145"/>
      <w:bookmarkEnd w:id="1146"/>
    </w:p>
    <w:p w14:paraId="44935FF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在履行合同过程中，经发包人同意，监理人可按第15.3款约定的变更程序向承包人作出变更指示，承包人应遵照执行。没有监理人的变更指示，承包人不得擅自变更。</w:t>
      </w:r>
    </w:p>
    <w:p w14:paraId="6DE66A5F">
      <w:pPr>
        <w:pStyle w:val="299"/>
        <w:spacing w:before="120" w:after="120"/>
        <w:outlineLvl w:val="9"/>
        <w:rPr>
          <w:rFonts w:hint="eastAsia" w:hAnsi="宋体" w:cs="宋体"/>
          <w:color w:val="auto"/>
          <w:sz w:val="24"/>
          <w:szCs w:val="24"/>
          <w:highlight w:val="none"/>
        </w:rPr>
      </w:pPr>
      <w:bookmarkStart w:id="1147" w:name="_Toc401660358"/>
      <w:bookmarkStart w:id="1148" w:name="_Toc338944802"/>
      <w:bookmarkStart w:id="1149" w:name="_Toc342296360"/>
      <w:r>
        <w:rPr>
          <w:rFonts w:hint="eastAsia" w:hAnsi="宋体" w:cs="宋体"/>
          <w:color w:val="auto"/>
          <w:sz w:val="24"/>
          <w:szCs w:val="24"/>
          <w:highlight w:val="none"/>
        </w:rPr>
        <w:t>15.3 变更程序</w:t>
      </w:r>
      <w:bookmarkEnd w:id="1147"/>
      <w:bookmarkEnd w:id="1148"/>
      <w:bookmarkEnd w:id="1149"/>
    </w:p>
    <w:p w14:paraId="4B94601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15.3.1 变更的提出</w:t>
      </w:r>
    </w:p>
    <w:p w14:paraId="2214C8E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在合同履行过程中，可能发生第15.1款约定情形的，监理人可向承包人发出变更意向书。变更意向书应说明变更的具体内容和发包人对变更的时间要求，并附必要的图纸和相关资料。变更意向书应要求承包人提交包括拟实施变更工作的计划、措施和竣工时间等内容的实施方案。发包人同意承包人根据变更意向书要求提交的变更实施方案的，由监理人按第15.3.3项约定发出变更指示。</w:t>
      </w:r>
    </w:p>
    <w:p w14:paraId="7E3E74B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（2）在合同履行过程中，发生第15.1款约定情形的，监理人应按照第15.3.3项约定向承包人发出变更指示。</w:t>
      </w:r>
    </w:p>
    <w:p w14:paraId="6B17867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承包人收到监理人按合同约定发出的图纸和文件，经检查认为其中存在第15.1款约定情形的，可向监理人提出书面变更建议。变更建议应阐明要求变更的依据，并附必要的图纸和说明。监理人收到承包人书面建议后，应与发包人共同研究，确认存在变更的，应在收到承包人书面建议后的14天内作出变更指示。经研究后不同意作为变更的，应由监理人书面答复承包人。</w:t>
      </w:r>
    </w:p>
    <w:p w14:paraId="1AD70F3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（4）若承包人收到监理人的变更意向书后认为难以实施此项变更，应立即通知监理人，说明原因并附详细依据。监理人与承包人和发包人协商后确定撤销、改变或不改变原变更意向书。</w:t>
      </w:r>
    </w:p>
    <w:p w14:paraId="7EE33DD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15.3.2 变更估价</w:t>
      </w:r>
    </w:p>
    <w:p w14:paraId="0C2897A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除专用合同条款对期限另有约定外，承包人应在收到变更指示或变更意向书后的14天内，向监理人提交变更报价书，报价内容应根据第15.4款约定的估价原则，详细开列变更工作的价格组成及其依据，并附必要的施工方法说明和有关图纸。</w:t>
      </w:r>
    </w:p>
    <w:p w14:paraId="46A2E20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（2）变更工作影响工期的，承包人应提出调整工期的具体细节。监理人认为有必要时，可要求承包人提交要求提前或延长工期的施工进度计划及相应施工措施等详细资料。</w:t>
      </w:r>
    </w:p>
    <w:p w14:paraId="23FE94A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（3）除专用合同条款对期限另有约定外，监理人收到承包人变更报价书后的14天内，根据第15.4款约定的估价原则，按照第3.5款商定或确定变更价格。</w:t>
      </w:r>
    </w:p>
    <w:p w14:paraId="35BDA82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15.3.3 变更指示</w:t>
      </w:r>
    </w:p>
    <w:p w14:paraId="18111CC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（1）变更指示只能由监理人发出。</w:t>
      </w:r>
    </w:p>
    <w:p w14:paraId="7733277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（2）变更指示应说明变更的目的、范围、变更内容以及变更的工程量及其进度和技术要求，并附有关图纸和文件。承包人收到变更指示后，应按变更指示进行变更工作。</w:t>
      </w:r>
    </w:p>
    <w:p w14:paraId="1F814B7F">
      <w:pPr>
        <w:pStyle w:val="299"/>
        <w:spacing w:before="120" w:after="120"/>
        <w:outlineLvl w:val="9"/>
        <w:rPr>
          <w:rFonts w:hint="eastAsia" w:hAnsi="宋体" w:cs="宋体"/>
          <w:color w:val="auto"/>
          <w:sz w:val="24"/>
          <w:szCs w:val="24"/>
          <w:highlight w:val="none"/>
        </w:rPr>
      </w:pPr>
      <w:bookmarkStart w:id="1150" w:name="_Toc338944803"/>
      <w:bookmarkStart w:id="1151" w:name="_Toc401660359"/>
      <w:bookmarkStart w:id="1152" w:name="_Toc342296361"/>
      <w:r>
        <w:rPr>
          <w:rFonts w:hint="eastAsia" w:hAnsi="宋体" w:cs="宋体"/>
          <w:color w:val="auto"/>
          <w:sz w:val="24"/>
          <w:szCs w:val="24"/>
          <w:highlight w:val="none"/>
        </w:rPr>
        <w:t>15.4 变更的估价原则</w:t>
      </w:r>
      <w:bookmarkEnd w:id="1150"/>
      <w:bookmarkEnd w:id="1151"/>
      <w:bookmarkEnd w:id="1152"/>
    </w:p>
    <w:p w14:paraId="7A1297B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除专用合同条款另有约定外，因变更引起的价格调整按照本款约定处理。</w:t>
      </w:r>
    </w:p>
    <w:p w14:paraId="33A0B90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15.4.1 已标价工程量清单中有适用于变更工作的子目的，采用该子目的单价。</w:t>
      </w:r>
    </w:p>
    <w:p w14:paraId="569B02D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15.4.2 已标价工程量清单中无适用于变更工作的子目，但有类似子目的，可在合理范围内参照类似子目的单价，由监理人按第3.5款商定或确定变更工作的单价。</w:t>
      </w:r>
    </w:p>
    <w:p w14:paraId="519C1A4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15.4.3 已标价工程量清单中无适用或类似子目的单价，可按照成本加利润的原则，由监理人按第3.5款商定或确定变更工作的单价。</w:t>
      </w:r>
    </w:p>
    <w:p w14:paraId="5DF3D4BA">
      <w:pPr>
        <w:pStyle w:val="299"/>
        <w:spacing w:before="120" w:after="120"/>
        <w:outlineLvl w:val="9"/>
        <w:rPr>
          <w:rFonts w:hint="eastAsia" w:hAnsi="宋体" w:cs="宋体"/>
          <w:color w:val="auto"/>
          <w:sz w:val="24"/>
          <w:szCs w:val="24"/>
          <w:highlight w:val="none"/>
        </w:rPr>
      </w:pPr>
      <w:bookmarkStart w:id="1153" w:name="_Toc342296362"/>
      <w:bookmarkStart w:id="1154" w:name="_Toc338944804"/>
      <w:bookmarkStart w:id="1155" w:name="_Toc401660360"/>
      <w:r>
        <w:rPr>
          <w:rFonts w:hint="eastAsia" w:hAnsi="宋体" w:cs="宋体"/>
          <w:color w:val="auto"/>
          <w:sz w:val="24"/>
          <w:szCs w:val="24"/>
          <w:highlight w:val="none"/>
        </w:rPr>
        <w:t>15.5 承包人的合理化建议</w:t>
      </w:r>
      <w:bookmarkEnd w:id="1153"/>
      <w:bookmarkEnd w:id="1154"/>
      <w:bookmarkEnd w:id="1155"/>
    </w:p>
    <w:p w14:paraId="298EACF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15.5.1 在履行合同过程中，承包人对发包人提供的图纸、技术要求以及其他方面提出的合理化建议，均应以书面形式提交监理人。合理化建议书的内容应包括建议工作的详细说明、进度计划和效益以及与其他工作的协调等，并附必要的设计文件。监理人应与发包人协商是否采纳建议。建议被采纳并构成变更的，应按第15.3.3项约定向承包人发出变更指示。</w:t>
      </w:r>
    </w:p>
    <w:p w14:paraId="04F53F3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15.5.2 承包人提出的合理化建议降低了合同价格、缩短了工期或者提高了工程经济效益的，发包人可按国家有关规定在专用合同条款中约定给予奖励。</w:t>
      </w:r>
    </w:p>
    <w:p w14:paraId="349D72A8">
      <w:pPr>
        <w:pStyle w:val="299"/>
        <w:spacing w:before="120" w:after="120"/>
        <w:outlineLvl w:val="9"/>
        <w:rPr>
          <w:rFonts w:hint="eastAsia" w:hAnsi="宋体" w:cs="宋体"/>
          <w:color w:val="auto"/>
          <w:sz w:val="24"/>
          <w:szCs w:val="24"/>
          <w:highlight w:val="none"/>
        </w:rPr>
      </w:pPr>
      <w:bookmarkStart w:id="1156" w:name="_Toc152045712"/>
      <w:bookmarkStart w:id="1157" w:name="_Toc152042490"/>
      <w:bookmarkStart w:id="1158" w:name="_Toc401660361"/>
      <w:bookmarkStart w:id="1159" w:name="_Toc342296363"/>
      <w:bookmarkStart w:id="1160" w:name="_Toc179632730"/>
      <w:bookmarkStart w:id="1161" w:name="_Toc144974681"/>
      <w:bookmarkStart w:id="1162" w:name="_Toc338944805"/>
      <w:r>
        <w:rPr>
          <w:rFonts w:hint="eastAsia" w:hAnsi="宋体" w:cs="宋体"/>
          <w:color w:val="auto"/>
          <w:sz w:val="24"/>
          <w:szCs w:val="24"/>
          <w:highlight w:val="none"/>
        </w:rPr>
        <w:t>15.6 暂列金额</w:t>
      </w:r>
      <w:bookmarkEnd w:id="1156"/>
      <w:bookmarkEnd w:id="1157"/>
      <w:bookmarkEnd w:id="1158"/>
      <w:bookmarkEnd w:id="1159"/>
      <w:bookmarkEnd w:id="1160"/>
      <w:bookmarkEnd w:id="1161"/>
      <w:bookmarkEnd w:id="1162"/>
    </w:p>
    <w:p w14:paraId="3B53506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暂列金额只能按照监理人的指示使用，并对合同价格进行相应调整。</w:t>
      </w:r>
    </w:p>
    <w:p w14:paraId="1111E63A">
      <w:pPr>
        <w:pStyle w:val="299"/>
        <w:spacing w:before="120" w:after="120"/>
        <w:outlineLvl w:val="9"/>
        <w:rPr>
          <w:rFonts w:hint="eastAsia" w:hAnsi="宋体" w:cs="宋体"/>
          <w:color w:val="auto"/>
          <w:sz w:val="24"/>
          <w:szCs w:val="24"/>
          <w:highlight w:val="none"/>
        </w:rPr>
      </w:pPr>
      <w:bookmarkStart w:id="1163" w:name="_Toc342296364"/>
      <w:bookmarkStart w:id="1164" w:name="_Toc401660362"/>
      <w:bookmarkStart w:id="1165" w:name="_Toc144974682"/>
      <w:bookmarkStart w:id="1166" w:name="_Toc179632731"/>
      <w:bookmarkStart w:id="1167" w:name="_Toc152045713"/>
      <w:bookmarkStart w:id="1168" w:name="_Toc152042491"/>
      <w:bookmarkStart w:id="1169" w:name="_Toc338944806"/>
      <w:r>
        <w:rPr>
          <w:rFonts w:hint="eastAsia" w:hAnsi="宋体" w:cs="宋体"/>
          <w:color w:val="auto"/>
          <w:sz w:val="24"/>
          <w:szCs w:val="24"/>
          <w:highlight w:val="none"/>
        </w:rPr>
        <w:t>15.7 计日工</w:t>
      </w:r>
      <w:bookmarkEnd w:id="1163"/>
      <w:bookmarkEnd w:id="1164"/>
      <w:bookmarkEnd w:id="1165"/>
      <w:bookmarkEnd w:id="1166"/>
      <w:bookmarkEnd w:id="1167"/>
      <w:bookmarkEnd w:id="1168"/>
      <w:bookmarkEnd w:id="1169"/>
    </w:p>
    <w:p w14:paraId="37EDB337">
      <w:pPr>
        <w:spacing w:line="400" w:lineRule="exact"/>
        <w:ind w:firstLine="480" w:firstLineChars="200"/>
        <w:rPr>
          <w:rFonts w:hint="eastAsia" w:ascii="宋体" w:hAnsi="宋体" w:cs="宋体"/>
          <w:color w:val="auto"/>
          <w:sz w:val="24"/>
          <w:szCs w:val="24"/>
          <w:highlight w:val="none"/>
          <w:shd w:val="pct10" w:color="auto" w:fill="FFFFFF"/>
        </w:rPr>
      </w:pPr>
      <w:r>
        <w:rPr>
          <w:rFonts w:hint="eastAsia" w:ascii="宋体" w:hAnsi="宋体" w:cs="宋体"/>
          <w:color w:val="auto"/>
          <w:sz w:val="24"/>
          <w:szCs w:val="24"/>
          <w:highlight w:val="none"/>
        </w:rPr>
        <w:t>15.7.1 发包人认为有必要时，由监理人通知承包人以计日工方式实施变更的零星工作。其价款按列入已标价工程量清单中的计日工计价子目及其单价进行计算。</w:t>
      </w:r>
    </w:p>
    <w:p w14:paraId="2EAE40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15.7.2 采用计日工计价的任何一项变更工作，应从暂列金额中支付，承包人应在该项变更的实施过程中，每天提交以下报表和有关凭证报送监理人审批：</w:t>
      </w:r>
    </w:p>
    <w:p w14:paraId="37E3753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（1）工作名称、内容和数量；</w:t>
      </w:r>
    </w:p>
    <w:p w14:paraId="7E664346">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（2）投入该工作所有人员的姓名、工种、级别和耗用工时；</w:t>
      </w:r>
    </w:p>
    <w:p w14:paraId="22920C0F">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（3）投入该工作的材料类别和数量；</w:t>
      </w:r>
    </w:p>
    <w:p w14:paraId="6573C64F">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（4）投入该工作的施工设备型号、台数和耗用台时；</w:t>
      </w:r>
    </w:p>
    <w:p w14:paraId="1C4BE38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（5）监理人要求提交的其他资料和凭证。</w:t>
      </w:r>
    </w:p>
    <w:p w14:paraId="13809A4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15.7.3 计日工由承包人汇总后，按第17.3.2项的约定列入进度付款申请单，由监理人复核并经发包人同意后列入进度付款。</w:t>
      </w:r>
    </w:p>
    <w:p w14:paraId="1AE1E4B6">
      <w:pPr>
        <w:pStyle w:val="299"/>
        <w:spacing w:before="120" w:after="120"/>
        <w:outlineLvl w:val="9"/>
        <w:rPr>
          <w:rFonts w:hint="eastAsia" w:hAnsi="宋体" w:cs="宋体"/>
          <w:color w:val="auto"/>
          <w:sz w:val="24"/>
          <w:szCs w:val="24"/>
          <w:highlight w:val="none"/>
        </w:rPr>
      </w:pPr>
      <w:bookmarkStart w:id="1170" w:name="_Toc401660363"/>
      <w:bookmarkStart w:id="1171" w:name="_Toc338944807"/>
      <w:bookmarkStart w:id="1172" w:name="_Toc342296365"/>
      <w:r>
        <w:rPr>
          <w:rFonts w:hint="eastAsia" w:hAnsi="宋体" w:cs="宋体"/>
          <w:color w:val="auto"/>
          <w:sz w:val="24"/>
          <w:szCs w:val="24"/>
          <w:highlight w:val="none"/>
        </w:rPr>
        <w:t>15.8 暂估价</w:t>
      </w:r>
      <w:bookmarkEnd w:id="1170"/>
      <w:bookmarkEnd w:id="1171"/>
      <w:bookmarkEnd w:id="1172"/>
    </w:p>
    <w:p w14:paraId="6CD4171D">
      <w:pPr>
        <w:spacing w:line="400" w:lineRule="exact"/>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    15.8.1 发包人在工程量清单中给定暂估价的材料、工程设备和专业工程属于依法必须招标的范围并达到规定的规模标准的，由发包人和承包人以招标的方式选择供应商或分包人。发包人和承包人的权利义务关系在专用合同条款中约定。中标金额与工程量清单中所列的暂估价的金额差以及相应的税金等其他费用列入合同价格。</w:t>
      </w:r>
    </w:p>
    <w:p w14:paraId="2017059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15.8.2 发包人在工程量清单中给定暂估价的材料和工程设备不属于依法必须招标的范围或未达到规定的规模标准的，应由承包人按第5.1款的约定提供。经监理人确认的材料、工程设备的价格与工程量清单中所列的暂估价的金额差以及相应的税金等其他费用列入合同价格。</w:t>
      </w:r>
    </w:p>
    <w:p w14:paraId="22BAAA1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15.8.3 发包人在工程量清单中给定暂估价的专业工程不属于依法必须招标的范围或未达到规定的规模标准的，由监理人按照第15.4款进行估价，但专用合同条款另有约定的除外。经估价的专业工程与工程量清单中所列的暂估价的金额差以及相应的税金等其他费用列入合同价格。</w:t>
      </w:r>
    </w:p>
    <w:p w14:paraId="28B23C5C">
      <w:pPr>
        <w:pStyle w:val="296"/>
        <w:spacing w:before="120" w:after="120"/>
        <w:outlineLvl w:val="9"/>
        <w:rPr>
          <w:rFonts w:hint="eastAsia" w:hAnsi="宋体"/>
          <w:color w:val="auto"/>
          <w:sz w:val="24"/>
          <w:szCs w:val="24"/>
          <w:highlight w:val="none"/>
        </w:rPr>
      </w:pPr>
      <w:bookmarkStart w:id="1173" w:name="_Toc342296366"/>
      <w:bookmarkStart w:id="1174" w:name="_Toc338944808"/>
      <w:bookmarkStart w:id="1175" w:name="_Toc401660364"/>
      <w:r>
        <w:rPr>
          <w:rFonts w:hint="eastAsia" w:hAnsi="宋体"/>
          <w:color w:val="auto"/>
          <w:sz w:val="24"/>
          <w:szCs w:val="24"/>
          <w:highlight w:val="none"/>
        </w:rPr>
        <w:t>16. 价格调整</w:t>
      </w:r>
      <w:bookmarkEnd w:id="1173"/>
      <w:bookmarkEnd w:id="1174"/>
      <w:bookmarkEnd w:id="1175"/>
    </w:p>
    <w:p w14:paraId="14912624">
      <w:pPr>
        <w:pStyle w:val="299"/>
        <w:spacing w:before="120" w:after="120"/>
        <w:outlineLvl w:val="9"/>
        <w:rPr>
          <w:rFonts w:hint="eastAsia" w:hAnsi="宋体" w:cs="宋体"/>
          <w:color w:val="auto"/>
          <w:sz w:val="24"/>
          <w:szCs w:val="24"/>
          <w:highlight w:val="none"/>
        </w:rPr>
      </w:pPr>
      <w:bookmarkStart w:id="1176" w:name="_Toc338944809"/>
      <w:bookmarkStart w:id="1177" w:name="_Toc401660365"/>
      <w:bookmarkStart w:id="1178" w:name="_Toc342296367"/>
      <w:r>
        <w:rPr>
          <w:rFonts w:hint="eastAsia" w:hAnsi="宋体" w:cs="宋体"/>
          <w:color w:val="auto"/>
          <w:sz w:val="24"/>
          <w:szCs w:val="24"/>
          <w:highlight w:val="none"/>
        </w:rPr>
        <w:t>16.1 物价波动引起的价格调整</w:t>
      </w:r>
      <w:bookmarkEnd w:id="1176"/>
      <w:bookmarkEnd w:id="1177"/>
      <w:bookmarkEnd w:id="1178"/>
    </w:p>
    <w:p w14:paraId="11E480F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highlight w:val="none"/>
        </w:rPr>
        <w:t>本协议价格为固定价，已综合考虑物价波动风险，除双方另有书面约定外，任何一方不得以物价波动为由要求调整价格。双方在本协议签字盖章之日确认的价格即为最终结算依据。</w:t>
      </w:r>
    </w:p>
    <w:p w14:paraId="50256982">
      <w:pPr>
        <w:pStyle w:val="299"/>
        <w:spacing w:before="120" w:after="120"/>
        <w:outlineLvl w:val="9"/>
        <w:rPr>
          <w:rFonts w:hint="eastAsia" w:hAnsi="宋体" w:cs="宋体"/>
          <w:color w:val="auto"/>
          <w:sz w:val="24"/>
          <w:szCs w:val="24"/>
          <w:highlight w:val="none"/>
        </w:rPr>
      </w:pPr>
      <w:bookmarkStart w:id="1179" w:name="_Toc152045717"/>
      <w:bookmarkStart w:id="1180" w:name="_Toc401660366"/>
      <w:bookmarkStart w:id="1181" w:name="_Toc342296368"/>
      <w:bookmarkStart w:id="1182" w:name="_Toc144974688"/>
      <w:bookmarkStart w:id="1183" w:name="_Toc338944810"/>
      <w:bookmarkStart w:id="1184" w:name="_Toc179632735"/>
      <w:bookmarkStart w:id="1185" w:name="_Toc152042496"/>
      <w:r>
        <w:rPr>
          <w:rFonts w:hint="eastAsia" w:hAnsi="宋体" w:cs="宋体"/>
          <w:color w:val="auto"/>
          <w:sz w:val="24"/>
          <w:szCs w:val="24"/>
          <w:highlight w:val="none"/>
        </w:rPr>
        <w:t>16.2 法律变化引起的价格调整</w:t>
      </w:r>
      <w:bookmarkEnd w:id="1179"/>
      <w:bookmarkEnd w:id="1180"/>
      <w:bookmarkEnd w:id="1181"/>
      <w:bookmarkEnd w:id="1182"/>
      <w:bookmarkEnd w:id="1183"/>
      <w:bookmarkEnd w:id="1184"/>
      <w:bookmarkEnd w:id="1185"/>
    </w:p>
    <w:p w14:paraId="2F37AA0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在基准日后，因法律变化导致承包人在合同履行中所需要的工程费用发生除第16.1款约定以外的增减时，监理人应根据法律、国家或省、自治区、直辖市有关部门的规定，按第3.5款商定或确定需调整的合同价款。</w:t>
      </w:r>
    </w:p>
    <w:p w14:paraId="72B22D1D">
      <w:pPr>
        <w:pStyle w:val="296"/>
        <w:spacing w:before="120" w:after="120"/>
        <w:outlineLvl w:val="9"/>
        <w:rPr>
          <w:rFonts w:hint="eastAsia" w:hAnsi="宋体"/>
          <w:color w:val="auto"/>
          <w:sz w:val="24"/>
          <w:szCs w:val="24"/>
          <w:highlight w:val="none"/>
        </w:rPr>
      </w:pPr>
      <w:bookmarkStart w:id="1186" w:name="_Toc338944811"/>
      <w:bookmarkStart w:id="1187" w:name="_Toc401660367"/>
      <w:bookmarkStart w:id="1188" w:name="_Toc342296369"/>
      <w:r>
        <w:rPr>
          <w:rFonts w:hint="eastAsia" w:hAnsi="宋体"/>
          <w:color w:val="auto"/>
          <w:sz w:val="24"/>
          <w:szCs w:val="24"/>
          <w:highlight w:val="none"/>
        </w:rPr>
        <w:t>17. 计量与支付</w:t>
      </w:r>
      <w:bookmarkEnd w:id="1186"/>
      <w:bookmarkEnd w:id="1187"/>
      <w:bookmarkEnd w:id="1188"/>
    </w:p>
    <w:p w14:paraId="2DC55B06">
      <w:pPr>
        <w:pStyle w:val="299"/>
        <w:spacing w:before="120" w:after="120"/>
        <w:outlineLvl w:val="9"/>
        <w:rPr>
          <w:rFonts w:hint="eastAsia" w:hAnsi="宋体" w:cs="宋体"/>
          <w:color w:val="auto"/>
          <w:sz w:val="24"/>
          <w:szCs w:val="24"/>
          <w:highlight w:val="none"/>
        </w:rPr>
      </w:pPr>
      <w:bookmarkStart w:id="1189" w:name="_Toc338944812"/>
      <w:bookmarkStart w:id="1190" w:name="_Toc342296370"/>
      <w:bookmarkStart w:id="1191" w:name="_Toc401660368"/>
      <w:r>
        <w:rPr>
          <w:rFonts w:hint="eastAsia" w:hAnsi="宋体" w:cs="宋体"/>
          <w:color w:val="auto"/>
          <w:sz w:val="24"/>
          <w:szCs w:val="24"/>
          <w:highlight w:val="none"/>
        </w:rPr>
        <w:t>17.1 计量</w:t>
      </w:r>
      <w:bookmarkEnd w:id="1189"/>
      <w:bookmarkEnd w:id="1190"/>
      <w:bookmarkEnd w:id="1191"/>
    </w:p>
    <w:p w14:paraId="0E9959F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17.1.1 计量单位</w:t>
      </w:r>
    </w:p>
    <w:p w14:paraId="46FD511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计量采用国家法定的计量单位。</w:t>
      </w:r>
    </w:p>
    <w:p w14:paraId="5C1211B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17.1.2 计量方法</w:t>
      </w:r>
    </w:p>
    <w:p w14:paraId="186916F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工程量清单中的工程量计算规则应按有关国家标准、行业标准的规定，并在合同中约定执行。</w:t>
      </w:r>
    </w:p>
    <w:p w14:paraId="125542D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17.1.3 计量周期</w:t>
      </w:r>
    </w:p>
    <w:p w14:paraId="041612D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除专用合同条款另有约定外，单价子目已完成工程量按月计量，总价子目的计量周期按批准的支付分解报告确定。</w:t>
      </w:r>
    </w:p>
    <w:p w14:paraId="06C493A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17.1.4 单价子目的计量</w:t>
      </w:r>
    </w:p>
    <w:p w14:paraId="0F06A67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（1）已标价工程量清单中的单价子目工程量为估算工程量。结算工程量是承包人实际完成的，并按合同约定的计量方法进行计量的工程量。</w:t>
      </w:r>
    </w:p>
    <w:p w14:paraId="1CC767B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（2）承包人对已完成的工程进行计量，向监理人提交进度付款申请单、已完成工程量报表和有关计量资料。</w:t>
      </w:r>
    </w:p>
    <w:p w14:paraId="3C43E4D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监理人对承包人提交的工程量报表进行复核，以确定实际完成的工程量。对数量有异议的，可要求承包人按第8.2款约定进行共同复核和抽样复测。承包人应协助监理人进行复核并按监理人要求提供补充计量资料。承包人未按监理人要求参加复核，监理人复核或修正的工程量视为承包人实际完成的工程量。</w:t>
      </w:r>
    </w:p>
    <w:p w14:paraId="4C24F84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（4）监理人认为有必要时，可通知承包人共同进行联合测量、计量，承包人应遵照执行。</w:t>
      </w:r>
    </w:p>
    <w:p w14:paraId="56C7CF6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承包人完成工程量清单中每个子目的工程量后，监理人应要求承包人派员共同对每个子目的历次计量报表进行汇总，以核实最终结算工程量。监理人可要求承包人提供补充计量资料，以确定最后一次进度付款的准确工程量。承包人未按监理人要求派员参加的，监理人最终核实的工程量视为承包人完成该子目的准确工程量。</w:t>
      </w:r>
    </w:p>
    <w:p w14:paraId="28CAB35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（6）监理人应在收到承包人提交的工程量报表后的7天内进行复核，监理人未在约定时间内复核的，承包人提交的工程量报表中的工程量视为承包人实际完成的工程量，据此计算工程价款。</w:t>
      </w:r>
    </w:p>
    <w:p w14:paraId="3F378FD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17.1.5 总价子目的计量</w:t>
      </w:r>
    </w:p>
    <w:p w14:paraId="4D556907">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除专用合同条款另有约定外，总价子目的分解和计量按照下述约定进行。</w:t>
      </w:r>
    </w:p>
    <w:p w14:paraId="14992419">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（1）总价子目的计量和支付应以总价为基础，不因第16.1款中的因素而进行调整。承包人实际完成的工程量，是进行工程目标管理和控制进度支付的依据。</w:t>
      </w:r>
    </w:p>
    <w:p w14:paraId="23FE0B37">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2）承包人在合同约定的每个计量周期内，对已完成的工程进行计量，并向监理人提交进度付款申请单、专用合同条款约定的合同总价支付分解表所表示的阶段性或分项计量的支持性资料，以及所达到工程形象目标或分阶段需完成的工程量和有关计量资料。</w:t>
      </w:r>
    </w:p>
    <w:p w14:paraId="076EE7C7">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（3）监理人对承包人提交的上述资料进行复核，以确定分阶段实际完成的工程量和工程形象目标。对其有异议的，可要求承包人按第8.2款约定进行共同复核和抽样复测。</w:t>
      </w:r>
    </w:p>
    <w:p w14:paraId="6225837E">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（4）除按照第15条约定的变更外，总价子目的工程量是承包人用于结算的最终工程量。 </w:t>
      </w:r>
    </w:p>
    <w:p w14:paraId="36C1216A">
      <w:pPr>
        <w:pStyle w:val="299"/>
        <w:spacing w:before="120" w:after="120"/>
        <w:outlineLvl w:val="9"/>
        <w:rPr>
          <w:rFonts w:hint="eastAsia" w:hAnsi="宋体" w:cs="宋体"/>
          <w:color w:val="auto"/>
          <w:sz w:val="24"/>
          <w:szCs w:val="24"/>
          <w:highlight w:val="none"/>
        </w:rPr>
      </w:pPr>
      <w:bookmarkStart w:id="1192" w:name="_Toc401660369"/>
      <w:bookmarkStart w:id="1193" w:name="_Toc338944813"/>
      <w:bookmarkStart w:id="1194" w:name="_Toc342296371"/>
      <w:r>
        <w:rPr>
          <w:rFonts w:hint="eastAsia" w:hAnsi="宋体" w:cs="宋体"/>
          <w:color w:val="auto"/>
          <w:sz w:val="24"/>
          <w:szCs w:val="24"/>
          <w:highlight w:val="none"/>
        </w:rPr>
        <w:t>17.2 预付款</w:t>
      </w:r>
      <w:bookmarkEnd w:id="1192"/>
      <w:bookmarkEnd w:id="1193"/>
      <w:bookmarkEnd w:id="1194"/>
    </w:p>
    <w:p w14:paraId="3D19A25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17.2.1 预付款</w:t>
      </w:r>
    </w:p>
    <w:p w14:paraId="1B093D0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预付款用于承包人为合同工程施工购置材料、工程设备、施工设备、修建临时设施以及组织施工队伍进场等。预付款的额度和预付办法在专用合同条款中约定。预付款必须专用于合同工程。</w:t>
      </w:r>
    </w:p>
    <w:p w14:paraId="25D42F4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17.2.2 预付款保函</w:t>
      </w:r>
    </w:p>
    <w:p w14:paraId="0378BC4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除专用合同条款另有约定外，承包人应在收到预付款的同时向发包人提交预付款保函，预付款保函的担保金额应与预付款金额相同。保函的担保金额可根据预付款扣回的金额相应递减。</w:t>
      </w:r>
    </w:p>
    <w:p w14:paraId="45D1B22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17.2.3 预付款的扣回与还清</w:t>
      </w:r>
    </w:p>
    <w:p w14:paraId="105148E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预付款在进度付款中扣回，扣回办法在专用合同条款中约定。在颁发工程接收证书前，由于不可抗力或其他原因解除合同时，预付款尚未扣清的，尚未扣清的预付款余额应作为承包人的到期应付款。</w:t>
      </w:r>
    </w:p>
    <w:p w14:paraId="4F00FDAE">
      <w:pPr>
        <w:pStyle w:val="299"/>
        <w:spacing w:before="120" w:after="120"/>
        <w:outlineLvl w:val="9"/>
        <w:rPr>
          <w:rFonts w:hint="eastAsia" w:hAnsi="宋体" w:cs="宋体"/>
          <w:color w:val="auto"/>
          <w:sz w:val="24"/>
          <w:szCs w:val="24"/>
          <w:highlight w:val="none"/>
        </w:rPr>
      </w:pPr>
      <w:bookmarkStart w:id="1195" w:name="_Toc338944814"/>
      <w:bookmarkStart w:id="1196" w:name="_Toc401660370"/>
      <w:bookmarkStart w:id="1197" w:name="_Toc342296372"/>
      <w:r>
        <w:rPr>
          <w:rFonts w:hint="eastAsia" w:hAnsi="宋体" w:cs="宋体"/>
          <w:color w:val="auto"/>
          <w:sz w:val="24"/>
          <w:szCs w:val="24"/>
          <w:highlight w:val="none"/>
        </w:rPr>
        <w:t>17.3 工程进度付款</w:t>
      </w:r>
      <w:bookmarkEnd w:id="1195"/>
      <w:bookmarkEnd w:id="1196"/>
      <w:bookmarkEnd w:id="1197"/>
    </w:p>
    <w:p w14:paraId="34BE4DE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17.3.1 付款周期</w:t>
      </w:r>
    </w:p>
    <w:p w14:paraId="71E0074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付款周期同计量周期。</w:t>
      </w:r>
    </w:p>
    <w:p w14:paraId="2002B2E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 进度付款申请单</w:t>
      </w:r>
    </w:p>
    <w:p w14:paraId="4A58C815">
      <w:pPr>
        <w:spacing w:line="400" w:lineRule="exact"/>
        <w:ind w:firstLine="480" w:firstLineChars="200"/>
        <w:rPr>
          <w:rFonts w:hint="eastAsia" w:ascii="宋体" w:hAnsi="宋体" w:cs="宋体"/>
          <w:dstrike/>
          <w:color w:val="auto"/>
          <w:sz w:val="24"/>
          <w:szCs w:val="24"/>
          <w:highlight w:val="none"/>
        </w:rPr>
      </w:pPr>
      <w:r>
        <w:rPr>
          <w:rFonts w:hint="eastAsia" w:ascii="宋体" w:hAnsi="宋体" w:cs="宋体"/>
          <w:color w:val="auto"/>
          <w:sz w:val="24"/>
          <w:szCs w:val="24"/>
          <w:highlight w:val="none"/>
        </w:rPr>
        <w:t>承包人应在每个付款周期末，按监理人批准的格式和专用合同条款约定的份数，向监理人提交进度付款申请单，并附相应的支持性证明文件。除专用合同条款另有约定外，进度付款申请单应包括下列内容：</w:t>
      </w:r>
    </w:p>
    <w:p w14:paraId="787CE11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（1）截至本次付款周期末已实施工程的价款；</w:t>
      </w:r>
    </w:p>
    <w:p w14:paraId="747BCA4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（2）根据第15条应增加和扣减的变更金额；</w:t>
      </w:r>
    </w:p>
    <w:p w14:paraId="73CA0F5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（3）根据第23条应增加和扣减的索赔金额；</w:t>
      </w:r>
    </w:p>
    <w:p w14:paraId="4BFA87F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（4）根据第17.2款约定应支付的预付款和扣减的返还预付款；</w:t>
      </w:r>
    </w:p>
    <w:p w14:paraId="71C036E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（5）根据第17.4.1项约定应扣减的质量保证金；</w:t>
      </w:r>
    </w:p>
    <w:p w14:paraId="1BEAAA2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（6）根据合同应增加和扣减的其他金额。</w:t>
      </w:r>
    </w:p>
    <w:p w14:paraId="24C2F75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17.3.3 进度付款证书和支付时间</w:t>
      </w:r>
    </w:p>
    <w:p w14:paraId="7F444079">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监理人在收到承包人进度付款申请单以及相应的支持性证明文件后的14天内完成核查，提出发包人到期应支付给承包人的金额以及相应的支持性材料，经发包人审查同意后，由监理人向承包人出具经发包人签认的进度付款证书。监理人有权扣发承包人未能按照合同要求履行任何工作或义务的相应金额。</w:t>
      </w:r>
    </w:p>
    <w:p w14:paraId="7E4A321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（2）发包人应在监理人收到进度付款申请单后的28天内，将进度应付款支付给承包人。发包人不按期支付的，按专用合同条款的约定支付逾期付款违约金。</w:t>
      </w:r>
    </w:p>
    <w:p w14:paraId="52B33EF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（3）监理人出具进度付款证书，不应视为监理人已同意、批准或接受了承包人完成的该部分工作。</w:t>
      </w:r>
    </w:p>
    <w:p w14:paraId="33A2539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（4）进度付款涉及政府投资资金的，按照国库集中支付等国家相关规定和专用合同条款的约定办理。</w:t>
      </w:r>
    </w:p>
    <w:p w14:paraId="017228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17.3.4 工程进度付款的修正</w:t>
      </w:r>
    </w:p>
    <w:p w14:paraId="72007F9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在对以往历次已签发的进度付款证书进行汇总和复核中发现错、漏或重复的，监理人有权予以修正，承包人也有权提出修正申请。经双方复核同意的修正，应在本次进度付款中支付或扣除。</w:t>
      </w:r>
    </w:p>
    <w:p w14:paraId="2DA8BDE7">
      <w:pPr>
        <w:pStyle w:val="299"/>
        <w:spacing w:before="120" w:after="120"/>
        <w:outlineLvl w:val="9"/>
        <w:rPr>
          <w:rFonts w:hint="eastAsia" w:hAnsi="宋体" w:cs="宋体"/>
          <w:color w:val="auto"/>
          <w:sz w:val="24"/>
          <w:szCs w:val="24"/>
          <w:highlight w:val="none"/>
        </w:rPr>
      </w:pPr>
      <w:bookmarkStart w:id="1198" w:name="_Toc401660371"/>
      <w:bookmarkStart w:id="1199" w:name="_Toc342296373"/>
      <w:bookmarkStart w:id="1200" w:name="_Toc338944815"/>
      <w:r>
        <w:rPr>
          <w:rFonts w:hint="eastAsia" w:hAnsi="宋体" w:cs="宋体"/>
          <w:color w:val="auto"/>
          <w:sz w:val="24"/>
          <w:szCs w:val="24"/>
          <w:highlight w:val="none"/>
        </w:rPr>
        <w:t>17.4 质量保证金</w:t>
      </w:r>
      <w:bookmarkEnd w:id="1198"/>
      <w:bookmarkEnd w:id="1199"/>
      <w:bookmarkEnd w:id="1200"/>
    </w:p>
    <w:p w14:paraId="78AF988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17.4.1 监理人应从第一个付款周期开始，在发包人的进度付款中，按专用合同条款的约定扣留质量保证金，直至扣留的质量保证金总额达到专用合同条款约定的金额或比例为止。质量保证金的计算额度不包括预付款的支付、扣回以及价格调整的金额。</w:t>
      </w:r>
    </w:p>
    <w:p w14:paraId="6B7914F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17.4.2 在第1.1.4.5目约定的缺陷责任期满时，承包人向发包人申请到期应返还承包人剩余的质量保证金金额，发包人应在14天内会同承包人按照合同约定的内容核实承包人是否完成缺陷责任。如无异议，发包人应当在核实后将剩余保证金返还承包人。</w:t>
      </w:r>
    </w:p>
    <w:p w14:paraId="31B44D6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17.4.3 在第1.1.4.5目约定的缺陷责任期满时，承包人没有完成缺陷责任的，发包人有权扣留与未履行责任剩余工作所需金额相应的质量保证金余额，并有权根据第19.3款约定要求延长缺陷责任期，直至完成剩余工作为止。</w:t>
      </w:r>
    </w:p>
    <w:p w14:paraId="4CF62F92">
      <w:pPr>
        <w:pStyle w:val="299"/>
        <w:spacing w:before="120" w:after="120"/>
        <w:outlineLvl w:val="9"/>
        <w:rPr>
          <w:rFonts w:hint="eastAsia" w:hAnsi="宋体" w:cs="宋体"/>
          <w:color w:val="auto"/>
          <w:sz w:val="24"/>
          <w:szCs w:val="24"/>
          <w:highlight w:val="none"/>
        </w:rPr>
      </w:pPr>
      <w:bookmarkStart w:id="1201" w:name="_Toc338944816"/>
      <w:bookmarkStart w:id="1202" w:name="_Toc401660372"/>
      <w:bookmarkStart w:id="1203" w:name="_Toc342296374"/>
      <w:r>
        <w:rPr>
          <w:rFonts w:hint="eastAsia" w:hAnsi="宋体" w:cs="宋体"/>
          <w:color w:val="auto"/>
          <w:sz w:val="24"/>
          <w:szCs w:val="24"/>
          <w:highlight w:val="none"/>
        </w:rPr>
        <w:t>17.5 竣工结算</w:t>
      </w:r>
      <w:bookmarkEnd w:id="1201"/>
      <w:bookmarkEnd w:id="1202"/>
      <w:bookmarkEnd w:id="1203"/>
    </w:p>
    <w:p w14:paraId="0710028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17.5.1 竣工付款申请单</w:t>
      </w:r>
    </w:p>
    <w:p w14:paraId="72680A84">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工程接收证书颁发后，承包人应按专用合同条款约定的份数和期限向监理人提交竣工付款申请单，并提供相关证明材料。除专用合同条款另有约定外，竣工付款申请单应包括下列内容：竣工结算合同总价、发包人已支付承包人的工程价款、应扣留的质量保证金、应支付的竣工付款金额。</w:t>
      </w:r>
    </w:p>
    <w:p w14:paraId="4341C65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（2）监理人对竣工付款申请单有异议的，有权要求承包人进行修正和提供补充资料。经监理人和承包人协商后，由承包人向监理人提交修正后的竣工付款申请单。</w:t>
      </w:r>
    </w:p>
    <w:p w14:paraId="6CABA32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17.5.2 竣工付款证书及支付时间</w:t>
      </w:r>
    </w:p>
    <w:p w14:paraId="03E684BA">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监理人在收到承包人提交的竣工付款申请单后的14天内完成核查，提出发包人到期应支付给承包人的价款送发包人审核并抄送承包人。发包人应在收到后14天内审核完毕，由监理人向承包人出具经发包人签认的竣工付款证书。监理人未在约定时间内核查，又未提出具体意见的，视为承包人提交的竣工付款申请单已经监理人核查同意；发包人未在约定时间内审核又未提出具体意见的，监理人提出发包人到期应支付给承包人的价款视为已经发包人同意。</w:t>
      </w:r>
    </w:p>
    <w:p w14:paraId="3675457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（2）发包人应在监理人出具竣工付款证书后的14天内，将应支付款支付给承包人。发包人不按期支付的，按第17.3.3（2）目的约定，将逾期付款违约金支付给承包人。</w:t>
      </w:r>
    </w:p>
    <w:p w14:paraId="5898749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（3）承包人对发包人签认的竣工付款证书有异议的，发包人可出具竣工付款申请单中承包人已同意部分的临时付款证书。存在争议的部分，按第24条的约定办理。</w:t>
      </w:r>
    </w:p>
    <w:p w14:paraId="6552DF38">
      <w:pPr>
        <w:spacing w:line="400" w:lineRule="exact"/>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（4）竣工付款涉及政府投资资金的，按第17.3.3（４）目的约定办理。</w:t>
      </w:r>
    </w:p>
    <w:p w14:paraId="488AD08D">
      <w:pPr>
        <w:pStyle w:val="299"/>
        <w:spacing w:before="120" w:after="120"/>
        <w:outlineLvl w:val="9"/>
        <w:rPr>
          <w:rFonts w:hint="eastAsia" w:hAnsi="宋体" w:cs="宋体"/>
          <w:color w:val="auto"/>
          <w:sz w:val="24"/>
          <w:szCs w:val="24"/>
          <w:highlight w:val="none"/>
        </w:rPr>
      </w:pPr>
      <w:bookmarkStart w:id="1204" w:name="_Toc401660373"/>
      <w:bookmarkStart w:id="1205" w:name="_Toc338944817"/>
      <w:bookmarkStart w:id="1206" w:name="_Toc342296375"/>
      <w:r>
        <w:rPr>
          <w:rFonts w:hint="eastAsia" w:hAnsi="宋体" w:cs="宋体"/>
          <w:color w:val="auto"/>
          <w:sz w:val="24"/>
          <w:szCs w:val="24"/>
          <w:highlight w:val="none"/>
        </w:rPr>
        <w:t>17.6 最终结清</w:t>
      </w:r>
      <w:bookmarkEnd w:id="1204"/>
      <w:bookmarkEnd w:id="1205"/>
      <w:bookmarkEnd w:id="1206"/>
    </w:p>
    <w:p w14:paraId="5840C47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17.6.1 最终结清申请单</w:t>
      </w:r>
    </w:p>
    <w:p w14:paraId="0E04FDC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（1）缺陷责任期终止证书签发后，承包人可按专用合同条款约定的份数和期限向监理人提交最终结清申请单，并提供相关证明材料。</w:t>
      </w:r>
    </w:p>
    <w:p w14:paraId="41F2DAA4">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（2）发包人对最终结清申请单内容有异议的，有权要求承包人进行修正和提供补充资料，由承包人向监理人提交修正后的最终结清申请单。</w:t>
      </w:r>
    </w:p>
    <w:p w14:paraId="04A05EF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17.6.2 最终结清证书和支付时间</w:t>
      </w:r>
    </w:p>
    <w:p w14:paraId="4A90579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监理人收到承包人提交的最终结清申请单后的14天内，提出发包人应支付给承包人的价款送发包人审核并抄送承包人。发包人应在收到后14天内审核完毕，由监理人向承包人出具经发包人签认的最终结清证书。监理人未在约定时间内核查，又未提出具体意见的，视为承包人提交的最终结清申请已经监理人核查同意；发包人未在约定时间内审核又未提出具体意见的，监理人提出应支付给承包人的价款视为已经发包人同意。</w:t>
      </w:r>
    </w:p>
    <w:p w14:paraId="6EE7C6B4">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（2）发包人应在监理人出具最终结清证书后的14天内，将应支付款支付给承包人。发包人不按期支付的，按第17.3.3（2）目的约定，将逾期付款违约金支付给承包人。</w:t>
      </w:r>
    </w:p>
    <w:p w14:paraId="6B4F9F35">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（3）承包人对发包人签认的最终结清证书有异议的，按第24条的约定办理。</w:t>
      </w:r>
    </w:p>
    <w:p w14:paraId="610865A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（4）最终结清付款涉及政府投资资金的，按第17.3.3（４）目的约定办理。</w:t>
      </w:r>
    </w:p>
    <w:p w14:paraId="7438E2AA">
      <w:pPr>
        <w:pStyle w:val="296"/>
        <w:spacing w:before="120" w:after="120"/>
        <w:outlineLvl w:val="9"/>
        <w:rPr>
          <w:rFonts w:hint="eastAsia" w:hAnsi="宋体"/>
          <w:color w:val="auto"/>
          <w:sz w:val="24"/>
          <w:szCs w:val="24"/>
          <w:highlight w:val="none"/>
        </w:rPr>
      </w:pPr>
      <w:bookmarkStart w:id="1207" w:name="_Toc338944818"/>
      <w:bookmarkStart w:id="1208" w:name="_Toc401660374"/>
      <w:bookmarkStart w:id="1209" w:name="_Toc342296376"/>
      <w:r>
        <w:rPr>
          <w:rFonts w:hint="eastAsia" w:hAnsi="宋体"/>
          <w:color w:val="auto"/>
          <w:sz w:val="24"/>
          <w:szCs w:val="24"/>
          <w:highlight w:val="none"/>
        </w:rPr>
        <w:t>18. 竣工验收</w:t>
      </w:r>
      <w:bookmarkEnd w:id="1207"/>
      <w:bookmarkEnd w:id="1208"/>
      <w:bookmarkEnd w:id="1209"/>
    </w:p>
    <w:p w14:paraId="27191ACE">
      <w:pPr>
        <w:pStyle w:val="299"/>
        <w:spacing w:before="120" w:after="120"/>
        <w:outlineLvl w:val="9"/>
        <w:rPr>
          <w:rFonts w:hint="eastAsia" w:hAnsi="宋体" w:cs="宋体"/>
          <w:color w:val="auto"/>
          <w:sz w:val="24"/>
          <w:szCs w:val="24"/>
          <w:highlight w:val="none"/>
        </w:rPr>
      </w:pPr>
      <w:bookmarkStart w:id="1210" w:name="_Toc152045726"/>
      <w:bookmarkStart w:id="1211" w:name="_Toc338944819"/>
      <w:bookmarkStart w:id="1212" w:name="_Toc144974697"/>
      <w:bookmarkStart w:id="1213" w:name="_Toc179632744"/>
      <w:bookmarkStart w:id="1214" w:name="_Toc342296377"/>
      <w:bookmarkStart w:id="1215" w:name="_Toc152042505"/>
      <w:bookmarkStart w:id="1216" w:name="_Toc401660375"/>
      <w:r>
        <w:rPr>
          <w:rFonts w:hint="eastAsia" w:hAnsi="宋体" w:cs="宋体"/>
          <w:color w:val="auto"/>
          <w:sz w:val="24"/>
          <w:szCs w:val="24"/>
          <w:highlight w:val="none"/>
        </w:rPr>
        <w:t>18.1 竣工验收的含义</w:t>
      </w:r>
      <w:bookmarkEnd w:id="1210"/>
      <w:bookmarkEnd w:id="1211"/>
      <w:bookmarkEnd w:id="1212"/>
      <w:bookmarkEnd w:id="1213"/>
      <w:bookmarkEnd w:id="1214"/>
      <w:bookmarkEnd w:id="1215"/>
      <w:bookmarkEnd w:id="1216"/>
    </w:p>
    <w:p w14:paraId="685926C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18.1.1 竣工验收指承包人完成了全部合同工作后，发包人按合同要求进行的验收。</w:t>
      </w:r>
    </w:p>
    <w:p w14:paraId="5439A9B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18.1.2 国家验收是政府有关部门根据法律、规范、规程和政策要求，针对发包人全面组织实施的整个工程正式交付投运前的验收。</w:t>
      </w:r>
    </w:p>
    <w:p w14:paraId="6E4481C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18.1.3 需要进行国家验收的，竣工验收是国家验收的一部分。竣工验收所采用的各项验收和评定标准应符合国家验收标准。发包人和承包人为竣工验收提供的各项竣工验收资料应符合国家验收的要求。</w:t>
      </w:r>
    </w:p>
    <w:p w14:paraId="1D0FBC3E">
      <w:pPr>
        <w:pStyle w:val="299"/>
        <w:spacing w:before="120" w:after="120"/>
        <w:outlineLvl w:val="9"/>
        <w:rPr>
          <w:rFonts w:hint="eastAsia" w:hAnsi="宋体" w:cs="宋体"/>
          <w:color w:val="auto"/>
          <w:sz w:val="24"/>
          <w:szCs w:val="24"/>
          <w:highlight w:val="none"/>
        </w:rPr>
      </w:pPr>
      <w:bookmarkStart w:id="1217" w:name="_Toc338944820"/>
      <w:bookmarkStart w:id="1218" w:name="_Toc342296378"/>
      <w:bookmarkStart w:id="1219" w:name="_Toc401660376"/>
      <w:r>
        <w:rPr>
          <w:rFonts w:hint="eastAsia" w:hAnsi="宋体" w:cs="宋体"/>
          <w:color w:val="auto"/>
          <w:sz w:val="24"/>
          <w:szCs w:val="24"/>
          <w:highlight w:val="none"/>
        </w:rPr>
        <w:t>18.2 竣工验收申请报告</w:t>
      </w:r>
      <w:bookmarkEnd w:id="1217"/>
      <w:bookmarkEnd w:id="1218"/>
      <w:bookmarkEnd w:id="1219"/>
    </w:p>
    <w:p w14:paraId="25F398A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当工程具备以下条件时，承包人即可向监理人报送竣工验收申请报告：</w:t>
      </w:r>
    </w:p>
    <w:p w14:paraId="7BE79E13">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（1）除监理人同意列入缺陷责任期内完成的尾工（甩项）工程和缺陷修补工作外，合同范围内的全部单位工程以及有关工作，包括合同要求的试验、试运行以及检验和验收均已完成，并符合合同要求；</w:t>
      </w:r>
    </w:p>
    <w:p w14:paraId="0C4371BA">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（2）已按合同约定的内容和份数备齐了符合要求的竣工资料；</w:t>
      </w:r>
    </w:p>
    <w:p w14:paraId="724591C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（3）已按监理人的要求编制了在缺陷责任期内完成的尾工（甩项）工程和缺陷修补工作清单以及相应施工计划；</w:t>
      </w:r>
    </w:p>
    <w:p w14:paraId="4EF70B6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（4）监理人要求在竣工验收前应完成的其他工作；</w:t>
      </w:r>
    </w:p>
    <w:p w14:paraId="34EE6A78">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（5）监理人要求提交的竣工验收资料清单。</w:t>
      </w:r>
    </w:p>
    <w:p w14:paraId="6ABCB198">
      <w:pPr>
        <w:pStyle w:val="299"/>
        <w:spacing w:before="120" w:after="120"/>
        <w:outlineLvl w:val="9"/>
        <w:rPr>
          <w:rFonts w:hint="eastAsia" w:hAnsi="宋体" w:cs="宋体"/>
          <w:color w:val="auto"/>
          <w:sz w:val="24"/>
          <w:szCs w:val="24"/>
          <w:highlight w:val="none"/>
        </w:rPr>
      </w:pPr>
      <w:bookmarkStart w:id="1220" w:name="_Toc401660377"/>
      <w:bookmarkStart w:id="1221" w:name="_Toc342296379"/>
      <w:bookmarkStart w:id="1222" w:name="_Toc338944821"/>
      <w:r>
        <w:rPr>
          <w:rFonts w:hint="eastAsia" w:hAnsi="宋体" w:cs="宋体"/>
          <w:color w:val="auto"/>
          <w:sz w:val="24"/>
          <w:szCs w:val="24"/>
          <w:highlight w:val="none"/>
        </w:rPr>
        <w:t>18.3 验收</w:t>
      </w:r>
      <w:bookmarkEnd w:id="1220"/>
      <w:bookmarkEnd w:id="1221"/>
      <w:bookmarkEnd w:id="1222"/>
    </w:p>
    <w:p w14:paraId="1A1E928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监理人收到承包人按第18.2款约定提交的竣工验收申请报告后，应审查申请报告的各项内容，并按以下不同情况进行处理。</w:t>
      </w:r>
    </w:p>
    <w:p w14:paraId="18C21F0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18.3.1 监理人审查后认为尚不具备竣工验收条件的，应在收到竣工验收申请报告后的28天内通知承包人，指出在颁发接收证书前承包人还需进行的工作内容。承包人完成监理人通知的全部工作内容后，应再次提交竣工验收申请报告，直至监理人同意为止。</w:t>
      </w:r>
    </w:p>
    <w:p w14:paraId="5BD98CF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18.3.2 监理人审查后认为已具备竣工验收条件的，应在收到竣工验收申请报告后的28天内提请发包人进行工程验收。</w:t>
      </w:r>
    </w:p>
    <w:p w14:paraId="1E2D7E8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18.3.3发包人经过验收后同意接受工程的，应在监理人收到竣工验收申请报告后的56天内，由监理人向承包人出具经发包人签认的工程接收证书。发包人验收后同意接收工程但提出整修和完善要求的，限期修好，并缓发工程接收证书。整修和完善工作完成后，监理人复查达到要求的，经发包人同意后，再向承包人出具工程接收证书。</w:t>
      </w:r>
    </w:p>
    <w:p w14:paraId="1C2BC6A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18.3.4 发包人验收后不同意接收工程的，监理人应按照发包人的验收意见发出指示，要求承包人对不合格工程认真返工重作或进行补救处理，并承担由此产生的费用。承包人在完成不合格工程的返工重作或补救工作后，应重新提交竣工验收申请报告，按第18.3.1项、第18.3.2项和第18.3.3项的约定进行。</w:t>
      </w:r>
    </w:p>
    <w:p w14:paraId="006C5A7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18.3.5 除专用合同条款另有约定外，经验收合格工程的实际竣工日期，以提交竣工验收申请报告的日期为准，并在工程接收证书中写明。</w:t>
      </w:r>
    </w:p>
    <w:p w14:paraId="7BDB99D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18.3.6 发包人在收到承包人竣工验收申请报告56天后未进行验收的，视为验收合格，实际竣工日期以提交竣工验收申请报告的日期为准，但发包人由于不可抗力不能进行验收的除外。</w:t>
      </w:r>
    </w:p>
    <w:p w14:paraId="305B7A80">
      <w:pPr>
        <w:pStyle w:val="299"/>
        <w:spacing w:before="120" w:after="120"/>
        <w:outlineLvl w:val="9"/>
        <w:rPr>
          <w:rFonts w:hint="eastAsia" w:hAnsi="宋体" w:cs="宋体"/>
          <w:color w:val="auto"/>
          <w:sz w:val="24"/>
          <w:szCs w:val="24"/>
          <w:highlight w:val="none"/>
        </w:rPr>
      </w:pPr>
      <w:bookmarkStart w:id="1223" w:name="_Toc144974700"/>
      <w:bookmarkStart w:id="1224" w:name="_Toc179632747"/>
      <w:bookmarkStart w:id="1225" w:name="_Toc152045729"/>
      <w:bookmarkStart w:id="1226" w:name="_Toc401660378"/>
      <w:bookmarkStart w:id="1227" w:name="_Toc338944822"/>
      <w:bookmarkStart w:id="1228" w:name="_Toc152042508"/>
      <w:bookmarkStart w:id="1229" w:name="_Toc342296380"/>
      <w:r>
        <w:rPr>
          <w:rFonts w:hint="eastAsia" w:hAnsi="宋体" w:cs="宋体"/>
          <w:color w:val="auto"/>
          <w:sz w:val="24"/>
          <w:szCs w:val="24"/>
          <w:highlight w:val="none"/>
        </w:rPr>
        <w:t>18.4 单位工程验收</w:t>
      </w:r>
      <w:bookmarkEnd w:id="1223"/>
      <w:bookmarkEnd w:id="1224"/>
      <w:bookmarkEnd w:id="1225"/>
      <w:bookmarkEnd w:id="1226"/>
      <w:bookmarkEnd w:id="1227"/>
      <w:bookmarkEnd w:id="1228"/>
      <w:bookmarkEnd w:id="1229"/>
    </w:p>
    <w:p w14:paraId="16C20AE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18.4.1 发包人根据合同进度计划安排，在全部工程竣工前需要使用已经竣工的单位工程时，或承包人提出经发包人同意时，可进行单位工程验收。验收的程序可参照第18.2款与第18.3款的约定进行。验收合格后，由监理人向承包人出具经发包人签认的单位工程验收证书。已签发单位工程接收证书的单位工程由发包人负责照管。单位工程的验收成果和结论作为全部工程竣工验收申请报告的附件。</w:t>
      </w:r>
    </w:p>
    <w:p w14:paraId="536F5F8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18.4.2 发包人在全部工程竣工前，使用已接收的单位工程导致承包人费用增加的，发包人应承担由此增加的费用和（或）工期延误，并支付承包人合理利润。</w:t>
      </w:r>
    </w:p>
    <w:p w14:paraId="4FDC9FE3">
      <w:pPr>
        <w:pStyle w:val="299"/>
        <w:spacing w:before="120" w:after="120"/>
        <w:outlineLvl w:val="9"/>
        <w:rPr>
          <w:rFonts w:hint="eastAsia" w:hAnsi="宋体" w:cs="宋体"/>
          <w:color w:val="auto"/>
          <w:sz w:val="24"/>
          <w:szCs w:val="24"/>
          <w:highlight w:val="none"/>
        </w:rPr>
      </w:pPr>
      <w:bookmarkStart w:id="1230" w:name="_Toc338944823"/>
      <w:bookmarkStart w:id="1231" w:name="_Toc342296381"/>
      <w:bookmarkStart w:id="1232" w:name="_Toc401660379"/>
      <w:r>
        <w:rPr>
          <w:rFonts w:hint="eastAsia" w:hAnsi="宋体" w:cs="宋体"/>
          <w:color w:val="auto"/>
          <w:sz w:val="24"/>
          <w:szCs w:val="24"/>
          <w:highlight w:val="none"/>
        </w:rPr>
        <w:t>18.5 施工期运行</w:t>
      </w:r>
      <w:bookmarkEnd w:id="1230"/>
      <w:bookmarkEnd w:id="1231"/>
      <w:bookmarkEnd w:id="1232"/>
    </w:p>
    <w:p w14:paraId="47A99F3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18.5.1 施工期运行是指合同工程尚未全部竣工，其中某项或某几项单位工程或工程设备安装已竣工，根据专用合同条款约定，需要投入施工期运行的，经发包人按第18.4款的约定验收合格，证明能确保安全后，才能在施工期投入运行。</w:t>
      </w:r>
    </w:p>
    <w:p w14:paraId="6FBB10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18.5.2 在施工期运行中发现工程或工程设备损坏或存在缺陷的，由承包人按第19.2款约定进行修复。</w:t>
      </w:r>
    </w:p>
    <w:p w14:paraId="579F56DD">
      <w:pPr>
        <w:pStyle w:val="299"/>
        <w:spacing w:before="120" w:after="120"/>
        <w:outlineLvl w:val="9"/>
        <w:rPr>
          <w:rFonts w:hint="eastAsia" w:hAnsi="宋体" w:cs="宋体"/>
          <w:color w:val="auto"/>
          <w:sz w:val="24"/>
          <w:szCs w:val="24"/>
          <w:highlight w:val="none"/>
        </w:rPr>
      </w:pPr>
      <w:bookmarkStart w:id="1233" w:name="_Toc342296382"/>
      <w:bookmarkStart w:id="1234" w:name="_Toc338944824"/>
      <w:bookmarkStart w:id="1235" w:name="_Toc401660380"/>
      <w:r>
        <w:rPr>
          <w:rFonts w:hint="eastAsia" w:hAnsi="宋体" w:cs="宋体"/>
          <w:color w:val="auto"/>
          <w:sz w:val="24"/>
          <w:szCs w:val="24"/>
          <w:highlight w:val="none"/>
        </w:rPr>
        <w:t>18.6 试运行</w:t>
      </w:r>
      <w:bookmarkEnd w:id="1233"/>
      <w:bookmarkEnd w:id="1234"/>
      <w:bookmarkEnd w:id="1235"/>
    </w:p>
    <w:p w14:paraId="1148472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18.6.1 除专用合同条款另有约定外，承包人应按专用合同条款约定进行工程及工程设备试运行，负责提供试运行所需的人员、器材和必要的条件，并承担全部试运行费用。</w:t>
      </w:r>
    </w:p>
    <w:p w14:paraId="17A816E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18.6.2 由于承包人的原因导致试运行失败的，承包人应采取措施保证试运行合格，并承担相应费用。由于发包人的原因导致试运行失败的，承包人应当采取措施保证试运行合格，发包人应承担由此产生的费用，并支付承包人合理利润。</w:t>
      </w:r>
    </w:p>
    <w:p w14:paraId="76E3844C">
      <w:pPr>
        <w:pStyle w:val="299"/>
        <w:spacing w:before="120" w:after="120"/>
        <w:outlineLvl w:val="9"/>
        <w:rPr>
          <w:rFonts w:hint="eastAsia" w:hAnsi="宋体" w:cs="宋体"/>
          <w:color w:val="auto"/>
          <w:sz w:val="24"/>
          <w:szCs w:val="24"/>
          <w:highlight w:val="none"/>
        </w:rPr>
      </w:pPr>
      <w:bookmarkStart w:id="1236" w:name="_Toc338944825"/>
      <w:bookmarkStart w:id="1237" w:name="_Toc342296383"/>
      <w:bookmarkStart w:id="1238" w:name="_Toc401660381"/>
      <w:r>
        <w:rPr>
          <w:rFonts w:hint="eastAsia" w:hAnsi="宋体" w:cs="宋体"/>
          <w:color w:val="auto"/>
          <w:sz w:val="24"/>
          <w:szCs w:val="24"/>
          <w:highlight w:val="none"/>
        </w:rPr>
        <w:t>18.7 竣工清场</w:t>
      </w:r>
      <w:bookmarkEnd w:id="1236"/>
      <w:bookmarkEnd w:id="1237"/>
      <w:bookmarkEnd w:id="1238"/>
    </w:p>
    <w:p w14:paraId="2990718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18.7.1 除合同另有约定外，工程接收证书颁发后，承包人应按以下要求对施工场地进行清理，直至监理人检验合格为止。竣工清场费用由承包人承担。</w:t>
      </w:r>
    </w:p>
    <w:p w14:paraId="660E297F">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（1）施工场地内残留的垃圾已全部清除出场；</w:t>
      </w:r>
    </w:p>
    <w:p w14:paraId="4219113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（2）临时工程已拆除，场地已按合同要求进行清理、平整或复原；</w:t>
      </w:r>
    </w:p>
    <w:p w14:paraId="1314E06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（3）按合同约定应撤离的承包人设备和剩余的材料，包括废弃的施工设备和材料，已按计划撤离施工场地；</w:t>
      </w:r>
    </w:p>
    <w:p w14:paraId="064EE5EF">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（4）工程建筑物周边及其附近道路、河道的施工堆积物，已按监理人指示全部清理；</w:t>
      </w:r>
    </w:p>
    <w:p w14:paraId="70BC08C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（5）监理人指示的其他场地清理工作已全部完成。</w:t>
      </w:r>
    </w:p>
    <w:p w14:paraId="5E71548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18.7.2 承包人未按监理人的要求恢复临时占地，或者场地清理未达到合同约定的，发包人有权委托其他人恢复或清理，所发生的金额从拟支付给承包人的款项中扣除。</w:t>
      </w:r>
    </w:p>
    <w:p w14:paraId="7A9855F2">
      <w:pPr>
        <w:pStyle w:val="299"/>
        <w:spacing w:before="120" w:after="120"/>
        <w:outlineLvl w:val="9"/>
        <w:rPr>
          <w:rFonts w:hint="eastAsia" w:hAnsi="宋体" w:cs="宋体"/>
          <w:color w:val="auto"/>
          <w:sz w:val="24"/>
          <w:szCs w:val="24"/>
          <w:highlight w:val="none"/>
        </w:rPr>
      </w:pPr>
      <w:bookmarkStart w:id="1239" w:name="_Toc338944826"/>
      <w:bookmarkStart w:id="1240" w:name="_Toc342296384"/>
      <w:bookmarkStart w:id="1241" w:name="_Toc401660382"/>
      <w:r>
        <w:rPr>
          <w:rFonts w:hint="eastAsia" w:hAnsi="宋体" w:cs="宋体"/>
          <w:color w:val="auto"/>
          <w:sz w:val="24"/>
          <w:szCs w:val="24"/>
          <w:highlight w:val="none"/>
        </w:rPr>
        <w:t>18.8 施工队伍的撤离</w:t>
      </w:r>
      <w:bookmarkEnd w:id="1239"/>
      <w:bookmarkEnd w:id="1240"/>
      <w:bookmarkEnd w:id="1241"/>
    </w:p>
    <w:p w14:paraId="1CDD01E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接收证书颁发后的56天内，除了经监理人同意需在缺陷责任期内继续工作和使用的人员、施工设备和临时工程外，其余的人员、施工设备和临时工程均应撤离施工场地或拆除。除合同另有约定外，缺陷责任期满时，承包人的人员和施工设备应全部撤离施工场地。</w:t>
      </w:r>
    </w:p>
    <w:p w14:paraId="02D8BF39">
      <w:pPr>
        <w:pStyle w:val="296"/>
        <w:spacing w:before="120" w:after="120"/>
        <w:outlineLvl w:val="9"/>
        <w:rPr>
          <w:rFonts w:hint="eastAsia" w:hAnsi="宋体"/>
          <w:color w:val="auto"/>
          <w:sz w:val="24"/>
          <w:szCs w:val="24"/>
          <w:highlight w:val="none"/>
        </w:rPr>
      </w:pPr>
      <w:bookmarkStart w:id="1242" w:name="_Toc401660383"/>
      <w:bookmarkStart w:id="1243" w:name="_Toc338944827"/>
      <w:bookmarkStart w:id="1244" w:name="_Toc342296385"/>
      <w:r>
        <w:rPr>
          <w:rFonts w:hint="eastAsia" w:hAnsi="宋体"/>
          <w:color w:val="auto"/>
          <w:sz w:val="24"/>
          <w:szCs w:val="24"/>
          <w:highlight w:val="none"/>
        </w:rPr>
        <w:t>19. 缺陷责任与保修责任</w:t>
      </w:r>
      <w:bookmarkEnd w:id="1242"/>
      <w:bookmarkEnd w:id="1243"/>
      <w:bookmarkEnd w:id="1244"/>
    </w:p>
    <w:p w14:paraId="14DD9909">
      <w:pPr>
        <w:pStyle w:val="299"/>
        <w:spacing w:before="120" w:after="120"/>
        <w:outlineLvl w:val="9"/>
        <w:rPr>
          <w:rFonts w:hint="eastAsia" w:hAnsi="宋体" w:cs="宋体"/>
          <w:color w:val="auto"/>
          <w:sz w:val="24"/>
          <w:szCs w:val="24"/>
          <w:highlight w:val="none"/>
        </w:rPr>
      </w:pPr>
      <w:bookmarkStart w:id="1245" w:name="_Toc338944828"/>
      <w:bookmarkStart w:id="1246" w:name="_Toc342296386"/>
      <w:bookmarkStart w:id="1247" w:name="_Toc401660384"/>
      <w:bookmarkStart w:id="1248" w:name="_Toc152042514"/>
      <w:bookmarkStart w:id="1249" w:name="_Toc179632753"/>
      <w:bookmarkStart w:id="1250" w:name="_Toc144974706"/>
      <w:bookmarkStart w:id="1251" w:name="_Toc152045735"/>
      <w:r>
        <w:rPr>
          <w:rFonts w:hint="eastAsia" w:hAnsi="宋体" w:cs="宋体"/>
          <w:color w:val="auto"/>
          <w:sz w:val="24"/>
          <w:szCs w:val="24"/>
          <w:highlight w:val="none"/>
        </w:rPr>
        <w:t>19.1 缺陷责任期的起算时间</w:t>
      </w:r>
      <w:bookmarkEnd w:id="1245"/>
      <w:bookmarkEnd w:id="1246"/>
      <w:bookmarkEnd w:id="1247"/>
      <w:bookmarkEnd w:id="1248"/>
      <w:bookmarkEnd w:id="1249"/>
      <w:bookmarkEnd w:id="1250"/>
      <w:bookmarkEnd w:id="1251"/>
    </w:p>
    <w:p w14:paraId="5FD8333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缺陷责任期自实际竣工日期起计算。在全部工程竣工验收前，已经发包人提前验收的单位工程，其缺陷责任期的起算日期相应提前。</w:t>
      </w:r>
    </w:p>
    <w:p w14:paraId="51809323">
      <w:pPr>
        <w:pStyle w:val="299"/>
        <w:spacing w:before="120" w:after="120"/>
        <w:outlineLvl w:val="9"/>
        <w:rPr>
          <w:rFonts w:hint="eastAsia" w:hAnsi="宋体" w:cs="宋体"/>
          <w:color w:val="auto"/>
          <w:sz w:val="24"/>
          <w:szCs w:val="24"/>
          <w:highlight w:val="none"/>
        </w:rPr>
      </w:pPr>
      <w:bookmarkStart w:id="1252" w:name="_Toc152042515"/>
      <w:bookmarkStart w:id="1253" w:name="_Toc342296387"/>
      <w:bookmarkStart w:id="1254" w:name="_Toc179632754"/>
      <w:bookmarkStart w:id="1255" w:name="_Toc152045736"/>
      <w:bookmarkStart w:id="1256" w:name="_Toc144974707"/>
      <w:bookmarkStart w:id="1257" w:name="_Toc401660385"/>
      <w:bookmarkStart w:id="1258" w:name="_Toc338944829"/>
      <w:r>
        <w:rPr>
          <w:rFonts w:hint="eastAsia" w:hAnsi="宋体" w:cs="宋体"/>
          <w:color w:val="auto"/>
          <w:sz w:val="24"/>
          <w:szCs w:val="24"/>
          <w:highlight w:val="none"/>
        </w:rPr>
        <w:t>19.2 缺陷责任</w:t>
      </w:r>
      <w:bookmarkEnd w:id="1252"/>
      <w:bookmarkEnd w:id="1253"/>
      <w:bookmarkEnd w:id="1254"/>
      <w:bookmarkEnd w:id="1255"/>
      <w:bookmarkEnd w:id="1256"/>
      <w:bookmarkEnd w:id="1257"/>
      <w:bookmarkEnd w:id="1258"/>
    </w:p>
    <w:p w14:paraId="5CACA50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19.2.1 承包人应在缺陷责任期内对已交付使用的工程承担缺陷责任。</w:t>
      </w:r>
    </w:p>
    <w:p w14:paraId="12142A8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19.2.2 缺陷责任期内，发包人对已接收使用的工程负责日常维护工作。发包人在使用过程中，发现已接收的工程存在新的缺陷或已修复的缺陷部位或部件又遭损坏的，承包人应负责修复，直至检验合格为止。</w:t>
      </w:r>
    </w:p>
    <w:p w14:paraId="00667B5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19.2.3 监理人和承包人应共同查清缺陷和（或）损坏的原因。经查明属承包人原因造成的，应由承包人承担修复和查验的费用。经查验属发包人原因造成的，发包人应承担修复和查验的费用，并支付承包人合理利润。</w:t>
      </w:r>
    </w:p>
    <w:p w14:paraId="3D0251F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19.2.4 承包人不能在合理时间内修复缺陷的，发包人可自行修复或委托其他人修复，所需费用和利润的承担，按第19.2.3项约定办理。</w:t>
      </w:r>
    </w:p>
    <w:p w14:paraId="3B4BB3F0">
      <w:pPr>
        <w:pStyle w:val="299"/>
        <w:spacing w:before="120" w:after="120"/>
        <w:outlineLvl w:val="9"/>
        <w:rPr>
          <w:rFonts w:hint="eastAsia" w:hAnsi="宋体" w:cs="宋体"/>
          <w:color w:val="auto"/>
          <w:sz w:val="24"/>
          <w:szCs w:val="24"/>
          <w:highlight w:val="none"/>
        </w:rPr>
      </w:pPr>
      <w:bookmarkStart w:id="1259" w:name="_Toc152045737"/>
      <w:bookmarkStart w:id="1260" w:name="_Toc338944830"/>
      <w:bookmarkStart w:id="1261" w:name="_Toc179632755"/>
      <w:bookmarkStart w:id="1262" w:name="_Toc152042516"/>
      <w:bookmarkStart w:id="1263" w:name="_Toc401660386"/>
      <w:bookmarkStart w:id="1264" w:name="_Toc342296388"/>
      <w:bookmarkStart w:id="1265" w:name="_Toc144974708"/>
      <w:r>
        <w:rPr>
          <w:rFonts w:hint="eastAsia" w:hAnsi="宋体" w:cs="宋体"/>
          <w:color w:val="auto"/>
          <w:sz w:val="24"/>
          <w:szCs w:val="24"/>
          <w:highlight w:val="none"/>
        </w:rPr>
        <w:t>19.3 缺陷责任期的延长</w:t>
      </w:r>
      <w:bookmarkEnd w:id="1259"/>
      <w:bookmarkEnd w:id="1260"/>
      <w:bookmarkEnd w:id="1261"/>
      <w:bookmarkEnd w:id="1262"/>
      <w:bookmarkEnd w:id="1263"/>
      <w:bookmarkEnd w:id="1264"/>
      <w:bookmarkEnd w:id="1265"/>
    </w:p>
    <w:p w14:paraId="3875F06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由于承包人原因造成某项缺陷或损坏使某项工程或工程设备不能按原定目标使用而需要再次检查、检验和修复的，发包人有权要求承包人相应延长缺陷责任期，但缺陷责任期最长不超过2年。</w:t>
      </w:r>
    </w:p>
    <w:p w14:paraId="4224AEA1">
      <w:pPr>
        <w:pStyle w:val="299"/>
        <w:spacing w:before="120" w:after="120"/>
        <w:outlineLvl w:val="9"/>
        <w:rPr>
          <w:rFonts w:hint="eastAsia" w:hAnsi="宋体" w:cs="宋体"/>
          <w:color w:val="auto"/>
          <w:sz w:val="24"/>
          <w:szCs w:val="24"/>
          <w:highlight w:val="none"/>
        </w:rPr>
      </w:pPr>
      <w:bookmarkStart w:id="1266" w:name="_Toc338944831"/>
      <w:bookmarkStart w:id="1267" w:name="_Toc152045738"/>
      <w:bookmarkStart w:id="1268" w:name="_Toc401660387"/>
      <w:bookmarkStart w:id="1269" w:name="_Toc179632756"/>
      <w:bookmarkStart w:id="1270" w:name="_Toc144974709"/>
      <w:bookmarkStart w:id="1271" w:name="_Toc152042517"/>
      <w:bookmarkStart w:id="1272" w:name="_Toc342296389"/>
      <w:r>
        <w:rPr>
          <w:rFonts w:hint="eastAsia" w:hAnsi="宋体" w:cs="宋体"/>
          <w:color w:val="auto"/>
          <w:sz w:val="24"/>
          <w:szCs w:val="24"/>
          <w:highlight w:val="none"/>
        </w:rPr>
        <w:t>19.4 进一步试验和试运行</w:t>
      </w:r>
      <w:bookmarkEnd w:id="1266"/>
      <w:bookmarkEnd w:id="1267"/>
      <w:bookmarkEnd w:id="1268"/>
      <w:bookmarkEnd w:id="1269"/>
      <w:bookmarkEnd w:id="1270"/>
      <w:bookmarkEnd w:id="1271"/>
      <w:bookmarkEnd w:id="1272"/>
    </w:p>
    <w:p w14:paraId="13D60F7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任何一项缺陷或损坏修复后，经检查证明其影响了工程或工程设备的使用性能，承包人应重新进行合同约定的试验和试运行，试验和试运行的全部费用应由责任方承担。</w:t>
      </w:r>
    </w:p>
    <w:p w14:paraId="399F57FC">
      <w:pPr>
        <w:pStyle w:val="299"/>
        <w:spacing w:before="120" w:after="120"/>
        <w:outlineLvl w:val="9"/>
        <w:rPr>
          <w:rFonts w:hint="eastAsia" w:hAnsi="宋体" w:cs="宋体"/>
          <w:color w:val="auto"/>
          <w:sz w:val="24"/>
          <w:szCs w:val="24"/>
          <w:highlight w:val="none"/>
        </w:rPr>
      </w:pPr>
      <w:bookmarkStart w:id="1273" w:name="_Toc144974710"/>
      <w:bookmarkStart w:id="1274" w:name="_Toc179632757"/>
      <w:bookmarkStart w:id="1275" w:name="_Toc401660388"/>
      <w:bookmarkStart w:id="1276" w:name="_Toc152042518"/>
      <w:bookmarkStart w:id="1277" w:name="_Toc338944832"/>
      <w:bookmarkStart w:id="1278" w:name="_Toc152045739"/>
      <w:bookmarkStart w:id="1279" w:name="_Toc342296390"/>
      <w:r>
        <w:rPr>
          <w:rFonts w:hint="eastAsia" w:hAnsi="宋体" w:cs="宋体"/>
          <w:color w:val="auto"/>
          <w:sz w:val="24"/>
          <w:szCs w:val="24"/>
          <w:highlight w:val="none"/>
        </w:rPr>
        <w:t>19.5 承包人的进入权</w:t>
      </w:r>
      <w:bookmarkEnd w:id="1273"/>
      <w:bookmarkEnd w:id="1274"/>
      <w:bookmarkEnd w:id="1275"/>
      <w:bookmarkEnd w:id="1276"/>
      <w:bookmarkEnd w:id="1277"/>
      <w:bookmarkEnd w:id="1278"/>
      <w:bookmarkEnd w:id="1279"/>
    </w:p>
    <w:p w14:paraId="608AA0F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缺陷责任期内承包人为缺陷修复工作需要，有权进入工程现场，但应遵守发包人的保安和保密规定。</w:t>
      </w:r>
    </w:p>
    <w:p w14:paraId="24FB7E90">
      <w:pPr>
        <w:pStyle w:val="299"/>
        <w:spacing w:before="120" w:after="120"/>
        <w:outlineLvl w:val="9"/>
        <w:rPr>
          <w:rFonts w:hint="eastAsia" w:hAnsi="宋体" w:cs="宋体"/>
          <w:color w:val="auto"/>
          <w:sz w:val="24"/>
          <w:szCs w:val="24"/>
          <w:highlight w:val="none"/>
        </w:rPr>
      </w:pPr>
      <w:bookmarkStart w:id="1280" w:name="_Toc338944833"/>
      <w:bookmarkStart w:id="1281" w:name="_Toc152042519"/>
      <w:bookmarkStart w:id="1282" w:name="_Toc401660389"/>
      <w:bookmarkStart w:id="1283" w:name="_Toc144974711"/>
      <w:bookmarkStart w:id="1284" w:name="_Toc342296391"/>
      <w:bookmarkStart w:id="1285" w:name="_Toc152045740"/>
      <w:bookmarkStart w:id="1286" w:name="_Toc179632758"/>
      <w:r>
        <w:rPr>
          <w:rFonts w:hint="eastAsia" w:hAnsi="宋体" w:cs="宋体"/>
          <w:color w:val="auto"/>
          <w:sz w:val="24"/>
          <w:szCs w:val="24"/>
          <w:highlight w:val="none"/>
        </w:rPr>
        <w:t>19.6 缺陷责任期终止证书</w:t>
      </w:r>
      <w:bookmarkEnd w:id="1280"/>
      <w:bookmarkEnd w:id="1281"/>
      <w:bookmarkEnd w:id="1282"/>
      <w:bookmarkEnd w:id="1283"/>
      <w:bookmarkEnd w:id="1284"/>
      <w:bookmarkEnd w:id="1285"/>
      <w:bookmarkEnd w:id="1286"/>
    </w:p>
    <w:p w14:paraId="1FB60EF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在第1.1.4.5目约定的缺陷责任期，包括根据第19.3款延长的期限终止后14天内，由监理人向承包人出具经发包人签认的缺陷责任期终止证书，并退还剩余的质量保证金。</w:t>
      </w:r>
    </w:p>
    <w:p w14:paraId="17169F04">
      <w:pPr>
        <w:pStyle w:val="299"/>
        <w:spacing w:before="120" w:after="120"/>
        <w:outlineLvl w:val="9"/>
        <w:rPr>
          <w:rFonts w:hint="eastAsia" w:hAnsi="宋体" w:cs="宋体"/>
          <w:color w:val="auto"/>
          <w:sz w:val="24"/>
          <w:szCs w:val="24"/>
          <w:highlight w:val="none"/>
        </w:rPr>
      </w:pPr>
      <w:bookmarkStart w:id="1287" w:name="_Toc342296392"/>
      <w:bookmarkStart w:id="1288" w:name="_Toc401660390"/>
      <w:bookmarkStart w:id="1289" w:name="_Toc338944834"/>
      <w:r>
        <w:rPr>
          <w:rFonts w:hint="eastAsia" w:hAnsi="宋体" w:cs="宋体"/>
          <w:color w:val="auto"/>
          <w:sz w:val="24"/>
          <w:szCs w:val="24"/>
          <w:highlight w:val="none"/>
        </w:rPr>
        <w:t>19.7 保修责任</w:t>
      </w:r>
      <w:bookmarkEnd w:id="1287"/>
      <w:bookmarkEnd w:id="1288"/>
      <w:bookmarkEnd w:id="1289"/>
    </w:p>
    <w:p w14:paraId="3951917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合同当事人根据有关法律规定，在专用合同条款中约定工程质量保修范围、期限和责任。保修期自实际竣工日期起计算。在全部工程竣工验收前，已经发包人提前验收的单位工程，其保修期的起算日期相应提前。</w:t>
      </w:r>
    </w:p>
    <w:p w14:paraId="75BBBF50">
      <w:pPr>
        <w:pStyle w:val="296"/>
        <w:spacing w:before="120" w:after="120"/>
        <w:outlineLvl w:val="9"/>
        <w:rPr>
          <w:rFonts w:hint="eastAsia" w:hAnsi="宋体"/>
          <w:color w:val="auto"/>
          <w:sz w:val="24"/>
          <w:szCs w:val="24"/>
          <w:highlight w:val="none"/>
        </w:rPr>
      </w:pPr>
      <w:bookmarkStart w:id="1290" w:name="_Toc401660391"/>
      <w:bookmarkStart w:id="1291" w:name="_Toc338944835"/>
      <w:bookmarkStart w:id="1292" w:name="_Toc342296393"/>
      <w:r>
        <w:rPr>
          <w:rFonts w:hint="eastAsia" w:hAnsi="宋体"/>
          <w:color w:val="auto"/>
          <w:sz w:val="24"/>
          <w:szCs w:val="24"/>
          <w:highlight w:val="none"/>
        </w:rPr>
        <w:t>20. 保险</w:t>
      </w:r>
      <w:bookmarkEnd w:id="1290"/>
      <w:bookmarkEnd w:id="1291"/>
      <w:bookmarkEnd w:id="1292"/>
    </w:p>
    <w:p w14:paraId="374DF8BF">
      <w:pPr>
        <w:pStyle w:val="299"/>
        <w:spacing w:before="120" w:after="120"/>
        <w:outlineLvl w:val="9"/>
        <w:rPr>
          <w:rFonts w:hint="eastAsia" w:hAnsi="宋体" w:cs="宋体"/>
          <w:color w:val="auto"/>
          <w:sz w:val="24"/>
          <w:szCs w:val="24"/>
          <w:highlight w:val="none"/>
        </w:rPr>
      </w:pPr>
      <w:bookmarkStart w:id="1293" w:name="_Toc338944836"/>
      <w:bookmarkStart w:id="1294" w:name="_Toc401660392"/>
      <w:bookmarkStart w:id="1295" w:name="_Toc342296394"/>
      <w:r>
        <w:rPr>
          <w:rFonts w:hint="eastAsia" w:hAnsi="宋体" w:cs="宋体"/>
          <w:color w:val="auto"/>
          <w:sz w:val="24"/>
          <w:szCs w:val="24"/>
          <w:highlight w:val="none"/>
        </w:rPr>
        <w:t>20.1 工程保险</w:t>
      </w:r>
      <w:bookmarkEnd w:id="1293"/>
      <w:bookmarkEnd w:id="1294"/>
      <w:bookmarkEnd w:id="1295"/>
    </w:p>
    <w:p w14:paraId="1ADD84F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应以发包人和承包人的共同名义向双方同意的保险人投保建筑工程一切险、安装工程一切险。其具体的投保内容、保险金额、保险费率、保险期限等有关内容在专用合同条款中约定。</w:t>
      </w:r>
    </w:p>
    <w:p w14:paraId="2BB5B315">
      <w:pPr>
        <w:pStyle w:val="299"/>
        <w:spacing w:before="120" w:after="120"/>
        <w:outlineLvl w:val="9"/>
        <w:rPr>
          <w:rFonts w:hint="eastAsia" w:hAnsi="宋体" w:cs="宋体"/>
          <w:color w:val="auto"/>
          <w:sz w:val="24"/>
          <w:szCs w:val="24"/>
          <w:highlight w:val="none"/>
        </w:rPr>
      </w:pPr>
      <w:bookmarkStart w:id="1296" w:name="_Toc342296395"/>
      <w:bookmarkStart w:id="1297" w:name="_Toc338944837"/>
      <w:bookmarkStart w:id="1298" w:name="_Toc401660393"/>
      <w:r>
        <w:rPr>
          <w:rFonts w:hint="eastAsia" w:hAnsi="宋体" w:cs="宋体"/>
          <w:color w:val="auto"/>
          <w:sz w:val="24"/>
          <w:szCs w:val="24"/>
          <w:highlight w:val="none"/>
        </w:rPr>
        <w:t>20.2 人员工伤事故的保险</w:t>
      </w:r>
      <w:bookmarkEnd w:id="1296"/>
      <w:bookmarkEnd w:id="1297"/>
      <w:bookmarkEnd w:id="1298"/>
    </w:p>
    <w:p w14:paraId="48B0220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20.2.1 承包人员工伤事故的保险</w:t>
      </w:r>
    </w:p>
    <w:p w14:paraId="4AF7E91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承包人应依照有关法律规定参加工伤保险，为其履行合同所雇佣的全部人员，缴纳工伤保险费，并要求其分包人也进行此项保险。</w:t>
      </w:r>
    </w:p>
    <w:p w14:paraId="106FF969">
      <w:pPr>
        <w:pStyle w:val="299"/>
        <w:spacing w:before="120" w:after="120"/>
        <w:outlineLvl w:val="9"/>
        <w:rPr>
          <w:rFonts w:hint="eastAsia" w:hAnsi="宋体" w:cs="宋体"/>
          <w:color w:val="auto"/>
          <w:sz w:val="24"/>
          <w:szCs w:val="24"/>
          <w:highlight w:val="none"/>
        </w:rPr>
      </w:pPr>
      <w:bookmarkStart w:id="1299" w:name="_Toc342296396"/>
      <w:bookmarkStart w:id="1300" w:name="_Toc152042524"/>
      <w:bookmarkStart w:id="1301" w:name="_Toc144974716"/>
      <w:bookmarkStart w:id="1302" w:name="_Toc152045745"/>
      <w:bookmarkStart w:id="1303" w:name="_Toc338944838"/>
      <w:bookmarkStart w:id="1304" w:name="_Toc401660394"/>
      <w:bookmarkStart w:id="1305" w:name="_Toc179632763"/>
      <w:r>
        <w:rPr>
          <w:rFonts w:hint="eastAsia" w:hAnsi="宋体" w:cs="宋体"/>
          <w:color w:val="auto"/>
          <w:sz w:val="24"/>
          <w:szCs w:val="24"/>
          <w:highlight w:val="none"/>
        </w:rPr>
        <w:t>20.3 人身意外伤害险</w:t>
      </w:r>
      <w:bookmarkEnd w:id="1299"/>
      <w:bookmarkEnd w:id="1300"/>
      <w:bookmarkEnd w:id="1301"/>
      <w:bookmarkEnd w:id="1302"/>
      <w:bookmarkEnd w:id="1303"/>
      <w:bookmarkEnd w:id="1304"/>
      <w:bookmarkEnd w:id="1305"/>
    </w:p>
    <w:p w14:paraId="5D819A6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20.3.</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 xml:space="preserve"> 承包人应在整个施工期间为其现场机构雇用的全部人员，投保人身意外伤害险，缴纳保险费，并要求其分包人也进行此项保险。</w:t>
      </w:r>
    </w:p>
    <w:p w14:paraId="4C48B097">
      <w:pPr>
        <w:pStyle w:val="299"/>
        <w:spacing w:before="120" w:after="120"/>
        <w:outlineLvl w:val="9"/>
        <w:rPr>
          <w:rFonts w:hint="eastAsia" w:hAnsi="宋体" w:cs="宋体"/>
          <w:color w:val="auto"/>
          <w:sz w:val="24"/>
          <w:szCs w:val="24"/>
          <w:highlight w:val="none"/>
        </w:rPr>
      </w:pPr>
      <w:bookmarkStart w:id="1306" w:name="_Toc401660395"/>
      <w:bookmarkStart w:id="1307" w:name="_Toc342296397"/>
      <w:bookmarkStart w:id="1308" w:name="_Toc338944839"/>
      <w:r>
        <w:rPr>
          <w:rFonts w:hint="eastAsia" w:hAnsi="宋体" w:cs="宋体"/>
          <w:color w:val="auto"/>
          <w:sz w:val="24"/>
          <w:szCs w:val="24"/>
          <w:highlight w:val="none"/>
        </w:rPr>
        <w:t>20.4 第三者责任险</w:t>
      </w:r>
      <w:bookmarkEnd w:id="1306"/>
      <w:bookmarkEnd w:id="1307"/>
      <w:bookmarkEnd w:id="1308"/>
    </w:p>
    <w:p w14:paraId="6BDD916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20.4.1 第三者责任系指在保险期内，对因工程意外事故造成的、依法应由被保险人负责的工地上及毗邻地区的第三者人身伤亡、疾病或财产损失（本工程除外），以及被保险人因此而支付的诉讼费用和事先经保险人书面同意支付的其他费用等赔偿责任。</w:t>
      </w:r>
    </w:p>
    <w:p w14:paraId="4DCCAA6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20.4.2 在缺陷责任期终止证书颁发前，承包人应以承包人和发包人的共同名义，投保第20.4.1项约定的第三者责任险，其保险费率、保险金额等有关内容在专用合同条款中约定。</w:t>
      </w:r>
    </w:p>
    <w:p w14:paraId="1127CFE9">
      <w:pPr>
        <w:pStyle w:val="299"/>
        <w:spacing w:before="120" w:after="120"/>
        <w:outlineLvl w:val="9"/>
        <w:rPr>
          <w:rFonts w:hint="eastAsia" w:hAnsi="宋体" w:cs="宋体"/>
          <w:color w:val="auto"/>
          <w:sz w:val="24"/>
          <w:szCs w:val="24"/>
          <w:highlight w:val="none"/>
        </w:rPr>
      </w:pPr>
      <w:bookmarkStart w:id="1309" w:name="_Toc338944840"/>
      <w:bookmarkStart w:id="1310" w:name="_Toc342296398"/>
      <w:bookmarkStart w:id="1311" w:name="_Toc401660396"/>
      <w:r>
        <w:rPr>
          <w:rFonts w:hint="eastAsia" w:hAnsi="宋体" w:cs="宋体"/>
          <w:color w:val="auto"/>
          <w:sz w:val="24"/>
          <w:szCs w:val="24"/>
          <w:highlight w:val="none"/>
        </w:rPr>
        <w:t>20.5 其他保险</w:t>
      </w:r>
      <w:bookmarkEnd w:id="1309"/>
      <w:bookmarkEnd w:id="1310"/>
      <w:bookmarkEnd w:id="1311"/>
    </w:p>
    <w:p w14:paraId="445728E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除专用合同条款另有约定外，承包人应为其施工设备、进场的材料和工程设备等办理保险。</w:t>
      </w:r>
    </w:p>
    <w:p w14:paraId="554FC909">
      <w:pPr>
        <w:pStyle w:val="299"/>
        <w:spacing w:before="120" w:after="120"/>
        <w:outlineLvl w:val="9"/>
        <w:rPr>
          <w:rFonts w:hint="eastAsia" w:hAnsi="宋体" w:cs="宋体"/>
          <w:color w:val="auto"/>
          <w:sz w:val="24"/>
          <w:szCs w:val="24"/>
          <w:highlight w:val="none"/>
        </w:rPr>
      </w:pPr>
      <w:bookmarkStart w:id="1312" w:name="_Toc338944841"/>
      <w:bookmarkStart w:id="1313" w:name="_Toc401660397"/>
      <w:bookmarkStart w:id="1314" w:name="_Toc342296399"/>
      <w:r>
        <w:rPr>
          <w:rFonts w:hint="eastAsia" w:hAnsi="宋体" w:cs="宋体"/>
          <w:color w:val="auto"/>
          <w:sz w:val="24"/>
          <w:szCs w:val="24"/>
          <w:highlight w:val="none"/>
        </w:rPr>
        <w:t>20.6 对各项保险的一般要求</w:t>
      </w:r>
      <w:bookmarkEnd w:id="1312"/>
      <w:bookmarkEnd w:id="1313"/>
      <w:bookmarkEnd w:id="1314"/>
    </w:p>
    <w:p w14:paraId="5466A5E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20.6.1 保险凭证</w:t>
      </w:r>
    </w:p>
    <w:p w14:paraId="0C9B06A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承包人应在专用合同条款约定的期限内向发包人提交各项保险生效的证据和保险单副本，保险单必须与专用合同条款约定的条件保持一致。</w:t>
      </w:r>
    </w:p>
    <w:p w14:paraId="2829710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20.6.2 保险合同条款的变动</w:t>
      </w:r>
    </w:p>
    <w:p w14:paraId="4125FF7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承包人需要变动保险合同条款时，应事先征得发包人同意，并通知监理人。保险人作出变动的，承包人应在收到保险人通知后立即通知发包人和监理人。</w:t>
      </w:r>
    </w:p>
    <w:p w14:paraId="53B653A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20.6.3 持续保险</w:t>
      </w:r>
    </w:p>
    <w:p w14:paraId="36A4BC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承包人应与保险人保持联系，使保险人能够随时了解工程实施中的变动，并确保按保险合同条款要求持续保险。</w:t>
      </w:r>
    </w:p>
    <w:p w14:paraId="7E3A4FD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20.6.4 保险金不足的补偿</w:t>
      </w:r>
    </w:p>
    <w:p w14:paraId="385C497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保险金不足以补偿损失的，应由承包人和（或）发包人按合同约定负责补偿。</w:t>
      </w:r>
    </w:p>
    <w:p w14:paraId="73407FB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20.6.5 未按约定投保的补救</w:t>
      </w:r>
    </w:p>
    <w:p w14:paraId="1D1DED5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（1）由于负有投保义务的一方当事人未按合同约定办理保险，或未能使保险持续有效的，另一方当事人可代为办理，所需费用由对方当事人承担。</w:t>
      </w:r>
    </w:p>
    <w:p w14:paraId="05C982E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（2）由于负有投保义务的一方当事人未按合同约定办理某项保险，导致受益人未能得到保险人的赔偿，原应从该项保险得到的保险金应由负有投保义务的一方当事人支付。</w:t>
      </w:r>
    </w:p>
    <w:p w14:paraId="6E294C2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20.6.6 报告义务</w:t>
      </w:r>
    </w:p>
    <w:p w14:paraId="7AA6825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当保险事故发生时，投保人应按照保险单规定的条件和期限及时向保险人报告。</w:t>
      </w:r>
    </w:p>
    <w:p w14:paraId="66B7642B">
      <w:pPr>
        <w:pStyle w:val="296"/>
        <w:spacing w:before="120" w:after="120"/>
        <w:outlineLvl w:val="9"/>
        <w:rPr>
          <w:rFonts w:hint="eastAsia" w:hAnsi="宋体"/>
          <w:color w:val="auto"/>
          <w:sz w:val="24"/>
          <w:szCs w:val="24"/>
          <w:highlight w:val="none"/>
        </w:rPr>
      </w:pPr>
      <w:bookmarkStart w:id="1315" w:name="_Toc401660398"/>
      <w:bookmarkStart w:id="1316" w:name="_Toc338944842"/>
      <w:bookmarkStart w:id="1317" w:name="_Toc342296400"/>
      <w:r>
        <w:rPr>
          <w:rFonts w:hint="eastAsia" w:hAnsi="宋体"/>
          <w:color w:val="auto"/>
          <w:sz w:val="24"/>
          <w:szCs w:val="24"/>
          <w:highlight w:val="none"/>
        </w:rPr>
        <w:t>21. 不可抗力</w:t>
      </w:r>
      <w:bookmarkEnd w:id="1315"/>
      <w:bookmarkEnd w:id="1316"/>
      <w:bookmarkEnd w:id="1317"/>
    </w:p>
    <w:p w14:paraId="449FBE23">
      <w:pPr>
        <w:pStyle w:val="299"/>
        <w:spacing w:before="120" w:after="120"/>
        <w:outlineLvl w:val="9"/>
        <w:rPr>
          <w:rFonts w:hint="eastAsia" w:hAnsi="宋体" w:cs="宋体"/>
          <w:color w:val="auto"/>
          <w:sz w:val="24"/>
          <w:szCs w:val="24"/>
          <w:highlight w:val="none"/>
        </w:rPr>
      </w:pPr>
      <w:bookmarkStart w:id="1318" w:name="_Toc401660399"/>
      <w:bookmarkStart w:id="1319" w:name="_Toc342296401"/>
      <w:bookmarkStart w:id="1320" w:name="_Toc338944843"/>
      <w:r>
        <w:rPr>
          <w:rFonts w:hint="eastAsia" w:hAnsi="宋体" w:cs="宋体"/>
          <w:color w:val="auto"/>
          <w:sz w:val="24"/>
          <w:szCs w:val="24"/>
          <w:highlight w:val="none"/>
        </w:rPr>
        <w:t>21.1 不可抗力的确认</w:t>
      </w:r>
      <w:bookmarkEnd w:id="1318"/>
      <w:bookmarkEnd w:id="1319"/>
      <w:bookmarkEnd w:id="1320"/>
    </w:p>
    <w:p w14:paraId="0976BD7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21.1.1 不可抗力是指承包人和发包人在订立合同时不可预见，在工程施工过程中不可避免发生并不能克服的自然灾害和社会性突发事件，如地震、海啸、瘟疫、水灾、骚乱、暴动、战争和专用合同条款约定的其他情形。</w:t>
      </w:r>
    </w:p>
    <w:p w14:paraId="530463C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21.1.2 不可抗力发生后，发包人和承包人应及时认真统计所造成的损失，收集不可抗力造成损失的证据。合同双方对是否属于不可抗力或其损失的意见不一致的，由监理人按第3.5款商定或确定。发生争议时，按第24条的约定办理。</w:t>
      </w:r>
    </w:p>
    <w:p w14:paraId="21BE2B99">
      <w:pPr>
        <w:pStyle w:val="299"/>
        <w:spacing w:before="120" w:after="120"/>
        <w:outlineLvl w:val="9"/>
        <w:rPr>
          <w:rFonts w:hint="eastAsia" w:hAnsi="宋体" w:cs="宋体"/>
          <w:color w:val="auto"/>
          <w:sz w:val="24"/>
          <w:szCs w:val="24"/>
          <w:highlight w:val="none"/>
        </w:rPr>
      </w:pPr>
      <w:bookmarkStart w:id="1321" w:name="_Toc401660400"/>
      <w:bookmarkStart w:id="1322" w:name="_Toc338944844"/>
      <w:bookmarkStart w:id="1323" w:name="_Toc152042530"/>
      <w:bookmarkStart w:id="1324" w:name="_Toc342296402"/>
      <w:bookmarkStart w:id="1325" w:name="_Toc152045751"/>
      <w:bookmarkStart w:id="1326" w:name="_Toc144974722"/>
      <w:bookmarkStart w:id="1327" w:name="_Toc179632769"/>
      <w:r>
        <w:rPr>
          <w:rFonts w:hint="eastAsia" w:hAnsi="宋体" w:cs="宋体"/>
          <w:color w:val="auto"/>
          <w:sz w:val="24"/>
          <w:szCs w:val="24"/>
          <w:highlight w:val="none"/>
        </w:rPr>
        <w:t>21.2 不可抗力的通知</w:t>
      </w:r>
      <w:bookmarkEnd w:id="1321"/>
      <w:bookmarkEnd w:id="1322"/>
      <w:bookmarkEnd w:id="1323"/>
      <w:bookmarkEnd w:id="1324"/>
      <w:bookmarkEnd w:id="1325"/>
      <w:bookmarkEnd w:id="1326"/>
      <w:bookmarkEnd w:id="1327"/>
    </w:p>
    <w:p w14:paraId="613CE16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21.2.1 合同一方当事人遇到不可抗力事件，使其履行合同义务受到阻碍时，应立即通知合同另一方当事人和监理人，书面说明不可抗力和受阻碍的详细情况，并提供必要的证明。</w:t>
      </w:r>
    </w:p>
    <w:p w14:paraId="07F6EF0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21.2.2 如不可抗力持续发生，合同一方当事人应及时向合同另一方当事人和监理人提交中间报告，说明不可抗力和履行合同受阻的情况，并于不可抗力事件结束后28天内提交最终报告及有关资料。</w:t>
      </w:r>
    </w:p>
    <w:p w14:paraId="7C8DF477">
      <w:pPr>
        <w:pStyle w:val="299"/>
        <w:spacing w:before="120" w:after="120"/>
        <w:outlineLvl w:val="9"/>
        <w:rPr>
          <w:rFonts w:hint="eastAsia" w:hAnsi="宋体" w:cs="宋体"/>
          <w:color w:val="auto"/>
          <w:sz w:val="24"/>
          <w:szCs w:val="24"/>
          <w:highlight w:val="none"/>
        </w:rPr>
      </w:pPr>
      <w:bookmarkStart w:id="1328" w:name="_Toc338944845"/>
      <w:bookmarkStart w:id="1329" w:name="_Toc401660401"/>
      <w:bookmarkStart w:id="1330" w:name="_Toc342296403"/>
      <w:r>
        <w:rPr>
          <w:rFonts w:hint="eastAsia" w:hAnsi="宋体" w:cs="宋体"/>
          <w:color w:val="auto"/>
          <w:sz w:val="24"/>
          <w:szCs w:val="24"/>
          <w:highlight w:val="none"/>
        </w:rPr>
        <w:t>21.3 不可抗力后果及其处理</w:t>
      </w:r>
      <w:bookmarkEnd w:id="1328"/>
      <w:bookmarkEnd w:id="1329"/>
      <w:bookmarkEnd w:id="1330"/>
    </w:p>
    <w:p w14:paraId="20A0A7B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21.3.1 不可抗力造成损害的责任</w:t>
      </w:r>
    </w:p>
    <w:p w14:paraId="2B5914D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除专用合同条款另有约定外，不可抗力导致的人员伤亡、财产损失、费用增加和（或）工期延误等后果，由合同双方按以下原则承担：</w:t>
      </w:r>
    </w:p>
    <w:p w14:paraId="6A074CF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（1）永久工程，包括已运至施工场地的材料和工程设备的损害，以及因工程损害造成的第三者人员伤亡和财产损失由发包人承担；</w:t>
      </w:r>
    </w:p>
    <w:p w14:paraId="219CB34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（2）承包人设备的损坏由承包人承担；</w:t>
      </w:r>
    </w:p>
    <w:p w14:paraId="1BD7759B">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（3）发包人和承包人各自承担其人员伤亡和其他财产损失及其相关费用；</w:t>
      </w:r>
    </w:p>
    <w:p w14:paraId="775DEF8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（4）承包人的停工损失由承包人承担，但停工期间应监理人要求照管工程和清理、修复工程的金额由发包人承担；</w:t>
      </w:r>
    </w:p>
    <w:p w14:paraId="36784DD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（5）不能按期竣工的，应合理延长工期，承包人不需支付逾期竣工违约金。发包人要求赶工的，承包人应采取赶工措施，赶工费用由发包人承担。</w:t>
      </w:r>
    </w:p>
    <w:p w14:paraId="099CCCA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21.3.2 延迟履行期间发生的不可抗力</w:t>
      </w:r>
    </w:p>
    <w:p w14:paraId="51BEA72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合同一方当事人延迟履行，在延迟履行期间发生不可抗力的，不免除其责任。</w:t>
      </w:r>
    </w:p>
    <w:p w14:paraId="12F8F10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21.3.3 避免和减少不可抗力损失</w:t>
      </w:r>
    </w:p>
    <w:p w14:paraId="3016F32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不可抗力发生后，发包人和承包人均应采取措施尽量避免和减少损失的扩大，任何一方没有采取有效措施导致损失扩大的，应对扩大的损失承担责任。</w:t>
      </w:r>
    </w:p>
    <w:p w14:paraId="4D026B8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21.3.4 因不可抗力解除合同</w:t>
      </w:r>
    </w:p>
    <w:p w14:paraId="77A4334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合同一方当事人因不可抗力不能履行合同的，应当及时通知对方解除合同。合同解除后，承包人应按照第22.2.5项约定撤离施工场地。已经订货的材料、设备由订货方负责退货或解除订货合同，不能退还的货款和因退货、解除订货合同发生的费用，由发包人承担，因未及时退货造成的损失由责任方承担。合同解除后的付款，参照第22.2.4项约定，由监理人按第3.5款商定或确定。</w:t>
      </w:r>
    </w:p>
    <w:p w14:paraId="12846245">
      <w:pPr>
        <w:pStyle w:val="296"/>
        <w:spacing w:before="120" w:after="120"/>
        <w:outlineLvl w:val="9"/>
        <w:rPr>
          <w:rFonts w:hint="eastAsia" w:hAnsi="宋体"/>
          <w:color w:val="auto"/>
          <w:sz w:val="24"/>
          <w:szCs w:val="24"/>
          <w:highlight w:val="none"/>
        </w:rPr>
      </w:pPr>
      <w:bookmarkStart w:id="1331" w:name="_Toc342296404"/>
      <w:bookmarkStart w:id="1332" w:name="_Toc179632771"/>
      <w:bookmarkStart w:id="1333" w:name="_Toc152045753"/>
      <w:bookmarkStart w:id="1334" w:name="_Toc401660402"/>
      <w:bookmarkStart w:id="1335" w:name="_Toc338944846"/>
      <w:bookmarkStart w:id="1336" w:name="_Toc144974724"/>
      <w:bookmarkStart w:id="1337" w:name="_Toc152042532"/>
      <w:r>
        <w:rPr>
          <w:rFonts w:hint="eastAsia" w:hAnsi="宋体"/>
          <w:color w:val="auto"/>
          <w:sz w:val="24"/>
          <w:szCs w:val="24"/>
          <w:highlight w:val="none"/>
        </w:rPr>
        <w:t>22. 违约</w:t>
      </w:r>
      <w:bookmarkEnd w:id="1331"/>
      <w:bookmarkEnd w:id="1332"/>
      <w:bookmarkEnd w:id="1333"/>
      <w:bookmarkEnd w:id="1334"/>
      <w:bookmarkEnd w:id="1335"/>
      <w:bookmarkEnd w:id="1336"/>
      <w:bookmarkEnd w:id="1337"/>
    </w:p>
    <w:p w14:paraId="12D5A83B">
      <w:pPr>
        <w:pStyle w:val="299"/>
        <w:spacing w:before="120" w:after="120"/>
        <w:outlineLvl w:val="9"/>
        <w:rPr>
          <w:rFonts w:hint="eastAsia" w:hAnsi="宋体" w:cs="宋体"/>
          <w:color w:val="auto"/>
          <w:sz w:val="24"/>
          <w:szCs w:val="24"/>
          <w:highlight w:val="none"/>
        </w:rPr>
      </w:pPr>
      <w:bookmarkStart w:id="1338" w:name="_Toc179632772"/>
      <w:bookmarkStart w:id="1339" w:name="_Toc401660403"/>
      <w:bookmarkStart w:id="1340" w:name="_Toc144974725"/>
      <w:bookmarkStart w:id="1341" w:name="_Toc152045754"/>
      <w:bookmarkStart w:id="1342" w:name="_Toc338944847"/>
      <w:bookmarkStart w:id="1343" w:name="_Toc152042533"/>
      <w:bookmarkStart w:id="1344" w:name="_Toc342296405"/>
      <w:r>
        <w:rPr>
          <w:rFonts w:hint="eastAsia" w:hAnsi="宋体" w:cs="宋体"/>
          <w:color w:val="auto"/>
          <w:sz w:val="24"/>
          <w:szCs w:val="24"/>
          <w:highlight w:val="none"/>
        </w:rPr>
        <w:t>22.1 承包人违约</w:t>
      </w:r>
      <w:bookmarkEnd w:id="1338"/>
      <w:bookmarkEnd w:id="1339"/>
      <w:bookmarkEnd w:id="1340"/>
      <w:bookmarkEnd w:id="1341"/>
      <w:bookmarkEnd w:id="1342"/>
      <w:bookmarkEnd w:id="1343"/>
      <w:bookmarkEnd w:id="1344"/>
    </w:p>
    <w:p w14:paraId="1E1EAE1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22.1.1 承包人违约的情形</w:t>
      </w:r>
    </w:p>
    <w:p w14:paraId="50AE2F47">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在履行合同过程中发生的下列情况属承包人违约：</w:t>
      </w:r>
    </w:p>
    <w:p w14:paraId="097EB1B5">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（1）承包人违反第1.8款或第4.3款的约定，私自将合同的全部或部分权利转让给其他人，或私自将合同的全部或部分义务转移给其他人；</w:t>
      </w:r>
    </w:p>
    <w:p w14:paraId="759EC1A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（2）承包人违反第5.3款或第6.4款的约定，未经监理人批准，私自将已按合同约定进入施工场地的施工设备、临时设施或材料撤离施工场地；</w:t>
      </w:r>
    </w:p>
    <w:p w14:paraId="07C6763B">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（3）承包人违反第5.4款的约定使用了不合格材料或工程设备，工程质量达不到标准要求，又拒绝清除不合格工程；</w:t>
      </w:r>
    </w:p>
    <w:p w14:paraId="7F1FD9B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（4）承包人未能按合同进度计划及时完成合同约定的工作，已造成或预期造成工期延误；</w:t>
      </w:r>
    </w:p>
    <w:p w14:paraId="1C19C96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（5）承包人在缺陷责任期内，未能对工程接收证书所列的缺陷清单的内容或缺陷责任期内发生的缺陷进行修复，而又拒绝按监理人指示再进行修补；</w:t>
      </w:r>
    </w:p>
    <w:p w14:paraId="674C7E9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（6）承包人无法继续履行或明确表示不履行或实质上已停止履行合同；</w:t>
      </w:r>
    </w:p>
    <w:p w14:paraId="3DF2C3F9">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（7）承包人不按合同约定履行义务的其他情况。</w:t>
      </w:r>
    </w:p>
    <w:p w14:paraId="637701C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22.1.2 对承包人违约的处理</w:t>
      </w:r>
    </w:p>
    <w:p w14:paraId="7170A3E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（1）承包人发生第22.1.1（6）目约定的违约情况时，发包人可通知承包人立即解除合同，并按有关法律处理。</w:t>
      </w:r>
    </w:p>
    <w:p w14:paraId="45AAA5F0">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（2）承包人发生除第22.1.1（6）目约定以外的其他违约情况时，监理人可向承包人发出整改通知，要求其在指定的期限内改正。承包人应承担其违约所引起的费用增加和（或）工期延误。</w:t>
      </w:r>
    </w:p>
    <w:p w14:paraId="105AF2E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（3）经检查证明承包人已采取了有效措施纠正违约行为，具备复工条件的，可由监理人签发复工通知复工。</w:t>
      </w:r>
    </w:p>
    <w:p w14:paraId="751AC75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22.1.3 承包人违约解除合同</w:t>
      </w:r>
    </w:p>
    <w:p w14:paraId="572A4A2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发出整改通知28天后，承包人仍不纠正违约行为的，发包人可向承包人发出解除合同通知。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p w14:paraId="5955F26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22.1.4 合同解除后的估价、付款和结清</w:t>
      </w:r>
    </w:p>
    <w:p w14:paraId="1F60E86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（1）合同解除后，监理人按第3.5款商定或确定承包人实际完成工作的价值，以及承包人已提供的材料、施工设备、工程设备和临时工程等的价值。</w:t>
      </w:r>
    </w:p>
    <w:p w14:paraId="02936A1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（2）合同解除后，发包人应暂停对承包人的一切付款，查清各项付款和已扣款金额，包括承包人应支付的违约金。</w:t>
      </w:r>
    </w:p>
    <w:p w14:paraId="6F166DC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（3）合同解除后，发包人应按第23.4款的约定向承包人索赔由于解除合同给发包人造成的损失。</w:t>
      </w:r>
    </w:p>
    <w:p w14:paraId="49CB33BC">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（4）合同双方确认上述往来款项后，出具最终结清付款证书，结清全部合同款项。</w:t>
      </w:r>
    </w:p>
    <w:p w14:paraId="03C865E5">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（5）发包人和承包人未能就解除合同后的结清达成一致而形成争议的，按第24条的约定办理。</w:t>
      </w:r>
    </w:p>
    <w:p w14:paraId="608FC38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22.1.5 协议利益的转让</w:t>
      </w:r>
    </w:p>
    <w:p w14:paraId="454C92F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因承包人违约解除合同的，发包人有权要求承包人将其为实施合同而签订的材料和设备的订货协议或任何服务协议利益转让给发包人，并在解除合同后的14天内，依法办理转让手续。</w:t>
      </w:r>
    </w:p>
    <w:p w14:paraId="09BCEAC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22.1.6 紧急情况下无能力或不愿进行抢救</w:t>
      </w:r>
    </w:p>
    <w:p w14:paraId="73AF0622">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工程实施期间或缺陷责任期内发生危及工程安全的事件，监理人通知承包人进行抢救，承包人声明无能力或不愿立即执行的，发包人有权雇佣其他人员进行抢救。此类抢救按合同约定属于承包人义务的，由此发生的金额和（或）工期延误由承包人承担。</w:t>
      </w:r>
    </w:p>
    <w:p w14:paraId="4C2D10CE">
      <w:pPr>
        <w:pStyle w:val="299"/>
        <w:spacing w:before="120" w:after="120"/>
        <w:outlineLvl w:val="9"/>
        <w:rPr>
          <w:rFonts w:hint="eastAsia" w:hAnsi="宋体" w:cs="宋体"/>
          <w:color w:val="auto"/>
          <w:sz w:val="24"/>
          <w:szCs w:val="24"/>
          <w:highlight w:val="none"/>
        </w:rPr>
      </w:pPr>
      <w:bookmarkStart w:id="1345" w:name="_Toc401660404"/>
      <w:bookmarkStart w:id="1346" w:name="_Toc144974726"/>
      <w:bookmarkStart w:id="1347" w:name="_Toc152045755"/>
      <w:bookmarkStart w:id="1348" w:name="_Toc152042534"/>
      <w:bookmarkStart w:id="1349" w:name="_Toc179632773"/>
      <w:bookmarkStart w:id="1350" w:name="_Toc342296406"/>
      <w:bookmarkStart w:id="1351" w:name="_Toc338944848"/>
      <w:r>
        <w:rPr>
          <w:rFonts w:hint="eastAsia" w:hAnsi="宋体" w:cs="宋体"/>
          <w:color w:val="auto"/>
          <w:sz w:val="24"/>
          <w:szCs w:val="24"/>
          <w:highlight w:val="none"/>
        </w:rPr>
        <w:t>22.2 发包人违约</w:t>
      </w:r>
      <w:bookmarkEnd w:id="1345"/>
      <w:bookmarkEnd w:id="1346"/>
      <w:bookmarkEnd w:id="1347"/>
      <w:bookmarkEnd w:id="1348"/>
      <w:bookmarkEnd w:id="1349"/>
      <w:bookmarkEnd w:id="1350"/>
      <w:bookmarkEnd w:id="1351"/>
    </w:p>
    <w:p w14:paraId="46FE1F8D">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22.2.1 发包人违约的情形</w:t>
      </w:r>
    </w:p>
    <w:p w14:paraId="2E38288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在履行合同过程中发生的下列情形，属发包人违约：</w:t>
      </w:r>
    </w:p>
    <w:p w14:paraId="3B3A2E5B">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）监理人无正当理由没有在约定期限内发出复工指示，导致承包人无法复工的；</w:t>
      </w:r>
    </w:p>
    <w:p w14:paraId="63ED1A81">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）发包人无法继续履行或明确表示不履行或实质上已停止履行合同的；</w:t>
      </w:r>
    </w:p>
    <w:p w14:paraId="4AB5B833">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3</w:t>
      </w:r>
      <w:r>
        <w:rPr>
          <w:rFonts w:hint="eastAsia" w:ascii="宋体" w:hAnsi="宋体" w:cs="宋体"/>
          <w:color w:val="auto"/>
          <w:sz w:val="24"/>
          <w:szCs w:val="24"/>
          <w:highlight w:val="none"/>
        </w:rPr>
        <w:t>）发包人不履行合同约定其他义务的。</w:t>
      </w:r>
    </w:p>
    <w:p w14:paraId="3C956EB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22.2.2 承包人有权暂停施工</w:t>
      </w:r>
    </w:p>
    <w:p w14:paraId="7822EFF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发包人发生除第22.2.1（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目以外的违约情况时，承包人可向发包人发出通知，要求发包人采取有效措施纠正违约行为。发包人收到承包人通知后的28天内仍不履行合同义务，承包人有权暂停施工，并通知监理人，发包人应承担由此增加的费用和（或）工期延误，并支付承包人合理利润。</w:t>
      </w:r>
    </w:p>
    <w:p w14:paraId="2C3C819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22.2.3 发包人违约解除合同</w:t>
      </w:r>
    </w:p>
    <w:p w14:paraId="0322CA3E">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（1）发生第22.2.1（</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）目的违约情况时，承包人可书面通知发包人解除合同。</w:t>
      </w:r>
    </w:p>
    <w:p w14:paraId="364FF3F2">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（2）承包人按22.2.2项暂停施工28天后，发包人仍不纠正违约行为的，承包人可向发包人发出解除合同通知。但承包人的这一行动不免除发包人承担的违约责任，也不影响承包人根据合同约定享有的索赔权利。</w:t>
      </w:r>
    </w:p>
    <w:p w14:paraId="68BA3F0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22.2.4 解除合同后的付款</w:t>
      </w:r>
    </w:p>
    <w:p w14:paraId="2F858FCB">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因发包人违约解除合同的，发包人应在解除合同后28天内向承包人支付下列金额，承包人应在此期限内及时向发包人提交要求支付下列金额的有关资料和凭证：</w:t>
      </w:r>
    </w:p>
    <w:p w14:paraId="4E551357">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（1）合同解除日以前所完成工作的价款；</w:t>
      </w:r>
    </w:p>
    <w:p w14:paraId="210F3856">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（2）承包人为该工程施工订购并已付款的材料、工程设备和其他物品的金额。发包人付还后，该材料、工程设备和其他物品归发包人所有；</w:t>
      </w:r>
    </w:p>
    <w:p w14:paraId="502B7E9D">
      <w:pPr>
        <w:spacing w:line="400" w:lineRule="exact"/>
        <w:ind w:firstLine="820" w:firstLineChars="342"/>
        <w:rPr>
          <w:rFonts w:hint="eastAsia" w:ascii="宋体" w:hAnsi="宋体" w:cs="宋体"/>
          <w:color w:val="auto"/>
          <w:sz w:val="24"/>
          <w:szCs w:val="24"/>
          <w:highlight w:val="none"/>
        </w:rPr>
      </w:pPr>
      <w:r>
        <w:rPr>
          <w:rFonts w:hint="eastAsia" w:ascii="宋体" w:hAnsi="宋体" w:cs="宋体"/>
          <w:color w:val="auto"/>
          <w:sz w:val="24"/>
          <w:szCs w:val="24"/>
          <w:highlight w:val="none"/>
        </w:rPr>
        <w:t>（3）承包人为完成工程所发生的，而发包人未支付的金额；</w:t>
      </w:r>
    </w:p>
    <w:p w14:paraId="7DF435DC">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发包人应按本项约定支付上述金额并退还质量保证金和履约担保，但有权要求承包人支付应偿还给发包人的各项金额。</w:t>
      </w:r>
    </w:p>
    <w:p w14:paraId="0E37885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22.2.5 解除合同后的承包人撤离</w:t>
      </w:r>
    </w:p>
    <w:p w14:paraId="07F6939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发包人违约而解除合同后，承包人应妥善做好已竣工工程和已购材料、设备的保护和移交工作，按发包人要求将承包人设备和人员撤出施工场地。承包人撤出施工场地应遵守第18.7.1项的约定，发包人应为承包人撤出提供必要条件。</w:t>
      </w:r>
    </w:p>
    <w:p w14:paraId="5314E074">
      <w:pPr>
        <w:pStyle w:val="299"/>
        <w:spacing w:before="120" w:after="120"/>
        <w:outlineLvl w:val="9"/>
        <w:rPr>
          <w:rFonts w:hint="eastAsia" w:hAnsi="宋体" w:cs="宋体"/>
          <w:color w:val="auto"/>
          <w:sz w:val="24"/>
          <w:szCs w:val="24"/>
          <w:highlight w:val="none"/>
        </w:rPr>
      </w:pPr>
      <w:bookmarkStart w:id="1352" w:name="_Toc179632774"/>
      <w:bookmarkStart w:id="1353" w:name="_Toc342296407"/>
      <w:bookmarkStart w:id="1354" w:name="_Toc338944849"/>
      <w:bookmarkStart w:id="1355" w:name="_Toc152042535"/>
      <w:bookmarkStart w:id="1356" w:name="_Toc401660405"/>
      <w:bookmarkStart w:id="1357" w:name="_Toc152045756"/>
      <w:r>
        <w:rPr>
          <w:rFonts w:hint="eastAsia" w:hAnsi="宋体" w:cs="宋体"/>
          <w:color w:val="auto"/>
          <w:sz w:val="24"/>
          <w:szCs w:val="24"/>
          <w:highlight w:val="none"/>
        </w:rPr>
        <w:t>22.3 第三人造成的违约</w:t>
      </w:r>
      <w:bookmarkEnd w:id="1352"/>
      <w:bookmarkEnd w:id="1353"/>
      <w:bookmarkEnd w:id="1354"/>
      <w:bookmarkEnd w:id="1355"/>
      <w:bookmarkEnd w:id="1356"/>
      <w:bookmarkEnd w:id="1357"/>
    </w:p>
    <w:p w14:paraId="317B012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在履行合同过程中，一方当事人因第三人的原因造成违约的，应当向对方当事人承担违约责任。一方当事人和第三人之间的纠纷，依照法律规定或者按照约定解决。</w:t>
      </w:r>
    </w:p>
    <w:p w14:paraId="1814BA38">
      <w:pPr>
        <w:pStyle w:val="296"/>
        <w:spacing w:before="120" w:after="120"/>
        <w:outlineLvl w:val="9"/>
        <w:rPr>
          <w:rFonts w:hint="eastAsia" w:hAnsi="宋体"/>
          <w:color w:val="auto"/>
          <w:sz w:val="24"/>
          <w:szCs w:val="24"/>
          <w:highlight w:val="none"/>
        </w:rPr>
      </w:pPr>
      <w:bookmarkStart w:id="1358" w:name="_Toc152042536"/>
      <w:bookmarkStart w:id="1359" w:name="_Toc152045757"/>
      <w:bookmarkStart w:id="1360" w:name="_Toc401660406"/>
      <w:bookmarkStart w:id="1361" w:name="_Toc342296408"/>
      <w:bookmarkStart w:id="1362" w:name="_Toc179632775"/>
      <w:bookmarkStart w:id="1363" w:name="_Toc338944850"/>
      <w:bookmarkStart w:id="1364" w:name="_Toc144974727"/>
      <w:r>
        <w:rPr>
          <w:rFonts w:hint="eastAsia" w:hAnsi="宋体"/>
          <w:color w:val="auto"/>
          <w:sz w:val="24"/>
          <w:szCs w:val="24"/>
          <w:highlight w:val="none"/>
        </w:rPr>
        <w:t>23. 索赔</w:t>
      </w:r>
      <w:bookmarkEnd w:id="1358"/>
      <w:bookmarkEnd w:id="1359"/>
      <w:bookmarkEnd w:id="1360"/>
      <w:bookmarkEnd w:id="1361"/>
      <w:bookmarkEnd w:id="1362"/>
      <w:bookmarkEnd w:id="1363"/>
      <w:bookmarkEnd w:id="1364"/>
    </w:p>
    <w:p w14:paraId="3D0B4F45">
      <w:pPr>
        <w:pStyle w:val="299"/>
        <w:spacing w:before="120" w:after="120"/>
        <w:outlineLvl w:val="9"/>
        <w:rPr>
          <w:rFonts w:hint="eastAsia" w:hAnsi="宋体" w:cs="宋体"/>
          <w:color w:val="auto"/>
          <w:sz w:val="24"/>
          <w:szCs w:val="24"/>
          <w:highlight w:val="none"/>
        </w:rPr>
      </w:pPr>
      <w:bookmarkStart w:id="1365" w:name="_Toc152042537"/>
      <w:bookmarkStart w:id="1366" w:name="_Toc179632776"/>
      <w:bookmarkStart w:id="1367" w:name="_Toc338944851"/>
      <w:bookmarkStart w:id="1368" w:name="_Toc342296409"/>
      <w:bookmarkStart w:id="1369" w:name="_Toc401660407"/>
      <w:bookmarkStart w:id="1370" w:name="_Toc144974728"/>
      <w:bookmarkStart w:id="1371" w:name="_Toc152045758"/>
      <w:r>
        <w:rPr>
          <w:rFonts w:hint="eastAsia" w:hAnsi="宋体" w:cs="宋体"/>
          <w:color w:val="auto"/>
          <w:sz w:val="24"/>
          <w:szCs w:val="24"/>
          <w:highlight w:val="none"/>
        </w:rPr>
        <w:t>23.1 承包人索赔的提出</w:t>
      </w:r>
      <w:bookmarkEnd w:id="1365"/>
      <w:bookmarkEnd w:id="1366"/>
      <w:bookmarkEnd w:id="1367"/>
      <w:bookmarkEnd w:id="1368"/>
      <w:bookmarkEnd w:id="1369"/>
      <w:bookmarkEnd w:id="1370"/>
      <w:bookmarkEnd w:id="1371"/>
    </w:p>
    <w:p w14:paraId="7A53ED89">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根据合同约定，承包人认为有权得到追加付款和（或）延长工期的，应按以下程序向发包人提出索赔：</w:t>
      </w:r>
    </w:p>
    <w:p w14:paraId="439D31D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（1）承包人应在知道或应当知道索赔事件发生后28天内，向监理人递交索赔意向通知书，并说明发生索赔事件的事由。承包人未在前述28天内发出索赔意向通知书的，丧失要求追加付款和（或）延长工期的权利；</w:t>
      </w:r>
    </w:p>
    <w:p w14:paraId="65533F45">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（2）承包人应在发出索赔意向通知书后28天内，向监理人正式递交索赔通知书。索赔通知书应详细说明索赔理由以及要求追加的付款金额和（或）延长的工期，并附必要的记录和证明材料；</w:t>
      </w:r>
    </w:p>
    <w:p w14:paraId="16451FF9">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（3）索赔事件具有连续影响的，承包人应按合理时间间隔继续递交延续索赔通知，说明连续影响的实际情况和记录，列出累计的追加付款金额和（或）工期延长天数；</w:t>
      </w:r>
    </w:p>
    <w:p w14:paraId="41413E7E">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（4）在索赔事件影响结束后的28天内，承包人应向监理人递交最终索赔通知书，说明最终要求索赔的追加付款金额和延长的工期，并附必要的记录和证明材料。</w:t>
      </w:r>
    </w:p>
    <w:p w14:paraId="68F30663">
      <w:pPr>
        <w:pStyle w:val="299"/>
        <w:spacing w:before="120" w:after="120"/>
        <w:outlineLvl w:val="9"/>
        <w:rPr>
          <w:rFonts w:hint="eastAsia" w:hAnsi="宋体" w:cs="宋体"/>
          <w:color w:val="auto"/>
          <w:sz w:val="24"/>
          <w:szCs w:val="24"/>
          <w:highlight w:val="none"/>
        </w:rPr>
      </w:pPr>
      <w:bookmarkStart w:id="1372" w:name="_Toc401660408"/>
      <w:bookmarkStart w:id="1373" w:name="_Toc342296410"/>
      <w:bookmarkStart w:id="1374" w:name="_Toc338944852"/>
      <w:bookmarkStart w:id="1375" w:name="_Toc144974729"/>
      <w:bookmarkStart w:id="1376" w:name="_Toc152045759"/>
      <w:bookmarkStart w:id="1377" w:name="_Toc179632777"/>
      <w:bookmarkStart w:id="1378" w:name="_Toc152042538"/>
      <w:r>
        <w:rPr>
          <w:rFonts w:hint="eastAsia" w:hAnsi="宋体" w:cs="宋体"/>
          <w:color w:val="auto"/>
          <w:sz w:val="24"/>
          <w:szCs w:val="24"/>
          <w:highlight w:val="none"/>
        </w:rPr>
        <w:t>23.2 承包人索赔处理程序</w:t>
      </w:r>
      <w:bookmarkEnd w:id="1372"/>
      <w:bookmarkEnd w:id="1373"/>
      <w:bookmarkEnd w:id="1374"/>
      <w:bookmarkEnd w:id="1375"/>
      <w:bookmarkEnd w:id="1376"/>
      <w:bookmarkEnd w:id="1377"/>
      <w:bookmarkEnd w:id="1378"/>
    </w:p>
    <w:p w14:paraId="401D0111">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（1）监理人收到承包人提交的索赔通知书后，应及时审查索赔通知书的内容、查验承包人的记录和证明材料，必要时监理人可要求承包人提交全部原始记录副本。</w:t>
      </w:r>
    </w:p>
    <w:p w14:paraId="4DC52210">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（2）监理人应按第3.5款商定或确定追加的付款和（或）延长的工期，并在收到上述索赔通知书或有关索赔的进一步证明材料后的42天内，将索赔处理结果答复承包人。</w:t>
      </w:r>
    </w:p>
    <w:p w14:paraId="67D380E6">
      <w:pPr>
        <w:spacing w:line="400" w:lineRule="exact"/>
        <w:ind w:firstLine="410" w:firstLineChars="171"/>
        <w:rPr>
          <w:rFonts w:hint="eastAsia" w:ascii="宋体" w:hAnsi="宋体" w:cs="宋体"/>
          <w:color w:val="auto"/>
          <w:sz w:val="24"/>
          <w:szCs w:val="24"/>
          <w:highlight w:val="none"/>
        </w:rPr>
      </w:pPr>
      <w:r>
        <w:rPr>
          <w:rFonts w:hint="eastAsia" w:ascii="宋体" w:hAnsi="宋体" w:cs="宋体"/>
          <w:color w:val="auto"/>
          <w:sz w:val="24"/>
          <w:szCs w:val="24"/>
          <w:highlight w:val="none"/>
        </w:rPr>
        <w:t>（3）承包人接受索赔处理结果的，发包人应在作出索赔处理结果答复后28天内完成赔付。承包人不接受索赔处理结果的，按第24条的约定办理。</w:t>
      </w:r>
    </w:p>
    <w:p w14:paraId="525154DB">
      <w:pPr>
        <w:pStyle w:val="299"/>
        <w:spacing w:before="120" w:after="120"/>
        <w:outlineLvl w:val="9"/>
        <w:rPr>
          <w:rFonts w:hint="eastAsia" w:hAnsi="宋体" w:cs="宋体"/>
          <w:color w:val="auto"/>
          <w:sz w:val="24"/>
          <w:szCs w:val="24"/>
          <w:highlight w:val="none"/>
        </w:rPr>
      </w:pPr>
      <w:bookmarkStart w:id="1379" w:name="_Toc401660409"/>
      <w:bookmarkStart w:id="1380" w:name="_Toc342296411"/>
      <w:bookmarkStart w:id="1381" w:name="_Toc338944853"/>
      <w:bookmarkStart w:id="1382" w:name="_Toc179632778"/>
      <w:bookmarkStart w:id="1383" w:name="_Toc152045760"/>
      <w:bookmarkStart w:id="1384" w:name="_Toc144974730"/>
      <w:bookmarkStart w:id="1385" w:name="_Toc152042539"/>
      <w:r>
        <w:rPr>
          <w:rFonts w:hint="eastAsia" w:hAnsi="宋体" w:cs="宋体"/>
          <w:color w:val="auto"/>
          <w:sz w:val="24"/>
          <w:szCs w:val="24"/>
          <w:highlight w:val="none"/>
        </w:rPr>
        <w:t>23.3 承包人提出索赔的期限</w:t>
      </w:r>
      <w:bookmarkEnd w:id="1379"/>
      <w:bookmarkEnd w:id="1380"/>
      <w:bookmarkEnd w:id="1381"/>
      <w:bookmarkEnd w:id="1382"/>
      <w:bookmarkEnd w:id="1383"/>
      <w:bookmarkEnd w:id="1384"/>
      <w:bookmarkEnd w:id="1385"/>
    </w:p>
    <w:p w14:paraId="608B02A4">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23.3.1 承包人按第17.5款的约定接受了竣工付款证书后，应被认为已无权再提出在合同工程接收证书颁发前所发生的任何索赔。</w:t>
      </w:r>
    </w:p>
    <w:p w14:paraId="34257AE3">
      <w:pPr>
        <w:spacing w:line="400" w:lineRule="exact"/>
        <w:ind w:firstLine="480" w:firstLineChars="200"/>
        <w:rPr>
          <w:rFonts w:hint="eastAsia" w:ascii="宋体" w:hAnsi="宋体" w:cs="宋体"/>
          <w:color w:val="auto"/>
          <w:sz w:val="24"/>
          <w:szCs w:val="24"/>
          <w:highlight w:val="none"/>
          <w:shd w:val="pct10" w:color="auto" w:fill="FFFFFF"/>
        </w:rPr>
      </w:pPr>
      <w:r>
        <w:rPr>
          <w:rFonts w:hint="eastAsia" w:ascii="宋体" w:hAnsi="宋体" w:cs="宋体"/>
          <w:color w:val="auto"/>
          <w:sz w:val="24"/>
          <w:szCs w:val="24"/>
          <w:highlight w:val="none"/>
        </w:rPr>
        <w:t>23.3.2 承包人按第17.6款的约定提交的最终结清申请单中，只限于提出工程接收证书颁发后发生的索赔。提出索赔的期限自接受最终结清证书时终止。</w:t>
      </w:r>
    </w:p>
    <w:p w14:paraId="00ED0E5D">
      <w:pPr>
        <w:pStyle w:val="299"/>
        <w:spacing w:before="120" w:after="120"/>
        <w:outlineLvl w:val="9"/>
        <w:rPr>
          <w:rFonts w:hint="eastAsia" w:hAnsi="宋体" w:cs="宋体"/>
          <w:color w:val="auto"/>
          <w:sz w:val="24"/>
          <w:szCs w:val="24"/>
          <w:highlight w:val="none"/>
        </w:rPr>
      </w:pPr>
      <w:bookmarkStart w:id="1386" w:name="_Toc152045761"/>
      <w:bookmarkStart w:id="1387" w:name="_Toc144974731"/>
      <w:bookmarkStart w:id="1388" w:name="_Toc338944854"/>
      <w:bookmarkStart w:id="1389" w:name="_Toc152042540"/>
      <w:bookmarkStart w:id="1390" w:name="_Toc401660410"/>
      <w:bookmarkStart w:id="1391" w:name="_Toc342296412"/>
      <w:bookmarkStart w:id="1392" w:name="_Toc179632779"/>
      <w:r>
        <w:rPr>
          <w:rFonts w:hint="eastAsia" w:hAnsi="宋体" w:cs="宋体"/>
          <w:color w:val="auto"/>
          <w:sz w:val="24"/>
          <w:szCs w:val="24"/>
          <w:highlight w:val="none"/>
        </w:rPr>
        <w:t>23.4 发包人的索赔</w:t>
      </w:r>
      <w:bookmarkEnd w:id="1386"/>
      <w:bookmarkEnd w:id="1387"/>
      <w:bookmarkEnd w:id="1388"/>
      <w:bookmarkEnd w:id="1389"/>
      <w:bookmarkEnd w:id="1390"/>
      <w:bookmarkEnd w:id="1391"/>
      <w:bookmarkEnd w:id="1392"/>
    </w:p>
    <w:p w14:paraId="2BBECD0E">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23.4.1 发生索赔事件后，监理人应及时书面通知承包人，详细说明发包人有权得到的索赔金额和（或）延长缺陷责任期的细节和依据。发包人提出索赔的期限和要求与第23.3款的约定相同，延长缺陷责任期的通知应在缺陷责任期届满前发出。</w:t>
      </w:r>
    </w:p>
    <w:p w14:paraId="0ADBE33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23.4.2 监理人按第3.5款商定或确定发包人从承包人处得到赔付的金额和（或）缺陷责任期的延长期。承包人应付给发包人的金额可从拟支付给承包人的合同价款中扣除，或由承包人以其他方式支付给发包人。</w:t>
      </w:r>
    </w:p>
    <w:p w14:paraId="27D59511">
      <w:pPr>
        <w:pStyle w:val="296"/>
        <w:spacing w:before="120" w:after="120"/>
        <w:outlineLvl w:val="9"/>
        <w:rPr>
          <w:rFonts w:hint="eastAsia" w:hAnsi="宋体"/>
          <w:color w:val="auto"/>
          <w:sz w:val="24"/>
          <w:szCs w:val="24"/>
          <w:highlight w:val="none"/>
        </w:rPr>
      </w:pPr>
      <w:bookmarkStart w:id="1393" w:name="_Toc342296413"/>
      <w:bookmarkStart w:id="1394" w:name="_Toc338944855"/>
      <w:bookmarkStart w:id="1395" w:name="_Toc401660411"/>
      <w:r>
        <w:rPr>
          <w:rFonts w:hint="eastAsia" w:hAnsi="宋体"/>
          <w:color w:val="auto"/>
          <w:sz w:val="24"/>
          <w:szCs w:val="24"/>
          <w:highlight w:val="none"/>
        </w:rPr>
        <w:t>24. 争议的解决</w:t>
      </w:r>
      <w:bookmarkEnd w:id="1393"/>
      <w:bookmarkEnd w:id="1394"/>
      <w:bookmarkEnd w:id="1395"/>
    </w:p>
    <w:p w14:paraId="2E054C33">
      <w:pPr>
        <w:pStyle w:val="299"/>
        <w:spacing w:before="120" w:after="120"/>
        <w:outlineLvl w:val="9"/>
        <w:rPr>
          <w:rFonts w:hint="eastAsia" w:hAnsi="宋体" w:cs="宋体"/>
          <w:color w:val="auto"/>
          <w:sz w:val="24"/>
          <w:szCs w:val="24"/>
          <w:highlight w:val="none"/>
        </w:rPr>
      </w:pPr>
      <w:bookmarkStart w:id="1396" w:name="_Toc338944856"/>
      <w:bookmarkStart w:id="1397" w:name="_Toc342296414"/>
      <w:bookmarkStart w:id="1398" w:name="_Toc401660412"/>
      <w:r>
        <w:rPr>
          <w:rFonts w:hint="eastAsia" w:hAnsi="宋体" w:cs="宋体"/>
          <w:color w:val="auto"/>
          <w:sz w:val="24"/>
          <w:szCs w:val="24"/>
          <w:highlight w:val="none"/>
        </w:rPr>
        <w:t>24.1 争议的解决方式</w:t>
      </w:r>
      <w:bookmarkEnd w:id="1396"/>
      <w:bookmarkEnd w:id="1397"/>
      <w:bookmarkEnd w:id="1398"/>
    </w:p>
    <w:p w14:paraId="63C3E78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和承包人在履行合同中发生争议的，可以友好协商解决或者提请争议评审组评审。合同当事人友好协商解决不成、不愿提请争议评审或者不接受争议评审组意见的，可在专用合同条款中约定下列一种方式解决。</w:t>
      </w:r>
    </w:p>
    <w:p w14:paraId="55DF9BF1">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（1）向约定的仲裁委员会申请仲裁；</w:t>
      </w:r>
    </w:p>
    <w:p w14:paraId="181518EF">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（2）向有管辖权的人民法院提起诉讼。</w:t>
      </w:r>
    </w:p>
    <w:p w14:paraId="42329D8C">
      <w:pPr>
        <w:pStyle w:val="299"/>
        <w:spacing w:before="120" w:after="120"/>
        <w:outlineLvl w:val="9"/>
        <w:rPr>
          <w:rFonts w:hint="eastAsia" w:hAnsi="宋体" w:cs="宋体"/>
          <w:color w:val="auto"/>
          <w:sz w:val="24"/>
          <w:szCs w:val="24"/>
          <w:highlight w:val="none"/>
        </w:rPr>
      </w:pPr>
      <w:bookmarkStart w:id="1399" w:name="_Toc401660413"/>
      <w:bookmarkStart w:id="1400" w:name="_Toc338944857"/>
      <w:bookmarkStart w:id="1401" w:name="_Toc342296415"/>
      <w:r>
        <w:rPr>
          <w:rFonts w:hint="eastAsia" w:hAnsi="宋体" w:cs="宋体"/>
          <w:color w:val="auto"/>
          <w:sz w:val="24"/>
          <w:szCs w:val="24"/>
          <w:highlight w:val="none"/>
        </w:rPr>
        <w:t>24.2 友好解决</w:t>
      </w:r>
      <w:bookmarkEnd w:id="1399"/>
      <w:bookmarkEnd w:id="1400"/>
      <w:bookmarkEnd w:id="1401"/>
    </w:p>
    <w:p w14:paraId="47954D0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在提请争议评审、仲裁或者诉讼前，以及在争议评审、仲裁或诉讼过程中，发包人和承包人均可共同努力友好协商解决争议。</w:t>
      </w:r>
    </w:p>
    <w:p w14:paraId="32ABEF38">
      <w:pPr>
        <w:pStyle w:val="299"/>
        <w:spacing w:before="120" w:after="120"/>
        <w:outlineLvl w:val="9"/>
        <w:rPr>
          <w:rFonts w:hint="eastAsia" w:hAnsi="宋体" w:cs="宋体"/>
          <w:color w:val="auto"/>
          <w:sz w:val="24"/>
          <w:szCs w:val="24"/>
          <w:highlight w:val="none"/>
        </w:rPr>
      </w:pPr>
      <w:bookmarkStart w:id="1402" w:name="_Toc342296416"/>
      <w:bookmarkStart w:id="1403" w:name="_Toc401660414"/>
      <w:bookmarkStart w:id="1404" w:name="_Toc338944858"/>
      <w:r>
        <w:rPr>
          <w:rFonts w:hint="eastAsia" w:hAnsi="宋体" w:cs="宋体"/>
          <w:color w:val="auto"/>
          <w:sz w:val="24"/>
          <w:szCs w:val="24"/>
          <w:highlight w:val="none"/>
        </w:rPr>
        <w:t>24.3 争议评审</w:t>
      </w:r>
      <w:bookmarkEnd w:id="1402"/>
      <w:bookmarkEnd w:id="1403"/>
      <w:bookmarkEnd w:id="1404"/>
    </w:p>
    <w:p w14:paraId="56B7D033">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24.3.1 采用争议评审的，发包人和承包人应在开工日后的28天内或在争议发生后，协商成立争议评审组。争议评审组由有合同管理和工程实践经验的专家组成。</w:t>
      </w:r>
    </w:p>
    <w:p w14:paraId="398C1D4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24.3.2 合同双方的争议，应首先由申请人向争议评审组提交一份详细的评审申请报告，并附必要的文件、图纸和证明材料，申请人还应将上述报告的副本同时提交给被申请人和监理人。</w:t>
      </w:r>
    </w:p>
    <w:p w14:paraId="4F9806A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24.3.3 被申请人在收到申请人评审申请报告副本后的28天内，向争议评审组提交一份答辩报告，并附证明材料。被申请人应将答辩报告的副本同时提交给申请人和监理人。</w:t>
      </w:r>
    </w:p>
    <w:p w14:paraId="65B28286">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24.3.4 除专用合同条款另有约定外，争议评审组在收到合同双方报告后的14天内，邀请双方代表和有关人员举行调查会，向双方调查争议细节；必要时争议评审组可要求双方进一步提供补充材料。</w:t>
      </w:r>
    </w:p>
    <w:p w14:paraId="00F81830">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24.3.5 除专用合同条款另有约定外，在调查会结束后的14天内，争议评审组应在不受任何干扰的情况下进行独立、公正的评审，作出书面评审意见，并说明理由。在争议评审期间，争议双方暂按总监理工程师的确定执行。</w:t>
      </w:r>
    </w:p>
    <w:p w14:paraId="64FDB088">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24.3.6 发包人和承包人接受评审意见的，由监理人根据评审意见拟定执行协议，经争议双方签字后作为合同的补充文件，并遵照执行。</w:t>
      </w:r>
    </w:p>
    <w:p w14:paraId="4D81F83A">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24.3.7 发包人或承包人不接受评审意见，并要求提交仲裁或提起诉讼的，应在收到评审意见后的14天内将仲裁或起诉意向书面通知另一方，并抄送监理人，但在仲裁或诉讼结束前应暂按总监理工程师的确定执行。</w:t>
      </w:r>
    </w:p>
    <w:p w14:paraId="16C807ED">
      <w:pPr>
        <w:spacing w:line="360" w:lineRule="auto"/>
        <w:rPr>
          <w:rFonts w:hint="eastAsia" w:ascii="宋体" w:hAnsi="宋体" w:cs="宋体"/>
          <w:color w:val="auto"/>
          <w:sz w:val="24"/>
          <w:szCs w:val="24"/>
          <w:highlight w:val="none"/>
        </w:rPr>
      </w:pPr>
    </w:p>
    <w:p w14:paraId="026A0EDC">
      <w:pPr>
        <w:spacing w:line="360" w:lineRule="auto"/>
        <w:jc w:val="center"/>
        <w:rPr>
          <w:rFonts w:hint="eastAsia" w:ascii="宋体" w:hAnsi="宋体" w:cs="宋体"/>
          <w:b/>
          <w:color w:val="auto"/>
          <w:sz w:val="24"/>
          <w:szCs w:val="24"/>
          <w:highlight w:val="none"/>
        </w:rPr>
      </w:pPr>
    </w:p>
    <w:p w14:paraId="35B5F1D7">
      <w:pPr>
        <w:rPr>
          <w:rFonts w:hint="eastAsia"/>
          <w:color w:val="auto"/>
          <w:highlight w:val="none"/>
        </w:rPr>
      </w:pPr>
      <w:r>
        <w:rPr>
          <w:rFonts w:hint="eastAsia"/>
          <w:color w:val="auto"/>
          <w:highlight w:val="none"/>
        </w:rPr>
        <w:br w:type="page"/>
      </w:r>
    </w:p>
    <w:p w14:paraId="18381493">
      <w:pPr>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第三部分 专用合同条款</w:t>
      </w:r>
    </w:p>
    <w:p w14:paraId="588ABA9B">
      <w:pPr>
        <w:spacing w:line="360" w:lineRule="auto"/>
        <w:jc w:val="center"/>
        <w:rPr>
          <w:rFonts w:hint="eastAsia" w:ascii="宋体" w:hAnsi="宋体" w:cs="宋体"/>
          <w:color w:val="auto"/>
          <w:sz w:val="24"/>
          <w:szCs w:val="24"/>
          <w:highlight w:val="none"/>
        </w:rPr>
      </w:pPr>
    </w:p>
    <w:p w14:paraId="7F4B232A">
      <w:pPr>
        <w:keepNext/>
        <w:keepLines/>
        <w:spacing w:before="120" w:beforeLines="50" w:after="120" w:afterLines="50" w:line="360" w:lineRule="auto"/>
        <w:outlineLvl w:val="1"/>
        <w:rPr>
          <w:rFonts w:hint="eastAsia" w:ascii="宋体" w:hAnsi="宋体" w:cs="宋体"/>
          <w:color w:val="auto"/>
          <w:sz w:val="24"/>
          <w:szCs w:val="24"/>
          <w:highlight w:val="none"/>
        </w:rPr>
      </w:pPr>
      <w:bookmarkStart w:id="1405" w:name="_Toc485323148"/>
      <w:bookmarkStart w:id="1406" w:name="_Toc497584034"/>
      <w:bookmarkStart w:id="1407" w:name="_Toc10235641"/>
      <w:bookmarkStart w:id="1408" w:name="_Toc497214043"/>
      <w:bookmarkStart w:id="1409" w:name="_Toc489280180"/>
      <w:bookmarkStart w:id="1410" w:name="_Toc486580374"/>
      <w:bookmarkStart w:id="1411" w:name="_Toc490331665"/>
      <w:r>
        <w:rPr>
          <w:rFonts w:hint="eastAsia" w:ascii="宋体" w:hAnsi="宋体" w:cs="宋体"/>
          <w:color w:val="auto"/>
          <w:sz w:val="24"/>
          <w:szCs w:val="24"/>
          <w:highlight w:val="none"/>
        </w:rPr>
        <w:t>1.一般约定</w:t>
      </w:r>
      <w:bookmarkEnd w:id="1405"/>
      <w:bookmarkEnd w:id="1406"/>
      <w:bookmarkEnd w:id="1407"/>
      <w:bookmarkEnd w:id="1408"/>
      <w:bookmarkEnd w:id="1409"/>
      <w:bookmarkEnd w:id="1410"/>
      <w:bookmarkEnd w:id="1411"/>
    </w:p>
    <w:p w14:paraId="66DFA54E">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12" w:name="_Toc10235642"/>
      <w:bookmarkStart w:id="1413" w:name="_Toc485323149"/>
      <w:bookmarkStart w:id="1414" w:name="_Toc490331666"/>
      <w:bookmarkStart w:id="1415" w:name="_Toc497214044"/>
      <w:bookmarkStart w:id="1416" w:name="_Toc489280181"/>
      <w:bookmarkStart w:id="1417" w:name="_Toc497584035"/>
      <w:bookmarkStart w:id="1418" w:name="_Toc486580375"/>
      <w:r>
        <w:rPr>
          <w:rFonts w:hint="eastAsia" w:ascii="宋体" w:hAnsi="宋体" w:cs="宋体"/>
          <w:color w:val="auto"/>
          <w:kern w:val="0"/>
          <w:sz w:val="24"/>
          <w:szCs w:val="24"/>
          <w:highlight w:val="none"/>
        </w:rPr>
        <w:t>1.1  词语定义</w:t>
      </w:r>
      <w:bookmarkEnd w:id="1412"/>
      <w:bookmarkEnd w:id="1413"/>
      <w:bookmarkEnd w:id="1414"/>
      <w:bookmarkEnd w:id="1415"/>
      <w:bookmarkEnd w:id="1416"/>
      <w:bookmarkEnd w:id="1417"/>
      <w:bookmarkEnd w:id="1418"/>
    </w:p>
    <w:p w14:paraId="58A06EC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1.1.2  合同当事人和人员</w:t>
      </w:r>
    </w:p>
    <w:p w14:paraId="4FEF79B8">
      <w:pPr>
        <w:spacing w:line="360" w:lineRule="auto"/>
        <w:ind w:firstLine="720" w:firstLineChars="300"/>
        <w:jc w:val="left"/>
        <w:rPr>
          <w:rFonts w:ascii="宋体" w:hAnsi="宋体" w:cs="宋体"/>
          <w:color w:val="auto"/>
          <w:sz w:val="24"/>
          <w:szCs w:val="24"/>
          <w:highlight w:val="none"/>
          <w:u w:val="single"/>
        </w:rPr>
      </w:pPr>
      <w:r>
        <w:rPr>
          <w:rFonts w:hint="eastAsia" w:ascii="宋体" w:hAnsi="宋体" w:cs="宋体"/>
          <w:color w:val="auto"/>
          <w:sz w:val="24"/>
          <w:szCs w:val="24"/>
          <w:highlight w:val="none"/>
        </w:rPr>
        <w:t>1.1.2.2  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71921353">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1.1.2.3  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6904AC68">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1.1.2.6  监理人：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39064452">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1.1.2.8  发包人代表：</w:t>
      </w:r>
    </w:p>
    <w:p w14:paraId="55666C71">
      <w:pPr>
        <w:spacing w:line="360" w:lineRule="auto"/>
        <w:ind w:firstLine="1800" w:firstLineChars="7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姓    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092917F4">
      <w:pPr>
        <w:spacing w:line="360" w:lineRule="auto"/>
        <w:ind w:firstLine="1800" w:firstLineChars="7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职    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69CE5055">
      <w:pPr>
        <w:spacing w:line="360" w:lineRule="auto"/>
        <w:ind w:firstLine="1800" w:firstLineChars="7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联系电话：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0BC04989">
      <w:pPr>
        <w:spacing w:line="360" w:lineRule="auto"/>
        <w:ind w:firstLine="1800" w:firstLineChars="7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电子信箱：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687E631D">
      <w:pPr>
        <w:spacing w:line="360" w:lineRule="auto"/>
        <w:ind w:firstLine="1800" w:firstLineChars="75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通信地址：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364BB37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1.1.3  工程和设备</w:t>
      </w:r>
    </w:p>
    <w:p w14:paraId="527B5102">
      <w:pPr>
        <w:spacing w:line="360" w:lineRule="auto"/>
        <w:ind w:firstLine="720" w:firstLineChars="300"/>
        <w:jc w:val="left"/>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1.1.3.2  永久工程：</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本工程范围内</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770E243A">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1.1.3.3  临时工程：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46AED2D8">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1.1.3.10  永久占地：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5085BDB8">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1.1.3.11  临时占地：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126EDE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1.1.4  日期</w:t>
      </w:r>
    </w:p>
    <w:p w14:paraId="134481B0">
      <w:pPr>
        <w:spacing w:line="360" w:lineRule="auto"/>
        <w:ind w:firstLine="720" w:firstLineChars="3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1.1.4.5  缺陷责任期期限：</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12个月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2A51106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1.1.8  其他需要补充的内容</w:t>
      </w:r>
    </w:p>
    <w:p w14:paraId="4AC30FD7">
      <w:pPr>
        <w:spacing w:line="360" w:lineRule="auto"/>
        <w:ind w:left="315" w:leftChars="150" w:firstLine="124" w:firstLineChars="52"/>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7645E36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19" w:name="_Toc10235643"/>
      <w:bookmarkStart w:id="1420" w:name="_Toc497214045"/>
      <w:bookmarkStart w:id="1421" w:name="_Toc486580376"/>
      <w:bookmarkStart w:id="1422" w:name="_Toc490331667"/>
      <w:bookmarkStart w:id="1423" w:name="_Toc485323150"/>
      <w:bookmarkStart w:id="1424" w:name="_Toc497584036"/>
      <w:bookmarkStart w:id="1425" w:name="_Toc489280182"/>
      <w:r>
        <w:rPr>
          <w:rFonts w:hint="eastAsia" w:ascii="宋体" w:hAnsi="宋体" w:cs="宋体"/>
          <w:color w:val="auto"/>
          <w:kern w:val="0"/>
          <w:sz w:val="24"/>
          <w:szCs w:val="24"/>
          <w:highlight w:val="none"/>
        </w:rPr>
        <w:t>1.4  合同文件的优先顺序</w:t>
      </w:r>
      <w:bookmarkEnd w:id="1419"/>
      <w:bookmarkEnd w:id="1420"/>
      <w:bookmarkEnd w:id="1421"/>
      <w:bookmarkEnd w:id="1422"/>
      <w:bookmarkEnd w:id="1423"/>
      <w:bookmarkEnd w:id="1424"/>
      <w:bookmarkEnd w:id="1425"/>
    </w:p>
    <w:p w14:paraId="68D3EF9F">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合同文件的优先解释顺序如下：</w:t>
      </w:r>
    </w:p>
    <w:p w14:paraId="556D7EFE">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（1）合同协议书；</w:t>
      </w:r>
    </w:p>
    <w:p w14:paraId="58D29BF5">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（2）</w:t>
      </w:r>
      <w:r>
        <w:rPr>
          <w:rFonts w:hint="eastAsia" w:ascii="宋体" w:hAnsi="宋体" w:cs="宋体"/>
          <w:color w:val="auto"/>
          <w:sz w:val="24"/>
          <w:szCs w:val="24"/>
          <w:highlight w:val="none"/>
          <w:lang w:val="en-US" w:eastAsia="zh-CN"/>
        </w:rPr>
        <w:t>成交</w:t>
      </w:r>
      <w:r>
        <w:rPr>
          <w:rFonts w:hint="eastAsia" w:ascii="宋体" w:hAnsi="宋体" w:cs="宋体"/>
          <w:color w:val="auto"/>
          <w:sz w:val="24"/>
          <w:szCs w:val="24"/>
          <w:highlight w:val="none"/>
        </w:rPr>
        <w:t>通知书；</w:t>
      </w:r>
    </w:p>
    <w:p w14:paraId="6FADD2DF">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（3）</w:t>
      </w:r>
      <w:r>
        <w:rPr>
          <w:rFonts w:hint="eastAsia" w:ascii="宋体" w:hAnsi="宋体" w:cs="宋体"/>
          <w:color w:val="auto"/>
          <w:sz w:val="24"/>
          <w:szCs w:val="24"/>
          <w:highlight w:val="none"/>
          <w:lang w:val="en-US" w:eastAsia="zh-CN"/>
        </w:rPr>
        <w:t>分项报价表</w:t>
      </w:r>
      <w:r>
        <w:rPr>
          <w:rFonts w:hint="eastAsia" w:ascii="宋体" w:hAnsi="宋体" w:cs="宋体"/>
          <w:color w:val="auto"/>
          <w:sz w:val="24"/>
          <w:szCs w:val="24"/>
          <w:highlight w:val="none"/>
        </w:rPr>
        <w:t>；</w:t>
      </w:r>
    </w:p>
    <w:p w14:paraId="3FA74556">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（4）合同条款专用部分；</w:t>
      </w:r>
    </w:p>
    <w:p w14:paraId="0DC99B74">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（5）合同条款通用部分；</w:t>
      </w:r>
    </w:p>
    <w:p w14:paraId="68F366F6">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（6</w:t>
      </w:r>
      <w:r>
        <w:rPr>
          <w:rFonts w:hint="eastAsia" w:ascii="宋体" w:hAnsi="宋体" w:cs="宋体"/>
          <w:color w:val="auto"/>
          <w:sz w:val="24"/>
          <w:szCs w:val="24"/>
          <w:highlight w:val="none"/>
          <w:lang w:eastAsia="zh-CN"/>
        </w:rPr>
        <w:t>）</w:t>
      </w:r>
      <w:r>
        <w:rPr>
          <w:rFonts w:hint="eastAsia" w:ascii="宋体" w:hAnsi="宋体"/>
          <w:color w:val="auto"/>
          <w:sz w:val="24"/>
          <w:szCs w:val="24"/>
          <w:highlight w:val="none"/>
          <w:u w:val="single"/>
          <w:lang w:eastAsia="zh-CN"/>
        </w:rPr>
        <w:t>施工图纸</w:t>
      </w:r>
      <w:r>
        <w:rPr>
          <w:rFonts w:hint="eastAsia" w:ascii="宋体" w:hAnsi="宋体"/>
          <w:color w:val="auto"/>
          <w:sz w:val="24"/>
          <w:szCs w:val="24"/>
          <w:highlight w:val="none"/>
          <w:u w:val="single"/>
        </w:rPr>
        <w:t>；</w:t>
      </w:r>
    </w:p>
    <w:p w14:paraId="279D609B">
      <w:pPr>
        <w:numPr>
          <w:ilvl w:val="0"/>
          <w:numId w:val="0"/>
        </w:numPr>
        <w:spacing w:line="360" w:lineRule="auto"/>
        <w:ind w:firstLine="482" w:firstLineChars="0"/>
        <w:rPr>
          <w:rFonts w:hint="eastAsia" w:ascii="宋体" w:hAnsi="宋体" w:cs="宋体"/>
          <w:color w:val="auto"/>
          <w:sz w:val="24"/>
          <w:szCs w:val="24"/>
          <w:highlight w:val="none"/>
        </w:rPr>
      </w:pPr>
      <w:r>
        <w:rPr>
          <w:rFonts w:hint="eastAsia" w:ascii="宋体" w:hAnsi="宋体" w:eastAsia="宋体" w:cs="宋体"/>
          <w:color w:val="auto"/>
          <w:kern w:val="2"/>
          <w:sz w:val="24"/>
          <w:szCs w:val="24"/>
          <w:highlight w:val="none"/>
          <w:lang w:val="en-US" w:eastAsia="zh-CN" w:bidi="ar-SA"/>
        </w:rPr>
        <w:t>（7）</w:t>
      </w:r>
      <w:r>
        <w:rPr>
          <w:rFonts w:hint="eastAsia" w:ascii="宋体" w:hAnsi="宋体"/>
          <w:color w:val="auto"/>
          <w:sz w:val="24"/>
          <w:szCs w:val="24"/>
          <w:highlight w:val="none"/>
          <w:u w:val="single"/>
        </w:rPr>
        <w:t>其他经双方确认文件；</w:t>
      </w:r>
    </w:p>
    <w:p w14:paraId="70E3C31D">
      <w:pPr>
        <w:spacing w:line="360" w:lineRule="auto"/>
        <w:ind w:firstLine="482"/>
        <w:rPr>
          <w:rFonts w:hint="eastAsia" w:ascii="宋体" w:hAnsi="宋体" w:cs="宋体"/>
          <w:color w:val="auto"/>
          <w:sz w:val="24"/>
          <w:szCs w:val="24"/>
          <w:highlight w:val="none"/>
        </w:rPr>
      </w:pPr>
      <w:r>
        <w:rPr>
          <w:rFonts w:hint="eastAsia" w:ascii="宋体" w:hAnsi="宋体" w:cs="宋体"/>
          <w:color w:val="auto"/>
          <w:sz w:val="24"/>
          <w:szCs w:val="24"/>
          <w:highlight w:val="none"/>
        </w:rPr>
        <w:t>（8）</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042D4F7F">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（9）</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 </w:t>
      </w:r>
    </w:p>
    <w:p w14:paraId="302473B5">
      <w:pPr>
        <w:spacing w:line="360" w:lineRule="auto"/>
        <w:ind w:firstLine="480"/>
        <w:rPr>
          <w:rFonts w:hint="eastAsia" w:ascii="宋体" w:hAnsi="宋体" w:cs="宋体"/>
          <w:color w:val="auto"/>
          <w:sz w:val="24"/>
          <w:szCs w:val="24"/>
          <w:highlight w:val="none"/>
        </w:rPr>
      </w:pPr>
      <w:r>
        <w:rPr>
          <w:rFonts w:hint="eastAsia" w:ascii="宋体" w:hAnsi="宋体" w:cs="宋体"/>
          <w:color w:val="auto"/>
          <w:sz w:val="24"/>
          <w:szCs w:val="24"/>
          <w:highlight w:val="none"/>
        </w:rPr>
        <w:t>（说明：（6）、（7）、（8）填空内容分别限于技术标准和要求、图纸、已标价工程量清单三者之一。）</w:t>
      </w:r>
    </w:p>
    <w:p w14:paraId="1044582B">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26" w:name="_Toc497214046"/>
      <w:bookmarkStart w:id="1427" w:name="_Toc485323151"/>
      <w:bookmarkStart w:id="1428" w:name="_Toc489280183"/>
      <w:bookmarkStart w:id="1429" w:name="_Toc497584037"/>
      <w:bookmarkStart w:id="1430" w:name="_Toc486580377"/>
      <w:bookmarkStart w:id="1431" w:name="_Toc10235644"/>
      <w:bookmarkStart w:id="1432" w:name="_Toc490331668"/>
      <w:r>
        <w:rPr>
          <w:rFonts w:hint="eastAsia" w:ascii="宋体" w:hAnsi="宋体" w:cs="宋体"/>
          <w:color w:val="auto"/>
          <w:kern w:val="0"/>
          <w:sz w:val="24"/>
          <w:szCs w:val="24"/>
          <w:highlight w:val="none"/>
        </w:rPr>
        <w:t>1.5  合同协议书</w:t>
      </w:r>
      <w:bookmarkEnd w:id="1426"/>
      <w:bookmarkEnd w:id="1427"/>
      <w:bookmarkEnd w:id="1428"/>
      <w:bookmarkEnd w:id="1429"/>
      <w:bookmarkEnd w:id="1430"/>
      <w:bookmarkEnd w:id="1431"/>
      <w:bookmarkEnd w:id="1432"/>
    </w:p>
    <w:p w14:paraId="5672F2AE">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合同生效的条件： </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双方法定代表人或授权代表签字并加盖单位公章之日生效。</w:t>
      </w:r>
    </w:p>
    <w:p w14:paraId="56377300">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33" w:name="_Toc485323152"/>
      <w:bookmarkStart w:id="1434" w:name="_Toc497214047"/>
      <w:bookmarkStart w:id="1435" w:name="_Toc497584038"/>
      <w:bookmarkStart w:id="1436" w:name="_Toc489280184"/>
      <w:bookmarkStart w:id="1437" w:name="_Toc490331669"/>
      <w:bookmarkStart w:id="1438" w:name="_Toc10235645"/>
      <w:bookmarkStart w:id="1439" w:name="_Toc486580378"/>
      <w:r>
        <w:rPr>
          <w:rFonts w:hint="eastAsia" w:ascii="宋体" w:hAnsi="宋体" w:cs="宋体"/>
          <w:color w:val="auto"/>
          <w:kern w:val="0"/>
          <w:sz w:val="24"/>
          <w:szCs w:val="24"/>
          <w:highlight w:val="none"/>
        </w:rPr>
        <w:t>1.6  图纸和承包人文件</w:t>
      </w:r>
      <w:bookmarkEnd w:id="1433"/>
      <w:bookmarkEnd w:id="1434"/>
      <w:bookmarkEnd w:id="1435"/>
      <w:bookmarkEnd w:id="1436"/>
      <w:bookmarkEnd w:id="1437"/>
      <w:bookmarkEnd w:id="1438"/>
      <w:bookmarkEnd w:id="1439"/>
    </w:p>
    <w:p w14:paraId="00EEA20B">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1.6.1  图纸的提供</w:t>
      </w:r>
    </w:p>
    <w:p w14:paraId="33D9F42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（5）发包人提供图纸的期限：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合同生效后7天内</w:t>
      </w:r>
      <w:r>
        <w:rPr>
          <w:rFonts w:hint="eastAsia" w:ascii="宋体" w:hAnsi="宋体" w:cs="宋体"/>
          <w:color w:val="auto"/>
          <w:sz w:val="24"/>
          <w:szCs w:val="24"/>
          <w:highlight w:val="none"/>
          <w:u w:val="single"/>
        </w:rPr>
        <w:t xml:space="preserve">   </w:t>
      </w:r>
    </w:p>
    <w:p w14:paraId="2F28B777">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发包人提供图纸的数量：</w:t>
      </w:r>
      <w:r>
        <w:rPr>
          <w:rFonts w:hint="eastAsia" w:ascii="宋体" w:hAnsi="宋体" w:eastAsia="宋体" w:cs="宋体"/>
          <w:color w:val="auto"/>
          <w:sz w:val="24"/>
          <w:szCs w:val="24"/>
          <w:highlight w:val="none"/>
          <w:u w:val="single"/>
        </w:rPr>
        <w:t>提供4套</w:t>
      </w:r>
      <w:r>
        <w:rPr>
          <w:rFonts w:hint="eastAsia" w:ascii="宋体" w:hAnsi="宋体" w:cs="宋体"/>
          <w:color w:val="auto"/>
          <w:sz w:val="24"/>
          <w:szCs w:val="24"/>
          <w:highlight w:val="none"/>
          <w:u w:val="single"/>
        </w:rPr>
        <w:t xml:space="preserve"> </w:t>
      </w:r>
    </w:p>
    <w:p w14:paraId="37D4DE6A">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其他约定：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F7DC760">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1.6.2  承包人提供的文件</w:t>
      </w:r>
    </w:p>
    <w:p w14:paraId="6A471FDD">
      <w:pPr>
        <w:spacing w:line="360" w:lineRule="auto"/>
        <w:ind w:firstLine="360" w:firstLineChars="150"/>
        <w:rPr>
          <w:rFonts w:ascii="宋体" w:hAnsi="宋体" w:cs="宋体"/>
          <w:color w:val="auto"/>
          <w:sz w:val="24"/>
          <w:szCs w:val="24"/>
          <w:highlight w:val="none"/>
          <w:u w:val="single"/>
        </w:rPr>
      </w:pPr>
      <w:r>
        <w:rPr>
          <w:rFonts w:hint="eastAsia" w:ascii="宋体" w:hAnsi="宋体" w:cs="宋体"/>
          <w:color w:val="auto"/>
          <w:sz w:val="24"/>
          <w:szCs w:val="24"/>
          <w:highlight w:val="none"/>
        </w:rPr>
        <w:t>（1）由承包人提供的文件范围：</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根据本项目实际情况调整后的施工组织设计。承包人所提交的施工组织设计不能低于承包人在投标施工方案内所说明的所有工程内容和承诺的标准。因承包人提交的施工方案不能通过监理工程师审查而造成工期延误，承包人自行承担违约责任。</w:t>
      </w:r>
      <w:r>
        <w:rPr>
          <w:rFonts w:hint="eastAsia" w:ascii="宋体" w:hAnsi="宋体" w:cs="宋体"/>
          <w:color w:val="auto"/>
          <w:sz w:val="24"/>
          <w:szCs w:val="24"/>
          <w:highlight w:val="none"/>
          <w:u w:val="single"/>
        </w:rPr>
        <w:t xml:space="preserve">  </w:t>
      </w:r>
    </w:p>
    <w:p w14:paraId="508A6C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承包人提供文件的期限：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合同签订后十个工作日内。</w:t>
      </w:r>
      <w:r>
        <w:rPr>
          <w:rFonts w:hint="eastAsia" w:ascii="宋体" w:hAnsi="宋体" w:cs="宋体"/>
          <w:color w:val="auto"/>
          <w:sz w:val="24"/>
          <w:szCs w:val="24"/>
          <w:highlight w:val="none"/>
          <w:u w:val="single"/>
        </w:rPr>
        <w:t xml:space="preserve">   </w:t>
      </w:r>
    </w:p>
    <w:p w14:paraId="2B35D35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承包人提供文件的数量： </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一式肆份</w:t>
      </w:r>
      <w:r>
        <w:rPr>
          <w:rFonts w:hint="eastAsia" w:ascii="宋体" w:hAnsi="宋体" w:cs="宋体"/>
          <w:color w:val="auto"/>
          <w:sz w:val="24"/>
          <w:szCs w:val="24"/>
          <w:highlight w:val="none"/>
          <w:u w:val="single"/>
        </w:rPr>
        <w:t xml:space="preserve">   </w:t>
      </w:r>
    </w:p>
    <w:p w14:paraId="595851D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监理人批复承包人提供文件的期限：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收到文件后三个工作日内。</w:t>
      </w:r>
      <w:r>
        <w:rPr>
          <w:rFonts w:hint="eastAsia" w:ascii="宋体" w:hAnsi="宋体" w:cs="宋体"/>
          <w:color w:val="auto"/>
          <w:sz w:val="24"/>
          <w:szCs w:val="24"/>
          <w:highlight w:val="none"/>
          <w:u w:val="single"/>
        </w:rPr>
        <w:t xml:space="preserve">   </w:t>
      </w:r>
    </w:p>
    <w:p w14:paraId="1CC58E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742DD34">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40" w:name="_Toc489280185"/>
      <w:bookmarkStart w:id="1441" w:name="_Toc486580379"/>
      <w:bookmarkStart w:id="1442" w:name="_Toc497584039"/>
      <w:bookmarkStart w:id="1443" w:name="_Toc10235646"/>
      <w:bookmarkStart w:id="1444" w:name="_Toc490331670"/>
      <w:bookmarkStart w:id="1445" w:name="_Toc497214048"/>
      <w:bookmarkStart w:id="1446" w:name="_Toc485323153"/>
      <w:r>
        <w:rPr>
          <w:rFonts w:hint="eastAsia" w:ascii="宋体" w:hAnsi="宋体" w:cs="宋体"/>
          <w:color w:val="auto"/>
          <w:kern w:val="0"/>
          <w:sz w:val="24"/>
          <w:szCs w:val="24"/>
          <w:highlight w:val="none"/>
        </w:rPr>
        <w:t>1.7  联 络</w:t>
      </w:r>
      <w:bookmarkEnd w:id="1440"/>
      <w:bookmarkEnd w:id="1441"/>
      <w:bookmarkEnd w:id="1442"/>
      <w:bookmarkEnd w:id="1443"/>
      <w:bookmarkEnd w:id="1444"/>
      <w:bookmarkEnd w:id="1445"/>
      <w:bookmarkEnd w:id="1446"/>
    </w:p>
    <w:p w14:paraId="3695A369">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1.7.2  联络来往函件的送达和接收</w:t>
      </w:r>
    </w:p>
    <w:p w14:paraId="7D82626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（2）发包人指定的接收地点：</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另行约定</w:t>
      </w:r>
      <w:r>
        <w:rPr>
          <w:rFonts w:hint="eastAsia" w:ascii="宋体" w:hAnsi="宋体" w:cs="宋体"/>
          <w:color w:val="auto"/>
          <w:sz w:val="24"/>
          <w:szCs w:val="24"/>
          <w:highlight w:val="none"/>
          <w:u w:val="single"/>
        </w:rPr>
        <w:t xml:space="preserve">    </w:t>
      </w:r>
    </w:p>
    <w:p w14:paraId="55047C1C">
      <w:pPr>
        <w:spacing w:line="360" w:lineRule="auto"/>
        <w:ind w:firstLine="648" w:firstLineChars="27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发包人指定的接收人为：</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另行约定</w:t>
      </w:r>
      <w:r>
        <w:rPr>
          <w:rFonts w:hint="eastAsia" w:ascii="宋体" w:hAnsi="宋体" w:cs="宋体"/>
          <w:color w:val="auto"/>
          <w:sz w:val="24"/>
          <w:szCs w:val="24"/>
          <w:highlight w:val="none"/>
          <w:u w:val="single"/>
        </w:rPr>
        <w:t xml:space="preserve">     </w:t>
      </w:r>
    </w:p>
    <w:p w14:paraId="2ED8088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（3）监理人指定的接收地点：</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另行约定</w:t>
      </w:r>
      <w:r>
        <w:rPr>
          <w:rFonts w:hint="eastAsia" w:ascii="宋体" w:hAnsi="宋体" w:cs="宋体"/>
          <w:color w:val="auto"/>
          <w:sz w:val="24"/>
          <w:szCs w:val="24"/>
          <w:highlight w:val="none"/>
          <w:u w:val="single"/>
        </w:rPr>
        <w:t xml:space="preserve">    </w:t>
      </w:r>
    </w:p>
    <w:p w14:paraId="23BB334C">
      <w:pPr>
        <w:spacing w:line="360" w:lineRule="auto"/>
        <w:ind w:firstLine="648" w:firstLineChars="27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监理人指定的接收人为：</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另行约定</w:t>
      </w:r>
      <w:r>
        <w:rPr>
          <w:rFonts w:hint="eastAsia" w:ascii="宋体" w:hAnsi="宋体" w:cs="宋体"/>
          <w:color w:val="auto"/>
          <w:sz w:val="24"/>
          <w:szCs w:val="24"/>
          <w:highlight w:val="none"/>
          <w:u w:val="single"/>
        </w:rPr>
        <w:t xml:space="preserve">     </w:t>
      </w:r>
    </w:p>
    <w:p w14:paraId="11CAAEC5">
      <w:pPr>
        <w:spacing w:line="360" w:lineRule="auto"/>
        <w:ind w:firstLine="480" w:firstLineChars="200"/>
        <w:jc w:val="left"/>
        <w:rPr>
          <w:rFonts w:hint="eastAsia" w:ascii="宋体" w:hAnsi="宋体" w:cs="宋体"/>
          <w:color w:val="auto"/>
          <w:sz w:val="24"/>
          <w:szCs w:val="24"/>
          <w:highlight w:val="none"/>
        </w:rPr>
      </w:pPr>
      <w:r>
        <w:rPr>
          <w:rFonts w:hint="eastAsia" w:ascii="宋体" w:hAnsi="宋体" w:cs="宋体"/>
          <w:color w:val="auto"/>
          <w:sz w:val="24"/>
          <w:szCs w:val="24"/>
          <w:highlight w:val="none"/>
        </w:rPr>
        <w:t>（4）承包人指定的接收地点：</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另行约定</w:t>
      </w:r>
      <w:r>
        <w:rPr>
          <w:rFonts w:hint="eastAsia" w:ascii="宋体" w:hAnsi="宋体" w:cs="宋体"/>
          <w:color w:val="auto"/>
          <w:sz w:val="24"/>
          <w:szCs w:val="24"/>
          <w:highlight w:val="none"/>
          <w:u w:val="single"/>
        </w:rPr>
        <w:t xml:space="preserve">    </w:t>
      </w:r>
    </w:p>
    <w:p w14:paraId="3257FB82">
      <w:pPr>
        <w:keepNext/>
        <w:keepLines/>
        <w:spacing w:before="120" w:beforeLines="50" w:after="120" w:afterLines="50" w:line="360" w:lineRule="auto"/>
        <w:outlineLvl w:val="1"/>
        <w:rPr>
          <w:rFonts w:hint="eastAsia" w:ascii="宋体" w:hAnsi="宋体" w:cs="宋体"/>
          <w:color w:val="auto"/>
          <w:sz w:val="24"/>
          <w:szCs w:val="24"/>
          <w:highlight w:val="none"/>
        </w:rPr>
      </w:pPr>
      <w:bookmarkStart w:id="1447" w:name="_Toc486580380"/>
      <w:bookmarkStart w:id="1448" w:name="_Toc485323154"/>
      <w:bookmarkStart w:id="1449" w:name="_Toc497214049"/>
      <w:bookmarkStart w:id="1450" w:name="_Toc489280186"/>
      <w:bookmarkStart w:id="1451" w:name="_Toc497584040"/>
      <w:bookmarkStart w:id="1452" w:name="_Toc10235647"/>
      <w:bookmarkStart w:id="1453" w:name="_Toc490331671"/>
      <w:r>
        <w:rPr>
          <w:rFonts w:hint="eastAsia" w:ascii="宋体" w:hAnsi="宋体" w:cs="宋体"/>
          <w:color w:val="auto"/>
          <w:sz w:val="24"/>
          <w:szCs w:val="24"/>
          <w:highlight w:val="none"/>
        </w:rPr>
        <w:t>2.发包人义务</w:t>
      </w:r>
      <w:bookmarkEnd w:id="1447"/>
      <w:bookmarkEnd w:id="1448"/>
      <w:bookmarkEnd w:id="1449"/>
      <w:bookmarkEnd w:id="1450"/>
      <w:bookmarkEnd w:id="1451"/>
      <w:bookmarkEnd w:id="1452"/>
      <w:bookmarkEnd w:id="1453"/>
    </w:p>
    <w:p w14:paraId="4A0DF99B">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54" w:name="_Toc497214050"/>
      <w:bookmarkStart w:id="1455" w:name="_Toc489280187"/>
      <w:bookmarkStart w:id="1456" w:name="_Toc497584041"/>
      <w:bookmarkStart w:id="1457" w:name="_Toc486580381"/>
      <w:bookmarkStart w:id="1458" w:name="_Toc10235648"/>
      <w:bookmarkStart w:id="1459" w:name="_Toc490331672"/>
      <w:bookmarkStart w:id="1460" w:name="_Toc485323155"/>
      <w:r>
        <w:rPr>
          <w:rFonts w:hint="eastAsia" w:ascii="宋体" w:hAnsi="宋体" w:cs="宋体"/>
          <w:color w:val="auto"/>
          <w:kern w:val="0"/>
          <w:sz w:val="24"/>
          <w:szCs w:val="24"/>
          <w:highlight w:val="none"/>
        </w:rPr>
        <w:t>2.3  提供施工场地</w:t>
      </w:r>
      <w:bookmarkEnd w:id="1454"/>
      <w:bookmarkEnd w:id="1455"/>
      <w:bookmarkEnd w:id="1456"/>
      <w:bookmarkEnd w:id="1457"/>
      <w:bookmarkEnd w:id="1458"/>
      <w:bookmarkEnd w:id="1459"/>
      <w:bookmarkEnd w:id="1460"/>
    </w:p>
    <w:p w14:paraId="2AD69D3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发包人移交施工场地的期限：发包人应当将具备施工条件的施工场地，在监理人发出开工通知中载明的开工日期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7</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天前移交给承包人。</w:t>
      </w:r>
    </w:p>
    <w:p w14:paraId="7A7C6CB4">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61" w:name="_Toc497214051"/>
      <w:bookmarkStart w:id="1462" w:name="_Toc485323156"/>
      <w:bookmarkStart w:id="1463" w:name="_Toc489280188"/>
      <w:bookmarkStart w:id="1464" w:name="_Toc10235649"/>
      <w:bookmarkStart w:id="1465" w:name="_Toc490331673"/>
      <w:bookmarkStart w:id="1466" w:name="_Toc497584042"/>
      <w:bookmarkStart w:id="1467" w:name="_Toc486580382"/>
      <w:r>
        <w:rPr>
          <w:rFonts w:hint="eastAsia" w:ascii="宋体" w:hAnsi="宋体" w:cs="宋体"/>
          <w:color w:val="auto"/>
          <w:kern w:val="0"/>
          <w:sz w:val="24"/>
          <w:szCs w:val="24"/>
          <w:highlight w:val="none"/>
        </w:rPr>
        <w:t>2.8  向承包人提交支付担保</w:t>
      </w:r>
      <w:bookmarkEnd w:id="1461"/>
      <w:bookmarkEnd w:id="1462"/>
      <w:bookmarkEnd w:id="1463"/>
      <w:bookmarkEnd w:id="1464"/>
      <w:bookmarkEnd w:id="1465"/>
      <w:bookmarkEnd w:id="1466"/>
      <w:bookmarkEnd w:id="1467"/>
    </w:p>
    <w:p w14:paraId="4FE5B12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（1）发包人向承包人提交支付担保的金额：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无</w:t>
      </w:r>
      <w:r>
        <w:rPr>
          <w:rFonts w:hint="eastAsia" w:ascii="宋体" w:hAnsi="宋体" w:cs="宋体"/>
          <w:color w:val="auto"/>
          <w:sz w:val="24"/>
          <w:szCs w:val="24"/>
          <w:highlight w:val="none"/>
          <w:u w:val="single"/>
        </w:rPr>
        <w:t xml:space="preserve">  </w:t>
      </w:r>
    </w:p>
    <w:p w14:paraId="154E49FC">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68" w:name="_Toc489280189"/>
      <w:bookmarkStart w:id="1469" w:name="_Toc497584043"/>
      <w:bookmarkStart w:id="1470" w:name="_Toc490331674"/>
      <w:bookmarkStart w:id="1471" w:name="_Toc485323157"/>
      <w:bookmarkStart w:id="1472" w:name="_Toc486580383"/>
      <w:bookmarkStart w:id="1473" w:name="_Toc497214052"/>
      <w:bookmarkStart w:id="1474" w:name="_Toc10235650"/>
      <w:r>
        <w:rPr>
          <w:rFonts w:hint="eastAsia" w:ascii="宋体" w:hAnsi="宋体" w:cs="宋体"/>
          <w:color w:val="auto"/>
          <w:kern w:val="0"/>
          <w:sz w:val="24"/>
          <w:szCs w:val="24"/>
          <w:highlight w:val="none"/>
        </w:rPr>
        <w:t>2.13  其他义务</w:t>
      </w:r>
      <w:bookmarkEnd w:id="1468"/>
      <w:bookmarkEnd w:id="1469"/>
      <w:bookmarkEnd w:id="1470"/>
      <w:bookmarkEnd w:id="1471"/>
      <w:bookmarkEnd w:id="1472"/>
      <w:bookmarkEnd w:id="1473"/>
      <w:bookmarkEnd w:id="1474"/>
    </w:p>
    <w:p w14:paraId="0158E29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发包人应当履行的其他义务：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741290CF">
      <w:pPr>
        <w:keepNext/>
        <w:keepLines/>
        <w:spacing w:before="120" w:beforeLines="50" w:after="120" w:afterLines="50" w:line="360" w:lineRule="auto"/>
        <w:outlineLvl w:val="1"/>
        <w:rPr>
          <w:rFonts w:hint="eastAsia" w:ascii="宋体" w:hAnsi="宋体" w:cs="宋体"/>
          <w:color w:val="auto"/>
          <w:sz w:val="24"/>
          <w:szCs w:val="24"/>
          <w:highlight w:val="none"/>
        </w:rPr>
      </w:pPr>
      <w:bookmarkStart w:id="1475" w:name="_Toc489280190"/>
      <w:bookmarkStart w:id="1476" w:name="_Toc10235651"/>
      <w:bookmarkStart w:id="1477" w:name="_Toc490331675"/>
      <w:bookmarkStart w:id="1478" w:name="_Toc486580384"/>
      <w:bookmarkStart w:id="1479" w:name="_Toc497584044"/>
      <w:bookmarkStart w:id="1480" w:name="_Toc485323158"/>
      <w:bookmarkStart w:id="1481" w:name="_Toc497214053"/>
      <w:r>
        <w:rPr>
          <w:rFonts w:hint="eastAsia" w:ascii="宋体" w:hAnsi="宋体" w:cs="宋体"/>
          <w:color w:val="auto"/>
          <w:sz w:val="24"/>
          <w:szCs w:val="24"/>
          <w:highlight w:val="none"/>
        </w:rPr>
        <w:t>3.监理人</w:t>
      </w:r>
      <w:bookmarkEnd w:id="1475"/>
      <w:bookmarkEnd w:id="1476"/>
      <w:bookmarkEnd w:id="1477"/>
      <w:bookmarkEnd w:id="1478"/>
      <w:bookmarkEnd w:id="1479"/>
      <w:bookmarkEnd w:id="1480"/>
      <w:bookmarkEnd w:id="1481"/>
    </w:p>
    <w:p w14:paraId="366F4791">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82" w:name="_Toc486580385"/>
      <w:bookmarkStart w:id="1483" w:name="_Toc497584045"/>
      <w:bookmarkStart w:id="1484" w:name="_Toc485323159"/>
      <w:bookmarkStart w:id="1485" w:name="_Toc490331676"/>
      <w:bookmarkStart w:id="1486" w:name="_Toc497214054"/>
      <w:bookmarkStart w:id="1487" w:name="_Toc10235652"/>
      <w:bookmarkStart w:id="1488" w:name="_Toc489280191"/>
      <w:r>
        <w:rPr>
          <w:rFonts w:hint="eastAsia" w:ascii="宋体" w:hAnsi="宋体" w:cs="宋体"/>
          <w:color w:val="auto"/>
          <w:kern w:val="0"/>
          <w:sz w:val="24"/>
          <w:szCs w:val="24"/>
          <w:highlight w:val="none"/>
        </w:rPr>
        <w:t>3.1  监理人的职责和权力</w:t>
      </w:r>
      <w:bookmarkEnd w:id="1482"/>
      <w:bookmarkEnd w:id="1483"/>
      <w:bookmarkEnd w:id="1484"/>
      <w:bookmarkEnd w:id="1485"/>
      <w:bookmarkEnd w:id="1486"/>
      <w:bookmarkEnd w:id="1487"/>
      <w:bookmarkEnd w:id="1488"/>
    </w:p>
    <w:p w14:paraId="46F32D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3.1.1  发包人需批准明确行使的权力：</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开工令、复工令、停工令，合同内工程款支付及所有涉及合同价款与费用变化的工程变更、洽商的签订与支付。</w:t>
      </w:r>
      <w:r>
        <w:rPr>
          <w:rFonts w:hint="eastAsia" w:ascii="宋体" w:hAnsi="宋体" w:cs="宋体"/>
          <w:color w:val="auto"/>
          <w:sz w:val="24"/>
          <w:szCs w:val="24"/>
          <w:highlight w:val="none"/>
          <w:u w:val="single"/>
        </w:rPr>
        <w:t xml:space="preserve">                   </w:t>
      </w:r>
    </w:p>
    <w:p w14:paraId="237F8140">
      <w:pPr>
        <w:keepNext/>
        <w:keepLines/>
        <w:spacing w:before="120" w:beforeLines="50" w:after="120" w:afterLines="50" w:line="360" w:lineRule="auto"/>
        <w:outlineLvl w:val="1"/>
        <w:rPr>
          <w:rFonts w:hint="eastAsia" w:ascii="宋体" w:hAnsi="宋体" w:cs="宋体"/>
          <w:color w:val="auto"/>
          <w:sz w:val="24"/>
          <w:szCs w:val="24"/>
          <w:highlight w:val="none"/>
        </w:rPr>
      </w:pPr>
      <w:bookmarkStart w:id="1489" w:name="_Toc10235653"/>
      <w:bookmarkStart w:id="1490" w:name="_Toc489280192"/>
      <w:bookmarkStart w:id="1491" w:name="_Toc485323160"/>
      <w:bookmarkStart w:id="1492" w:name="_Toc490331677"/>
      <w:bookmarkStart w:id="1493" w:name="_Toc486580386"/>
      <w:bookmarkStart w:id="1494" w:name="_Toc497214055"/>
      <w:bookmarkStart w:id="1495" w:name="_Toc497584046"/>
      <w:r>
        <w:rPr>
          <w:rFonts w:hint="eastAsia" w:ascii="宋体" w:hAnsi="宋体" w:cs="宋体"/>
          <w:color w:val="auto"/>
          <w:sz w:val="24"/>
          <w:szCs w:val="24"/>
          <w:highlight w:val="none"/>
        </w:rPr>
        <w:t>4.承包人</w:t>
      </w:r>
      <w:bookmarkEnd w:id="1489"/>
      <w:bookmarkEnd w:id="1490"/>
      <w:bookmarkEnd w:id="1491"/>
      <w:bookmarkEnd w:id="1492"/>
      <w:bookmarkEnd w:id="1493"/>
      <w:bookmarkEnd w:id="1494"/>
      <w:bookmarkEnd w:id="1495"/>
    </w:p>
    <w:p w14:paraId="141D8355">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496" w:name="_Toc486580387"/>
      <w:bookmarkStart w:id="1497" w:name="_Toc485323161"/>
      <w:bookmarkStart w:id="1498" w:name="_Toc497214056"/>
      <w:bookmarkStart w:id="1499" w:name="_Toc489280193"/>
      <w:bookmarkStart w:id="1500" w:name="_Toc10235654"/>
      <w:bookmarkStart w:id="1501" w:name="_Toc490331678"/>
      <w:bookmarkStart w:id="1502" w:name="_Toc497584047"/>
      <w:r>
        <w:rPr>
          <w:rFonts w:hint="eastAsia" w:ascii="宋体" w:hAnsi="宋体" w:cs="宋体"/>
          <w:color w:val="auto"/>
          <w:kern w:val="0"/>
          <w:sz w:val="24"/>
          <w:szCs w:val="24"/>
          <w:highlight w:val="none"/>
        </w:rPr>
        <w:t>4.1  承包人的一般义务</w:t>
      </w:r>
      <w:bookmarkEnd w:id="1496"/>
      <w:bookmarkEnd w:id="1497"/>
      <w:bookmarkEnd w:id="1498"/>
      <w:bookmarkEnd w:id="1499"/>
      <w:bookmarkEnd w:id="1500"/>
      <w:bookmarkEnd w:id="1501"/>
      <w:bookmarkEnd w:id="1502"/>
    </w:p>
    <w:p w14:paraId="022D651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4.1.8  为他人提供方便</w:t>
      </w:r>
    </w:p>
    <w:p w14:paraId="53C11777">
      <w:pPr>
        <w:spacing w:line="360" w:lineRule="auto"/>
        <w:ind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（1）承包人应当对在施工场地或者附近实施与合同工程有关的其他工作的独立承包人履行管理、协调、配合、照管和服务义务的具体工作内容和要求：</w:t>
      </w:r>
    </w:p>
    <w:p w14:paraId="2B9D8D0F">
      <w:pPr>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1.承担施工安全保卫工作及非夜间施工照明的职责和要求：符合北京市有关安全防护、文明施工的规定，满足施工条件。</w:t>
      </w:r>
    </w:p>
    <w:p w14:paraId="7D9B155E">
      <w:pPr>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2.需承包人办理的有关施工场地交通、环卫和施工噪音管理等手续：均由</w:t>
      </w:r>
      <w:r>
        <w:rPr>
          <w:rFonts w:hint="eastAsia" w:ascii="宋体" w:hAnsi="宋体" w:cs="宋体"/>
          <w:color w:val="auto"/>
          <w:sz w:val="24"/>
          <w:szCs w:val="24"/>
          <w:highlight w:val="none"/>
          <w:u w:val="single"/>
          <w:lang w:val="en-US" w:eastAsia="zh-CN"/>
        </w:rPr>
        <w:t>发</w:t>
      </w:r>
      <w:r>
        <w:rPr>
          <w:rFonts w:hint="eastAsia" w:ascii="宋体" w:hAnsi="宋体" w:cs="宋体"/>
          <w:color w:val="auto"/>
          <w:sz w:val="24"/>
          <w:szCs w:val="24"/>
          <w:highlight w:val="none"/>
          <w:u w:val="single"/>
        </w:rPr>
        <w:t>包人负责，开工前办理、协调完。</w:t>
      </w:r>
    </w:p>
    <w:p w14:paraId="2E03A35A">
      <w:pPr>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3.已完工程成品保护的特殊要求及费用承担：已完工程未交付发包人前，承包人负责成品保护。</w:t>
      </w:r>
    </w:p>
    <w:p w14:paraId="23809F00">
      <w:pPr>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 xml:space="preserve">4.施工场地周围地下管线和邻近建筑物、构筑物（含文物保护建筑）、古树名木的保护要求及费用承担：见会签记录。若发现地下各种已有的现状管线及电缆等，必须通知监理单位与发包人落实、配合、确定解决方案后进行实施。如承包人未通知监理单位和发包人，责任由承包人自行承担。 </w:t>
      </w:r>
    </w:p>
    <w:p w14:paraId="69E89FF1">
      <w:pPr>
        <w:spacing w:line="360" w:lineRule="auto"/>
        <w:ind w:firstLine="360" w:firstLineChars="15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5.施工场地清洁卫生的要求： 达到北京市建设工程环境保护、文明施工现场标准，工程竣工后做到场地干净。</w:t>
      </w:r>
    </w:p>
    <w:p w14:paraId="572CAB3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6.负责本工程的统筹安排与管理。  </w:t>
      </w:r>
    </w:p>
    <w:p w14:paraId="41A42D9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4.1.10  承包人的设计工作 </w:t>
      </w:r>
    </w:p>
    <w:p w14:paraId="44FBAC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承包人承担的施工图设计或与工程配套的设计工作内容：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DC989F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4.1.12  其他义务  </w:t>
      </w:r>
    </w:p>
    <w:p w14:paraId="53998BD3">
      <w:pPr>
        <w:spacing w:line="360" w:lineRule="auto"/>
        <w:ind w:firstLine="480" w:firstLineChars="200"/>
        <w:rPr>
          <w:rFonts w:hint="eastAsia" w:ascii="宋体" w:hAnsi="宋体" w:cs="宋体"/>
          <w:color w:val="auto"/>
          <w:sz w:val="24"/>
          <w:szCs w:val="24"/>
          <w:highlight w:val="none"/>
        </w:rPr>
      </w:pPr>
      <w:bookmarkStart w:id="1503" w:name="_Hlk8723501"/>
      <w:r>
        <w:rPr>
          <w:rFonts w:hint="eastAsia" w:ascii="宋体" w:hAnsi="宋体" w:cs="宋体"/>
          <w:color w:val="auto"/>
          <w:sz w:val="24"/>
          <w:szCs w:val="24"/>
          <w:highlight w:val="none"/>
        </w:rPr>
        <w:t>（1）安全文明施工费由承包人统一管理，承包人对工程安全文明施工负总责。承包人不按分包合同约定支付安全文明施工费，造成分包人不能及时落实安全防护措施导致发生事故的，由承包人负主要责任。</w:t>
      </w:r>
    </w:p>
    <w:p w14:paraId="2910BC6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（2）对于超过一定规模的危大工程（如有），承包人应当组织召开专家论证会对专项施工方案进行论证，并根据专家论证意见对专项方案进行调整，发包人原因造成的专项方案调整，其费用变化由发包人承担。</w:t>
      </w:r>
    </w:p>
    <w:p w14:paraId="22E772E1">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（3）承包人应履行的其他义务：</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bookmarkEnd w:id="1503"/>
    <w:p w14:paraId="25FE8B3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04" w:name="_Toc489280194"/>
      <w:bookmarkStart w:id="1505" w:name="_Toc497214057"/>
      <w:bookmarkStart w:id="1506" w:name="_Toc486580388"/>
      <w:bookmarkStart w:id="1507" w:name="_Toc497584048"/>
      <w:bookmarkStart w:id="1508" w:name="_Toc10235655"/>
      <w:bookmarkStart w:id="1509" w:name="_Toc490331679"/>
      <w:bookmarkStart w:id="1510" w:name="_Toc485323162"/>
      <w:r>
        <w:rPr>
          <w:rFonts w:hint="eastAsia" w:ascii="宋体" w:hAnsi="宋体" w:cs="宋体"/>
          <w:color w:val="auto"/>
          <w:kern w:val="0"/>
          <w:sz w:val="24"/>
          <w:szCs w:val="24"/>
          <w:highlight w:val="none"/>
        </w:rPr>
        <w:t>4.2  履约担保</w:t>
      </w:r>
      <w:bookmarkEnd w:id="1504"/>
      <w:bookmarkEnd w:id="1505"/>
      <w:bookmarkEnd w:id="1506"/>
      <w:bookmarkEnd w:id="1507"/>
      <w:bookmarkEnd w:id="1508"/>
      <w:bookmarkEnd w:id="1509"/>
      <w:bookmarkEnd w:id="1510"/>
      <w:r>
        <w:rPr>
          <w:rFonts w:hint="eastAsia" w:ascii="宋体" w:hAnsi="宋体" w:cs="宋体"/>
          <w:color w:val="auto"/>
          <w:kern w:val="0"/>
          <w:sz w:val="24"/>
          <w:szCs w:val="24"/>
          <w:highlight w:val="none"/>
        </w:rPr>
        <w:t xml:space="preserve"> </w:t>
      </w:r>
    </w:p>
    <w:p w14:paraId="2BF65B2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4.2.1  承包人履约担保的格式和金额</w:t>
      </w:r>
    </w:p>
    <w:p w14:paraId="2225DB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不要求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（要求/不要求）承包人提供承包人履约担保。</w:t>
      </w:r>
    </w:p>
    <w:p w14:paraId="4E75CF7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承包人履约担保的金额为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46DC80A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11" w:name="_Toc485323163"/>
      <w:bookmarkStart w:id="1512" w:name="_Toc486580389"/>
      <w:bookmarkStart w:id="1513" w:name="_Toc489280195"/>
      <w:bookmarkStart w:id="1514" w:name="_Toc10235656"/>
      <w:bookmarkStart w:id="1515" w:name="_Toc497214058"/>
      <w:bookmarkStart w:id="1516" w:name="_Toc490331680"/>
      <w:bookmarkStart w:id="1517" w:name="_Toc497584049"/>
      <w:r>
        <w:rPr>
          <w:rFonts w:hint="eastAsia" w:ascii="宋体" w:hAnsi="宋体" w:cs="宋体"/>
          <w:color w:val="auto"/>
          <w:kern w:val="0"/>
          <w:sz w:val="24"/>
          <w:szCs w:val="24"/>
          <w:highlight w:val="none"/>
        </w:rPr>
        <w:t>4.11  不利物质条件</w:t>
      </w:r>
      <w:bookmarkEnd w:id="1511"/>
      <w:bookmarkEnd w:id="1512"/>
      <w:bookmarkEnd w:id="1513"/>
      <w:bookmarkEnd w:id="1514"/>
      <w:bookmarkEnd w:id="1515"/>
      <w:bookmarkEnd w:id="1516"/>
      <w:bookmarkEnd w:id="1517"/>
    </w:p>
    <w:p w14:paraId="6281DEF3">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4.11.1  不利物质条件的范围：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6C7F9EFF">
      <w:pPr>
        <w:keepNext/>
        <w:keepLines/>
        <w:spacing w:before="120" w:beforeLines="50" w:after="120" w:afterLines="50" w:line="360" w:lineRule="auto"/>
        <w:outlineLvl w:val="1"/>
        <w:rPr>
          <w:rFonts w:hint="eastAsia" w:ascii="宋体" w:hAnsi="宋体" w:cs="宋体"/>
          <w:color w:val="auto"/>
          <w:sz w:val="24"/>
          <w:szCs w:val="24"/>
          <w:highlight w:val="none"/>
        </w:rPr>
      </w:pPr>
      <w:bookmarkStart w:id="1518" w:name="_Toc497214059"/>
      <w:bookmarkStart w:id="1519" w:name="_Toc485323164"/>
      <w:bookmarkStart w:id="1520" w:name="_Toc490331681"/>
      <w:bookmarkStart w:id="1521" w:name="_Toc489280196"/>
      <w:bookmarkStart w:id="1522" w:name="_Toc497584050"/>
      <w:bookmarkStart w:id="1523" w:name="_Toc486580390"/>
      <w:bookmarkStart w:id="1524" w:name="_Toc10235657"/>
      <w:r>
        <w:rPr>
          <w:rFonts w:hint="eastAsia" w:ascii="宋体" w:hAnsi="宋体" w:cs="宋体"/>
          <w:color w:val="auto"/>
          <w:sz w:val="24"/>
          <w:szCs w:val="24"/>
          <w:highlight w:val="none"/>
        </w:rPr>
        <w:t>5.材料和工程设备</w:t>
      </w:r>
      <w:bookmarkEnd w:id="1518"/>
      <w:bookmarkEnd w:id="1519"/>
      <w:bookmarkEnd w:id="1520"/>
      <w:bookmarkEnd w:id="1521"/>
      <w:bookmarkEnd w:id="1522"/>
      <w:bookmarkEnd w:id="1523"/>
      <w:bookmarkEnd w:id="1524"/>
    </w:p>
    <w:p w14:paraId="76FC4330">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25" w:name="_Toc485323165"/>
      <w:bookmarkStart w:id="1526" w:name="_Toc486580391"/>
      <w:bookmarkStart w:id="1527" w:name="_Toc497214060"/>
      <w:bookmarkStart w:id="1528" w:name="_Toc490331682"/>
      <w:bookmarkStart w:id="1529" w:name="_Toc497584051"/>
      <w:bookmarkStart w:id="1530" w:name="_Toc10235658"/>
      <w:bookmarkStart w:id="1531" w:name="_Toc489280197"/>
      <w:r>
        <w:rPr>
          <w:rFonts w:hint="eastAsia" w:ascii="宋体" w:hAnsi="宋体" w:cs="宋体"/>
          <w:color w:val="auto"/>
          <w:kern w:val="0"/>
          <w:sz w:val="24"/>
          <w:szCs w:val="24"/>
          <w:highlight w:val="none"/>
        </w:rPr>
        <w:t>5.1  承包人提供的材料和工程设备</w:t>
      </w:r>
      <w:bookmarkEnd w:id="1525"/>
      <w:bookmarkEnd w:id="1526"/>
      <w:bookmarkEnd w:id="1527"/>
      <w:bookmarkEnd w:id="1528"/>
      <w:bookmarkEnd w:id="1529"/>
      <w:bookmarkEnd w:id="1530"/>
      <w:bookmarkEnd w:id="1531"/>
    </w:p>
    <w:p w14:paraId="22E8573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5.1.2 承包人将由其提供的材料和工程设备的供货人和品种、规格、数量及供货时间等报送监理人审批的期限：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提前七日历天</w:t>
      </w:r>
      <w:r>
        <w:rPr>
          <w:rFonts w:hint="eastAsia" w:ascii="宋体" w:hAnsi="宋体" w:cs="宋体"/>
          <w:color w:val="auto"/>
          <w:sz w:val="24"/>
          <w:szCs w:val="24"/>
          <w:highlight w:val="none"/>
          <w:u w:val="single"/>
        </w:rPr>
        <w:t xml:space="preserve">  </w:t>
      </w:r>
    </w:p>
    <w:p w14:paraId="5CD0887B">
      <w:pPr>
        <w:keepNext/>
        <w:keepLines/>
        <w:spacing w:before="120" w:beforeLines="50" w:after="120" w:afterLines="50" w:line="360" w:lineRule="auto"/>
        <w:outlineLvl w:val="1"/>
        <w:rPr>
          <w:rFonts w:hint="eastAsia" w:ascii="宋体" w:hAnsi="宋体" w:cs="宋体"/>
          <w:color w:val="auto"/>
          <w:sz w:val="24"/>
          <w:szCs w:val="24"/>
          <w:highlight w:val="none"/>
        </w:rPr>
      </w:pPr>
      <w:bookmarkStart w:id="1532" w:name="_Toc486580392"/>
      <w:bookmarkStart w:id="1533" w:name="_Toc497214061"/>
      <w:bookmarkStart w:id="1534" w:name="_Toc485323166"/>
      <w:bookmarkStart w:id="1535" w:name="_Toc10235659"/>
      <w:bookmarkStart w:id="1536" w:name="_Toc489280198"/>
      <w:bookmarkStart w:id="1537" w:name="_Toc490331683"/>
      <w:bookmarkStart w:id="1538" w:name="_Toc497584052"/>
      <w:r>
        <w:rPr>
          <w:rFonts w:hint="eastAsia" w:ascii="宋体" w:hAnsi="宋体" w:cs="宋体"/>
          <w:color w:val="auto"/>
          <w:sz w:val="24"/>
          <w:szCs w:val="24"/>
          <w:highlight w:val="none"/>
        </w:rPr>
        <w:t>6.施工设备和临时设施</w:t>
      </w:r>
      <w:bookmarkEnd w:id="1532"/>
      <w:bookmarkEnd w:id="1533"/>
      <w:bookmarkEnd w:id="1534"/>
      <w:bookmarkEnd w:id="1535"/>
      <w:bookmarkEnd w:id="1536"/>
      <w:bookmarkEnd w:id="1537"/>
      <w:bookmarkEnd w:id="1538"/>
    </w:p>
    <w:p w14:paraId="49F23D9A">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39" w:name="_Toc486580393"/>
      <w:bookmarkStart w:id="1540" w:name="_Toc497214062"/>
      <w:bookmarkStart w:id="1541" w:name="_Toc497584053"/>
      <w:bookmarkStart w:id="1542" w:name="_Toc490331684"/>
      <w:bookmarkStart w:id="1543" w:name="_Toc10235660"/>
      <w:bookmarkStart w:id="1544" w:name="_Toc485323167"/>
      <w:bookmarkStart w:id="1545" w:name="_Toc489280199"/>
      <w:r>
        <w:rPr>
          <w:rFonts w:hint="eastAsia" w:ascii="宋体" w:hAnsi="宋体" w:cs="宋体"/>
          <w:color w:val="auto"/>
          <w:kern w:val="0"/>
          <w:sz w:val="24"/>
          <w:szCs w:val="24"/>
          <w:highlight w:val="none"/>
        </w:rPr>
        <w:t>6.1  承包人提供的施工设备和临时设施</w:t>
      </w:r>
      <w:bookmarkEnd w:id="1539"/>
      <w:bookmarkEnd w:id="1540"/>
      <w:bookmarkEnd w:id="1541"/>
      <w:bookmarkEnd w:id="1542"/>
      <w:bookmarkEnd w:id="1543"/>
      <w:bookmarkEnd w:id="1544"/>
      <w:bookmarkEnd w:id="1545"/>
    </w:p>
    <w:p w14:paraId="6E76A2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6.1.2  承包人承担自行修建临时设施费用的范围：</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4543261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发包人办理申请手续并承担相关费用的临时占地：</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086A8DA2">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46" w:name="_Toc10235661"/>
      <w:bookmarkStart w:id="1547" w:name="_Toc497584054"/>
      <w:bookmarkStart w:id="1548" w:name="_Toc490331685"/>
      <w:bookmarkStart w:id="1549" w:name="_Toc497214063"/>
      <w:bookmarkStart w:id="1550" w:name="_Toc489280200"/>
      <w:bookmarkStart w:id="1551" w:name="_Toc485323168"/>
      <w:bookmarkStart w:id="1552" w:name="_Toc486580394"/>
      <w:r>
        <w:rPr>
          <w:rFonts w:hint="eastAsia" w:ascii="宋体" w:hAnsi="宋体" w:cs="宋体"/>
          <w:color w:val="auto"/>
          <w:kern w:val="0"/>
          <w:sz w:val="24"/>
          <w:szCs w:val="24"/>
          <w:highlight w:val="none"/>
        </w:rPr>
        <w:t>6.2  发包人提供的施工设备和临时设施</w:t>
      </w:r>
      <w:bookmarkEnd w:id="1546"/>
      <w:bookmarkEnd w:id="1547"/>
      <w:bookmarkEnd w:id="1548"/>
      <w:bookmarkEnd w:id="1549"/>
      <w:bookmarkEnd w:id="1550"/>
      <w:bookmarkEnd w:id="1551"/>
      <w:bookmarkEnd w:id="1552"/>
    </w:p>
    <w:p w14:paraId="57298C6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发包人提供的施工设备和临时设施：</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9DEF4D1">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发包人提供的施工设备和临时设施的运行、维护、拆除、清运费用的承担人：</w:t>
      </w:r>
      <w:r>
        <w:rPr>
          <w:rFonts w:hint="eastAsia" w:ascii="宋体" w:hAnsi="宋体" w:eastAsia="宋体" w:cs="宋体"/>
          <w:color w:val="auto"/>
          <w:sz w:val="24"/>
          <w:szCs w:val="24"/>
          <w:highlight w:val="none"/>
          <w:u w:val="single"/>
        </w:rPr>
        <w:t>承包人</w:t>
      </w:r>
    </w:p>
    <w:p w14:paraId="6D0CD9AC">
      <w:pPr>
        <w:keepNext/>
        <w:keepLines/>
        <w:spacing w:before="120" w:beforeLines="50" w:after="120" w:afterLines="50" w:line="360" w:lineRule="auto"/>
        <w:outlineLvl w:val="1"/>
        <w:rPr>
          <w:rFonts w:hint="eastAsia" w:ascii="宋体" w:hAnsi="宋体" w:cs="宋体"/>
          <w:color w:val="auto"/>
          <w:sz w:val="24"/>
          <w:szCs w:val="24"/>
          <w:highlight w:val="none"/>
        </w:rPr>
      </w:pPr>
      <w:bookmarkStart w:id="1553" w:name="_Toc485323169"/>
      <w:bookmarkStart w:id="1554" w:name="_Toc497584055"/>
      <w:bookmarkStart w:id="1555" w:name="_Toc489280201"/>
      <w:bookmarkStart w:id="1556" w:name="_Toc490331686"/>
      <w:bookmarkStart w:id="1557" w:name="_Toc497214064"/>
      <w:bookmarkStart w:id="1558" w:name="_Toc486580395"/>
      <w:bookmarkStart w:id="1559" w:name="_Toc10235662"/>
      <w:r>
        <w:rPr>
          <w:rFonts w:hint="eastAsia" w:ascii="宋体" w:hAnsi="宋体" w:cs="宋体"/>
          <w:color w:val="auto"/>
          <w:sz w:val="24"/>
          <w:szCs w:val="24"/>
          <w:highlight w:val="none"/>
        </w:rPr>
        <w:t>7.交通运输</w:t>
      </w:r>
      <w:bookmarkEnd w:id="1553"/>
      <w:bookmarkEnd w:id="1554"/>
      <w:bookmarkEnd w:id="1555"/>
      <w:bookmarkEnd w:id="1556"/>
      <w:bookmarkEnd w:id="1557"/>
      <w:bookmarkEnd w:id="1558"/>
      <w:bookmarkEnd w:id="1559"/>
    </w:p>
    <w:p w14:paraId="70E405AE">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60" w:name="_Toc486580396"/>
      <w:bookmarkStart w:id="1561" w:name="_Toc10235663"/>
      <w:bookmarkStart w:id="1562" w:name="_Toc490331687"/>
      <w:bookmarkStart w:id="1563" w:name="_Toc497584056"/>
      <w:bookmarkStart w:id="1564" w:name="_Toc497214065"/>
      <w:bookmarkStart w:id="1565" w:name="_Toc485323170"/>
      <w:bookmarkStart w:id="1566" w:name="_Toc489280202"/>
      <w:r>
        <w:rPr>
          <w:rFonts w:hint="eastAsia" w:ascii="宋体" w:hAnsi="宋体" w:cs="宋体"/>
          <w:color w:val="auto"/>
          <w:kern w:val="0"/>
          <w:sz w:val="24"/>
          <w:szCs w:val="24"/>
          <w:highlight w:val="none"/>
        </w:rPr>
        <w:t>7.1  道路通行权和场外设施</w:t>
      </w:r>
      <w:bookmarkEnd w:id="1560"/>
      <w:bookmarkEnd w:id="1561"/>
      <w:bookmarkEnd w:id="1562"/>
      <w:bookmarkEnd w:id="1563"/>
      <w:bookmarkEnd w:id="1564"/>
      <w:bookmarkEnd w:id="1565"/>
      <w:bookmarkEnd w:id="1566"/>
    </w:p>
    <w:p w14:paraId="4C848DA0">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负责取得道路通行权、场外设施修建权的办理人:</w:t>
      </w:r>
      <w:r>
        <w:rPr>
          <w:rFonts w:hint="eastAsia" w:ascii="宋体" w:hAnsi="宋体" w:eastAsia="宋体" w:cs="宋体"/>
          <w:color w:val="auto"/>
          <w:sz w:val="24"/>
          <w:szCs w:val="24"/>
          <w:highlight w:val="none"/>
          <w:u w:val="single"/>
          <w:lang w:val="en-US" w:eastAsia="zh-CN"/>
        </w:rPr>
        <w:t>发</w:t>
      </w:r>
      <w:r>
        <w:rPr>
          <w:rFonts w:hint="eastAsia" w:ascii="宋体" w:hAnsi="宋体" w:eastAsia="宋体" w:cs="宋体"/>
          <w:color w:val="auto"/>
          <w:sz w:val="24"/>
          <w:szCs w:val="24"/>
          <w:highlight w:val="none"/>
          <w:u w:val="single"/>
        </w:rPr>
        <w:t>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，其相关费用由发包人承担。                       </w:t>
      </w:r>
    </w:p>
    <w:p w14:paraId="7D9772C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67" w:name="_Toc490331688"/>
      <w:bookmarkStart w:id="1568" w:name="_Toc485323171"/>
      <w:bookmarkStart w:id="1569" w:name="_Toc10235664"/>
      <w:bookmarkStart w:id="1570" w:name="_Toc489280203"/>
      <w:bookmarkStart w:id="1571" w:name="_Toc497214066"/>
      <w:bookmarkStart w:id="1572" w:name="_Toc486580397"/>
      <w:bookmarkStart w:id="1573" w:name="_Toc497584057"/>
      <w:r>
        <w:rPr>
          <w:rFonts w:hint="eastAsia" w:ascii="宋体" w:hAnsi="宋体" w:cs="宋体"/>
          <w:color w:val="auto"/>
          <w:kern w:val="0"/>
          <w:sz w:val="24"/>
          <w:szCs w:val="24"/>
          <w:highlight w:val="none"/>
        </w:rPr>
        <w:t>7.2  场内施工道路</w:t>
      </w:r>
      <w:bookmarkEnd w:id="1567"/>
      <w:bookmarkEnd w:id="1568"/>
      <w:bookmarkEnd w:id="1569"/>
      <w:bookmarkEnd w:id="1570"/>
      <w:bookmarkEnd w:id="1571"/>
      <w:bookmarkEnd w:id="1572"/>
      <w:bookmarkEnd w:id="1573"/>
    </w:p>
    <w:p w14:paraId="104F147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7.2.1  施工所需的场内临时道路和交通设施的修建、维护、养护和管理人：</w:t>
      </w:r>
      <w:r>
        <w:rPr>
          <w:rFonts w:hint="eastAsia" w:ascii="宋体" w:hAnsi="宋体" w:eastAsia="宋体" w:cs="宋体"/>
          <w:color w:val="auto"/>
          <w:sz w:val="24"/>
          <w:szCs w:val="24"/>
          <w:highlight w:val="none"/>
          <w:u w:val="single"/>
          <w:lang w:val="en-US" w:eastAsia="zh-CN"/>
        </w:rPr>
        <w:t>发</w:t>
      </w:r>
      <w:r>
        <w:rPr>
          <w:rFonts w:hint="eastAsia" w:ascii="宋体" w:hAnsi="宋体" w:eastAsia="宋体" w:cs="宋体"/>
          <w:color w:val="auto"/>
          <w:sz w:val="24"/>
          <w:szCs w:val="24"/>
          <w:highlight w:val="none"/>
          <w:u w:val="single"/>
        </w:rPr>
        <w:t>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，相关费用由</w:t>
      </w:r>
      <w:r>
        <w:rPr>
          <w:rFonts w:hint="eastAsia" w:ascii="宋体" w:hAnsi="宋体" w:eastAsia="宋体" w:cs="宋体"/>
          <w:color w:val="auto"/>
          <w:sz w:val="24"/>
          <w:szCs w:val="24"/>
          <w:highlight w:val="none"/>
          <w:u w:val="single"/>
          <w:lang w:val="en-US" w:eastAsia="zh-CN"/>
        </w:rPr>
        <w:t>发</w:t>
      </w:r>
      <w:r>
        <w:rPr>
          <w:rFonts w:hint="eastAsia" w:ascii="宋体" w:hAnsi="宋体" w:eastAsia="宋体" w:cs="宋体"/>
          <w:color w:val="auto"/>
          <w:sz w:val="24"/>
          <w:szCs w:val="24"/>
          <w:highlight w:val="none"/>
          <w:u w:val="single"/>
        </w:rPr>
        <w:t>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承担。</w:t>
      </w:r>
    </w:p>
    <w:p w14:paraId="4A651715">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74" w:name="_Toc10235665"/>
      <w:bookmarkStart w:id="1575" w:name="_Toc497214067"/>
      <w:bookmarkStart w:id="1576" w:name="_Toc489280204"/>
      <w:bookmarkStart w:id="1577" w:name="_Toc497584058"/>
      <w:bookmarkStart w:id="1578" w:name="_Toc485323172"/>
      <w:bookmarkStart w:id="1579" w:name="_Toc486580398"/>
      <w:bookmarkStart w:id="1580" w:name="_Toc490331689"/>
      <w:r>
        <w:rPr>
          <w:rFonts w:hint="eastAsia" w:ascii="宋体" w:hAnsi="宋体" w:cs="宋体"/>
          <w:color w:val="auto"/>
          <w:kern w:val="0"/>
          <w:sz w:val="24"/>
          <w:szCs w:val="24"/>
          <w:highlight w:val="none"/>
        </w:rPr>
        <w:t>7.4  超大件和超重件的运输</w:t>
      </w:r>
      <w:bookmarkEnd w:id="1574"/>
      <w:bookmarkEnd w:id="1575"/>
      <w:bookmarkEnd w:id="1576"/>
      <w:bookmarkEnd w:id="1577"/>
      <w:bookmarkEnd w:id="1578"/>
      <w:bookmarkEnd w:id="1579"/>
      <w:bookmarkEnd w:id="1580"/>
    </w:p>
    <w:p w14:paraId="48BEE8D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运输超大件或超重件所需的道路和桥梁临时加固改造等费用的承担人：</w:t>
      </w:r>
      <w:r>
        <w:rPr>
          <w:rFonts w:hint="eastAsia" w:ascii="宋体" w:hAnsi="宋体" w:eastAsia="宋体" w:cs="宋体"/>
          <w:color w:val="auto"/>
          <w:sz w:val="24"/>
          <w:szCs w:val="24"/>
          <w:highlight w:val="none"/>
          <w:u w:val="single"/>
        </w:rPr>
        <w:t>承包人</w:t>
      </w:r>
    </w:p>
    <w:p w14:paraId="78E24779">
      <w:pPr>
        <w:keepNext/>
        <w:keepLines/>
        <w:spacing w:before="120" w:beforeLines="50" w:after="120" w:afterLines="50" w:line="360" w:lineRule="auto"/>
        <w:outlineLvl w:val="1"/>
        <w:rPr>
          <w:rFonts w:hint="eastAsia" w:ascii="宋体" w:hAnsi="宋体" w:cs="宋体"/>
          <w:color w:val="auto"/>
          <w:sz w:val="24"/>
          <w:szCs w:val="24"/>
          <w:highlight w:val="none"/>
        </w:rPr>
      </w:pPr>
      <w:bookmarkStart w:id="1581" w:name="_Toc497584059"/>
      <w:bookmarkStart w:id="1582" w:name="_Toc10235666"/>
      <w:bookmarkStart w:id="1583" w:name="_Toc486580399"/>
      <w:bookmarkStart w:id="1584" w:name="_Toc497214068"/>
      <w:bookmarkStart w:id="1585" w:name="_Toc490331690"/>
      <w:bookmarkStart w:id="1586" w:name="_Toc485323173"/>
      <w:bookmarkStart w:id="1587" w:name="_Toc489280205"/>
      <w:r>
        <w:rPr>
          <w:rFonts w:hint="eastAsia" w:ascii="宋体" w:hAnsi="宋体" w:cs="宋体"/>
          <w:color w:val="auto"/>
          <w:sz w:val="24"/>
          <w:szCs w:val="24"/>
          <w:highlight w:val="none"/>
        </w:rPr>
        <w:t>8.测量放线</w:t>
      </w:r>
      <w:bookmarkEnd w:id="1581"/>
      <w:bookmarkEnd w:id="1582"/>
      <w:bookmarkEnd w:id="1583"/>
      <w:bookmarkEnd w:id="1584"/>
      <w:bookmarkEnd w:id="1585"/>
      <w:bookmarkEnd w:id="1586"/>
      <w:bookmarkEnd w:id="1587"/>
    </w:p>
    <w:p w14:paraId="526BC00C">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588" w:name="_Toc486580400"/>
      <w:bookmarkStart w:id="1589" w:name="_Toc497214069"/>
      <w:bookmarkStart w:id="1590" w:name="_Toc10235667"/>
      <w:bookmarkStart w:id="1591" w:name="_Toc490331691"/>
      <w:bookmarkStart w:id="1592" w:name="_Toc485323174"/>
      <w:bookmarkStart w:id="1593" w:name="_Toc497584060"/>
      <w:bookmarkStart w:id="1594" w:name="_Toc489280206"/>
      <w:r>
        <w:rPr>
          <w:rFonts w:hint="eastAsia" w:ascii="宋体" w:hAnsi="宋体" w:cs="宋体"/>
          <w:color w:val="auto"/>
          <w:kern w:val="0"/>
          <w:sz w:val="24"/>
          <w:szCs w:val="24"/>
          <w:highlight w:val="none"/>
        </w:rPr>
        <w:t>8.1  施工控制网</w:t>
      </w:r>
      <w:bookmarkEnd w:id="1588"/>
      <w:bookmarkEnd w:id="1589"/>
      <w:bookmarkEnd w:id="1590"/>
      <w:bookmarkEnd w:id="1591"/>
      <w:bookmarkEnd w:id="1592"/>
      <w:bookmarkEnd w:id="1593"/>
      <w:bookmarkEnd w:id="1594"/>
    </w:p>
    <w:p w14:paraId="1621ECA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8.1.1  发包人通过监理人提供测量基准点、基准线和水准点及其书面资料的期限：</w:t>
      </w:r>
      <w:r>
        <w:rPr>
          <w:rFonts w:hint="eastAsia" w:ascii="宋体" w:hAnsi="宋体" w:cs="宋体"/>
          <w:color w:val="auto"/>
          <w:sz w:val="24"/>
          <w:szCs w:val="24"/>
          <w:highlight w:val="none"/>
          <w:u w:val="single"/>
        </w:rPr>
        <w:t xml:space="preserve">  </w:t>
      </w:r>
    </w:p>
    <w:p w14:paraId="5B6A3677">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合同签订并完成备案后7天内。</w:t>
      </w:r>
      <w:r>
        <w:rPr>
          <w:rFonts w:hint="eastAsia" w:ascii="宋体" w:hAnsi="宋体" w:cs="宋体"/>
          <w:color w:val="auto"/>
          <w:sz w:val="24"/>
          <w:szCs w:val="24"/>
          <w:highlight w:val="none"/>
          <w:u w:val="single"/>
        </w:rPr>
        <w:t xml:space="preserve"> </w:t>
      </w:r>
    </w:p>
    <w:p w14:paraId="30FB8D8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8.1.2  承包人测设施工控制网的其他要求：</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59433E29">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承包人将施工控制网资料报送监理人审批的期限：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在收到监理人按照通用合同条款第11.1.1项发出的开工通知后7天内</w:t>
      </w:r>
      <w:r>
        <w:rPr>
          <w:rFonts w:hint="eastAsia" w:ascii="宋体" w:hAnsi="宋体" w:cs="宋体"/>
          <w:color w:val="auto"/>
          <w:sz w:val="24"/>
          <w:szCs w:val="24"/>
          <w:highlight w:val="none"/>
          <w:u w:val="single"/>
        </w:rPr>
        <w:t xml:space="preserve"> </w:t>
      </w:r>
    </w:p>
    <w:p w14:paraId="60ECEE3D">
      <w:pPr>
        <w:keepNext/>
        <w:keepLines/>
        <w:spacing w:before="120" w:beforeLines="50" w:after="120" w:afterLines="50" w:line="360" w:lineRule="auto"/>
        <w:outlineLvl w:val="1"/>
        <w:rPr>
          <w:rFonts w:hint="eastAsia" w:ascii="宋体" w:hAnsi="宋体" w:cs="宋体"/>
          <w:color w:val="auto"/>
          <w:sz w:val="24"/>
          <w:szCs w:val="24"/>
          <w:highlight w:val="none"/>
        </w:rPr>
      </w:pPr>
      <w:bookmarkStart w:id="1595" w:name="_Toc497214070"/>
      <w:bookmarkStart w:id="1596" w:name="_Toc497584061"/>
      <w:bookmarkStart w:id="1597" w:name="_Toc490331692"/>
      <w:bookmarkStart w:id="1598" w:name="_Toc10235668"/>
      <w:bookmarkStart w:id="1599" w:name="_Toc486580401"/>
      <w:bookmarkStart w:id="1600" w:name="_Toc489280207"/>
      <w:bookmarkStart w:id="1601" w:name="_Toc485323175"/>
      <w:r>
        <w:rPr>
          <w:rFonts w:hint="eastAsia" w:ascii="宋体" w:hAnsi="宋体" w:cs="宋体"/>
          <w:color w:val="auto"/>
          <w:sz w:val="24"/>
          <w:szCs w:val="24"/>
          <w:highlight w:val="none"/>
        </w:rPr>
        <w:t>9.施工安全、治安保卫和环境保护</w:t>
      </w:r>
      <w:bookmarkEnd w:id="1595"/>
      <w:bookmarkEnd w:id="1596"/>
      <w:bookmarkEnd w:id="1597"/>
      <w:bookmarkEnd w:id="1598"/>
      <w:bookmarkEnd w:id="1599"/>
      <w:bookmarkEnd w:id="1600"/>
      <w:bookmarkEnd w:id="1601"/>
    </w:p>
    <w:p w14:paraId="2D96C508">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02" w:name="_Toc10235669"/>
      <w:bookmarkStart w:id="1603" w:name="_Toc490331693"/>
      <w:bookmarkStart w:id="1604" w:name="_Toc485323176"/>
      <w:bookmarkStart w:id="1605" w:name="_Toc489280208"/>
      <w:bookmarkStart w:id="1606" w:name="_Toc497214071"/>
      <w:bookmarkStart w:id="1607" w:name="_Toc497584062"/>
      <w:bookmarkStart w:id="1608" w:name="_Toc486580402"/>
      <w:r>
        <w:rPr>
          <w:rFonts w:hint="eastAsia" w:ascii="宋体" w:hAnsi="宋体" w:cs="宋体"/>
          <w:color w:val="auto"/>
          <w:kern w:val="0"/>
          <w:sz w:val="24"/>
          <w:szCs w:val="24"/>
          <w:highlight w:val="none"/>
        </w:rPr>
        <w:t>9.2  承包人的施工安全责任</w:t>
      </w:r>
      <w:bookmarkEnd w:id="1602"/>
      <w:bookmarkEnd w:id="1603"/>
      <w:bookmarkEnd w:id="1604"/>
      <w:bookmarkEnd w:id="1605"/>
      <w:bookmarkEnd w:id="1606"/>
      <w:bookmarkEnd w:id="1607"/>
      <w:bookmarkEnd w:id="1608"/>
    </w:p>
    <w:p w14:paraId="3BBE0A51">
      <w:pPr>
        <w:spacing w:line="360" w:lineRule="auto"/>
        <w:ind w:left="420" w:leftChars="200"/>
        <w:rPr>
          <w:rFonts w:hint="eastAsia" w:ascii="宋体" w:hAnsi="宋体" w:cs="宋体"/>
          <w:color w:val="auto"/>
          <w:kern w:val="0"/>
          <w:sz w:val="24"/>
          <w:szCs w:val="24"/>
          <w:highlight w:val="none"/>
        </w:rPr>
      </w:pPr>
      <w:bookmarkStart w:id="1609" w:name="_Toc489280209"/>
      <w:bookmarkStart w:id="1610" w:name="_Toc485323177"/>
      <w:bookmarkStart w:id="1611" w:name="_Toc486580403"/>
      <w:r>
        <w:rPr>
          <w:rFonts w:hint="eastAsia" w:ascii="宋体" w:hAnsi="宋体" w:cs="宋体"/>
          <w:color w:val="auto"/>
          <w:kern w:val="0"/>
          <w:sz w:val="24"/>
          <w:szCs w:val="24"/>
          <w:highlight w:val="none"/>
        </w:rPr>
        <w:t>9.2.1  承包人向监理人报送施工安全措施计划的期限：</w:t>
      </w:r>
      <w:r>
        <w:rPr>
          <w:rFonts w:hint="eastAsia" w:ascii="宋体" w:hAnsi="宋体" w:cs="宋体"/>
          <w:color w:val="auto"/>
          <w:kern w:val="0"/>
          <w:sz w:val="24"/>
          <w:szCs w:val="24"/>
          <w:highlight w:val="none"/>
          <w:u w:val="single"/>
        </w:rPr>
        <w:t xml:space="preserve"> </w:t>
      </w:r>
      <w:r>
        <w:rPr>
          <w:rFonts w:hint="eastAsia" w:ascii="宋体" w:hAnsi="宋体" w:eastAsia="宋体" w:cs="宋体"/>
          <w:color w:val="auto"/>
          <w:sz w:val="24"/>
          <w:szCs w:val="24"/>
          <w:highlight w:val="none"/>
          <w:u w:val="single"/>
        </w:rPr>
        <w:t>在收到监理人按照通用合同条款第11.1.1项发出的开工通知后7天内</w:t>
      </w:r>
      <w:r>
        <w:rPr>
          <w:rFonts w:hint="eastAsia" w:ascii="宋体" w:hAnsi="宋体" w:cs="宋体"/>
          <w:color w:val="auto"/>
          <w:sz w:val="24"/>
          <w:szCs w:val="24"/>
          <w:highlight w:val="none"/>
          <w:u w:val="single"/>
        </w:rPr>
        <w:t xml:space="preserve"> </w:t>
      </w:r>
      <w:r>
        <w:rPr>
          <w:rFonts w:hint="eastAsia" w:ascii="宋体" w:hAnsi="宋体" w:cs="宋体"/>
          <w:color w:val="auto"/>
          <w:kern w:val="0"/>
          <w:sz w:val="24"/>
          <w:szCs w:val="24"/>
          <w:highlight w:val="none"/>
          <w:u w:val="single"/>
        </w:rPr>
        <w:t xml:space="preserve">   </w:t>
      </w:r>
    </w:p>
    <w:p w14:paraId="586E2D3F">
      <w:pPr>
        <w:spacing w:line="360" w:lineRule="auto"/>
        <w:ind w:left="420" w:left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监理人收到承包人报送的施工安全措施计划后应当在</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天内给予批复。</w:t>
      </w:r>
    </w:p>
    <w:p w14:paraId="6EE6D6E3">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12" w:name="_Toc10235670"/>
      <w:bookmarkStart w:id="1613" w:name="_Toc497214072"/>
      <w:bookmarkStart w:id="1614" w:name="_Toc490331694"/>
      <w:bookmarkStart w:id="1615" w:name="_Toc497584063"/>
      <w:r>
        <w:rPr>
          <w:rFonts w:hint="eastAsia" w:ascii="宋体" w:hAnsi="宋体" w:cs="宋体"/>
          <w:color w:val="auto"/>
          <w:kern w:val="0"/>
          <w:sz w:val="24"/>
          <w:szCs w:val="24"/>
          <w:highlight w:val="none"/>
        </w:rPr>
        <w:t>9.3  治安保卫</w:t>
      </w:r>
      <w:bookmarkEnd w:id="1609"/>
      <w:bookmarkEnd w:id="1610"/>
      <w:bookmarkEnd w:id="1611"/>
      <w:bookmarkEnd w:id="1612"/>
      <w:bookmarkEnd w:id="1613"/>
      <w:bookmarkEnd w:id="1614"/>
      <w:bookmarkEnd w:id="1615"/>
    </w:p>
    <w:p w14:paraId="35D02738">
      <w:pPr>
        <w:spacing w:line="360" w:lineRule="auto"/>
        <w:ind w:left="420" w:leftChars="200"/>
        <w:rPr>
          <w:rFonts w:hint="eastAsia" w:ascii="宋体" w:hAnsi="宋体" w:cs="宋体"/>
          <w:color w:val="auto"/>
          <w:kern w:val="0"/>
          <w:sz w:val="24"/>
          <w:szCs w:val="24"/>
          <w:highlight w:val="none"/>
        </w:rPr>
      </w:pPr>
      <w:bookmarkStart w:id="1616" w:name="_Toc485323178"/>
      <w:bookmarkStart w:id="1617" w:name="_Toc489280210"/>
      <w:bookmarkStart w:id="1618" w:name="_Toc486580404"/>
      <w:r>
        <w:rPr>
          <w:rFonts w:hint="eastAsia" w:ascii="宋体" w:hAnsi="宋体" w:cs="宋体"/>
          <w:color w:val="auto"/>
          <w:kern w:val="0"/>
          <w:sz w:val="24"/>
          <w:szCs w:val="24"/>
          <w:highlight w:val="none"/>
        </w:rPr>
        <w:t>9.3.3 制定施工场地治安管理计划和突发治安事件紧急预案的责任人</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承包人</w:t>
      </w:r>
      <w:r>
        <w:rPr>
          <w:rFonts w:hint="eastAsia" w:ascii="宋体" w:hAnsi="宋体" w:cs="宋体"/>
          <w:color w:val="auto"/>
          <w:sz w:val="24"/>
          <w:szCs w:val="24"/>
          <w:highlight w:val="none"/>
          <w:u w:val="single"/>
        </w:rPr>
        <w:t xml:space="preserve"> </w:t>
      </w:r>
    </w:p>
    <w:p w14:paraId="0BA5EDC4">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19" w:name="_Toc497584064"/>
      <w:bookmarkStart w:id="1620" w:name="_Toc10235671"/>
      <w:bookmarkStart w:id="1621" w:name="_Toc497214073"/>
      <w:bookmarkStart w:id="1622" w:name="_Toc490331695"/>
      <w:r>
        <w:rPr>
          <w:rFonts w:hint="eastAsia" w:ascii="宋体" w:hAnsi="宋体" w:cs="宋体"/>
          <w:color w:val="auto"/>
          <w:kern w:val="0"/>
          <w:sz w:val="24"/>
          <w:szCs w:val="24"/>
          <w:highlight w:val="none"/>
        </w:rPr>
        <w:t>9.4  环境保护</w:t>
      </w:r>
      <w:bookmarkEnd w:id="1616"/>
      <w:bookmarkEnd w:id="1617"/>
      <w:bookmarkEnd w:id="1618"/>
      <w:bookmarkEnd w:id="1619"/>
      <w:bookmarkEnd w:id="1620"/>
      <w:bookmarkEnd w:id="1621"/>
      <w:bookmarkEnd w:id="1622"/>
    </w:p>
    <w:p w14:paraId="0ACC4DF5">
      <w:pPr>
        <w:spacing w:line="360" w:lineRule="auto"/>
        <w:ind w:left="420" w:leftChars="200"/>
        <w:rPr>
          <w:rFonts w:hint="eastAsia" w:ascii="宋体" w:hAnsi="宋体" w:cs="宋体"/>
          <w:color w:val="auto"/>
          <w:kern w:val="0"/>
          <w:sz w:val="24"/>
          <w:szCs w:val="24"/>
          <w:highlight w:val="none"/>
        </w:rPr>
      </w:pPr>
      <w:bookmarkStart w:id="1623" w:name="_Toc485323179"/>
      <w:bookmarkStart w:id="1624" w:name="_Toc486580405"/>
      <w:bookmarkStart w:id="1625" w:name="_Toc489280211"/>
      <w:r>
        <w:rPr>
          <w:rFonts w:hint="eastAsia" w:ascii="宋体" w:hAnsi="宋体" w:cs="宋体"/>
          <w:color w:val="auto"/>
          <w:kern w:val="0"/>
          <w:sz w:val="24"/>
          <w:szCs w:val="24"/>
          <w:highlight w:val="none"/>
        </w:rPr>
        <w:t>9.4.3  施工环保措施计划报送监理人审批的时间</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开工令下达后7天内。</w:t>
      </w:r>
      <w:r>
        <w:rPr>
          <w:rFonts w:hint="eastAsia" w:ascii="宋体" w:hAnsi="宋体" w:cs="宋体"/>
          <w:color w:val="auto"/>
          <w:sz w:val="24"/>
          <w:szCs w:val="24"/>
          <w:highlight w:val="none"/>
          <w:u w:val="single"/>
        </w:rPr>
        <w:t xml:space="preserve"> </w:t>
      </w:r>
    </w:p>
    <w:p w14:paraId="55DF7F01">
      <w:pPr>
        <w:spacing w:line="360" w:lineRule="auto"/>
        <w:ind w:left="420" w:left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监理人收到承包人报送的施工环保措施计划后应当在</w:t>
      </w:r>
      <w:r>
        <w:rPr>
          <w:rFonts w:hint="eastAsia" w:ascii="宋体" w:hAnsi="宋体" w:cs="宋体"/>
          <w:color w:val="auto"/>
          <w:kern w:val="0"/>
          <w:sz w:val="24"/>
          <w:szCs w:val="24"/>
          <w:highlight w:val="none"/>
          <w:u w:val="single"/>
          <w:lang w:val="en-US" w:eastAsia="zh-CN"/>
        </w:rPr>
        <w:t>7</w:t>
      </w:r>
      <w:r>
        <w:rPr>
          <w:rFonts w:hint="eastAsia" w:ascii="宋体" w:hAnsi="宋体" w:cs="宋体"/>
          <w:color w:val="auto"/>
          <w:kern w:val="0"/>
          <w:sz w:val="24"/>
          <w:szCs w:val="24"/>
          <w:highlight w:val="none"/>
          <w:u w:val="single"/>
        </w:rPr>
        <w:t xml:space="preserve">  </w:t>
      </w:r>
      <w:r>
        <w:rPr>
          <w:rFonts w:hint="eastAsia" w:ascii="宋体" w:hAnsi="宋体" w:cs="宋体"/>
          <w:color w:val="auto"/>
          <w:kern w:val="0"/>
          <w:sz w:val="24"/>
          <w:szCs w:val="24"/>
          <w:highlight w:val="none"/>
        </w:rPr>
        <w:t>天内给予批复。</w:t>
      </w:r>
    </w:p>
    <w:p w14:paraId="1415E15E">
      <w:pPr>
        <w:pStyle w:val="299"/>
        <w:tabs>
          <w:tab w:val="left" w:pos="567"/>
          <w:tab w:val="left" w:pos="851"/>
        </w:tabs>
        <w:spacing w:before="120" w:after="120"/>
        <w:rPr>
          <w:rFonts w:hint="eastAsia" w:hAnsi="宋体" w:cs="宋体"/>
          <w:color w:val="auto"/>
          <w:sz w:val="24"/>
          <w:szCs w:val="24"/>
          <w:highlight w:val="none"/>
        </w:rPr>
      </w:pPr>
      <w:bookmarkStart w:id="1626" w:name="_Toc10235672"/>
      <w:bookmarkStart w:id="1627" w:name="_Hlk8723534"/>
      <w:r>
        <w:rPr>
          <w:rFonts w:hint="eastAsia" w:hAnsi="宋体" w:cs="宋体"/>
          <w:color w:val="auto"/>
          <w:sz w:val="24"/>
          <w:szCs w:val="24"/>
          <w:highlight w:val="none"/>
        </w:rPr>
        <w:t>9.6  施工现场安全生产标准化管理目标</w:t>
      </w:r>
      <w:bookmarkEnd w:id="1626"/>
    </w:p>
    <w:p w14:paraId="39AD37DA">
      <w:pPr>
        <w:pStyle w:val="32"/>
        <w:tabs>
          <w:tab w:val="left" w:pos="1134"/>
        </w:tabs>
        <w:spacing w:line="360" w:lineRule="auto"/>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 xml:space="preserve">9.6.1  </w:t>
      </w:r>
      <w:r>
        <w:rPr>
          <w:rFonts w:hint="eastAsia" w:ascii="宋体" w:hAnsi="宋体" w:eastAsia="宋体" w:cs="宋体"/>
          <w:color w:val="auto"/>
          <w:sz w:val="24"/>
          <w:szCs w:val="24"/>
          <w:highlight w:val="none"/>
        </w:rPr>
        <w:t>未达到合同协议书中约定的安全生产标准化管理目标等级的违约金或损失赔偿金的金额或者计算方法：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按照京建法[2019]9号文执行</w:t>
      </w:r>
      <w:r>
        <w:rPr>
          <w:rFonts w:hint="eastAsia" w:ascii="宋体" w:hAnsi="宋体" w:eastAsia="宋体" w:cs="宋体"/>
          <w:color w:val="auto"/>
          <w:sz w:val="24"/>
          <w:szCs w:val="24"/>
          <w:highlight w:val="none"/>
          <w:u w:val="single"/>
        </w:rPr>
        <w:t xml:space="preserve">     </w:t>
      </w:r>
    </w:p>
    <w:p w14:paraId="5F5ACAF6">
      <w:pPr>
        <w:pStyle w:val="32"/>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9.6.2  发包人</w:t>
      </w:r>
      <w:r>
        <w:rPr>
          <w:rFonts w:hint="eastAsia" w:ascii="宋体" w:hAnsi="宋体" w:eastAsia="宋体" w:cs="宋体"/>
          <w:color w:val="auto"/>
          <w:sz w:val="24"/>
          <w:szCs w:val="24"/>
          <w:highlight w:val="none"/>
          <w:u w:val="single"/>
        </w:rPr>
        <w:t xml:space="preserve">   不给予</w:t>
      </w:r>
      <w:r>
        <w:rPr>
          <w:rFonts w:hint="eastAsia" w:ascii="宋体" w:hAnsi="宋体" w:eastAsia="宋体" w:cs="宋体"/>
          <w:color w:val="auto"/>
          <w:kern w:val="2"/>
          <w:sz w:val="24"/>
          <w:szCs w:val="24"/>
          <w:highlight w:val="none"/>
          <w:u w:val="single"/>
        </w:rPr>
        <w:t xml:space="preserve">  </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（给予/不给予）承包人创优奖励。发包人给予承包人创优奖励的，创优奖励金额或者计算方法：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2C47D434">
      <w:pPr>
        <w:pStyle w:val="299"/>
        <w:tabs>
          <w:tab w:val="left" w:pos="567"/>
        </w:tabs>
        <w:spacing w:before="120" w:after="120"/>
        <w:rPr>
          <w:rFonts w:hint="eastAsia" w:ascii="宋体" w:hAnsi="宋体" w:eastAsia="宋体" w:cs="宋体"/>
          <w:color w:val="auto"/>
          <w:sz w:val="24"/>
          <w:szCs w:val="24"/>
          <w:highlight w:val="none"/>
        </w:rPr>
      </w:pPr>
      <w:bookmarkStart w:id="1628" w:name="_Toc10235673"/>
      <w:r>
        <w:rPr>
          <w:rFonts w:hint="eastAsia" w:ascii="宋体" w:hAnsi="宋体" w:eastAsia="宋体" w:cs="宋体"/>
          <w:color w:val="auto"/>
          <w:sz w:val="24"/>
          <w:szCs w:val="24"/>
          <w:highlight w:val="none"/>
        </w:rPr>
        <w:t>9.7  特殊安全文明施工</w:t>
      </w:r>
      <w:bookmarkEnd w:id="1628"/>
    </w:p>
    <w:p w14:paraId="7A7D475B">
      <w:pPr>
        <w:pStyle w:val="32"/>
        <w:tabs>
          <w:tab w:val="left" w:pos="1134"/>
        </w:tabs>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9.7.1  未达到合同约定的特殊安全文明施工要求的违约金或损失赔偿金的金额或者计算方法：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rPr>
        <w:t>按照京建法[2019]9号文执行</w:t>
      </w:r>
      <w:r>
        <w:rPr>
          <w:rFonts w:hint="eastAsia" w:ascii="宋体" w:hAnsi="宋体" w:eastAsia="宋体" w:cs="宋体"/>
          <w:color w:val="auto"/>
          <w:sz w:val="24"/>
          <w:szCs w:val="24"/>
          <w:highlight w:val="none"/>
          <w:u w:val="single"/>
        </w:rPr>
        <w:t xml:space="preserve">      </w:t>
      </w:r>
    </w:p>
    <w:p w14:paraId="257A638C">
      <w:pPr>
        <w:pStyle w:val="32"/>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9.7.2  发包人</w:t>
      </w:r>
      <w:r>
        <w:rPr>
          <w:rFonts w:hint="eastAsia" w:ascii="宋体" w:hAnsi="宋体" w:eastAsia="宋体" w:cs="宋体"/>
          <w:color w:val="auto"/>
          <w:sz w:val="24"/>
          <w:szCs w:val="24"/>
          <w:highlight w:val="none"/>
          <w:u w:val="single"/>
        </w:rPr>
        <w:t xml:space="preserve">  不给予   </w:t>
      </w:r>
      <w:r>
        <w:rPr>
          <w:rFonts w:hint="eastAsia" w:ascii="宋体" w:hAnsi="宋体" w:eastAsia="宋体" w:cs="宋体"/>
          <w:color w:val="auto"/>
          <w:sz w:val="24"/>
          <w:szCs w:val="24"/>
          <w:highlight w:val="none"/>
        </w:rPr>
        <w:t>（给予/不给予）承包人创优奖励。发包人给予承包人创优奖励的，创优奖励金额或者计算方法：</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bookmarkEnd w:id="1627"/>
    </w:p>
    <w:p w14:paraId="2FA49105">
      <w:pPr>
        <w:keepNext/>
        <w:keepLines/>
        <w:spacing w:before="120" w:beforeLines="50" w:after="120" w:afterLines="50" w:line="360" w:lineRule="auto"/>
        <w:outlineLvl w:val="1"/>
        <w:rPr>
          <w:rFonts w:hint="eastAsia" w:ascii="宋体" w:hAnsi="宋体" w:cs="宋体"/>
          <w:color w:val="auto"/>
          <w:sz w:val="24"/>
          <w:szCs w:val="24"/>
          <w:highlight w:val="none"/>
        </w:rPr>
      </w:pPr>
      <w:bookmarkStart w:id="1629" w:name="_Toc10235674"/>
      <w:bookmarkStart w:id="1630" w:name="_Toc497214074"/>
      <w:bookmarkStart w:id="1631" w:name="_Toc497584065"/>
      <w:bookmarkStart w:id="1632" w:name="_Toc490331696"/>
      <w:r>
        <w:rPr>
          <w:rFonts w:hint="eastAsia" w:ascii="宋体" w:hAnsi="宋体" w:cs="宋体"/>
          <w:color w:val="auto"/>
          <w:sz w:val="24"/>
          <w:szCs w:val="24"/>
          <w:highlight w:val="none"/>
        </w:rPr>
        <w:t>10.进度计划</w:t>
      </w:r>
      <w:bookmarkEnd w:id="1623"/>
      <w:bookmarkEnd w:id="1624"/>
      <w:bookmarkEnd w:id="1625"/>
      <w:bookmarkEnd w:id="1629"/>
      <w:bookmarkEnd w:id="1630"/>
      <w:bookmarkEnd w:id="1631"/>
      <w:bookmarkEnd w:id="1632"/>
    </w:p>
    <w:p w14:paraId="77E4805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33" w:name="_Toc490331697"/>
      <w:bookmarkStart w:id="1634" w:name="_Toc489280212"/>
      <w:bookmarkStart w:id="1635" w:name="_Toc10235675"/>
      <w:bookmarkStart w:id="1636" w:name="_Toc497584066"/>
      <w:bookmarkStart w:id="1637" w:name="_Toc485323180"/>
      <w:bookmarkStart w:id="1638" w:name="_Toc486580406"/>
      <w:bookmarkStart w:id="1639" w:name="_Toc497214075"/>
      <w:r>
        <w:rPr>
          <w:rFonts w:hint="eastAsia" w:ascii="宋体" w:hAnsi="宋体" w:cs="宋体"/>
          <w:color w:val="auto"/>
          <w:kern w:val="0"/>
          <w:sz w:val="24"/>
          <w:szCs w:val="24"/>
          <w:highlight w:val="none"/>
        </w:rPr>
        <w:t>10.1  合同进度计划</w:t>
      </w:r>
      <w:bookmarkEnd w:id="1633"/>
      <w:bookmarkEnd w:id="1634"/>
      <w:bookmarkEnd w:id="1635"/>
      <w:bookmarkEnd w:id="1636"/>
      <w:bookmarkEnd w:id="1637"/>
      <w:bookmarkEnd w:id="1638"/>
      <w:bookmarkEnd w:id="1639"/>
    </w:p>
    <w:p w14:paraId="7FDA05E8">
      <w:pPr>
        <w:wordWrap w:val="0"/>
        <w:spacing w:line="360" w:lineRule="auto"/>
        <w:ind w:left="1860" w:leftChars="200" w:hanging="1440" w:hangingChars="600"/>
        <w:rPr>
          <w:rFonts w:hint="eastAsia" w:ascii="宋体" w:hAnsi="宋体" w:eastAsia="宋体" w:cs="宋体"/>
          <w:color w:val="auto"/>
          <w:sz w:val="24"/>
          <w:szCs w:val="24"/>
          <w:highlight w:val="none"/>
          <w:u w:val="single"/>
        </w:rPr>
      </w:pPr>
      <w:bookmarkStart w:id="1640" w:name="_Toc485323181"/>
      <w:bookmarkStart w:id="1641" w:name="_Toc486580407"/>
      <w:bookmarkStart w:id="1642" w:name="_Toc489280213"/>
      <w:r>
        <w:rPr>
          <w:rFonts w:hint="eastAsia" w:ascii="宋体" w:hAnsi="宋体" w:cs="宋体"/>
          <w:color w:val="auto"/>
          <w:kern w:val="0"/>
          <w:sz w:val="24"/>
          <w:szCs w:val="24"/>
          <w:highlight w:val="none"/>
        </w:rPr>
        <w:t>10.1.1  承包人编制施工进度计划和施工方案说明的内容</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总进度计划关键线路目</w:t>
      </w:r>
    </w:p>
    <w:p w14:paraId="62EDFF73">
      <w:pPr>
        <w:wordWrap w:val="0"/>
        <w:spacing w:line="360" w:lineRule="auto"/>
        <w:ind w:left="1860" w:leftChars="200" w:hanging="1440" w:hangingChars="600"/>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u w:val="single"/>
        </w:rPr>
        <w:t>标，施工顺序和方法要点。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9E3CBDE">
      <w:pPr>
        <w:wordWrap w:val="0"/>
        <w:spacing w:line="360" w:lineRule="auto"/>
        <w:ind w:left="6000" w:leftChars="0" w:hanging="6000" w:hangingChars="2500"/>
        <w:rPr>
          <w:rFonts w:hint="eastAsia" w:ascii="宋体" w:hAnsi="宋体" w:eastAsia="宋体" w:cs="宋体"/>
          <w:color w:val="auto"/>
          <w:sz w:val="24"/>
          <w:szCs w:val="24"/>
          <w:highlight w:val="none"/>
          <w:u w:val="single"/>
        </w:rPr>
      </w:pPr>
      <w:r>
        <w:rPr>
          <w:rFonts w:hint="eastAsia" w:ascii="宋体" w:hAnsi="宋体" w:cs="宋体"/>
          <w:color w:val="auto"/>
          <w:kern w:val="0"/>
          <w:sz w:val="24"/>
          <w:szCs w:val="24"/>
          <w:highlight w:val="none"/>
        </w:rPr>
        <w:t>10.1.2  承包人编制分阶段或分项施工进度计划和施工方案说明的内容及时限要求:</w:t>
      </w:r>
      <w:r>
        <w:rPr>
          <w:rFonts w:hint="eastAsia" w:ascii="宋体" w:hAnsi="宋体" w:eastAsia="宋体" w:cs="宋体"/>
          <w:color w:val="auto"/>
          <w:sz w:val="24"/>
          <w:szCs w:val="24"/>
          <w:highlight w:val="none"/>
          <w:u w:val="single"/>
        </w:rPr>
        <w:t>方案</w:t>
      </w:r>
    </w:p>
    <w:p w14:paraId="52B4ED19">
      <w:pPr>
        <w:wordWrap w:val="0"/>
        <w:spacing w:line="360" w:lineRule="auto"/>
        <w:ind w:left="6000" w:leftChars="0" w:hanging="6000" w:hangingChars="2500"/>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u w:val="single"/>
        </w:rPr>
        <w:t>说明内容：在合同进度基础上编制分阶段和分项目的进度计划。</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时限要求：总计划批准后</w:t>
      </w:r>
    </w:p>
    <w:p w14:paraId="51296311">
      <w:pPr>
        <w:wordWrap w:val="0"/>
        <w:spacing w:line="360" w:lineRule="auto"/>
        <w:ind w:left="0" w:leftChars="0" w:firstLine="0" w:firstLineChars="0"/>
        <w:rPr>
          <w:rFonts w:hint="eastAsia" w:ascii="宋体" w:hAnsi="宋体" w:cs="宋体"/>
          <w:color w:val="auto"/>
          <w:kern w:val="0"/>
          <w:sz w:val="24"/>
          <w:szCs w:val="24"/>
          <w:highlight w:val="none"/>
        </w:rPr>
      </w:pPr>
      <w:r>
        <w:rPr>
          <w:rFonts w:hint="eastAsia" w:ascii="宋体" w:hAnsi="宋体" w:eastAsia="宋体" w:cs="宋体"/>
          <w:color w:val="auto"/>
          <w:sz w:val="24"/>
          <w:szCs w:val="24"/>
          <w:highlight w:val="none"/>
          <w:u w:val="single"/>
        </w:rPr>
        <w:t>14天内。</w:t>
      </w:r>
    </w:p>
    <w:p w14:paraId="25887502">
      <w:pPr>
        <w:spacing w:line="360" w:lineRule="auto"/>
        <w:ind w:left="420" w:left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10.1.3  群体工程中有关编制进度计划和施工方案说明的要求</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0E589925">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43" w:name="_Toc497584067"/>
      <w:bookmarkStart w:id="1644" w:name="_Toc497214076"/>
      <w:bookmarkStart w:id="1645" w:name="_Toc10235676"/>
      <w:bookmarkStart w:id="1646" w:name="_Toc490331698"/>
      <w:r>
        <w:rPr>
          <w:rFonts w:hint="eastAsia" w:ascii="宋体" w:hAnsi="宋体" w:cs="宋体"/>
          <w:color w:val="auto"/>
          <w:kern w:val="0"/>
          <w:sz w:val="24"/>
          <w:szCs w:val="24"/>
          <w:highlight w:val="none"/>
        </w:rPr>
        <w:t>10.2  合同进度计划的修订</w:t>
      </w:r>
      <w:bookmarkEnd w:id="1640"/>
      <w:bookmarkEnd w:id="1641"/>
      <w:bookmarkEnd w:id="1642"/>
      <w:bookmarkEnd w:id="1643"/>
      <w:bookmarkEnd w:id="1644"/>
      <w:bookmarkEnd w:id="1645"/>
      <w:bookmarkEnd w:id="1646"/>
    </w:p>
    <w:p w14:paraId="68BFED67">
      <w:pPr>
        <w:spacing w:line="360" w:lineRule="auto"/>
        <w:ind w:left="420" w:leftChars="200"/>
        <w:rPr>
          <w:rFonts w:hint="eastAsia" w:ascii="宋体" w:hAnsi="宋体" w:cs="宋体"/>
          <w:color w:val="auto"/>
          <w:kern w:val="0"/>
          <w:sz w:val="24"/>
          <w:szCs w:val="24"/>
          <w:highlight w:val="none"/>
        </w:rPr>
      </w:pPr>
      <w:bookmarkStart w:id="1647" w:name="_Toc485323182"/>
      <w:bookmarkStart w:id="1648" w:name="_Toc489280214"/>
      <w:bookmarkStart w:id="1649" w:name="_Toc486580408"/>
      <w:r>
        <w:rPr>
          <w:rFonts w:hint="eastAsia" w:ascii="宋体" w:hAnsi="宋体" w:cs="宋体"/>
          <w:color w:val="auto"/>
          <w:kern w:val="0"/>
          <w:sz w:val="24"/>
          <w:szCs w:val="24"/>
          <w:highlight w:val="none"/>
        </w:rPr>
        <w:t>10.2.1  承包人报送修订合同进度计划申请报告和相关资料的期限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合同签订并完成备案后7天内</w:t>
      </w:r>
      <w:r>
        <w:rPr>
          <w:rFonts w:hint="eastAsia" w:ascii="宋体" w:hAnsi="宋体" w:cs="宋体"/>
          <w:color w:val="auto"/>
          <w:sz w:val="24"/>
          <w:szCs w:val="24"/>
          <w:highlight w:val="none"/>
          <w:u w:val="single"/>
        </w:rPr>
        <w:t xml:space="preserve">         </w:t>
      </w:r>
    </w:p>
    <w:p w14:paraId="2AC597FA">
      <w:pPr>
        <w:spacing w:line="360" w:lineRule="auto"/>
        <w:ind w:left="420" w:left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监理人批复修订合同进度计划申请报告的期限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收到承包人报送的修订合同进度计划申请报告和相关资料后7天内。</w:t>
      </w:r>
      <w:r>
        <w:rPr>
          <w:rFonts w:hint="eastAsia" w:ascii="宋体" w:hAnsi="宋体" w:cs="宋体"/>
          <w:color w:val="auto"/>
          <w:sz w:val="24"/>
          <w:szCs w:val="24"/>
          <w:highlight w:val="none"/>
          <w:u w:val="single"/>
        </w:rPr>
        <w:t xml:space="preserve">  </w:t>
      </w:r>
    </w:p>
    <w:p w14:paraId="3D47FBEC">
      <w:pPr>
        <w:spacing w:line="360" w:lineRule="auto"/>
        <w:ind w:left="420" w:leftChars="200"/>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10.2.2  监理人批复修订合同进度计划的期限</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收到承包人报送的修订合同进度计划申请报告和相关资料后7天内。</w:t>
      </w:r>
      <w:r>
        <w:rPr>
          <w:rFonts w:hint="eastAsia" w:ascii="宋体" w:hAnsi="宋体" w:cs="宋体"/>
          <w:color w:val="auto"/>
          <w:sz w:val="24"/>
          <w:szCs w:val="24"/>
          <w:highlight w:val="none"/>
          <w:u w:val="single"/>
        </w:rPr>
        <w:t xml:space="preserve">     </w:t>
      </w:r>
    </w:p>
    <w:p w14:paraId="179075C3">
      <w:pPr>
        <w:keepNext/>
        <w:keepLines/>
        <w:spacing w:before="120" w:beforeLines="50" w:after="120" w:afterLines="50" w:line="360" w:lineRule="auto"/>
        <w:outlineLvl w:val="1"/>
        <w:rPr>
          <w:rFonts w:hint="eastAsia" w:ascii="宋体" w:hAnsi="宋体" w:cs="宋体"/>
          <w:color w:val="auto"/>
          <w:sz w:val="24"/>
          <w:szCs w:val="24"/>
          <w:highlight w:val="none"/>
        </w:rPr>
      </w:pPr>
      <w:bookmarkStart w:id="1650" w:name="_Toc10235677"/>
      <w:bookmarkStart w:id="1651" w:name="_Toc497584068"/>
      <w:bookmarkStart w:id="1652" w:name="_Toc490331699"/>
      <w:bookmarkStart w:id="1653" w:name="_Toc497214077"/>
      <w:r>
        <w:rPr>
          <w:rFonts w:hint="eastAsia" w:ascii="宋体" w:hAnsi="宋体" w:cs="宋体"/>
          <w:color w:val="auto"/>
          <w:sz w:val="24"/>
          <w:szCs w:val="24"/>
          <w:highlight w:val="none"/>
        </w:rPr>
        <w:t>11.开工和竣工</w:t>
      </w:r>
      <w:bookmarkEnd w:id="1647"/>
      <w:bookmarkEnd w:id="1648"/>
      <w:bookmarkEnd w:id="1649"/>
      <w:bookmarkEnd w:id="1650"/>
      <w:bookmarkEnd w:id="1651"/>
      <w:bookmarkEnd w:id="1652"/>
      <w:bookmarkEnd w:id="1653"/>
    </w:p>
    <w:p w14:paraId="1DD4DBF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54" w:name="_Toc497584069"/>
      <w:bookmarkStart w:id="1655" w:name="_Toc497214078"/>
      <w:bookmarkStart w:id="1656" w:name="_Toc10235678"/>
      <w:bookmarkStart w:id="1657" w:name="_Toc490331700"/>
      <w:bookmarkStart w:id="1658" w:name="_Toc486580409"/>
      <w:bookmarkStart w:id="1659" w:name="_Toc485323183"/>
      <w:bookmarkStart w:id="1660" w:name="_Toc489280215"/>
      <w:r>
        <w:rPr>
          <w:rFonts w:hint="eastAsia" w:ascii="宋体" w:hAnsi="宋体" w:cs="宋体"/>
          <w:color w:val="auto"/>
          <w:kern w:val="0"/>
          <w:sz w:val="24"/>
          <w:szCs w:val="24"/>
          <w:highlight w:val="none"/>
        </w:rPr>
        <w:t>11.3  发包人的工期延误</w:t>
      </w:r>
      <w:bookmarkEnd w:id="1654"/>
      <w:bookmarkEnd w:id="1655"/>
      <w:bookmarkEnd w:id="1656"/>
      <w:bookmarkEnd w:id="1657"/>
      <w:bookmarkEnd w:id="1658"/>
      <w:bookmarkEnd w:id="1659"/>
      <w:bookmarkEnd w:id="1660"/>
    </w:p>
    <w:p w14:paraId="17ACA13D">
      <w:pPr>
        <w:wordWrap w:val="0"/>
        <w:spacing w:line="360" w:lineRule="auto"/>
        <w:ind w:left="420" w:leftChars="200"/>
        <w:rPr>
          <w:rFonts w:hint="eastAsia" w:ascii="宋体" w:hAnsi="宋体" w:cs="宋体"/>
          <w:color w:val="auto"/>
          <w:kern w:val="0"/>
          <w:sz w:val="24"/>
          <w:szCs w:val="24"/>
          <w:highlight w:val="none"/>
        </w:rPr>
      </w:pPr>
      <w:bookmarkStart w:id="1661" w:name="_Toc489280216"/>
      <w:bookmarkStart w:id="1662" w:name="_Toc486580410"/>
      <w:bookmarkStart w:id="1663" w:name="_Toc485323184"/>
      <w:r>
        <w:rPr>
          <w:rFonts w:hint="eastAsia" w:ascii="宋体" w:hAnsi="宋体" w:cs="宋体"/>
          <w:color w:val="auto"/>
          <w:kern w:val="0"/>
          <w:sz w:val="24"/>
          <w:szCs w:val="24"/>
          <w:highlight w:val="none"/>
        </w:rPr>
        <w:t>（8）发包人造成工期延误的其他原因</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E49EAEA">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64" w:name="_Toc497214079"/>
      <w:bookmarkStart w:id="1665" w:name="_Toc490331701"/>
      <w:bookmarkStart w:id="1666" w:name="_Toc497584070"/>
      <w:bookmarkStart w:id="1667" w:name="_Toc10235679"/>
      <w:r>
        <w:rPr>
          <w:rFonts w:hint="eastAsia" w:ascii="宋体" w:hAnsi="宋体" w:cs="宋体"/>
          <w:color w:val="auto"/>
          <w:kern w:val="0"/>
          <w:sz w:val="24"/>
          <w:szCs w:val="24"/>
          <w:highlight w:val="none"/>
        </w:rPr>
        <w:t>11.4  异常恶劣的气候条件</w:t>
      </w:r>
      <w:bookmarkEnd w:id="1661"/>
      <w:bookmarkEnd w:id="1662"/>
      <w:bookmarkEnd w:id="1663"/>
      <w:bookmarkEnd w:id="1664"/>
      <w:bookmarkEnd w:id="1665"/>
      <w:bookmarkEnd w:id="1666"/>
      <w:bookmarkEnd w:id="1667"/>
    </w:p>
    <w:p w14:paraId="10DFCE79">
      <w:pPr>
        <w:wordWrap w:val="0"/>
        <w:spacing w:line="360" w:lineRule="auto"/>
        <w:ind w:left="420" w:leftChars="200"/>
        <w:rPr>
          <w:rFonts w:hint="eastAsia" w:ascii="宋体" w:hAnsi="宋体" w:cs="宋体"/>
          <w:color w:val="auto"/>
          <w:kern w:val="0"/>
          <w:sz w:val="24"/>
          <w:szCs w:val="24"/>
          <w:highlight w:val="none"/>
        </w:rPr>
      </w:pPr>
      <w:bookmarkStart w:id="1668" w:name="_Toc486580411"/>
      <w:bookmarkStart w:id="1669" w:name="_Toc485323185"/>
      <w:bookmarkStart w:id="1670" w:name="_Toc489280217"/>
      <w:r>
        <w:rPr>
          <w:rFonts w:hint="eastAsia" w:ascii="宋体" w:hAnsi="宋体" w:cs="宋体"/>
          <w:color w:val="auto"/>
          <w:kern w:val="0"/>
          <w:sz w:val="24"/>
          <w:szCs w:val="24"/>
          <w:highlight w:val="none"/>
        </w:rPr>
        <w:t>异常恶劣的气候条件的范围和标准</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50年一遇的最大降水（雪）量，最高（低）温度等，以当地气象部门发布的标准为准。“异常恶劣的气候条件指以月计的某个时期的恶劣气候比当地气象部门多年的统计资料，比50年一遇频率计算的平均气候还要恶劣而引起的工程延误，由监理工程师根据承包人提交的证明予以认定。但在进行上述评定时，还将考虑按同等标准以同期或其它异常良好的气候予以抵补，异常气候在每个月对工程进度影响的评定，应在整个合同内予以累计。      </w:t>
      </w:r>
    </w:p>
    <w:p w14:paraId="2D341C8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71" w:name="_Toc490331702"/>
      <w:bookmarkStart w:id="1672" w:name="_Toc10235680"/>
      <w:bookmarkStart w:id="1673" w:name="_Toc497584071"/>
      <w:bookmarkStart w:id="1674" w:name="_Toc497214080"/>
      <w:r>
        <w:rPr>
          <w:rFonts w:hint="eastAsia" w:ascii="宋体" w:hAnsi="宋体" w:cs="宋体"/>
          <w:color w:val="auto"/>
          <w:kern w:val="0"/>
          <w:sz w:val="24"/>
          <w:szCs w:val="24"/>
          <w:highlight w:val="none"/>
        </w:rPr>
        <w:t>11.5  承包人的工期延误</w:t>
      </w:r>
      <w:bookmarkEnd w:id="1668"/>
      <w:bookmarkEnd w:id="1669"/>
      <w:bookmarkEnd w:id="1670"/>
      <w:bookmarkEnd w:id="1671"/>
      <w:bookmarkEnd w:id="1672"/>
      <w:bookmarkEnd w:id="1673"/>
      <w:bookmarkEnd w:id="1674"/>
    </w:p>
    <w:p w14:paraId="6B90BF8E">
      <w:pPr>
        <w:wordWrap w:val="0"/>
        <w:spacing w:line="360" w:lineRule="auto"/>
        <w:ind w:left="0" w:leftChars="0"/>
        <w:rPr>
          <w:rFonts w:hint="eastAsia" w:ascii="宋体" w:hAnsi="宋体" w:eastAsia="宋体" w:cs="宋体"/>
          <w:color w:val="auto"/>
          <w:kern w:val="0"/>
          <w:sz w:val="24"/>
          <w:szCs w:val="24"/>
          <w:highlight w:val="none"/>
          <w:lang w:eastAsia="zh-CN"/>
        </w:rPr>
      </w:pPr>
      <w:bookmarkStart w:id="1675" w:name="_Toc485323186"/>
      <w:bookmarkStart w:id="1676" w:name="_Toc489280218"/>
      <w:bookmarkStart w:id="1677" w:name="_Toc486580412"/>
      <w:r>
        <w:rPr>
          <w:rFonts w:hint="eastAsia" w:ascii="宋体" w:hAnsi="宋体" w:cs="宋体"/>
          <w:color w:val="auto"/>
          <w:sz w:val="24"/>
          <w:szCs w:val="24"/>
          <w:highlight w:val="none"/>
        </w:rPr>
        <w:t>11.5.2</w:t>
      </w:r>
      <w:r>
        <w:rPr>
          <w:rFonts w:hint="eastAsia" w:ascii="宋体" w:hAnsi="宋体" w:cs="宋体"/>
          <w:color w:val="auto"/>
          <w:kern w:val="0"/>
          <w:sz w:val="24"/>
          <w:szCs w:val="24"/>
          <w:highlight w:val="none"/>
        </w:rPr>
        <w:t xml:space="preserve">  逾期竣工违约金的计算标准和计算方法</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计算标准：竣工结算价的万分之二/天。计算方法：逾期天数×竣工结算价的万分之二/天，其中：逾期天数=实际工期-合同工期-发包人同意延长的工期。</w:t>
      </w:r>
      <w:r>
        <w:rPr>
          <w:rFonts w:hint="eastAsia" w:ascii="宋体" w:hAnsi="宋体" w:cs="宋体"/>
          <w:color w:val="auto"/>
          <w:sz w:val="24"/>
          <w:szCs w:val="24"/>
          <w:highlight w:val="none"/>
          <w:u w:val="single"/>
        </w:rPr>
        <w:t xml:space="preserve">    </w:t>
      </w:r>
    </w:p>
    <w:p w14:paraId="30352D3D">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78" w:name="_Toc497214081"/>
      <w:bookmarkStart w:id="1679" w:name="_Toc497584072"/>
      <w:bookmarkStart w:id="1680" w:name="_Toc490331703"/>
      <w:bookmarkStart w:id="1681" w:name="_Toc10235681"/>
      <w:r>
        <w:rPr>
          <w:rFonts w:hint="eastAsia" w:ascii="宋体" w:hAnsi="宋体" w:cs="宋体"/>
          <w:color w:val="auto"/>
          <w:kern w:val="0"/>
          <w:sz w:val="24"/>
          <w:szCs w:val="24"/>
          <w:highlight w:val="none"/>
        </w:rPr>
        <w:t>11.6  工期提前</w:t>
      </w:r>
      <w:bookmarkEnd w:id="1675"/>
      <w:bookmarkEnd w:id="1676"/>
      <w:bookmarkEnd w:id="1677"/>
      <w:bookmarkEnd w:id="1678"/>
      <w:bookmarkEnd w:id="1679"/>
      <w:bookmarkEnd w:id="1680"/>
      <w:bookmarkEnd w:id="1681"/>
    </w:p>
    <w:p w14:paraId="47D95B2A">
      <w:pPr>
        <w:wordWrap w:val="0"/>
        <w:spacing w:line="360" w:lineRule="auto"/>
        <w:ind w:left="420" w:leftChars="200"/>
        <w:rPr>
          <w:rFonts w:hint="eastAsia" w:ascii="宋体" w:hAnsi="宋体" w:cs="宋体"/>
          <w:color w:val="auto"/>
          <w:kern w:val="0"/>
          <w:sz w:val="24"/>
          <w:szCs w:val="24"/>
          <w:highlight w:val="none"/>
        </w:rPr>
      </w:pPr>
      <w:bookmarkStart w:id="1682" w:name="_Toc485323187"/>
      <w:bookmarkStart w:id="1683" w:name="_Toc486580413"/>
      <w:bookmarkStart w:id="1684" w:name="_Toc489280219"/>
      <w:r>
        <w:rPr>
          <w:rFonts w:hint="eastAsia" w:ascii="宋体" w:hAnsi="宋体" w:cs="宋体"/>
          <w:color w:val="auto"/>
          <w:kern w:val="0"/>
          <w:sz w:val="24"/>
          <w:szCs w:val="24"/>
          <w:highlight w:val="none"/>
        </w:rPr>
        <w:t>提前竣工的奖励办法</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61A7A45">
      <w:pPr>
        <w:keepNext/>
        <w:keepLines/>
        <w:spacing w:before="120" w:beforeLines="50" w:after="120" w:afterLines="50" w:line="360" w:lineRule="auto"/>
        <w:outlineLvl w:val="1"/>
        <w:rPr>
          <w:rFonts w:hint="eastAsia" w:ascii="宋体" w:hAnsi="宋体" w:cs="宋体"/>
          <w:color w:val="auto"/>
          <w:sz w:val="24"/>
          <w:szCs w:val="24"/>
          <w:highlight w:val="none"/>
        </w:rPr>
      </w:pPr>
      <w:bookmarkStart w:id="1685" w:name="_Toc497214082"/>
      <w:bookmarkStart w:id="1686" w:name="_Toc497584073"/>
      <w:bookmarkStart w:id="1687" w:name="_Toc490331704"/>
      <w:bookmarkStart w:id="1688" w:name="_Toc10235682"/>
      <w:r>
        <w:rPr>
          <w:rFonts w:hint="eastAsia" w:ascii="宋体" w:hAnsi="宋体" w:cs="宋体"/>
          <w:color w:val="auto"/>
          <w:sz w:val="24"/>
          <w:szCs w:val="24"/>
          <w:highlight w:val="none"/>
        </w:rPr>
        <w:t>12.暂停施工</w:t>
      </w:r>
      <w:bookmarkEnd w:id="1682"/>
      <w:bookmarkEnd w:id="1683"/>
      <w:bookmarkEnd w:id="1684"/>
      <w:bookmarkEnd w:id="1685"/>
      <w:bookmarkEnd w:id="1686"/>
      <w:bookmarkEnd w:id="1687"/>
      <w:bookmarkEnd w:id="1688"/>
    </w:p>
    <w:p w14:paraId="5A943AE4">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689" w:name="_Toc485323188"/>
      <w:bookmarkStart w:id="1690" w:name="_Toc497214083"/>
      <w:bookmarkStart w:id="1691" w:name="_Toc486580414"/>
      <w:bookmarkStart w:id="1692" w:name="_Toc490331705"/>
      <w:bookmarkStart w:id="1693" w:name="_Toc10235683"/>
      <w:bookmarkStart w:id="1694" w:name="_Toc489280220"/>
      <w:bookmarkStart w:id="1695" w:name="_Toc497584074"/>
      <w:r>
        <w:rPr>
          <w:rFonts w:hint="eastAsia" w:ascii="宋体" w:hAnsi="宋体" w:cs="宋体"/>
          <w:color w:val="auto"/>
          <w:kern w:val="0"/>
          <w:sz w:val="24"/>
          <w:szCs w:val="24"/>
          <w:highlight w:val="none"/>
        </w:rPr>
        <w:t>12.1  承包人暂停施工的责任</w:t>
      </w:r>
      <w:bookmarkEnd w:id="1689"/>
      <w:bookmarkEnd w:id="1690"/>
      <w:bookmarkEnd w:id="1691"/>
      <w:bookmarkEnd w:id="1692"/>
      <w:bookmarkEnd w:id="1693"/>
      <w:bookmarkEnd w:id="1694"/>
      <w:bookmarkEnd w:id="1695"/>
    </w:p>
    <w:p w14:paraId="1FDD9367">
      <w:pPr>
        <w:wordWrap w:val="0"/>
        <w:spacing w:line="360" w:lineRule="auto"/>
        <w:ind w:left="420" w:leftChars="200"/>
        <w:rPr>
          <w:rFonts w:hint="eastAsia" w:ascii="宋体" w:hAnsi="宋体" w:cs="宋体"/>
          <w:color w:val="auto"/>
          <w:kern w:val="0"/>
          <w:sz w:val="24"/>
          <w:szCs w:val="24"/>
          <w:highlight w:val="none"/>
        </w:rPr>
      </w:pPr>
      <w:bookmarkStart w:id="1696" w:name="_Toc489280221"/>
      <w:bookmarkStart w:id="1697" w:name="_Toc486580415"/>
      <w:bookmarkStart w:id="1698" w:name="_Toc485323189"/>
      <w:r>
        <w:rPr>
          <w:rFonts w:hint="eastAsia" w:ascii="宋体" w:hAnsi="宋体" w:cs="宋体"/>
          <w:color w:val="auto"/>
          <w:kern w:val="0"/>
          <w:sz w:val="24"/>
          <w:szCs w:val="24"/>
          <w:highlight w:val="none"/>
        </w:rPr>
        <w:t>（4）承包人承担暂停施工责任的其他情形</w:t>
      </w:r>
      <w:r>
        <w:rPr>
          <w:rFonts w:hint="eastAsia" w:ascii="宋体" w:hAnsi="宋体" w:cs="宋体"/>
          <w:color w:val="auto"/>
          <w:sz w:val="24"/>
          <w:szCs w:val="24"/>
          <w:highlight w:val="none"/>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178BF0E">
      <w:pPr>
        <w:keepNext/>
        <w:keepLines/>
        <w:spacing w:before="120" w:beforeLines="50" w:after="120" w:afterLines="50" w:line="360" w:lineRule="auto"/>
        <w:outlineLvl w:val="1"/>
        <w:rPr>
          <w:rFonts w:hint="eastAsia" w:ascii="宋体" w:hAnsi="宋体" w:cs="宋体"/>
          <w:color w:val="auto"/>
          <w:sz w:val="24"/>
          <w:szCs w:val="24"/>
          <w:highlight w:val="none"/>
        </w:rPr>
      </w:pPr>
      <w:bookmarkStart w:id="1699" w:name="_Toc497584075"/>
      <w:bookmarkStart w:id="1700" w:name="_Toc10235684"/>
      <w:bookmarkStart w:id="1701" w:name="_Toc490331706"/>
      <w:bookmarkStart w:id="1702" w:name="_Toc497214084"/>
      <w:r>
        <w:rPr>
          <w:rFonts w:hint="eastAsia" w:ascii="宋体" w:hAnsi="宋体" w:cs="宋体"/>
          <w:color w:val="auto"/>
          <w:sz w:val="24"/>
          <w:szCs w:val="24"/>
          <w:highlight w:val="none"/>
        </w:rPr>
        <w:t>13.工程质量</w:t>
      </w:r>
      <w:bookmarkEnd w:id="1696"/>
      <w:bookmarkEnd w:id="1697"/>
      <w:bookmarkEnd w:id="1698"/>
      <w:bookmarkEnd w:id="1699"/>
      <w:bookmarkEnd w:id="1700"/>
      <w:bookmarkEnd w:id="1701"/>
      <w:bookmarkEnd w:id="1702"/>
    </w:p>
    <w:p w14:paraId="46F657AF">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03" w:name="_Toc489280222"/>
      <w:bookmarkStart w:id="1704" w:name="_Toc486580416"/>
      <w:bookmarkStart w:id="1705" w:name="_Toc497214085"/>
      <w:bookmarkStart w:id="1706" w:name="_Toc10235685"/>
      <w:bookmarkStart w:id="1707" w:name="_Toc490331707"/>
      <w:bookmarkStart w:id="1708" w:name="_Toc497584076"/>
      <w:bookmarkStart w:id="1709" w:name="_Toc485323190"/>
      <w:r>
        <w:rPr>
          <w:rFonts w:hint="eastAsia" w:ascii="宋体" w:hAnsi="宋体" w:cs="宋体"/>
          <w:color w:val="auto"/>
          <w:kern w:val="0"/>
          <w:sz w:val="24"/>
          <w:szCs w:val="24"/>
          <w:highlight w:val="none"/>
        </w:rPr>
        <w:t>13.2  承包人的质量管理</w:t>
      </w:r>
      <w:bookmarkEnd w:id="1703"/>
      <w:bookmarkEnd w:id="1704"/>
      <w:bookmarkEnd w:id="1705"/>
      <w:bookmarkEnd w:id="1706"/>
      <w:bookmarkEnd w:id="1707"/>
      <w:bookmarkEnd w:id="1708"/>
      <w:bookmarkEnd w:id="1709"/>
    </w:p>
    <w:p w14:paraId="3C24ACFC">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13.2.1  承包人向监理人提交工程质量保证措施文件的期限：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签订合同后7日内</w:t>
      </w:r>
      <w:r>
        <w:rPr>
          <w:rFonts w:hint="eastAsia" w:ascii="宋体" w:hAnsi="宋体" w:cs="宋体"/>
          <w:color w:val="auto"/>
          <w:sz w:val="24"/>
          <w:szCs w:val="24"/>
          <w:highlight w:val="none"/>
          <w:u w:val="single"/>
        </w:rPr>
        <w:t xml:space="preserve"> </w:t>
      </w:r>
    </w:p>
    <w:p w14:paraId="75D84D1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监理人审批工程质量保证措施文件的期限：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7天，自收到文件之日起计算</w:t>
      </w:r>
      <w:r>
        <w:rPr>
          <w:rFonts w:hint="eastAsia" w:ascii="宋体" w:hAnsi="宋体" w:cs="宋体"/>
          <w:color w:val="auto"/>
          <w:sz w:val="24"/>
          <w:szCs w:val="24"/>
          <w:highlight w:val="none"/>
          <w:u w:val="single"/>
        </w:rPr>
        <w:t xml:space="preserve">      </w:t>
      </w:r>
    </w:p>
    <w:p w14:paraId="47A1D097">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10" w:name="_Toc489280223"/>
      <w:bookmarkStart w:id="1711" w:name="_Toc10235686"/>
      <w:bookmarkStart w:id="1712" w:name="_Toc485323191"/>
      <w:bookmarkStart w:id="1713" w:name="_Toc497584077"/>
      <w:bookmarkStart w:id="1714" w:name="_Toc486580417"/>
      <w:bookmarkStart w:id="1715" w:name="_Toc490331708"/>
      <w:bookmarkStart w:id="1716" w:name="_Toc497214086"/>
      <w:r>
        <w:rPr>
          <w:rFonts w:hint="eastAsia" w:ascii="宋体" w:hAnsi="宋体" w:cs="宋体"/>
          <w:color w:val="auto"/>
          <w:kern w:val="0"/>
          <w:sz w:val="24"/>
          <w:szCs w:val="24"/>
          <w:highlight w:val="none"/>
        </w:rPr>
        <w:t>13.3  承包人的质量检查</w:t>
      </w:r>
      <w:bookmarkEnd w:id="1710"/>
      <w:bookmarkEnd w:id="1711"/>
      <w:bookmarkEnd w:id="1712"/>
      <w:bookmarkEnd w:id="1713"/>
      <w:bookmarkEnd w:id="1714"/>
      <w:bookmarkEnd w:id="1715"/>
      <w:bookmarkEnd w:id="1716"/>
    </w:p>
    <w:p w14:paraId="60F7E1F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承包人向监理人报送工程质量报表的期限：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质量检查前24小时内。</w:t>
      </w:r>
      <w:r>
        <w:rPr>
          <w:rFonts w:hint="eastAsia" w:ascii="宋体" w:hAnsi="宋体" w:cs="宋体"/>
          <w:color w:val="auto"/>
          <w:sz w:val="24"/>
          <w:szCs w:val="24"/>
          <w:highlight w:val="none"/>
          <w:u w:val="single"/>
        </w:rPr>
        <w:t xml:space="preserve">      </w:t>
      </w:r>
    </w:p>
    <w:p w14:paraId="428345F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承包人向监理人报送工程质量报表的要求：</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质量检测相关文件真实、完整，符合国家有关规定和行业标准。</w:t>
      </w:r>
      <w:r>
        <w:rPr>
          <w:rFonts w:hint="eastAsia" w:ascii="宋体" w:hAnsi="宋体" w:cs="宋体"/>
          <w:color w:val="auto"/>
          <w:sz w:val="24"/>
          <w:szCs w:val="24"/>
          <w:highlight w:val="none"/>
          <w:u w:val="single"/>
        </w:rPr>
        <w:t xml:space="preserve">  </w:t>
      </w:r>
    </w:p>
    <w:p w14:paraId="0C17EFA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监理人审查工程质量报表的期限：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收到报表后7日内。</w:t>
      </w:r>
      <w:r>
        <w:rPr>
          <w:rFonts w:hint="eastAsia" w:ascii="宋体" w:hAnsi="宋体" w:cs="宋体"/>
          <w:color w:val="auto"/>
          <w:sz w:val="24"/>
          <w:szCs w:val="24"/>
          <w:highlight w:val="none"/>
          <w:u w:val="single"/>
        </w:rPr>
        <w:t xml:space="preserve">      </w:t>
      </w:r>
    </w:p>
    <w:p w14:paraId="051E7191">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17" w:name="_Toc489280224"/>
      <w:bookmarkStart w:id="1718" w:name="_Toc497584078"/>
      <w:bookmarkStart w:id="1719" w:name="_Toc490331709"/>
      <w:bookmarkStart w:id="1720" w:name="_Toc497214087"/>
      <w:bookmarkStart w:id="1721" w:name="_Toc485323192"/>
      <w:bookmarkStart w:id="1722" w:name="_Toc486580418"/>
      <w:bookmarkStart w:id="1723" w:name="_Toc10235687"/>
      <w:r>
        <w:rPr>
          <w:rFonts w:hint="eastAsia" w:ascii="宋体" w:hAnsi="宋体" w:cs="宋体"/>
          <w:color w:val="auto"/>
          <w:kern w:val="0"/>
          <w:sz w:val="24"/>
          <w:szCs w:val="24"/>
          <w:highlight w:val="none"/>
        </w:rPr>
        <w:t>13.4  监理人的质量检查</w:t>
      </w:r>
      <w:bookmarkEnd w:id="1717"/>
      <w:bookmarkEnd w:id="1718"/>
      <w:bookmarkEnd w:id="1719"/>
      <w:bookmarkEnd w:id="1720"/>
      <w:bookmarkEnd w:id="1721"/>
      <w:bookmarkEnd w:id="1722"/>
      <w:bookmarkEnd w:id="1723"/>
    </w:p>
    <w:p w14:paraId="7EF76BB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承包人应当为监理人的检查和检验提供方便，监理人可以进行察看和查阅施工原始记录的其他地方包括：</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02FF5687">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24" w:name="_Toc497584079"/>
      <w:bookmarkStart w:id="1725" w:name="_Toc485323193"/>
      <w:bookmarkStart w:id="1726" w:name="_Toc490331710"/>
      <w:bookmarkStart w:id="1727" w:name="_Toc489280225"/>
      <w:bookmarkStart w:id="1728" w:name="_Toc10235688"/>
      <w:bookmarkStart w:id="1729" w:name="_Toc486580419"/>
      <w:bookmarkStart w:id="1730" w:name="_Toc497214088"/>
      <w:r>
        <w:rPr>
          <w:rFonts w:hint="eastAsia" w:ascii="宋体" w:hAnsi="宋体" w:cs="宋体"/>
          <w:color w:val="auto"/>
          <w:kern w:val="0"/>
          <w:sz w:val="24"/>
          <w:szCs w:val="24"/>
          <w:highlight w:val="none"/>
        </w:rPr>
        <w:t>13.5  工程隐蔽部位覆盖前的检查</w:t>
      </w:r>
      <w:bookmarkEnd w:id="1724"/>
      <w:bookmarkEnd w:id="1725"/>
      <w:bookmarkEnd w:id="1726"/>
      <w:bookmarkEnd w:id="1727"/>
      <w:bookmarkEnd w:id="1728"/>
      <w:bookmarkEnd w:id="1729"/>
      <w:bookmarkEnd w:id="1730"/>
    </w:p>
    <w:p w14:paraId="112729D6">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13.5.1  监理人对工程隐蔽部位进行检查的期限：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收到承包人的检查通知后12小时内</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rPr>
        <w:t xml:space="preserve">   </w:t>
      </w:r>
    </w:p>
    <w:p w14:paraId="5C1D4E4C">
      <w:pPr>
        <w:keepNext/>
        <w:keepLines/>
        <w:spacing w:before="120" w:beforeLines="50" w:after="120" w:afterLines="50" w:line="360" w:lineRule="auto"/>
        <w:outlineLvl w:val="1"/>
        <w:rPr>
          <w:rFonts w:hint="eastAsia" w:ascii="宋体" w:hAnsi="宋体" w:cs="宋体"/>
          <w:color w:val="auto"/>
          <w:sz w:val="24"/>
          <w:szCs w:val="24"/>
          <w:highlight w:val="none"/>
        </w:rPr>
      </w:pPr>
      <w:bookmarkStart w:id="1731" w:name="_Toc490331711"/>
      <w:bookmarkStart w:id="1732" w:name="_Toc497584080"/>
      <w:bookmarkStart w:id="1733" w:name="_Toc10235689"/>
      <w:bookmarkStart w:id="1734" w:name="_Toc489280226"/>
      <w:bookmarkStart w:id="1735" w:name="_Toc497214089"/>
      <w:bookmarkStart w:id="1736" w:name="_Toc486580420"/>
      <w:bookmarkStart w:id="1737" w:name="_Toc485323194"/>
      <w:r>
        <w:rPr>
          <w:rFonts w:hint="eastAsia" w:ascii="宋体" w:hAnsi="宋体" w:cs="宋体"/>
          <w:color w:val="auto"/>
          <w:sz w:val="24"/>
          <w:szCs w:val="24"/>
          <w:highlight w:val="none"/>
        </w:rPr>
        <w:t>15.变更</w:t>
      </w:r>
      <w:bookmarkEnd w:id="1731"/>
      <w:bookmarkEnd w:id="1732"/>
      <w:bookmarkEnd w:id="1733"/>
      <w:bookmarkEnd w:id="1734"/>
      <w:bookmarkEnd w:id="1735"/>
      <w:bookmarkEnd w:id="1736"/>
      <w:bookmarkEnd w:id="1737"/>
    </w:p>
    <w:p w14:paraId="342A809D">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38" w:name="_Toc489280227"/>
      <w:bookmarkStart w:id="1739" w:name="_Toc10235690"/>
      <w:bookmarkStart w:id="1740" w:name="_Toc497214090"/>
      <w:bookmarkStart w:id="1741" w:name="_Toc490331712"/>
      <w:bookmarkStart w:id="1742" w:name="_Toc497584081"/>
      <w:bookmarkStart w:id="1743" w:name="_Toc485323195"/>
      <w:bookmarkStart w:id="1744" w:name="_Toc486580421"/>
      <w:r>
        <w:rPr>
          <w:rFonts w:hint="eastAsia" w:ascii="宋体" w:hAnsi="宋体" w:cs="宋体"/>
          <w:color w:val="auto"/>
          <w:kern w:val="0"/>
          <w:sz w:val="24"/>
          <w:szCs w:val="24"/>
          <w:highlight w:val="none"/>
        </w:rPr>
        <w:t>15.1  变更的范围和内容</w:t>
      </w:r>
      <w:bookmarkEnd w:id="1738"/>
      <w:bookmarkEnd w:id="1739"/>
      <w:bookmarkEnd w:id="1740"/>
      <w:bookmarkEnd w:id="1741"/>
      <w:bookmarkEnd w:id="1742"/>
      <w:bookmarkEnd w:id="1743"/>
      <w:bookmarkEnd w:id="1744"/>
    </w:p>
    <w:p w14:paraId="2859484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15.1.1在履行合同中发生以下情形之一，应按照本条规定进行变更。</w:t>
      </w:r>
    </w:p>
    <w:p w14:paraId="050F025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w:t>
      </w:r>
      <w:r>
        <w:rPr>
          <w:rFonts w:hint="eastAsia" w:ascii="宋体" w:hAnsi="宋体" w:cs="宋体"/>
          <w:color w:val="auto"/>
          <w:sz w:val="24"/>
          <w:szCs w:val="24"/>
          <w:highlight w:val="none"/>
          <w:lang w:val="en-US" w:eastAsia="zh-CN"/>
        </w:rPr>
        <w:t>1</w:t>
      </w:r>
      <w:r>
        <w:rPr>
          <w:rFonts w:hint="eastAsia" w:ascii="宋体" w:hAnsi="宋体" w:cs="宋体"/>
          <w:color w:val="auto"/>
          <w:sz w:val="24"/>
          <w:szCs w:val="24"/>
          <w:highlight w:val="none"/>
        </w:rPr>
        <w:t>）变更的其他情形：</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5CE8925">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45" w:name="_Toc485323196"/>
      <w:bookmarkStart w:id="1746" w:name="_Toc490331713"/>
      <w:bookmarkStart w:id="1747" w:name="_Toc489280228"/>
      <w:bookmarkStart w:id="1748" w:name="_Toc497214091"/>
      <w:bookmarkStart w:id="1749" w:name="_Toc497584082"/>
      <w:bookmarkStart w:id="1750" w:name="_Toc486580422"/>
      <w:bookmarkStart w:id="1751" w:name="_Toc10235691"/>
      <w:r>
        <w:rPr>
          <w:rFonts w:hint="eastAsia" w:ascii="宋体" w:hAnsi="宋体" w:cs="宋体"/>
          <w:color w:val="auto"/>
          <w:kern w:val="0"/>
          <w:sz w:val="24"/>
          <w:szCs w:val="24"/>
          <w:highlight w:val="none"/>
        </w:rPr>
        <w:t>15.3  变更程序</w:t>
      </w:r>
      <w:bookmarkEnd w:id="1745"/>
      <w:bookmarkEnd w:id="1746"/>
      <w:bookmarkEnd w:id="1747"/>
      <w:bookmarkEnd w:id="1748"/>
      <w:bookmarkEnd w:id="1749"/>
      <w:bookmarkEnd w:id="1750"/>
      <w:bookmarkEnd w:id="1751"/>
    </w:p>
    <w:p w14:paraId="585DC2A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15.3.2  变更估价</w:t>
      </w:r>
    </w:p>
    <w:p w14:paraId="2999E7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（1）承包人提交变更报价书的期限：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承包人收到变更指示或变更意向书后的14天内</w:t>
      </w:r>
      <w:r>
        <w:rPr>
          <w:rFonts w:hint="eastAsia" w:ascii="宋体" w:hAnsi="宋体" w:eastAsia="宋体" w:cs="宋体"/>
          <w:color w:val="auto"/>
          <w:sz w:val="24"/>
          <w:szCs w:val="24"/>
          <w:highlight w:val="none"/>
          <w:u w:val="single"/>
          <w:lang w:eastAsia="zh-CN"/>
        </w:rPr>
        <w:t>。</w:t>
      </w:r>
      <w:r>
        <w:rPr>
          <w:rFonts w:hint="eastAsia" w:ascii="宋体" w:hAnsi="宋体" w:cs="宋体"/>
          <w:color w:val="auto"/>
          <w:sz w:val="24"/>
          <w:szCs w:val="24"/>
          <w:highlight w:val="none"/>
          <w:u w:val="single"/>
        </w:rPr>
        <w:t xml:space="preserve">  </w:t>
      </w:r>
    </w:p>
    <w:p w14:paraId="0481CB57">
      <w:pPr>
        <w:spacing w:line="360" w:lineRule="auto"/>
        <w:ind w:firstLine="480" w:firstLineChars="200"/>
        <w:rPr>
          <w:rFonts w:ascii="宋体" w:hAnsi="宋体" w:cs="宋体"/>
          <w:color w:val="auto"/>
          <w:sz w:val="24"/>
          <w:szCs w:val="24"/>
          <w:highlight w:val="none"/>
        </w:rPr>
      </w:pPr>
      <w:r>
        <w:rPr>
          <w:rFonts w:hint="eastAsia" w:ascii="宋体" w:hAnsi="宋体" w:cs="宋体"/>
          <w:color w:val="auto"/>
          <w:sz w:val="24"/>
          <w:szCs w:val="24"/>
          <w:highlight w:val="none"/>
        </w:rPr>
        <w:t>（3）监理人商定或确定变更价格的期限：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监理人收到承包人变更报价书后的14天内。</w:t>
      </w:r>
      <w:r>
        <w:rPr>
          <w:rFonts w:hint="eastAsia" w:ascii="宋体" w:hAnsi="宋体" w:cs="宋体"/>
          <w:color w:val="auto"/>
          <w:sz w:val="24"/>
          <w:szCs w:val="24"/>
          <w:highlight w:val="none"/>
          <w:u w:val="single"/>
        </w:rPr>
        <w:t xml:space="preserve">   </w:t>
      </w:r>
    </w:p>
    <w:p w14:paraId="31A6B9A0">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52" w:name="_Toc490331714"/>
      <w:bookmarkStart w:id="1753" w:name="_Toc486580423"/>
      <w:bookmarkStart w:id="1754" w:name="_Toc10235692"/>
      <w:bookmarkStart w:id="1755" w:name="_Toc497584083"/>
      <w:bookmarkStart w:id="1756" w:name="_Toc497214092"/>
      <w:bookmarkStart w:id="1757" w:name="_Toc489280229"/>
      <w:bookmarkStart w:id="1758" w:name="_Toc485323197"/>
      <w:r>
        <w:rPr>
          <w:rFonts w:hint="eastAsia" w:ascii="宋体" w:hAnsi="宋体" w:cs="宋体"/>
          <w:color w:val="auto"/>
          <w:kern w:val="0"/>
          <w:sz w:val="24"/>
          <w:szCs w:val="24"/>
          <w:highlight w:val="none"/>
        </w:rPr>
        <w:t>15.4  变更的估价原则</w:t>
      </w:r>
      <w:bookmarkEnd w:id="1752"/>
      <w:bookmarkEnd w:id="1753"/>
      <w:bookmarkEnd w:id="1754"/>
      <w:bookmarkEnd w:id="1755"/>
      <w:bookmarkEnd w:id="1756"/>
      <w:bookmarkEnd w:id="1757"/>
      <w:bookmarkEnd w:id="1758"/>
    </w:p>
    <w:p w14:paraId="00881914">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15.4.5  合同协议书约定采用单价合同形式时，因非承包人原因引起已标价工程量清单中列明的工程量发生增减，且单个子目工程量变化幅度在</w:t>
      </w:r>
      <w:r>
        <w:rPr>
          <w:rFonts w:hint="eastAsia" w:ascii="宋体" w:hAnsi="宋体" w:cs="宋体"/>
          <w:color w:val="auto"/>
          <w:sz w:val="24"/>
          <w:szCs w:val="24"/>
          <w:highlight w:val="none"/>
          <w:u w:val="single"/>
        </w:rPr>
        <w:t xml:space="preserve"> ±15  </w:t>
      </w:r>
      <w:r>
        <w:rPr>
          <w:rFonts w:hint="eastAsia" w:ascii="宋体" w:hAnsi="宋体" w:cs="宋体"/>
          <w:color w:val="auto"/>
          <w:sz w:val="24"/>
          <w:szCs w:val="24"/>
          <w:highlight w:val="none"/>
        </w:rPr>
        <w:t>以内（含）时，应执行已标价工程量清单中列明的该子目的单价；单个子目工程量变化幅度在</w:t>
      </w:r>
      <w:r>
        <w:rPr>
          <w:rFonts w:hint="eastAsia" w:ascii="宋体" w:hAnsi="宋体" w:cs="宋体"/>
          <w:color w:val="auto"/>
          <w:sz w:val="24"/>
          <w:szCs w:val="24"/>
          <w:highlight w:val="none"/>
          <w:u w:val="single"/>
        </w:rPr>
        <w:t xml:space="preserve"> ±15  </w:t>
      </w:r>
      <w:r>
        <w:rPr>
          <w:rFonts w:hint="eastAsia" w:ascii="宋体" w:hAnsi="宋体" w:cs="宋体"/>
          <w:color w:val="auto"/>
          <w:sz w:val="24"/>
          <w:szCs w:val="24"/>
          <w:highlight w:val="none"/>
        </w:rPr>
        <w:t>以外（不含），且导致分部分项工程费总额变化幅度超过</w:t>
      </w:r>
      <w:r>
        <w:rPr>
          <w:rFonts w:hint="eastAsia" w:ascii="宋体" w:hAnsi="宋体" w:cs="宋体"/>
          <w:color w:val="auto"/>
          <w:sz w:val="24"/>
          <w:szCs w:val="24"/>
          <w:highlight w:val="none"/>
          <w:u w:val="single"/>
        </w:rPr>
        <w:t xml:space="preserve"> ±1 </w:t>
      </w:r>
      <w:r>
        <w:rPr>
          <w:rFonts w:hint="eastAsia" w:ascii="宋体" w:hAnsi="宋体" w:cs="宋体"/>
          <w:color w:val="auto"/>
          <w:sz w:val="24"/>
          <w:szCs w:val="24"/>
          <w:highlight w:val="none"/>
        </w:rPr>
        <w:t>%时，由承包人提出并由监理人按第3.5款商定或确定新的单价，该子目按修正后的新的单价计价。</w:t>
      </w:r>
    </w:p>
    <w:p w14:paraId="0DD68DA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15.4.6  因变更引起价格调整的其他处理方式：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1D31DC8">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59" w:name="_Toc489280230"/>
      <w:bookmarkStart w:id="1760" w:name="_Toc497214093"/>
      <w:bookmarkStart w:id="1761" w:name="_Toc485323198"/>
      <w:bookmarkStart w:id="1762" w:name="_Toc486580424"/>
      <w:bookmarkStart w:id="1763" w:name="_Toc497584084"/>
      <w:bookmarkStart w:id="1764" w:name="_Toc490331715"/>
      <w:bookmarkStart w:id="1765" w:name="_Toc10235693"/>
      <w:r>
        <w:rPr>
          <w:rFonts w:hint="eastAsia" w:ascii="宋体" w:hAnsi="宋体" w:cs="宋体"/>
          <w:color w:val="auto"/>
          <w:kern w:val="0"/>
          <w:sz w:val="24"/>
          <w:szCs w:val="24"/>
          <w:highlight w:val="none"/>
        </w:rPr>
        <w:t>15.5  承包人的合理化建议</w:t>
      </w:r>
      <w:bookmarkEnd w:id="1759"/>
      <w:bookmarkEnd w:id="1760"/>
      <w:bookmarkEnd w:id="1761"/>
      <w:bookmarkEnd w:id="1762"/>
      <w:bookmarkEnd w:id="1763"/>
      <w:bookmarkEnd w:id="1764"/>
      <w:bookmarkEnd w:id="1765"/>
    </w:p>
    <w:p w14:paraId="116DA14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15.5.2  对承包人提出合理化建议的奖励方法：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0DD01792">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66" w:name="_Toc490331716"/>
      <w:bookmarkStart w:id="1767" w:name="_Toc485323199"/>
      <w:bookmarkStart w:id="1768" w:name="_Toc489280231"/>
      <w:bookmarkStart w:id="1769" w:name="_Toc497584085"/>
      <w:bookmarkStart w:id="1770" w:name="_Toc10235694"/>
      <w:bookmarkStart w:id="1771" w:name="_Toc497214094"/>
      <w:bookmarkStart w:id="1772" w:name="_Toc486580425"/>
      <w:r>
        <w:rPr>
          <w:rFonts w:hint="eastAsia" w:ascii="宋体" w:hAnsi="宋体" w:cs="宋体"/>
          <w:color w:val="auto"/>
          <w:kern w:val="0"/>
          <w:sz w:val="24"/>
          <w:szCs w:val="24"/>
          <w:highlight w:val="none"/>
        </w:rPr>
        <w:t>15.8  暂估价</w:t>
      </w:r>
      <w:bookmarkEnd w:id="1766"/>
      <w:bookmarkEnd w:id="1767"/>
      <w:bookmarkEnd w:id="1768"/>
      <w:bookmarkEnd w:id="1769"/>
      <w:bookmarkEnd w:id="1770"/>
      <w:bookmarkEnd w:id="1771"/>
      <w:bookmarkEnd w:id="1772"/>
    </w:p>
    <w:p w14:paraId="139C7C0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15.8.1  按合同约定应当由发包人和承包人采用招标方式选择专项供应商或专业分包人的：</w:t>
      </w:r>
    </w:p>
    <w:p w14:paraId="05384927">
      <w:pPr>
        <w:spacing w:line="42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（4）承包人报送招标计划期限：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在任何招标工作启动前提前至少7天</w:t>
      </w:r>
      <w:r>
        <w:rPr>
          <w:rFonts w:hint="eastAsia" w:ascii="宋体" w:hAnsi="宋体" w:cs="宋体"/>
          <w:color w:val="auto"/>
          <w:sz w:val="24"/>
          <w:szCs w:val="24"/>
          <w:highlight w:val="none"/>
          <w:u w:val="single"/>
        </w:rPr>
        <w:t xml:space="preserve">  </w:t>
      </w:r>
    </w:p>
    <w:p w14:paraId="5160E8AA">
      <w:pPr>
        <w:spacing w:line="42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发包人审批招标工作计划时限：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在监理人收到承包人报送的招标工作计划后7天内</w:t>
      </w:r>
      <w:r>
        <w:rPr>
          <w:rFonts w:hint="eastAsia" w:ascii="宋体" w:hAnsi="宋体" w:cs="宋体"/>
          <w:color w:val="auto"/>
          <w:sz w:val="24"/>
          <w:szCs w:val="24"/>
          <w:highlight w:val="none"/>
          <w:u w:val="single"/>
        </w:rPr>
        <w:t xml:space="preserve">   </w:t>
      </w:r>
    </w:p>
    <w:p w14:paraId="6B4F6F62">
      <w:pPr>
        <w:spacing w:line="42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（5）承包人报送相关文件时限：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提前至少7天</w:t>
      </w:r>
      <w:r>
        <w:rPr>
          <w:rFonts w:hint="eastAsia" w:ascii="宋体" w:hAnsi="宋体" w:cs="宋体"/>
          <w:color w:val="auto"/>
          <w:sz w:val="24"/>
          <w:szCs w:val="24"/>
          <w:highlight w:val="none"/>
          <w:u w:val="single"/>
        </w:rPr>
        <w:t xml:space="preserve">        </w:t>
      </w:r>
    </w:p>
    <w:p w14:paraId="605EF7B1">
      <w:pPr>
        <w:spacing w:line="420" w:lineRule="auto"/>
        <w:ind w:firstLine="484" w:firstLineChars="202"/>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发包人审批相关文件时限：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监理人收到承包人报送的相关文件后7天内</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监理人收到承包人报送的相关文件后7天内</w:t>
      </w:r>
      <w:r>
        <w:rPr>
          <w:rFonts w:hint="eastAsia" w:ascii="宋体" w:hAnsi="宋体" w:cs="宋体"/>
          <w:color w:val="auto"/>
          <w:sz w:val="24"/>
          <w:szCs w:val="24"/>
          <w:highlight w:val="none"/>
          <w:u w:val="single"/>
        </w:rPr>
        <w:t xml:space="preserve">    </w:t>
      </w:r>
    </w:p>
    <w:p w14:paraId="55BD54E2">
      <w:pPr>
        <w:pStyle w:val="32"/>
        <w:spacing w:after="0" w:line="42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（10）</w:t>
      </w:r>
      <w:r>
        <w:rPr>
          <w:rFonts w:hint="eastAsia" w:ascii="宋体" w:hAnsi="宋体" w:eastAsia="宋体" w:cs="宋体"/>
          <w:color w:val="auto"/>
          <w:sz w:val="24"/>
          <w:szCs w:val="24"/>
          <w:highlight w:val="none"/>
        </w:rPr>
        <w:t>承包人申报合同文件时限：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kern w:val="2"/>
          <w:sz w:val="24"/>
          <w:szCs w:val="24"/>
          <w:highlight w:val="none"/>
          <w:u w:val="single"/>
          <w:lang w:val="en-US" w:eastAsia="zh-CN" w:bidi="ar-SA"/>
        </w:rPr>
        <w:t xml:space="preserve"> 提前至少7天</w:t>
      </w:r>
      <w:r>
        <w:rPr>
          <w:rFonts w:hint="eastAsia" w:ascii="宋体" w:hAnsi="宋体" w:cs="宋体"/>
          <w:color w:val="auto"/>
          <w:sz w:val="24"/>
          <w:szCs w:val="24"/>
          <w:highlight w:val="none"/>
          <w:u w:val="single"/>
        </w:rPr>
        <w:t xml:space="preserve">   </w:t>
      </w:r>
    </w:p>
    <w:p w14:paraId="3812A4B3">
      <w:pPr>
        <w:spacing w:line="42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发包人审批合同文件时限：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在监理人收到相应合同文件后7天内</w:t>
      </w:r>
      <w:r>
        <w:rPr>
          <w:rFonts w:hint="eastAsia" w:ascii="宋体" w:hAnsi="宋体" w:cs="宋体"/>
          <w:color w:val="auto"/>
          <w:sz w:val="24"/>
          <w:szCs w:val="24"/>
          <w:highlight w:val="none"/>
          <w:u w:val="single"/>
        </w:rPr>
        <w:t xml:space="preserve"> </w:t>
      </w:r>
    </w:p>
    <w:p w14:paraId="6323BBA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承包人报送正式签订合同副本时限：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合同订立后7天内</w:t>
      </w:r>
      <w:r>
        <w:rPr>
          <w:rFonts w:hint="eastAsia" w:ascii="宋体" w:hAnsi="宋体" w:cs="宋体"/>
          <w:color w:val="auto"/>
          <w:sz w:val="24"/>
          <w:szCs w:val="24"/>
          <w:highlight w:val="none"/>
          <w:u w:val="single"/>
        </w:rPr>
        <w:t xml:space="preserve">   </w:t>
      </w:r>
    </w:p>
    <w:p w14:paraId="31C618D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15.8.3  发包人在工程量清单中给定暂估价的专业工程不属于依法必须招标的范围或者未达到依法必须招标的规模标准的，其最终价格的估价人为：</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或者按照下列约定：</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发包人指定的造价机构</w:t>
      </w:r>
      <w:r>
        <w:rPr>
          <w:rFonts w:hint="eastAsia" w:ascii="宋体" w:hAnsi="宋体" w:cs="宋体"/>
          <w:color w:val="auto"/>
          <w:sz w:val="24"/>
          <w:szCs w:val="24"/>
          <w:highlight w:val="none"/>
          <w:u w:val="single"/>
        </w:rPr>
        <w:t xml:space="preserve">        </w:t>
      </w:r>
    </w:p>
    <w:p w14:paraId="2D87558D">
      <w:pPr>
        <w:keepNext/>
        <w:keepLines/>
        <w:spacing w:before="120" w:beforeLines="50" w:after="120" w:afterLines="50" w:line="360" w:lineRule="auto"/>
        <w:outlineLvl w:val="1"/>
        <w:rPr>
          <w:rFonts w:hint="eastAsia" w:ascii="宋体" w:hAnsi="宋体" w:cs="宋体"/>
          <w:color w:val="auto"/>
          <w:sz w:val="24"/>
          <w:szCs w:val="24"/>
          <w:highlight w:val="none"/>
        </w:rPr>
      </w:pPr>
      <w:bookmarkStart w:id="1773" w:name="_Toc485323200"/>
      <w:bookmarkStart w:id="1774" w:name="_Toc490331717"/>
      <w:bookmarkStart w:id="1775" w:name="_Toc10235695"/>
      <w:bookmarkStart w:id="1776" w:name="_Toc486580426"/>
      <w:bookmarkStart w:id="1777" w:name="_Toc497214095"/>
      <w:bookmarkStart w:id="1778" w:name="_Toc489280232"/>
      <w:bookmarkStart w:id="1779" w:name="_Toc497584086"/>
      <w:r>
        <w:rPr>
          <w:rFonts w:hint="eastAsia" w:ascii="宋体" w:hAnsi="宋体" w:cs="宋体"/>
          <w:color w:val="auto"/>
          <w:sz w:val="24"/>
          <w:szCs w:val="24"/>
          <w:highlight w:val="none"/>
        </w:rPr>
        <w:t>16.价格调整</w:t>
      </w:r>
      <w:bookmarkEnd w:id="1773"/>
      <w:bookmarkEnd w:id="1774"/>
      <w:bookmarkEnd w:id="1775"/>
      <w:bookmarkEnd w:id="1776"/>
      <w:bookmarkEnd w:id="1777"/>
      <w:bookmarkEnd w:id="1778"/>
      <w:bookmarkEnd w:id="1779"/>
    </w:p>
    <w:p w14:paraId="7BBDE516">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80" w:name="_Toc489280233"/>
      <w:bookmarkStart w:id="1781" w:name="_Toc486580427"/>
      <w:bookmarkStart w:id="1782" w:name="_Toc485323201"/>
      <w:bookmarkStart w:id="1783" w:name="_Toc497214096"/>
      <w:bookmarkStart w:id="1784" w:name="_Toc490331718"/>
      <w:bookmarkStart w:id="1785" w:name="_Toc10235696"/>
      <w:bookmarkStart w:id="1786" w:name="_Toc497584087"/>
      <w:r>
        <w:rPr>
          <w:rFonts w:hint="eastAsia" w:ascii="宋体" w:hAnsi="宋体" w:cs="宋体"/>
          <w:color w:val="auto"/>
          <w:kern w:val="0"/>
          <w:sz w:val="24"/>
          <w:szCs w:val="24"/>
          <w:highlight w:val="none"/>
        </w:rPr>
        <w:t>16.1  物价波动引起的价格调整</w:t>
      </w:r>
      <w:bookmarkEnd w:id="1780"/>
      <w:bookmarkEnd w:id="1781"/>
      <w:bookmarkEnd w:id="1782"/>
      <w:bookmarkEnd w:id="1783"/>
      <w:bookmarkEnd w:id="1784"/>
      <w:bookmarkEnd w:id="1785"/>
      <w:bookmarkEnd w:id="1786"/>
    </w:p>
    <w:p w14:paraId="76018AF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物价波动引起价格调整方法：</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采用造价信息调整价格差额</w:t>
      </w:r>
      <w:r>
        <w:rPr>
          <w:rFonts w:hint="eastAsia" w:ascii="宋体" w:hAnsi="宋体" w:cs="宋体"/>
          <w:color w:val="auto"/>
          <w:sz w:val="24"/>
          <w:szCs w:val="24"/>
          <w:highlight w:val="none"/>
          <w:u w:val="single"/>
        </w:rPr>
        <w:t xml:space="preserve">       </w:t>
      </w:r>
    </w:p>
    <w:p w14:paraId="38763A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16.1.2  采用造价信息调整价格差额</w:t>
      </w:r>
    </w:p>
    <w:p w14:paraId="53290AD8">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16.1.2.1  引起价格调整的物价波动风险范围及幅度</w:t>
      </w:r>
    </w:p>
    <w:p w14:paraId="4D89AAA2">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引起价格调整的物价波动风险范围：</w:t>
      </w:r>
    </w:p>
    <w:p w14:paraId="21EB2F1A">
      <w:pPr>
        <w:spacing w:line="360" w:lineRule="auto"/>
        <w:ind w:firstLine="720" w:firstLineChars="3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①预拌混凝土、钢筋、钢管的材料价格变化幅度在±5% 以内（含），不做调整。变化幅度大于±5%，计算超过部分的价差，其价差由发包人承担或受益。</w:t>
      </w:r>
    </w:p>
    <w:p w14:paraId="09397E86">
      <w:pPr>
        <w:spacing w:line="360" w:lineRule="auto"/>
        <w:ind w:firstLine="720" w:firstLineChars="3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②机械费用变化幅度在±5% 以内（含），不做调整。变化幅度大于±5%，计算超过部分的价差，其价差由发包人承担或受益。</w:t>
      </w:r>
    </w:p>
    <w:p w14:paraId="206FC6DE">
      <w:pPr>
        <w:spacing w:line="360" w:lineRule="auto"/>
        <w:ind w:firstLine="720" w:firstLineChars="3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③出现下列情况，人工费用变化的风险由发包人承担：</w:t>
      </w:r>
    </w:p>
    <w:p w14:paraId="43F6FE35">
      <w:pPr>
        <w:spacing w:line="360" w:lineRule="auto"/>
        <w:ind w:firstLine="720" w:firstLineChars="3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国家法律、法规、规章和政策发生变化；</w:t>
      </w:r>
    </w:p>
    <w:p w14:paraId="5AA90A36">
      <w:pPr>
        <w:spacing w:line="360" w:lineRule="auto"/>
        <w:ind w:firstLine="720" w:firstLineChars="300"/>
        <w:rPr>
          <w:rFonts w:hint="eastAsia" w:ascii="宋体" w:hAnsi="宋体" w:cs="宋体"/>
          <w:bCs/>
          <w:color w:val="auto"/>
          <w:sz w:val="24"/>
          <w:szCs w:val="24"/>
          <w:highlight w:val="none"/>
          <w:u w:val="single"/>
        </w:rPr>
      </w:pPr>
      <w:r>
        <w:rPr>
          <w:rFonts w:hint="eastAsia" w:ascii="宋体" w:hAnsi="宋体" w:cs="宋体"/>
          <w:bCs/>
          <w:color w:val="auto"/>
          <w:sz w:val="24"/>
          <w:szCs w:val="24"/>
          <w:highlight w:val="none"/>
          <w:u w:val="single"/>
        </w:rPr>
        <w:t>省级或行业建设主管部门发布的人工费调整，但承包人对人工费或人工单价的报价高于发布的除外；</w:t>
      </w:r>
    </w:p>
    <w:p w14:paraId="5C0A0F79">
      <w:pPr>
        <w:spacing w:line="360" w:lineRule="auto"/>
        <w:ind w:firstLine="720" w:firstLineChars="300"/>
        <w:rPr>
          <w:rFonts w:hint="eastAsia" w:ascii="宋体" w:hAnsi="宋体" w:cs="宋体"/>
          <w:color w:val="auto"/>
          <w:sz w:val="24"/>
          <w:szCs w:val="24"/>
          <w:highlight w:val="none"/>
        </w:rPr>
      </w:pPr>
      <w:r>
        <w:rPr>
          <w:rFonts w:hint="eastAsia" w:ascii="宋体" w:hAnsi="宋体" w:cs="宋体"/>
          <w:bCs/>
          <w:color w:val="auto"/>
          <w:sz w:val="24"/>
          <w:szCs w:val="24"/>
          <w:highlight w:val="none"/>
          <w:u w:val="single"/>
        </w:rPr>
        <w:t>除以上情况外，人工费用不做调整。</w:t>
      </w:r>
    </w:p>
    <w:p w14:paraId="3DF0DB5E">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引起价格调整的物价波动风险幅度：</w:t>
      </w:r>
      <w:r>
        <w:rPr>
          <w:rFonts w:hint="eastAsia" w:ascii="宋体" w:hAnsi="宋体" w:cs="宋体"/>
          <w:color w:val="auto"/>
          <w:sz w:val="24"/>
          <w:szCs w:val="24"/>
          <w:highlight w:val="none"/>
          <w:u w:val="single"/>
        </w:rPr>
        <w:t xml:space="preserve">  ±5</w:t>
      </w:r>
      <w:r>
        <w:rPr>
          <w:rFonts w:hint="eastAsia" w:ascii="宋体" w:hAnsi="宋体" w:cs="宋体"/>
          <w:color w:val="auto"/>
          <w:sz w:val="24"/>
          <w:szCs w:val="24"/>
          <w:highlight w:val="none"/>
        </w:rPr>
        <w:t xml:space="preserve"> %</w:t>
      </w:r>
    </w:p>
    <w:p w14:paraId="5B979CD2">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16.1.2.2   物价波动引起价格调整的风险幅度的计算方法</w:t>
      </w:r>
    </w:p>
    <w:p w14:paraId="6E26E6B5">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（1）投标报价基准期：</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年</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月</w:t>
      </w:r>
      <w:r>
        <w:rPr>
          <w:rFonts w:hint="eastAsia" w:ascii="宋体" w:hAnsi="宋体" w:cs="宋体"/>
          <w:color w:val="auto"/>
          <w:sz w:val="24"/>
          <w:szCs w:val="24"/>
          <w:highlight w:val="none"/>
        </w:rPr>
        <w:t>。</w:t>
      </w:r>
    </w:p>
    <w:p w14:paraId="60342A38">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（2）《北京工程造价信息》市场价格信息中没有的，基准价的确定方法： </w:t>
      </w:r>
      <w:r>
        <w:rPr>
          <w:rFonts w:hint="eastAsia" w:ascii="宋体" w:hAnsi="宋体" w:cs="宋体"/>
          <w:color w:val="auto"/>
          <w:sz w:val="24"/>
          <w:szCs w:val="24"/>
          <w:highlight w:val="none"/>
          <w:u w:val="single"/>
        </w:rPr>
        <w:t xml:space="preserve"> 按发包人、承包人共同确认的市场价格为准，双方确认的价格应当符合法律法规的规定方可执行。                                              </w:t>
      </w:r>
    </w:p>
    <w:p w14:paraId="3699D31A">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（3）合同施工期市场价格的确定方法：</w:t>
      </w:r>
      <w:r>
        <w:rPr>
          <w:rFonts w:hint="eastAsia" w:ascii="宋体" w:hAnsi="宋体" w:cs="宋体"/>
          <w:color w:val="auto"/>
          <w:sz w:val="24"/>
          <w:szCs w:val="24"/>
          <w:highlight w:val="none"/>
          <w:u w:val="single"/>
        </w:rPr>
        <w:t>合同施工期市场价格为施工期内 《北京建设工程造价信息》的算术平均价格，《北京建设工程造价信息》中没有的，以发包人、承包人共同确认的市场价格为准，双方确认的价格应当符合法律法规的规定方可执行。</w:t>
      </w:r>
    </w:p>
    <w:p w14:paraId="60F01045">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（4）物价波动引起价格调整的风险幅度的计算方法：</w:t>
      </w:r>
    </w:p>
    <w:p w14:paraId="2CE8FC5C">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u w:val="single"/>
        </w:rPr>
        <w:t>①以北京市建设工程造价管理协会发布的《北京建设工程造价信息》中的市场信息价格（以下简称造价信息价格）为依据，造价信息价格中有上、下限的，以下限为准，造价信息价格中没有价格限制的，按发包人、承包人共同确认的市场价格为准，双方确认的价格应当符合法律法规的规定方可执行。</w:t>
      </w:r>
    </w:p>
    <w:p w14:paraId="5DAD4C5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②价格变化幅度的计算方法用公式表示为：p = (Cs- Ct) / Ct × 100%</w:t>
      </w:r>
    </w:p>
    <w:p w14:paraId="73B9A25C">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其中：“p” 为价格变化幅度；</w:t>
      </w:r>
    </w:p>
    <w:p w14:paraId="2D825064">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“Cs”为施工期《北京建设工程造价信息》发布的价格；</w:t>
      </w:r>
    </w:p>
    <w:p w14:paraId="770F8B0A">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u w:val="single"/>
        </w:rPr>
        <w:t>“Ct”为投标期《北京建设工程造价信息》发布的价格；</w:t>
      </w:r>
    </w:p>
    <w:p w14:paraId="07CDC6BF">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如果投标价格低于投标期《北京建设工程造价信息》发布的价格下限，以《北京建设工程造价信息》发布的价格下限为计算变化幅度的基准价格；如果投标价格高于投标期 《北京建设工程造价信息》发布的价格下限，则以投标价格为计算变化幅度的基准价格，则“Ct”应替换为投标价格。</w:t>
      </w:r>
    </w:p>
    <w:p w14:paraId="281D76E8">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16.1.2.3  物价波动引起价格调整的方法</w:t>
      </w:r>
    </w:p>
    <w:p w14:paraId="6D88D1C5">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（1）本工程单价调整方法采用</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算术平均法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（加权平均法/算数平均法/其他计算方法）。</w:t>
      </w:r>
    </w:p>
    <w:p w14:paraId="4E2060DD">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采用加权平均法：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6ADA044">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采用算数平均法：</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人工、材料、机械费按工程施工期所在的 《北京建设工程造价信息》中相应价格的算数平均值</w:t>
      </w:r>
      <w:r>
        <w:rPr>
          <w:rFonts w:hint="eastAsia" w:ascii="宋体" w:hAnsi="宋体" w:cs="宋体"/>
          <w:color w:val="auto"/>
          <w:sz w:val="24"/>
          <w:szCs w:val="24"/>
          <w:highlight w:val="none"/>
          <w:u w:val="single"/>
        </w:rPr>
        <w:t xml:space="preserve">   </w:t>
      </w:r>
    </w:p>
    <w:p w14:paraId="7CCB6229">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采用其他计算方法：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96ECA6B">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16.1.2.4  其他约定：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957AA33">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16.1.3  其他价格调整方法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D635A54">
      <w:pPr>
        <w:keepNext/>
        <w:keepLines/>
        <w:spacing w:before="120" w:beforeLines="50" w:after="120" w:afterLines="50" w:line="360" w:lineRule="auto"/>
        <w:outlineLvl w:val="1"/>
        <w:rPr>
          <w:rFonts w:hint="eastAsia" w:ascii="宋体" w:hAnsi="宋体" w:cs="宋体"/>
          <w:color w:val="auto"/>
          <w:sz w:val="24"/>
          <w:szCs w:val="24"/>
          <w:highlight w:val="none"/>
        </w:rPr>
      </w:pPr>
      <w:bookmarkStart w:id="1787" w:name="_Toc485323202"/>
      <w:bookmarkStart w:id="1788" w:name="_Toc497584088"/>
      <w:bookmarkStart w:id="1789" w:name="_Toc486580428"/>
      <w:bookmarkStart w:id="1790" w:name="_Toc489280234"/>
      <w:bookmarkStart w:id="1791" w:name="_Toc497214097"/>
      <w:bookmarkStart w:id="1792" w:name="_Toc10235697"/>
      <w:bookmarkStart w:id="1793" w:name="_Toc490331719"/>
      <w:r>
        <w:rPr>
          <w:rFonts w:hint="eastAsia" w:ascii="宋体" w:hAnsi="宋体" w:cs="宋体"/>
          <w:color w:val="auto"/>
          <w:sz w:val="24"/>
          <w:szCs w:val="24"/>
          <w:highlight w:val="none"/>
        </w:rPr>
        <w:t>17.计量与支付</w:t>
      </w:r>
      <w:bookmarkEnd w:id="1787"/>
      <w:bookmarkEnd w:id="1788"/>
      <w:bookmarkEnd w:id="1789"/>
      <w:bookmarkEnd w:id="1790"/>
      <w:bookmarkEnd w:id="1791"/>
      <w:bookmarkEnd w:id="1792"/>
      <w:bookmarkEnd w:id="1793"/>
    </w:p>
    <w:p w14:paraId="618BB9DB">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794" w:name="_Toc486580429"/>
      <w:bookmarkStart w:id="1795" w:name="_Toc490331720"/>
      <w:bookmarkStart w:id="1796" w:name="_Toc489280235"/>
      <w:bookmarkStart w:id="1797" w:name="_Toc10235698"/>
      <w:bookmarkStart w:id="1798" w:name="_Toc485323203"/>
      <w:bookmarkStart w:id="1799" w:name="_Toc497214098"/>
      <w:bookmarkStart w:id="1800" w:name="_Toc497584089"/>
      <w:r>
        <w:rPr>
          <w:rFonts w:hint="eastAsia" w:ascii="宋体" w:hAnsi="宋体" w:cs="宋体"/>
          <w:color w:val="auto"/>
          <w:kern w:val="0"/>
          <w:sz w:val="24"/>
          <w:szCs w:val="24"/>
          <w:highlight w:val="none"/>
        </w:rPr>
        <w:t>17.1  计量</w:t>
      </w:r>
      <w:bookmarkEnd w:id="1794"/>
      <w:bookmarkEnd w:id="1795"/>
      <w:bookmarkEnd w:id="1796"/>
      <w:bookmarkEnd w:id="1797"/>
      <w:bookmarkEnd w:id="1798"/>
      <w:bookmarkEnd w:id="1799"/>
      <w:bookmarkEnd w:id="1800"/>
    </w:p>
    <w:p w14:paraId="4F0FB00A">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17.1.3  计量周期</w:t>
      </w:r>
    </w:p>
    <w:p w14:paraId="24C38D2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（1）每月</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25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日为当月计量截止日期（不含当日）和下月计量起始日期（含当日）。</w:t>
      </w:r>
    </w:p>
    <w:p w14:paraId="39D82CA9">
      <w:pPr>
        <w:spacing w:line="360" w:lineRule="auto"/>
        <w:ind w:left="105" w:leftChars="50"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（2）本合同</w:t>
      </w:r>
      <w:r>
        <w:rPr>
          <w:rFonts w:hint="eastAsia" w:ascii="宋体" w:hAnsi="宋体" w:cs="宋体"/>
          <w:color w:val="auto"/>
          <w:sz w:val="24"/>
          <w:szCs w:val="24"/>
          <w:highlight w:val="none"/>
          <w:u w:val="single"/>
        </w:rPr>
        <w:t>执行</w:t>
      </w:r>
      <w:r>
        <w:rPr>
          <w:rFonts w:hint="eastAsia" w:ascii="宋体" w:hAnsi="宋体" w:cs="宋体"/>
          <w:color w:val="auto"/>
          <w:sz w:val="24"/>
          <w:szCs w:val="24"/>
          <w:highlight w:val="none"/>
        </w:rPr>
        <w:t>（执行（采用单价合同形式时）/不执行（采用总价合同形式时））单价子目已完成工程量按月计量。</w:t>
      </w:r>
    </w:p>
    <w:p w14:paraId="2F626A2B">
      <w:pPr>
        <w:spacing w:line="360" w:lineRule="auto"/>
        <w:ind w:left="105" w:leftChars="50" w:firstLine="360" w:firstLineChars="150"/>
        <w:rPr>
          <w:rFonts w:hint="eastAsia" w:ascii="宋体" w:hAnsi="宋体" w:cs="宋体"/>
          <w:color w:val="auto"/>
          <w:sz w:val="24"/>
          <w:szCs w:val="24"/>
          <w:highlight w:val="none"/>
        </w:rPr>
      </w:pPr>
      <w:r>
        <w:rPr>
          <w:rFonts w:hint="eastAsia" w:ascii="宋体" w:hAnsi="宋体" w:cs="宋体"/>
          <w:color w:val="auto"/>
          <w:sz w:val="24"/>
          <w:szCs w:val="24"/>
          <w:highlight w:val="none"/>
        </w:rPr>
        <w:t>（3）总价子目计量方式采用</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（支付分解报告/按实际完成工程量计量）。</w:t>
      </w:r>
    </w:p>
    <w:p w14:paraId="172131B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17.1.5  总价子目的计量（适用于采用支付分解报告）</w:t>
      </w:r>
    </w:p>
    <w:p w14:paraId="3C5B39B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（1）采用支付分解报告计量方式的，总价子目的价格调整方法：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8273AD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17.1.5  总价子目的计量（适用于采用按实际完成工程量计量）</w:t>
      </w:r>
    </w:p>
    <w:p w14:paraId="07B6496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（1）采用按实际完成工程量计量方式的,总价子目的价格调整方法：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4F84F5BB">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01" w:name="_Toc497584090"/>
      <w:bookmarkStart w:id="1802" w:name="_Toc497214099"/>
      <w:bookmarkStart w:id="1803" w:name="_Toc486580430"/>
      <w:bookmarkStart w:id="1804" w:name="_Toc10235699"/>
      <w:bookmarkStart w:id="1805" w:name="_Toc490331721"/>
      <w:bookmarkStart w:id="1806" w:name="_Toc485323204"/>
      <w:bookmarkStart w:id="1807" w:name="_Toc489280236"/>
      <w:r>
        <w:rPr>
          <w:rFonts w:hint="eastAsia" w:ascii="宋体" w:hAnsi="宋体" w:cs="宋体"/>
          <w:color w:val="auto"/>
          <w:kern w:val="0"/>
          <w:sz w:val="24"/>
          <w:szCs w:val="24"/>
          <w:highlight w:val="none"/>
        </w:rPr>
        <w:t>17.2  预付款</w:t>
      </w:r>
      <w:bookmarkEnd w:id="1801"/>
      <w:bookmarkEnd w:id="1802"/>
      <w:bookmarkEnd w:id="1803"/>
      <w:bookmarkEnd w:id="1804"/>
      <w:bookmarkEnd w:id="1805"/>
      <w:bookmarkEnd w:id="1806"/>
      <w:bookmarkEnd w:id="1807"/>
    </w:p>
    <w:p w14:paraId="0E3E34D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17.2.1  预付款</w:t>
      </w:r>
    </w:p>
    <w:p w14:paraId="0D15E8A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（1）预付款额度</w:t>
      </w:r>
    </w:p>
    <w:p w14:paraId="069180B3">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预付款额度：</w:t>
      </w:r>
      <w:r>
        <w:rPr>
          <w:rFonts w:hint="eastAsia" w:ascii="宋体" w:hAnsi="宋体" w:cs="宋体"/>
          <w:color w:val="auto"/>
          <w:sz w:val="24"/>
          <w:szCs w:val="24"/>
          <w:highlight w:val="none"/>
          <w:u w:val="single"/>
        </w:rPr>
        <w:t xml:space="preserve"> 在收到承包人提交的合法等额增值税专用发票后，发包人按合同价的</w:t>
      </w:r>
      <w:r>
        <w:rPr>
          <w:rFonts w:hint="eastAsia" w:ascii="宋体" w:hAnsi="宋体" w:cs="宋体"/>
          <w:color w:val="auto"/>
          <w:sz w:val="24"/>
          <w:szCs w:val="24"/>
          <w:highlight w:val="none"/>
          <w:u w:val="single"/>
          <w:lang w:val="en-US" w:eastAsia="zh-CN"/>
        </w:rPr>
        <w:t>50</w:t>
      </w:r>
      <w:r>
        <w:rPr>
          <w:rFonts w:hint="eastAsia" w:ascii="宋体" w:hAnsi="宋体" w:cs="宋体"/>
          <w:color w:val="auto"/>
          <w:sz w:val="24"/>
          <w:szCs w:val="24"/>
          <w:highlight w:val="none"/>
          <w:u w:val="single"/>
        </w:rPr>
        <w:t xml:space="preserve">%向承包人一次性支付预付款。承包人不能提供合法等额增值税专用发票的，发包人延迟付款不视为违约。   </w:t>
      </w:r>
    </w:p>
    <w:p w14:paraId="116C2EAA">
      <w:pPr>
        <w:spacing w:line="360" w:lineRule="auto"/>
        <w:ind w:firstLine="720" w:firstLineChars="300"/>
        <w:rPr>
          <w:rFonts w:hint="eastAsia" w:ascii="宋体" w:hAnsi="宋体" w:cs="宋体"/>
          <w:color w:val="auto"/>
          <w:sz w:val="24"/>
          <w:szCs w:val="24"/>
          <w:highlight w:val="none"/>
          <w:u w:val="single"/>
        </w:rPr>
      </w:pPr>
      <w:bookmarkStart w:id="1808" w:name="_Hlk8723579"/>
      <w:r>
        <w:rPr>
          <w:rFonts w:hint="eastAsia" w:ascii="宋体" w:hAnsi="宋体" w:cs="宋体"/>
          <w:color w:val="auto"/>
          <w:sz w:val="24"/>
          <w:szCs w:val="24"/>
          <w:highlight w:val="none"/>
        </w:rPr>
        <w:t>其中：</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00823782">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（2）预付办法</w:t>
      </w:r>
    </w:p>
    <w:p w14:paraId="73F30FA8">
      <w:pPr>
        <w:spacing w:line="360" w:lineRule="auto"/>
        <w:ind w:firstLine="720" w:firstLineChars="300"/>
        <w:rPr>
          <w:rFonts w:ascii="宋体" w:hAnsi="宋体" w:cs="宋体"/>
          <w:color w:val="auto"/>
          <w:sz w:val="24"/>
          <w:szCs w:val="24"/>
          <w:highlight w:val="none"/>
          <w:u w:val="single"/>
        </w:rPr>
      </w:pPr>
      <w:r>
        <w:rPr>
          <w:rFonts w:hint="eastAsia" w:ascii="宋体" w:hAnsi="宋体" w:cs="宋体"/>
          <w:color w:val="auto"/>
          <w:sz w:val="24"/>
          <w:szCs w:val="24"/>
          <w:highlight w:val="none"/>
        </w:rPr>
        <w:t>预付款预付办法：</w:t>
      </w:r>
      <w:r>
        <w:rPr>
          <w:rFonts w:hint="eastAsia" w:ascii="宋体" w:hAnsi="宋体" w:eastAsia="宋体" w:cs="宋体"/>
          <w:color w:val="auto"/>
          <w:sz w:val="24"/>
          <w:szCs w:val="24"/>
          <w:highlight w:val="none"/>
          <w:u w:val="single"/>
        </w:rPr>
        <w:t>在收到承包人提交正式发票后，发包人一次性向承包人支付预付款</w:t>
      </w:r>
      <w:r>
        <w:rPr>
          <w:rFonts w:hint="eastAsia" w:ascii="宋体" w:hAnsi="宋体" w:cs="宋体"/>
          <w:color w:val="auto"/>
          <w:sz w:val="24"/>
          <w:szCs w:val="24"/>
          <w:highlight w:val="none"/>
          <w:u w:val="single"/>
        </w:rPr>
        <w:t xml:space="preserve">  </w:t>
      </w:r>
    </w:p>
    <w:p w14:paraId="500314B5">
      <w:pPr>
        <w:spacing w:line="360" w:lineRule="auto"/>
        <w:ind w:firstLine="720" w:firstLineChars="3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预付款的支付时间：</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合同签订后</w:t>
      </w:r>
      <w:r>
        <w:rPr>
          <w:rFonts w:hint="eastAsia" w:ascii="宋体" w:hAnsi="宋体" w:eastAsia="宋体" w:cs="宋体"/>
          <w:color w:val="auto"/>
          <w:sz w:val="24"/>
          <w:szCs w:val="24"/>
          <w:highlight w:val="none"/>
          <w:u w:val="single"/>
          <w:lang w:val="en-US" w:eastAsia="zh-CN"/>
        </w:rPr>
        <w:t>三十</w:t>
      </w:r>
      <w:r>
        <w:rPr>
          <w:rFonts w:hint="eastAsia" w:ascii="宋体" w:hAnsi="宋体" w:eastAsia="宋体" w:cs="宋体"/>
          <w:color w:val="auto"/>
          <w:sz w:val="24"/>
          <w:szCs w:val="24"/>
          <w:highlight w:val="none"/>
          <w:u w:val="single"/>
        </w:rPr>
        <w:t xml:space="preserve">日内 </w:t>
      </w:r>
      <w:r>
        <w:rPr>
          <w:rFonts w:hint="eastAsia" w:ascii="宋体" w:hAnsi="宋体" w:cs="宋体"/>
          <w:color w:val="auto"/>
          <w:sz w:val="24"/>
          <w:szCs w:val="24"/>
          <w:highlight w:val="none"/>
          <w:u w:val="single"/>
        </w:rPr>
        <w:t xml:space="preserve">       </w:t>
      </w:r>
    </w:p>
    <w:bookmarkEnd w:id="1808"/>
    <w:p w14:paraId="09F52AC9">
      <w:pPr>
        <w:spacing w:line="360" w:lineRule="auto"/>
        <w:ind w:firstLine="480" w:firstLineChars="200"/>
        <w:rPr>
          <w:rFonts w:hint="eastAsia" w:ascii="宋体" w:hAnsi="宋体" w:cs="宋体"/>
          <w:color w:val="auto"/>
          <w:sz w:val="24"/>
          <w:szCs w:val="24"/>
          <w:highlight w:val="none"/>
        </w:rPr>
      </w:pPr>
      <w:bookmarkStart w:id="1809" w:name="_Hlk8723637"/>
      <w:r>
        <w:rPr>
          <w:rFonts w:hint="eastAsia" w:ascii="宋体" w:hAnsi="宋体" w:cs="宋体"/>
          <w:color w:val="auto"/>
          <w:sz w:val="24"/>
          <w:szCs w:val="24"/>
          <w:highlight w:val="none"/>
        </w:rPr>
        <w:t>（3）安全文明施工费用预付额度及方式：</w:t>
      </w:r>
    </w:p>
    <w:p w14:paraId="15ABE3E4">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安全文明施工费用的预付不受上述预付办法和支付时间约定的制约。安全文明施工费用按以下时间节点和金额进行预付：</w:t>
      </w:r>
    </w:p>
    <w:p w14:paraId="65A76CF3">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发包人应当在不迟于第11.1.1项约定的开工日期前的7天内，将签约合同价中载明的安全文明施工费用总额的50%一次性预付给承包人。</w:t>
      </w:r>
    </w:p>
    <w:p w14:paraId="6293DF7D">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发包人应当在±0.00以下主体结构施工完成或签约合同价中分部分项工程项目的完成价款比例达到30%（两者中以条件先满足的为准）7天内，预付至签约合同价中载明的安全文明施工费用总额的70%。</w:t>
      </w:r>
    </w:p>
    <w:p w14:paraId="4EB08452">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发包人应当在安全生产标准化考评、评定达到（含整改后达到）或超过合同约定的安全生产标准化管理目标之日起7天内，预付至签约合同价中载明的安全文明施工费用总额的90%。</w:t>
      </w:r>
    </w:p>
    <w:p w14:paraId="33E22BE8">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发包人应当在工程竣工后，安全生产标准化考评、认定达到或超过合同约定安全生产标准化管理目标并颁发考评证书之日起的7天内，预付至签约合同价中载明的安全文明施工费用总额的100%。</w:t>
      </w:r>
    </w:p>
    <w:p w14:paraId="01ED4DD4">
      <w:pPr>
        <w:spacing w:line="360" w:lineRule="auto"/>
        <w:ind w:firstLine="720" w:firstLineChars="300"/>
        <w:rPr>
          <w:rFonts w:hint="eastAsia" w:ascii="宋体" w:hAnsi="宋体" w:cs="宋体"/>
          <w:color w:val="auto"/>
          <w:sz w:val="24"/>
          <w:szCs w:val="24"/>
          <w:highlight w:val="none"/>
        </w:rPr>
      </w:pPr>
      <w:r>
        <w:rPr>
          <w:rFonts w:hint="eastAsia" w:ascii="宋体" w:hAnsi="宋体" w:cs="宋体"/>
          <w:color w:val="auto"/>
          <w:sz w:val="24"/>
          <w:szCs w:val="24"/>
          <w:highlight w:val="none"/>
        </w:rPr>
        <w:t>安全文明施工的预付不抵扣。</w:t>
      </w:r>
    </w:p>
    <w:bookmarkEnd w:id="1809"/>
    <w:p w14:paraId="1FBE949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17.2.2  预付款的扣回与还清</w:t>
      </w:r>
    </w:p>
    <w:p w14:paraId="198A3165">
      <w:pPr>
        <w:spacing w:line="400" w:lineRule="exact"/>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预付款的扣回办法：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32B4B88">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10" w:name="_Toc497214100"/>
      <w:bookmarkStart w:id="1811" w:name="_Toc490331722"/>
      <w:bookmarkStart w:id="1812" w:name="_Toc485323205"/>
      <w:bookmarkStart w:id="1813" w:name="_Toc497584091"/>
      <w:bookmarkStart w:id="1814" w:name="_Toc10235700"/>
      <w:bookmarkStart w:id="1815" w:name="_Toc486580431"/>
      <w:bookmarkStart w:id="1816" w:name="_Toc489280237"/>
      <w:r>
        <w:rPr>
          <w:rFonts w:hint="eastAsia" w:ascii="宋体" w:hAnsi="宋体" w:cs="宋体"/>
          <w:color w:val="auto"/>
          <w:kern w:val="0"/>
          <w:sz w:val="24"/>
          <w:szCs w:val="24"/>
          <w:highlight w:val="none"/>
        </w:rPr>
        <w:t>17.3  工程进度付款</w:t>
      </w:r>
      <w:bookmarkEnd w:id="1810"/>
      <w:bookmarkEnd w:id="1811"/>
      <w:bookmarkEnd w:id="1812"/>
      <w:bookmarkEnd w:id="1813"/>
      <w:bookmarkEnd w:id="1814"/>
      <w:bookmarkEnd w:id="1815"/>
      <w:bookmarkEnd w:id="1816"/>
    </w:p>
    <w:p w14:paraId="61C2D97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17.3.2  进度付款申请单</w:t>
      </w:r>
    </w:p>
    <w:p w14:paraId="5C9C4F7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进度付款申请单的份数：</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rPr>
        <w:t xml:space="preserve"> 一式六份 </w:t>
      </w:r>
      <w:r>
        <w:rPr>
          <w:rFonts w:hint="eastAsia" w:ascii="宋体" w:hAnsi="宋体" w:cs="宋体"/>
          <w:color w:val="auto"/>
          <w:sz w:val="24"/>
          <w:szCs w:val="24"/>
          <w:highlight w:val="none"/>
          <w:u w:val="single"/>
        </w:rPr>
        <w:t xml:space="preserve">    </w:t>
      </w:r>
    </w:p>
    <w:p w14:paraId="4A6473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承包人报送监理人的进度付款申请单应包括下列内容：</w:t>
      </w:r>
    </w:p>
    <w:p w14:paraId="5BA0DE7A">
      <w:pPr>
        <w:spacing w:line="360" w:lineRule="auto"/>
        <w:ind w:firstLine="480" w:firstLineChars="200"/>
        <w:rPr>
          <w:rFonts w:hint="eastAsia" w:ascii="宋体" w:hAnsi="宋体" w:eastAsia="宋体" w:cs="宋体"/>
          <w:color w:val="auto"/>
          <w:sz w:val="24"/>
          <w:szCs w:val="24"/>
          <w:highlight w:val="none"/>
          <w:u w:val="single"/>
        </w:rPr>
      </w:pPr>
      <w:r>
        <w:rPr>
          <w:rFonts w:hint="eastAsia" w:ascii="宋体" w:hAnsi="宋体" w:cs="宋体"/>
          <w:color w:val="auto"/>
          <w:sz w:val="24"/>
          <w:szCs w:val="24"/>
          <w:highlight w:val="none"/>
        </w:rPr>
        <w:t>（6）根据合同应增加和（或）扣减的其他内容金额：</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 xml:space="preserve">                  </w:t>
      </w:r>
    </w:p>
    <w:p w14:paraId="12D850C9">
      <w:pPr>
        <w:spacing w:line="360" w:lineRule="auto"/>
        <w:ind w:left="0" w:leftChars="0" w:firstLine="720" w:firstLineChars="3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1）</w:t>
      </w:r>
      <w:r>
        <w:rPr>
          <w:rFonts w:hint="eastAsia" w:ascii="宋体" w:hAnsi="宋体" w:eastAsia="宋体" w:cs="宋体"/>
          <w:color w:val="auto"/>
          <w:sz w:val="24"/>
          <w:szCs w:val="24"/>
          <w:highlight w:val="none"/>
          <w:u w:val="single"/>
          <w:lang w:val="en-US" w:eastAsia="zh-CN"/>
        </w:rPr>
        <w:t>合同签订后10日内支付合同金额的50%作为工程预付款</w:t>
      </w:r>
      <w:r>
        <w:rPr>
          <w:rFonts w:hint="eastAsia" w:ascii="宋体" w:hAnsi="宋体" w:cs="宋体"/>
          <w:color w:val="auto"/>
          <w:sz w:val="24"/>
          <w:szCs w:val="24"/>
          <w:highlight w:val="none"/>
          <w:u w:val="single"/>
          <w:lang w:val="en-US" w:eastAsia="zh-CN"/>
        </w:rPr>
        <w:t>。</w:t>
      </w:r>
    </w:p>
    <w:p w14:paraId="0D101A2F">
      <w:pPr>
        <w:spacing w:line="360" w:lineRule="auto"/>
        <w:ind w:firstLine="720" w:firstLineChars="300"/>
        <w:rPr>
          <w:rFonts w:hint="eastAsia"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2</w:t>
      </w:r>
      <w:r>
        <w:rPr>
          <w:rFonts w:hint="eastAsia" w:ascii="宋体" w:hAnsi="宋体" w:eastAsia="宋体" w:cs="宋体"/>
          <w:color w:val="auto"/>
          <w:sz w:val="24"/>
          <w:szCs w:val="24"/>
          <w:highlight w:val="none"/>
          <w:u w:val="single"/>
        </w:rPr>
        <w:t>）</w:t>
      </w:r>
      <w:r>
        <w:rPr>
          <w:rFonts w:hint="eastAsia" w:ascii="宋体" w:hAnsi="宋体" w:eastAsia="宋体" w:cs="宋体"/>
          <w:color w:val="auto"/>
          <w:sz w:val="24"/>
          <w:szCs w:val="24"/>
          <w:highlight w:val="none"/>
          <w:u w:val="single"/>
          <w:lang w:val="en-US" w:eastAsia="zh-CN"/>
        </w:rPr>
        <w:t>工程</w:t>
      </w:r>
      <w:r>
        <w:rPr>
          <w:rFonts w:hint="eastAsia" w:ascii="宋体" w:hAnsi="宋体" w:cs="宋体"/>
          <w:color w:val="auto"/>
          <w:sz w:val="24"/>
          <w:szCs w:val="24"/>
          <w:highlight w:val="none"/>
          <w:u w:val="single"/>
          <w:lang w:val="en-US" w:eastAsia="zh-CN"/>
        </w:rPr>
        <w:t>结束</w:t>
      </w:r>
      <w:r>
        <w:rPr>
          <w:rFonts w:hint="eastAsia" w:ascii="宋体" w:hAnsi="宋体" w:eastAsia="宋体" w:cs="宋体"/>
          <w:color w:val="auto"/>
          <w:sz w:val="24"/>
          <w:szCs w:val="24"/>
          <w:highlight w:val="none"/>
          <w:u w:val="single"/>
          <w:lang w:val="en-US" w:eastAsia="zh-CN"/>
        </w:rPr>
        <w:t>且</w:t>
      </w:r>
      <w:r>
        <w:rPr>
          <w:rFonts w:hint="eastAsia" w:ascii="宋体" w:hAnsi="宋体" w:cs="宋体"/>
          <w:color w:val="auto"/>
          <w:sz w:val="24"/>
          <w:szCs w:val="24"/>
          <w:highlight w:val="none"/>
          <w:u w:val="single"/>
          <w:lang w:val="en-US" w:eastAsia="zh-CN"/>
        </w:rPr>
        <w:t>验收合格</w:t>
      </w:r>
      <w:r>
        <w:rPr>
          <w:rFonts w:hint="eastAsia" w:ascii="宋体" w:hAnsi="宋体" w:eastAsia="宋体" w:cs="宋体"/>
          <w:color w:val="auto"/>
          <w:sz w:val="24"/>
          <w:szCs w:val="24"/>
          <w:highlight w:val="none"/>
          <w:u w:val="single"/>
          <w:lang w:val="en-US" w:eastAsia="zh-CN"/>
        </w:rPr>
        <w:t>后30日内付至结算金额</w:t>
      </w:r>
      <w:r>
        <w:rPr>
          <w:rFonts w:hint="eastAsia" w:ascii="宋体" w:hAnsi="宋体" w:cs="宋体"/>
          <w:color w:val="auto"/>
          <w:sz w:val="24"/>
          <w:szCs w:val="24"/>
          <w:highlight w:val="none"/>
          <w:u w:val="single"/>
          <w:lang w:val="en-US" w:eastAsia="zh-CN"/>
        </w:rPr>
        <w:t>90</w:t>
      </w:r>
      <w:r>
        <w:rPr>
          <w:rFonts w:hint="eastAsia" w:ascii="宋体" w:hAnsi="宋体" w:eastAsia="宋体" w:cs="宋体"/>
          <w:color w:val="auto"/>
          <w:sz w:val="24"/>
          <w:szCs w:val="24"/>
          <w:highlight w:val="none"/>
          <w:u w:val="single"/>
          <w:lang w:val="en-US" w:eastAsia="zh-CN"/>
        </w:rPr>
        <w:t>%</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发包人</w:t>
      </w:r>
      <w:r>
        <w:rPr>
          <w:rFonts w:hint="eastAsia" w:ascii="宋体" w:hAnsi="宋体" w:cs="宋体"/>
          <w:color w:val="auto"/>
          <w:sz w:val="24"/>
          <w:szCs w:val="24"/>
          <w:highlight w:val="none"/>
          <w:u w:val="single"/>
          <w:lang w:val="en-US" w:eastAsia="zh-CN"/>
        </w:rPr>
        <w:t>结算审核完成后，按照结算金额支付剩余款项</w:t>
      </w:r>
      <w:r>
        <w:rPr>
          <w:rFonts w:hint="eastAsia" w:ascii="宋体" w:hAnsi="宋体" w:eastAsia="宋体" w:cs="宋体"/>
          <w:color w:val="auto"/>
          <w:sz w:val="24"/>
          <w:szCs w:val="24"/>
          <w:highlight w:val="none"/>
          <w:u w:val="single"/>
          <w:lang w:val="en-US" w:eastAsia="zh-CN"/>
        </w:rPr>
        <w:t>。</w:t>
      </w:r>
    </w:p>
    <w:p w14:paraId="27446A88">
      <w:pPr>
        <w:spacing w:line="360" w:lineRule="auto"/>
        <w:ind w:firstLine="720" w:firstLineChars="300"/>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u w:val="single"/>
          <w:lang w:val="en-US" w:eastAsia="zh-CN"/>
        </w:rPr>
        <w:t>3</w:t>
      </w:r>
      <w:r>
        <w:rPr>
          <w:rFonts w:hint="eastAsia" w:ascii="宋体" w:hAnsi="宋体" w:eastAsia="宋体" w:cs="宋体"/>
          <w:color w:val="auto"/>
          <w:sz w:val="24"/>
          <w:szCs w:val="24"/>
          <w:highlight w:val="none"/>
          <w:u w:val="single"/>
          <w:lang w:val="en-US" w:eastAsia="zh-CN"/>
        </w:rPr>
        <w:t>）质量保证金的额度为结算审计金额的3%</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lang w:val="en-US" w:eastAsia="zh-CN"/>
        </w:rPr>
        <w:t>在</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u w:val="single"/>
          <w:lang w:val="en-US" w:eastAsia="zh-CN"/>
        </w:rPr>
        <w:t>支付尾款前</w:t>
      </w:r>
      <w:r>
        <w:rPr>
          <w:rFonts w:hint="eastAsia" w:ascii="宋体" w:hAnsi="宋体" w:eastAsia="宋体" w:cs="宋体"/>
          <w:color w:val="auto"/>
          <w:sz w:val="24"/>
          <w:szCs w:val="24"/>
          <w:highlight w:val="none"/>
          <w:u w:val="single"/>
        </w:rPr>
        <w:t>承包人</w:t>
      </w:r>
      <w:r>
        <w:rPr>
          <w:rFonts w:hint="eastAsia" w:ascii="宋体" w:hAnsi="宋体" w:eastAsia="宋体" w:cs="宋体"/>
          <w:color w:val="auto"/>
          <w:sz w:val="24"/>
          <w:szCs w:val="24"/>
          <w:highlight w:val="none"/>
          <w:u w:val="single"/>
          <w:lang w:val="en-US" w:eastAsia="zh-CN"/>
        </w:rPr>
        <w:t>向</w:t>
      </w:r>
      <w:r>
        <w:rPr>
          <w:rFonts w:hint="eastAsia" w:ascii="宋体" w:hAnsi="宋体" w:eastAsia="宋体" w:cs="宋体"/>
          <w:color w:val="auto"/>
          <w:sz w:val="24"/>
          <w:szCs w:val="24"/>
          <w:highlight w:val="none"/>
          <w:u w:val="single"/>
        </w:rPr>
        <w:t>发包人</w:t>
      </w:r>
      <w:r>
        <w:rPr>
          <w:rFonts w:hint="eastAsia" w:ascii="宋体" w:hAnsi="宋体" w:eastAsia="宋体" w:cs="宋体"/>
          <w:color w:val="auto"/>
          <w:sz w:val="24"/>
          <w:szCs w:val="24"/>
          <w:highlight w:val="none"/>
          <w:u w:val="single"/>
          <w:lang w:val="en-US" w:eastAsia="zh-CN"/>
        </w:rPr>
        <w:t>支付质量保证金</w:t>
      </w:r>
      <w:r>
        <w:rPr>
          <w:rFonts w:hint="eastAsia" w:ascii="宋体" w:hAnsi="宋体" w:cs="宋体"/>
          <w:color w:val="auto"/>
          <w:sz w:val="24"/>
          <w:szCs w:val="24"/>
          <w:highlight w:val="none"/>
          <w:u w:val="single"/>
          <w:lang w:val="en-US" w:eastAsia="zh-CN"/>
        </w:rPr>
        <w:t>，</w:t>
      </w:r>
      <w:r>
        <w:rPr>
          <w:rFonts w:hint="eastAsia" w:ascii="宋体" w:hAnsi="宋体" w:eastAsia="宋体" w:cs="宋体"/>
          <w:color w:val="auto"/>
          <w:sz w:val="24"/>
          <w:szCs w:val="24"/>
          <w:highlight w:val="none"/>
          <w:u w:val="single"/>
        </w:rPr>
        <w:t>在本项目的缺陷责任期满</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lang w:val="en-US" w:eastAsia="zh-CN"/>
        </w:rPr>
        <w:t>一年</w:t>
      </w:r>
      <w:r>
        <w:rPr>
          <w:rFonts w:hint="eastAsia" w:ascii="宋体" w:hAnsi="宋体" w:eastAsia="宋体" w:cs="宋体"/>
          <w:color w:val="auto"/>
          <w:sz w:val="24"/>
          <w:szCs w:val="24"/>
          <w:highlight w:val="none"/>
          <w:u w:val="single"/>
          <w:lang w:eastAsia="zh-CN"/>
        </w:rPr>
        <w:t>）</w:t>
      </w:r>
      <w:r>
        <w:rPr>
          <w:rFonts w:hint="eastAsia" w:ascii="宋体" w:hAnsi="宋体" w:eastAsia="宋体" w:cs="宋体"/>
          <w:color w:val="auto"/>
          <w:sz w:val="24"/>
          <w:szCs w:val="24"/>
          <w:highlight w:val="none"/>
          <w:u w:val="single"/>
        </w:rPr>
        <w:t>时，承包人向发包人申请支付，经双方核实无缺陷责任后，由发包人</w:t>
      </w:r>
      <w:r>
        <w:rPr>
          <w:rFonts w:hint="eastAsia" w:ascii="宋体" w:hAnsi="宋体" w:cs="宋体"/>
          <w:color w:val="auto"/>
          <w:sz w:val="24"/>
          <w:szCs w:val="24"/>
          <w:highlight w:val="none"/>
          <w:u w:val="single"/>
          <w:lang w:val="en-US" w:eastAsia="zh-CN"/>
        </w:rPr>
        <w:t>全额无息</w:t>
      </w:r>
      <w:r>
        <w:rPr>
          <w:rFonts w:hint="eastAsia" w:ascii="宋体" w:hAnsi="宋体" w:eastAsia="宋体" w:cs="宋体"/>
          <w:color w:val="auto"/>
          <w:sz w:val="24"/>
          <w:szCs w:val="24"/>
          <w:highlight w:val="none"/>
          <w:u w:val="single"/>
        </w:rPr>
        <w:t>支付给承包人。</w:t>
      </w:r>
    </w:p>
    <w:p w14:paraId="0C4EEACC">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17" w:name="_Toc10235701"/>
      <w:bookmarkStart w:id="1818" w:name="_Toc490331723"/>
      <w:bookmarkStart w:id="1819" w:name="_Toc497584092"/>
      <w:bookmarkStart w:id="1820" w:name="_Toc486580432"/>
      <w:bookmarkStart w:id="1821" w:name="_Toc485323206"/>
      <w:bookmarkStart w:id="1822" w:name="_Toc489280238"/>
      <w:bookmarkStart w:id="1823" w:name="_Toc497214101"/>
      <w:r>
        <w:rPr>
          <w:rFonts w:hint="eastAsia" w:ascii="宋体" w:hAnsi="宋体" w:cs="宋体"/>
          <w:color w:val="auto"/>
          <w:kern w:val="0"/>
          <w:sz w:val="24"/>
          <w:szCs w:val="24"/>
          <w:highlight w:val="none"/>
        </w:rPr>
        <w:t>17.4  质量保证金</w:t>
      </w:r>
      <w:bookmarkEnd w:id="1817"/>
      <w:bookmarkEnd w:id="1818"/>
      <w:bookmarkEnd w:id="1819"/>
      <w:bookmarkEnd w:id="1820"/>
      <w:bookmarkEnd w:id="1821"/>
      <w:bookmarkEnd w:id="1822"/>
      <w:bookmarkEnd w:id="1823"/>
    </w:p>
    <w:p w14:paraId="5B24EAB1">
      <w:pPr>
        <w:spacing w:line="360" w:lineRule="auto"/>
        <w:ind w:firstLine="480" w:firstLineChars="200"/>
        <w:rPr>
          <w:rFonts w:hint="eastAsia" w:ascii="宋体" w:hAnsi="宋体" w:cs="宋体"/>
          <w:color w:val="auto"/>
          <w:sz w:val="24"/>
          <w:szCs w:val="24"/>
          <w:highlight w:val="none"/>
        </w:rPr>
      </w:pPr>
      <w:bookmarkStart w:id="1824" w:name="_Toc485323207"/>
      <w:bookmarkStart w:id="1825" w:name="_Toc490331724"/>
      <w:bookmarkStart w:id="1826" w:name="_Toc489280239"/>
      <w:bookmarkStart w:id="1827" w:name="_Toc486580433"/>
      <w:r>
        <w:rPr>
          <w:rFonts w:hint="eastAsia" w:ascii="宋体" w:hAnsi="宋体" w:cs="宋体"/>
          <w:color w:val="auto"/>
          <w:sz w:val="24"/>
          <w:szCs w:val="24"/>
          <w:highlight w:val="none"/>
        </w:rPr>
        <w:t>17.4.1  质量保证金处理</w:t>
      </w:r>
    </w:p>
    <w:p w14:paraId="6C0CA7D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（3）质量保证金形式：</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单独转账</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（采用银行保函担保或其他保函担保形式╱采用扣留质量保证金</w:t>
      </w:r>
      <w:r>
        <w:rPr>
          <w:rFonts w:hint="eastAsia" w:ascii="宋体" w:hAnsi="宋体" w:cs="宋体"/>
          <w:color w:val="auto"/>
          <w:sz w:val="24"/>
          <w:szCs w:val="24"/>
          <w:highlight w:val="none"/>
          <w:lang w:val="en-US" w:eastAsia="zh-CN"/>
        </w:rPr>
        <w:t>/</w:t>
      </w:r>
      <w:r>
        <w:rPr>
          <w:rFonts w:hint="eastAsia" w:ascii="宋体" w:hAnsi="宋体" w:cs="宋体"/>
          <w:color w:val="auto"/>
          <w:sz w:val="24"/>
          <w:szCs w:val="24"/>
          <w:highlight w:val="none"/>
          <w:u w:val="single"/>
          <w:lang w:val="en-US" w:eastAsia="zh-CN"/>
        </w:rPr>
        <w:t>单独转账</w:t>
      </w:r>
      <w:r>
        <w:rPr>
          <w:rFonts w:hint="eastAsia" w:ascii="宋体" w:hAnsi="宋体" w:cs="宋体"/>
          <w:color w:val="auto"/>
          <w:sz w:val="24"/>
          <w:szCs w:val="24"/>
          <w:highlight w:val="none"/>
        </w:rPr>
        <w:t>）。</w:t>
      </w:r>
    </w:p>
    <w:p w14:paraId="3CDC6CAC">
      <w:pPr>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质量保证金约定比例：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3</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54177B9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28" w:name="_Toc497214102"/>
      <w:bookmarkStart w:id="1829" w:name="_Toc497584093"/>
      <w:bookmarkStart w:id="1830" w:name="_Toc10235702"/>
      <w:r>
        <w:rPr>
          <w:rFonts w:hint="eastAsia" w:ascii="宋体" w:hAnsi="宋体" w:cs="宋体"/>
          <w:color w:val="auto"/>
          <w:kern w:val="0"/>
          <w:sz w:val="24"/>
          <w:szCs w:val="24"/>
          <w:highlight w:val="none"/>
        </w:rPr>
        <w:t>17.5  竣工结算</w:t>
      </w:r>
      <w:bookmarkEnd w:id="1824"/>
      <w:bookmarkEnd w:id="1825"/>
      <w:bookmarkEnd w:id="1826"/>
      <w:bookmarkEnd w:id="1827"/>
      <w:bookmarkEnd w:id="1828"/>
      <w:bookmarkEnd w:id="1829"/>
      <w:bookmarkEnd w:id="1830"/>
    </w:p>
    <w:p w14:paraId="2144BF7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17.5.1  竣工付款申请单</w:t>
      </w:r>
    </w:p>
    <w:p w14:paraId="1EAA9526">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（1）承包人提交竣工付款申请单的份数：</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一式六份 </w:t>
      </w:r>
      <w:r>
        <w:rPr>
          <w:rFonts w:hint="eastAsia" w:ascii="宋体" w:hAnsi="宋体" w:cs="宋体"/>
          <w:color w:val="auto"/>
          <w:sz w:val="24"/>
          <w:szCs w:val="24"/>
          <w:highlight w:val="none"/>
          <w:u w:val="single"/>
        </w:rPr>
        <w:t xml:space="preserve">   </w:t>
      </w:r>
    </w:p>
    <w:p w14:paraId="2EDDA93F">
      <w:pPr>
        <w:spacing w:line="360" w:lineRule="auto"/>
        <w:ind w:firstLine="960" w:firstLineChars="40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承包人提交竣工付款申请单的期限：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在工程接收证书颁发后14天内</w:t>
      </w:r>
      <w:r>
        <w:rPr>
          <w:rFonts w:hint="eastAsia" w:ascii="宋体" w:hAnsi="宋体" w:cs="宋体"/>
          <w:color w:val="auto"/>
          <w:sz w:val="24"/>
          <w:szCs w:val="24"/>
          <w:highlight w:val="none"/>
          <w:u w:val="single"/>
        </w:rPr>
        <w:t xml:space="preserve">    </w:t>
      </w:r>
    </w:p>
    <w:p w14:paraId="6BD2D453">
      <w:pPr>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rPr>
        <w:t xml:space="preserve">（2）竣工付款申请单的其他内容： </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竣工结算总价、已支付的工程价款、应支付的竣工付款金额等</w:t>
      </w:r>
      <w:r>
        <w:rPr>
          <w:rFonts w:hint="eastAsia" w:ascii="宋体" w:hAnsi="宋体" w:cs="宋体"/>
          <w:color w:val="auto"/>
          <w:sz w:val="24"/>
          <w:szCs w:val="24"/>
          <w:highlight w:val="none"/>
          <w:u w:val="single"/>
        </w:rPr>
        <w:t xml:space="preserve">   </w:t>
      </w:r>
    </w:p>
    <w:p w14:paraId="206CC24A">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31" w:name="_Toc485323208"/>
      <w:bookmarkStart w:id="1832" w:name="_Toc489280240"/>
      <w:bookmarkStart w:id="1833" w:name="_Toc486580434"/>
      <w:bookmarkStart w:id="1834" w:name="_Toc490331725"/>
      <w:bookmarkStart w:id="1835" w:name="_Toc497584094"/>
      <w:bookmarkStart w:id="1836" w:name="_Toc497214103"/>
      <w:bookmarkStart w:id="1837" w:name="_Toc10235703"/>
      <w:r>
        <w:rPr>
          <w:rFonts w:hint="eastAsia" w:ascii="宋体" w:hAnsi="宋体" w:cs="宋体"/>
          <w:color w:val="auto"/>
          <w:kern w:val="0"/>
          <w:sz w:val="24"/>
          <w:szCs w:val="24"/>
          <w:highlight w:val="none"/>
        </w:rPr>
        <w:t>17.6  最终结清</w:t>
      </w:r>
      <w:bookmarkEnd w:id="1831"/>
      <w:bookmarkEnd w:id="1832"/>
      <w:bookmarkEnd w:id="1833"/>
      <w:bookmarkEnd w:id="1834"/>
      <w:bookmarkEnd w:id="1835"/>
      <w:bookmarkEnd w:id="1836"/>
      <w:bookmarkEnd w:id="1837"/>
    </w:p>
    <w:p w14:paraId="53925A0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17.6.1  最终结清申请单</w:t>
      </w:r>
    </w:p>
    <w:p w14:paraId="6762B7A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（1）承包人提交最终结清申请单的份数：</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一式六份 </w:t>
      </w:r>
      <w:r>
        <w:rPr>
          <w:rFonts w:hint="eastAsia" w:ascii="宋体" w:hAnsi="宋体" w:cs="宋体"/>
          <w:color w:val="auto"/>
          <w:sz w:val="24"/>
          <w:szCs w:val="24"/>
          <w:highlight w:val="none"/>
          <w:u w:val="single"/>
        </w:rPr>
        <w:t xml:space="preserve">      </w:t>
      </w:r>
    </w:p>
    <w:p w14:paraId="5616C4AA">
      <w:pPr>
        <w:spacing w:line="360" w:lineRule="auto"/>
        <w:ind w:firstLine="1080" w:firstLineChars="450"/>
        <w:rPr>
          <w:rFonts w:hint="eastAsia" w:ascii="宋体" w:hAnsi="宋体" w:cs="宋体"/>
          <w:color w:val="auto"/>
          <w:sz w:val="24"/>
          <w:szCs w:val="24"/>
          <w:highlight w:val="none"/>
        </w:rPr>
      </w:pPr>
      <w:r>
        <w:rPr>
          <w:rFonts w:hint="eastAsia" w:ascii="宋体" w:hAnsi="宋体" w:cs="宋体"/>
          <w:color w:val="auto"/>
          <w:sz w:val="24"/>
          <w:szCs w:val="24"/>
          <w:highlight w:val="none"/>
        </w:rPr>
        <w:t>承包人提交最终结清申请单的期限：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在缺陷责任期终止证书颁发后28天内</w:t>
      </w:r>
      <w:r>
        <w:rPr>
          <w:rFonts w:hint="eastAsia" w:ascii="宋体" w:hAnsi="宋体" w:cs="宋体"/>
          <w:color w:val="auto"/>
          <w:sz w:val="24"/>
          <w:szCs w:val="24"/>
          <w:highlight w:val="none"/>
          <w:u w:val="single"/>
        </w:rPr>
        <w:t xml:space="preserve">     </w:t>
      </w:r>
    </w:p>
    <w:p w14:paraId="7EF1151E">
      <w:pPr>
        <w:spacing w:line="360" w:lineRule="auto"/>
        <w:ind w:firstLine="1084" w:firstLineChars="452"/>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不支付</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（支付 / 不支付）质量保证金利息。</w:t>
      </w:r>
    </w:p>
    <w:p w14:paraId="4A02C26A">
      <w:pPr>
        <w:spacing w:line="360" w:lineRule="auto"/>
        <w:ind w:firstLine="1084" w:firstLineChars="452"/>
        <w:rPr>
          <w:rFonts w:hint="eastAsia" w:ascii="宋体" w:hAnsi="宋体" w:cs="宋体"/>
          <w:color w:val="auto"/>
          <w:sz w:val="24"/>
          <w:szCs w:val="24"/>
          <w:highlight w:val="none"/>
        </w:rPr>
      </w:pPr>
      <w:r>
        <w:rPr>
          <w:rFonts w:hint="eastAsia" w:ascii="宋体" w:hAnsi="宋体" w:cs="宋体"/>
          <w:color w:val="auto"/>
          <w:sz w:val="24"/>
          <w:szCs w:val="24"/>
          <w:highlight w:val="none"/>
        </w:rPr>
        <w:t>发包人向承包人支付质量保证金利息的，利息计算方法：</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211DC823">
      <w:pPr>
        <w:keepNext/>
        <w:keepLines/>
        <w:spacing w:before="120" w:beforeLines="50" w:after="120" w:afterLines="50" w:line="360" w:lineRule="auto"/>
        <w:outlineLvl w:val="1"/>
        <w:rPr>
          <w:rFonts w:hint="eastAsia" w:ascii="宋体" w:hAnsi="宋体" w:cs="宋体"/>
          <w:color w:val="auto"/>
          <w:sz w:val="24"/>
          <w:szCs w:val="24"/>
          <w:highlight w:val="none"/>
        </w:rPr>
      </w:pPr>
      <w:bookmarkStart w:id="1838" w:name="_Toc10235704"/>
      <w:bookmarkStart w:id="1839" w:name="_Toc489280241"/>
      <w:bookmarkStart w:id="1840" w:name="_Toc486580435"/>
      <w:bookmarkStart w:id="1841" w:name="_Toc497214104"/>
      <w:bookmarkStart w:id="1842" w:name="_Toc490331726"/>
      <w:bookmarkStart w:id="1843" w:name="_Toc485323209"/>
      <w:bookmarkStart w:id="1844" w:name="_Toc497584095"/>
      <w:r>
        <w:rPr>
          <w:rFonts w:hint="eastAsia" w:ascii="宋体" w:hAnsi="宋体" w:cs="宋体"/>
          <w:color w:val="auto"/>
          <w:sz w:val="24"/>
          <w:szCs w:val="24"/>
          <w:highlight w:val="none"/>
        </w:rPr>
        <w:t>18.竣工验收</w:t>
      </w:r>
      <w:bookmarkEnd w:id="1838"/>
      <w:bookmarkEnd w:id="1839"/>
      <w:bookmarkEnd w:id="1840"/>
      <w:bookmarkEnd w:id="1841"/>
      <w:bookmarkEnd w:id="1842"/>
      <w:bookmarkEnd w:id="1843"/>
      <w:bookmarkEnd w:id="1844"/>
    </w:p>
    <w:p w14:paraId="082AAE41">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45" w:name="_Toc486580436"/>
      <w:bookmarkStart w:id="1846" w:name="_Toc485323210"/>
      <w:bookmarkStart w:id="1847" w:name="_Toc10235705"/>
      <w:bookmarkStart w:id="1848" w:name="_Toc489280242"/>
      <w:bookmarkStart w:id="1849" w:name="_Toc497584096"/>
      <w:bookmarkStart w:id="1850" w:name="_Toc497214105"/>
      <w:bookmarkStart w:id="1851" w:name="_Toc490331727"/>
      <w:r>
        <w:rPr>
          <w:rFonts w:hint="eastAsia" w:ascii="宋体" w:hAnsi="宋体" w:cs="宋体"/>
          <w:color w:val="auto"/>
          <w:kern w:val="0"/>
          <w:sz w:val="24"/>
          <w:szCs w:val="24"/>
          <w:highlight w:val="none"/>
        </w:rPr>
        <w:t>18.2  竣工验收申请报告</w:t>
      </w:r>
      <w:bookmarkEnd w:id="1845"/>
      <w:bookmarkEnd w:id="1846"/>
      <w:bookmarkEnd w:id="1847"/>
      <w:bookmarkEnd w:id="1848"/>
      <w:bookmarkEnd w:id="1849"/>
      <w:bookmarkEnd w:id="1850"/>
      <w:bookmarkEnd w:id="1851"/>
    </w:p>
    <w:p w14:paraId="2C09B2E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（2）承包人负责整理和提交的竣工验收资料具体内容：</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在竣工验收前30个工作日内须向发包人提供相关行政主管部门验收备案所用的竣工资料及图纸；在工程竣工验收后15个工作日内提交竣工资料及图纸，具体要求见技术规范；竣工资料及图纸（应符合城建档案馆的要求及国家法律法规相关规定）的费用由承包人承担 </w:t>
      </w:r>
      <w:r>
        <w:rPr>
          <w:rFonts w:hint="eastAsia" w:ascii="宋体" w:hAnsi="宋体" w:cs="宋体"/>
          <w:color w:val="auto"/>
          <w:sz w:val="24"/>
          <w:szCs w:val="24"/>
          <w:highlight w:val="none"/>
          <w:u w:val="single"/>
        </w:rPr>
        <w:t xml:space="preserve">  </w:t>
      </w:r>
    </w:p>
    <w:p w14:paraId="11F097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竣工验收资料的份数：</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一式三份 </w:t>
      </w:r>
      <w:r>
        <w:rPr>
          <w:rFonts w:hint="eastAsia" w:ascii="宋体" w:hAnsi="宋体" w:cs="宋体"/>
          <w:color w:val="auto"/>
          <w:sz w:val="24"/>
          <w:szCs w:val="24"/>
          <w:highlight w:val="none"/>
          <w:u w:val="single"/>
        </w:rPr>
        <w:t xml:space="preserve">   </w:t>
      </w:r>
    </w:p>
    <w:p w14:paraId="0954DE21">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竣工验收资料的费用支付方式：</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由承包人承担</w:t>
      </w:r>
    </w:p>
    <w:p w14:paraId="4D3677FA">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52" w:name="_Toc497584097"/>
      <w:bookmarkStart w:id="1853" w:name="_Toc10235706"/>
      <w:bookmarkStart w:id="1854" w:name="_Toc486580437"/>
      <w:bookmarkStart w:id="1855" w:name="_Toc497214106"/>
      <w:bookmarkStart w:id="1856" w:name="_Toc485323211"/>
      <w:bookmarkStart w:id="1857" w:name="_Toc490331728"/>
      <w:bookmarkStart w:id="1858" w:name="_Toc489280243"/>
      <w:r>
        <w:rPr>
          <w:rFonts w:hint="eastAsia" w:ascii="宋体" w:hAnsi="宋体" w:cs="宋体"/>
          <w:color w:val="auto"/>
          <w:kern w:val="0"/>
          <w:sz w:val="24"/>
          <w:szCs w:val="24"/>
          <w:highlight w:val="none"/>
        </w:rPr>
        <w:t>18.5  施工期运行</w:t>
      </w:r>
      <w:bookmarkEnd w:id="1852"/>
      <w:bookmarkEnd w:id="1853"/>
      <w:bookmarkEnd w:id="1854"/>
      <w:bookmarkEnd w:id="1855"/>
      <w:bookmarkEnd w:id="1856"/>
      <w:bookmarkEnd w:id="1857"/>
      <w:bookmarkEnd w:id="1858"/>
    </w:p>
    <w:p w14:paraId="735886DD">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18.5.1  需要施工期运行的单位工程或设备安装工程：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617B66F1">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59" w:name="_Toc486580438"/>
      <w:bookmarkStart w:id="1860" w:name="_Toc490331729"/>
      <w:bookmarkStart w:id="1861" w:name="_Toc497214107"/>
      <w:bookmarkStart w:id="1862" w:name="_Toc10235707"/>
      <w:bookmarkStart w:id="1863" w:name="_Toc485323212"/>
      <w:bookmarkStart w:id="1864" w:name="_Toc497584098"/>
      <w:bookmarkStart w:id="1865" w:name="_Toc489280244"/>
      <w:r>
        <w:rPr>
          <w:rFonts w:hint="eastAsia" w:ascii="宋体" w:hAnsi="宋体" w:cs="宋体"/>
          <w:color w:val="auto"/>
          <w:kern w:val="0"/>
          <w:sz w:val="24"/>
          <w:szCs w:val="24"/>
          <w:highlight w:val="none"/>
        </w:rPr>
        <w:t>18.8  施工队伍的撤离</w:t>
      </w:r>
      <w:bookmarkEnd w:id="1859"/>
      <w:bookmarkEnd w:id="1860"/>
      <w:bookmarkEnd w:id="1861"/>
      <w:bookmarkEnd w:id="1862"/>
      <w:bookmarkEnd w:id="1863"/>
      <w:bookmarkEnd w:id="1864"/>
      <w:bookmarkEnd w:id="1865"/>
    </w:p>
    <w:p w14:paraId="705D4B0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18.8.3  缺陷责任期满时，承包人在施工场地保留的人员和施工设备最终撤离的期限：</w:t>
      </w:r>
      <w:r>
        <w:rPr>
          <w:rFonts w:hint="eastAsia" w:ascii="宋体" w:hAnsi="宋体" w:cs="宋体"/>
          <w:color w:val="auto"/>
          <w:sz w:val="24"/>
          <w:szCs w:val="24"/>
          <w:highlight w:val="none"/>
          <w:u w:val="single"/>
        </w:rPr>
        <w:t xml:space="preserve">                                                                          </w:t>
      </w:r>
    </w:p>
    <w:p w14:paraId="4961E68C">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10日内           </w:t>
      </w:r>
      <w:r>
        <w:rPr>
          <w:rFonts w:hint="eastAsia" w:ascii="宋体" w:hAnsi="宋体" w:cs="宋体"/>
          <w:color w:val="auto"/>
          <w:sz w:val="24"/>
          <w:szCs w:val="24"/>
          <w:highlight w:val="none"/>
        </w:rPr>
        <w:t xml:space="preserve">  </w:t>
      </w:r>
    </w:p>
    <w:p w14:paraId="74D298BD">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66" w:name="_Toc489280245"/>
      <w:bookmarkStart w:id="1867" w:name="_Toc486580439"/>
      <w:bookmarkStart w:id="1868" w:name="_Toc497584099"/>
      <w:bookmarkStart w:id="1869" w:name="_Toc490331730"/>
      <w:bookmarkStart w:id="1870" w:name="_Toc485323213"/>
      <w:bookmarkStart w:id="1871" w:name="_Toc497214108"/>
      <w:bookmarkStart w:id="1872" w:name="_Toc10235708"/>
      <w:r>
        <w:rPr>
          <w:rFonts w:hint="eastAsia" w:ascii="宋体" w:hAnsi="宋体" w:cs="宋体"/>
          <w:color w:val="auto"/>
          <w:kern w:val="0"/>
          <w:sz w:val="24"/>
          <w:szCs w:val="24"/>
          <w:highlight w:val="none"/>
        </w:rPr>
        <w:t>18.9  中间验收</w:t>
      </w:r>
      <w:bookmarkEnd w:id="1866"/>
      <w:bookmarkEnd w:id="1867"/>
      <w:bookmarkEnd w:id="1868"/>
      <w:bookmarkEnd w:id="1869"/>
      <w:bookmarkEnd w:id="1870"/>
      <w:bookmarkEnd w:id="1871"/>
      <w:bookmarkEnd w:id="1872"/>
    </w:p>
    <w:p w14:paraId="501E58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18.9.1  本工程需要进行中间验收的部位：</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68B8BD3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18.9.2  验收不合格的，承包人在</w:t>
      </w:r>
      <w:r>
        <w:rPr>
          <w:rFonts w:hint="eastAsia" w:ascii="宋体" w:hAnsi="宋体" w:cs="宋体"/>
          <w:color w:val="auto"/>
          <w:sz w:val="24"/>
          <w:szCs w:val="24"/>
          <w:highlight w:val="none"/>
          <w:u w:val="single"/>
        </w:rPr>
        <w:t xml:space="preserve"> </w:t>
      </w:r>
      <w:r>
        <w:rPr>
          <w:rFonts w:hint="eastAsia" w:ascii="宋体" w:hAnsi="宋体"/>
          <w:color w:val="auto"/>
          <w:sz w:val="24"/>
          <w:szCs w:val="24"/>
          <w:highlight w:val="none"/>
          <w:u w:val="single"/>
        </w:rPr>
        <w:t>7天</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期限内进行修改后重新验收。</w:t>
      </w:r>
    </w:p>
    <w:p w14:paraId="5C2C517D">
      <w:pPr>
        <w:keepNext/>
        <w:keepLines/>
        <w:spacing w:before="120" w:beforeLines="50" w:after="120" w:afterLines="50" w:line="360" w:lineRule="auto"/>
        <w:outlineLvl w:val="1"/>
        <w:rPr>
          <w:rFonts w:hint="eastAsia" w:ascii="宋体" w:hAnsi="宋体" w:cs="宋体"/>
          <w:color w:val="auto"/>
          <w:sz w:val="24"/>
          <w:szCs w:val="24"/>
          <w:highlight w:val="none"/>
        </w:rPr>
      </w:pPr>
      <w:bookmarkStart w:id="1873" w:name="_Toc486580440"/>
      <w:bookmarkStart w:id="1874" w:name="_Toc497584100"/>
      <w:bookmarkStart w:id="1875" w:name="_Toc485323214"/>
      <w:bookmarkStart w:id="1876" w:name="_Toc497214109"/>
      <w:bookmarkStart w:id="1877" w:name="_Toc490331731"/>
      <w:bookmarkStart w:id="1878" w:name="_Toc489280246"/>
      <w:bookmarkStart w:id="1879" w:name="_Toc10235709"/>
      <w:r>
        <w:rPr>
          <w:rFonts w:hint="eastAsia" w:ascii="宋体" w:hAnsi="宋体" w:cs="宋体"/>
          <w:color w:val="auto"/>
          <w:sz w:val="24"/>
          <w:szCs w:val="24"/>
          <w:highlight w:val="none"/>
        </w:rPr>
        <w:t>19.缺陷责任与保修责任</w:t>
      </w:r>
      <w:bookmarkEnd w:id="1873"/>
      <w:bookmarkEnd w:id="1874"/>
      <w:bookmarkEnd w:id="1875"/>
      <w:bookmarkEnd w:id="1876"/>
      <w:bookmarkEnd w:id="1877"/>
      <w:bookmarkEnd w:id="1878"/>
      <w:bookmarkEnd w:id="1879"/>
    </w:p>
    <w:p w14:paraId="5A817B77">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80" w:name="_Toc497584101"/>
      <w:bookmarkStart w:id="1881" w:name="_Toc485323215"/>
      <w:bookmarkStart w:id="1882" w:name="_Toc490331732"/>
      <w:bookmarkStart w:id="1883" w:name="_Toc10235710"/>
      <w:bookmarkStart w:id="1884" w:name="_Toc486580441"/>
      <w:bookmarkStart w:id="1885" w:name="_Toc489280247"/>
      <w:bookmarkStart w:id="1886" w:name="_Toc497214110"/>
      <w:r>
        <w:rPr>
          <w:rFonts w:hint="eastAsia" w:ascii="宋体" w:hAnsi="宋体" w:cs="宋体"/>
          <w:color w:val="auto"/>
          <w:kern w:val="0"/>
          <w:sz w:val="24"/>
          <w:szCs w:val="24"/>
          <w:highlight w:val="none"/>
        </w:rPr>
        <w:t>19.7  保修责任</w:t>
      </w:r>
      <w:bookmarkEnd w:id="1880"/>
      <w:bookmarkEnd w:id="1881"/>
      <w:bookmarkEnd w:id="1882"/>
      <w:bookmarkEnd w:id="1883"/>
      <w:bookmarkEnd w:id="1884"/>
      <w:bookmarkEnd w:id="1885"/>
      <w:bookmarkEnd w:id="1886"/>
    </w:p>
    <w:p w14:paraId="1088FA1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19.7.1  工程质量保修范围：</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按《建设工程质量管理条例》相关规定执行</w:t>
      </w:r>
      <w:r>
        <w:rPr>
          <w:rFonts w:hint="eastAsia" w:ascii="宋体" w:hAnsi="宋体" w:cs="宋体"/>
          <w:color w:val="auto"/>
          <w:sz w:val="24"/>
          <w:szCs w:val="24"/>
          <w:highlight w:val="none"/>
          <w:u w:val="single"/>
        </w:rPr>
        <w:t xml:space="preserve"> </w:t>
      </w:r>
    </w:p>
    <w:p w14:paraId="4434255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工程质量保修期限：</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按《建设工程质量管理条例》相关规定执行 </w:t>
      </w:r>
      <w:r>
        <w:rPr>
          <w:rFonts w:hint="eastAsia" w:ascii="宋体" w:hAnsi="宋体" w:cs="宋体"/>
          <w:color w:val="auto"/>
          <w:sz w:val="24"/>
          <w:szCs w:val="24"/>
          <w:highlight w:val="none"/>
          <w:u w:val="single"/>
        </w:rPr>
        <w:t xml:space="preserve"> </w:t>
      </w:r>
    </w:p>
    <w:p w14:paraId="70667C9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工程质量保修责任：</w:t>
      </w:r>
    </w:p>
    <w:p w14:paraId="70A819F5">
      <w:pPr>
        <w:spacing w:line="360" w:lineRule="auto"/>
        <w:ind w:left="55" w:leftChars="26"/>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①</w:t>
      </w:r>
      <w:r>
        <w:rPr>
          <w:rFonts w:hint="eastAsia" w:ascii="宋体" w:hAnsi="宋体" w:cs="宋体"/>
          <w:color w:val="auto"/>
          <w:sz w:val="24"/>
          <w:szCs w:val="24"/>
          <w:highlight w:val="none"/>
          <w:u w:val="single"/>
        </w:rPr>
        <w:t>属于保修范围、内容的项目，承包人应当在接到保修通知之</w:t>
      </w:r>
      <w:r>
        <w:rPr>
          <w:rFonts w:hint="eastAsia" w:ascii="宋体" w:hAnsi="宋体" w:cs="宋体"/>
          <w:color w:val="auto"/>
          <w:sz w:val="24"/>
          <w:szCs w:val="24"/>
          <w:highlight w:val="none"/>
          <w:u w:val="single"/>
          <w:lang w:val="en-US" w:eastAsia="zh-CN"/>
        </w:rPr>
        <w:t>日</w:t>
      </w:r>
      <w:r>
        <w:rPr>
          <w:rFonts w:hint="eastAsia" w:ascii="宋体" w:hAnsi="宋体" w:cs="宋体"/>
          <w:color w:val="auto"/>
          <w:sz w:val="24"/>
          <w:szCs w:val="24"/>
          <w:highlight w:val="none"/>
          <w:u w:val="single"/>
        </w:rPr>
        <w:t>起2天内派人保修。承包人不在约定期限内派人保修的，发包人可以委托他人修理，由此发生的费用由承包人承担</w:t>
      </w:r>
      <w:r>
        <w:rPr>
          <w:rFonts w:hint="eastAsia" w:ascii="宋体" w:hAnsi="宋体" w:cs="宋体"/>
          <w:color w:val="auto"/>
          <w:sz w:val="24"/>
          <w:szCs w:val="24"/>
          <w:highlight w:val="none"/>
        </w:rPr>
        <w:t>。</w:t>
      </w:r>
    </w:p>
    <w:p w14:paraId="500CCFD6">
      <w:pPr>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②</w:t>
      </w:r>
      <w:r>
        <w:rPr>
          <w:rFonts w:hint="eastAsia" w:ascii="宋体" w:hAnsi="宋体" w:cs="宋体"/>
          <w:color w:val="auto"/>
          <w:sz w:val="24"/>
          <w:szCs w:val="24"/>
          <w:highlight w:val="none"/>
          <w:u w:val="single"/>
        </w:rPr>
        <w:t>发生紧急抢修事故的，承包人在接到事故通知后，应当立即到达事故现场抢修</w:t>
      </w:r>
      <w:r>
        <w:rPr>
          <w:rFonts w:hint="eastAsia" w:ascii="宋体" w:hAnsi="宋体" w:cs="宋体"/>
          <w:color w:val="auto"/>
          <w:sz w:val="24"/>
          <w:szCs w:val="24"/>
          <w:highlight w:val="none"/>
        </w:rPr>
        <w:t>。</w:t>
      </w:r>
    </w:p>
    <w:p w14:paraId="3AEF2F09">
      <w:pPr>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③</w:t>
      </w:r>
      <w:r>
        <w:rPr>
          <w:rFonts w:hint="eastAsia" w:ascii="宋体" w:hAnsi="宋体" w:cs="宋体"/>
          <w:color w:val="auto"/>
          <w:sz w:val="24"/>
          <w:szCs w:val="24"/>
          <w:highlight w:val="none"/>
          <w:u w:val="single"/>
        </w:rPr>
        <w:t xml:space="preserve">质量保修完成后，由发包人组织验收  </w:t>
      </w:r>
    </w:p>
    <w:p w14:paraId="0C57B79B">
      <w:pPr>
        <w:keepNext/>
        <w:keepLines/>
        <w:spacing w:before="120" w:beforeLines="50" w:after="120" w:afterLines="50" w:line="360" w:lineRule="auto"/>
        <w:outlineLvl w:val="1"/>
        <w:rPr>
          <w:rFonts w:hint="eastAsia" w:ascii="宋体" w:hAnsi="宋体" w:cs="宋体"/>
          <w:color w:val="auto"/>
          <w:sz w:val="24"/>
          <w:szCs w:val="24"/>
          <w:highlight w:val="none"/>
        </w:rPr>
      </w:pPr>
      <w:bookmarkStart w:id="1887" w:name="_Toc497584102"/>
      <w:bookmarkStart w:id="1888" w:name="_Toc485323216"/>
      <w:bookmarkStart w:id="1889" w:name="_Toc490331733"/>
      <w:bookmarkStart w:id="1890" w:name="_Toc486580442"/>
      <w:bookmarkStart w:id="1891" w:name="_Toc489280248"/>
      <w:bookmarkStart w:id="1892" w:name="_Toc497214111"/>
      <w:bookmarkStart w:id="1893" w:name="_Toc10235711"/>
      <w:r>
        <w:rPr>
          <w:rFonts w:hint="eastAsia" w:ascii="宋体" w:hAnsi="宋体" w:cs="宋体"/>
          <w:color w:val="auto"/>
          <w:sz w:val="24"/>
          <w:szCs w:val="24"/>
          <w:highlight w:val="none"/>
        </w:rPr>
        <w:t>20.保险</w:t>
      </w:r>
      <w:bookmarkEnd w:id="1887"/>
      <w:bookmarkEnd w:id="1888"/>
      <w:bookmarkEnd w:id="1889"/>
      <w:bookmarkEnd w:id="1890"/>
      <w:bookmarkEnd w:id="1891"/>
      <w:bookmarkEnd w:id="1892"/>
      <w:bookmarkEnd w:id="1893"/>
    </w:p>
    <w:p w14:paraId="2DAF4C6E">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894" w:name="_Toc490331734"/>
      <w:bookmarkStart w:id="1895" w:name="_Toc489280249"/>
      <w:bookmarkStart w:id="1896" w:name="_Toc485323217"/>
      <w:bookmarkStart w:id="1897" w:name="_Toc10235712"/>
      <w:bookmarkStart w:id="1898" w:name="_Toc486580443"/>
      <w:bookmarkStart w:id="1899" w:name="_Toc497214112"/>
      <w:bookmarkStart w:id="1900" w:name="_Toc497584103"/>
      <w:r>
        <w:rPr>
          <w:rFonts w:hint="eastAsia" w:ascii="宋体" w:hAnsi="宋体" w:cs="宋体"/>
          <w:color w:val="auto"/>
          <w:kern w:val="0"/>
          <w:sz w:val="24"/>
          <w:szCs w:val="24"/>
          <w:highlight w:val="none"/>
        </w:rPr>
        <w:t>20.1  工程保险</w:t>
      </w:r>
      <w:bookmarkEnd w:id="1894"/>
      <w:bookmarkEnd w:id="1895"/>
      <w:bookmarkEnd w:id="1896"/>
      <w:bookmarkEnd w:id="1897"/>
      <w:bookmarkEnd w:id="1898"/>
      <w:bookmarkEnd w:id="1899"/>
      <w:bookmarkEnd w:id="1900"/>
    </w:p>
    <w:p w14:paraId="3B5585E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w:t>
      </w:r>
      <w:r>
        <w:rPr>
          <w:rFonts w:hint="eastAsia" w:ascii="宋体" w:hAnsi="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不投保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(投保/不投保)工程保险。投保工程保险时，险种为：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，并符合以下约定：</w:t>
      </w:r>
    </w:p>
    <w:p w14:paraId="2363435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（1）投保人：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78BDC14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（2）投保内容：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963EFED">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（3）保险费率：由投保人与合同双方同意的保险人商定。</w:t>
      </w:r>
    </w:p>
    <w:p w14:paraId="6DA66B7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（4）保险金额：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548E382A">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（5）保险期限：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EDD796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01" w:name="_Toc10235713"/>
      <w:bookmarkStart w:id="1902" w:name="_Toc497214113"/>
      <w:bookmarkStart w:id="1903" w:name="_Toc485323218"/>
      <w:bookmarkStart w:id="1904" w:name="_Toc489280250"/>
      <w:bookmarkStart w:id="1905" w:name="_Toc486580444"/>
      <w:bookmarkStart w:id="1906" w:name="_Toc497584104"/>
      <w:bookmarkStart w:id="1907" w:name="_Toc490331735"/>
      <w:r>
        <w:rPr>
          <w:rFonts w:hint="eastAsia" w:ascii="宋体" w:hAnsi="宋体" w:cs="宋体"/>
          <w:color w:val="auto"/>
          <w:kern w:val="0"/>
          <w:sz w:val="24"/>
          <w:szCs w:val="24"/>
          <w:highlight w:val="none"/>
        </w:rPr>
        <w:t>20.4  第三者责任险</w:t>
      </w:r>
      <w:bookmarkEnd w:id="1901"/>
      <w:bookmarkEnd w:id="1902"/>
      <w:bookmarkEnd w:id="1903"/>
      <w:bookmarkEnd w:id="1904"/>
      <w:bookmarkEnd w:id="1905"/>
      <w:bookmarkEnd w:id="1906"/>
      <w:bookmarkEnd w:id="1907"/>
    </w:p>
    <w:p w14:paraId="44018F88">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20.4.2  保险金额：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，保险费率由承包人与发包人同意的保险人商定，相关保险费由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承担。                               </w:t>
      </w:r>
    </w:p>
    <w:p w14:paraId="4BBA94CF">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08" w:name="_Toc486580445"/>
      <w:bookmarkStart w:id="1909" w:name="_Toc497214114"/>
      <w:bookmarkStart w:id="1910" w:name="_Toc497584105"/>
      <w:bookmarkStart w:id="1911" w:name="_Toc485323219"/>
      <w:bookmarkStart w:id="1912" w:name="_Toc10235714"/>
      <w:bookmarkStart w:id="1913" w:name="_Toc489280251"/>
      <w:bookmarkStart w:id="1914" w:name="_Toc490331736"/>
      <w:r>
        <w:rPr>
          <w:rFonts w:hint="eastAsia" w:ascii="宋体" w:hAnsi="宋体" w:cs="宋体"/>
          <w:color w:val="auto"/>
          <w:kern w:val="0"/>
          <w:sz w:val="24"/>
          <w:szCs w:val="24"/>
          <w:highlight w:val="none"/>
        </w:rPr>
        <w:t>20.5  其他保险</w:t>
      </w:r>
      <w:bookmarkEnd w:id="1908"/>
      <w:bookmarkEnd w:id="1909"/>
      <w:bookmarkEnd w:id="1910"/>
      <w:bookmarkEnd w:id="1911"/>
      <w:bookmarkEnd w:id="1912"/>
      <w:bookmarkEnd w:id="1913"/>
      <w:bookmarkEnd w:id="1914"/>
    </w:p>
    <w:p w14:paraId="55854AB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承包人应为其施工设备、进场材料和工程设备等办理的保险：</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397627CF">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15" w:name="_Toc485323220"/>
      <w:bookmarkStart w:id="1916" w:name="_Toc497584106"/>
      <w:bookmarkStart w:id="1917" w:name="_Toc497214115"/>
      <w:bookmarkStart w:id="1918" w:name="_Toc486580446"/>
      <w:bookmarkStart w:id="1919" w:name="_Toc490331737"/>
      <w:bookmarkStart w:id="1920" w:name="_Toc489280252"/>
      <w:bookmarkStart w:id="1921" w:name="_Toc10235715"/>
      <w:r>
        <w:rPr>
          <w:rFonts w:hint="eastAsia" w:ascii="宋体" w:hAnsi="宋体" w:cs="宋体"/>
          <w:color w:val="auto"/>
          <w:kern w:val="0"/>
          <w:sz w:val="24"/>
          <w:szCs w:val="24"/>
          <w:highlight w:val="none"/>
        </w:rPr>
        <w:t>20.6  对各项保险的一般要求</w:t>
      </w:r>
      <w:bookmarkEnd w:id="1915"/>
      <w:bookmarkEnd w:id="1916"/>
      <w:bookmarkEnd w:id="1917"/>
      <w:bookmarkEnd w:id="1918"/>
      <w:bookmarkEnd w:id="1919"/>
      <w:bookmarkEnd w:id="1920"/>
      <w:bookmarkEnd w:id="1921"/>
    </w:p>
    <w:p w14:paraId="5997A4B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20.6.1  保险凭证</w:t>
      </w:r>
    </w:p>
    <w:p w14:paraId="2CB10E38">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承包人向发包人提交各项保险生效的证据和保险单副本的期限：</w:t>
      </w:r>
      <w:r>
        <w:rPr>
          <w:rFonts w:hint="eastAsia" w:ascii="仿宋" w:hAnsi="仿宋" w:eastAsia="仿宋"/>
          <w:color w:val="auto"/>
          <w:sz w:val="24"/>
          <w:szCs w:val="24"/>
          <w:highlight w:val="none"/>
          <w:u w:val="single"/>
        </w:rPr>
        <w:t>合同签订且备案后14日内</w:t>
      </w:r>
      <w:r>
        <w:rPr>
          <w:rFonts w:hint="eastAsia" w:ascii="宋体" w:hAnsi="宋体" w:cs="宋体"/>
          <w:color w:val="auto"/>
          <w:sz w:val="24"/>
          <w:szCs w:val="24"/>
          <w:highlight w:val="none"/>
          <w:u w:val="single"/>
        </w:rPr>
        <w:t xml:space="preserve">      </w:t>
      </w:r>
    </w:p>
    <w:p w14:paraId="6816E99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20.6.4  保险金不足的补偿</w:t>
      </w:r>
    </w:p>
    <w:p w14:paraId="5FF148B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保险金不足以补偿损失时，承包人和发包人负责补偿的责任分摊：</w:t>
      </w:r>
    </w:p>
    <w:tbl>
      <w:tblPr>
        <w:tblStyle w:val="53"/>
        <w:tblW w:w="4998"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88"/>
        <w:gridCol w:w="4077"/>
        <w:gridCol w:w="1198"/>
        <w:gridCol w:w="1198"/>
        <w:gridCol w:w="1295"/>
        <w:gridCol w:w="1202"/>
      </w:tblGrid>
      <w:tr w14:paraId="544AA0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6" w:type="pct"/>
            <w:vMerge w:val="restart"/>
            <w:noWrap w:val="0"/>
            <w:vAlign w:val="center"/>
          </w:tcPr>
          <w:p w14:paraId="1B7AFA3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条款号</w:t>
            </w:r>
          </w:p>
        </w:tc>
        <w:tc>
          <w:tcPr>
            <w:tcW w:w="2046" w:type="pct"/>
            <w:vMerge w:val="restart"/>
            <w:noWrap w:val="0"/>
            <w:vAlign w:val="center"/>
          </w:tcPr>
          <w:p w14:paraId="2F1CE92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保险名称（类别）</w:t>
            </w:r>
          </w:p>
        </w:tc>
        <w:tc>
          <w:tcPr>
            <w:tcW w:w="601" w:type="pct"/>
            <w:vMerge w:val="restart"/>
            <w:noWrap w:val="0"/>
            <w:vAlign w:val="center"/>
          </w:tcPr>
          <w:p w14:paraId="6702EAF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投保人</w:t>
            </w:r>
          </w:p>
        </w:tc>
        <w:tc>
          <w:tcPr>
            <w:tcW w:w="1854" w:type="pct"/>
            <w:gridSpan w:val="3"/>
            <w:noWrap w:val="0"/>
            <w:vAlign w:val="center"/>
          </w:tcPr>
          <w:p w14:paraId="1994717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补偿的责任分摊</w:t>
            </w:r>
          </w:p>
        </w:tc>
      </w:tr>
      <w:tr w14:paraId="08080A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blHeader/>
        </w:trPr>
        <w:tc>
          <w:tcPr>
            <w:tcW w:w="496" w:type="pct"/>
            <w:vMerge w:val="continue"/>
            <w:noWrap w:val="0"/>
            <w:vAlign w:val="center"/>
          </w:tcPr>
          <w:p w14:paraId="2D9364EB">
            <w:pPr>
              <w:jc w:val="center"/>
              <w:rPr>
                <w:rFonts w:hint="eastAsia" w:ascii="宋体" w:hAnsi="宋体" w:cs="宋体"/>
                <w:color w:val="auto"/>
                <w:sz w:val="24"/>
                <w:szCs w:val="24"/>
                <w:highlight w:val="none"/>
              </w:rPr>
            </w:pPr>
          </w:p>
        </w:tc>
        <w:tc>
          <w:tcPr>
            <w:tcW w:w="2046" w:type="pct"/>
            <w:vMerge w:val="continue"/>
            <w:noWrap w:val="0"/>
            <w:vAlign w:val="center"/>
          </w:tcPr>
          <w:p w14:paraId="50F4359A">
            <w:pPr>
              <w:jc w:val="center"/>
              <w:rPr>
                <w:rFonts w:hint="eastAsia" w:ascii="宋体" w:hAnsi="宋体" w:cs="宋体"/>
                <w:color w:val="auto"/>
                <w:sz w:val="24"/>
                <w:szCs w:val="24"/>
                <w:highlight w:val="none"/>
              </w:rPr>
            </w:pPr>
          </w:p>
        </w:tc>
        <w:tc>
          <w:tcPr>
            <w:tcW w:w="601" w:type="pct"/>
            <w:vMerge w:val="continue"/>
            <w:noWrap w:val="0"/>
            <w:vAlign w:val="center"/>
          </w:tcPr>
          <w:p w14:paraId="74EE82C4">
            <w:pPr>
              <w:jc w:val="center"/>
              <w:rPr>
                <w:rFonts w:hint="eastAsia" w:ascii="宋体" w:hAnsi="宋体" w:cs="宋体"/>
                <w:color w:val="auto"/>
                <w:sz w:val="24"/>
                <w:szCs w:val="24"/>
                <w:highlight w:val="none"/>
              </w:rPr>
            </w:pPr>
          </w:p>
        </w:tc>
        <w:tc>
          <w:tcPr>
            <w:tcW w:w="601" w:type="pct"/>
            <w:noWrap w:val="0"/>
            <w:vAlign w:val="center"/>
          </w:tcPr>
          <w:p w14:paraId="7FE14CE3">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p>
        </w:tc>
        <w:tc>
          <w:tcPr>
            <w:tcW w:w="650" w:type="pct"/>
            <w:noWrap w:val="0"/>
            <w:vAlign w:val="center"/>
          </w:tcPr>
          <w:p w14:paraId="719F156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p>
        </w:tc>
        <w:tc>
          <w:tcPr>
            <w:tcW w:w="602" w:type="pct"/>
            <w:noWrap w:val="0"/>
            <w:vAlign w:val="center"/>
          </w:tcPr>
          <w:p w14:paraId="496CBB7C">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监理人</w:t>
            </w:r>
          </w:p>
        </w:tc>
      </w:tr>
      <w:tr w14:paraId="445EB8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noWrap w:val="0"/>
            <w:vAlign w:val="center"/>
          </w:tcPr>
          <w:p w14:paraId="29C3FF86">
            <w:pPr>
              <w:rPr>
                <w:rFonts w:hint="eastAsia" w:ascii="宋体" w:hAnsi="宋体" w:cs="宋体"/>
                <w:color w:val="auto"/>
                <w:sz w:val="24"/>
                <w:szCs w:val="24"/>
                <w:highlight w:val="none"/>
              </w:rPr>
            </w:pPr>
            <w:r>
              <w:rPr>
                <w:rFonts w:hint="eastAsia" w:ascii="宋体" w:hAnsi="宋体" w:cs="宋体"/>
                <w:color w:val="auto"/>
                <w:sz w:val="24"/>
                <w:szCs w:val="24"/>
                <w:highlight w:val="none"/>
              </w:rPr>
              <w:t>20.1</w:t>
            </w:r>
          </w:p>
        </w:tc>
        <w:tc>
          <w:tcPr>
            <w:tcW w:w="2046" w:type="pct"/>
            <w:noWrap w:val="0"/>
            <w:vAlign w:val="center"/>
          </w:tcPr>
          <w:p w14:paraId="2F9D60BC">
            <w:pPr>
              <w:rPr>
                <w:rFonts w:hint="eastAsia" w:ascii="宋体" w:hAnsi="宋体" w:cs="宋体"/>
                <w:color w:val="auto"/>
                <w:sz w:val="24"/>
                <w:szCs w:val="24"/>
                <w:highlight w:val="none"/>
              </w:rPr>
            </w:pPr>
            <w:r>
              <w:rPr>
                <w:rFonts w:hint="eastAsia" w:ascii="宋体" w:hAnsi="宋体" w:cs="宋体"/>
                <w:color w:val="auto"/>
                <w:sz w:val="24"/>
                <w:szCs w:val="24"/>
                <w:highlight w:val="none"/>
              </w:rPr>
              <w:t>工程保险</w:t>
            </w:r>
          </w:p>
        </w:tc>
        <w:tc>
          <w:tcPr>
            <w:tcW w:w="601" w:type="pct"/>
            <w:noWrap w:val="0"/>
            <w:vAlign w:val="top"/>
          </w:tcPr>
          <w:p w14:paraId="4D5667D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不投保</w:t>
            </w:r>
          </w:p>
        </w:tc>
        <w:tc>
          <w:tcPr>
            <w:tcW w:w="601" w:type="pct"/>
            <w:noWrap w:val="0"/>
            <w:vAlign w:val="center"/>
          </w:tcPr>
          <w:p w14:paraId="287E849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3292C6B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2" w:type="pct"/>
            <w:noWrap w:val="0"/>
            <w:vAlign w:val="center"/>
          </w:tcPr>
          <w:p w14:paraId="116AF2A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2BA72F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1" w:hRule="atLeast"/>
        </w:trPr>
        <w:tc>
          <w:tcPr>
            <w:tcW w:w="496" w:type="pct"/>
            <w:noWrap w:val="0"/>
            <w:vAlign w:val="center"/>
          </w:tcPr>
          <w:p w14:paraId="70BED950">
            <w:pPr>
              <w:rPr>
                <w:rFonts w:hint="eastAsia" w:ascii="宋体" w:hAnsi="宋体" w:cs="宋体"/>
                <w:color w:val="auto"/>
                <w:sz w:val="24"/>
                <w:szCs w:val="24"/>
                <w:highlight w:val="none"/>
              </w:rPr>
            </w:pPr>
            <w:r>
              <w:rPr>
                <w:rFonts w:hint="eastAsia" w:ascii="宋体" w:hAnsi="宋体" w:cs="宋体"/>
                <w:color w:val="auto"/>
                <w:sz w:val="24"/>
                <w:szCs w:val="24"/>
                <w:highlight w:val="none"/>
              </w:rPr>
              <w:t>20.2.1</w:t>
            </w:r>
          </w:p>
        </w:tc>
        <w:tc>
          <w:tcPr>
            <w:tcW w:w="2046" w:type="pct"/>
            <w:noWrap w:val="0"/>
            <w:vAlign w:val="center"/>
          </w:tcPr>
          <w:p w14:paraId="65CB3C91">
            <w:pPr>
              <w:rPr>
                <w:rFonts w:hint="eastAsia" w:ascii="宋体" w:hAnsi="宋体" w:cs="宋体"/>
                <w:color w:val="auto"/>
                <w:sz w:val="24"/>
                <w:szCs w:val="24"/>
                <w:highlight w:val="none"/>
              </w:rPr>
            </w:pPr>
            <w:r>
              <w:rPr>
                <w:rFonts w:hint="eastAsia" w:ascii="宋体" w:hAnsi="宋体" w:cs="宋体"/>
                <w:color w:val="auto"/>
                <w:sz w:val="24"/>
                <w:szCs w:val="24"/>
                <w:highlight w:val="none"/>
              </w:rPr>
              <w:t>承包人员工伤事故的保险（即：农民工工伤保险和其他人员工伤保险）</w:t>
            </w:r>
          </w:p>
        </w:tc>
        <w:tc>
          <w:tcPr>
            <w:tcW w:w="601" w:type="pct"/>
            <w:noWrap w:val="0"/>
            <w:vAlign w:val="center"/>
          </w:tcPr>
          <w:p w14:paraId="368D22C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p>
        </w:tc>
        <w:tc>
          <w:tcPr>
            <w:tcW w:w="601" w:type="pct"/>
            <w:noWrap w:val="0"/>
            <w:vAlign w:val="center"/>
          </w:tcPr>
          <w:p w14:paraId="0150CF5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78865A01">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w:t>
            </w:r>
          </w:p>
        </w:tc>
        <w:tc>
          <w:tcPr>
            <w:tcW w:w="602" w:type="pct"/>
            <w:noWrap w:val="0"/>
            <w:vAlign w:val="center"/>
          </w:tcPr>
          <w:p w14:paraId="166162C9">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41837DC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restart"/>
            <w:noWrap w:val="0"/>
            <w:vAlign w:val="center"/>
          </w:tcPr>
          <w:p w14:paraId="728754CD">
            <w:pPr>
              <w:rPr>
                <w:rFonts w:hint="eastAsia" w:ascii="宋体" w:hAnsi="宋体" w:cs="宋体"/>
                <w:color w:val="auto"/>
                <w:sz w:val="24"/>
                <w:szCs w:val="24"/>
                <w:highlight w:val="none"/>
              </w:rPr>
            </w:pPr>
            <w:r>
              <w:rPr>
                <w:rFonts w:hint="eastAsia" w:ascii="宋体" w:hAnsi="宋体" w:cs="宋体"/>
                <w:color w:val="auto"/>
                <w:sz w:val="24"/>
                <w:szCs w:val="24"/>
                <w:highlight w:val="none"/>
              </w:rPr>
              <w:t>20.2.2</w:t>
            </w:r>
          </w:p>
        </w:tc>
        <w:tc>
          <w:tcPr>
            <w:tcW w:w="2046" w:type="pct"/>
            <w:vMerge w:val="restart"/>
            <w:noWrap w:val="0"/>
            <w:vAlign w:val="center"/>
          </w:tcPr>
          <w:p w14:paraId="76D740DE">
            <w:pPr>
              <w:rPr>
                <w:rFonts w:hint="eastAsia" w:ascii="宋体" w:hAnsi="宋体" w:cs="宋体"/>
                <w:color w:val="auto"/>
                <w:sz w:val="24"/>
                <w:szCs w:val="24"/>
                <w:highlight w:val="none"/>
              </w:rPr>
            </w:pPr>
            <w:r>
              <w:rPr>
                <w:rFonts w:hint="eastAsia" w:ascii="宋体" w:hAnsi="宋体" w:cs="宋体"/>
                <w:color w:val="auto"/>
                <w:sz w:val="24"/>
                <w:szCs w:val="24"/>
                <w:highlight w:val="none"/>
              </w:rPr>
              <w:t>发包人员工伤事故的保险</w:t>
            </w:r>
          </w:p>
        </w:tc>
        <w:tc>
          <w:tcPr>
            <w:tcW w:w="601" w:type="pct"/>
            <w:noWrap w:val="0"/>
            <w:vAlign w:val="top"/>
          </w:tcPr>
          <w:p w14:paraId="4706958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p>
        </w:tc>
        <w:tc>
          <w:tcPr>
            <w:tcW w:w="601" w:type="pct"/>
            <w:noWrap w:val="0"/>
            <w:vAlign w:val="center"/>
          </w:tcPr>
          <w:p w14:paraId="0F69759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w:t>
            </w:r>
          </w:p>
        </w:tc>
        <w:tc>
          <w:tcPr>
            <w:tcW w:w="650" w:type="pct"/>
            <w:noWrap w:val="0"/>
            <w:vAlign w:val="center"/>
          </w:tcPr>
          <w:p w14:paraId="006410E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2" w:type="pct"/>
            <w:noWrap w:val="0"/>
            <w:vAlign w:val="center"/>
          </w:tcPr>
          <w:p w14:paraId="6D333466">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382DE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vMerge w:val="continue"/>
            <w:noWrap w:val="0"/>
            <w:vAlign w:val="center"/>
          </w:tcPr>
          <w:p w14:paraId="2F27EBC6">
            <w:pPr>
              <w:rPr>
                <w:rFonts w:hint="eastAsia" w:ascii="宋体" w:hAnsi="宋体" w:cs="宋体"/>
                <w:color w:val="auto"/>
                <w:sz w:val="24"/>
                <w:szCs w:val="24"/>
                <w:highlight w:val="none"/>
              </w:rPr>
            </w:pPr>
          </w:p>
        </w:tc>
        <w:tc>
          <w:tcPr>
            <w:tcW w:w="2046" w:type="pct"/>
            <w:vMerge w:val="continue"/>
            <w:noWrap w:val="0"/>
            <w:vAlign w:val="center"/>
          </w:tcPr>
          <w:p w14:paraId="04C2EA2D">
            <w:pPr>
              <w:rPr>
                <w:rFonts w:hint="eastAsia" w:ascii="宋体" w:hAnsi="宋体" w:cs="宋体"/>
                <w:color w:val="auto"/>
                <w:sz w:val="24"/>
                <w:szCs w:val="24"/>
                <w:highlight w:val="none"/>
              </w:rPr>
            </w:pPr>
          </w:p>
        </w:tc>
        <w:tc>
          <w:tcPr>
            <w:tcW w:w="601" w:type="pct"/>
            <w:noWrap w:val="0"/>
            <w:vAlign w:val="top"/>
          </w:tcPr>
          <w:p w14:paraId="5DC21592">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监理人</w:t>
            </w:r>
          </w:p>
        </w:tc>
        <w:tc>
          <w:tcPr>
            <w:tcW w:w="601" w:type="pct"/>
            <w:noWrap w:val="0"/>
            <w:vAlign w:val="center"/>
          </w:tcPr>
          <w:p w14:paraId="04F14DF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3096643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2" w:type="pct"/>
            <w:noWrap w:val="0"/>
            <w:vAlign w:val="center"/>
          </w:tcPr>
          <w:p w14:paraId="1748454F">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w:t>
            </w:r>
          </w:p>
        </w:tc>
      </w:tr>
      <w:tr w14:paraId="781BE9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 w:hRule="atLeast"/>
        </w:trPr>
        <w:tc>
          <w:tcPr>
            <w:tcW w:w="496" w:type="pct"/>
            <w:noWrap w:val="0"/>
            <w:vAlign w:val="center"/>
          </w:tcPr>
          <w:p w14:paraId="79C3AA47">
            <w:pPr>
              <w:rPr>
                <w:rFonts w:hint="eastAsia" w:ascii="宋体" w:hAnsi="宋体" w:cs="宋体"/>
                <w:color w:val="auto"/>
                <w:sz w:val="24"/>
                <w:szCs w:val="24"/>
                <w:highlight w:val="none"/>
              </w:rPr>
            </w:pPr>
            <w:r>
              <w:rPr>
                <w:rFonts w:hint="eastAsia" w:ascii="宋体" w:hAnsi="宋体" w:cs="宋体"/>
                <w:color w:val="auto"/>
                <w:sz w:val="24"/>
                <w:szCs w:val="24"/>
                <w:highlight w:val="none"/>
              </w:rPr>
              <w:t>20.3</w:t>
            </w:r>
          </w:p>
        </w:tc>
        <w:tc>
          <w:tcPr>
            <w:tcW w:w="2046" w:type="pct"/>
            <w:noWrap w:val="0"/>
            <w:vAlign w:val="center"/>
          </w:tcPr>
          <w:p w14:paraId="7D7E1F31">
            <w:pPr>
              <w:rPr>
                <w:rFonts w:hint="eastAsia" w:ascii="宋体" w:hAnsi="宋体" w:cs="宋体"/>
                <w:color w:val="auto"/>
                <w:sz w:val="24"/>
                <w:szCs w:val="24"/>
                <w:highlight w:val="none"/>
              </w:rPr>
            </w:pPr>
            <w:r>
              <w:rPr>
                <w:rFonts w:hint="eastAsia" w:ascii="宋体" w:hAnsi="宋体" w:cs="宋体"/>
                <w:color w:val="auto"/>
                <w:sz w:val="24"/>
                <w:szCs w:val="24"/>
                <w:highlight w:val="none"/>
              </w:rPr>
              <w:t>人身意外伤害险</w:t>
            </w:r>
          </w:p>
        </w:tc>
        <w:tc>
          <w:tcPr>
            <w:tcW w:w="601" w:type="pct"/>
            <w:noWrap w:val="0"/>
            <w:vAlign w:val="top"/>
          </w:tcPr>
          <w:p w14:paraId="29B34FCD">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1" w:type="pct"/>
            <w:noWrap w:val="0"/>
            <w:vAlign w:val="center"/>
          </w:tcPr>
          <w:p w14:paraId="40DAF29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224249B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w:t>
            </w:r>
          </w:p>
        </w:tc>
        <w:tc>
          <w:tcPr>
            <w:tcW w:w="602" w:type="pct"/>
            <w:noWrap w:val="0"/>
            <w:vAlign w:val="center"/>
          </w:tcPr>
          <w:p w14:paraId="400C69E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63F4B0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noWrap w:val="0"/>
            <w:vAlign w:val="center"/>
          </w:tcPr>
          <w:p w14:paraId="129BF58F">
            <w:pPr>
              <w:rPr>
                <w:rFonts w:hint="eastAsia" w:ascii="宋体" w:hAnsi="宋体" w:cs="宋体"/>
                <w:color w:val="auto"/>
                <w:sz w:val="24"/>
                <w:szCs w:val="24"/>
                <w:highlight w:val="none"/>
              </w:rPr>
            </w:pPr>
            <w:r>
              <w:rPr>
                <w:rFonts w:hint="eastAsia" w:ascii="宋体" w:hAnsi="宋体" w:cs="宋体"/>
                <w:color w:val="auto"/>
                <w:sz w:val="24"/>
                <w:szCs w:val="24"/>
                <w:highlight w:val="none"/>
              </w:rPr>
              <w:t>20.4</w:t>
            </w:r>
          </w:p>
        </w:tc>
        <w:tc>
          <w:tcPr>
            <w:tcW w:w="2046" w:type="pct"/>
            <w:noWrap w:val="0"/>
            <w:vAlign w:val="center"/>
          </w:tcPr>
          <w:p w14:paraId="31F41D55">
            <w:pPr>
              <w:rPr>
                <w:rFonts w:hint="eastAsia" w:ascii="宋体" w:hAnsi="宋体" w:cs="宋体"/>
                <w:color w:val="auto"/>
                <w:sz w:val="24"/>
                <w:szCs w:val="24"/>
                <w:highlight w:val="none"/>
              </w:rPr>
            </w:pPr>
            <w:r>
              <w:rPr>
                <w:rFonts w:hint="eastAsia" w:ascii="宋体" w:hAnsi="宋体" w:cs="宋体"/>
                <w:color w:val="auto"/>
                <w:sz w:val="24"/>
                <w:szCs w:val="24"/>
                <w:highlight w:val="none"/>
              </w:rPr>
              <w:t>第三者责任险</w:t>
            </w:r>
          </w:p>
        </w:tc>
        <w:tc>
          <w:tcPr>
            <w:tcW w:w="601" w:type="pct"/>
            <w:noWrap w:val="0"/>
            <w:vAlign w:val="top"/>
          </w:tcPr>
          <w:p w14:paraId="29F89BC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1" w:type="pct"/>
            <w:noWrap w:val="0"/>
            <w:vAlign w:val="center"/>
          </w:tcPr>
          <w:p w14:paraId="464C0348">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2257393A">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100%</w:t>
            </w:r>
          </w:p>
        </w:tc>
        <w:tc>
          <w:tcPr>
            <w:tcW w:w="602" w:type="pct"/>
            <w:noWrap w:val="0"/>
            <w:vAlign w:val="center"/>
          </w:tcPr>
          <w:p w14:paraId="57F87804">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r w14:paraId="57C500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496" w:type="pct"/>
            <w:noWrap w:val="0"/>
            <w:vAlign w:val="center"/>
          </w:tcPr>
          <w:p w14:paraId="5ED09361">
            <w:pPr>
              <w:rPr>
                <w:rFonts w:hint="eastAsia" w:ascii="宋体" w:hAnsi="宋体" w:cs="宋体"/>
                <w:color w:val="auto"/>
                <w:sz w:val="24"/>
                <w:szCs w:val="24"/>
                <w:highlight w:val="none"/>
              </w:rPr>
            </w:pPr>
            <w:r>
              <w:rPr>
                <w:rFonts w:hint="eastAsia" w:ascii="宋体" w:hAnsi="宋体" w:cs="宋体"/>
                <w:color w:val="auto"/>
                <w:sz w:val="24"/>
                <w:szCs w:val="24"/>
                <w:highlight w:val="none"/>
              </w:rPr>
              <w:t>20.5</w:t>
            </w:r>
          </w:p>
        </w:tc>
        <w:tc>
          <w:tcPr>
            <w:tcW w:w="2046" w:type="pct"/>
            <w:noWrap w:val="0"/>
            <w:vAlign w:val="center"/>
          </w:tcPr>
          <w:p w14:paraId="4F50BAC7">
            <w:pPr>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其他保险</w:t>
            </w:r>
          </w:p>
        </w:tc>
        <w:tc>
          <w:tcPr>
            <w:tcW w:w="601" w:type="pct"/>
            <w:noWrap w:val="0"/>
            <w:vAlign w:val="top"/>
          </w:tcPr>
          <w:p w14:paraId="3B9AFAE7">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01" w:type="pct"/>
            <w:noWrap w:val="0"/>
            <w:vAlign w:val="center"/>
          </w:tcPr>
          <w:p w14:paraId="6E702C65">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c>
          <w:tcPr>
            <w:tcW w:w="650" w:type="pct"/>
            <w:noWrap w:val="0"/>
            <w:vAlign w:val="center"/>
          </w:tcPr>
          <w:p w14:paraId="2F5A6EE0">
            <w:pPr>
              <w:jc w:val="center"/>
              <w:rPr>
                <w:rFonts w:hint="default" w:ascii="宋体" w:hAnsi="宋体" w:eastAsia="宋体" w:cs="宋体"/>
                <w:color w:val="auto"/>
                <w:sz w:val="24"/>
                <w:szCs w:val="24"/>
                <w:highlight w:val="none"/>
                <w:lang w:val="en-US" w:eastAsia="zh-CN"/>
              </w:rPr>
            </w:pPr>
            <w:r>
              <w:rPr>
                <w:rFonts w:hint="eastAsia" w:ascii="宋体" w:hAnsi="宋体" w:cs="宋体"/>
                <w:color w:val="auto"/>
                <w:sz w:val="24"/>
                <w:szCs w:val="24"/>
                <w:highlight w:val="none"/>
                <w:lang w:val="en-US" w:eastAsia="zh-CN"/>
              </w:rPr>
              <w:t>100%</w:t>
            </w:r>
          </w:p>
        </w:tc>
        <w:tc>
          <w:tcPr>
            <w:tcW w:w="602" w:type="pct"/>
            <w:noWrap w:val="0"/>
            <w:vAlign w:val="center"/>
          </w:tcPr>
          <w:p w14:paraId="414E976E">
            <w:pPr>
              <w:jc w:val="center"/>
              <w:rPr>
                <w:rFonts w:hint="eastAsia" w:ascii="宋体" w:hAnsi="宋体" w:cs="宋体"/>
                <w:color w:val="auto"/>
                <w:sz w:val="24"/>
                <w:szCs w:val="24"/>
                <w:highlight w:val="none"/>
              </w:rPr>
            </w:pPr>
            <w:r>
              <w:rPr>
                <w:rFonts w:hint="eastAsia" w:ascii="宋体" w:hAnsi="宋体" w:cs="宋体"/>
                <w:color w:val="auto"/>
                <w:sz w:val="24"/>
                <w:szCs w:val="24"/>
                <w:highlight w:val="none"/>
              </w:rPr>
              <w:t>/</w:t>
            </w:r>
          </w:p>
        </w:tc>
      </w:tr>
    </w:tbl>
    <w:p w14:paraId="7300006C">
      <w:pPr>
        <w:spacing w:line="360" w:lineRule="auto"/>
        <w:rPr>
          <w:rFonts w:hint="eastAsia" w:ascii="宋体" w:hAnsi="宋体" w:cs="宋体"/>
          <w:color w:val="auto"/>
          <w:sz w:val="24"/>
          <w:szCs w:val="24"/>
          <w:highlight w:val="none"/>
        </w:rPr>
      </w:pPr>
    </w:p>
    <w:p w14:paraId="4C4A20A1">
      <w:pPr>
        <w:keepNext/>
        <w:keepLines/>
        <w:spacing w:before="120" w:beforeLines="50" w:after="120" w:afterLines="50" w:line="360" w:lineRule="auto"/>
        <w:outlineLvl w:val="1"/>
        <w:rPr>
          <w:rFonts w:hint="eastAsia" w:ascii="宋体" w:hAnsi="宋体" w:cs="宋体"/>
          <w:color w:val="auto"/>
          <w:sz w:val="24"/>
          <w:szCs w:val="24"/>
          <w:highlight w:val="none"/>
        </w:rPr>
      </w:pPr>
      <w:bookmarkStart w:id="1922" w:name="_Toc497214116"/>
      <w:bookmarkStart w:id="1923" w:name="_Toc486580447"/>
      <w:bookmarkStart w:id="1924" w:name="_Toc10235716"/>
      <w:bookmarkStart w:id="1925" w:name="_Toc497584107"/>
      <w:bookmarkStart w:id="1926" w:name="_Toc485323221"/>
      <w:bookmarkStart w:id="1927" w:name="_Toc490331738"/>
      <w:bookmarkStart w:id="1928" w:name="_Toc489280253"/>
      <w:r>
        <w:rPr>
          <w:rFonts w:hint="eastAsia" w:ascii="宋体" w:hAnsi="宋体" w:cs="宋体"/>
          <w:color w:val="auto"/>
          <w:sz w:val="24"/>
          <w:szCs w:val="24"/>
          <w:highlight w:val="none"/>
        </w:rPr>
        <w:t>21.不可抗力</w:t>
      </w:r>
      <w:bookmarkEnd w:id="1922"/>
      <w:bookmarkEnd w:id="1923"/>
      <w:bookmarkEnd w:id="1924"/>
      <w:bookmarkEnd w:id="1925"/>
      <w:bookmarkEnd w:id="1926"/>
      <w:bookmarkEnd w:id="1927"/>
      <w:bookmarkEnd w:id="1928"/>
    </w:p>
    <w:p w14:paraId="37BCC09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29" w:name="_Toc497214117"/>
      <w:bookmarkStart w:id="1930" w:name="_Toc10235717"/>
      <w:bookmarkStart w:id="1931" w:name="_Toc486580448"/>
      <w:bookmarkStart w:id="1932" w:name="_Toc490331739"/>
      <w:bookmarkStart w:id="1933" w:name="_Toc489280254"/>
      <w:bookmarkStart w:id="1934" w:name="_Toc497584108"/>
      <w:bookmarkStart w:id="1935" w:name="_Toc485323222"/>
      <w:r>
        <w:rPr>
          <w:rFonts w:hint="eastAsia" w:ascii="宋体" w:hAnsi="宋体" w:cs="宋体"/>
          <w:color w:val="auto"/>
          <w:kern w:val="0"/>
          <w:sz w:val="24"/>
          <w:szCs w:val="24"/>
          <w:highlight w:val="none"/>
        </w:rPr>
        <w:t>21.1  不可抗力的确认</w:t>
      </w:r>
      <w:bookmarkEnd w:id="1929"/>
      <w:bookmarkEnd w:id="1930"/>
      <w:bookmarkEnd w:id="1931"/>
      <w:bookmarkEnd w:id="1932"/>
      <w:bookmarkEnd w:id="1933"/>
      <w:bookmarkEnd w:id="1934"/>
      <w:bookmarkEnd w:id="1935"/>
    </w:p>
    <w:p w14:paraId="064B701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21.1.1  合同条款通用部分第21.1.1项约定的不可抗力以外的其他情形：</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C93074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不可抗力的等级范围约定：</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6967EE8">
      <w:pPr>
        <w:keepNext/>
        <w:keepLines/>
        <w:spacing w:before="120" w:beforeLines="50" w:after="120" w:afterLines="50" w:line="360" w:lineRule="auto"/>
        <w:outlineLvl w:val="1"/>
        <w:rPr>
          <w:rFonts w:hint="eastAsia" w:ascii="宋体" w:hAnsi="宋体" w:cs="宋体"/>
          <w:color w:val="auto"/>
          <w:sz w:val="24"/>
          <w:szCs w:val="24"/>
          <w:highlight w:val="none"/>
        </w:rPr>
      </w:pPr>
      <w:bookmarkStart w:id="1936" w:name="_Toc486580450"/>
      <w:bookmarkStart w:id="1937" w:name="_Toc490331741"/>
      <w:bookmarkStart w:id="1938" w:name="_Toc497584109"/>
      <w:bookmarkStart w:id="1939" w:name="_Toc489280256"/>
      <w:bookmarkStart w:id="1940" w:name="_Toc10235718"/>
      <w:bookmarkStart w:id="1941" w:name="_Toc485323224"/>
      <w:bookmarkStart w:id="1942" w:name="_Toc497214118"/>
      <w:r>
        <w:rPr>
          <w:rFonts w:hint="eastAsia" w:ascii="宋体" w:hAnsi="宋体" w:cs="宋体"/>
          <w:color w:val="auto"/>
          <w:sz w:val="24"/>
          <w:szCs w:val="24"/>
          <w:highlight w:val="none"/>
        </w:rPr>
        <w:t>24.争议的解决</w:t>
      </w:r>
      <w:bookmarkEnd w:id="1936"/>
      <w:bookmarkEnd w:id="1937"/>
      <w:bookmarkEnd w:id="1938"/>
      <w:bookmarkEnd w:id="1939"/>
      <w:bookmarkEnd w:id="1940"/>
      <w:bookmarkEnd w:id="1941"/>
      <w:bookmarkEnd w:id="1942"/>
    </w:p>
    <w:p w14:paraId="6F99D589">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43" w:name="_Toc489280257"/>
      <w:bookmarkStart w:id="1944" w:name="_Toc490331742"/>
      <w:bookmarkStart w:id="1945" w:name="_Toc485323225"/>
      <w:bookmarkStart w:id="1946" w:name="_Toc486580451"/>
      <w:bookmarkStart w:id="1947" w:name="_Toc497214119"/>
      <w:bookmarkStart w:id="1948" w:name="_Toc10235719"/>
      <w:bookmarkStart w:id="1949" w:name="_Toc497584110"/>
      <w:r>
        <w:rPr>
          <w:rFonts w:hint="eastAsia" w:ascii="宋体" w:hAnsi="宋体" w:cs="宋体"/>
          <w:color w:val="auto"/>
          <w:kern w:val="0"/>
          <w:sz w:val="24"/>
          <w:szCs w:val="24"/>
          <w:highlight w:val="none"/>
        </w:rPr>
        <w:t>24.1  争议的解决方式</w:t>
      </w:r>
      <w:bookmarkEnd w:id="1943"/>
      <w:bookmarkEnd w:id="1944"/>
      <w:bookmarkEnd w:id="1945"/>
      <w:bookmarkEnd w:id="1946"/>
      <w:bookmarkEnd w:id="1947"/>
      <w:bookmarkEnd w:id="1948"/>
      <w:bookmarkEnd w:id="1949"/>
    </w:p>
    <w:p w14:paraId="560B01E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因本合同引起的或与本合同有关的任何争议，合同双方友好协商不成、不愿提请争议组评审或者不愿接受争议评审组意见的，选择下列第</w:t>
      </w:r>
      <w:r>
        <w:rPr>
          <w:rFonts w:hint="eastAsia" w:ascii="宋体" w:hAnsi="宋体" w:cs="宋体"/>
          <w:color w:val="auto"/>
          <w:sz w:val="24"/>
          <w:szCs w:val="24"/>
          <w:highlight w:val="none"/>
          <w:u w:val="single"/>
        </w:rPr>
        <w:t xml:space="preserve">  </w:t>
      </w:r>
      <w:r>
        <w:rPr>
          <w:rFonts w:ascii="宋体" w:hAnsi="宋体" w:cs="宋体"/>
          <w:color w:val="auto"/>
          <w:sz w:val="24"/>
          <w:szCs w:val="24"/>
          <w:highlight w:val="none"/>
          <w:u w:val="single"/>
        </w:rPr>
        <w:t>2</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种方式解决：</w:t>
      </w:r>
    </w:p>
    <w:p w14:paraId="31F316DB">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(1)提请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仲裁委员会按照该会仲裁规则进行仲裁，仲裁裁决是终局的，对合同双方均有约束力。</w:t>
      </w:r>
    </w:p>
    <w:p w14:paraId="6FFB60D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(2)向北京市</w:t>
      </w:r>
      <w:r>
        <w:rPr>
          <w:rFonts w:hint="eastAsia" w:ascii="宋体" w:hAnsi="宋体" w:cs="宋体"/>
          <w:color w:val="auto"/>
          <w:sz w:val="24"/>
          <w:szCs w:val="24"/>
          <w:highlight w:val="none"/>
          <w:lang w:val="en-US" w:eastAsia="zh-CN"/>
        </w:rPr>
        <w:t>丰台</w:t>
      </w:r>
      <w:r>
        <w:rPr>
          <w:rFonts w:hint="eastAsia" w:ascii="宋体" w:hAnsi="宋体" w:cs="宋体"/>
          <w:color w:val="auto"/>
          <w:sz w:val="24"/>
          <w:szCs w:val="24"/>
          <w:highlight w:val="none"/>
        </w:rPr>
        <w:t>区人民法院提起诉讼。</w:t>
      </w:r>
    </w:p>
    <w:p w14:paraId="1ABFD32C">
      <w:pPr>
        <w:keepNext/>
        <w:keepLines/>
        <w:spacing w:before="120" w:beforeLines="50" w:after="120" w:afterLines="50" w:line="360" w:lineRule="auto"/>
        <w:outlineLvl w:val="2"/>
        <w:rPr>
          <w:rFonts w:hint="eastAsia" w:ascii="宋体" w:hAnsi="宋体" w:cs="宋体"/>
          <w:color w:val="auto"/>
          <w:kern w:val="0"/>
          <w:sz w:val="24"/>
          <w:szCs w:val="24"/>
          <w:highlight w:val="none"/>
        </w:rPr>
      </w:pPr>
      <w:bookmarkStart w:id="1950" w:name="_Toc10235720"/>
      <w:bookmarkStart w:id="1951" w:name="_Toc497584111"/>
      <w:bookmarkStart w:id="1952" w:name="_Toc497214120"/>
      <w:bookmarkStart w:id="1953" w:name="_Toc485323226"/>
      <w:bookmarkStart w:id="1954" w:name="_Toc489280258"/>
      <w:bookmarkStart w:id="1955" w:name="_Toc490331743"/>
      <w:bookmarkStart w:id="1956" w:name="_Toc486580452"/>
      <w:r>
        <w:rPr>
          <w:rFonts w:hint="eastAsia" w:ascii="宋体" w:hAnsi="宋体" w:cs="宋体"/>
          <w:color w:val="auto"/>
          <w:kern w:val="0"/>
          <w:sz w:val="24"/>
          <w:szCs w:val="24"/>
          <w:highlight w:val="none"/>
        </w:rPr>
        <w:t>24.3  争议评审</w:t>
      </w:r>
      <w:bookmarkEnd w:id="1950"/>
      <w:bookmarkEnd w:id="1951"/>
      <w:bookmarkEnd w:id="1952"/>
      <w:bookmarkEnd w:id="1953"/>
      <w:bookmarkEnd w:id="1954"/>
      <w:bookmarkEnd w:id="1955"/>
      <w:bookmarkEnd w:id="1956"/>
    </w:p>
    <w:p w14:paraId="51BB282F">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24.3.4  争议评审组邀请合同双方代表人和有关人员举行调查会的期限：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5647F587">
      <w:pPr>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24.3.5  争议评审组在调查会后作出争议评审意见的期限：</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p>
    <w:p w14:paraId="15082C62">
      <w:pPr>
        <w:spacing w:line="360" w:lineRule="auto"/>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25.违约责任</w:t>
      </w:r>
    </w:p>
    <w:p w14:paraId="7ADF3E2D">
      <w:pPr>
        <w:spacing w:line="360" w:lineRule="auto"/>
        <w:ind w:firstLine="480" w:firstLineChars="200"/>
        <w:rPr>
          <w:rFonts w:hint="eastAsia" w:ascii="宋体" w:hAnsi="宋体" w:cs="宋体"/>
          <w:color w:val="auto"/>
          <w:sz w:val="24"/>
          <w:szCs w:val="24"/>
          <w:highlight w:val="none"/>
        </w:rPr>
      </w:pPr>
      <w:bookmarkStart w:id="1957" w:name="_Hlk40912047"/>
      <w:r>
        <w:rPr>
          <w:rFonts w:hint="eastAsia" w:ascii="宋体" w:hAnsi="宋体" w:cs="宋体"/>
          <w:color w:val="auto"/>
          <w:sz w:val="24"/>
          <w:szCs w:val="24"/>
          <w:highlight w:val="none"/>
        </w:rPr>
        <w:t>在履行合同过程中发生的下列情况属承包人违约：</w:t>
      </w:r>
    </w:p>
    <w:p w14:paraId="01F15EE5">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（1）承包人使用了不合格材料或工程设备，工程质量达不到标准要求，又拒绝清除不合格工程，发包人有权解除合同，承包人应当向发包人承担工程总价款20%的违约金，并赔偿发包人全部经济损失。</w:t>
      </w:r>
    </w:p>
    <w:p w14:paraId="5DB8D069">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承包人私自将合同的全部或部分权利转让给其他人，或私自将合同的全部或部分义务转移给其他人，发包人有权解除合同，承包人应当向发包人承担工程总价款20%的违约金，造成发包人损失的，还应赔偿发包人全部经济损失。</w:t>
      </w:r>
    </w:p>
    <w:p w14:paraId="3D036D8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（3）承包人未能按合同进度计划及时完成合同约定的工作，造成或预期造成工期延误，</w:t>
      </w:r>
      <w:r>
        <w:rPr>
          <w:rFonts w:hint="eastAsia" w:ascii="宋体" w:hAnsi="宋体" w:cs="宋体"/>
          <w:color w:val="auto"/>
          <w:sz w:val="24"/>
          <w:highlight w:val="none"/>
        </w:rPr>
        <w:t>每延误一天，应向发包方支付工程总价款万分之二的违约金</w:t>
      </w:r>
      <w:r>
        <w:rPr>
          <w:rFonts w:hint="eastAsia" w:ascii="宋体" w:hAnsi="宋体" w:cs="宋体"/>
          <w:color w:val="auto"/>
          <w:sz w:val="24"/>
          <w:highlight w:val="none"/>
          <w:lang w:eastAsia="zh-CN"/>
        </w:rPr>
        <w:t>。</w:t>
      </w:r>
      <w:r>
        <w:rPr>
          <w:rFonts w:hint="eastAsia" w:ascii="宋体" w:hAnsi="宋体" w:cs="宋体"/>
          <w:color w:val="auto"/>
          <w:sz w:val="24"/>
          <w:szCs w:val="24"/>
          <w:highlight w:val="none"/>
        </w:rPr>
        <w:t>超过工期30天的，发包人有权解除合同，承包人应当向发包人承担工程总价款20%的违约金，造成发包人损失的，还应赔偿发包人全部经济损失。</w:t>
      </w:r>
    </w:p>
    <w:p w14:paraId="7B8AA3CE">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承包人在缺陷责任期（工程质量保修期）内，未能对合同工程完工验收鉴定书所列的缺陷清单的内容或缺陷责任期（工程质量保修期）内发生的缺陷进行修复，承包人应当向发包人承担工程总价款10%的违约金，造成发包人损失的，还应赔偿发包人全部经济损失。</w:t>
      </w:r>
    </w:p>
    <w:p w14:paraId="78D7177C">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（5）承包人无法继续履行或明确表示不履行或实质上已停止履行合同，承包人应当向发包人承担工程总价款20%的违约金，返还发包人已经支付的全部工程款，造成发包人损失的，还应赔偿发包人全部经济损失；</w:t>
      </w:r>
    </w:p>
    <w:p w14:paraId="724812B7">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（6）承包人未按照本合同专用合同条款和通用合同条款规定承担员工工伤保险和意外保险，在施工过程中，造成财产损失或者人员伤亡的，由承包人承担一切法律责任和经济损失。</w:t>
      </w:r>
    </w:p>
    <w:p w14:paraId="43597F00">
      <w:pPr>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7）承包人不按合同约定履行义务的，应当向发包人承担违约责任，造成发包人损失的，还应赔偿发包人全部经济损失。发包人合同解除后，发包人可派员进驻施工场地，另行组织人员或委托其他承包人施工。发包人因继续完成该工程的需要，有权扣留使用承包人在现场的材料、设备和临时设施。但发包人的这一行动不免除承包人应承担的违约责任，也不影响发包人根据合同约定享有的索赔权利。</w:t>
      </w:r>
    </w:p>
    <w:bookmarkEnd w:id="1957"/>
    <w:p w14:paraId="4398BDCE">
      <w:pPr>
        <w:keepNext/>
        <w:keepLines/>
        <w:spacing w:before="120" w:beforeLines="50" w:after="120" w:afterLines="50" w:line="360" w:lineRule="auto"/>
        <w:outlineLvl w:val="2"/>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t>26.  补充条款</w:t>
      </w:r>
    </w:p>
    <w:p w14:paraId="258582A2">
      <w:pPr>
        <w:keepNext/>
        <w:keepLines/>
        <w:spacing w:before="120" w:beforeLines="50" w:after="120" w:afterLines="50" w:line="360" w:lineRule="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26.1  承包人收取工程款时应提供相应金额的增值税专用发票，</w:t>
      </w:r>
      <w:r>
        <w:rPr>
          <w:rFonts w:hint="eastAsia" w:ascii="宋体" w:hAnsi="宋体"/>
          <w:color w:val="auto"/>
          <w:sz w:val="24"/>
          <w:szCs w:val="24"/>
          <w:highlight w:val="none"/>
        </w:rPr>
        <w:t>如遇税率变化，以国家税务政策为准，相应税率及含税金额以实际变更后为准。</w:t>
      </w:r>
    </w:p>
    <w:p w14:paraId="2A3A6CB7">
      <w:pPr>
        <w:keepNext/>
        <w:keepLines/>
        <w:spacing w:before="120" w:beforeLines="50" w:after="120" w:afterLines="50" w:line="360" w:lineRule="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26.2  若施工过程中发生有效投诉事件，承包人应当按签约合同价3%金额予以赔偿，并在结算款中扣除。</w:t>
      </w:r>
    </w:p>
    <w:p w14:paraId="5C23DF39">
      <w:pPr>
        <w:keepNext/>
        <w:keepLines/>
        <w:spacing w:before="120" w:beforeLines="50" w:after="120" w:afterLines="50" w:line="360" w:lineRule="auto"/>
        <w:outlineLvl w:val="2"/>
        <w:rPr>
          <w:rFonts w:hint="eastAsia" w:ascii="宋体" w:hAnsi="宋体" w:cs="宋体"/>
          <w:color w:val="auto"/>
          <w:sz w:val="24"/>
          <w:szCs w:val="24"/>
          <w:highlight w:val="none"/>
        </w:rPr>
      </w:pPr>
      <w:r>
        <w:rPr>
          <w:rFonts w:hint="eastAsia" w:ascii="宋体" w:hAnsi="宋体" w:cs="宋体"/>
          <w:color w:val="auto"/>
          <w:sz w:val="24"/>
          <w:szCs w:val="24"/>
          <w:highlight w:val="none"/>
        </w:rPr>
        <w:t>26.3  若承包人未按发包人要求进行归档工作的，承包人应当按照签约合同价3%金额予以赔偿，并在结算款中扣除。</w:t>
      </w:r>
    </w:p>
    <w:p w14:paraId="48A84E0B">
      <w:pPr>
        <w:spacing w:line="360" w:lineRule="auto"/>
        <w:rPr>
          <w:rFonts w:hint="eastAsia" w:ascii="宋体" w:hAnsi="宋体" w:cs="宋体"/>
          <w:color w:val="auto"/>
          <w:sz w:val="24"/>
          <w:szCs w:val="24"/>
          <w:highlight w:val="none"/>
        </w:rPr>
      </w:pPr>
    </w:p>
    <w:p w14:paraId="27561883">
      <w:pPr>
        <w:spacing w:line="360" w:lineRule="auto"/>
        <w:rPr>
          <w:rFonts w:hint="eastAsia" w:ascii="宋体" w:hAnsi="宋体" w:cs="宋体"/>
          <w:color w:val="auto"/>
          <w:sz w:val="24"/>
          <w:szCs w:val="24"/>
          <w:highlight w:val="none"/>
        </w:rPr>
        <w:sectPr>
          <w:footerReference r:id="rId9" w:type="first"/>
          <w:headerReference r:id="rId6" w:type="default"/>
          <w:footerReference r:id="rId8" w:type="default"/>
          <w:headerReference r:id="rId7" w:type="even"/>
          <w:pgSz w:w="11906" w:h="16838"/>
          <w:pgMar w:top="1440" w:right="1080" w:bottom="1440" w:left="1080" w:header="851" w:footer="992" w:gutter="0"/>
          <w:pgNumType w:fmt="decimal" w:start="1"/>
          <w:cols w:space="720" w:num="1"/>
          <w:docGrid w:linePitch="312" w:charSpace="0"/>
        </w:sectPr>
      </w:pPr>
    </w:p>
    <w:p w14:paraId="09C0134F">
      <w:pPr>
        <w:keepNext/>
        <w:keepLines/>
        <w:spacing w:before="156" w:beforeLines="50" w:after="156" w:afterLines="50" w:line="360" w:lineRule="auto"/>
        <w:outlineLvl w:val="1"/>
        <w:rPr>
          <w:rFonts w:hint="eastAsia" w:ascii="宋体" w:hAnsi="宋体" w:cs="宋体"/>
          <w:color w:val="auto"/>
          <w:kern w:val="0"/>
          <w:sz w:val="24"/>
          <w:szCs w:val="24"/>
          <w:highlight w:val="none"/>
        </w:rPr>
      </w:pPr>
      <w:bookmarkStart w:id="1958" w:name="_Toc497214127"/>
      <w:bookmarkStart w:id="1959" w:name="_Toc10235727"/>
      <w:bookmarkStart w:id="1960" w:name="_Toc497584118"/>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一</w:t>
      </w:r>
      <w:r>
        <w:rPr>
          <w:rFonts w:hint="eastAsia" w:ascii="宋体" w:hAnsi="宋体" w:cs="宋体"/>
          <w:color w:val="auto"/>
          <w:kern w:val="0"/>
          <w:sz w:val="24"/>
          <w:szCs w:val="24"/>
          <w:highlight w:val="none"/>
        </w:rPr>
        <w:t>：质量保修书格式</w:t>
      </w:r>
      <w:bookmarkEnd w:id="1958"/>
      <w:bookmarkEnd w:id="1959"/>
      <w:bookmarkEnd w:id="1960"/>
    </w:p>
    <w:p w14:paraId="6976F400">
      <w:pPr>
        <w:tabs>
          <w:tab w:val="left" w:pos="3855"/>
        </w:tabs>
        <w:snapToGrid w:val="0"/>
        <w:spacing w:line="360" w:lineRule="auto"/>
        <w:ind w:firstLine="480" w:firstLineChars="200"/>
        <w:jc w:val="center"/>
        <w:rPr>
          <w:rFonts w:hint="eastAsia" w:ascii="宋体" w:hAnsi="宋体" w:cs="宋体"/>
          <w:color w:val="auto"/>
          <w:sz w:val="24"/>
          <w:szCs w:val="24"/>
          <w:highlight w:val="none"/>
        </w:rPr>
      </w:pPr>
    </w:p>
    <w:p w14:paraId="00A9BACB">
      <w:pPr>
        <w:tabs>
          <w:tab w:val="left" w:pos="3855"/>
        </w:tabs>
        <w:snapToGrid w:val="0"/>
        <w:spacing w:line="360" w:lineRule="auto"/>
        <w:ind w:firstLine="482" w:firstLineChars="200"/>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质量保修书</w:t>
      </w:r>
    </w:p>
    <w:p w14:paraId="4E664605">
      <w:pPr>
        <w:snapToGrid w:val="0"/>
        <w:spacing w:line="360" w:lineRule="auto"/>
        <w:rPr>
          <w:rFonts w:hint="eastAsia" w:ascii="宋体" w:hAnsi="宋体" w:cs="宋体"/>
          <w:color w:val="auto"/>
          <w:sz w:val="24"/>
          <w:szCs w:val="24"/>
          <w:highlight w:val="none"/>
        </w:rPr>
      </w:pPr>
    </w:p>
    <w:p w14:paraId="376302AE">
      <w:pPr>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33D81E0B">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158166AD">
      <w:pPr>
        <w:snapToGrid w:val="0"/>
        <w:spacing w:line="360" w:lineRule="auto"/>
        <w:ind w:firstLine="488"/>
        <w:rPr>
          <w:rFonts w:hint="eastAsia" w:ascii="宋体" w:hAnsi="宋体" w:cs="宋体"/>
          <w:color w:val="auto"/>
          <w:sz w:val="24"/>
          <w:szCs w:val="24"/>
          <w:highlight w:val="none"/>
          <w:u w:val="single"/>
        </w:rPr>
      </w:pPr>
    </w:p>
    <w:p w14:paraId="5CE106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发包人、承包人根据《中华人民共和国建筑法》、《建设工程质量管理条例》和《房屋建筑工程质量保修办法》，经协商一致，对</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rPr>
        <w:t>（工程名称）签订保修书。</w:t>
      </w:r>
    </w:p>
    <w:p w14:paraId="3D660AF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一、工程保修范围和内容</w:t>
      </w:r>
    </w:p>
    <w:p w14:paraId="17F77E6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承包人在保修期内，按照有关法律、法规、规章的管理规定和双方约定，承担本工程保修责任。</w:t>
      </w:r>
    </w:p>
    <w:p w14:paraId="0874318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保修责任范围包括地基基础工程、主体结构工程，屋面防水工程、有防水要求的卫生间、房间和外墙面的防渗漏，供热与供冷系统，电气管线、给排水管道、设备安装和装修工程，以及双方约定的其他项目。具体保修的内容，双方约定如下：</w:t>
      </w:r>
    </w:p>
    <w:p w14:paraId="27E723C8">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7BCA3CC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二、保修期</w:t>
      </w:r>
    </w:p>
    <w:p w14:paraId="1E0D978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双方根据《建设工程质量管理条例》及有关规定，约定本工程的保修期如下：</w:t>
      </w:r>
    </w:p>
    <w:p w14:paraId="2E1DDF3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地基基础工程和主体结构工程为设计文件规定的该工程合理使用年限；</w:t>
      </w:r>
    </w:p>
    <w:p w14:paraId="63872C1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屋面防水工程、有防水要求的卫生间、房间和外墙面的防渗漏为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5</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7E8527D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外窗工程为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年，外窗防渗漏为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2B33E7A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装修工程为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4C597EA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电气管线、给排水管道、设备安装工程为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4BA8ACFE">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供热与供冷系统为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个采暖期、供冷期；</w:t>
      </w:r>
    </w:p>
    <w:p w14:paraId="2C06A60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住宅小区内的给排水设施、道路等配套工程为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年；</w:t>
      </w:r>
    </w:p>
    <w:p w14:paraId="366602E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其他项目保修期限约定如下：</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14BBEA4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三、保修责任</w:t>
      </w:r>
    </w:p>
    <w:p w14:paraId="2DF147E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1、属于责任范围、内容的项目，承包人应当在接到保修通知之日起</w:t>
      </w:r>
      <w:r>
        <w:rPr>
          <w:rFonts w:hint="eastAsia" w:ascii="宋体" w:hAnsi="宋体" w:cs="宋体"/>
          <w:color w:val="auto"/>
          <w:sz w:val="24"/>
          <w:szCs w:val="24"/>
          <w:highlight w:val="none"/>
          <w:lang w:val="en-US" w:eastAsia="zh-CN"/>
        </w:rPr>
        <w:t>2</w:t>
      </w:r>
      <w:r>
        <w:rPr>
          <w:rFonts w:hint="eastAsia" w:ascii="宋体" w:hAnsi="宋体" w:cs="宋体"/>
          <w:color w:val="auto"/>
          <w:sz w:val="24"/>
          <w:szCs w:val="24"/>
          <w:highlight w:val="none"/>
        </w:rPr>
        <w:t>天内派人保修。承包人不在约定期限内派人保修的，发包人可以委托他人修理。</w:t>
      </w:r>
    </w:p>
    <w:p w14:paraId="543596E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2、发生紧急抢修事故的，承包人在接到事故通知后，应当立即到达事故现场抢修。</w:t>
      </w:r>
    </w:p>
    <w:p w14:paraId="41EFACB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对于涉及结构安全的质量问题，应当按照《房屋建筑工程质量保修办法》的规定，立即向当地建设行政主管部门报告，采取安全防范措施；由原设计人或者具有相应资质等级的设计人提出保修方案，承包人实施保修。</w:t>
      </w:r>
    </w:p>
    <w:p w14:paraId="40F4E6B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4、质量保修完成后，由发包人组织验收。</w:t>
      </w:r>
    </w:p>
    <w:p w14:paraId="6737E6B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四、保修费用</w:t>
      </w:r>
    </w:p>
    <w:p w14:paraId="32DE8A07">
      <w:pPr>
        <w:snapToGrid w:val="0"/>
        <w:spacing w:line="360" w:lineRule="auto"/>
        <w:ind w:firstLine="480" w:firstLineChars="200"/>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保修费用由造成质量缺陷的责任方承担。</w:t>
      </w:r>
    </w:p>
    <w:p w14:paraId="5BCBA2E5">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五、其他</w:t>
      </w:r>
    </w:p>
    <w:p w14:paraId="312766D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双方约定的其他工程保修责任事项：</w:t>
      </w:r>
    </w:p>
    <w:p w14:paraId="60F0A026">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w:t>
      </w:r>
    </w:p>
    <w:p w14:paraId="59678171">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本工程保修书，由施工合同发包人、承包人双方在竣工验收前共同签署，作为施工合同附件，其有效期限至保修期满。</w:t>
      </w:r>
    </w:p>
    <w:p w14:paraId="62E17315">
      <w:pPr>
        <w:snapToGrid w:val="0"/>
        <w:spacing w:line="360" w:lineRule="auto"/>
        <w:rPr>
          <w:rFonts w:hint="eastAsia" w:ascii="宋体" w:hAnsi="宋体" w:cs="宋体"/>
          <w:color w:val="auto"/>
          <w:sz w:val="24"/>
          <w:szCs w:val="24"/>
          <w:highlight w:val="none"/>
        </w:rPr>
      </w:pPr>
    </w:p>
    <w:p w14:paraId="26066422">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（公章）   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（公章） </w:t>
      </w:r>
    </w:p>
    <w:p w14:paraId="4BD4A3AC">
      <w:pPr>
        <w:snapToGrid w:val="0"/>
        <w:spacing w:line="360" w:lineRule="auto"/>
        <w:rPr>
          <w:rFonts w:hint="default" w:ascii="宋体" w:hAnsi="宋体" w:eastAsia="宋体" w:cs="宋体"/>
          <w:color w:val="auto"/>
          <w:sz w:val="24"/>
          <w:szCs w:val="24"/>
          <w:highlight w:val="none"/>
          <w:u w:val="single"/>
          <w:lang w:val="en-US" w:eastAsia="zh-CN"/>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p>
    <w:p w14:paraId="27FF934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                       法定代表人或其</w:t>
      </w:r>
    </w:p>
    <w:p w14:paraId="3243F094">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p>
    <w:p w14:paraId="682A7ADF">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07E866B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传真：</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传真：</w:t>
      </w:r>
      <w:r>
        <w:rPr>
          <w:rFonts w:hint="eastAsia" w:ascii="宋体" w:hAnsi="宋体" w:cs="宋体"/>
          <w:color w:val="auto"/>
          <w:sz w:val="24"/>
          <w:szCs w:val="24"/>
          <w:highlight w:val="none"/>
          <w:u w:val="single"/>
        </w:rPr>
        <w:t xml:space="preserve">                            </w:t>
      </w:r>
    </w:p>
    <w:p w14:paraId="46457184">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电子邮箱：</w:t>
      </w:r>
      <w:r>
        <w:rPr>
          <w:rFonts w:hint="eastAsia" w:ascii="宋体" w:hAnsi="宋体" w:cs="宋体"/>
          <w:color w:val="auto"/>
          <w:sz w:val="24"/>
          <w:szCs w:val="24"/>
          <w:highlight w:val="none"/>
          <w:u w:val="single"/>
        </w:rPr>
        <w:t xml:space="preserve">                         </w:t>
      </w:r>
    </w:p>
    <w:p w14:paraId="7D614168">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755D0F21">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 xml:space="preserve">帐号：  </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帐号：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32434FC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邮政编码：</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p>
    <w:p w14:paraId="61CFE6B7">
      <w:pPr>
        <w:keepNext/>
        <w:keepLines/>
        <w:spacing w:before="156" w:beforeLines="50" w:after="156" w:afterLines="50" w:line="360" w:lineRule="auto"/>
        <w:outlineLvl w:val="1"/>
        <w:rPr>
          <w:rFonts w:hint="eastAsia" w:ascii="宋体" w:hAnsi="宋体" w:cs="宋体"/>
          <w:color w:val="auto"/>
          <w:kern w:val="0"/>
          <w:sz w:val="24"/>
          <w:szCs w:val="24"/>
          <w:highlight w:val="none"/>
        </w:rPr>
      </w:pPr>
      <w:r>
        <w:rPr>
          <w:rFonts w:hint="eastAsia" w:ascii="宋体" w:hAnsi="宋体" w:cs="宋体"/>
          <w:color w:val="auto"/>
          <w:kern w:val="0"/>
          <w:sz w:val="24"/>
          <w:szCs w:val="24"/>
          <w:highlight w:val="none"/>
        </w:rPr>
        <w:br w:type="page"/>
      </w:r>
      <w:bookmarkStart w:id="1961" w:name="_Toc497584119"/>
      <w:bookmarkStart w:id="1962" w:name="_Toc10235728"/>
      <w:bookmarkStart w:id="1963" w:name="_Toc489219297"/>
      <w:bookmarkStart w:id="1964" w:name="_Toc497214128"/>
      <w:r>
        <w:rPr>
          <w:rFonts w:hint="eastAsia" w:ascii="宋体" w:hAnsi="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二</w:t>
      </w:r>
      <w:r>
        <w:rPr>
          <w:rFonts w:hint="eastAsia" w:ascii="宋体" w:hAnsi="宋体" w:cs="宋体"/>
          <w:color w:val="auto"/>
          <w:kern w:val="0"/>
          <w:sz w:val="24"/>
          <w:szCs w:val="24"/>
          <w:highlight w:val="none"/>
        </w:rPr>
        <w:t>：廉政责任书格式</w:t>
      </w:r>
      <w:bookmarkEnd w:id="1961"/>
      <w:bookmarkEnd w:id="1962"/>
      <w:bookmarkEnd w:id="1963"/>
      <w:bookmarkEnd w:id="1964"/>
    </w:p>
    <w:p w14:paraId="6BA701B0">
      <w:pPr>
        <w:snapToGrid w:val="0"/>
        <w:spacing w:line="360" w:lineRule="auto"/>
        <w:ind w:firstLine="488"/>
        <w:jc w:val="center"/>
        <w:rPr>
          <w:rFonts w:hint="eastAsia" w:ascii="宋体" w:hAnsi="宋体" w:cs="宋体"/>
          <w:color w:val="auto"/>
          <w:sz w:val="24"/>
          <w:szCs w:val="24"/>
          <w:highlight w:val="none"/>
        </w:rPr>
      </w:pPr>
    </w:p>
    <w:p w14:paraId="5E8BFFFF">
      <w:pPr>
        <w:snapToGrid w:val="0"/>
        <w:spacing w:line="360" w:lineRule="auto"/>
        <w:jc w:val="center"/>
        <w:rPr>
          <w:rFonts w:hint="eastAsia" w:ascii="宋体" w:hAnsi="宋体" w:cs="宋体"/>
          <w:b/>
          <w:color w:val="auto"/>
          <w:sz w:val="24"/>
          <w:szCs w:val="24"/>
          <w:highlight w:val="none"/>
        </w:rPr>
      </w:pPr>
      <w:r>
        <w:rPr>
          <w:rFonts w:hint="eastAsia" w:ascii="宋体" w:hAnsi="宋体" w:cs="宋体"/>
          <w:b/>
          <w:color w:val="auto"/>
          <w:sz w:val="24"/>
          <w:szCs w:val="24"/>
          <w:highlight w:val="none"/>
        </w:rPr>
        <w:t>建设工程廉政责任书</w:t>
      </w:r>
    </w:p>
    <w:p w14:paraId="34F3A932">
      <w:pPr>
        <w:snapToGrid w:val="0"/>
        <w:spacing w:line="360" w:lineRule="auto"/>
        <w:ind w:firstLine="480" w:firstLineChars="200"/>
        <w:rPr>
          <w:rFonts w:hint="eastAsia" w:ascii="宋体" w:hAnsi="宋体" w:cs="宋体"/>
          <w:color w:val="auto"/>
          <w:sz w:val="24"/>
          <w:szCs w:val="24"/>
          <w:highlight w:val="none"/>
        </w:rPr>
      </w:pPr>
    </w:p>
    <w:p w14:paraId="16C8329E">
      <w:pPr>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01F08F1E">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val="en-US" w:eastAsia="zh-CN"/>
        </w:rPr>
        <w:t xml:space="preserve">                                   </w:t>
      </w:r>
      <w:r>
        <w:rPr>
          <w:rFonts w:hint="eastAsia" w:ascii="宋体" w:hAnsi="宋体" w:cs="宋体"/>
          <w:color w:val="auto"/>
          <w:sz w:val="24"/>
          <w:szCs w:val="24"/>
          <w:highlight w:val="none"/>
          <w:u w:val="single"/>
        </w:rPr>
        <w:t xml:space="preserve">    </w:t>
      </w:r>
    </w:p>
    <w:p w14:paraId="7F149E88">
      <w:pPr>
        <w:snapToGrid w:val="0"/>
        <w:spacing w:line="360" w:lineRule="auto"/>
        <w:ind w:firstLine="480" w:firstLineChars="200"/>
        <w:rPr>
          <w:rFonts w:hint="eastAsia" w:ascii="宋体" w:hAnsi="宋体" w:cs="宋体"/>
          <w:color w:val="auto"/>
          <w:sz w:val="24"/>
          <w:szCs w:val="24"/>
          <w:highlight w:val="none"/>
        </w:rPr>
      </w:pPr>
    </w:p>
    <w:p w14:paraId="78605A1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为加强建设工程廉政建设，规范建设工程各项活动中发包人承包人双方的行为，防止谋取不正当利益的违法违纪现象的发生，保护国家、集体和当事人的合法权益，根据国家有关工程建设的法律法规和廉政建设的有关规定，订立本廉政责任书。</w:t>
      </w:r>
    </w:p>
    <w:p w14:paraId="0D1244EC">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一、双方的责任</w:t>
      </w:r>
    </w:p>
    <w:p w14:paraId="23D820FF">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1.1 应严格遵守国家关于建设工程的有关法律、法规，相关政策，以及廉政建设的各项规定。</w:t>
      </w:r>
    </w:p>
    <w:p w14:paraId="4165B5C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1.2 严格执行建设工程合同文件，自觉按合同办事。</w:t>
      </w:r>
    </w:p>
    <w:p w14:paraId="123627B3">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1.3 各项活动必须坚持公开、公平、公正、诚信、透明的原则（除法律法规另有规定者外），不得为获取不正当的利益，损害国家、集体和对方利益，不得违反建设工程管理的规章制度。</w:t>
      </w:r>
    </w:p>
    <w:p w14:paraId="1AE92E9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1.4 发现对方在业务活动中有违规、违纪、违法行为的，应及时提醒对方，情节严重的，应向其上级主管部门或纪检监察、司法等有关机关举报。</w:t>
      </w:r>
    </w:p>
    <w:p w14:paraId="7330E8B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二、发包人责任</w:t>
      </w:r>
    </w:p>
    <w:p w14:paraId="66EF740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发包人的领导和从事该建设工程项目的工作人员，在工程建设的事前、事中、事后应遵守以下规定：</w:t>
      </w:r>
    </w:p>
    <w:p w14:paraId="53FFE86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2.1不得向承包人和相关单位索要或接受回扣、礼金、有价证券、贵重物品和好处费、感谢费等。</w:t>
      </w:r>
    </w:p>
    <w:p w14:paraId="69585AE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2.2 不得在承包人和相关单位报销任何应由发包人或个人支付的费用。</w:t>
      </w:r>
    </w:p>
    <w:p w14:paraId="6886510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2.3 不得要求、暗示或接受承包人和相关单位为个人装修住房、婚丧嫁娶、配偶子女的工作安排以及出国（境）、旅游等提供方便。</w:t>
      </w:r>
    </w:p>
    <w:p w14:paraId="1E44ACC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2.4 不得参加有可能影响公正执行公务的承包人和相关单位的宴请、健身、娱乐等活动。</w:t>
      </w:r>
    </w:p>
    <w:p w14:paraId="6A338437">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2.5 不得向承包人和相关单位介绍或为配偶、子女、亲属参与同发包人工程建设管理合同有关的业务活动；不得以任何理由要求承包人和相关单位使用某种产品、材料和设备。</w:t>
      </w:r>
    </w:p>
    <w:p w14:paraId="01BB1A20">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三、承包人责任</w:t>
      </w:r>
    </w:p>
    <w:p w14:paraId="0A7ABFA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应与发包人保持正常的业务交往，按照有关法律法规和程序开展业务工作，严格执行工程建设的有关方针、政策，执行工程建设强制性标准，并遵守以下规定：</w:t>
      </w:r>
    </w:p>
    <w:p w14:paraId="1283B41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3.1 不得以任何理由向发包人及其工作人员索要、接受或赠送礼金、有价证券、贵重物品及回扣、好处费、感谢费等。</w:t>
      </w:r>
    </w:p>
    <w:p w14:paraId="276F8112">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3.2不得以任何理由为发包人和相关单位报销应由对方或个人支付的费用。</w:t>
      </w:r>
    </w:p>
    <w:p w14:paraId="1035EC99">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3.3不得接受或暗示为发包人、相关单位或个人装修住房、婚丧嫁娶、配偶子女的工作安排以及出国（境）、旅游等提供方便。</w:t>
      </w:r>
    </w:p>
    <w:p w14:paraId="7785E564">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3.4不得以任何理由为发包人、相关单位或个人组织有可能影响公正执行公务的宴请、健身、娱乐等活动。</w:t>
      </w:r>
    </w:p>
    <w:p w14:paraId="63CDFA6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四、违约责任</w:t>
      </w:r>
    </w:p>
    <w:p w14:paraId="3804D32D">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4.1发包人工作人员有违反本责任书第一、二条责任行为的，依据有关法律、法规给予处理；涉嫌犯罪的，移交司法机关追究刑事责任；给承包人单位造成经济损失的，应予以赔偿。</w:t>
      </w:r>
    </w:p>
    <w:p w14:paraId="4A05F68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4.2 承包人工作人员有违反本责任书第一、三条责任行为的，依据有关法律法规处理；涉嫌犯罪的，移交司法机关追究刑事责任；给发包人单位造成经济损失的，应予以赔偿。</w:t>
      </w:r>
    </w:p>
    <w:p w14:paraId="7674B5D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4.3 本责任书作为建设工程合同的组成部分，与建设工程合同具有同等法律效力。经双方签署后立即生效。</w:t>
      </w:r>
    </w:p>
    <w:p w14:paraId="3BD3314A">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五、责任书有效期</w:t>
      </w:r>
    </w:p>
    <w:p w14:paraId="0A29259B">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本责任书的有效期为双方签署之日起至该工程项目竣工验收合格时止。</w:t>
      </w:r>
    </w:p>
    <w:p w14:paraId="5A5650D6">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六、责任书份数</w:t>
      </w:r>
    </w:p>
    <w:p w14:paraId="2897B3D8">
      <w:pPr>
        <w:snapToGrid w:val="0"/>
        <w:spacing w:line="360" w:lineRule="auto"/>
        <w:ind w:firstLine="480" w:firstLineChars="200"/>
        <w:rPr>
          <w:rFonts w:hint="eastAsia" w:ascii="宋体" w:hAnsi="宋体" w:cs="宋体"/>
          <w:color w:val="auto"/>
          <w:sz w:val="24"/>
          <w:szCs w:val="24"/>
          <w:highlight w:val="none"/>
        </w:rPr>
      </w:pPr>
      <w:r>
        <w:rPr>
          <w:rFonts w:hint="eastAsia" w:ascii="宋体" w:hAnsi="宋体" w:cs="宋体"/>
          <w:color w:val="auto"/>
          <w:sz w:val="24"/>
          <w:szCs w:val="24"/>
          <w:highlight w:val="none"/>
        </w:rPr>
        <w:t>本责任书一式二份，发包人承包人各执一份，具有同等效力。</w:t>
      </w:r>
    </w:p>
    <w:p w14:paraId="00A64A9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发包人：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（公章）   承包人：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（公章） </w:t>
      </w:r>
    </w:p>
    <w:p w14:paraId="36566B6D">
      <w:pPr>
        <w:snapToGrid w:val="0"/>
        <w:spacing w:line="360" w:lineRule="auto"/>
        <w:rPr>
          <w:rFonts w:ascii="宋体" w:hAnsi="宋体" w:cs="宋体"/>
          <w:color w:val="auto"/>
          <w:sz w:val="24"/>
          <w:szCs w:val="24"/>
          <w:highlight w:val="none"/>
          <w:u w:val="single"/>
        </w:rPr>
      </w:pPr>
      <w:r>
        <w:rPr>
          <w:rFonts w:hint="eastAsia" w:ascii="宋体" w:hAnsi="宋体" w:cs="宋体"/>
          <w:color w:val="auto"/>
          <w:sz w:val="24"/>
          <w:szCs w:val="24"/>
          <w:highlight w:val="none"/>
        </w:rPr>
        <w:t>法定地址：</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法定地址：</w:t>
      </w:r>
      <w:r>
        <w:rPr>
          <w:rFonts w:hint="eastAsia" w:ascii="宋体" w:hAnsi="宋体" w:cs="宋体"/>
          <w:color w:val="auto"/>
          <w:sz w:val="24"/>
          <w:szCs w:val="24"/>
          <w:highlight w:val="none"/>
          <w:u w:val="single"/>
        </w:rPr>
        <w:t xml:space="preserve">                               </w:t>
      </w:r>
    </w:p>
    <w:p w14:paraId="1C493A25">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法定代表人或其                       法定代表人或其</w:t>
      </w:r>
    </w:p>
    <w:p w14:paraId="70796E43">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cs="宋体"/>
          <w:color w:val="auto"/>
          <w:sz w:val="24"/>
          <w:szCs w:val="24"/>
          <w:highlight w:val="none"/>
        </w:rPr>
        <w:t>）  委托代理人：</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（签字</w:t>
      </w:r>
      <w:r>
        <w:rPr>
          <w:rFonts w:hint="eastAsia" w:ascii="宋体" w:hAnsi="宋体" w:cs="宋体"/>
          <w:color w:val="auto"/>
          <w:sz w:val="24"/>
          <w:szCs w:val="24"/>
          <w:highlight w:val="none"/>
          <w:lang w:val="en-US" w:eastAsia="zh-CN"/>
        </w:rPr>
        <w:t>或盖章</w:t>
      </w:r>
      <w:r>
        <w:rPr>
          <w:rFonts w:hint="eastAsia" w:ascii="宋体" w:hAnsi="宋体" w:cs="宋体"/>
          <w:color w:val="auto"/>
          <w:sz w:val="24"/>
          <w:szCs w:val="24"/>
          <w:highlight w:val="none"/>
        </w:rPr>
        <w:t>）</w:t>
      </w:r>
    </w:p>
    <w:p w14:paraId="767FB8A8">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电话：</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38521F6C">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rPr>
        <w:t>电子邮箱：</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电子邮箱：</w:t>
      </w:r>
      <w:r>
        <w:rPr>
          <w:rFonts w:hint="eastAsia" w:ascii="宋体" w:hAnsi="宋体" w:cs="宋体"/>
          <w:color w:val="auto"/>
          <w:sz w:val="24"/>
          <w:szCs w:val="24"/>
          <w:highlight w:val="none"/>
          <w:u w:val="single"/>
        </w:rPr>
        <w:t xml:space="preserve">                                       </w:t>
      </w:r>
    </w:p>
    <w:p w14:paraId="3E89653E">
      <w:pPr>
        <w:snapToGrid w:val="0"/>
        <w:spacing w:line="360" w:lineRule="auto"/>
        <w:rPr>
          <w:rFonts w:hint="eastAsia" w:ascii="宋体" w:hAnsi="宋体" w:cs="宋体"/>
          <w:color w:val="auto"/>
          <w:sz w:val="24"/>
          <w:szCs w:val="24"/>
          <w:highlight w:val="none"/>
          <w:u w:val="single"/>
        </w:rPr>
      </w:pP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开户银行：</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715B5607">
      <w:pPr>
        <w:snapToGrid w:val="0"/>
        <w:spacing w:line="360" w:lineRule="auto"/>
        <w:rPr>
          <w:rFonts w:hint="eastAsia" w:ascii="宋体" w:hAnsi="宋体" w:cs="宋体"/>
          <w:color w:val="auto"/>
          <w:sz w:val="24"/>
          <w:szCs w:val="24"/>
          <w:highlight w:val="none"/>
        </w:rPr>
      </w:pP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rPr>
        <w:t xml:space="preserve">   </w:t>
      </w:r>
      <w:r>
        <w:rPr>
          <w:rFonts w:hint="eastAsia" w:ascii="宋体" w:hAnsi="宋体" w:cs="宋体"/>
          <w:color w:val="auto"/>
          <w:sz w:val="24"/>
          <w:szCs w:val="24"/>
          <w:highlight w:val="none"/>
          <w:lang w:val="en-US" w:eastAsia="zh-CN"/>
        </w:rPr>
        <w:t xml:space="preserve"> </w:t>
      </w:r>
      <w:r>
        <w:rPr>
          <w:rFonts w:hint="eastAsia" w:ascii="宋体" w:hAnsi="宋体" w:cs="宋体"/>
          <w:color w:val="auto"/>
          <w:sz w:val="24"/>
          <w:szCs w:val="24"/>
          <w:highlight w:val="none"/>
        </w:rPr>
        <w:t>帐号：</w:t>
      </w:r>
      <w:r>
        <w:rPr>
          <w:rFonts w:hint="eastAsia" w:ascii="宋体" w:hAnsi="宋体" w:cs="宋体"/>
          <w:color w:val="auto"/>
          <w:sz w:val="24"/>
          <w:szCs w:val="24"/>
          <w:highlight w:val="none"/>
          <w:u w:val="single"/>
        </w:rPr>
        <w:t xml:space="preserve">  </w:t>
      </w:r>
      <w:r>
        <w:rPr>
          <w:rFonts w:hint="eastAsia" w:ascii="宋体" w:hAnsi="宋体" w:cs="宋体"/>
          <w:color w:val="auto"/>
          <w:sz w:val="24"/>
          <w:szCs w:val="24"/>
          <w:highlight w:val="none"/>
          <w:u w:val="single"/>
          <w:lang w:bidi="ar"/>
        </w:rPr>
        <w:t xml:space="preserve">                         </w:t>
      </w:r>
      <w:r>
        <w:rPr>
          <w:rFonts w:hint="eastAsia" w:ascii="宋体" w:hAnsi="宋体" w:cs="宋体"/>
          <w:color w:val="auto"/>
          <w:sz w:val="24"/>
          <w:szCs w:val="24"/>
          <w:highlight w:val="none"/>
          <w:u w:val="single"/>
        </w:rPr>
        <w:t xml:space="preserve">    </w:t>
      </w:r>
    </w:p>
    <w:p w14:paraId="310A5A57">
      <w:pPr>
        <w:spacing w:line="360" w:lineRule="auto"/>
        <w:rPr>
          <w:rFonts w:hint="eastAsia" w:ascii="宋体" w:hAnsi="宋体" w:eastAsia="宋体" w:cs="宋体"/>
          <w:bCs/>
          <w:color w:val="auto"/>
          <w:sz w:val="24"/>
          <w:szCs w:val="24"/>
          <w:highlight w:val="none"/>
        </w:rPr>
      </w:pPr>
    </w:p>
    <w:p w14:paraId="00894367">
      <w:pPr>
        <w:spacing w:line="360" w:lineRule="auto"/>
        <w:rPr>
          <w:rFonts w:hint="eastAsia" w:ascii="宋体" w:hAnsi="宋体" w:eastAsia="宋体" w:cs="宋体"/>
          <w:bCs/>
          <w:color w:val="auto"/>
          <w:sz w:val="24"/>
          <w:szCs w:val="24"/>
          <w:highlight w:val="none"/>
        </w:rPr>
      </w:pPr>
    </w:p>
    <w:p w14:paraId="0B9D7101">
      <w:pPr>
        <w:spacing w:line="360" w:lineRule="auto"/>
        <w:rPr>
          <w:rFonts w:hint="eastAsia" w:ascii="宋体" w:hAnsi="宋体" w:eastAsia="宋体" w:cs="宋体"/>
          <w:bCs/>
          <w:color w:val="auto"/>
          <w:sz w:val="24"/>
          <w:szCs w:val="24"/>
          <w:highlight w:val="none"/>
        </w:rPr>
        <w:sectPr>
          <w:footerReference r:id="rId10" w:type="default"/>
          <w:pgSz w:w="11906" w:h="16838"/>
          <w:pgMar w:top="1440" w:right="1080" w:bottom="1440" w:left="1080" w:header="851" w:footer="992" w:gutter="0"/>
          <w:pgNumType w:fmt="decimal"/>
          <w:cols w:space="720" w:num="1"/>
          <w:docGrid w:linePitch="312" w:charSpace="0"/>
        </w:sectPr>
      </w:pPr>
    </w:p>
    <w:p w14:paraId="74DD279A">
      <w:pPr>
        <w:tabs>
          <w:tab w:val="left" w:pos="4275"/>
        </w:tabs>
        <w:spacing w:line="480" w:lineRule="auto"/>
        <w:rPr>
          <w:rFonts w:hint="eastAsia" w:ascii="宋体" w:hAnsi="宋体" w:eastAsia="宋体" w:cs="宋体"/>
          <w:color w:val="auto"/>
          <w:kern w:val="0"/>
          <w:sz w:val="24"/>
          <w:szCs w:val="24"/>
          <w:highlight w:val="none"/>
        </w:rPr>
      </w:pPr>
      <w:r>
        <w:rPr>
          <w:rFonts w:hint="eastAsia" w:ascii="宋体" w:hAnsi="宋体" w:eastAsia="宋体" w:cs="宋体"/>
          <w:color w:val="auto"/>
          <w:kern w:val="0"/>
          <w:sz w:val="24"/>
          <w:szCs w:val="24"/>
          <w:highlight w:val="none"/>
        </w:rPr>
        <w:t>附件</w:t>
      </w:r>
      <w:r>
        <w:rPr>
          <w:rFonts w:hint="eastAsia" w:ascii="宋体" w:hAnsi="宋体" w:cs="宋体"/>
          <w:color w:val="auto"/>
          <w:kern w:val="0"/>
          <w:sz w:val="24"/>
          <w:szCs w:val="24"/>
          <w:highlight w:val="none"/>
          <w:lang w:val="en-US" w:eastAsia="zh-CN"/>
        </w:rPr>
        <w:t>三</w:t>
      </w:r>
      <w:r>
        <w:rPr>
          <w:rFonts w:hint="eastAsia" w:ascii="宋体" w:hAnsi="宋体" w:eastAsia="宋体" w:cs="宋体"/>
          <w:color w:val="auto"/>
          <w:kern w:val="0"/>
          <w:sz w:val="24"/>
          <w:szCs w:val="24"/>
          <w:highlight w:val="none"/>
        </w:rPr>
        <w:t>：北京市工程建设项目保障农民工工资支付工作承诺书</w:t>
      </w:r>
    </w:p>
    <w:p w14:paraId="2496FD90">
      <w:pPr>
        <w:spacing w:line="360" w:lineRule="auto"/>
        <w:jc w:val="center"/>
        <w:rPr>
          <w:rFonts w:hint="eastAsia" w:ascii="宋体" w:hAnsi="宋体" w:eastAsia="宋体" w:cs="宋体"/>
          <w:b/>
          <w:bCs/>
          <w:color w:val="auto"/>
          <w:sz w:val="24"/>
          <w:szCs w:val="24"/>
          <w:highlight w:val="none"/>
        </w:rPr>
      </w:pPr>
    </w:p>
    <w:p w14:paraId="6473C4B2">
      <w:pPr>
        <w:spacing w:line="360" w:lineRule="auto"/>
        <w:jc w:val="center"/>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rPr>
        <w:t>北京市工程建设项目保障农民工工资支付工作承诺书</w:t>
      </w:r>
    </w:p>
    <w:p w14:paraId="58255FA6">
      <w:pPr>
        <w:spacing w:line="360" w:lineRule="auto"/>
        <w:jc w:val="center"/>
        <w:rPr>
          <w:rFonts w:hint="eastAsia" w:ascii="宋体" w:hAnsi="宋体" w:eastAsia="宋体" w:cs="宋体"/>
          <w:b/>
          <w:bCs/>
          <w:color w:val="auto"/>
          <w:sz w:val="24"/>
          <w:szCs w:val="24"/>
          <w:highlight w:val="none"/>
        </w:rPr>
      </w:pPr>
    </w:p>
    <w:p w14:paraId="15D6C4CB">
      <w:pPr>
        <w:spacing w:line="360" w:lineRule="auto"/>
        <w:rPr>
          <w:rFonts w:hint="eastAsia" w:ascii="宋体" w:hAnsi="宋体" w:eastAsia="宋体" w:cs="宋体"/>
          <w:color w:val="auto"/>
          <w:sz w:val="24"/>
          <w:szCs w:val="24"/>
          <w:highlight w:val="none"/>
          <w:u w:val="single"/>
          <w:lang w:val="en-US" w:eastAsia="zh-CN"/>
        </w:rPr>
      </w:pPr>
      <w:r>
        <w:rPr>
          <w:rFonts w:hint="eastAsia" w:ascii="宋体" w:hAnsi="宋体" w:eastAsia="宋体" w:cs="宋体"/>
          <w:color w:val="auto"/>
          <w:sz w:val="24"/>
          <w:szCs w:val="24"/>
          <w:highlight w:val="none"/>
        </w:rPr>
        <w:t>项目名称：</w:t>
      </w:r>
      <w:r>
        <w:rPr>
          <w:rFonts w:hint="eastAsia" w:ascii="宋体" w:hAnsi="宋体" w:eastAsia="宋体" w:cs="宋体"/>
          <w:color w:val="auto"/>
          <w:sz w:val="24"/>
          <w:szCs w:val="24"/>
          <w:highlight w:val="none"/>
          <w:u w:val="single"/>
          <w:lang w:val="en-US" w:eastAsia="zh-CN"/>
        </w:rPr>
        <w:t xml:space="preserve">                                    </w:t>
      </w:r>
    </w:p>
    <w:p w14:paraId="30FB1CFD">
      <w:pPr>
        <w:spacing w:line="360" w:lineRule="auto"/>
        <w:rPr>
          <w:rFonts w:hint="eastAsia" w:ascii="宋体" w:hAnsi="宋体" w:eastAsia="宋体" w:cs="宋体"/>
          <w:color w:val="auto"/>
          <w:sz w:val="24"/>
          <w:szCs w:val="24"/>
          <w:highlight w:val="none"/>
          <w:u w:val="single"/>
        </w:rPr>
      </w:pPr>
      <w:r>
        <w:rPr>
          <w:rFonts w:hint="eastAsia" w:ascii="宋体" w:hAnsi="宋体" w:eastAsia="宋体" w:cs="宋体"/>
          <w:color w:val="auto"/>
          <w:sz w:val="24"/>
          <w:szCs w:val="24"/>
          <w:highlight w:val="none"/>
        </w:rPr>
        <w:t>项目地址：</w:t>
      </w:r>
      <w:r>
        <w:rPr>
          <w:rFonts w:hint="eastAsia" w:ascii="宋体" w:hAnsi="宋体" w:eastAsia="宋体" w:cs="宋体"/>
          <w:color w:val="auto"/>
          <w:sz w:val="24"/>
          <w:szCs w:val="24"/>
          <w:highlight w:val="none"/>
          <w:u w:val="single"/>
        </w:rPr>
        <w:t xml:space="preserve"> 北京市</w:t>
      </w:r>
      <w:r>
        <w:rPr>
          <w:rFonts w:hint="eastAsia" w:ascii="宋体" w:hAnsi="宋体" w:cs="宋体"/>
          <w:color w:val="auto"/>
          <w:sz w:val="24"/>
          <w:szCs w:val="24"/>
          <w:highlight w:val="none"/>
          <w:u w:val="single"/>
          <w:lang w:val="en-US" w:eastAsia="zh-CN"/>
        </w:rPr>
        <w:t>丰台</w:t>
      </w:r>
      <w:r>
        <w:rPr>
          <w:rFonts w:hint="eastAsia" w:ascii="宋体" w:hAnsi="宋体" w:eastAsia="宋体" w:cs="宋体"/>
          <w:color w:val="auto"/>
          <w:sz w:val="24"/>
          <w:szCs w:val="24"/>
          <w:highlight w:val="none"/>
          <w:u w:val="single"/>
        </w:rPr>
        <w:t>区</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514FB79C">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承包人：</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 xml:space="preserve">   </w:t>
      </w:r>
    </w:p>
    <w:p w14:paraId="06149AD1">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为保障农民工工资支付，作为总承包企业（专业承包企业），我单位</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color w:val="auto"/>
          <w:sz w:val="24"/>
          <w:szCs w:val="24"/>
          <w:highlight w:val="none"/>
          <w:u w:val="single"/>
        </w:rPr>
        <w:t>（承包人名称）</w:t>
      </w:r>
      <w:r>
        <w:rPr>
          <w:rFonts w:hint="eastAsia" w:ascii="宋体" w:hAnsi="宋体" w:eastAsia="宋体" w:cs="宋体"/>
          <w:color w:val="auto"/>
          <w:sz w:val="24"/>
          <w:szCs w:val="24"/>
          <w:highlight w:val="none"/>
        </w:rPr>
        <w:t>现作出郑重承诺，保证遵守以下内容，切实维护本工程项目中农民工的合法权益：</w:t>
      </w:r>
    </w:p>
    <w:p w14:paraId="75D4102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一、在工程项目全面实施实名制管理，按月收集并确认《工资表》《考勤表》和《施工人员变更情况周统计表》。</w:t>
      </w:r>
    </w:p>
    <w:p w14:paraId="417A4D59">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二、按照本市有关规定按月足额支付农民工工资。</w:t>
      </w:r>
    </w:p>
    <w:p w14:paraId="60F3B292">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三、妥善解决好工程项目的劳务、劳资纠纷。发生农民工极端或群体性讨薪突发事件的，及时向施工项目所在地人力资源和社会保障行政部门通报情况，并配合人力资源和社会保障行政部门、行政主管部门和公安部门协调处理。</w:t>
      </w:r>
    </w:p>
    <w:p w14:paraId="73FF6EBE">
      <w:pPr>
        <w:spacing w:line="360" w:lineRule="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特此承诺。</w:t>
      </w:r>
    </w:p>
    <w:p w14:paraId="694D8802">
      <w:pPr>
        <w:spacing w:line="360" w:lineRule="auto"/>
        <w:ind w:firstLine="480" w:firstLineChars="200"/>
        <w:rPr>
          <w:rFonts w:ascii="宋体" w:hAnsi="宋体" w:cs="宋体"/>
          <w:color w:val="auto"/>
          <w:sz w:val="24"/>
          <w:szCs w:val="24"/>
          <w:highlight w:val="none"/>
        </w:rPr>
      </w:pPr>
      <w:r>
        <w:rPr>
          <w:rFonts w:hint="eastAsia" w:ascii="宋体" w:hAnsi="宋体"/>
          <w:color w:val="auto"/>
          <w:sz w:val="24"/>
          <w:szCs w:val="24"/>
          <w:highlight w:val="none"/>
        </w:rPr>
        <w:t>注：我公司设立的农民工工资专户信息如下：</w:t>
      </w:r>
    </w:p>
    <w:p w14:paraId="6067A69A">
      <w:pPr>
        <w:spacing w:line="360" w:lineRule="auto"/>
        <w:ind w:firstLine="480" w:firstLineChars="200"/>
        <w:rPr>
          <w:rFonts w:hint="eastAsia" w:ascii="宋体" w:hAnsi="宋体" w:cs="宋体"/>
          <w:color w:val="auto"/>
          <w:sz w:val="24"/>
          <w:szCs w:val="24"/>
          <w:highlight w:val="none"/>
        </w:rPr>
      </w:pPr>
    </w:p>
    <w:p w14:paraId="5E67954F">
      <w:pPr>
        <w:spacing w:line="360" w:lineRule="auto"/>
        <w:ind w:firstLine="480" w:firstLineChars="200"/>
        <w:rPr>
          <w:rFonts w:hint="eastAsia" w:ascii="宋体" w:hAnsi="宋体" w:eastAsia="宋体" w:cs="宋体"/>
          <w:color w:val="auto"/>
          <w:sz w:val="24"/>
          <w:szCs w:val="24"/>
          <w:highlight w:val="none"/>
          <w:lang w:val="en-US" w:eastAsia="zh-CN"/>
        </w:rPr>
      </w:pPr>
      <w:r>
        <w:rPr>
          <w:rFonts w:hint="eastAsia" w:ascii="宋体" w:hAnsi="宋体" w:cs="宋体"/>
          <w:color w:val="auto"/>
          <w:sz w:val="24"/>
          <w:szCs w:val="24"/>
          <w:highlight w:val="none"/>
        </w:rPr>
        <w:t>账号：</w:t>
      </w:r>
      <w:r>
        <w:rPr>
          <w:rFonts w:hint="eastAsia" w:ascii="宋体" w:hAnsi="宋体" w:eastAsia="宋体" w:cs="宋体"/>
          <w:color w:val="auto"/>
          <w:sz w:val="24"/>
          <w:szCs w:val="24"/>
          <w:highlight w:val="none"/>
          <w:u w:val="single"/>
          <w:lang w:val="en-US" w:eastAsia="zh-CN"/>
        </w:rPr>
        <w:t xml:space="preserve">                                    </w:t>
      </w:r>
      <w:r>
        <w:rPr>
          <w:rFonts w:hint="eastAsia" w:ascii="宋体" w:hAnsi="宋体" w:cs="宋体"/>
          <w:color w:val="auto"/>
          <w:sz w:val="24"/>
          <w:szCs w:val="24"/>
          <w:highlight w:val="none"/>
          <w:lang w:val="en-US" w:eastAsia="zh-CN"/>
        </w:rPr>
        <w:t xml:space="preserve"> </w:t>
      </w:r>
    </w:p>
    <w:p w14:paraId="1246162D">
      <w:pPr>
        <w:pStyle w:val="22"/>
        <w:ind w:firstLine="480" w:firstLineChars="200"/>
        <w:rPr>
          <w:rFonts w:hint="eastAsia" w:ascii="宋体" w:hAnsi="宋体" w:cs="宋体"/>
          <w:color w:val="auto"/>
          <w:sz w:val="24"/>
          <w:szCs w:val="24"/>
          <w:highlight w:val="none"/>
          <w:lang w:val="en-US" w:eastAsia="zh-CN"/>
        </w:rPr>
      </w:pPr>
      <w:r>
        <w:rPr>
          <w:rFonts w:hint="eastAsia"/>
          <w:color w:val="auto"/>
          <w:sz w:val="24"/>
          <w:szCs w:val="24"/>
          <w:highlight w:val="none"/>
        </w:rPr>
        <w:t>户名：</w:t>
      </w:r>
      <w:r>
        <w:rPr>
          <w:rFonts w:hint="eastAsia" w:ascii="宋体" w:hAnsi="宋体" w:cs="宋体"/>
          <w:color w:val="auto"/>
          <w:sz w:val="24"/>
          <w:szCs w:val="24"/>
          <w:highlight w:val="none"/>
          <w:lang w:val="en-US" w:eastAsia="zh-CN"/>
        </w:rPr>
        <w:t xml:space="preserve"> </w:t>
      </w:r>
      <w:r>
        <w:rPr>
          <w:rFonts w:hint="eastAsia" w:ascii="宋体" w:hAnsi="宋体" w:eastAsia="宋体" w:cs="宋体"/>
          <w:color w:val="auto"/>
          <w:sz w:val="24"/>
          <w:szCs w:val="24"/>
          <w:highlight w:val="none"/>
          <w:u w:val="single"/>
          <w:lang w:val="en-US" w:eastAsia="zh-CN"/>
        </w:rPr>
        <w:t xml:space="preserve">                                    </w:t>
      </w:r>
    </w:p>
    <w:p w14:paraId="6154C3E1">
      <w:pPr>
        <w:pStyle w:val="22"/>
        <w:ind w:firstLine="480" w:firstLineChars="200"/>
        <w:rPr>
          <w:color w:val="auto"/>
          <w:sz w:val="24"/>
          <w:szCs w:val="24"/>
          <w:highlight w:val="none"/>
        </w:rPr>
      </w:pPr>
      <w:r>
        <w:rPr>
          <w:rFonts w:hint="eastAsia"/>
          <w:color w:val="auto"/>
          <w:sz w:val="24"/>
          <w:szCs w:val="24"/>
          <w:highlight w:val="none"/>
        </w:rPr>
        <w:t>开户行：</w:t>
      </w:r>
      <w:r>
        <w:rPr>
          <w:rFonts w:hint="eastAsia" w:ascii="宋体" w:hAnsi="宋体" w:eastAsia="宋体" w:cs="宋体"/>
          <w:color w:val="auto"/>
          <w:sz w:val="24"/>
          <w:szCs w:val="24"/>
          <w:highlight w:val="none"/>
          <w:u w:val="single"/>
          <w:lang w:val="en-US" w:eastAsia="zh-CN"/>
        </w:rPr>
        <w:t xml:space="preserve">                                    </w:t>
      </w:r>
    </w:p>
    <w:p w14:paraId="38FE1565">
      <w:pPr>
        <w:spacing w:line="360" w:lineRule="auto"/>
        <w:rPr>
          <w:rFonts w:hint="eastAsia" w:ascii="宋体" w:hAnsi="宋体" w:eastAsia="宋体" w:cs="宋体"/>
          <w:color w:val="auto"/>
          <w:sz w:val="24"/>
          <w:szCs w:val="24"/>
          <w:highlight w:val="none"/>
        </w:rPr>
      </w:pPr>
    </w:p>
    <w:p w14:paraId="1F00FF2C">
      <w:pPr>
        <w:spacing w:line="360" w:lineRule="auto"/>
        <w:rPr>
          <w:rFonts w:hint="eastAsia" w:ascii="宋体" w:hAnsi="宋体" w:eastAsia="宋体" w:cs="宋体"/>
          <w:color w:val="auto"/>
          <w:sz w:val="24"/>
          <w:szCs w:val="24"/>
          <w:highlight w:val="none"/>
        </w:rPr>
      </w:pPr>
    </w:p>
    <w:p w14:paraId="2A31C7F1">
      <w:pPr>
        <w:spacing w:line="360" w:lineRule="auto"/>
        <w:ind w:firstLine="4080" w:firstLineChars="17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 xml:space="preserve">                                                  </w:t>
      </w:r>
    </w:p>
    <w:p w14:paraId="1B3DEA3F">
      <w:pPr>
        <w:spacing w:line="360" w:lineRule="auto"/>
        <w:ind w:firstLine="1200" w:firstLineChars="500"/>
        <w:jc w:val="right"/>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承诺人：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color w:val="auto"/>
          <w:sz w:val="24"/>
          <w:szCs w:val="24"/>
          <w:highlight w:val="none"/>
          <w:u w:val="single"/>
          <w:lang w:val="en-US" w:eastAsia="zh-CN"/>
        </w:rPr>
        <w:t xml:space="preserve">                         </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 xml:space="preserve">（盖单位章） </w:t>
      </w:r>
    </w:p>
    <w:p w14:paraId="0E0A0537">
      <w:pPr>
        <w:spacing w:line="360" w:lineRule="auto"/>
        <w:ind w:firstLine="3360" w:firstLineChars="14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法定代表人或其委托代理人：</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（签字</w:t>
      </w:r>
      <w:r>
        <w:rPr>
          <w:rFonts w:hint="eastAsia" w:ascii="宋体" w:hAnsi="宋体" w:cs="宋体"/>
          <w:bCs/>
          <w:color w:val="auto"/>
          <w:sz w:val="24"/>
          <w:szCs w:val="24"/>
          <w:highlight w:val="none"/>
          <w:lang w:val="en-US" w:eastAsia="zh-CN"/>
        </w:rPr>
        <w:t>或盖章</w:t>
      </w:r>
      <w:r>
        <w:rPr>
          <w:rFonts w:hint="eastAsia" w:ascii="宋体" w:hAnsi="宋体" w:eastAsia="宋体" w:cs="宋体"/>
          <w:bCs/>
          <w:color w:val="auto"/>
          <w:sz w:val="24"/>
          <w:szCs w:val="24"/>
          <w:highlight w:val="none"/>
        </w:rPr>
        <w:t>）</w:t>
      </w:r>
    </w:p>
    <w:p w14:paraId="437B8F6A">
      <w:pPr>
        <w:spacing w:line="360" w:lineRule="auto"/>
        <w:ind w:firstLine="4080" w:firstLineChars="1700"/>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日  期：</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年</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月</w:t>
      </w:r>
      <w:r>
        <w:rPr>
          <w:rFonts w:hint="eastAsia" w:ascii="宋体" w:hAnsi="宋体" w:eastAsia="宋体" w:cs="宋体"/>
          <w:bCs/>
          <w:color w:val="auto"/>
          <w:sz w:val="24"/>
          <w:szCs w:val="24"/>
          <w:highlight w:val="none"/>
          <w:u w:val="single"/>
        </w:rPr>
        <w:t xml:space="preserve">   </w:t>
      </w:r>
      <w:r>
        <w:rPr>
          <w:rFonts w:hint="eastAsia" w:ascii="宋体" w:hAnsi="宋体" w:eastAsia="宋体" w:cs="宋体"/>
          <w:bCs/>
          <w:color w:val="auto"/>
          <w:sz w:val="24"/>
          <w:szCs w:val="24"/>
          <w:highlight w:val="none"/>
        </w:rPr>
        <w:t>日</w:t>
      </w:r>
    </w:p>
    <w:p w14:paraId="55601214">
      <w:pPr>
        <w:widowControl/>
        <w:jc w:val="left"/>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br w:type="page"/>
      </w:r>
    </w:p>
    <w:p w14:paraId="4B2DE1DB">
      <w:pPr>
        <w:spacing w:line="360" w:lineRule="auto"/>
        <w:jc w:val="center"/>
        <w:outlineLvl w:val="0"/>
        <w:rPr>
          <w:b/>
          <w:color w:val="auto"/>
          <w:sz w:val="24"/>
          <w:szCs w:val="24"/>
          <w:highlight w:val="none"/>
        </w:rPr>
      </w:pPr>
      <w:bookmarkStart w:id="1965" w:name="_Toc18420"/>
      <w:r>
        <w:rPr>
          <w:b/>
          <w:color w:val="auto"/>
          <w:sz w:val="24"/>
          <w:szCs w:val="24"/>
          <w:highlight w:val="none"/>
        </w:rPr>
        <w:t>第</w:t>
      </w:r>
      <w:r>
        <w:rPr>
          <w:rFonts w:hint="eastAsia"/>
          <w:b/>
          <w:color w:val="auto"/>
          <w:sz w:val="24"/>
          <w:szCs w:val="24"/>
          <w:highlight w:val="none"/>
          <w:lang w:val="en-US" w:eastAsia="zh-CN"/>
        </w:rPr>
        <w:t>七</w:t>
      </w:r>
      <w:r>
        <w:rPr>
          <w:b/>
          <w:color w:val="auto"/>
          <w:sz w:val="24"/>
          <w:szCs w:val="24"/>
          <w:highlight w:val="none"/>
        </w:rPr>
        <w:t>章   响应文件格式</w:t>
      </w:r>
      <w:bookmarkEnd w:id="1965"/>
    </w:p>
    <w:p w14:paraId="3A3E7BE1">
      <w:pPr>
        <w:widowControl/>
        <w:spacing w:line="360" w:lineRule="auto"/>
        <w:jc w:val="left"/>
        <w:rPr>
          <w:b/>
          <w:color w:val="auto"/>
          <w:sz w:val="24"/>
          <w:szCs w:val="24"/>
          <w:highlight w:val="none"/>
        </w:rPr>
      </w:pPr>
    </w:p>
    <w:p w14:paraId="0A23411B">
      <w:pPr>
        <w:widowControl/>
        <w:spacing w:line="360" w:lineRule="auto"/>
        <w:jc w:val="left"/>
        <w:rPr>
          <w:b/>
          <w:color w:val="auto"/>
          <w:sz w:val="24"/>
          <w:szCs w:val="24"/>
          <w:highlight w:val="none"/>
        </w:rPr>
      </w:pPr>
    </w:p>
    <w:p w14:paraId="05855E89">
      <w:pPr>
        <w:tabs>
          <w:tab w:val="left" w:pos="900"/>
          <w:tab w:val="left" w:pos="1980"/>
        </w:tabs>
        <w:snapToGrid w:val="0"/>
        <w:spacing w:line="360" w:lineRule="auto"/>
        <w:ind w:left="142"/>
        <w:rPr>
          <w:b/>
          <w:color w:val="auto"/>
          <w:kern w:val="0"/>
          <w:sz w:val="24"/>
          <w:szCs w:val="24"/>
          <w:highlight w:val="none"/>
        </w:rPr>
      </w:pPr>
      <w:r>
        <w:rPr>
          <w:rFonts w:hint="eastAsia"/>
          <w:b/>
          <w:color w:val="auto"/>
          <w:kern w:val="0"/>
          <w:sz w:val="24"/>
          <w:szCs w:val="24"/>
          <w:highlight w:val="none"/>
        </w:rPr>
        <w:t>供应商编制文件须知</w:t>
      </w:r>
    </w:p>
    <w:p w14:paraId="68886A4F">
      <w:pPr>
        <w:tabs>
          <w:tab w:val="left" w:pos="900"/>
          <w:tab w:val="left" w:pos="1980"/>
        </w:tabs>
        <w:snapToGrid w:val="0"/>
        <w:spacing w:line="360" w:lineRule="auto"/>
        <w:ind w:left="142"/>
        <w:rPr>
          <w:color w:val="auto"/>
          <w:sz w:val="24"/>
          <w:szCs w:val="24"/>
          <w:highlight w:val="none"/>
        </w:rPr>
      </w:pPr>
      <w:r>
        <w:rPr>
          <w:color w:val="auto"/>
          <w:sz w:val="24"/>
          <w:szCs w:val="24"/>
          <w:highlight w:val="none"/>
        </w:rPr>
        <w:t>1、供应商按照本部分的顺序编制响应文件，编制中涉及格式资料的，应按照本部分提供的内容和格式（所有表格的格式可扩展）填写提交。</w:t>
      </w:r>
    </w:p>
    <w:p w14:paraId="54634FE9">
      <w:pPr>
        <w:tabs>
          <w:tab w:val="left" w:pos="900"/>
          <w:tab w:val="left" w:pos="1980"/>
        </w:tabs>
        <w:snapToGrid w:val="0"/>
        <w:spacing w:line="360" w:lineRule="auto"/>
        <w:ind w:left="142"/>
        <w:rPr>
          <w:color w:val="auto"/>
          <w:kern w:val="0"/>
          <w:sz w:val="24"/>
          <w:szCs w:val="24"/>
          <w:highlight w:val="none"/>
        </w:rPr>
      </w:pPr>
      <w:r>
        <w:rPr>
          <w:color w:val="auto"/>
          <w:sz w:val="24"/>
          <w:szCs w:val="24"/>
          <w:highlight w:val="none"/>
        </w:rPr>
        <w:t>2、</w:t>
      </w:r>
      <w:r>
        <w:rPr>
          <w:color w:val="auto"/>
          <w:kern w:val="0"/>
          <w:sz w:val="24"/>
          <w:szCs w:val="24"/>
          <w:highlight w:val="none"/>
        </w:rPr>
        <w:t>对于竞争性磋商文件中标记了“实质性格式”文件的，供应商</w:t>
      </w:r>
      <w:r>
        <w:rPr>
          <w:color w:val="auto"/>
          <w:sz w:val="24"/>
          <w:szCs w:val="24"/>
          <w:highlight w:val="none"/>
        </w:rPr>
        <w:t>不得改变格式中给定的文字所表达的含义，不得删减格式中的实质性内容，不得自行添加与格式中给定的文字内容相矛盾的内容，不得对应当填写的空格不填写或不实质性响应，</w:t>
      </w:r>
      <w:r>
        <w:rPr>
          <w:b/>
          <w:color w:val="auto"/>
          <w:kern w:val="0"/>
          <w:sz w:val="24"/>
          <w:szCs w:val="24"/>
          <w:highlight w:val="none"/>
        </w:rPr>
        <w:t>否则响应无效</w:t>
      </w:r>
      <w:r>
        <w:rPr>
          <w:color w:val="auto"/>
          <w:kern w:val="0"/>
          <w:sz w:val="24"/>
          <w:szCs w:val="24"/>
          <w:highlight w:val="none"/>
        </w:rPr>
        <w:t>。未标记“实质性格式”的文件和竞争性磋商文件未提供格式的内容，可由供应商自行编写。</w:t>
      </w:r>
    </w:p>
    <w:p w14:paraId="00FD771D">
      <w:pPr>
        <w:tabs>
          <w:tab w:val="left" w:pos="900"/>
          <w:tab w:val="left" w:pos="1980"/>
        </w:tabs>
        <w:snapToGrid w:val="0"/>
        <w:spacing w:line="360" w:lineRule="auto"/>
        <w:ind w:left="142"/>
        <w:rPr>
          <w:color w:val="auto"/>
          <w:sz w:val="24"/>
          <w:szCs w:val="24"/>
          <w:highlight w:val="none"/>
        </w:rPr>
      </w:pPr>
      <w:r>
        <w:rPr>
          <w:color w:val="auto"/>
          <w:sz w:val="24"/>
          <w:szCs w:val="24"/>
          <w:highlight w:val="none"/>
        </w:rPr>
        <w:t>3、全部声明和问题的回答及所附材料必须是真实的、准确的和完整的。</w:t>
      </w:r>
    </w:p>
    <w:p w14:paraId="16CF425E">
      <w:pPr>
        <w:tabs>
          <w:tab w:val="left" w:pos="900"/>
          <w:tab w:val="left" w:pos="1980"/>
        </w:tabs>
        <w:snapToGrid w:val="0"/>
        <w:spacing w:line="360" w:lineRule="auto"/>
        <w:ind w:left="142"/>
        <w:rPr>
          <w:color w:val="auto"/>
          <w:sz w:val="24"/>
          <w:szCs w:val="24"/>
          <w:highlight w:val="none"/>
        </w:rPr>
      </w:pPr>
    </w:p>
    <w:p w14:paraId="2831D7C8">
      <w:pPr>
        <w:widowControl/>
        <w:jc w:val="left"/>
        <w:rPr>
          <w:color w:val="auto"/>
          <w:sz w:val="24"/>
          <w:szCs w:val="24"/>
          <w:highlight w:val="none"/>
        </w:rPr>
      </w:pPr>
      <w:r>
        <w:rPr>
          <w:color w:val="auto"/>
          <w:sz w:val="24"/>
          <w:szCs w:val="24"/>
          <w:highlight w:val="none"/>
        </w:rPr>
        <w:br w:type="page"/>
      </w:r>
    </w:p>
    <w:bookmarkEnd w:id="628"/>
    <w:bookmarkEnd w:id="629"/>
    <w:bookmarkEnd w:id="630"/>
    <w:bookmarkEnd w:id="631"/>
    <w:bookmarkEnd w:id="632"/>
    <w:bookmarkEnd w:id="633"/>
    <w:bookmarkEnd w:id="634"/>
    <w:bookmarkEnd w:id="635"/>
    <w:bookmarkEnd w:id="636"/>
    <w:bookmarkEnd w:id="637"/>
    <w:bookmarkEnd w:id="638"/>
    <w:bookmarkEnd w:id="639"/>
    <w:bookmarkEnd w:id="640"/>
    <w:bookmarkEnd w:id="641"/>
    <w:p w14:paraId="1B2FEB83">
      <w:pPr>
        <w:rPr>
          <w:b/>
          <w:color w:val="auto"/>
          <w:spacing w:val="20"/>
          <w:sz w:val="24"/>
          <w:szCs w:val="24"/>
          <w:highlight w:val="none"/>
        </w:rPr>
      </w:pPr>
    </w:p>
    <w:p w14:paraId="186AC63D">
      <w:pPr>
        <w:rPr>
          <w:b/>
          <w:color w:val="auto"/>
          <w:sz w:val="24"/>
          <w:szCs w:val="24"/>
          <w:highlight w:val="none"/>
        </w:rPr>
      </w:pPr>
      <w:r>
        <w:rPr>
          <w:b/>
          <w:color w:val="auto"/>
          <w:spacing w:val="20"/>
          <w:sz w:val="24"/>
          <w:szCs w:val="24"/>
          <w:highlight w:val="none"/>
        </w:rPr>
        <w:t>响应文件</w:t>
      </w:r>
      <w:r>
        <w:rPr>
          <w:b/>
          <w:color w:val="auto"/>
          <w:sz w:val="24"/>
          <w:szCs w:val="24"/>
          <w:highlight w:val="none"/>
        </w:rPr>
        <w:t>封面（非实质性格式）</w:t>
      </w:r>
    </w:p>
    <w:p w14:paraId="5343D27C">
      <w:pPr>
        <w:jc w:val="center"/>
        <w:rPr>
          <w:color w:val="auto"/>
          <w:sz w:val="24"/>
          <w:szCs w:val="24"/>
          <w:highlight w:val="none"/>
        </w:rPr>
      </w:pPr>
    </w:p>
    <w:p w14:paraId="70AF6739">
      <w:pPr>
        <w:jc w:val="center"/>
        <w:rPr>
          <w:b/>
          <w:color w:val="auto"/>
          <w:spacing w:val="60"/>
          <w:sz w:val="24"/>
          <w:szCs w:val="24"/>
          <w:highlight w:val="none"/>
        </w:rPr>
      </w:pPr>
    </w:p>
    <w:p w14:paraId="39D6F29D">
      <w:pPr>
        <w:jc w:val="center"/>
        <w:rPr>
          <w:b/>
          <w:color w:val="auto"/>
          <w:spacing w:val="60"/>
          <w:sz w:val="24"/>
          <w:szCs w:val="24"/>
          <w:highlight w:val="none"/>
        </w:rPr>
      </w:pPr>
    </w:p>
    <w:p w14:paraId="6BEEC9B4">
      <w:pPr>
        <w:jc w:val="center"/>
        <w:rPr>
          <w:b/>
          <w:color w:val="auto"/>
          <w:spacing w:val="60"/>
          <w:sz w:val="24"/>
          <w:szCs w:val="24"/>
          <w:highlight w:val="none"/>
        </w:rPr>
      </w:pPr>
      <w:r>
        <w:rPr>
          <w:b/>
          <w:color w:val="auto"/>
          <w:spacing w:val="60"/>
          <w:sz w:val="24"/>
          <w:szCs w:val="24"/>
          <w:highlight w:val="none"/>
        </w:rPr>
        <w:t>响 应 文 件</w:t>
      </w:r>
    </w:p>
    <w:p w14:paraId="42BD0111">
      <w:pPr>
        <w:jc w:val="center"/>
        <w:rPr>
          <w:b/>
          <w:color w:val="auto"/>
          <w:spacing w:val="60"/>
          <w:sz w:val="24"/>
          <w:szCs w:val="24"/>
          <w:highlight w:val="none"/>
        </w:rPr>
      </w:pPr>
    </w:p>
    <w:p w14:paraId="67DEBA9F">
      <w:pPr>
        <w:ind w:firstLine="421" w:firstLineChars="150"/>
        <w:rPr>
          <w:b/>
          <w:color w:val="auto"/>
          <w:spacing w:val="20"/>
          <w:sz w:val="24"/>
          <w:szCs w:val="24"/>
          <w:highlight w:val="none"/>
        </w:rPr>
      </w:pPr>
    </w:p>
    <w:p w14:paraId="66AA509C">
      <w:pPr>
        <w:ind w:firstLine="421" w:firstLineChars="150"/>
        <w:rPr>
          <w:b/>
          <w:color w:val="auto"/>
          <w:spacing w:val="20"/>
          <w:sz w:val="24"/>
          <w:szCs w:val="24"/>
          <w:highlight w:val="none"/>
        </w:rPr>
      </w:pPr>
    </w:p>
    <w:p w14:paraId="2EE34B43">
      <w:pPr>
        <w:ind w:firstLine="421" w:firstLineChars="150"/>
        <w:rPr>
          <w:b/>
          <w:color w:val="auto"/>
          <w:spacing w:val="20"/>
          <w:sz w:val="24"/>
          <w:szCs w:val="24"/>
          <w:highlight w:val="none"/>
        </w:rPr>
      </w:pPr>
      <w:r>
        <w:rPr>
          <w:b/>
          <w:color w:val="auto"/>
          <w:spacing w:val="20"/>
          <w:sz w:val="24"/>
          <w:szCs w:val="24"/>
          <w:highlight w:val="none"/>
        </w:rPr>
        <w:t>项目名称:</w:t>
      </w:r>
    </w:p>
    <w:p w14:paraId="60CB13F7">
      <w:pPr>
        <w:ind w:firstLine="421" w:firstLineChars="150"/>
        <w:rPr>
          <w:b/>
          <w:color w:val="auto"/>
          <w:spacing w:val="20"/>
          <w:sz w:val="24"/>
          <w:szCs w:val="24"/>
          <w:highlight w:val="none"/>
        </w:rPr>
      </w:pPr>
      <w:r>
        <w:rPr>
          <w:b/>
          <w:color w:val="auto"/>
          <w:spacing w:val="20"/>
          <w:sz w:val="24"/>
          <w:szCs w:val="24"/>
          <w:highlight w:val="none"/>
        </w:rPr>
        <w:t>项目编号/包号：</w:t>
      </w:r>
    </w:p>
    <w:p w14:paraId="69C9E7A2">
      <w:pPr>
        <w:ind w:firstLine="421" w:firstLineChars="150"/>
        <w:rPr>
          <w:b/>
          <w:color w:val="auto"/>
          <w:spacing w:val="20"/>
          <w:sz w:val="24"/>
          <w:szCs w:val="24"/>
          <w:highlight w:val="none"/>
        </w:rPr>
      </w:pPr>
    </w:p>
    <w:p w14:paraId="01C82A31">
      <w:pPr>
        <w:ind w:firstLine="421" w:firstLineChars="150"/>
        <w:rPr>
          <w:b/>
          <w:color w:val="auto"/>
          <w:spacing w:val="20"/>
          <w:sz w:val="24"/>
          <w:szCs w:val="24"/>
          <w:highlight w:val="none"/>
        </w:rPr>
      </w:pPr>
    </w:p>
    <w:p w14:paraId="77074255">
      <w:pPr>
        <w:jc w:val="center"/>
        <w:rPr>
          <w:b/>
          <w:color w:val="auto"/>
          <w:sz w:val="24"/>
          <w:szCs w:val="24"/>
          <w:highlight w:val="none"/>
        </w:rPr>
      </w:pPr>
    </w:p>
    <w:p w14:paraId="6C88C159">
      <w:pPr>
        <w:jc w:val="center"/>
        <w:rPr>
          <w:b/>
          <w:color w:val="auto"/>
          <w:sz w:val="24"/>
          <w:szCs w:val="24"/>
          <w:highlight w:val="none"/>
        </w:rPr>
      </w:pPr>
    </w:p>
    <w:p w14:paraId="556E57A9">
      <w:pPr>
        <w:jc w:val="center"/>
        <w:rPr>
          <w:b/>
          <w:color w:val="auto"/>
          <w:sz w:val="24"/>
          <w:szCs w:val="24"/>
          <w:highlight w:val="none"/>
        </w:rPr>
      </w:pPr>
    </w:p>
    <w:p w14:paraId="0525D0A1">
      <w:pPr>
        <w:jc w:val="center"/>
        <w:rPr>
          <w:b/>
          <w:color w:val="auto"/>
          <w:spacing w:val="20"/>
          <w:sz w:val="24"/>
          <w:szCs w:val="24"/>
          <w:highlight w:val="none"/>
        </w:rPr>
      </w:pPr>
    </w:p>
    <w:p w14:paraId="16C168FD">
      <w:pPr>
        <w:jc w:val="center"/>
        <w:rPr>
          <w:b/>
          <w:color w:val="auto"/>
          <w:spacing w:val="20"/>
          <w:sz w:val="24"/>
          <w:szCs w:val="24"/>
          <w:highlight w:val="none"/>
        </w:rPr>
      </w:pPr>
    </w:p>
    <w:p w14:paraId="14E563BE">
      <w:pPr>
        <w:jc w:val="center"/>
        <w:rPr>
          <w:b/>
          <w:color w:val="auto"/>
          <w:spacing w:val="20"/>
          <w:sz w:val="24"/>
          <w:szCs w:val="24"/>
          <w:highlight w:val="none"/>
        </w:rPr>
      </w:pPr>
    </w:p>
    <w:p w14:paraId="3F301B7B">
      <w:pPr>
        <w:spacing w:line="360" w:lineRule="auto"/>
        <w:ind w:firstLine="1124" w:firstLineChars="400"/>
        <w:jc w:val="left"/>
        <w:rPr>
          <w:b/>
          <w:color w:val="auto"/>
          <w:spacing w:val="20"/>
          <w:sz w:val="24"/>
          <w:szCs w:val="24"/>
          <w:highlight w:val="none"/>
        </w:rPr>
      </w:pPr>
      <w:r>
        <w:rPr>
          <w:b/>
          <w:color w:val="auto"/>
          <w:spacing w:val="20"/>
          <w:sz w:val="24"/>
          <w:szCs w:val="24"/>
          <w:highlight w:val="none"/>
        </w:rPr>
        <w:t>供应商名称：</w:t>
      </w:r>
    </w:p>
    <w:p w14:paraId="339B2503">
      <w:pPr>
        <w:jc w:val="center"/>
        <w:rPr>
          <w:b/>
          <w:color w:val="auto"/>
          <w:sz w:val="24"/>
          <w:szCs w:val="24"/>
          <w:highlight w:val="none"/>
        </w:rPr>
      </w:pPr>
    </w:p>
    <w:p w14:paraId="61E7AA12">
      <w:pPr>
        <w:rPr>
          <w:b/>
          <w:color w:val="auto"/>
          <w:sz w:val="24"/>
          <w:szCs w:val="24"/>
          <w:highlight w:val="none"/>
        </w:rPr>
      </w:pPr>
      <w:r>
        <w:rPr>
          <w:b/>
          <w:color w:val="auto"/>
          <w:spacing w:val="20"/>
          <w:sz w:val="24"/>
          <w:szCs w:val="24"/>
          <w:highlight w:val="none"/>
        </w:rPr>
        <w:br w:type="page"/>
      </w:r>
    </w:p>
    <w:p w14:paraId="0F746768">
      <w:pPr>
        <w:tabs>
          <w:tab w:val="left" w:pos="360"/>
        </w:tabs>
        <w:snapToGrid w:val="0"/>
        <w:spacing w:line="360" w:lineRule="auto"/>
        <w:outlineLvl w:val="1"/>
        <w:rPr>
          <w:color w:val="auto"/>
          <w:sz w:val="24"/>
          <w:szCs w:val="24"/>
          <w:highlight w:val="none"/>
        </w:rPr>
      </w:pPr>
      <w:r>
        <w:rPr>
          <w:color w:val="auto"/>
          <w:sz w:val="24"/>
          <w:szCs w:val="24"/>
          <w:highlight w:val="none"/>
        </w:rPr>
        <w:t>1 满足《中华人民共和国政府采购法》第二十二条规定</w:t>
      </w:r>
    </w:p>
    <w:p w14:paraId="7FAFC5B6">
      <w:pPr>
        <w:spacing w:line="360" w:lineRule="auto"/>
        <w:outlineLvl w:val="2"/>
        <w:rPr>
          <w:color w:val="auto"/>
          <w:sz w:val="24"/>
          <w:szCs w:val="24"/>
          <w:highlight w:val="none"/>
        </w:rPr>
      </w:pPr>
      <w:r>
        <w:rPr>
          <w:color w:val="auto"/>
          <w:sz w:val="24"/>
          <w:szCs w:val="24"/>
          <w:highlight w:val="none"/>
        </w:rPr>
        <w:t>1-1营业执照等证明文件</w:t>
      </w:r>
    </w:p>
    <w:p w14:paraId="1540DB85">
      <w:pPr>
        <w:tabs>
          <w:tab w:val="left" w:pos="1080"/>
        </w:tabs>
        <w:snapToGrid w:val="0"/>
        <w:rPr>
          <w:color w:val="auto"/>
          <w:sz w:val="24"/>
          <w:szCs w:val="24"/>
          <w:highlight w:val="none"/>
        </w:rPr>
      </w:pPr>
    </w:p>
    <w:p w14:paraId="74322F4A">
      <w:pPr>
        <w:widowControl/>
        <w:jc w:val="left"/>
        <w:rPr>
          <w:color w:val="auto"/>
          <w:sz w:val="24"/>
          <w:szCs w:val="24"/>
          <w:highlight w:val="none"/>
        </w:rPr>
      </w:pPr>
      <w:r>
        <w:rPr>
          <w:color w:val="auto"/>
          <w:sz w:val="24"/>
          <w:szCs w:val="24"/>
          <w:highlight w:val="none"/>
        </w:rPr>
        <w:br w:type="page"/>
      </w:r>
    </w:p>
    <w:p w14:paraId="444D3001">
      <w:pPr>
        <w:pStyle w:val="4"/>
        <w:rPr>
          <w:rFonts w:ascii="Times New Roman"/>
          <w:b w:val="0"/>
          <w:bCs/>
          <w:color w:val="auto"/>
          <w:sz w:val="24"/>
          <w:szCs w:val="24"/>
          <w:highlight w:val="none"/>
          <w:u w:val="none"/>
        </w:rPr>
      </w:pPr>
      <w:r>
        <w:rPr>
          <w:rFonts w:ascii="Times New Roman"/>
          <w:b w:val="0"/>
          <w:color w:val="auto"/>
          <w:sz w:val="24"/>
          <w:szCs w:val="24"/>
          <w:highlight w:val="none"/>
          <w:u w:val="none"/>
        </w:rPr>
        <w:t>1-2 供应商资格声明书（实质性格式）</w:t>
      </w:r>
    </w:p>
    <w:p w14:paraId="60377598">
      <w:pPr>
        <w:jc w:val="center"/>
        <w:rPr>
          <w:b/>
          <w:color w:val="auto"/>
          <w:sz w:val="24"/>
          <w:szCs w:val="24"/>
          <w:highlight w:val="none"/>
        </w:rPr>
      </w:pPr>
      <w:r>
        <w:rPr>
          <w:rFonts w:hint="eastAsia"/>
          <w:b/>
          <w:color w:val="auto"/>
          <w:sz w:val="24"/>
          <w:szCs w:val="24"/>
          <w:highlight w:val="none"/>
        </w:rPr>
        <w:t>供应商资格声明书</w:t>
      </w:r>
    </w:p>
    <w:p w14:paraId="4AA74340">
      <w:pPr>
        <w:tabs>
          <w:tab w:val="left" w:pos="5580"/>
        </w:tabs>
        <w:spacing w:line="360" w:lineRule="auto"/>
        <w:rPr>
          <w:color w:val="auto"/>
          <w:sz w:val="24"/>
          <w:szCs w:val="24"/>
          <w:highlight w:val="none"/>
        </w:rPr>
      </w:pPr>
    </w:p>
    <w:p w14:paraId="0DCBD1D5">
      <w:pPr>
        <w:tabs>
          <w:tab w:val="left" w:pos="5580"/>
        </w:tabs>
        <w:spacing w:line="360" w:lineRule="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5F3D9B37">
      <w:pPr>
        <w:spacing w:line="360" w:lineRule="auto"/>
        <w:ind w:firstLine="480" w:firstLineChars="200"/>
        <w:rPr>
          <w:color w:val="auto"/>
          <w:sz w:val="24"/>
          <w:szCs w:val="24"/>
          <w:highlight w:val="none"/>
        </w:rPr>
      </w:pPr>
      <w:r>
        <w:rPr>
          <w:color w:val="auto"/>
          <w:sz w:val="24"/>
          <w:szCs w:val="24"/>
          <w:highlight w:val="none"/>
        </w:rPr>
        <w:t>在参与本次项目磋商中，我单位承诺：</w:t>
      </w:r>
    </w:p>
    <w:p w14:paraId="597867B8">
      <w:pPr>
        <w:numPr>
          <w:ilvl w:val="0"/>
          <w:numId w:val="11"/>
        </w:numPr>
        <w:spacing w:line="360" w:lineRule="auto"/>
        <w:ind w:left="1134"/>
        <w:rPr>
          <w:color w:val="auto"/>
          <w:sz w:val="24"/>
          <w:szCs w:val="24"/>
          <w:highlight w:val="none"/>
        </w:rPr>
      </w:pPr>
      <w:r>
        <w:rPr>
          <w:color w:val="auto"/>
          <w:sz w:val="24"/>
          <w:szCs w:val="24"/>
          <w:highlight w:val="none"/>
        </w:rPr>
        <w:t>具有良好的商业信誉和健全的财务会计制度；</w:t>
      </w:r>
    </w:p>
    <w:p w14:paraId="7B2FD668">
      <w:pPr>
        <w:numPr>
          <w:ilvl w:val="0"/>
          <w:numId w:val="11"/>
        </w:numPr>
        <w:spacing w:line="360" w:lineRule="auto"/>
        <w:ind w:left="1134"/>
        <w:rPr>
          <w:color w:val="auto"/>
          <w:sz w:val="24"/>
          <w:szCs w:val="24"/>
          <w:highlight w:val="none"/>
        </w:rPr>
      </w:pPr>
      <w:r>
        <w:rPr>
          <w:color w:val="auto"/>
          <w:sz w:val="24"/>
          <w:szCs w:val="24"/>
          <w:highlight w:val="none"/>
        </w:rPr>
        <w:t>具有履行合同所必需的设备和专业技术能力；</w:t>
      </w:r>
    </w:p>
    <w:p w14:paraId="75414871">
      <w:pPr>
        <w:numPr>
          <w:ilvl w:val="0"/>
          <w:numId w:val="11"/>
        </w:numPr>
        <w:spacing w:line="360" w:lineRule="auto"/>
        <w:ind w:left="1134"/>
        <w:rPr>
          <w:color w:val="auto"/>
          <w:sz w:val="24"/>
          <w:szCs w:val="24"/>
          <w:highlight w:val="none"/>
        </w:rPr>
      </w:pPr>
      <w:r>
        <w:rPr>
          <w:color w:val="auto"/>
          <w:sz w:val="24"/>
          <w:szCs w:val="24"/>
          <w:highlight w:val="none"/>
        </w:rPr>
        <w:t>有依法缴纳税收和社会保障资金的良好记录；</w:t>
      </w:r>
    </w:p>
    <w:p w14:paraId="64851035">
      <w:pPr>
        <w:numPr>
          <w:ilvl w:val="0"/>
          <w:numId w:val="11"/>
        </w:numPr>
        <w:spacing w:line="360" w:lineRule="auto"/>
        <w:ind w:left="1134"/>
        <w:rPr>
          <w:color w:val="auto"/>
          <w:sz w:val="24"/>
          <w:szCs w:val="24"/>
          <w:highlight w:val="none"/>
        </w:rPr>
      </w:pPr>
      <w:r>
        <w:rPr>
          <w:color w:val="auto"/>
          <w:sz w:val="24"/>
          <w:szCs w:val="24"/>
          <w:highlight w:val="none"/>
        </w:rPr>
        <w:t>参加政府采购活动前三年内，在经营活动中没有重大违法记录（重大违法记录指因违法经营受到刑事处罚或者责令停产停业、吊销许可证或者执照、较大数额罚款等行政处罚，不包括因违法经营被禁止在一定期限内参加政府采购活动，但期限已经届满的情形）；</w:t>
      </w:r>
    </w:p>
    <w:p w14:paraId="5FCBB684">
      <w:pPr>
        <w:numPr>
          <w:ilvl w:val="0"/>
          <w:numId w:val="11"/>
        </w:numPr>
        <w:spacing w:line="360" w:lineRule="auto"/>
        <w:ind w:left="1134"/>
        <w:rPr>
          <w:color w:val="auto"/>
          <w:sz w:val="24"/>
          <w:szCs w:val="24"/>
          <w:highlight w:val="none"/>
        </w:rPr>
      </w:pPr>
      <w:r>
        <w:rPr>
          <w:color w:val="auto"/>
          <w:sz w:val="24"/>
          <w:szCs w:val="24"/>
          <w:highlight w:val="none"/>
        </w:rPr>
        <w:t>我单位不属于政府采购法律、行政法规规定的公益一类事业单位、或使用事业编制且由财政拨款保障的群团组织（仅适用于政府购买服务项目）；</w:t>
      </w:r>
    </w:p>
    <w:p w14:paraId="2525CA0F">
      <w:pPr>
        <w:numPr>
          <w:ilvl w:val="0"/>
          <w:numId w:val="11"/>
        </w:numPr>
        <w:spacing w:line="360" w:lineRule="auto"/>
        <w:ind w:left="1134"/>
        <w:rPr>
          <w:color w:val="auto"/>
          <w:sz w:val="24"/>
          <w:szCs w:val="24"/>
          <w:highlight w:val="none"/>
        </w:rPr>
      </w:pPr>
      <w:r>
        <w:rPr>
          <w:color w:val="auto"/>
          <w:sz w:val="24"/>
          <w:szCs w:val="24"/>
          <w:highlight w:val="none"/>
        </w:rPr>
        <w:t>我单位不存在为采购项目提供整体设计、规范编制或者项目管理、监理、检测等服务后，再参加该采购项目的其他采购活动的情形（单一来源采购项目除外）；</w:t>
      </w:r>
    </w:p>
    <w:p w14:paraId="35C56EB4">
      <w:pPr>
        <w:numPr>
          <w:ilvl w:val="0"/>
          <w:numId w:val="11"/>
        </w:numPr>
        <w:spacing w:line="360" w:lineRule="auto"/>
        <w:ind w:left="1134"/>
        <w:rPr>
          <w:color w:val="auto"/>
          <w:sz w:val="24"/>
          <w:szCs w:val="24"/>
          <w:highlight w:val="none"/>
        </w:rPr>
      </w:pPr>
      <w:r>
        <w:rPr>
          <w:color w:val="auto"/>
          <w:sz w:val="24"/>
          <w:szCs w:val="24"/>
          <w:highlight w:val="none"/>
        </w:rPr>
        <w:t>与我单位存在“单位负责人为同一人或者存在直接控股、管理关系”的其他法人单位信息如下（如有，不论其是否参加同一合同项下的政府采购活动均须填写）：</w:t>
      </w:r>
    </w:p>
    <w:tbl>
      <w:tblPr>
        <w:tblStyle w:val="53"/>
        <w:tblW w:w="85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50"/>
        <w:gridCol w:w="4574"/>
        <w:gridCol w:w="2976"/>
      </w:tblGrid>
      <w:tr w14:paraId="1FDE45F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7234AD47">
            <w:pPr>
              <w:jc w:val="center"/>
              <w:rPr>
                <w:color w:val="auto"/>
                <w:sz w:val="24"/>
                <w:szCs w:val="24"/>
                <w:highlight w:val="none"/>
              </w:rPr>
            </w:pPr>
            <w:r>
              <w:rPr>
                <w:color w:val="auto"/>
                <w:sz w:val="24"/>
                <w:szCs w:val="24"/>
                <w:highlight w:val="none"/>
              </w:rPr>
              <w:t>序号</w:t>
            </w:r>
          </w:p>
        </w:tc>
        <w:tc>
          <w:tcPr>
            <w:tcW w:w="4574" w:type="dxa"/>
            <w:vAlign w:val="center"/>
          </w:tcPr>
          <w:p w14:paraId="69E87E57">
            <w:pPr>
              <w:jc w:val="center"/>
              <w:rPr>
                <w:color w:val="auto"/>
                <w:sz w:val="24"/>
                <w:szCs w:val="24"/>
                <w:highlight w:val="none"/>
              </w:rPr>
            </w:pPr>
            <w:r>
              <w:rPr>
                <w:color w:val="auto"/>
                <w:sz w:val="24"/>
                <w:szCs w:val="24"/>
                <w:highlight w:val="none"/>
              </w:rPr>
              <w:t>单位名称</w:t>
            </w:r>
          </w:p>
        </w:tc>
        <w:tc>
          <w:tcPr>
            <w:tcW w:w="2976" w:type="dxa"/>
            <w:vAlign w:val="center"/>
          </w:tcPr>
          <w:p w14:paraId="1743D20F">
            <w:pPr>
              <w:jc w:val="center"/>
              <w:rPr>
                <w:color w:val="auto"/>
                <w:sz w:val="24"/>
                <w:szCs w:val="24"/>
                <w:highlight w:val="none"/>
              </w:rPr>
            </w:pPr>
            <w:r>
              <w:rPr>
                <w:color w:val="auto"/>
                <w:sz w:val="24"/>
                <w:szCs w:val="24"/>
                <w:highlight w:val="none"/>
              </w:rPr>
              <w:t>相互关系</w:t>
            </w:r>
          </w:p>
        </w:tc>
      </w:tr>
      <w:tr w14:paraId="7D6D32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2D2FF21F">
            <w:pPr>
              <w:jc w:val="center"/>
              <w:rPr>
                <w:color w:val="auto"/>
                <w:sz w:val="24"/>
                <w:szCs w:val="24"/>
                <w:highlight w:val="none"/>
              </w:rPr>
            </w:pPr>
            <w:r>
              <w:rPr>
                <w:color w:val="auto"/>
                <w:sz w:val="24"/>
                <w:szCs w:val="24"/>
                <w:highlight w:val="none"/>
              </w:rPr>
              <w:t>1</w:t>
            </w:r>
          </w:p>
        </w:tc>
        <w:tc>
          <w:tcPr>
            <w:tcW w:w="4574" w:type="dxa"/>
            <w:vAlign w:val="center"/>
          </w:tcPr>
          <w:p w14:paraId="236868BA">
            <w:pPr>
              <w:jc w:val="center"/>
              <w:rPr>
                <w:color w:val="auto"/>
                <w:sz w:val="24"/>
                <w:szCs w:val="24"/>
                <w:highlight w:val="none"/>
              </w:rPr>
            </w:pPr>
          </w:p>
        </w:tc>
        <w:tc>
          <w:tcPr>
            <w:tcW w:w="2976" w:type="dxa"/>
            <w:vAlign w:val="center"/>
          </w:tcPr>
          <w:p w14:paraId="77867CC3">
            <w:pPr>
              <w:jc w:val="center"/>
              <w:rPr>
                <w:color w:val="auto"/>
                <w:sz w:val="24"/>
                <w:szCs w:val="24"/>
                <w:highlight w:val="none"/>
              </w:rPr>
            </w:pPr>
          </w:p>
        </w:tc>
      </w:tr>
      <w:tr w14:paraId="4FCB14E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61440818">
            <w:pPr>
              <w:jc w:val="center"/>
              <w:rPr>
                <w:color w:val="auto"/>
                <w:sz w:val="24"/>
                <w:szCs w:val="24"/>
                <w:highlight w:val="none"/>
              </w:rPr>
            </w:pPr>
            <w:r>
              <w:rPr>
                <w:color w:val="auto"/>
                <w:sz w:val="24"/>
                <w:szCs w:val="24"/>
                <w:highlight w:val="none"/>
              </w:rPr>
              <w:t>2</w:t>
            </w:r>
          </w:p>
        </w:tc>
        <w:tc>
          <w:tcPr>
            <w:tcW w:w="4574" w:type="dxa"/>
            <w:vAlign w:val="center"/>
          </w:tcPr>
          <w:p w14:paraId="09F75E28">
            <w:pPr>
              <w:jc w:val="center"/>
              <w:rPr>
                <w:color w:val="auto"/>
                <w:sz w:val="24"/>
                <w:szCs w:val="24"/>
                <w:highlight w:val="none"/>
              </w:rPr>
            </w:pPr>
          </w:p>
        </w:tc>
        <w:tc>
          <w:tcPr>
            <w:tcW w:w="2976" w:type="dxa"/>
            <w:vAlign w:val="center"/>
          </w:tcPr>
          <w:p w14:paraId="71E3EB69">
            <w:pPr>
              <w:jc w:val="center"/>
              <w:rPr>
                <w:color w:val="auto"/>
                <w:sz w:val="24"/>
                <w:szCs w:val="24"/>
                <w:highlight w:val="none"/>
              </w:rPr>
            </w:pPr>
          </w:p>
        </w:tc>
      </w:tr>
      <w:tr w14:paraId="360A67D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30" w:hRule="atLeast"/>
          <w:jc w:val="center"/>
        </w:trPr>
        <w:tc>
          <w:tcPr>
            <w:tcW w:w="950" w:type="dxa"/>
            <w:vAlign w:val="center"/>
          </w:tcPr>
          <w:p w14:paraId="3CEDC234">
            <w:pPr>
              <w:jc w:val="center"/>
              <w:rPr>
                <w:color w:val="auto"/>
                <w:sz w:val="24"/>
                <w:szCs w:val="24"/>
                <w:highlight w:val="none"/>
              </w:rPr>
            </w:pPr>
            <w:r>
              <w:rPr>
                <w:color w:val="auto"/>
                <w:sz w:val="24"/>
                <w:szCs w:val="24"/>
                <w:highlight w:val="none"/>
              </w:rPr>
              <w:t>…</w:t>
            </w:r>
          </w:p>
        </w:tc>
        <w:tc>
          <w:tcPr>
            <w:tcW w:w="4574" w:type="dxa"/>
            <w:vAlign w:val="center"/>
          </w:tcPr>
          <w:p w14:paraId="08400808">
            <w:pPr>
              <w:jc w:val="center"/>
              <w:rPr>
                <w:color w:val="auto"/>
                <w:sz w:val="24"/>
                <w:szCs w:val="24"/>
                <w:highlight w:val="none"/>
              </w:rPr>
            </w:pPr>
          </w:p>
        </w:tc>
        <w:tc>
          <w:tcPr>
            <w:tcW w:w="2976" w:type="dxa"/>
            <w:vAlign w:val="center"/>
          </w:tcPr>
          <w:p w14:paraId="1B80C4CB">
            <w:pPr>
              <w:jc w:val="center"/>
              <w:rPr>
                <w:color w:val="auto"/>
                <w:sz w:val="24"/>
                <w:szCs w:val="24"/>
                <w:highlight w:val="none"/>
              </w:rPr>
            </w:pPr>
          </w:p>
        </w:tc>
      </w:tr>
    </w:tbl>
    <w:p w14:paraId="483DFFD0">
      <w:pPr>
        <w:rPr>
          <w:color w:val="auto"/>
          <w:sz w:val="24"/>
          <w:szCs w:val="24"/>
          <w:highlight w:val="none"/>
        </w:rPr>
      </w:pPr>
    </w:p>
    <w:p w14:paraId="0D8BB990">
      <w:pPr>
        <w:ind w:firstLine="480" w:firstLineChars="200"/>
        <w:rPr>
          <w:color w:val="auto"/>
          <w:sz w:val="24"/>
          <w:szCs w:val="24"/>
          <w:highlight w:val="none"/>
        </w:rPr>
      </w:pPr>
      <w:r>
        <w:rPr>
          <w:color w:val="auto"/>
          <w:sz w:val="24"/>
          <w:szCs w:val="24"/>
          <w:highlight w:val="none"/>
        </w:rPr>
        <w:t>上述声明真实有效，否则我方负全部责任。</w:t>
      </w:r>
    </w:p>
    <w:p w14:paraId="445A8B79">
      <w:pPr>
        <w:autoSpaceDE w:val="0"/>
        <w:autoSpaceDN w:val="0"/>
        <w:adjustRightInd w:val="0"/>
        <w:snapToGrid w:val="0"/>
        <w:spacing w:before="25" w:after="25" w:line="360" w:lineRule="auto"/>
        <w:ind w:right="360"/>
        <w:jc w:val="right"/>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w:t>
      </w:r>
    </w:p>
    <w:p w14:paraId="60A589B5">
      <w:pPr>
        <w:spacing w:line="360" w:lineRule="auto"/>
        <w:ind w:right="360" w:firstLine="480"/>
        <w:jc w:val="right"/>
        <w:rPr>
          <w:color w:val="auto"/>
          <w:sz w:val="24"/>
          <w:szCs w:val="24"/>
          <w:highlight w:val="none"/>
        </w:rPr>
      </w:pPr>
      <w:r>
        <w:rPr>
          <w:color w:val="auto"/>
          <w:sz w:val="24"/>
          <w:szCs w:val="24"/>
          <w:highlight w:val="none"/>
        </w:rPr>
        <w:t xml:space="preserve">日期：____年____月____日   </w:t>
      </w:r>
    </w:p>
    <w:p w14:paraId="49A0BC0C">
      <w:pPr>
        <w:spacing w:line="360" w:lineRule="auto"/>
        <w:rPr>
          <w:color w:val="auto"/>
          <w:sz w:val="24"/>
          <w:szCs w:val="24"/>
          <w:highlight w:val="none"/>
        </w:rPr>
      </w:pPr>
      <w:r>
        <w:rPr>
          <w:rFonts w:hint="eastAsia"/>
          <w:color w:val="auto"/>
          <w:sz w:val="24"/>
          <w:szCs w:val="24"/>
          <w:highlight w:val="none"/>
        </w:rPr>
        <w:t>说明：供应商承诺不实的，依据《政府采购法》第七十七条“提供虚假材料谋取中标、成交的”有关规定予以处理。</w:t>
      </w:r>
    </w:p>
    <w:p w14:paraId="2FA95CC6">
      <w:pPr>
        <w:tabs>
          <w:tab w:val="left" w:pos="5580"/>
        </w:tabs>
        <w:spacing w:line="360" w:lineRule="auto"/>
        <w:rPr>
          <w:color w:val="auto"/>
          <w:sz w:val="24"/>
          <w:szCs w:val="24"/>
          <w:highlight w:val="none"/>
        </w:rPr>
        <w:sectPr>
          <w:footerReference r:id="rId11" w:type="default"/>
          <w:footerReference r:id="rId12" w:type="even"/>
          <w:pgSz w:w="11907" w:h="16840"/>
          <w:pgMar w:top="1440" w:right="1080" w:bottom="1440" w:left="1080" w:header="851" w:footer="851" w:gutter="0"/>
          <w:pgNumType w:fmt="decimal"/>
          <w:cols w:space="720" w:num="1"/>
          <w:docGrid w:linePitch="462" w:charSpace="0"/>
        </w:sectPr>
      </w:pPr>
    </w:p>
    <w:p w14:paraId="57CE59EF">
      <w:pPr>
        <w:tabs>
          <w:tab w:val="left" w:pos="360"/>
        </w:tabs>
        <w:snapToGrid w:val="0"/>
        <w:spacing w:line="360" w:lineRule="auto"/>
        <w:outlineLvl w:val="1"/>
        <w:rPr>
          <w:color w:val="auto"/>
          <w:sz w:val="24"/>
          <w:szCs w:val="24"/>
          <w:highlight w:val="none"/>
        </w:rPr>
      </w:pPr>
      <w:r>
        <w:rPr>
          <w:color w:val="auto"/>
          <w:sz w:val="24"/>
          <w:szCs w:val="24"/>
          <w:highlight w:val="none"/>
        </w:rPr>
        <w:t>2 落实政府采购政策需满足的资格要求（如有）</w:t>
      </w:r>
    </w:p>
    <w:p w14:paraId="225D0DAD">
      <w:pPr>
        <w:spacing w:line="360" w:lineRule="auto"/>
        <w:outlineLvl w:val="2"/>
        <w:rPr>
          <w:color w:val="auto"/>
          <w:sz w:val="24"/>
          <w:szCs w:val="24"/>
          <w:highlight w:val="none"/>
        </w:rPr>
      </w:pPr>
      <w:r>
        <w:rPr>
          <w:color w:val="auto"/>
          <w:sz w:val="24"/>
          <w:szCs w:val="24"/>
          <w:highlight w:val="none"/>
        </w:rPr>
        <w:t>2-1中小企业证明文件</w:t>
      </w:r>
    </w:p>
    <w:p w14:paraId="66E2763E">
      <w:pPr>
        <w:tabs>
          <w:tab w:val="left" w:pos="5580"/>
        </w:tabs>
        <w:spacing w:line="360" w:lineRule="auto"/>
        <w:rPr>
          <w:color w:val="auto"/>
          <w:sz w:val="24"/>
          <w:szCs w:val="24"/>
          <w:highlight w:val="none"/>
        </w:rPr>
      </w:pPr>
    </w:p>
    <w:p w14:paraId="18DF24E8">
      <w:pPr>
        <w:tabs>
          <w:tab w:val="left" w:pos="5580"/>
        </w:tabs>
        <w:spacing w:line="360" w:lineRule="auto"/>
        <w:rPr>
          <w:color w:val="auto"/>
          <w:sz w:val="24"/>
          <w:szCs w:val="24"/>
          <w:highlight w:val="none"/>
        </w:rPr>
      </w:pPr>
      <w:r>
        <w:rPr>
          <w:color w:val="auto"/>
          <w:sz w:val="24"/>
          <w:szCs w:val="24"/>
          <w:highlight w:val="none"/>
        </w:rPr>
        <w:t>说明：</w:t>
      </w:r>
    </w:p>
    <w:p w14:paraId="43979FD6">
      <w:pPr>
        <w:tabs>
          <w:tab w:val="left" w:pos="5580"/>
        </w:tabs>
        <w:spacing w:line="360" w:lineRule="auto"/>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）如本项目（包）不专门面向中小企业预留采购份额，供应商无须</w:t>
      </w:r>
      <w:r>
        <w:rPr>
          <w:color w:val="auto"/>
          <w:sz w:val="24"/>
          <w:szCs w:val="24"/>
          <w:highlight w:val="none"/>
        </w:rPr>
        <w:t>提</w:t>
      </w:r>
      <w:r>
        <w:rPr>
          <w:rFonts w:hint="eastAsia"/>
          <w:color w:val="auto"/>
          <w:sz w:val="24"/>
          <w:szCs w:val="24"/>
          <w:highlight w:val="none"/>
        </w:rPr>
        <w:t>供《中小企业声明函》或《残疾人福利性单位声明函》或由省级以上监狱管理局、戒毒管理局（含新疆生产建设兵团）出具的属于监狱企业的证明文件；当供应商拟享受中小企业扶持政策时，仍应</w:t>
      </w:r>
      <w:r>
        <w:rPr>
          <w:color w:val="auto"/>
          <w:sz w:val="24"/>
          <w:szCs w:val="24"/>
          <w:highlight w:val="none"/>
        </w:rPr>
        <w:t>提</w:t>
      </w:r>
      <w:r>
        <w:rPr>
          <w:rFonts w:hint="eastAsia"/>
          <w:color w:val="auto"/>
          <w:sz w:val="24"/>
          <w:szCs w:val="24"/>
          <w:highlight w:val="none"/>
        </w:rPr>
        <w:t>供上述证明文件，否则不享受相关中小企业扶持政策。</w:t>
      </w:r>
    </w:p>
    <w:p w14:paraId="2ADBC07E">
      <w:pPr>
        <w:tabs>
          <w:tab w:val="left" w:pos="5580"/>
        </w:tabs>
        <w:spacing w:line="360" w:lineRule="auto"/>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）如本项目（包）专门面向中小企业采购，响应文件中须</w:t>
      </w:r>
      <w:r>
        <w:rPr>
          <w:color w:val="auto"/>
          <w:sz w:val="24"/>
          <w:szCs w:val="24"/>
          <w:highlight w:val="none"/>
        </w:rPr>
        <w:t>提</w:t>
      </w:r>
      <w:r>
        <w:rPr>
          <w:rFonts w:hint="eastAsia"/>
          <w:color w:val="auto"/>
          <w:sz w:val="24"/>
          <w:szCs w:val="24"/>
          <w:highlight w:val="none"/>
        </w:rPr>
        <w:t>供《中小企业声明函》或《残疾人福利性单位声明函》，或</w:t>
      </w:r>
      <w:r>
        <w:rPr>
          <w:color w:val="auto"/>
          <w:sz w:val="24"/>
          <w:szCs w:val="24"/>
          <w:highlight w:val="none"/>
        </w:rPr>
        <w:t>提</w:t>
      </w:r>
      <w:r>
        <w:rPr>
          <w:rFonts w:hint="eastAsia"/>
          <w:color w:val="auto"/>
          <w:sz w:val="24"/>
          <w:szCs w:val="24"/>
          <w:highlight w:val="none"/>
        </w:rPr>
        <w:t>供由省级以上监狱管理局、戒毒管理局（含新疆生产建设兵团）出具的属于监狱企业的证明文件。</w:t>
      </w:r>
    </w:p>
    <w:p w14:paraId="4B745CE4">
      <w:pPr>
        <w:tabs>
          <w:tab w:val="left" w:pos="5580"/>
        </w:tabs>
        <w:spacing w:line="360" w:lineRule="auto"/>
        <w:rPr>
          <w:color w:val="auto"/>
          <w:sz w:val="24"/>
          <w:szCs w:val="24"/>
          <w:highlight w:val="none"/>
        </w:rPr>
      </w:pPr>
      <w:r>
        <w:rPr>
          <w:rFonts w:hint="eastAsia"/>
          <w:color w:val="auto"/>
          <w:sz w:val="24"/>
          <w:szCs w:val="24"/>
          <w:highlight w:val="none"/>
        </w:rPr>
        <w:t>（3）如本项目（包）预留部分采购项目预算专门面向中小企业采购，且要求获得采购合同的供应商将采购项目中的一定比例分包给一家或者多家中小企业或要求供应商以联合体形式参加采购活动，响应文件中须</w:t>
      </w:r>
      <w:r>
        <w:rPr>
          <w:color w:val="auto"/>
          <w:sz w:val="24"/>
          <w:szCs w:val="24"/>
          <w:highlight w:val="none"/>
        </w:rPr>
        <w:t>提</w:t>
      </w:r>
      <w:r>
        <w:rPr>
          <w:rFonts w:hint="eastAsia"/>
          <w:color w:val="auto"/>
          <w:sz w:val="24"/>
          <w:szCs w:val="24"/>
          <w:highlight w:val="none"/>
        </w:rPr>
        <w:t>供《中小企业声明函》或《残疾人福利性单位声明函》或由省级以上监狱管理局、戒毒管理局（含新疆生产建设兵团）出具的属于监狱企业的证明文件。</w:t>
      </w:r>
    </w:p>
    <w:p w14:paraId="4A1C7CBB">
      <w:pPr>
        <w:tabs>
          <w:tab w:val="left" w:pos="5580"/>
        </w:tabs>
        <w:spacing w:line="360" w:lineRule="auto"/>
        <w:rPr>
          <w:color w:val="auto"/>
          <w:sz w:val="24"/>
          <w:szCs w:val="24"/>
          <w:highlight w:val="none"/>
        </w:rPr>
      </w:pPr>
      <w:r>
        <w:rPr>
          <w:rFonts w:hint="eastAsia"/>
          <w:color w:val="auto"/>
          <w:sz w:val="24"/>
          <w:szCs w:val="24"/>
          <w:highlight w:val="none"/>
        </w:rPr>
        <w:t xml:space="preserve">（4）中小企业声明函填写注意事项 </w:t>
      </w:r>
    </w:p>
    <w:p w14:paraId="41E9ECF9">
      <w:pPr>
        <w:tabs>
          <w:tab w:val="left" w:pos="5580"/>
        </w:tabs>
        <w:spacing w:line="360" w:lineRule="auto"/>
        <w:rPr>
          <w:color w:val="auto"/>
          <w:sz w:val="24"/>
          <w:szCs w:val="24"/>
          <w:highlight w:val="none"/>
        </w:rPr>
      </w:pPr>
      <w:r>
        <w:rPr>
          <w:rFonts w:hint="eastAsia"/>
          <w:color w:val="auto"/>
          <w:sz w:val="24"/>
          <w:szCs w:val="24"/>
          <w:highlight w:val="none"/>
        </w:rPr>
        <w:t>1）《中小企业声明函》由参加政府采购活动的供应商出具。联合体参与的，《中小企业声明函》可由牵头人出具。</w:t>
      </w:r>
    </w:p>
    <w:p w14:paraId="4634DA88">
      <w:pPr>
        <w:tabs>
          <w:tab w:val="left" w:pos="5580"/>
        </w:tabs>
        <w:spacing w:line="360" w:lineRule="auto"/>
        <w:rPr>
          <w:color w:val="auto"/>
          <w:sz w:val="24"/>
          <w:szCs w:val="24"/>
          <w:highlight w:val="none"/>
        </w:rPr>
      </w:pPr>
      <w:r>
        <w:rPr>
          <w:rFonts w:hint="eastAsia"/>
          <w:color w:val="auto"/>
          <w:sz w:val="24"/>
          <w:szCs w:val="24"/>
          <w:highlight w:val="none"/>
        </w:rPr>
        <w:t>2）对于联合体中由中小企业承担的部分，或者分包给中小企业的部分，必须全部由中小企业制造、承建或者承接。供应商应当在声明函“标的名称</w:t>
      </w:r>
      <w:r>
        <w:rPr>
          <w:color w:val="auto"/>
          <w:sz w:val="24"/>
          <w:szCs w:val="24"/>
          <w:highlight w:val="none"/>
        </w:rPr>
        <w:t>”</w:t>
      </w:r>
      <w:r>
        <w:rPr>
          <w:rFonts w:hint="eastAsia"/>
          <w:color w:val="auto"/>
          <w:sz w:val="24"/>
          <w:szCs w:val="24"/>
          <w:highlight w:val="none"/>
        </w:rPr>
        <w:t>部分标明联合体中中小企业承担的具体内容或者中小企业的具体分包内容。</w:t>
      </w:r>
    </w:p>
    <w:p w14:paraId="74B07795">
      <w:pPr>
        <w:tabs>
          <w:tab w:val="left" w:pos="5580"/>
        </w:tabs>
        <w:spacing w:line="360" w:lineRule="auto"/>
        <w:rPr>
          <w:color w:val="auto"/>
          <w:sz w:val="24"/>
          <w:szCs w:val="24"/>
          <w:highlight w:val="none"/>
        </w:rPr>
      </w:pPr>
      <w:r>
        <w:rPr>
          <w:color w:val="auto"/>
          <w:sz w:val="24"/>
          <w:szCs w:val="24"/>
          <w:highlight w:val="none"/>
        </w:rPr>
        <w:t>3</w:t>
      </w:r>
      <w:r>
        <w:rPr>
          <w:rFonts w:hint="eastAsia"/>
          <w:color w:val="auto"/>
          <w:sz w:val="24"/>
          <w:szCs w:val="24"/>
          <w:highlight w:val="none"/>
        </w:rPr>
        <w:t>）对于多标的采购项目，供应商应充分、准确地了解所</w:t>
      </w:r>
      <w:r>
        <w:rPr>
          <w:color w:val="auto"/>
          <w:sz w:val="24"/>
          <w:szCs w:val="24"/>
          <w:highlight w:val="none"/>
        </w:rPr>
        <w:t>提</w:t>
      </w:r>
      <w:r>
        <w:rPr>
          <w:rFonts w:hint="eastAsia"/>
          <w:color w:val="auto"/>
          <w:sz w:val="24"/>
          <w:szCs w:val="24"/>
          <w:highlight w:val="none"/>
        </w:rPr>
        <w:t>供货物的制造企业、</w:t>
      </w:r>
      <w:r>
        <w:rPr>
          <w:color w:val="auto"/>
          <w:sz w:val="24"/>
          <w:szCs w:val="24"/>
          <w:highlight w:val="none"/>
        </w:rPr>
        <w:t>提</w:t>
      </w:r>
      <w:r>
        <w:rPr>
          <w:rFonts w:hint="eastAsia"/>
          <w:color w:val="auto"/>
          <w:sz w:val="24"/>
          <w:szCs w:val="24"/>
          <w:highlight w:val="none"/>
        </w:rPr>
        <w:t>供服务的承接企业信息。对相关情况了解不清楚的，不建议填报本声明函。</w:t>
      </w:r>
    </w:p>
    <w:p w14:paraId="30E889B6">
      <w:pPr>
        <w:tabs>
          <w:tab w:val="left" w:pos="5580"/>
        </w:tabs>
        <w:spacing w:line="360" w:lineRule="auto"/>
        <w:rPr>
          <w:color w:val="auto"/>
          <w:sz w:val="24"/>
          <w:szCs w:val="24"/>
          <w:highlight w:val="none"/>
        </w:rPr>
      </w:pPr>
      <w:r>
        <w:rPr>
          <w:rFonts w:hint="eastAsia"/>
          <w:color w:val="auto"/>
          <w:sz w:val="24"/>
          <w:szCs w:val="24"/>
          <w:highlight w:val="none"/>
        </w:rPr>
        <w:t>（</w:t>
      </w:r>
      <w:r>
        <w:rPr>
          <w:color w:val="auto"/>
          <w:sz w:val="24"/>
          <w:szCs w:val="24"/>
          <w:highlight w:val="none"/>
        </w:rPr>
        <w:t>5</w:t>
      </w:r>
      <w:r>
        <w:rPr>
          <w:rFonts w:hint="eastAsia"/>
          <w:color w:val="auto"/>
          <w:sz w:val="24"/>
          <w:szCs w:val="24"/>
          <w:highlight w:val="none"/>
        </w:rPr>
        <w:t>）温馨</w:t>
      </w:r>
      <w:r>
        <w:rPr>
          <w:color w:val="auto"/>
          <w:sz w:val="24"/>
          <w:szCs w:val="24"/>
          <w:highlight w:val="none"/>
        </w:rPr>
        <w:t>提</w:t>
      </w:r>
      <w:r>
        <w:rPr>
          <w:rFonts w:hint="eastAsia"/>
          <w:color w:val="auto"/>
          <w:sz w:val="24"/>
          <w:szCs w:val="24"/>
          <w:highlight w:val="none"/>
        </w:rPr>
        <w:t>示：为方便广大中小企业识别企业规模类型，工业和信息化部组织开发了中小企业规模类型自测小程序，在国务院客户端和工业和信息化部网站上均有链接，供应商填写所属的行业和指标数据可自动生成企业规模类型测试结果。本项目中小企业划分标准所属行业详见第二章《供应商须知资料表》，如在该程序中未找到本项目文件规定的中小企业划分标准所属行业，则按照《关于印发中小企业划型标准规定的通知（工信部联企业﹝2011﹞300 号）》及本项目文件规定的中小企业划分标准所属行业执行。</w:t>
      </w:r>
    </w:p>
    <w:p w14:paraId="63F7EB40">
      <w:pPr>
        <w:widowControl/>
        <w:jc w:val="left"/>
        <w:rPr>
          <w:color w:val="auto"/>
          <w:sz w:val="24"/>
          <w:szCs w:val="24"/>
          <w:highlight w:val="none"/>
        </w:rPr>
      </w:pPr>
      <w:r>
        <w:rPr>
          <w:rFonts w:hint="eastAsia"/>
          <w:color w:val="auto"/>
          <w:sz w:val="24"/>
          <w:szCs w:val="24"/>
          <w:highlight w:val="none"/>
        </w:rPr>
        <w:t>2-1-1 中小企业声明函及残疾人福利性单位声明函格式</w:t>
      </w:r>
    </w:p>
    <w:p w14:paraId="1AAFE501">
      <w:pPr>
        <w:spacing w:before="240" w:beforeLines="100" w:after="240" w:afterLines="100" w:line="360" w:lineRule="auto"/>
        <w:jc w:val="center"/>
        <w:rPr>
          <w:rFonts w:eastAsiaTheme="minorEastAsia"/>
          <w:b/>
          <w:color w:val="auto"/>
          <w:sz w:val="24"/>
          <w:szCs w:val="24"/>
          <w:highlight w:val="none"/>
        </w:rPr>
      </w:pPr>
      <w:r>
        <w:rPr>
          <w:rFonts w:eastAsiaTheme="minorEastAsia"/>
          <w:b/>
          <w:bCs/>
          <w:color w:val="auto"/>
          <w:sz w:val="24"/>
          <w:szCs w:val="24"/>
          <w:highlight w:val="none"/>
        </w:rPr>
        <w:t>中小企业声明函（货物）格式</w:t>
      </w:r>
    </w:p>
    <w:p w14:paraId="68F108F7">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本公司（联合体）郑重声明，根据《政府采购促进中小企业发展管理办法》（财库﹝2020﹞46 号）的规定，本公司（联合体）参加（单位名称）的（项目名称）采购活动，提供的货物全部由符合政策要求的中小企业制造。相关企业（含联合体中的中小企业、签订分包意向协议的中小企业）的具体情况如下：</w:t>
      </w:r>
    </w:p>
    <w:p w14:paraId="01F1CF04">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1.</w:t>
      </w:r>
      <w:r>
        <w:rPr>
          <w:rFonts w:eastAsiaTheme="minorEastAsia"/>
          <w:color w:val="auto"/>
          <w:spacing w:val="6"/>
          <w:sz w:val="24"/>
          <w:szCs w:val="24"/>
          <w:highlight w:val="none"/>
          <w:u w:val="single"/>
        </w:rPr>
        <w:t xml:space="preserve"> （标的名称） </w:t>
      </w:r>
      <w:r>
        <w:rPr>
          <w:rFonts w:eastAsiaTheme="minorEastAsia"/>
          <w:color w:val="auto"/>
          <w:spacing w:val="6"/>
          <w:sz w:val="24"/>
          <w:szCs w:val="24"/>
          <w:highlight w:val="none"/>
        </w:rPr>
        <w:t>，属于</w:t>
      </w:r>
      <w:r>
        <w:rPr>
          <w:rFonts w:eastAsiaTheme="minorEastAsia"/>
          <w:color w:val="auto"/>
          <w:spacing w:val="6"/>
          <w:sz w:val="24"/>
          <w:szCs w:val="24"/>
          <w:highlight w:val="none"/>
          <w:u w:val="single"/>
        </w:rPr>
        <w:t>（采购文件中明确的所属行业）</w:t>
      </w:r>
      <w:r>
        <w:rPr>
          <w:rFonts w:eastAsiaTheme="minorEastAsia"/>
          <w:color w:val="auto"/>
          <w:spacing w:val="6"/>
          <w:sz w:val="24"/>
          <w:szCs w:val="24"/>
          <w:highlight w:val="none"/>
        </w:rPr>
        <w:t>行业；制造商为</w:t>
      </w:r>
      <w:r>
        <w:rPr>
          <w:rFonts w:eastAsiaTheme="minorEastAsia"/>
          <w:color w:val="auto"/>
          <w:spacing w:val="6"/>
          <w:sz w:val="24"/>
          <w:szCs w:val="24"/>
          <w:highlight w:val="none"/>
          <w:u w:val="single"/>
        </w:rPr>
        <w:t>（企业名称）</w:t>
      </w:r>
      <w:r>
        <w:rPr>
          <w:rFonts w:eastAsiaTheme="minorEastAsia"/>
          <w:color w:val="auto"/>
          <w:spacing w:val="6"/>
          <w:sz w:val="24"/>
          <w:szCs w:val="24"/>
          <w:highlight w:val="none"/>
        </w:rPr>
        <w:t>，从业人员______人，营业收入为______万元，资产总额为______万元</w:t>
      </w:r>
      <w:r>
        <w:rPr>
          <w:rFonts w:eastAsiaTheme="minorEastAsia"/>
          <w:color w:val="auto"/>
          <w:spacing w:val="6"/>
          <w:sz w:val="24"/>
          <w:szCs w:val="24"/>
          <w:highlight w:val="none"/>
          <w:vertAlign w:val="superscript"/>
        </w:rPr>
        <w:t>1</w:t>
      </w:r>
      <w:r>
        <w:rPr>
          <w:rFonts w:eastAsiaTheme="minorEastAsia"/>
          <w:color w:val="auto"/>
          <w:spacing w:val="6"/>
          <w:sz w:val="24"/>
          <w:szCs w:val="24"/>
          <w:highlight w:val="none"/>
        </w:rPr>
        <w:t>，属于</w:t>
      </w:r>
      <w:r>
        <w:rPr>
          <w:color w:val="auto"/>
          <w:spacing w:val="6"/>
          <w:sz w:val="24"/>
          <w:szCs w:val="24"/>
          <w:highlight w:val="none"/>
          <w:u w:val="single"/>
        </w:rPr>
        <w:t>（中型企业、小型企业、微型企业）</w:t>
      </w:r>
      <w:r>
        <w:rPr>
          <w:rFonts w:eastAsiaTheme="minorEastAsia"/>
          <w:color w:val="auto"/>
          <w:spacing w:val="6"/>
          <w:sz w:val="24"/>
          <w:szCs w:val="24"/>
          <w:highlight w:val="none"/>
        </w:rPr>
        <w:t>；</w:t>
      </w:r>
    </w:p>
    <w:p w14:paraId="349F736B">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 xml:space="preserve">2. </w:t>
      </w:r>
      <w:r>
        <w:rPr>
          <w:rFonts w:eastAsiaTheme="minorEastAsia"/>
          <w:color w:val="auto"/>
          <w:spacing w:val="6"/>
          <w:sz w:val="24"/>
          <w:szCs w:val="24"/>
          <w:highlight w:val="none"/>
          <w:u w:val="single"/>
        </w:rPr>
        <w:t xml:space="preserve">（标的名称） </w:t>
      </w:r>
      <w:r>
        <w:rPr>
          <w:rFonts w:eastAsiaTheme="minorEastAsia"/>
          <w:color w:val="auto"/>
          <w:spacing w:val="6"/>
          <w:sz w:val="24"/>
          <w:szCs w:val="24"/>
          <w:highlight w:val="none"/>
        </w:rPr>
        <w:t>，属于</w:t>
      </w:r>
      <w:r>
        <w:rPr>
          <w:rFonts w:eastAsiaTheme="minorEastAsia"/>
          <w:color w:val="auto"/>
          <w:spacing w:val="6"/>
          <w:sz w:val="24"/>
          <w:szCs w:val="24"/>
          <w:highlight w:val="none"/>
          <w:u w:val="single"/>
        </w:rPr>
        <w:t>（采购文件中明确的所属行业）</w:t>
      </w:r>
      <w:r>
        <w:rPr>
          <w:rFonts w:eastAsiaTheme="minorEastAsia"/>
          <w:color w:val="auto"/>
          <w:spacing w:val="6"/>
          <w:sz w:val="24"/>
          <w:szCs w:val="24"/>
          <w:highlight w:val="none"/>
        </w:rPr>
        <w:t>行业；制造商为</w:t>
      </w:r>
      <w:r>
        <w:rPr>
          <w:rFonts w:eastAsiaTheme="minorEastAsia"/>
          <w:color w:val="auto"/>
          <w:spacing w:val="6"/>
          <w:sz w:val="24"/>
          <w:szCs w:val="24"/>
          <w:highlight w:val="none"/>
          <w:u w:val="single"/>
        </w:rPr>
        <w:t>（企业名称）</w:t>
      </w:r>
      <w:r>
        <w:rPr>
          <w:rFonts w:eastAsiaTheme="minorEastAsia"/>
          <w:color w:val="auto"/>
          <w:spacing w:val="6"/>
          <w:sz w:val="24"/>
          <w:szCs w:val="24"/>
          <w:highlight w:val="none"/>
        </w:rPr>
        <w:t>，从业人员______人，营业收入为______万元，资产总额为______万元，属于</w:t>
      </w:r>
      <w:r>
        <w:rPr>
          <w:rFonts w:eastAsiaTheme="minorEastAsia"/>
          <w:color w:val="auto"/>
          <w:spacing w:val="6"/>
          <w:sz w:val="24"/>
          <w:szCs w:val="24"/>
          <w:highlight w:val="none"/>
          <w:u w:val="single"/>
        </w:rPr>
        <w:t>（中型企业、小型企业、微型企业）</w:t>
      </w:r>
      <w:r>
        <w:rPr>
          <w:rFonts w:eastAsiaTheme="minorEastAsia"/>
          <w:color w:val="auto"/>
          <w:spacing w:val="6"/>
          <w:sz w:val="24"/>
          <w:szCs w:val="24"/>
          <w:highlight w:val="none"/>
        </w:rPr>
        <w:t>；</w:t>
      </w:r>
    </w:p>
    <w:p w14:paraId="641B94BB">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w:t>
      </w:r>
    </w:p>
    <w:p w14:paraId="1125B802">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以上企业，不属于大企业的分支机构，不存在控股股东为大企业的情形，也不存在与大企业的负责人为同一人的情形。</w:t>
      </w:r>
    </w:p>
    <w:p w14:paraId="6F10D1AE">
      <w:pPr>
        <w:spacing w:line="360" w:lineRule="auto"/>
        <w:ind w:firstLine="504"/>
        <w:rPr>
          <w:rFonts w:eastAsiaTheme="minorEastAsia"/>
          <w:color w:val="auto"/>
          <w:spacing w:val="6"/>
          <w:sz w:val="24"/>
          <w:szCs w:val="24"/>
          <w:highlight w:val="none"/>
        </w:rPr>
      </w:pPr>
      <w:r>
        <w:rPr>
          <w:rFonts w:eastAsiaTheme="minorEastAsia"/>
          <w:color w:val="auto"/>
          <w:spacing w:val="6"/>
          <w:sz w:val="24"/>
          <w:szCs w:val="24"/>
          <w:highlight w:val="none"/>
        </w:rPr>
        <w:t>本企业对上述声明内容的真实性负责。如有虚假，将依法承担相应责任。</w:t>
      </w:r>
    </w:p>
    <w:p w14:paraId="7348FFD0">
      <w:pPr>
        <w:spacing w:line="360" w:lineRule="auto"/>
        <w:ind w:firstLine="504"/>
        <w:rPr>
          <w:rFonts w:eastAsiaTheme="minorEastAsia"/>
          <w:color w:val="auto"/>
          <w:spacing w:val="6"/>
          <w:sz w:val="24"/>
          <w:szCs w:val="24"/>
          <w:highlight w:val="none"/>
        </w:rPr>
      </w:pPr>
    </w:p>
    <w:p w14:paraId="528AB54A">
      <w:pPr>
        <w:spacing w:line="360" w:lineRule="auto"/>
        <w:ind w:right="360" w:firstLine="480"/>
        <w:jc w:val="right"/>
        <w:rPr>
          <w:rFonts w:eastAsiaTheme="minorEastAsia"/>
          <w:color w:val="auto"/>
          <w:sz w:val="24"/>
          <w:szCs w:val="24"/>
          <w:highlight w:val="none"/>
        </w:rPr>
      </w:pPr>
      <w:r>
        <w:rPr>
          <w:rFonts w:eastAsiaTheme="minorEastAsia"/>
          <w:color w:val="auto"/>
          <w:sz w:val="24"/>
          <w:szCs w:val="24"/>
          <w:highlight w:val="none"/>
        </w:rPr>
        <w:t>企业名称（盖章）：______</w:t>
      </w:r>
    </w:p>
    <w:p w14:paraId="2E59B2EC">
      <w:pPr>
        <w:spacing w:line="360" w:lineRule="auto"/>
        <w:ind w:right="360" w:firstLine="480"/>
        <w:jc w:val="right"/>
        <w:rPr>
          <w:rFonts w:eastAsiaTheme="minorEastAsia"/>
          <w:color w:val="auto"/>
          <w:sz w:val="24"/>
          <w:szCs w:val="24"/>
          <w:highlight w:val="none"/>
        </w:rPr>
      </w:pPr>
      <w:r>
        <w:rPr>
          <w:rFonts w:eastAsiaTheme="minorEastAsia"/>
          <w:color w:val="auto"/>
          <w:sz w:val="24"/>
          <w:szCs w:val="24"/>
          <w:highlight w:val="none"/>
        </w:rPr>
        <w:t>日 期：______</w:t>
      </w:r>
    </w:p>
    <w:p w14:paraId="4231D5CF">
      <w:pPr>
        <w:spacing w:line="360" w:lineRule="auto"/>
        <w:ind w:right="360" w:firstLine="480"/>
        <w:jc w:val="right"/>
        <w:rPr>
          <w:rFonts w:eastAsiaTheme="minorEastAsia"/>
          <w:color w:val="auto"/>
          <w:sz w:val="24"/>
          <w:szCs w:val="24"/>
          <w:highlight w:val="none"/>
        </w:rPr>
      </w:pPr>
    </w:p>
    <w:p w14:paraId="0CE44A62">
      <w:pPr>
        <w:spacing w:line="360" w:lineRule="auto"/>
        <w:ind w:right="360" w:firstLine="480"/>
        <w:jc w:val="right"/>
        <w:rPr>
          <w:rFonts w:eastAsiaTheme="minorEastAsia"/>
          <w:color w:val="auto"/>
          <w:sz w:val="24"/>
          <w:szCs w:val="24"/>
          <w:highlight w:val="none"/>
        </w:rPr>
      </w:pPr>
    </w:p>
    <w:tbl>
      <w:tblPr>
        <w:tblStyle w:val="53"/>
        <w:tblW w:w="0" w:type="auto"/>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8946"/>
      </w:tblGrid>
      <w:tr w14:paraId="63BD4BA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shd w:val="clear" w:color="auto" w:fill="auto"/>
          </w:tcPr>
          <w:p w14:paraId="2D063F76">
            <w:pPr>
              <w:adjustRightInd w:val="0"/>
              <w:snapToGrid w:val="0"/>
              <w:jc w:val="left"/>
              <w:rPr>
                <w:rFonts w:eastAsiaTheme="minorEastAsia"/>
                <w:color w:val="auto"/>
                <w:sz w:val="24"/>
                <w:szCs w:val="24"/>
                <w:highlight w:val="none"/>
              </w:rPr>
            </w:pPr>
            <w:r>
              <w:rPr>
                <w:rFonts w:eastAsiaTheme="minorEastAsia"/>
                <w:color w:val="auto"/>
                <w:sz w:val="24"/>
                <w:szCs w:val="24"/>
                <w:highlight w:val="none"/>
                <w:vertAlign w:val="superscript"/>
              </w:rPr>
              <w:t>1</w:t>
            </w:r>
            <w:r>
              <w:rPr>
                <w:rFonts w:eastAsiaTheme="minorEastAsia"/>
                <w:color w:val="auto"/>
                <w:sz w:val="24"/>
                <w:szCs w:val="24"/>
                <w:highlight w:val="none"/>
              </w:rPr>
              <w:t>从业人员、营业收入、资产总额填报上一年度数据，无上一年度数据的新成立企业可不填报。</w:t>
            </w:r>
          </w:p>
        </w:tc>
      </w:tr>
    </w:tbl>
    <w:p w14:paraId="700B87C6">
      <w:pPr>
        <w:autoSpaceDE w:val="0"/>
        <w:autoSpaceDN w:val="0"/>
        <w:adjustRightInd w:val="0"/>
        <w:ind w:firstLine="420"/>
        <w:jc w:val="left"/>
        <w:rPr>
          <w:rFonts w:eastAsiaTheme="minorEastAsia"/>
          <w:color w:val="auto"/>
          <w:sz w:val="24"/>
          <w:szCs w:val="24"/>
          <w:highlight w:val="none"/>
        </w:rPr>
      </w:pPr>
    </w:p>
    <w:p w14:paraId="0564B5CA">
      <w:pPr>
        <w:spacing w:line="360" w:lineRule="auto"/>
        <w:rPr>
          <w:rFonts w:eastAsiaTheme="minorEastAsia"/>
          <w:color w:val="auto"/>
          <w:sz w:val="24"/>
          <w:szCs w:val="24"/>
          <w:highlight w:val="none"/>
        </w:rPr>
      </w:pPr>
    </w:p>
    <w:p w14:paraId="5DF1C3EF">
      <w:pPr>
        <w:rPr>
          <w:b/>
          <w:bCs/>
          <w:color w:val="auto"/>
          <w:sz w:val="24"/>
          <w:szCs w:val="24"/>
          <w:highlight w:val="none"/>
        </w:rPr>
      </w:pPr>
      <w:r>
        <w:rPr>
          <w:rFonts w:eastAsiaTheme="minorEastAsia"/>
          <w:color w:val="auto"/>
          <w:sz w:val="24"/>
          <w:szCs w:val="24"/>
          <w:highlight w:val="none"/>
        </w:rPr>
        <w:br w:type="page"/>
      </w:r>
    </w:p>
    <w:p w14:paraId="37C86868">
      <w:pPr>
        <w:spacing w:before="240" w:beforeLines="100" w:after="240" w:afterLines="100" w:line="360" w:lineRule="auto"/>
        <w:jc w:val="center"/>
        <w:rPr>
          <w:b/>
          <w:bCs/>
          <w:color w:val="auto"/>
          <w:sz w:val="24"/>
          <w:szCs w:val="24"/>
          <w:highlight w:val="none"/>
        </w:rPr>
      </w:pPr>
      <w:r>
        <w:rPr>
          <w:b/>
          <w:bCs/>
          <w:color w:val="auto"/>
          <w:sz w:val="24"/>
          <w:szCs w:val="24"/>
          <w:highlight w:val="none"/>
        </w:rPr>
        <w:t>中小企业声明函（工程、服务）格式</w:t>
      </w:r>
    </w:p>
    <w:p w14:paraId="1E5A3E71">
      <w:pPr>
        <w:spacing w:line="360" w:lineRule="auto"/>
        <w:ind w:firstLine="504"/>
        <w:rPr>
          <w:color w:val="auto"/>
          <w:spacing w:val="6"/>
          <w:sz w:val="24"/>
          <w:szCs w:val="24"/>
          <w:highlight w:val="none"/>
        </w:rPr>
      </w:pPr>
      <w:r>
        <w:rPr>
          <w:color w:val="auto"/>
          <w:spacing w:val="6"/>
          <w:sz w:val="24"/>
          <w:szCs w:val="24"/>
          <w:highlight w:val="none"/>
        </w:rPr>
        <w:t>本公司（联合体）郑重声明，根据《政府采购促进中小企业发展管理办法》（财库﹝2020﹞46 号）的规定，本公司（联合体）参加（单位名称）的（项目名称）采购活动，工程的施工单位全部为符合政策要求的中小企业（或者：服务全部由符合政策要求的中小企业承接）。相关企业（含联合体中的中小企业、签订分包意向协议的中小企业）的具体情况如下：</w:t>
      </w:r>
    </w:p>
    <w:p w14:paraId="071A34AB">
      <w:pPr>
        <w:spacing w:line="360" w:lineRule="auto"/>
        <w:ind w:firstLine="504"/>
        <w:rPr>
          <w:color w:val="auto"/>
          <w:spacing w:val="6"/>
          <w:sz w:val="24"/>
          <w:szCs w:val="24"/>
          <w:highlight w:val="none"/>
        </w:rPr>
      </w:pPr>
      <w:r>
        <w:rPr>
          <w:color w:val="auto"/>
          <w:spacing w:val="6"/>
          <w:sz w:val="24"/>
          <w:szCs w:val="24"/>
          <w:highlight w:val="none"/>
        </w:rPr>
        <w:t>1.</w:t>
      </w:r>
      <w:r>
        <w:rPr>
          <w:color w:val="auto"/>
          <w:spacing w:val="6"/>
          <w:sz w:val="24"/>
          <w:szCs w:val="24"/>
          <w:highlight w:val="none"/>
          <w:u w:val="single"/>
        </w:rPr>
        <w:t xml:space="preserve"> （标的名称） </w:t>
      </w:r>
      <w:r>
        <w:rPr>
          <w:color w:val="auto"/>
          <w:spacing w:val="6"/>
          <w:sz w:val="24"/>
          <w:szCs w:val="24"/>
          <w:highlight w:val="none"/>
        </w:rPr>
        <w:t>，属于</w:t>
      </w:r>
      <w:r>
        <w:rPr>
          <w:color w:val="auto"/>
          <w:spacing w:val="6"/>
          <w:sz w:val="24"/>
          <w:szCs w:val="24"/>
          <w:highlight w:val="none"/>
          <w:u w:val="single"/>
        </w:rPr>
        <w:t>（采购文件中明确的所属行业）</w:t>
      </w:r>
      <w:r>
        <w:rPr>
          <w:color w:val="auto"/>
          <w:spacing w:val="6"/>
          <w:sz w:val="24"/>
          <w:szCs w:val="24"/>
          <w:highlight w:val="none"/>
        </w:rPr>
        <w:t>行业；承建（承接）企业为</w:t>
      </w:r>
      <w:r>
        <w:rPr>
          <w:color w:val="auto"/>
          <w:spacing w:val="6"/>
          <w:sz w:val="24"/>
          <w:szCs w:val="24"/>
          <w:highlight w:val="none"/>
          <w:u w:val="single"/>
        </w:rPr>
        <w:t>（企业名称）</w:t>
      </w:r>
      <w:r>
        <w:rPr>
          <w:color w:val="auto"/>
          <w:spacing w:val="6"/>
          <w:sz w:val="24"/>
          <w:szCs w:val="24"/>
          <w:highlight w:val="none"/>
        </w:rPr>
        <w:t>，从业人员</w:t>
      </w:r>
      <w:r>
        <w:rPr>
          <w:color w:val="auto"/>
          <w:sz w:val="24"/>
          <w:szCs w:val="24"/>
          <w:highlight w:val="none"/>
        </w:rPr>
        <w:t>______</w:t>
      </w:r>
      <w:r>
        <w:rPr>
          <w:color w:val="auto"/>
          <w:spacing w:val="6"/>
          <w:sz w:val="24"/>
          <w:szCs w:val="24"/>
          <w:highlight w:val="none"/>
        </w:rPr>
        <w:t>人，营业收入为</w:t>
      </w:r>
      <w:r>
        <w:rPr>
          <w:color w:val="auto"/>
          <w:sz w:val="24"/>
          <w:szCs w:val="24"/>
          <w:highlight w:val="none"/>
        </w:rPr>
        <w:t>______</w:t>
      </w:r>
      <w:r>
        <w:rPr>
          <w:color w:val="auto"/>
          <w:spacing w:val="6"/>
          <w:sz w:val="24"/>
          <w:szCs w:val="24"/>
          <w:highlight w:val="none"/>
        </w:rPr>
        <w:t>万元，资产总额为</w:t>
      </w:r>
      <w:r>
        <w:rPr>
          <w:color w:val="auto"/>
          <w:sz w:val="24"/>
          <w:szCs w:val="24"/>
          <w:highlight w:val="none"/>
        </w:rPr>
        <w:t>______</w:t>
      </w:r>
      <w:r>
        <w:rPr>
          <w:color w:val="auto"/>
          <w:spacing w:val="6"/>
          <w:sz w:val="24"/>
          <w:szCs w:val="24"/>
          <w:highlight w:val="none"/>
        </w:rPr>
        <w:t>万元</w:t>
      </w:r>
      <w:r>
        <w:rPr>
          <w:color w:val="auto"/>
          <w:spacing w:val="6"/>
          <w:sz w:val="24"/>
          <w:szCs w:val="24"/>
          <w:highlight w:val="none"/>
          <w:vertAlign w:val="superscript"/>
        </w:rPr>
        <w:t>1</w:t>
      </w:r>
      <w:r>
        <w:rPr>
          <w:color w:val="auto"/>
          <w:spacing w:val="6"/>
          <w:sz w:val="24"/>
          <w:szCs w:val="24"/>
          <w:highlight w:val="none"/>
        </w:rPr>
        <w:t>，属于（中型企业、小型企业、微型企业）；</w:t>
      </w:r>
    </w:p>
    <w:p w14:paraId="13633FC4">
      <w:pPr>
        <w:spacing w:line="360" w:lineRule="auto"/>
        <w:ind w:firstLine="504"/>
        <w:rPr>
          <w:color w:val="auto"/>
          <w:spacing w:val="6"/>
          <w:sz w:val="24"/>
          <w:szCs w:val="24"/>
          <w:highlight w:val="none"/>
        </w:rPr>
      </w:pPr>
      <w:r>
        <w:rPr>
          <w:color w:val="auto"/>
          <w:spacing w:val="6"/>
          <w:sz w:val="24"/>
          <w:szCs w:val="24"/>
          <w:highlight w:val="none"/>
        </w:rPr>
        <w:t xml:space="preserve">2. </w:t>
      </w:r>
      <w:r>
        <w:rPr>
          <w:color w:val="auto"/>
          <w:spacing w:val="6"/>
          <w:sz w:val="24"/>
          <w:szCs w:val="24"/>
          <w:highlight w:val="none"/>
          <w:u w:val="single"/>
        </w:rPr>
        <w:t xml:space="preserve">（标的名称） </w:t>
      </w:r>
      <w:r>
        <w:rPr>
          <w:color w:val="auto"/>
          <w:spacing w:val="6"/>
          <w:sz w:val="24"/>
          <w:szCs w:val="24"/>
          <w:highlight w:val="none"/>
        </w:rPr>
        <w:t>，属于</w:t>
      </w:r>
      <w:r>
        <w:rPr>
          <w:color w:val="auto"/>
          <w:spacing w:val="6"/>
          <w:sz w:val="24"/>
          <w:szCs w:val="24"/>
          <w:highlight w:val="none"/>
          <w:u w:val="single"/>
        </w:rPr>
        <w:t>（采购文件中明确的所属行业）</w:t>
      </w:r>
      <w:r>
        <w:rPr>
          <w:color w:val="auto"/>
          <w:spacing w:val="6"/>
          <w:sz w:val="24"/>
          <w:szCs w:val="24"/>
          <w:highlight w:val="none"/>
        </w:rPr>
        <w:t>行业；承建（承接）企业为</w:t>
      </w:r>
      <w:r>
        <w:rPr>
          <w:color w:val="auto"/>
          <w:spacing w:val="6"/>
          <w:sz w:val="24"/>
          <w:szCs w:val="24"/>
          <w:highlight w:val="none"/>
          <w:u w:val="single"/>
        </w:rPr>
        <w:t>（企业名称）</w:t>
      </w:r>
      <w:r>
        <w:rPr>
          <w:color w:val="auto"/>
          <w:spacing w:val="6"/>
          <w:sz w:val="24"/>
          <w:szCs w:val="24"/>
          <w:highlight w:val="none"/>
        </w:rPr>
        <w:t>，从业人员</w:t>
      </w:r>
      <w:r>
        <w:rPr>
          <w:color w:val="auto"/>
          <w:sz w:val="24"/>
          <w:szCs w:val="24"/>
          <w:highlight w:val="none"/>
        </w:rPr>
        <w:t>______</w:t>
      </w:r>
      <w:r>
        <w:rPr>
          <w:color w:val="auto"/>
          <w:spacing w:val="6"/>
          <w:sz w:val="24"/>
          <w:szCs w:val="24"/>
          <w:highlight w:val="none"/>
        </w:rPr>
        <w:t>人，营业收入为</w:t>
      </w:r>
      <w:r>
        <w:rPr>
          <w:color w:val="auto"/>
          <w:sz w:val="24"/>
          <w:szCs w:val="24"/>
          <w:highlight w:val="none"/>
        </w:rPr>
        <w:t>______</w:t>
      </w:r>
      <w:r>
        <w:rPr>
          <w:color w:val="auto"/>
          <w:spacing w:val="6"/>
          <w:sz w:val="24"/>
          <w:szCs w:val="24"/>
          <w:highlight w:val="none"/>
        </w:rPr>
        <w:t>万元，资产总额为</w:t>
      </w:r>
      <w:r>
        <w:rPr>
          <w:color w:val="auto"/>
          <w:sz w:val="24"/>
          <w:szCs w:val="24"/>
          <w:highlight w:val="none"/>
        </w:rPr>
        <w:t>______</w:t>
      </w:r>
      <w:r>
        <w:rPr>
          <w:color w:val="auto"/>
          <w:spacing w:val="6"/>
          <w:sz w:val="24"/>
          <w:szCs w:val="24"/>
          <w:highlight w:val="none"/>
        </w:rPr>
        <w:t>万元，属于</w:t>
      </w:r>
      <w:r>
        <w:rPr>
          <w:color w:val="auto"/>
          <w:spacing w:val="6"/>
          <w:sz w:val="24"/>
          <w:szCs w:val="24"/>
          <w:highlight w:val="none"/>
          <w:u w:val="single"/>
        </w:rPr>
        <w:t>（中型企业、小型企业、微型企业）</w:t>
      </w:r>
      <w:r>
        <w:rPr>
          <w:color w:val="auto"/>
          <w:spacing w:val="6"/>
          <w:sz w:val="24"/>
          <w:szCs w:val="24"/>
          <w:highlight w:val="none"/>
        </w:rPr>
        <w:t>；</w:t>
      </w:r>
    </w:p>
    <w:p w14:paraId="61920C28">
      <w:pPr>
        <w:spacing w:line="360" w:lineRule="auto"/>
        <w:ind w:firstLine="504"/>
        <w:rPr>
          <w:color w:val="auto"/>
          <w:spacing w:val="6"/>
          <w:sz w:val="24"/>
          <w:szCs w:val="24"/>
          <w:highlight w:val="none"/>
        </w:rPr>
      </w:pPr>
    </w:p>
    <w:p w14:paraId="3AE93F16">
      <w:pPr>
        <w:spacing w:line="360" w:lineRule="auto"/>
        <w:ind w:firstLine="504"/>
        <w:rPr>
          <w:color w:val="auto"/>
          <w:spacing w:val="6"/>
          <w:sz w:val="24"/>
          <w:szCs w:val="24"/>
          <w:highlight w:val="none"/>
        </w:rPr>
      </w:pPr>
      <w:r>
        <w:rPr>
          <w:color w:val="auto"/>
          <w:spacing w:val="6"/>
          <w:sz w:val="24"/>
          <w:szCs w:val="24"/>
          <w:highlight w:val="none"/>
        </w:rPr>
        <w:t>……</w:t>
      </w:r>
    </w:p>
    <w:p w14:paraId="2125FFB1">
      <w:pPr>
        <w:spacing w:line="360" w:lineRule="auto"/>
        <w:ind w:firstLine="504"/>
        <w:rPr>
          <w:color w:val="auto"/>
          <w:spacing w:val="6"/>
          <w:sz w:val="24"/>
          <w:szCs w:val="24"/>
          <w:highlight w:val="none"/>
        </w:rPr>
      </w:pPr>
      <w:r>
        <w:rPr>
          <w:color w:val="auto"/>
          <w:spacing w:val="6"/>
          <w:sz w:val="24"/>
          <w:szCs w:val="24"/>
          <w:highlight w:val="none"/>
        </w:rPr>
        <w:t>以上企业，不属于大企业的分支机构，不存在控股股东为大企业的情形，也不存在与大企业的负责人为同一人的情形。</w:t>
      </w:r>
    </w:p>
    <w:p w14:paraId="49CEF4D4">
      <w:pPr>
        <w:spacing w:line="360" w:lineRule="auto"/>
        <w:ind w:firstLine="504"/>
        <w:rPr>
          <w:color w:val="auto"/>
          <w:spacing w:val="6"/>
          <w:sz w:val="24"/>
          <w:szCs w:val="24"/>
          <w:highlight w:val="none"/>
        </w:rPr>
      </w:pPr>
      <w:r>
        <w:rPr>
          <w:color w:val="auto"/>
          <w:spacing w:val="6"/>
          <w:sz w:val="24"/>
          <w:szCs w:val="24"/>
          <w:highlight w:val="none"/>
        </w:rPr>
        <w:t>本企业对上述声明内容的真实性负责。如有虚假，将依法承担相应责任。</w:t>
      </w:r>
    </w:p>
    <w:p w14:paraId="23934674">
      <w:pPr>
        <w:spacing w:line="360" w:lineRule="auto"/>
        <w:ind w:right="360" w:firstLine="480"/>
        <w:jc w:val="right"/>
        <w:rPr>
          <w:color w:val="auto"/>
          <w:sz w:val="24"/>
          <w:szCs w:val="24"/>
          <w:highlight w:val="none"/>
        </w:rPr>
      </w:pPr>
    </w:p>
    <w:p w14:paraId="64029705">
      <w:pPr>
        <w:spacing w:line="360" w:lineRule="auto"/>
        <w:ind w:right="360" w:firstLine="480"/>
        <w:jc w:val="right"/>
        <w:rPr>
          <w:color w:val="auto"/>
          <w:sz w:val="24"/>
          <w:szCs w:val="24"/>
          <w:highlight w:val="none"/>
        </w:rPr>
      </w:pPr>
      <w:r>
        <w:rPr>
          <w:color w:val="auto"/>
          <w:sz w:val="24"/>
          <w:szCs w:val="24"/>
          <w:highlight w:val="none"/>
        </w:rPr>
        <w:t>企业名称（盖章）：______</w:t>
      </w:r>
    </w:p>
    <w:p w14:paraId="52689493">
      <w:pPr>
        <w:spacing w:line="360" w:lineRule="auto"/>
        <w:ind w:right="360" w:firstLine="480"/>
        <w:jc w:val="right"/>
        <w:rPr>
          <w:color w:val="auto"/>
          <w:sz w:val="24"/>
          <w:szCs w:val="24"/>
          <w:highlight w:val="none"/>
        </w:rPr>
      </w:pPr>
      <w:r>
        <w:rPr>
          <w:color w:val="auto"/>
          <w:sz w:val="24"/>
          <w:szCs w:val="24"/>
          <w:highlight w:val="none"/>
        </w:rPr>
        <w:t>日 期：______</w:t>
      </w:r>
    </w:p>
    <w:p w14:paraId="1118AB9D">
      <w:pPr>
        <w:adjustRightInd w:val="0"/>
        <w:snapToGrid w:val="0"/>
        <w:jc w:val="left"/>
        <w:rPr>
          <w:color w:val="auto"/>
          <w:sz w:val="24"/>
          <w:szCs w:val="24"/>
          <w:highlight w:val="none"/>
        </w:rPr>
      </w:pPr>
    </w:p>
    <w:p w14:paraId="7A7C6233">
      <w:pPr>
        <w:adjustRightInd w:val="0"/>
        <w:snapToGrid w:val="0"/>
        <w:jc w:val="left"/>
        <w:rPr>
          <w:color w:val="auto"/>
          <w:sz w:val="24"/>
          <w:szCs w:val="24"/>
          <w:highlight w:val="none"/>
        </w:rPr>
      </w:pPr>
    </w:p>
    <w:tbl>
      <w:tblPr>
        <w:tblStyle w:val="53"/>
        <w:tblW w:w="8946" w:type="dxa"/>
        <w:tblInd w:w="0" w:type="dxa"/>
        <w:tblBorders>
          <w:top w:val="single" w:color="auto" w:sz="4"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8946"/>
      </w:tblGrid>
      <w:tr w14:paraId="1F318733">
        <w:tblPrEx>
          <w:tblBorders>
            <w:top w:val="single" w:color="auto" w:sz="4"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c>
          <w:tcPr>
            <w:tcW w:w="8946" w:type="dxa"/>
          </w:tcPr>
          <w:p w14:paraId="10D03943">
            <w:pPr>
              <w:adjustRightInd w:val="0"/>
              <w:snapToGrid w:val="0"/>
              <w:jc w:val="left"/>
              <w:rPr>
                <w:color w:val="auto"/>
                <w:sz w:val="24"/>
                <w:szCs w:val="24"/>
                <w:highlight w:val="none"/>
              </w:rPr>
            </w:pPr>
            <w:r>
              <w:rPr>
                <w:color w:val="auto"/>
                <w:sz w:val="24"/>
                <w:szCs w:val="24"/>
                <w:highlight w:val="none"/>
                <w:vertAlign w:val="superscript"/>
              </w:rPr>
              <w:t>1</w:t>
            </w:r>
            <w:r>
              <w:rPr>
                <w:color w:val="auto"/>
                <w:sz w:val="24"/>
                <w:szCs w:val="24"/>
                <w:highlight w:val="none"/>
              </w:rPr>
              <w:t>从业人员、营业收入、资产总额填报上一年度数据，无上一年度数据的新成立企业可不填报。</w:t>
            </w:r>
          </w:p>
        </w:tc>
      </w:tr>
    </w:tbl>
    <w:p w14:paraId="4A1C6A6C">
      <w:pPr>
        <w:adjustRightInd w:val="0"/>
        <w:snapToGrid w:val="0"/>
        <w:jc w:val="left"/>
        <w:rPr>
          <w:color w:val="auto"/>
          <w:sz w:val="24"/>
          <w:szCs w:val="24"/>
          <w:highlight w:val="none"/>
          <w:vertAlign w:val="superscript"/>
        </w:rPr>
      </w:pPr>
    </w:p>
    <w:p w14:paraId="3F2B823B">
      <w:pPr>
        <w:spacing w:line="360" w:lineRule="auto"/>
        <w:ind w:right="360" w:firstLine="480"/>
        <w:jc w:val="right"/>
        <w:rPr>
          <w:color w:val="auto"/>
          <w:sz w:val="24"/>
          <w:szCs w:val="24"/>
          <w:highlight w:val="none"/>
        </w:rPr>
      </w:pPr>
    </w:p>
    <w:p w14:paraId="032FF8D7">
      <w:pPr>
        <w:spacing w:line="360" w:lineRule="auto"/>
        <w:ind w:right="360" w:firstLine="480"/>
        <w:jc w:val="right"/>
        <w:rPr>
          <w:color w:val="auto"/>
          <w:sz w:val="24"/>
          <w:szCs w:val="24"/>
          <w:highlight w:val="none"/>
        </w:rPr>
      </w:pPr>
    </w:p>
    <w:p w14:paraId="6269F6B1">
      <w:pPr>
        <w:rPr>
          <w:color w:val="auto"/>
          <w:sz w:val="24"/>
          <w:szCs w:val="24"/>
          <w:highlight w:val="none"/>
        </w:rPr>
      </w:pPr>
      <w:r>
        <w:rPr>
          <w:color w:val="auto"/>
          <w:sz w:val="24"/>
          <w:szCs w:val="24"/>
          <w:highlight w:val="none"/>
        </w:rPr>
        <w:br w:type="page"/>
      </w:r>
    </w:p>
    <w:p w14:paraId="1629D30D">
      <w:pPr>
        <w:spacing w:before="240" w:beforeLines="100" w:after="240" w:afterLines="100" w:line="360" w:lineRule="auto"/>
        <w:jc w:val="center"/>
        <w:rPr>
          <w:b/>
          <w:color w:val="auto"/>
          <w:sz w:val="24"/>
          <w:szCs w:val="24"/>
          <w:highlight w:val="none"/>
        </w:rPr>
      </w:pPr>
      <w:r>
        <w:rPr>
          <w:b/>
          <w:bCs/>
          <w:color w:val="auto"/>
          <w:sz w:val="24"/>
          <w:szCs w:val="24"/>
          <w:highlight w:val="none"/>
        </w:rPr>
        <w:t>残疾人福利性单位声明函格式</w:t>
      </w:r>
      <w:r>
        <w:rPr>
          <w:b/>
          <w:color w:val="auto"/>
          <w:sz w:val="24"/>
          <w:szCs w:val="24"/>
          <w:highlight w:val="none"/>
        </w:rPr>
        <w:t xml:space="preserve">       </w:t>
      </w:r>
    </w:p>
    <w:p w14:paraId="5D924FAB">
      <w:pPr>
        <w:spacing w:line="588" w:lineRule="exact"/>
        <w:ind w:firstLine="504"/>
        <w:rPr>
          <w:color w:val="auto"/>
          <w:spacing w:val="6"/>
          <w:sz w:val="24"/>
          <w:szCs w:val="24"/>
          <w:highlight w:val="none"/>
        </w:rPr>
      </w:pPr>
      <w:r>
        <w:rPr>
          <w:color w:val="auto"/>
          <w:spacing w:val="6"/>
          <w:sz w:val="24"/>
          <w:szCs w:val="24"/>
          <w:highlight w:val="none"/>
        </w:rPr>
        <w:t>本单位郑重声明，根据《财政部 民政部 中国残疾人联合会关于促进残疾人就业政府采购政策的通知》（财库</w:t>
      </w:r>
      <w:r>
        <w:rPr>
          <w:color w:val="auto"/>
          <w:sz w:val="24"/>
          <w:szCs w:val="24"/>
          <w:highlight w:val="none"/>
        </w:rPr>
        <w:t>〔2017〕 141</w:t>
      </w:r>
      <w:r>
        <w:rPr>
          <w:color w:val="auto"/>
          <w:spacing w:val="6"/>
          <w:sz w:val="24"/>
          <w:szCs w:val="24"/>
          <w:highlight w:val="none"/>
        </w:rPr>
        <w:t>号）的规定，本单位</w:t>
      </w:r>
      <w:r>
        <w:rPr>
          <w:b/>
          <w:color w:val="auto"/>
          <w:sz w:val="24"/>
          <w:szCs w:val="24"/>
          <w:highlight w:val="none"/>
        </w:rPr>
        <w:t>（请进行勾选）</w:t>
      </w:r>
      <w:r>
        <w:rPr>
          <w:color w:val="auto"/>
          <w:spacing w:val="6"/>
          <w:sz w:val="24"/>
          <w:szCs w:val="24"/>
          <w:highlight w:val="none"/>
        </w:rPr>
        <w:t>：</w:t>
      </w:r>
    </w:p>
    <w:p w14:paraId="51074AEE">
      <w:pPr>
        <w:spacing w:line="588" w:lineRule="exact"/>
        <w:ind w:firstLine="482"/>
        <w:rPr>
          <w:b/>
          <w:color w:val="auto"/>
          <w:spacing w:val="6"/>
          <w:sz w:val="24"/>
          <w:szCs w:val="24"/>
          <w:highlight w:val="none"/>
        </w:rPr>
      </w:pPr>
      <w:r>
        <w:rPr>
          <w:b/>
          <w:color w:val="auto"/>
          <w:sz w:val="24"/>
          <w:szCs w:val="24"/>
          <w:highlight w:val="none"/>
        </w:rPr>
        <w:t>□</w:t>
      </w:r>
      <w:r>
        <w:rPr>
          <w:b/>
          <w:color w:val="auto"/>
          <w:spacing w:val="6"/>
          <w:sz w:val="24"/>
          <w:szCs w:val="24"/>
          <w:highlight w:val="none"/>
        </w:rPr>
        <w:t>不属于符合条件的残疾人福利性单位。</w:t>
      </w:r>
    </w:p>
    <w:p w14:paraId="1FD27750">
      <w:pPr>
        <w:spacing w:line="588" w:lineRule="exact"/>
        <w:ind w:firstLine="482"/>
        <w:rPr>
          <w:color w:val="auto"/>
          <w:spacing w:val="6"/>
          <w:sz w:val="24"/>
          <w:szCs w:val="24"/>
          <w:highlight w:val="none"/>
        </w:rPr>
      </w:pPr>
      <w:r>
        <w:rPr>
          <w:b/>
          <w:color w:val="auto"/>
          <w:sz w:val="24"/>
          <w:szCs w:val="24"/>
          <w:highlight w:val="none"/>
        </w:rPr>
        <w:t>□</w:t>
      </w:r>
      <w:r>
        <w:rPr>
          <w:b/>
          <w:color w:val="auto"/>
          <w:spacing w:val="6"/>
          <w:sz w:val="24"/>
          <w:szCs w:val="24"/>
          <w:highlight w:val="none"/>
        </w:rPr>
        <w:t>属于符合条件的残疾人福利性单位，</w:t>
      </w:r>
      <w:r>
        <w:rPr>
          <w:color w:val="auto"/>
          <w:spacing w:val="6"/>
          <w:sz w:val="24"/>
          <w:szCs w:val="24"/>
          <w:highlight w:val="none"/>
        </w:rPr>
        <w:t>且本单位参加</w:t>
      </w:r>
      <w:r>
        <w:rPr>
          <w:color w:val="auto"/>
          <w:sz w:val="24"/>
          <w:szCs w:val="24"/>
          <w:highlight w:val="none"/>
        </w:rPr>
        <w:t>______</w:t>
      </w:r>
      <w:r>
        <w:rPr>
          <w:color w:val="auto"/>
          <w:spacing w:val="6"/>
          <w:sz w:val="24"/>
          <w:szCs w:val="24"/>
          <w:highlight w:val="none"/>
        </w:rPr>
        <w:t>单位的</w:t>
      </w:r>
      <w:r>
        <w:rPr>
          <w:color w:val="auto"/>
          <w:sz w:val="24"/>
          <w:szCs w:val="24"/>
          <w:highlight w:val="none"/>
        </w:rPr>
        <w:t>______</w:t>
      </w:r>
      <w:r>
        <w:rPr>
          <w:color w:val="auto"/>
          <w:spacing w:val="6"/>
          <w:sz w:val="24"/>
          <w:szCs w:val="24"/>
          <w:highlight w:val="none"/>
        </w:rPr>
        <w:t>项目采购活动提供本单位制造的货物（由本单位承担工程/提供服务），或者提供其他残疾人福利性单位制造的货物（不包括使用非残疾人福利性单位注册商标的货物）。</w:t>
      </w:r>
    </w:p>
    <w:p w14:paraId="6837EC49">
      <w:pPr>
        <w:spacing w:line="588" w:lineRule="exact"/>
        <w:ind w:firstLine="506" w:firstLineChars="200"/>
        <w:rPr>
          <w:color w:val="auto"/>
          <w:spacing w:val="6"/>
          <w:sz w:val="24"/>
          <w:szCs w:val="24"/>
          <w:highlight w:val="none"/>
        </w:rPr>
      </w:pPr>
      <w:r>
        <w:rPr>
          <w:b/>
          <w:color w:val="auto"/>
          <w:spacing w:val="6"/>
          <w:sz w:val="24"/>
          <w:szCs w:val="24"/>
          <w:highlight w:val="none"/>
        </w:rPr>
        <w:t>本单位对上述声明的真实性负责。如有虚假，将依法承担相应责任。</w:t>
      </w:r>
    </w:p>
    <w:p w14:paraId="44709D83">
      <w:pPr>
        <w:spacing w:line="588" w:lineRule="exact"/>
        <w:ind w:firstLine="504" w:firstLineChars="200"/>
        <w:rPr>
          <w:color w:val="auto"/>
          <w:spacing w:val="6"/>
          <w:sz w:val="24"/>
          <w:szCs w:val="24"/>
          <w:highlight w:val="none"/>
        </w:rPr>
      </w:pPr>
    </w:p>
    <w:p w14:paraId="2F578122">
      <w:pPr>
        <w:spacing w:line="588" w:lineRule="exact"/>
        <w:ind w:firstLine="504" w:firstLineChars="200"/>
        <w:rPr>
          <w:color w:val="auto"/>
          <w:spacing w:val="6"/>
          <w:sz w:val="24"/>
          <w:szCs w:val="24"/>
          <w:highlight w:val="none"/>
        </w:rPr>
      </w:pPr>
    </w:p>
    <w:p w14:paraId="4B01C753">
      <w:pPr>
        <w:tabs>
          <w:tab w:val="left" w:pos="4860"/>
        </w:tabs>
        <w:spacing w:line="588" w:lineRule="exact"/>
        <w:ind w:right="1560" w:firstLine="504" w:firstLineChars="200"/>
        <w:jc w:val="right"/>
        <w:rPr>
          <w:color w:val="auto"/>
          <w:spacing w:val="6"/>
          <w:sz w:val="24"/>
          <w:szCs w:val="24"/>
          <w:highlight w:val="none"/>
        </w:rPr>
      </w:pPr>
      <w:r>
        <w:rPr>
          <w:color w:val="auto"/>
          <w:spacing w:val="6"/>
          <w:sz w:val="24"/>
          <w:szCs w:val="24"/>
          <w:highlight w:val="none"/>
        </w:rPr>
        <w:t xml:space="preserve">          单位名称（盖章）：</w:t>
      </w:r>
      <w:r>
        <w:rPr>
          <w:color w:val="auto"/>
          <w:sz w:val="24"/>
          <w:szCs w:val="24"/>
          <w:highlight w:val="none"/>
        </w:rPr>
        <w:t>______</w:t>
      </w:r>
    </w:p>
    <w:p w14:paraId="1E488A0E">
      <w:pPr>
        <w:tabs>
          <w:tab w:val="left" w:pos="4860"/>
        </w:tabs>
        <w:spacing w:line="588" w:lineRule="exact"/>
        <w:ind w:right="1560" w:firstLine="504" w:firstLineChars="200"/>
        <w:jc w:val="right"/>
        <w:rPr>
          <w:color w:val="auto"/>
          <w:spacing w:val="6"/>
          <w:sz w:val="24"/>
          <w:szCs w:val="24"/>
          <w:highlight w:val="none"/>
        </w:rPr>
      </w:pPr>
      <w:r>
        <w:rPr>
          <w:color w:val="auto"/>
          <w:spacing w:val="6"/>
          <w:sz w:val="24"/>
          <w:szCs w:val="24"/>
          <w:highlight w:val="none"/>
        </w:rPr>
        <w:t xml:space="preserve">       日  期：</w:t>
      </w:r>
      <w:r>
        <w:rPr>
          <w:color w:val="auto"/>
          <w:sz w:val="24"/>
          <w:szCs w:val="24"/>
          <w:highlight w:val="none"/>
        </w:rPr>
        <w:t>______</w:t>
      </w:r>
    </w:p>
    <w:p w14:paraId="5FE4F8D3">
      <w:pPr>
        <w:widowControl/>
        <w:jc w:val="left"/>
        <w:rPr>
          <w:color w:val="auto"/>
          <w:sz w:val="24"/>
          <w:szCs w:val="24"/>
          <w:highlight w:val="none"/>
        </w:rPr>
      </w:pPr>
      <w:r>
        <w:rPr>
          <w:color w:val="auto"/>
          <w:sz w:val="24"/>
          <w:szCs w:val="24"/>
          <w:highlight w:val="none"/>
        </w:rPr>
        <w:br w:type="page"/>
      </w:r>
    </w:p>
    <w:p w14:paraId="6E2AAA44">
      <w:pPr>
        <w:spacing w:line="360" w:lineRule="auto"/>
        <w:outlineLvl w:val="2"/>
        <w:rPr>
          <w:color w:val="auto"/>
          <w:sz w:val="24"/>
          <w:szCs w:val="24"/>
          <w:highlight w:val="none"/>
        </w:rPr>
      </w:pPr>
      <w:r>
        <w:rPr>
          <w:color w:val="auto"/>
          <w:sz w:val="24"/>
          <w:szCs w:val="24"/>
          <w:highlight w:val="none"/>
        </w:rPr>
        <w:t>2-1-</w:t>
      </w:r>
      <w:r>
        <w:rPr>
          <w:rFonts w:hint="eastAsia"/>
          <w:color w:val="auto"/>
          <w:sz w:val="24"/>
          <w:szCs w:val="24"/>
          <w:highlight w:val="none"/>
        </w:rPr>
        <w:t>2</w:t>
      </w:r>
      <w:r>
        <w:rPr>
          <w:color w:val="auto"/>
          <w:sz w:val="24"/>
          <w:szCs w:val="24"/>
          <w:highlight w:val="none"/>
        </w:rPr>
        <w:t>拟分包情况说明及分包意向协议</w:t>
      </w:r>
    </w:p>
    <w:p w14:paraId="47116243">
      <w:pPr>
        <w:tabs>
          <w:tab w:val="left" w:pos="5580"/>
        </w:tabs>
        <w:spacing w:line="360" w:lineRule="auto"/>
        <w:rPr>
          <w:rFonts w:eastAsiaTheme="minorEastAsia"/>
          <w:color w:val="auto"/>
          <w:sz w:val="24"/>
          <w:szCs w:val="24"/>
          <w:highlight w:val="none"/>
        </w:rPr>
      </w:pPr>
    </w:p>
    <w:p w14:paraId="0AF42C04">
      <w:pPr>
        <w:tabs>
          <w:tab w:val="left" w:pos="5580"/>
        </w:tabs>
        <w:spacing w:line="360" w:lineRule="auto"/>
        <w:rPr>
          <w:rFonts w:eastAsiaTheme="minorEastAsia"/>
          <w:color w:val="auto"/>
          <w:sz w:val="24"/>
          <w:szCs w:val="24"/>
          <w:highlight w:val="none"/>
        </w:rPr>
      </w:pPr>
      <w:r>
        <w:rPr>
          <w:rFonts w:eastAsiaTheme="minorEastAsia"/>
          <w:color w:val="auto"/>
          <w:sz w:val="24"/>
          <w:szCs w:val="24"/>
          <w:highlight w:val="none"/>
        </w:rPr>
        <w:t>说明：</w:t>
      </w:r>
    </w:p>
    <w:p w14:paraId="1DBF9C22">
      <w:pPr>
        <w:tabs>
          <w:tab w:val="left" w:pos="5580"/>
        </w:tabs>
        <w:spacing w:line="360" w:lineRule="auto"/>
        <w:rPr>
          <w:rFonts w:eastAsiaTheme="minorEastAsia"/>
          <w:color w:val="auto"/>
          <w:sz w:val="24"/>
          <w:szCs w:val="24"/>
          <w:highlight w:val="none"/>
        </w:rPr>
      </w:pPr>
      <w:r>
        <w:rPr>
          <w:rFonts w:eastAsiaTheme="minorEastAsia"/>
          <w:color w:val="auto"/>
          <w:sz w:val="24"/>
          <w:szCs w:val="24"/>
          <w:highlight w:val="none"/>
        </w:rPr>
        <w:t>如本项目（包）允许分包，且供应商拟进行分包时</w:t>
      </w:r>
      <w:r>
        <w:rPr>
          <w:rFonts w:hint="eastAsia" w:eastAsiaTheme="minorEastAsia"/>
          <w:color w:val="auto"/>
          <w:sz w:val="24"/>
          <w:szCs w:val="24"/>
          <w:highlight w:val="none"/>
        </w:rPr>
        <w:t>：</w:t>
      </w:r>
    </w:p>
    <w:p w14:paraId="2843B440">
      <w:pPr>
        <w:tabs>
          <w:tab w:val="left" w:pos="5580"/>
        </w:tabs>
        <w:spacing w:line="360" w:lineRule="auto"/>
        <w:rPr>
          <w:color w:val="auto"/>
          <w:sz w:val="24"/>
          <w:szCs w:val="24"/>
          <w:highlight w:val="none"/>
        </w:rPr>
      </w:pPr>
      <w:r>
        <w:rPr>
          <w:rFonts w:eastAsiaTheme="minorEastAsia"/>
          <w:color w:val="auto"/>
          <w:sz w:val="24"/>
          <w:szCs w:val="24"/>
          <w:highlight w:val="none"/>
        </w:rPr>
        <w:t>（1）响应文件中须提供</w:t>
      </w:r>
      <w:r>
        <w:rPr>
          <w:color w:val="auto"/>
          <w:sz w:val="24"/>
          <w:szCs w:val="24"/>
          <w:highlight w:val="none"/>
        </w:rPr>
        <w:t>《拟分包情况说明》，否则</w:t>
      </w:r>
      <w:r>
        <w:rPr>
          <w:b/>
          <w:color w:val="auto"/>
          <w:sz w:val="24"/>
          <w:szCs w:val="24"/>
          <w:highlight w:val="none"/>
        </w:rPr>
        <w:t>响应无效</w:t>
      </w:r>
      <w:r>
        <w:rPr>
          <w:color w:val="auto"/>
          <w:sz w:val="24"/>
          <w:szCs w:val="24"/>
          <w:highlight w:val="none"/>
        </w:rPr>
        <w:t>；</w:t>
      </w:r>
    </w:p>
    <w:p w14:paraId="60EE0CDD">
      <w:pPr>
        <w:tabs>
          <w:tab w:val="left" w:pos="5580"/>
        </w:tabs>
        <w:spacing w:line="360" w:lineRule="auto"/>
        <w:rPr>
          <w:color w:val="auto"/>
          <w:sz w:val="24"/>
          <w:szCs w:val="24"/>
          <w:highlight w:val="none"/>
        </w:rPr>
      </w:pPr>
      <w:r>
        <w:rPr>
          <w:color w:val="auto"/>
          <w:sz w:val="24"/>
          <w:szCs w:val="24"/>
          <w:highlight w:val="none"/>
        </w:rPr>
        <w:t>（2）当同时符合下列情形时，</w:t>
      </w:r>
      <w:r>
        <w:rPr>
          <w:rFonts w:eastAsiaTheme="minorEastAsia"/>
          <w:color w:val="auto"/>
          <w:sz w:val="24"/>
          <w:szCs w:val="24"/>
          <w:highlight w:val="none"/>
        </w:rPr>
        <w:t>响应文件</w:t>
      </w:r>
      <w:r>
        <w:rPr>
          <w:color w:val="auto"/>
          <w:sz w:val="24"/>
          <w:szCs w:val="24"/>
          <w:highlight w:val="none"/>
        </w:rPr>
        <w:t>还须提供《分包意向协议》，否则</w:t>
      </w:r>
      <w:r>
        <w:rPr>
          <w:b/>
          <w:color w:val="auto"/>
          <w:sz w:val="24"/>
          <w:szCs w:val="24"/>
          <w:highlight w:val="none"/>
        </w:rPr>
        <w:t>响应无效</w:t>
      </w:r>
      <w:r>
        <w:rPr>
          <w:color w:val="auto"/>
          <w:sz w:val="24"/>
          <w:szCs w:val="24"/>
          <w:highlight w:val="none"/>
        </w:rPr>
        <w:t>：</w:t>
      </w:r>
    </w:p>
    <w:p w14:paraId="4E03D130">
      <w:pPr>
        <w:tabs>
          <w:tab w:val="left" w:pos="5580"/>
        </w:tabs>
        <w:spacing w:line="360" w:lineRule="auto"/>
        <w:ind w:left="567" w:leftChars="270"/>
        <w:rPr>
          <w:rFonts w:eastAsiaTheme="minorEastAsia"/>
          <w:color w:val="auto"/>
          <w:sz w:val="24"/>
          <w:szCs w:val="24"/>
          <w:highlight w:val="none"/>
        </w:rPr>
      </w:pPr>
      <w:r>
        <w:rPr>
          <w:color w:val="auto"/>
          <w:sz w:val="24"/>
          <w:szCs w:val="24"/>
          <w:highlight w:val="none"/>
        </w:rPr>
        <w:t xml:space="preserve">A. </w:t>
      </w:r>
      <w:r>
        <w:rPr>
          <w:rFonts w:eastAsiaTheme="minorEastAsia"/>
          <w:color w:val="auto"/>
          <w:sz w:val="24"/>
          <w:szCs w:val="24"/>
          <w:highlight w:val="none"/>
        </w:rPr>
        <w:t>本项目（包）预留部分采购项目预算专门面向中小企业采购，且要求获得采购合同的供应商将采购项目中的一定比例分包给一家或者多家中小企业的；</w:t>
      </w:r>
    </w:p>
    <w:p w14:paraId="597445B9">
      <w:pPr>
        <w:tabs>
          <w:tab w:val="left" w:pos="5580"/>
        </w:tabs>
        <w:spacing w:line="360" w:lineRule="auto"/>
        <w:ind w:left="567" w:leftChars="270"/>
        <w:rPr>
          <w:color w:val="auto"/>
          <w:sz w:val="24"/>
          <w:szCs w:val="24"/>
          <w:highlight w:val="none"/>
        </w:rPr>
      </w:pPr>
      <w:r>
        <w:rPr>
          <w:rFonts w:eastAsiaTheme="minorEastAsia"/>
          <w:color w:val="auto"/>
          <w:sz w:val="24"/>
          <w:szCs w:val="24"/>
          <w:highlight w:val="none"/>
        </w:rPr>
        <w:t xml:space="preserve">B. </w:t>
      </w:r>
      <w:r>
        <w:rPr>
          <w:color w:val="auto"/>
          <w:sz w:val="24"/>
          <w:szCs w:val="24"/>
          <w:highlight w:val="none"/>
        </w:rPr>
        <w:t>供应商通过分包方式满足中小企业政策要求的。</w:t>
      </w:r>
    </w:p>
    <w:p w14:paraId="57BB8293">
      <w:pPr>
        <w:tabs>
          <w:tab w:val="left" w:pos="5580"/>
        </w:tabs>
        <w:spacing w:line="360" w:lineRule="auto"/>
        <w:rPr>
          <w:color w:val="auto"/>
          <w:sz w:val="24"/>
          <w:szCs w:val="24"/>
          <w:highlight w:val="none"/>
        </w:rPr>
      </w:pPr>
      <w:r>
        <w:rPr>
          <w:rFonts w:hint="eastAsia"/>
          <w:color w:val="auto"/>
          <w:sz w:val="24"/>
          <w:szCs w:val="24"/>
          <w:highlight w:val="none"/>
        </w:rPr>
        <w:t>（3）不属于上述情形时，无须提供《拟分包情况说明》及《分包意向协议》</w:t>
      </w:r>
    </w:p>
    <w:p w14:paraId="2E9C81FF">
      <w:pPr>
        <w:autoSpaceDE w:val="0"/>
        <w:autoSpaceDN w:val="0"/>
        <w:adjustRightInd w:val="0"/>
        <w:jc w:val="center"/>
        <w:rPr>
          <w:color w:val="auto"/>
          <w:sz w:val="24"/>
          <w:szCs w:val="24"/>
          <w:highlight w:val="none"/>
        </w:rPr>
      </w:pPr>
    </w:p>
    <w:p w14:paraId="19EC816A">
      <w:pPr>
        <w:widowControl/>
        <w:jc w:val="left"/>
        <w:rPr>
          <w:b/>
          <w:color w:val="auto"/>
          <w:sz w:val="24"/>
          <w:szCs w:val="24"/>
          <w:highlight w:val="none"/>
        </w:rPr>
      </w:pPr>
      <w:r>
        <w:rPr>
          <w:b/>
          <w:color w:val="auto"/>
          <w:sz w:val="24"/>
          <w:szCs w:val="24"/>
          <w:highlight w:val="none"/>
        </w:rPr>
        <w:br w:type="page"/>
      </w:r>
    </w:p>
    <w:p w14:paraId="649E2CB6">
      <w:pPr>
        <w:widowControl/>
        <w:jc w:val="left"/>
        <w:rPr>
          <w:b/>
          <w:color w:val="auto"/>
          <w:sz w:val="24"/>
          <w:szCs w:val="24"/>
          <w:highlight w:val="none"/>
        </w:rPr>
      </w:pPr>
    </w:p>
    <w:p w14:paraId="212D6F9D">
      <w:pPr>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拟分包情况说明</w:t>
      </w:r>
    </w:p>
    <w:p w14:paraId="671FA509">
      <w:pPr>
        <w:tabs>
          <w:tab w:val="left" w:pos="5580"/>
        </w:tabs>
        <w:spacing w:line="360" w:lineRule="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440B43A7">
      <w:pPr>
        <w:adjustRightInd w:val="0"/>
        <w:snapToGrid w:val="0"/>
        <w:spacing w:line="360" w:lineRule="auto"/>
        <w:ind w:firstLine="480" w:firstLineChars="200"/>
        <w:jc w:val="left"/>
        <w:rPr>
          <w:color w:val="auto"/>
          <w:sz w:val="24"/>
          <w:szCs w:val="24"/>
          <w:highlight w:val="none"/>
        </w:rPr>
      </w:pPr>
      <w:r>
        <w:rPr>
          <w:color w:val="auto"/>
          <w:sz w:val="24"/>
          <w:szCs w:val="24"/>
          <w:highlight w:val="none"/>
        </w:rPr>
        <w:t>我单位参加贵单位组织采购的项目编号为______的______项目（填写采购项目名称）中______包（填写包号）的磋商。拟签订分包合同的单位情况如下表所示，我单位承诺一旦在该项目中获得采购合同将按下表所列情况进行分包，同时承诺分包承担主体不再次分包。</w:t>
      </w:r>
    </w:p>
    <w:tbl>
      <w:tblPr>
        <w:tblStyle w:val="53"/>
        <w:tblW w:w="9000"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457"/>
        <w:gridCol w:w="1286"/>
        <w:gridCol w:w="1512"/>
        <w:gridCol w:w="1125"/>
        <w:gridCol w:w="1560"/>
        <w:gridCol w:w="1497"/>
        <w:gridCol w:w="1563"/>
      </w:tblGrid>
      <w:tr w14:paraId="1354270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9"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F2F4165">
            <w:pPr>
              <w:pStyle w:val="258"/>
              <w:jc w:val="center"/>
              <w:rPr>
                <w:rFonts w:hint="eastAsia"/>
                <w:color w:val="auto"/>
                <w:sz w:val="24"/>
                <w:szCs w:val="24"/>
                <w:highlight w:val="none"/>
              </w:rPr>
            </w:pPr>
            <w:r>
              <w:rPr>
                <w:rFonts w:hint="eastAsia"/>
                <w:color w:val="auto"/>
                <w:sz w:val="24"/>
                <w:szCs w:val="24"/>
                <w:highlight w:val="none"/>
              </w:rPr>
              <w:t>序号</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2ECB6D4">
            <w:pPr>
              <w:pStyle w:val="258"/>
              <w:jc w:val="center"/>
              <w:rPr>
                <w:rFonts w:hint="eastAsia"/>
                <w:color w:val="auto"/>
                <w:sz w:val="24"/>
                <w:szCs w:val="24"/>
                <w:highlight w:val="none"/>
              </w:rPr>
            </w:pPr>
            <w:r>
              <w:rPr>
                <w:rFonts w:hint="eastAsia"/>
                <w:color w:val="auto"/>
                <w:sz w:val="24"/>
                <w:szCs w:val="24"/>
                <w:highlight w:val="none"/>
              </w:rPr>
              <w:t>分包承担</w:t>
            </w:r>
          </w:p>
          <w:p w14:paraId="5E2EB5A9">
            <w:pPr>
              <w:pStyle w:val="258"/>
              <w:jc w:val="center"/>
              <w:rPr>
                <w:rFonts w:hint="eastAsia"/>
                <w:color w:val="auto"/>
                <w:sz w:val="24"/>
                <w:szCs w:val="24"/>
                <w:highlight w:val="none"/>
              </w:rPr>
            </w:pPr>
            <w:r>
              <w:rPr>
                <w:rFonts w:hint="eastAsia"/>
                <w:color w:val="auto"/>
                <w:sz w:val="24"/>
                <w:szCs w:val="24"/>
                <w:highlight w:val="none"/>
              </w:rPr>
              <w:t>主体名称</w:t>
            </w: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0FBFBA5">
            <w:pPr>
              <w:pStyle w:val="258"/>
              <w:jc w:val="center"/>
              <w:rPr>
                <w:rFonts w:hint="eastAsia"/>
                <w:color w:val="auto"/>
                <w:sz w:val="24"/>
                <w:szCs w:val="24"/>
                <w:highlight w:val="none"/>
                <w:lang w:eastAsia="zh-CN"/>
              </w:rPr>
            </w:pPr>
            <w:r>
              <w:rPr>
                <w:rFonts w:hint="eastAsia"/>
                <w:color w:val="auto"/>
                <w:sz w:val="24"/>
                <w:szCs w:val="24"/>
                <w:highlight w:val="none"/>
                <w:lang w:eastAsia="zh-CN"/>
              </w:rPr>
              <w:t>分包承担</w:t>
            </w:r>
          </w:p>
          <w:p w14:paraId="1DF1CE52">
            <w:pPr>
              <w:pStyle w:val="258"/>
              <w:jc w:val="center"/>
              <w:rPr>
                <w:rFonts w:hint="eastAsia"/>
                <w:color w:val="auto"/>
                <w:sz w:val="24"/>
                <w:szCs w:val="24"/>
                <w:highlight w:val="none"/>
                <w:lang w:eastAsia="zh-CN"/>
              </w:rPr>
            </w:pPr>
            <w:r>
              <w:rPr>
                <w:rFonts w:hint="eastAsia"/>
                <w:color w:val="auto"/>
                <w:sz w:val="24"/>
                <w:szCs w:val="24"/>
                <w:highlight w:val="none"/>
                <w:lang w:eastAsia="zh-CN"/>
              </w:rPr>
              <w:t>主体类型</w:t>
            </w:r>
          </w:p>
          <w:p w14:paraId="6084F069">
            <w:pPr>
              <w:pStyle w:val="258"/>
              <w:jc w:val="center"/>
              <w:rPr>
                <w:rFonts w:hint="eastAsia"/>
                <w:color w:val="auto"/>
                <w:sz w:val="24"/>
                <w:szCs w:val="24"/>
                <w:highlight w:val="none"/>
                <w:lang w:eastAsia="zh-CN"/>
              </w:rPr>
            </w:pPr>
            <w:r>
              <w:rPr>
                <w:rFonts w:hint="eastAsia"/>
                <w:color w:val="auto"/>
                <w:sz w:val="24"/>
                <w:szCs w:val="24"/>
                <w:highlight w:val="none"/>
                <w:lang w:eastAsia="zh-CN"/>
              </w:rPr>
              <w:t>（勾选）</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707D711">
            <w:pPr>
              <w:pStyle w:val="258"/>
              <w:jc w:val="center"/>
              <w:rPr>
                <w:rFonts w:hint="eastAsia"/>
                <w:color w:val="auto"/>
                <w:sz w:val="24"/>
                <w:szCs w:val="24"/>
                <w:highlight w:val="none"/>
              </w:rPr>
            </w:pPr>
            <w:r>
              <w:rPr>
                <w:rFonts w:hint="eastAsia"/>
                <w:color w:val="auto"/>
                <w:sz w:val="24"/>
                <w:szCs w:val="24"/>
                <w:highlight w:val="none"/>
              </w:rPr>
              <w:t>资质等级</w:t>
            </w: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2D288BC">
            <w:pPr>
              <w:pStyle w:val="258"/>
              <w:jc w:val="center"/>
              <w:rPr>
                <w:rFonts w:hint="eastAsia"/>
                <w:color w:val="auto"/>
                <w:sz w:val="24"/>
                <w:szCs w:val="24"/>
                <w:highlight w:val="none"/>
              </w:rPr>
            </w:pPr>
            <w:r>
              <w:rPr>
                <w:rFonts w:hint="eastAsia"/>
                <w:color w:val="auto"/>
                <w:sz w:val="24"/>
                <w:szCs w:val="24"/>
                <w:highlight w:val="none"/>
              </w:rPr>
              <w:t>拟分包</w:t>
            </w:r>
          </w:p>
          <w:p w14:paraId="51D45ACE">
            <w:pPr>
              <w:pStyle w:val="258"/>
              <w:jc w:val="center"/>
              <w:rPr>
                <w:rFonts w:hint="eastAsia"/>
                <w:color w:val="auto"/>
                <w:sz w:val="24"/>
                <w:szCs w:val="24"/>
                <w:highlight w:val="none"/>
              </w:rPr>
            </w:pPr>
            <w:r>
              <w:rPr>
                <w:rFonts w:hint="eastAsia"/>
                <w:color w:val="auto"/>
                <w:sz w:val="24"/>
                <w:szCs w:val="24"/>
                <w:highlight w:val="none"/>
              </w:rPr>
              <w:t>合同内容</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AAC67C0">
            <w:pPr>
              <w:pStyle w:val="258"/>
              <w:jc w:val="center"/>
              <w:rPr>
                <w:rFonts w:hint="eastAsia"/>
                <w:color w:val="auto"/>
                <w:sz w:val="24"/>
                <w:szCs w:val="24"/>
                <w:highlight w:val="none"/>
                <w:lang w:eastAsia="zh-CN"/>
              </w:rPr>
            </w:pPr>
            <w:r>
              <w:rPr>
                <w:rFonts w:hint="eastAsia"/>
                <w:color w:val="auto"/>
                <w:sz w:val="24"/>
                <w:szCs w:val="24"/>
                <w:highlight w:val="none"/>
                <w:lang w:eastAsia="zh-CN"/>
              </w:rPr>
              <w:t>拟分包</w:t>
            </w:r>
          </w:p>
          <w:p w14:paraId="23152591">
            <w:pPr>
              <w:pStyle w:val="258"/>
              <w:jc w:val="center"/>
              <w:rPr>
                <w:rFonts w:hint="eastAsia"/>
                <w:color w:val="auto"/>
                <w:sz w:val="24"/>
                <w:szCs w:val="24"/>
                <w:highlight w:val="none"/>
                <w:lang w:eastAsia="zh-CN"/>
              </w:rPr>
            </w:pPr>
            <w:r>
              <w:rPr>
                <w:rFonts w:hint="eastAsia"/>
                <w:color w:val="auto"/>
                <w:sz w:val="24"/>
                <w:szCs w:val="24"/>
                <w:highlight w:val="none"/>
                <w:lang w:eastAsia="zh-CN"/>
              </w:rPr>
              <w:t>合同金额</w:t>
            </w:r>
          </w:p>
          <w:p w14:paraId="7D4EE5F7">
            <w:pPr>
              <w:pStyle w:val="258"/>
              <w:jc w:val="center"/>
              <w:rPr>
                <w:rFonts w:hint="eastAsia"/>
                <w:color w:val="auto"/>
                <w:sz w:val="24"/>
                <w:szCs w:val="24"/>
                <w:highlight w:val="none"/>
                <w:lang w:eastAsia="zh-CN"/>
              </w:rPr>
            </w:pPr>
            <w:r>
              <w:rPr>
                <w:rFonts w:hint="eastAsia"/>
                <w:color w:val="auto"/>
                <w:sz w:val="24"/>
                <w:szCs w:val="24"/>
                <w:highlight w:val="none"/>
                <w:lang w:eastAsia="zh-CN"/>
              </w:rPr>
              <w:t>（人民币元）</w:t>
            </w: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6D94112">
            <w:pPr>
              <w:pStyle w:val="258"/>
              <w:jc w:val="center"/>
              <w:rPr>
                <w:rFonts w:hint="eastAsia"/>
                <w:color w:val="auto"/>
                <w:sz w:val="24"/>
                <w:szCs w:val="24"/>
                <w:highlight w:val="none"/>
                <w:lang w:eastAsia="zh-CN"/>
              </w:rPr>
            </w:pPr>
            <w:r>
              <w:rPr>
                <w:rFonts w:hint="eastAsia"/>
                <w:color w:val="auto"/>
                <w:sz w:val="24"/>
                <w:szCs w:val="24"/>
                <w:highlight w:val="none"/>
                <w:lang w:eastAsia="zh-CN"/>
              </w:rPr>
              <w:t>占该采购包</w:t>
            </w:r>
          </w:p>
          <w:p w14:paraId="67A2319E">
            <w:pPr>
              <w:pStyle w:val="258"/>
              <w:jc w:val="center"/>
              <w:rPr>
                <w:rFonts w:hint="eastAsia"/>
                <w:b/>
                <w:color w:val="auto"/>
                <w:sz w:val="24"/>
                <w:szCs w:val="24"/>
                <w:highlight w:val="none"/>
                <w:lang w:eastAsia="zh-CN"/>
              </w:rPr>
            </w:pPr>
            <w:r>
              <w:rPr>
                <w:rFonts w:hint="eastAsia"/>
                <w:b/>
                <w:color w:val="auto"/>
                <w:sz w:val="24"/>
                <w:szCs w:val="24"/>
                <w:highlight w:val="none"/>
                <w:lang w:eastAsia="zh-CN"/>
              </w:rPr>
              <w:t>预算金额的</w:t>
            </w:r>
          </w:p>
          <w:p w14:paraId="545671AF">
            <w:pPr>
              <w:pStyle w:val="258"/>
              <w:jc w:val="center"/>
              <w:rPr>
                <w:rFonts w:hint="eastAsia"/>
                <w:color w:val="auto"/>
                <w:sz w:val="24"/>
                <w:szCs w:val="24"/>
                <w:highlight w:val="none"/>
                <w:lang w:eastAsia="zh-CN"/>
              </w:rPr>
            </w:pPr>
            <w:r>
              <w:rPr>
                <w:rFonts w:hint="eastAsia"/>
                <w:color w:val="auto"/>
                <w:sz w:val="24"/>
                <w:szCs w:val="24"/>
                <w:highlight w:val="none"/>
                <w:lang w:eastAsia="zh-CN"/>
              </w:rPr>
              <w:t>比例（</w:t>
            </w:r>
            <w:r>
              <w:rPr>
                <w:rFonts w:ascii="Times New Roman" w:eastAsia="Times New Roman"/>
                <w:color w:val="auto"/>
                <w:sz w:val="24"/>
                <w:szCs w:val="24"/>
                <w:highlight w:val="none"/>
                <w:lang w:eastAsia="zh-CN"/>
              </w:rPr>
              <w:t>%</w:t>
            </w:r>
            <w:r>
              <w:rPr>
                <w:rFonts w:hint="eastAsia"/>
                <w:color w:val="auto"/>
                <w:sz w:val="24"/>
                <w:szCs w:val="24"/>
                <w:highlight w:val="none"/>
                <w:lang w:eastAsia="zh-CN"/>
              </w:rPr>
              <w:t>）</w:t>
            </w:r>
          </w:p>
        </w:tc>
      </w:tr>
      <w:tr w14:paraId="237FCCD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E6948CD">
            <w:pPr>
              <w:pStyle w:val="258"/>
              <w:jc w:val="center"/>
              <w:rPr>
                <w:rFonts w:hint="eastAsia" w:ascii="Times New Roman"/>
                <w:color w:val="auto"/>
                <w:sz w:val="24"/>
                <w:szCs w:val="24"/>
                <w:highlight w:val="none"/>
              </w:rPr>
            </w:pPr>
            <w:r>
              <w:rPr>
                <w:rFonts w:ascii="Times New Roman"/>
                <w:color w:val="auto"/>
                <w:sz w:val="24"/>
                <w:szCs w:val="24"/>
                <w:highlight w:val="none"/>
              </w:rPr>
              <w:t>1</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81AA87B">
            <w:pPr>
              <w:pStyle w:val="258"/>
              <w:jc w:val="center"/>
              <w:rPr>
                <w:rFonts w:ascii="Times New Roman" w:hAnsi="Times New Roman" w:cs="Times New Roman"/>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BE3F84">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3A9773B6">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5F3ECEE7">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7946031">
            <w:pPr>
              <w:pStyle w:val="258"/>
              <w:jc w:val="center"/>
              <w:rPr>
                <w:rFonts w:hint="eastAsia" w:ascii="Times New Roman"/>
                <w:color w:val="auto"/>
                <w:sz w:val="24"/>
                <w:szCs w:val="24"/>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23AFD55">
            <w:pPr>
              <w:pStyle w:val="258"/>
              <w:jc w:val="center"/>
              <w:rPr>
                <w:rFonts w:hint="eastAsia" w:ascii="Times New Roman"/>
                <w:color w:val="auto"/>
                <w:sz w:val="24"/>
                <w:szCs w:val="24"/>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C15954D">
            <w:pPr>
              <w:pStyle w:val="258"/>
              <w:jc w:val="center"/>
              <w:rPr>
                <w:rFonts w:hint="eastAsia" w:ascii="Times New Roman"/>
                <w:color w:val="auto"/>
                <w:sz w:val="24"/>
                <w:szCs w:val="24"/>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30D6245">
            <w:pPr>
              <w:pStyle w:val="258"/>
              <w:jc w:val="center"/>
              <w:rPr>
                <w:rFonts w:hint="eastAsia" w:ascii="Times New Roman"/>
                <w:color w:val="auto"/>
                <w:sz w:val="24"/>
                <w:szCs w:val="24"/>
                <w:highlight w:val="none"/>
                <w:lang w:eastAsia="zh-CN"/>
              </w:rPr>
            </w:pPr>
          </w:p>
        </w:tc>
      </w:tr>
      <w:tr w14:paraId="51B432E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8E2B496">
            <w:pPr>
              <w:pStyle w:val="258"/>
              <w:jc w:val="center"/>
              <w:rPr>
                <w:rFonts w:hint="eastAsia" w:ascii="Times New Roman"/>
                <w:color w:val="auto"/>
                <w:sz w:val="24"/>
                <w:szCs w:val="24"/>
                <w:highlight w:val="none"/>
                <w:lang w:eastAsia="zh-CN"/>
              </w:rPr>
            </w:pPr>
            <w:r>
              <w:rPr>
                <w:rFonts w:ascii="Times New Roman"/>
                <w:color w:val="auto"/>
                <w:sz w:val="24"/>
                <w:szCs w:val="24"/>
                <w:highlight w:val="none"/>
                <w:lang w:eastAsia="zh-CN"/>
              </w:rPr>
              <w:t>2</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C36E630">
            <w:pPr>
              <w:pStyle w:val="258"/>
              <w:jc w:val="center"/>
              <w:rPr>
                <w:rFonts w:hint="eastAsia" w:ascii="Times New Roman"/>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5129977A">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43A50D92">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2E06633F">
            <w:pPr>
              <w:pStyle w:val="258"/>
              <w:tabs>
                <w:tab w:val="left" w:pos="235"/>
              </w:tabs>
              <w:ind w:left="1" w:leftChars="-43" w:hanging="91" w:hangingChars="38"/>
              <w:jc w:val="center"/>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其他</w:t>
            </w: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1A2D1F">
            <w:pPr>
              <w:pStyle w:val="258"/>
              <w:jc w:val="center"/>
              <w:rPr>
                <w:rFonts w:hint="eastAsia" w:ascii="Times New Roman"/>
                <w:color w:val="auto"/>
                <w:sz w:val="24"/>
                <w:szCs w:val="24"/>
                <w:highlight w:val="none"/>
                <w:lang w:eastAsia="zh-CN"/>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41D1CE">
            <w:pPr>
              <w:pStyle w:val="258"/>
              <w:jc w:val="center"/>
              <w:rPr>
                <w:rFonts w:hint="eastAsia" w:ascii="Times New Roman"/>
                <w:color w:val="auto"/>
                <w:sz w:val="24"/>
                <w:szCs w:val="24"/>
                <w:highlight w:val="none"/>
                <w:lang w:eastAsia="zh-CN"/>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1AB9FA">
            <w:pPr>
              <w:pStyle w:val="258"/>
              <w:jc w:val="center"/>
              <w:rPr>
                <w:rFonts w:hint="eastAsia" w:ascii="Times New Roman"/>
                <w:color w:val="auto"/>
                <w:sz w:val="24"/>
                <w:szCs w:val="24"/>
                <w:highlight w:val="none"/>
                <w:lang w:eastAsia="zh-CN"/>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15DACA0">
            <w:pPr>
              <w:pStyle w:val="258"/>
              <w:jc w:val="center"/>
              <w:rPr>
                <w:rFonts w:hint="eastAsia" w:ascii="Times New Roman"/>
                <w:color w:val="auto"/>
                <w:sz w:val="24"/>
                <w:szCs w:val="24"/>
                <w:highlight w:val="none"/>
                <w:lang w:eastAsia="zh-CN"/>
              </w:rPr>
            </w:pPr>
          </w:p>
        </w:tc>
      </w:tr>
      <w:tr w14:paraId="198901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45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9113A96">
            <w:pPr>
              <w:pStyle w:val="258"/>
              <w:jc w:val="center"/>
              <w:rPr>
                <w:rFonts w:hint="eastAsia" w:ascii="Times New Roman"/>
                <w:color w:val="auto"/>
                <w:sz w:val="24"/>
                <w:szCs w:val="24"/>
                <w:highlight w:val="none"/>
                <w:lang w:eastAsia="zh-CN"/>
              </w:rPr>
            </w:pPr>
            <w:r>
              <w:rPr>
                <w:rFonts w:hint="eastAsia" w:ascii="Times New Roman"/>
                <w:color w:val="auto"/>
                <w:sz w:val="24"/>
                <w:szCs w:val="24"/>
                <w:highlight w:val="none"/>
                <w:lang w:eastAsia="zh-CN"/>
              </w:rPr>
              <w:t>…</w:t>
            </w:r>
          </w:p>
        </w:tc>
        <w:tc>
          <w:tcPr>
            <w:tcW w:w="128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501333A">
            <w:pPr>
              <w:pStyle w:val="258"/>
              <w:jc w:val="center"/>
              <w:rPr>
                <w:rFonts w:hint="eastAsia" w:ascii="Times New Roman"/>
                <w:color w:val="auto"/>
                <w:sz w:val="24"/>
                <w:szCs w:val="24"/>
                <w:highlight w:val="none"/>
              </w:rPr>
            </w:pPr>
          </w:p>
        </w:tc>
        <w:tc>
          <w:tcPr>
            <w:tcW w:w="1512"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1734C0">
            <w:pPr>
              <w:pStyle w:val="258"/>
              <w:tabs>
                <w:tab w:val="left" w:pos="235"/>
              </w:tabs>
              <w:jc w:val="center"/>
              <w:rPr>
                <w:rFonts w:hint="eastAsia"/>
                <w:color w:val="auto"/>
                <w:sz w:val="24"/>
                <w:szCs w:val="24"/>
                <w:highlight w:val="none"/>
              </w:rPr>
            </w:pPr>
          </w:p>
        </w:tc>
        <w:tc>
          <w:tcPr>
            <w:tcW w:w="1125"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4F8D2D">
            <w:pPr>
              <w:pStyle w:val="258"/>
              <w:jc w:val="center"/>
              <w:rPr>
                <w:rFonts w:hint="eastAsia" w:ascii="Times New Roman"/>
                <w:color w:val="auto"/>
                <w:sz w:val="24"/>
                <w:szCs w:val="24"/>
                <w:highlight w:val="none"/>
              </w:rPr>
            </w:pPr>
          </w:p>
        </w:tc>
        <w:tc>
          <w:tcPr>
            <w:tcW w:w="156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E7F8F9">
            <w:pPr>
              <w:pStyle w:val="258"/>
              <w:jc w:val="center"/>
              <w:rPr>
                <w:rFonts w:hint="eastAsia" w:ascii="Times New Roman"/>
                <w:color w:val="auto"/>
                <w:sz w:val="24"/>
                <w:szCs w:val="24"/>
                <w:highlight w:val="none"/>
              </w:rPr>
            </w:pP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B474B95">
            <w:pPr>
              <w:pStyle w:val="258"/>
              <w:jc w:val="center"/>
              <w:rPr>
                <w:rFonts w:hint="eastAsia" w:ascii="Times New Roman"/>
                <w:color w:val="auto"/>
                <w:sz w:val="24"/>
                <w:szCs w:val="24"/>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92B9F3E">
            <w:pPr>
              <w:pStyle w:val="258"/>
              <w:jc w:val="center"/>
              <w:rPr>
                <w:rFonts w:hint="eastAsia" w:ascii="Times New Roman"/>
                <w:color w:val="auto"/>
                <w:sz w:val="24"/>
                <w:szCs w:val="24"/>
                <w:highlight w:val="none"/>
              </w:rPr>
            </w:pPr>
          </w:p>
        </w:tc>
      </w:tr>
      <w:tr w14:paraId="4BBD53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20" w:hRule="atLeast"/>
          <w:jc w:val="center"/>
        </w:trPr>
        <w:tc>
          <w:tcPr>
            <w:tcW w:w="5940" w:type="dxa"/>
            <w:gridSpan w:val="5"/>
            <w:tcBorders>
              <w:top w:val="single" w:color="000000" w:sz="4" w:space="0"/>
              <w:left w:val="single" w:color="000000" w:sz="4" w:space="0"/>
              <w:bottom w:val="single" w:color="000000" w:sz="4" w:space="0"/>
              <w:right w:val="single" w:color="000000" w:sz="4" w:space="0"/>
            </w:tcBorders>
            <w:shd w:val="clear" w:color="auto" w:fill="auto"/>
            <w:vAlign w:val="center"/>
          </w:tcPr>
          <w:p w14:paraId="37FD800B">
            <w:pPr>
              <w:pStyle w:val="258"/>
              <w:ind w:right="57" w:rightChars="27"/>
              <w:jc w:val="right"/>
              <w:rPr>
                <w:rFonts w:hint="eastAsia"/>
                <w:color w:val="auto"/>
                <w:sz w:val="24"/>
                <w:szCs w:val="24"/>
                <w:highlight w:val="none"/>
                <w:lang w:eastAsia="zh-CN"/>
              </w:rPr>
            </w:pPr>
            <w:r>
              <w:rPr>
                <w:rFonts w:hint="eastAsia"/>
                <w:color w:val="auto"/>
                <w:sz w:val="24"/>
                <w:szCs w:val="24"/>
                <w:highlight w:val="none"/>
                <w:lang w:eastAsia="zh-CN"/>
              </w:rPr>
              <w:t>合计：</w:t>
            </w:r>
          </w:p>
        </w:tc>
        <w:tc>
          <w:tcPr>
            <w:tcW w:w="1497"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3260828">
            <w:pPr>
              <w:pStyle w:val="258"/>
              <w:jc w:val="center"/>
              <w:rPr>
                <w:rFonts w:hint="eastAsia" w:ascii="Times New Roman"/>
                <w:color w:val="auto"/>
                <w:sz w:val="24"/>
                <w:szCs w:val="24"/>
                <w:highlight w:val="none"/>
              </w:rPr>
            </w:pPr>
          </w:p>
        </w:tc>
        <w:tc>
          <w:tcPr>
            <w:tcW w:w="1563"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513980F">
            <w:pPr>
              <w:pStyle w:val="258"/>
              <w:jc w:val="center"/>
              <w:rPr>
                <w:rFonts w:hint="eastAsia" w:ascii="Times New Roman"/>
                <w:color w:val="auto"/>
                <w:sz w:val="24"/>
                <w:szCs w:val="24"/>
                <w:highlight w:val="none"/>
              </w:rPr>
            </w:pPr>
          </w:p>
        </w:tc>
      </w:tr>
    </w:tbl>
    <w:p w14:paraId="3943314A">
      <w:pPr>
        <w:adjustRightInd w:val="0"/>
        <w:snapToGrid w:val="0"/>
        <w:spacing w:line="360" w:lineRule="auto"/>
        <w:jc w:val="left"/>
        <w:rPr>
          <w:color w:val="auto"/>
          <w:sz w:val="24"/>
          <w:szCs w:val="24"/>
          <w:highlight w:val="none"/>
        </w:rPr>
      </w:pPr>
    </w:p>
    <w:p w14:paraId="61C6A85E">
      <w:pPr>
        <w:autoSpaceDE w:val="0"/>
        <w:autoSpaceDN w:val="0"/>
        <w:adjustRightInd w:val="0"/>
        <w:snapToGrid w:val="0"/>
        <w:spacing w:before="25" w:after="25" w:line="360" w:lineRule="auto"/>
        <w:jc w:val="right"/>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w:t>
      </w:r>
    </w:p>
    <w:p w14:paraId="1D35F8BD">
      <w:pPr>
        <w:spacing w:line="360" w:lineRule="auto"/>
        <w:ind w:right="-57" w:firstLine="480"/>
        <w:jc w:val="right"/>
        <w:rPr>
          <w:color w:val="auto"/>
          <w:sz w:val="24"/>
          <w:szCs w:val="24"/>
          <w:highlight w:val="none"/>
        </w:rPr>
      </w:pPr>
      <w:r>
        <w:rPr>
          <w:color w:val="auto"/>
          <w:sz w:val="24"/>
          <w:szCs w:val="24"/>
          <w:highlight w:val="none"/>
        </w:rPr>
        <w:t>日期：___年___月___日</w:t>
      </w:r>
    </w:p>
    <w:p w14:paraId="3A94354A">
      <w:pPr>
        <w:adjustRightInd w:val="0"/>
        <w:snapToGrid w:val="0"/>
        <w:spacing w:line="360" w:lineRule="auto"/>
        <w:jc w:val="left"/>
        <w:rPr>
          <w:color w:val="auto"/>
          <w:sz w:val="24"/>
          <w:szCs w:val="24"/>
          <w:highlight w:val="none"/>
        </w:rPr>
      </w:pPr>
      <w:r>
        <w:rPr>
          <w:rFonts w:hint="eastAsia"/>
          <w:color w:val="auto"/>
          <w:sz w:val="24"/>
          <w:szCs w:val="24"/>
          <w:highlight w:val="none"/>
        </w:rPr>
        <w:t>注：</w:t>
      </w:r>
    </w:p>
    <w:p w14:paraId="62CD2E6C">
      <w:pPr>
        <w:adjustRightInd w:val="0"/>
        <w:snapToGrid w:val="0"/>
        <w:spacing w:line="360" w:lineRule="auto"/>
        <w:jc w:val="left"/>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）当供应商属于本部分说明中第（</w:t>
      </w:r>
      <w:r>
        <w:rPr>
          <w:color w:val="auto"/>
          <w:sz w:val="24"/>
          <w:szCs w:val="24"/>
          <w:highlight w:val="none"/>
        </w:rPr>
        <w:t>1</w:t>
      </w:r>
      <w:r>
        <w:rPr>
          <w:rFonts w:hint="eastAsia"/>
          <w:color w:val="auto"/>
          <w:sz w:val="24"/>
          <w:szCs w:val="24"/>
          <w:highlight w:val="none"/>
        </w:rPr>
        <w:t>）类情形，如未</w:t>
      </w:r>
      <w:r>
        <w:rPr>
          <w:color w:val="auto"/>
          <w:sz w:val="24"/>
          <w:szCs w:val="24"/>
          <w:highlight w:val="none"/>
        </w:rPr>
        <w:t>提</w:t>
      </w:r>
      <w:r>
        <w:rPr>
          <w:rFonts w:hint="eastAsia"/>
          <w:color w:val="auto"/>
          <w:sz w:val="24"/>
          <w:szCs w:val="24"/>
          <w:highlight w:val="none"/>
        </w:rPr>
        <w:t>供《拟分包情况说明》，或</w:t>
      </w:r>
      <w:r>
        <w:rPr>
          <w:color w:val="auto"/>
          <w:sz w:val="24"/>
          <w:szCs w:val="24"/>
          <w:highlight w:val="none"/>
        </w:rPr>
        <w:t>提</w:t>
      </w:r>
      <w:r>
        <w:rPr>
          <w:rFonts w:hint="eastAsia"/>
          <w:color w:val="auto"/>
          <w:sz w:val="24"/>
          <w:szCs w:val="24"/>
          <w:highlight w:val="none"/>
        </w:rPr>
        <w:t>供了《拟分包情况说明》但未填写分包承担主体名称、拟分包合同内容、拟分包合同金额，其响应无效；</w:t>
      </w:r>
    </w:p>
    <w:p w14:paraId="747ADD91">
      <w:pPr>
        <w:adjustRightInd w:val="0"/>
        <w:snapToGrid w:val="0"/>
        <w:spacing w:line="360" w:lineRule="auto"/>
        <w:jc w:val="left"/>
        <w:rPr>
          <w:color w:val="auto"/>
          <w:sz w:val="24"/>
          <w:szCs w:val="24"/>
          <w:highlight w:val="none"/>
        </w:rPr>
      </w:pPr>
      <w:r>
        <w:rPr>
          <w:rFonts w:hint="eastAsia"/>
          <w:color w:val="auto"/>
          <w:sz w:val="24"/>
          <w:szCs w:val="24"/>
          <w:highlight w:val="none"/>
        </w:rPr>
        <w:t>（</w:t>
      </w:r>
      <w:r>
        <w:rPr>
          <w:color w:val="auto"/>
          <w:sz w:val="24"/>
          <w:szCs w:val="24"/>
          <w:highlight w:val="none"/>
        </w:rPr>
        <w:t>2</w:t>
      </w:r>
      <w:r>
        <w:rPr>
          <w:rFonts w:hint="eastAsia"/>
          <w:color w:val="auto"/>
          <w:sz w:val="24"/>
          <w:szCs w:val="24"/>
          <w:highlight w:val="none"/>
        </w:rPr>
        <w:t>）当供应商属于本部分说明中第（</w:t>
      </w:r>
      <w:r>
        <w:rPr>
          <w:color w:val="auto"/>
          <w:sz w:val="24"/>
          <w:szCs w:val="24"/>
          <w:highlight w:val="none"/>
        </w:rPr>
        <w:t>2</w:t>
      </w:r>
      <w:r>
        <w:rPr>
          <w:rFonts w:hint="eastAsia"/>
          <w:color w:val="auto"/>
          <w:sz w:val="24"/>
          <w:szCs w:val="24"/>
          <w:highlight w:val="none"/>
        </w:rPr>
        <w:t>）类情形，如未</w:t>
      </w:r>
      <w:r>
        <w:rPr>
          <w:color w:val="auto"/>
          <w:sz w:val="24"/>
          <w:szCs w:val="24"/>
          <w:highlight w:val="none"/>
        </w:rPr>
        <w:t>提</w:t>
      </w:r>
      <w:r>
        <w:rPr>
          <w:rFonts w:hint="eastAsia"/>
          <w:color w:val="auto"/>
          <w:sz w:val="24"/>
          <w:szCs w:val="24"/>
          <w:highlight w:val="none"/>
        </w:rPr>
        <w:t>供《拟分包情况说明》，或</w:t>
      </w:r>
      <w:r>
        <w:rPr>
          <w:color w:val="auto"/>
          <w:sz w:val="24"/>
          <w:szCs w:val="24"/>
          <w:highlight w:val="none"/>
        </w:rPr>
        <w:t>提</w:t>
      </w:r>
      <w:r>
        <w:rPr>
          <w:rFonts w:hint="eastAsia"/>
          <w:color w:val="auto"/>
          <w:sz w:val="24"/>
          <w:szCs w:val="24"/>
          <w:highlight w:val="none"/>
        </w:rPr>
        <w:t>供了《拟分包情况说明》但未填写分包承担主体名称、分包承担主体类型、拟分包合同内容、拟分包合同金额，其响应无效；</w:t>
      </w:r>
    </w:p>
    <w:p w14:paraId="2892F8F1">
      <w:pPr>
        <w:adjustRightInd w:val="0"/>
        <w:snapToGrid w:val="0"/>
        <w:spacing w:line="360" w:lineRule="auto"/>
        <w:jc w:val="left"/>
        <w:rPr>
          <w:color w:val="auto"/>
          <w:sz w:val="24"/>
          <w:szCs w:val="24"/>
          <w:highlight w:val="none"/>
        </w:rPr>
      </w:pPr>
      <w:r>
        <w:rPr>
          <w:rFonts w:hint="eastAsia"/>
          <w:color w:val="auto"/>
          <w:sz w:val="24"/>
          <w:szCs w:val="24"/>
          <w:highlight w:val="none"/>
        </w:rPr>
        <w:t>（3）如本采购文件《供应商须知资料表》载明本项目分包承担主体应具备的相应资质条件，则供应商须在本表中列明分包承担主体的资质等级，并后附资质证书电子件，否则响应无效</w:t>
      </w:r>
    </w:p>
    <w:p w14:paraId="2964F35E">
      <w:pPr>
        <w:autoSpaceDE w:val="0"/>
        <w:autoSpaceDN w:val="0"/>
        <w:adjustRightInd w:val="0"/>
        <w:spacing w:line="360" w:lineRule="auto"/>
        <w:jc w:val="center"/>
        <w:rPr>
          <w:b/>
          <w:color w:val="auto"/>
          <w:sz w:val="24"/>
          <w:szCs w:val="24"/>
          <w:highlight w:val="none"/>
        </w:rPr>
      </w:pPr>
      <w:r>
        <w:rPr>
          <w:color w:val="auto"/>
          <w:sz w:val="24"/>
          <w:szCs w:val="24"/>
          <w:highlight w:val="none"/>
        </w:rPr>
        <w:br w:type="page"/>
      </w:r>
      <w:r>
        <w:rPr>
          <w:rFonts w:hint="eastAsia"/>
          <w:b/>
          <w:color w:val="auto"/>
          <w:sz w:val="24"/>
          <w:szCs w:val="24"/>
          <w:highlight w:val="none"/>
        </w:rPr>
        <w:t>附：分包意向协议（实质性格式）</w:t>
      </w:r>
    </w:p>
    <w:p w14:paraId="20D9315F">
      <w:pPr>
        <w:adjustRightInd w:val="0"/>
        <w:snapToGrid w:val="0"/>
        <w:spacing w:line="360" w:lineRule="auto"/>
        <w:ind w:firstLine="480" w:firstLineChars="200"/>
        <w:jc w:val="left"/>
        <w:rPr>
          <w:color w:val="auto"/>
          <w:sz w:val="24"/>
          <w:szCs w:val="24"/>
          <w:highlight w:val="none"/>
        </w:rPr>
      </w:pPr>
      <w:r>
        <w:rPr>
          <w:color w:val="auto"/>
          <w:sz w:val="24"/>
          <w:szCs w:val="24"/>
          <w:highlight w:val="none"/>
        </w:rPr>
        <w:t>甲方（供应商）：______</w:t>
      </w:r>
    </w:p>
    <w:p w14:paraId="4747C348">
      <w:pPr>
        <w:adjustRightInd w:val="0"/>
        <w:snapToGrid w:val="0"/>
        <w:spacing w:line="360" w:lineRule="auto"/>
        <w:ind w:firstLine="480" w:firstLineChars="200"/>
        <w:jc w:val="left"/>
        <w:rPr>
          <w:color w:val="auto"/>
          <w:sz w:val="24"/>
          <w:szCs w:val="24"/>
          <w:highlight w:val="none"/>
        </w:rPr>
      </w:pPr>
      <w:r>
        <w:rPr>
          <w:color w:val="auto"/>
          <w:sz w:val="24"/>
          <w:szCs w:val="24"/>
          <w:highlight w:val="none"/>
        </w:rPr>
        <w:t>乙方（拟分包单位）：______</w:t>
      </w:r>
    </w:p>
    <w:p w14:paraId="271B7CB8">
      <w:pPr>
        <w:adjustRightInd w:val="0"/>
        <w:snapToGrid w:val="0"/>
        <w:spacing w:line="360" w:lineRule="auto"/>
        <w:ind w:firstLine="480" w:firstLineChars="200"/>
        <w:jc w:val="left"/>
        <w:rPr>
          <w:color w:val="auto"/>
          <w:sz w:val="24"/>
          <w:szCs w:val="24"/>
          <w:highlight w:val="none"/>
        </w:rPr>
      </w:pPr>
      <w:r>
        <w:rPr>
          <w:color w:val="auto"/>
          <w:sz w:val="24"/>
          <w:szCs w:val="24"/>
          <w:highlight w:val="none"/>
        </w:rPr>
        <w:t>甲方承诺，一旦在______（采购项目名称）（项目编号/包号为：______）采购项目中获得采购合同，将按照下述约定将合同项下部分内容分包给乙方：</w:t>
      </w:r>
    </w:p>
    <w:p w14:paraId="648C7755">
      <w:pPr>
        <w:adjustRightInd w:val="0"/>
        <w:snapToGrid w:val="0"/>
        <w:spacing w:line="360" w:lineRule="auto"/>
        <w:ind w:firstLine="480" w:firstLineChars="200"/>
        <w:jc w:val="left"/>
        <w:rPr>
          <w:color w:val="auto"/>
          <w:sz w:val="24"/>
          <w:szCs w:val="24"/>
          <w:highlight w:val="none"/>
        </w:rPr>
      </w:pPr>
      <w:r>
        <w:rPr>
          <w:color w:val="auto"/>
          <w:sz w:val="24"/>
          <w:szCs w:val="24"/>
          <w:highlight w:val="none"/>
        </w:rPr>
        <w:t>1.分包内容：______。</w:t>
      </w:r>
    </w:p>
    <w:p w14:paraId="7BCAE592">
      <w:pPr>
        <w:adjustRightInd w:val="0"/>
        <w:snapToGrid w:val="0"/>
        <w:spacing w:line="360" w:lineRule="auto"/>
        <w:ind w:firstLine="480" w:firstLineChars="200"/>
        <w:jc w:val="left"/>
        <w:rPr>
          <w:color w:val="auto"/>
          <w:sz w:val="24"/>
          <w:szCs w:val="24"/>
          <w:highlight w:val="none"/>
        </w:rPr>
      </w:pPr>
      <w:r>
        <w:rPr>
          <w:color w:val="auto"/>
          <w:sz w:val="24"/>
          <w:szCs w:val="24"/>
          <w:highlight w:val="none"/>
        </w:rPr>
        <w:t>2.分包金额：______，该金额占该采购包预算总金额的比例为______%。</w:t>
      </w:r>
    </w:p>
    <w:p w14:paraId="31D60F3F">
      <w:pPr>
        <w:adjustRightInd w:val="0"/>
        <w:snapToGrid w:val="0"/>
        <w:spacing w:line="360" w:lineRule="auto"/>
        <w:ind w:firstLine="480" w:firstLineChars="200"/>
        <w:jc w:val="left"/>
        <w:rPr>
          <w:bCs/>
          <w:color w:val="auto"/>
          <w:sz w:val="24"/>
          <w:szCs w:val="24"/>
          <w:highlight w:val="none"/>
        </w:rPr>
      </w:pPr>
      <w:r>
        <w:rPr>
          <w:color w:val="auto"/>
          <w:sz w:val="24"/>
          <w:szCs w:val="24"/>
          <w:highlight w:val="none"/>
        </w:rPr>
        <w:t>乙方承诺将在上述情况下与甲方签订分包合同。</w:t>
      </w:r>
    </w:p>
    <w:p w14:paraId="7C13AB71">
      <w:pPr>
        <w:adjustRightInd w:val="0"/>
        <w:snapToGrid w:val="0"/>
        <w:spacing w:line="360" w:lineRule="auto"/>
        <w:ind w:firstLine="480" w:firstLineChars="200"/>
        <w:jc w:val="left"/>
        <w:rPr>
          <w:color w:val="auto"/>
          <w:sz w:val="24"/>
          <w:szCs w:val="24"/>
          <w:highlight w:val="none"/>
        </w:rPr>
      </w:pPr>
      <w:r>
        <w:rPr>
          <w:color w:val="auto"/>
          <w:sz w:val="24"/>
          <w:szCs w:val="24"/>
          <w:highlight w:val="none"/>
        </w:rPr>
        <w:t>本协议自各方盖章之日起生效，如甲方未在该项目（采购包）成交，本协议自动终止。</w:t>
      </w:r>
    </w:p>
    <w:p w14:paraId="19A4F9CD">
      <w:pPr>
        <w:spacing w:line="360" w:lineRule="auto"/>
        <w:ind w:firstLine="471"/>
        <w:rPr>
          <w:b/>
          <w:color w:val="auto"/>
          <w:sz w:val="24"/>
          <w:szCs w:val="24"/>
          <w:highlight w:val="none"/>
        </w:rPr>
      </w:pPr>
    </w:p>
    <w:p w14:paraId="690FE8BD">
      <w:pPr>
        <w:spacing w:line="360" w:lineRule="auto"/>
        <w:ind w:firstLine="471"/>
        <w:rPr>
          <w:b/>
          <w:color w:val="auto"/>
          <w:sz w:val="24"/>
          <w:szCs w:val="24"/>
          <w:highlight w:val="none"/>
        </w:rPr>
      </w:pPr>
      <w:r>
        <w:rPr>
          <w:color w:val="auto"/>
          <w:sz w:val="24"/>
          <w:szCs w:val="24"/>
          <w:highlight w:val="none"/>
        </w:rPr>
        <w:t>甲方（盖章）：______                     乙方（盖章）：______</w:t>
      </w:r>
    </w:p>
    <w:p w14:paraId="22608E80">
      <w:pPr>
        <w:spacing w:line="360" w:lineRule="auto"/>
        <w:ind w:left="480"/>
        <w:jc w:val="right"/>
        <w:rPr>
          <w:color w:val="auto"/>
          <w:sz w:val="24"/>
          <w:szCs w:val="24"/>
          <w:highlight w:val="none"/>
        </w:rPr>
      </w:pPr>
    </w:p>
    <w:p w14:paraId="6D47974B">
      <w:pPr>
        <w:wordWrap w:val="0"/>
        <w:spacing w:line="360" w:lineRule="auto"/>
        <w:ind w:left="480"/>
        <w:jc w:val="right"/>
        <w:rPr>
          <w:b/>
          <w:color w:val="auto"/>
          <w:sz w:val="24"/>
          <w:szCs w:val="24"/>
          <w:highlight w:val="none"/>
        </w:rPr>
      </w:pPr>
      <w:r>
        <w:rPr>
          <w:color w:val="auto"/>
          <w:sz w:val="24"/>
          <w:szCs w:val="24"/>
          <w:highlight w:val="none"/>
        </w:rPr>
        <w:t xml:space="preserve">日期：______年______月______日   </w:t>
      </w:r>
    </w:p>
    <w:p w14:paraId="6E840D6E">
      <w:pPr>
        <w:spacing w:line="360" w:lineRule="auto"/>
        <w:outlineLvl w:val="9"/>
        <w:rPr>
          <w:color w:val="auto"/>
          <w:sz w:val="24"/>
          <w:szCs w:val="24"/>
          <w:highlight w:val="none"/>
        </w:rPr>
      </w:pPr>
      <w:r>
        <w:rPr>
          <w:rFonts w:hint="eastAsia"/>
          <w:color w:val="auto"/>
          <w:sz w:val="24"/>
          <w:szCs w:val="24"/>
          <w:highlight w:val="none"/>
        </w:rPr>
        <w:t>注：</w:t>
      </w:r>
    </w:p>
    <w:p w14:paraId="5B043875">
      <w:pPr>
        <w:spacing w:line="360" w:lineRule="auto"/>
        <w:outlineLvl w:val="9"/>
        <w:rPr>
          <w:color w:val="auto"/>
          <w:sz w:val="24"/>
          <w:szCs w:val="24"/>
          <w:highlight w:val="none"/>
        </w:rPr>
      </w:pPr>
      <w:r>
        <w:rPr>
          <w:rFonts w:hint="eastAsia"/>
          <w:color w:val="auto"/>
          <w:sz w:val="24"/>
          <w:szCs w:val="24"/>
          <w:highlight w:val="none"/>
        </w:rPr>
        <w:t>（</w:t>
      </w:r>
      <w:r>
        <w:rPr>
          <w:color w:val="auto"/>
          <w:sz w:val="24"/>
          <w:szCs w:val="24"/>
          <w:highlight w:val="none"/>
        </w:rPr>
        <w:t>1</w:t>
      </w:r>
      <w:r>
        <w:rPr>
          <w:rFonts w:hint="eastAsia"/>
          <w:color w:val="auto"/>
          <w:sz w:val="24"/>
          <w:szCs w:val="24"/>
          <w:highlight w:val="none"/>
        </w:rPr>
        <w:t>）当供应商属于本部分说明中第（</w:t>
      </w:r>
      <w:r>
        <w:rPr>
          <w:color w:val="auto"/>
          <w:sz w:val="24"/>
          <w:szCs w:val="24"/>
          <w:highlight w:val="none"/>
        </w:rPr>
        <w:t>2</w:t>
      </w:r>
      <w:r>
        <w:rPr>
          <w:rFonts w:hint="eastAsia"/>
          <w:color w:val="auto"/>
          <w:sz w:val="24"/>
          <w:szCs w:val="24"/>
          <w:highlight w:val="none"/>
        </w:rPr>
        <w:t>）类情形，必须</w:t>
      </w:r>
      <w:r>
        <w:rPr>
          <w:color w:val="auto"/>
          <w:sz w:val="24"/>
          <w:szCs w:val="24"/>
          <w:highlight w:val="none"/>
        </w:rPr>
        <w:t>提</w:t>
      </w:r>
      <w:r>
        <w:rPr>
          <w:rFonts w:hint="eastAsia"/>
          <w:color w:val="auto"/>
          <w:sz w:val="24"/>
          <w:szCs w:val="24"/>
          <w:highlight w:val="none"/>
        </w:rPr>
        <w:t>供，否则</w:t>
      </w:r>
      <w:r>
        <w:rPr>
          <w:rFonts w:hint="eastAsia"/>
          <w:b/>
          <w:bCs/>
          <w:color w:val="auto"/>
          <w:sz w:val="24"/>
          <w:szCs w:val="24"/>
          <w:highlight w:val="none"/>
        </w:rPr>
        <w:t>响应无效</w:t>
      </w:r>
      <w:r>
        <w:rPr>
          <w:rFonts w:hint="eastAsia"/>
          <w:color w:val="auto"/>
          <w:sz w:val="24"/>
          <w:szCs w:val="24"/>
          <w:highlight w:val="none"/>
        </w:rPr>
        <w:t>；其他情形无须</w:t>
      </w:r>
      <w:r>
        <w:rPr>
          <w:color w:val="auto"/>
          <w:sz w:val="24"/>
          <w:szCs w:val="24"/>
          <w:highlight w:val="none"/>
        </w:rPr>
        <w:t>提</w:t>
      </w:r>
      <w:r>
        <w:rPr>
          <w:rFonts w:hint="eastAsia"/>
          <w:color w:val="auto"/>
          <w:sz w:val="24"/>
          <w:szCs w:val="24"/>
          <w:highlight w:val="none"/>
        </w:rPr>
        <w:t>供；</w:t>
      </w:r>
    </w:p>
    <w:p w14:paraId="4BF6D850">
      <w:pPr>
        <w:spacing w:line="360" w:lineRule="auto"/>
        <w:outlineLvl w:val="9"/>
        <w:rPr>
          <w:color w:val="auto"/>
          <w:sz w:val="24"/>
          <w:szCs w:val="24"/>
          <w:highlight w:val="none"/>
        </w:rPr>
      </w:pPr>
      <w:r>
        <w:rPr>
          <w:rFonts w:hint="eastAsia"/>
          <w:color w:val="auto"/>
          <w:sz w:val="24"/>
          <w:szCs w:val="24"/>
          <w:highlight w:val="none"/>
        </w:rPr>
        <w:t>（2）供应商须与所有拟分包单位分别签订《分包意向协议》，每单位签订一份，并在响应文件中</w:t>
      </w:r>
      <w:r>
        <w:rPr>
          <w:color w:val="auto"/>
          <w:sz w:val="24"/>
          <w:szCs w:val="24"/>
          <w:highlight w:val="none"/>
        </w:rPr>
        <w:t>提</w:t>
      </w:r>
      <w:r>
        <w:rPr>
          <w:rFonts w:hint="eastAsia"/>
          <w:color w:val="auto"/>
          <w:sz w:val="24"/>
          <w:szCs w:val="24"/>
          <w:highlight w:val="none"/>
        </w:rPr>
        <w:t>交全部协议原件的电子件，否则</w:t>
      </w:r>
      <w:r>
        <w:rPr>
          <w:rFonts w:hint="eastAsia"/>
          <w:b/>
          <w:bCs/>
          <w:color w:val="auto"/>
          <w:sz w:val="24"/>
          <w:szCs w:val="24"/>
          <w:highlight w:val="none"/>
        </w:rPr>
        <w:t>响应无效</w:t>
      </w:r>
      <w:r>
        <w:rPr>
          <w:rFonts w:hint="eastAsia"/>
          <w:color w:val="auto"/>
          <w:sz w:val="24"/>
          <w:szCs w:val="24"/>
          <w:highlight w:val="none"/>
        </w:rPr>
        <w:t>。</w:t>
      </w:r>
    </w:p>
    <w:p w14:paraId="57D55FE9">
      <w:pPr>
        <w:widowControl/>
        <w:jc w:val="left"/>
        <w:outlineLvl w:val="9"/>
        <w:rPr>
          <w:color w:val="auto"/>
          <w:sz w:val="24"/>
          <w:szCs w:val="24"/>
          <w:highlight w:val="none"/>
        </w:rPr>
      </w:pPr>
      <w:r>
        <w:rPr>
          <w:color w:val="auto"/>
          <w:sz w:val="24"/>
          <w:szCs w:val="24"/>
          <w:highlight w:val="none"/>
        </w:rPr>
        <w:br w:type="page"/>
      </w:r>
    </w:p>
    <w:p w14:paraId="2FCD483C">
      <w:pPr>
        <w:spacing w:line="360" w:lineRule="auto"/>
        <w:outlineLvl w:val="2"/>
        <w:rPr>
          <w:color w:val="auto"/>
          <w:sz w:val="24"/>
          <w:szCs w:val="24"/>
          <w:highlight w:val="none"/>
        </w:rPr>
      </w:pPr>
      <w:r>
        <w:rPr>
          <w:color w:val="auto"/>
          <w:sz w:val="24"/>
          <w:szCs w:val="24"/>
          <w:highlight w:val="none"/>
        </w:rPr>
        <w:t>2-2 其它落实政府采购政策的资格要求（如有）</w:t>
      </w:r>
    </w:p>
    <w:p w14:paraId="7158F06C">
      <w:pPr>
        <w:widowControl/>
        <w:jc w:val="left"/>
        <w:rPr>
          <w:color w:val="auto"/>
          <w:sz w:val="24"/>
          <w:szCs w:val="24"/>
          <w:highlight w:val="none"/>
        </w:rPr>
      </w:pPr>
    </w:p>
    <w:p w14:paraId="7C0C5C23">
      <w:pPr>
        <w:widowControl/>
        <w:jc w:val="left"/>
        <w:rPr>
          <w:color w:val="auto"/>
          <w:sz w:val="24"/>
          <w:szCs w:val="24"/>
          <w:highlight w:val="none"/>
        </w:rPr>
      </w:pPr>
      <w:r>
        <w:rPr>
          <w:color w:val="auto"/>
          <w:sz w:val="24"/>
          <w:szCs w:val="24"/>
          <w:highlight w:val="none"/>
        </w:rPr>
        <w:br w:type="page"/>
      </w:r>
    </w:p>
    <w:p w14:paraId="0137A321">
      <w:pPr>
        <w:tabs>
          <w:tab w:val="left" w:pos="360"/>
        </w:tabs>
        <w:snapToGrid w:val="0"/>
        <w:spacing w:line="360" w:lineRule="auto"/>
        <w:outlineLvl w:val="1"/>
        <w:rPr>
          <w:color w:val="auto"/>
          <w:sz w:val="24"/>
          <w:szCs w:val="24"/>
          <w:highlight w:val="none"/>
        </w:rPr>
      </w:pPr>
      <w:r>
        <w:rPr>
          <w:color w:val="auto"/>
          <w:sz w:val="24"/>
          <w:szCs w:val="24"/>
          <w:highlight w:val="none"/>
        </w:rPr>
        <w:t>3 本项目的特定资格要求（如有）</w:t>
      </w:r>
    </w:p>
    <w:p w14:paraId="4E79D891">
      <w:pPr>
        <w:spacing w:line="360" w:lineRule="auto"/>
        <w:outlineLvl w:val="2"/>
        <w:rPr>
          <w:color w:val="auto"/>
          <w:sz w:val="24"/>
          <w:szCs w:val="24"/>
          <w:highlight w:val="none"/>
        </w:rPr>
      </w:pPr>
      <w:r>
        <w:rPr>
          <w:color w:val="auto"/>
          <w:sz w:val="24"/>
          <w:szCs w:val="24"/>
          <w:highlight w:val="none"/>
        </w:rPr>
        <w:t>3-1联合协议（如有）（实质性格式）</w:t>
      </w:r>
    </w:p>
    <w:p w14:paraId="337619A1">
      <w:pPr>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联合协议</w:t>
      </w:r>
    </w:p>
    <w:p w14:paraId="54C20A75">
      <w:pPr>
        <w:spacing w:line="360" w:lineRule="auto"/>
        <w:ind w:firstLine="828" w:firstLineChars="345"/>
        <w:rPr>
          <w:bCs/>
          <w:color w:val="auto"/>
          <w:sz w:val="24"/>
          <w:szCs w:val="24"/>
          <w:highlight w:val="none"/>
        </w:rPr>
      </w:pPr>
      <w:r>
        <w:rPr>
          <w:color w:val="auto"/>
          <w:sz w:val="24"/>
          <w:szCs w:val="24"/>
          <w:highlight w:val="none"/>
        </w:rPr>
        <w:t>______</w:t>
      </w:r>
      <w:r>
        <w:rPr>
          <w:bCs/>
          <w:color w:val="auto"/>
          <w:sz w:val="24"/>
          <w:szCs w:val="24"/>
          <w:highlight w:val="none"/>
        </w:rPr>
        <w:t xml:space="preserve"> 、</w:t>
      </w:r>
      <w:r>
        <w:rPr>
          <w:color w:val="auto"/>
          <w:sz w:val="24"/>
          <w:szCs w:val="24"/>
          <w:highlight w:val="none"/>
        </w:rPr>
        <w:t>______</w:t>
      </w:r>
      <w:r>
        <w:rPr>
          <w:bCs/>
          <w:color w:val="auto"/>
          <w:sz w:val="24"/>
          <w:szCs w:val="24"/>
          <w:highlight w:val="none"/>
        </w:rPr>
        <w:t>及</w:t>
      </w:r>
      <w:r>
        <w:rPr>
          <w:color w:val="auto"/>
          <w:sz w:val="24"/>
          <w:szCs w:val="24"/>
          <w:highlight w:val="none"/>
        </w:rPr>
        <w:t>______</w:t>
      </w:r>
      <w:r>
        <w:rPr>
          <w:bCs/>
          <w:color w:val="auto"/>
          <w:sz w:val="24"/>
          <w:szCs w:val="24"/>
          <w:highlight w:val="none"/>
        </w:rPr>
        <w:t>就“</w:t>
      </w:r>
      <w:r>
        <w:rPr>
          <w:color w:val="auto"/>
          <w:sz w:val="24"/>
          <w:szCs w:val="24"/>
          <w:highlight w:val="none"/>
        </w:rPr>
        <w:t>______</w:t>
      </w:r>
      <w:r>
        <w:rPr>
          <w:bCs/>
          <w:color w:val="auto"/>
          <w:sz w:val="24"/>
          <w:szCs w:val="24"/>
          <w:highlight w:val="none"/>
        </w:rPr>
        <w:t>（项目名称）</w:t>
      </w:r>
      <w:r>
        <w:rPr>
          <w:color w:val="auto"/>
          <w:sz w:val="24"/>
          <w:szCs w:val="24"/>
          <w:highlight w:val="none"/>
        </w:rPr>
        <w:t>” ______包</w:t>
      </w:r>
      <w:r>
        <w:rPr>
          <w:bCs/>
          <w:color w:val="auto"/>
          <w:sz w:val="24"/>
          <w:szCs w:val="24"/>
          <w:highlight w:val="none"/>
        </w:rPr>
        <w:t>采购项目的磋商事宜，经各方充分协商一致，达成如下协议：</w:t>
      </w:r>
    </w:p>
    <w:p w14:paraId="33180398">
      <w:pPr>
        <w:numPr>
          <w:ilvl w:val="0"/>
          <w:numId w:val="12"/>
        </w:numPr>
        <w:spacing w:line="360" w:lineRule="auto"/>
        <w:rPr>
          <w:bCs/>
          <w:color w:val="auto"/>
          <w:sz w:val="24"/>
          <w:szCs w:val="24"/>
          <w:highlight w:val="none"/>
        </w:rPr>
      </w:pPr>
      <w:r>
        <w:rPr>
          <w:bCs/>
          <w:color w:val="auto"/>
          <w:sz w:val="24"/>
          <w:szCs w:val="24"/>
          <w:highlight w:val="none"/>
        </w:rPr>
        <w:t>由</w:t>
      </w:r>
      <w:r>
        <w:rPr>
          <w:color w:val="auto"/>
          <w:sz w:val="24"/>
          <w:szCs w:val="24"/>
          <w:highlight w:val="none"/>
        </w:rPr>
        <w:t>____</w:t>
      </w:r>
      <w:r>
        <w:rPr>
          <w:bCs/>
          <w:color w:val="auto"/>
          <w:sz w:val="24"/>
          <w:szCs w:val="24"/>
          <w:highlight w:val="none"/>
        </w:rPr>
        <w:t>__</w:t>
      </w:r>
      <w:r>
        <w:rPr>
          <w:color w:val="auto"/>
          <w:sz w:val="24"/>
          <w:szCs w:val="24"/>
          <w:highlight w:val="none"/>
        </w:rPr>
        <w:t>__</w:t>
      </w:r>
      <w:r>
        <w:rPr>
          <w:bCs/>
          <w:color w:val="auto"/>
          <w:sz w:val="24"/>
          <w:szCs w:val="24"/>
          <w:highlight w:val="none"/>
        </w:rPr>
        <w:t>牵头，</w:t>
      </w:r>
      <w:r>
        <w:rPr>
          <w:color w:val="auto"/>
          <w:sz w:val="24"/>
          <w:szCs w:val="24"/>
          <w:highlight w:val="none"/>
        </w:rPr>
        <w:t>___</w:t>
      </w:r>
      <w:r>
        <w:rPr>
          <w:bCs/>
          <w:color w:val="auto"/>
          <w:sz w:val="24"/>
          <w:szCs w:val="24"/>
          <w:highlight w:val="none"/>
        </w:rPr>
        <w:t>__</w:t>
      </w:r>
      <w:r>
        <w:rPr>
          <w:color w:val="auto"/>
          <w:sz w:val="24"/>
          <w:szCs w:val="24"/>
          <w:highlight w:val="none"/>
        </w:rPr>
        <w:t>___</w:t>
      </w:r>
      <w:r>
        <w:rPr>
          <w:bCs/>
          <w:color w:val="auto"/>
          <w:sz w:val="24"/>
          <w:szCs w:val="24"/>
          <w:highlight w:val="none"/>
        </w:rPr>
        <w:t>、</w:t>
      </w:r>
      <w:r>
        <w:rPr>
          <w:color w:val="auto"/>
          <w:sz w:val="24"/>
          <w:szCs w:val="24"/>
          <w:highlight w:val="none"/>
        </w:rPr>
        <w:t>___</w:t>
      </w:r>
      <w:r>
        <w:rPr>
          <w:bCs/>
          <w:color w:val="auto"/>
          <w:sz w:val="24"/>
          <w:szCs w:val="24"/>
          <w:highlight w:val="none"/>
        </w:rPr>
        <w:t>__</w:t>
      </w:r>
      <w:r>
        <w:rPr>
          <w:color w:val="auto"/>
          <w:sz w:val="24"/>
          <w:szCs w:val="24"/>
          <w:highlight w:val="none"/>
        </w:rPr>
        <w:t>___</w:t>
      </w:r>
      <w:r>
        <w:rPr>
          <w:bCs/>
          <w:color w:val="auto"/>
          <w:sz w:val="24"/>
          <w:szCs w:val="24"/>
          <w:highlight w:val="none"/>
        </w:rPr>
        <w:t>参加，组成联合体共同进行采购项目的磋商工作。</w:t>
      </w:r>
    </w:p>
    <w:p w14:paraId="3B4EB6EF">
      <w:pPr>
        <w:numPr>
          <w:ilvl w:val="0"/>
          <w:numId w:val="12"/>
        </w:numPr>
        <w:spacing w:line="360" w:lineRule="auto"/>
        <w:rPr>
          <w:bCs/>
          <w:color w:val="auto"/>
          <w:sz w:val="24"/>
          <w:szCs w:val="24"/>
          <w:highlight w:val="none"/>
        </w:rPr>
      </w:pPr>
      <w:r>
        <w:rPr>
          <w:color w:val="auto"/>
          <w:sz w:val="24"/>
          <w:szCs w:val="24"/>
          <w:highlight w:val="none"/>
        </w:rPr>
        <w:t>______</w:t>
      </w:r>
      <w:r>
        <w:rPr>
          <w:bCs/>
          <w:color w:val="auto"/>
          <w:sz w:val="24"/>
          <w:szCs w:val="24"/>
          <w:highlight w:val="none"/>
        </w:rPr>
        <w:t>为本次磋商的牵头人，联合体以牵头人的名义参加磋商，联合体成交后，联合体各方共同与采购人签订合同，就</w:t>
      </w:r>
      <w:r>
        <w:rPr>
          <w:color w:val="auto"/>
          <w:sz w:val="24"/>
          <w:szCs w:val="24"/>
          <w:highlight w:val="none"/>
        </w:rPr>
        <w:t>采购合同约定的事项</w:t>
      </w:r>
      <w:r>
        <w:rPr>
          <w:bCs/>
          <w:color w:val="auto"/>
          <w:sz w:val="24"/>
          <w:szCs w:val="24"/>
          <w:highlight w:val="none"/>
        </w:rPr>
        <w:t>对采购人承担连带责任。</w:t>
      </w:r>
    </w:p>
    <w:p w14:paraId="55CCCB0F">
      <w:pPr>
        <w:numPr>
          <w:ilvl w:val="0"/>
          <w:numId w:val="12"/>
        </w:numPr>
        <w:spacing w:line="360" w:lineRule="auto"/>
        <w:rPr>
          <w:bCs/>
          <w:color w:val="auto"/>
          <w:sz w:val="24"/>
          <w:szCs w:val="24"/>
          <w:highlight w:val="none"/>
        </w:rPr>
      </w:pPr>
      <w:r>
        <w:rPr>
          <w:bCs/>
          <w:color w:val="auto"/>
          <w:sz w:val="24"/>
          <w:szCs w:val="24"/>
          <w:highlight w:val="none"/>
        </w:rPr>
        <w:t>联合体各方均同意由牵头人代表其他联合体成员单位按竞争性磋商文件要求出具《授权委托书》。</w:t>
      </w:r>
    </w:p>
    <w:p w14:paraId="2C96EF4B">
      <w:pPr>
        <w:numPr>
          <w:ilvl w:val="0"/>
          <w:numId w:val="12"/>
        </w:numPr>
        <w:spacing w:line="360" w:lineRule="auto"/>
        <w:rPr>
          <w:bCs/>
          <w:color w:val="auto"/>
          <w:sz w:val="24"/>
          <w:szCs w:val="24"/>
          <w:highlight w:val="none"/>
        </w:rPr>
      </w:pPr>
      <w:r>
        <w:rPr>
          <w:bCs/>
          <w:color w:val="auto"/>
          <w:sz w:val="24"/>
          <w:szCs w:val="24"/>
          <w:highlight w:val="none"/>
        </w:rPr>
        <w:t>牵头人为项目的总负责单位；组织各参加方进行项目实施工作。</w:t>
      </w:r>
    </w:p>
    <w:p w14:paraId="3566D8DA">
      <w:pPr>
        <w:numPr>
          <w:ilvl w:val="0"/>
          <w:numId w:val="12"/>
        </w:numPr>
        <w:spacing w:line="360" w:lineRule="auto"/>
        <w:rPr>
          <w:bCs/>
          <w:color w:val="auto"/>
          <w:sz w:val="24"/>
          <w:szCs w:val="24"/>
          <w:highlight w:val="none"/>
        </w:rPr>
      </w:pPr>
      <w:r>
        <w:rPr>
          <w:color w:val="auto"/>
          <w:sz w:val="24"/>
          <w:szCs w:val="24"/>
          <w:highlight w:val="none"/>
        </w:rPr>
        <w:t>______</w:t>
      </w:r>
      <w:r>
        <w:rPr>
          <w:bCs/>
          <w:color w:val="auto"/>
          <w:sz w:val="24"/>
          <w:szCs w:val="24"/>
          <w:highlight w:val="none"/>
        </w:rPr>
        <w:t>负责</w:t>
      </w:r>
      <w:r>
        <w:rPr>
          <w:color w:val="auto"/>
          <w:sz w:val="24"/>
          <w:szCs w:val="24"/>
          <w:highlight w:val="none"/>
        </w:rPr>
        <w:t>______</w:t>
      </w:r>
      <w:r>
        <w:rPr>
          <w:bCs/>
          <w:color w:val="auto"/>
          <w:sz w:val="24"/>
          <w:szCs w:val="24"/>
          <w:highlight w:val="none"/>
        </w:rPr>
        <w:t>，具体工作范围、内容以响应文件及合同为准。</w:t>
      </w:r>
    </w:p>
    <w:p w14:paraId="4599FD69">
      <w:pPr>
        <w:numPr>
          <w:ilvl w:val="0"/>
          <w:numId w:val="12"/>
        </w:numPr>
        <w:spacing w:line="360" w:lineRule="auto"/>
        <w:rPr>
          <w:bCs/>
          <w:color w:val="auto"/>
          <w:sz w:val="24"/>
          <w:szCs w:val="24"/>
          <w:highlight w:val="none"/>
        </w:rPr>
      </w:pPr>
      <w:r>
        <w:rPr>
          <w:color w:val="auto"/>
          <w:sz w:val="24"/>
          <w:szCs w:val="24"/>
          <w:highlight w:val="none"/>
        </w:rPr>
        <w:t>______</w:t>
      </w:r>
      <w:r>
        <w:rPr>
          <w:bCs/>
          <w:color w:val="auto"/>
          <w:sz w:val="24"/>
          <w:szCs w:val="24"/>
          <w:highlight w:val="none"/>
        </w:rPr>
        <w:t>负责</w:t>
      </w:r>
      <w:r>
        <w:rPr>
          <w:color w:val="auto"/>
          <w:sz w:val="24"/>
          <w:szCs w:val="24"/>
          <w:highlight w:val="none"/>
        </w:rPr>
        <w:t>______</w:t>
      </w:r>
      <w:r>
        <w:rPr>
          <w:bCs/>
          <w:color w:val="auto"/>
          <w:sz w:val="24"/>
          <w:szCs w:val="24"/>
          <w:highlight w:val="none"/>
        </w:rPr>
        <w:t>，具体工作范围、内容以响应文件及合同为准。</w:t>
      </w:r>
    </w:p>
    <w:p w14:paraId="3F9B734C">
      <w:pPr>
        <w:numPr>
          <w:ilvl w:val="0"/>
          <w:numId w:val="12"/>
        </w:numPr>
        <w:spacing w:line="360" w:lineRule="auto"/>
        <w:rPr>
          <w:bCs/>
          <w:color w:val="auto"/>
          <w:sz w:val="24"/>
          <w:szCs w:val="24"/>
          <w:highlight w:val="none"/>
        </w:rPr>
      </w:pPr>
      <w:r>
        <w:rPr>
          <w:color w:val="auto"/>
          <w:sz w:val="24"/>
          <w:szCs w:val="24"/>
          <w:highlight w:val="none"/>
        </w:rPr>
        <w:t>______</w:t>
      </w:r>
      <w:r>
        <w:rPr>
          <w:bCs/>
          <w:color w:val="auto"/>
          <w:sz w:val="24"/>
          <w:szCs w:val="24"/>
          <w:highlight w:val="none"/>
        </w:rPr>
        <w:t>负责</w:t>
      </w:r>
      <w:r>
        <w:rPr>
          <w:color w:val="auto"/>
          <w:sz w:val="24"/>
          <w:szCs w:val="24"/>
          <w:highlight w:val="none"/>
        </w:rPr>
        <w:t>______</w:t>
      </w:r>
      <w:r>
        <w:rPr>
          <w:bCs/>
          <w:color w:val="auto"/>
          <w:sz w:val="24"/>
          <w:szCs w:val="24"/>
          <w:highlight w:val="none"/>
        </w:rPr>
        <w:t>（如有），具体工作范围、内容以响应文件及合同为准。</w:t>
      </w:r>
    </w:p>
    <w:p w14:paraId="49A2EF65">
      <w:pPr>
        <w:numPr>
          <w:ilvl w:val="0"/>
          <w:numId w:val="12"/>
        </w:numPr>
        <w:spacing w:line="360" w:lineRule="auto"/>
        <w:rPr>
          <w:color w:val="auto"/>
          <w:sz w:val="24"/>
          <w:szCs w:val="24"/>
          <w:highlight w:val="none"/>
        </w:rPr>
      </w:pPr>
      <w:r>
        <w:rPr>
          <w:color w:val="auto"/>
          <w:sz w:val="24"/>
          <w:szCs w:val="24"/>
          <w:highlight w:val="none"/>
        </w:rPr>
        <w:t>本项目联合协议合同总额为______元，联合体各成员按照如下比例分摊（按联合体成员分别列明）：</w:t>
      </w:r>
    </w:p>
    <w:p w14:paraId="0AC6C5CB">
      <w:pPr>
        <w:tabs>
          <w:tab w:val="left" w:pos="720"/>
          <w:tab w:val="left" w:pos="900"/>
        </w:tabs>
        <w:spacing w:line="360" w:lineRule="auto"/>
        <w:ind w:left="851"/>
        <w:rPr>
          <w:color w:val="auto"/>
          <w:sz w:val="24"/>
          <w:szCs w:val="24"/>
          <w:highlight w:val="none"/>
        </w:rPr>
      </w:pPr>
      <w:r>
        <w:rPr>
          <w:color w:val="auto"/>
          <w:sz w:val="24"/>
          <w:szCs w:val="24"/>
          <w:highlight w:val="none"/>
        </w:rPr>
        <w:t>（1）______为□大型企业□中型企业、□小微企业（包含监狱企业、残疾人福利性单位）、□其他，合同金额为______元；</w:t>
      </w:r>
    </w:p>
    <w:p w14:paraId="069EB6E5">
      <w:pPr>
        <w:tabs>
          <w:tab w:val="left" w:pos="720"/>
          <w:tab w:val="left" w:pos="900"/>
        </w:tabs>
        <w:spacing w:line="360" w:lineRule="auto"/>
        <w:ind w:left="851"/>
        <w:rPr>
          <w:color w:val="auto"/>
          <w:sz w:val="24"/>
          <w:szCs w:val="24"/>
          <w:highlight w:val="none"/>
        </w:rPr>
      </w:pPr>
      <w:r>
        <w:rPr>
          <w:color w:val="auto"/>
          <w:sz w:val="24"/>
          <w:szCs w:val="24"/>
          <w:highlight w:val="none"/>
        </w:rPr>
        <w:t>（2）______为□大型企业□中型企业、□小微企业（包含监狱企业、残疾人福利性单位）、□其他，合同金额为______元；</w:t>
      </w:r>
    </w:p>
    <w:p w14:paraId="11DB20DF">
      <w:pPr>
        <w:tabs>
          <w:tab w:val="left" w:pos="720"/>
          <w:tab w:val="left" w:pos="900"/>
        </w:tabs>
        <w:spacing w:line="360" w:lineRule="auto"/>
        <w:ind w:left="851"/>
        <w:rPr>
          <w:color w:val="auto"/>
          <w:sz w:val="24"/>
          <w:szCs w:val="24"/>
          <w:highlight w:val="none"/>
        </w:rPr>
      </w:pPr>
      <w:r>
        <w:rPr>
          <w:color w:val="auto"/>
          <w:sz w:val="24"/>
          <w:szCs w:val="24"/>
          <w:highlight w:val="none"/>
        </w:rPr>
        <w:t>（…）______为□大型企业□中型企业、□小微企业（包含监狱企业、残疾人福利性单位）、□其他，合同金额为______元。</w:t>
      </w:r>
    </w:p>
    <w:p w14:paraId="1E88CEE6">
      <w:pPr>
        <w:numPr>
          <w:ilvl w:val="0"/>
          <w:numId w:val="12"/>
        </w:numPr>
        <w:tabs>
          <w:tab w:val="left" w:pos="993"/>
        </w:tabs>
        <w:spacing w:line="360" w:lineRule="auto"/>
        <w:rPr>
          <w:bCs/>
          <w:color w:val="auto"/>
          <w:sz w:val="24"/>
          <w:szCs w:val="24"/>
          <w:highlight w:val="none"/>
        </w:rPr>
      </w:pPr>
      <w:r>
        <w:rPr>
          <w:color w:val="auto"/>
          <w:sz w:val="24"/>
          <w:szCs w:val="24"/>
          <w:highlight w:val="none"/>
        </w:rPr>
        <w:t>以联合体形式参加政府采购活动的，联合体各方不得再单独参加或者与其他供应商另外组成联合体参加同一合同项下的政府采购活动。</w:t>
      </w:r>
    </w:p>
    <w:p w14:paraId="017616C4">
      <w:pPr>
        <w:numPr>
          <w:ilvl w:val="0"/>
          <w:numId w:val="12"/>
        </w:numPr>
        <w:spacing w:line="360" w:lineRule="auto"/>
        <w:rPr>
          <w:bCs/>
          <w:color w:val="auto"/>
          <w:sz w:val="24"/>
          <w:szCs w:val="24"/>
          <w:highlight w:val="none"/>
        </w:rPr>
      </w:pPr>
      <w:r>
        <w:rPr>
          <w:bCs/>
          <w:color w:val="auto"/>
          <w:sz w:val="24"/>
          <w:szCs w:val="24"/>
          <w:highlight w:val="none"/>
        </w:rPr>
        <w:t>其他约定（如有）：</w:t>
      </w:r>
      <w:r>
        <w:rPr>
          <w:color w:val="auto"/>
          <w:sz w:val="24"/>
          <w:szCs w:val="24"/>
          <w:highlight w:val="none"/>
        </w:rPr>
        <w:t>______</w:t>
      </w:r>
      <w:r>
        <w:rPr>
          <w:rFonts w:hint="eastAsia"/>
          <w:color w:val="auto"/>
          <w:sz w:val="24"/>
          <w:szCs w:val="24"/>
          <w:highlight w:val="none"/>
        </w:rPr>
        <w:t>。</w:t>
      </w:r>
    </w:p>
    <w:p w14:paraId="2A53FC13">
      <w:pPr>
        <w:tabs>
          <w:tab w:val="left" w:pos="780"/>
        </w:tabs>
        <w:spacing w:line="360" w:lineRule="auto"/>
        <w:ind w:left="180" w:firstLine="480" w:firstLineChars="200"/>
        <w:rPr>
          <w:color w:val="auto"/>
          <w:sz w:val="24"/>
          <w:szCs w:val="24"/>
          <w:highlight w:val="none"/>
        </w:rPr>
      </w:pPr>
      <w:r>
        <w:rPr>
          <w:bCs/>
          <w:color w:val="auto"/>
          <w:sz w:val="24"/>
          <w:szCs w:val="24"/>
          <w:highlight w:val="none"/>
        </w:rPr>
        <w:t>本协议自各方盖章后生效，采购合同履行完毕后自动失效。如未成交，本协议自动终止。</w:t>
      </w:r>
      <w:r>
        <w:rPr>
          <w:color w:val="auto"/>
          <w:sz w:val="24"/>
          <w:szCs w:val="24"/>
          <w:highlight w:val="none"/>
        </w:rPr>
        <w:br w:type="page"/>
      </w:r>
    </w:p>
    <w:p w14:paraId="72FA3872">
      <w:pPr>
        <w:spacing w:line="360" w:lineRule="auto"/>
        <w:ind w:firstLine="471"/>
        <w:rPr>
          <w:color w:val="auto"/>
          <w:sz w:val="24"/>
          <w:szCs w:val="24"/>
          <w:highlight w:val="none"/>
        </w:rPr>
      </w:pPr>
      <w:r>
        <w:rPr>
          <w:rFonts w:hint="eastAsia"/>
          <w:color w:val="auto"/>
          <w:sz w:val="24"/>
          <w:szCs w:val="24"/>
          <w:highlight w:val="none"/>
        </w:rPr>
        <w:t>联合体</w:t>
      </w:r>
      <w:r>
        <w:rPr>
          <w:color w:val="auto"/>
          <w:sz w:val="24"/>
          <w:szCs w:val="24"/>
          <w:highlight w:val="none"/>
        </w:rPr>
        <w:t>牵头人</w:t>
      </w:r>
      <w:r>
        <w:rPr>
          <w:rFonts w:hint="eastAsia"/>
          <w:color w:val="auto"/>
          <w:sz w:val="24"/>
          <w:szCs w:val="24"/>
          <w:highlight w:val="none"/>
        </w:rPr>
        <w:t>名称：</w:t>
      </w:r>
      <w:r>
        <w:rPr>
          <w:color w:val="auto"/>
          <w:sz w:val="24"/>
          <w:szCs w:val="24"/>
          <w:highlight w:val="none"/>
        </w:rPr>
        <w:t>______</w:t>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ab/>
      </w:r>
      <w:r>
        <w:rPr>
          <w:color w:val="auto"/>
          <w:sz w:val="24"/>
          <w:szCs w:val="24"/>
          <w:highlight w:val="none"/>
        </w:rPr>
        <w:t xml:space="preserve"> </w:t>
      </w:r>
      <w:r>
        <w:rPr>
          <w:rFonts w:hint="eastAsia"/>
          <w:color w:val="auto"/>
          <w:sz w:val="24"/>
          <w:szCs w:val="24"/>
          <w:highlight w:val="none"/>
        </w:rPr>
        <w:t>联合体成员名称</w:t>
      </w:r>
      <w:r>
        <w:rPr>
          <w:color w:val="auto"/>
          <w:sz w:val="24"/>
          <w:szCs w:val="24"/>
          <w:highlight w:val="none"/>
        </w:rPr>
        <w:t>：______</w:t>
      </w:r>
    </w:p>
    <w:p w14:paraId="04546710">
      <w:pPr>
        <w:spacing w:line="360" w:lineRule="auto"/>
        <w:ind w:firstLine="471"/>
        <w:rPr>
          <w:color w:val="auto"/>
          <w:sz w:val="24"/>
          <w:szCs w:val="24"/>
          <w:highlight w:val="none"/>
        </w:rPr>
      </w:pPr>
      <w:r>
        <w:rPr>
          <w:color w:val="auto"/>
          <w:sz w:val="24"/>
          <w:szCs w:val="24"/>
          <w:highlight w:val="none"/>
        </w:rPr>
        <w:t>盖章：______                           盖章：______</w:t>
      </w:r>
    </w:p>
    <w:p w14:paraId="3502936D">
      <w:pPr>
        <w:spacing w:line="360" w:lineRule="auto"/>
        <w:ind w:firstLine="471"/>
        <w:rPr>
          <w:color w:val="auto"/>
          <w:sz w:val="24"/>
          <w:szCs w:val="24"/>
          <w:highlight w:val="none"/>
        </w:rPr>
      </w:pPr>
    </w:p>
    <w:p w14:paraId="3EDE826E">
      <w:pPr>
        <w:spacing w:line="360" w:lineRule="auto"/>
        <w:ind w:firstLine="471"/>
        <w:rPr>
          <w:color w:val="auto"/>
          <w:sz w:val="24"/>
          <w:szCs w:val="24"/>
          <w:highlight w:val="none"/>
        </w:rPr>
      </w:pPr>
    </w:p>
    <w:p w14:paraId="793E9AE3">
      <w:pPr>
        <w:spacing w:line="360" w:lineRule="auto"/>
        <w:ind w:firstLine="471"/>
        <w:rPr>
          <w:color w:val="auto"/>
          <w:sz w:val="24"/>
          <w:szCs w:val="24"/>
          <w:highlight w:val="none"/>
        </w:rPr>
      </w:pPr>
      <w:r>
        <w:rPr>
          <w:rFonts w:hint="eastAsia"/>
          <w:color w:val="auto"/>
          <w:sz w:val="24"/>
          <w:szCs w:val="24"/>
          <w:highlight w:val="none"/>
        </w:rPr>
        <w:t>联合体成员名称</w:t>
      </w:r>
      <w:r>
        <w:rPr>
          <w:color w:val="auto"/>
          <w:sz w:val="24"/>
          <w:szCs w:val="24"/>
          <w:highlight w:val="none"/>
        </w:rPr>
        <w:t>：______</w:t>
      </w:r>
    </w:p>
    <w:p w14:paraId="71C8EA00">
      <w:pPr>
        <w:widowControl/>
        <w:ind w:firstLine="480" w:firstLineChars="200"/>
        <w:jc w:val="left"/>
        <w:rPr>
          <w:color w:val="auto"/>
          <w:sz w:val="24"/>
          <w:szCs w:val="24"/>
          <w:highlight w:val="none"/>
        </w:rPr>
      </w:pPr>
      <w:r>
        <w:rPr>
          <w:color w:val="auto"/>
          <w:sz w:val="24"/>
          <w:szCs w:val="24"/>
          <w:highlight w:val="none"/>
        </w:rPr>
        <w:t xml:space="preserve">盖章：______         </w:t>
      </w:r>
    </w:p>
    <w:p w14:paraId="43C605CD">
      <w:pPr>
        <w:spacing w:line="360" w:lineRule="auto"/>
        <w:ind w:left="480"/>
        <w:jc w:val="right"/>
        <w:rPr>
          <w:color w:val="auto"/>
          <w:sz w:val="24"/>
          <w:szCs w:val="24"/>
          <w:highlight w:val="none"/>
        </w:rPr>
      </w:pPr>
    </w:p>
    <w:p w14:paraId="1ED9506F">
      <w:pPr>
        <w:spacing w:line="360" w:lineRule="auto"/>
        <w:ind w:left="480"/>
        <w:jc w:val="right"/>
        <w:rPr>
          <w:color w:val="auto"/>
          <w:sz w:val="24"/>
          <w:szCs w:val="24"/>
          <w:highlight w:val="none"/>
        </w:rPr>
      </w:pPr>
      <w:r>
        <w:rPr>
          <w:color w:val="auto"/>
          <w:sz w:val="24"/>
          <w:szCs w:val="24"/>
          <w:highlight w:val="none"/>
        </w:rPr>
        <w:t>日期：______年______月______日</w:t>
      </w:r>
    </w:p>
    <w:p w14:paraId="11EF6654">
      <w:pPr>
        <w:spacing w:line="360" w:lineRule="auto"/>
        <w:ind w:left="480"/>
        <w:jc w:val="right"/>
        <w:rPr>
          <w:b/>
          <w:color w:val="auto"/>
          <w:sz w:val="24"/>
          <w:szCs w:val="24"/>
          <w:highlight w:val="none"/>
        </w:rPr>
      </w:pPr>
    </w:p>
    <w:p w14:paraId="28355A3E">
      <w:pPr>
        <w:tabs>
          <w:tab w:val="left" w:pos="8280"/>
        </w:tabs>
        <w:spacing w:line="360" w:lineRule="auto"/>
        <w:ind w:firstLine="480"/>
        <w:rPr>
          <w:color w:val="auto"/>
          <w:sz w:val="24"/>
          <w:szCs w:val="24"/>
          <w:highlight w:val="none"/>
        </w:rPr>
      </w:pPr>
    </w:p>
    <w:p w14:paraId="21D3B911">
      <w:pPr>
        <w:tabs>
          <w:tab w:val="left" w:pos="8280"/>
        </w:tabs>
        <w:spacing w:line="360" w:lineRule="auto"/>
        <w:ind w:firstLine="480"/>
        <w:rPr>
          <w:color w:val="auto"/>
          <w:sz w:val="24"/>
          <w:szCs w:val="24"/>
          <w:highlight w:val="none"/>
        </w:rPr>
      </w:pPr>
    </w:p>
    <w:p w14:paraId="526F9206">
      <w:pPr>
        <w:widowControl/>
        <w:jc w:val="left"/>
        <w:rPr>
          <w:color w:val="auto"/>
          <w:sz w:val="24"/>
          <w:szCs w:val="24"/>
          <w:highlight w:val="none"/>
        </w:rPr>
      </w:pPr>
      <w:r>
        <w:rPr>
          <w:rFonts w:hint="eastAsia"/>
          <w:color w:val="auto"/>
          <w:sz w:val="24"/>
          <w:szCs w:val="24"/>
          <w:highlight w:val="none"/>
        </w:rPr>
        <w:t>注：</w:t>
      </w:r>
    </w:p>
    <w:p w14:paraId="1D41C9A6">
      <w:pPr>
        <w:widowControl/>
        <w:jc w:val="left"/>
        <w:rPr>
          <w:color w:val="auto"/>
          <w:sz w:val="24"/>
          <w:szCs w:val="24"/>
          <w:highlight w:val="none"/>
        </w:rPr>
      </w:pPr>
      <w:r>
        <w:rPr>
          <w:rFonts w:hint="eastAsia"/>
          <w:color w:val="auto"/>
          <w:sz w:val="24"/>
          <w:szCs w:val="24"/>
          <w:highlight w:val="none"/>
        </w:rPr>
        <w:t>1. 如本项目（包）接受供应商以联合体形式参加采购活动，且供应商以联合体形式参与时，须</w:t>
      </w:r>
      <w:r>
        <w:rPr>
          <w:color w:val="auto"/>
          <w:sz w:val="24"/>
          <w:szCs w:val="24"/>
          <w:highlight w:val="none"/>
        </w:rPr>
        <w:t>提</w:t>
      </w:r>
      <w:r>
        <w:rPr>
          <w:rFonts w:hint="eastAsia"/>
          <w:color w:val="auto"/>
          <w:sz w:val="24"/>
          <w:szCs w:val="24"/>
          <w:highlight w:val="none"/>
        </w:rPr>
        <w:t>供《联合协议》，否则响应无效。</w:t>
      </w:r>
    </w:p>
    <w:p w14:paraId="7FE19422">
      <w:pPr>
        <w:widowControl/>
        <w:jc w:val="left"/>
        <w:rPr>
          <w:color w:val="auto"/>
          <w:sz w:val="24"/>
          <w:szCs w:val="24"/>
          <w:highlight w:val="none"/>
        </w:rPr>
      </w:pPr>
      <w:r>
        <w:rPr>
          <w:rFonts w:hint="eastAsia"/>
          <w:color w:val="auto"/>
          <w:sz w:val="24"/>
          <w:szCs w:val="24"/>
          <w:highlight w:val="none"/>
        </w:rPr>
        <w:t>2. 联合体各方成员需在本协议上共同盖章。</w:t>
      </w:r>
      <w:r>
        <w:rPr>
          <w:color w:val="auto"/>
          <w:sz w:val="24"/>
          <w:szCs w:val="24"/>
          <w:highlight w:val="none"/>
        </w:rPr>
        <w:br w:type="page"/>
      </w:r>
    </w:p>
    <w:p w14:paraId="0BFCCA5A">
      <w:pPr>
        <w:spacing w:line="360" w:lineRule="auto"/>
        <w:outlineLvl w:val="2"/>
        <w:rPr>
          <w:color w:val="auto"/>
          <w:sz w:val="24"/>
          <w:szCs w:val="24"/>
          <w:highlight w:val="none"/>
        </w:rPr>
      </w:pPr>
      <w:r>
        <w:rPr>
          <w:color w:val="auto"/>
          <w:sz w:val="24"/>
          <w:szCs w:val="24"/>
          <w:highlight w:val="none"/>
        </w:rPr>
        <w:t>3-2其他特定资格要求</w:t>
      </w:r>
    </w:p>
    <w:p w14:paraId="7BEB84AE">
      <w:pPr>
        <w:tabs>
          <w:tab w:val="left" w:pos="5580"/>
        </w:tabs>
        <w:spacing w:line="360" w:lineRule="auto"/>
        <w:rPr>
          <w:color w:val="auto"/>
          <w:sz w:val="24"/>
          <w:szCs w:val="24"/>
          <w:highlight w:val="none"/>
        </w:rPr>
      </w:pPr>
    </w:p>
    <w:p w14:paraId="56E2D325">
      <w:pPr>
        <w:keepNext w:val="0"/>
        <w:keepLines w:val="0"/>
        <w:pageBreakBefore w:val="0"/>
        <w:kinsoku/>
        <w:wordWrap/>
        <w:overflowPunct/>
        <w:topLinePunct w:val="0"/>
        <w:autoSpaceDE/>
        <w:autoSpaceDN/>
        <w:bidi w:val="0"/>
        <w:adjustRightInd/>
        <w:snapToGrid/>
        <w:spacing w:line="360" w:lineRule="auto"/>
        <w:ind w:firstLine="480" w:firstLineChars="200"/>
        <w:textAlignment w:val="auto"/>
        <w:rPr>
          <w:rFonts w:hint="eastAsia"/>
          <w:i w:val="0"/>
          <w:iCs w:val="0"/>
          <w:color w:val="auto"/>
          <w:sz w:val="24"/>
          <w:szCs w:val="24"/>
          <w:highlight w:val="none"/>
          <w:u w:val="none"/>
          <w:lang w:val="en-US" w:eastAsia="zh-CN"/>
        </w:rPr>
      </w:pPr>
      <w:r>
        <w:rPr>
          <w:rFonts w:hint="eastAsia"/>
          <w:i w:val="0"/>
          <w:iCs w:val="0"/>
          <w:color w:val="auto"/>
          <w:sz w:val="24"/>
          <w:szCs w:val="24"/>
          <w:highlight w:val="none"/>
          <w:u w:val="none"/>
          <w:lang w:val="en-US" w:eastAsia="zh-CN"/>
        </w:rPr>
        <w:t>（1）供应商须具备建设行政主管部门核发的</w:t>
      </w:r>
      <w:r>
        <w:rPr>
          <w:rFonts w:hint="eastAsia"/>
          <w:b/>
          <w:bCs/>
          <w:i w:val="0"/>
          <w:iCs w:val="0"/>
          <w:color w:val="auto"/>
          <w:sz w:val="24"/>
          <w:szCs w:val="24"/>
          <w:highlight w:val="none"/>
          <w:u w:val="none"/>
          <w:lang w:val="en-US" w:eastAsia="zh-CN"/>
        </w:rPr>
        <w:t>防水防腐保温工程专业承包贰级及以上</w:t>
      </w:r>
      <w:r>
        <w:rPr>
          <w:rFonts w:hint="eastAsia"/>
          <w:i w:val="0"/>
          <w:iCs w:val="0"/>
          <w:color w:val="auto"/>
          <w:sz w:val="24"/>
          <w:szCs w:val="24"/>
          <w:highlight w:val="none"/>
          <w:u w:val="none"/>
          <w:lang w:val="en-US" w:eastAsia="zh-CN"/>
        </w:rPr>
        <w:t>资质，并具有建设行政主管部门核发的有效的安全生产许可证，若供应商为外地企业，须提供有效的外省市建筑企业来京施工备案表，外地来京建筑企业办理进京备案手续时需一并办理注册建造师备案；</w:t>
      </w:r>
    </w:p>
    <w:p w14:paraId="154E0AF0">
      <w:pPr>
        <w:keepNext w:val="0"/>
        <w:keepLines w:val="0"/>
        <w:pageBreakBefore w:val="0"/>
        <w:widowControl/>
        <w:kinsoku/>
        <w:wordWrap/>
        <w:overflowPunct/>
        <w:topLinePunct w:val="0"/>
        <w:autoSpaceDE/>
        <w:autoSpaceDN/>
        <w:bidi w:val="0"/>
        <w:adjustRightInd/>
        <w:snapToGrid/>
        <w:spacing w:line="360" w:lineRule="auto"/>
        <w:ind w:firstLine="480" w:firstLineChars="200"/>
        <w:jc w:val="left"/>
        <w:textAlignment w:val="auto"/>
        <w:rPr>
          <w:color w:val="auto"/>
          <w:sz w:val="24"/>
          <w:szCs w:val="24"/>
          <w:highlight w:val="none"/>
        </w:rPr>
      </w:pPr>
      <w:r>
        <w:rPr>
          <w:rFonts w:hint="eastAsia"/>
          <w:i w:val="0"/>
          <w:iCs w:val="0"/>
          <w:color w:val="auto"/>
          <w:sz w:val="24"/>
          <w:szCs w:val="24"/>
          <w:highlight w:val="none"/>
          <w:u w:val="none"/>
          <w:lang w:val="en-US" w:eastAsia="zh-CN"/>
        </w:rPr>
        <w:t>（2）拟派项目经理须具备</w:t>
      </w:r>
      <w:r>
        <w:rPr>
          <w:rFonts w:hint="eastAsia"/>
          <w:b/>
          <w:bCs/>
          <w:i w:val="0"/>
          <w:iCs w:val="0"/>
          <w:color w:val="auto"/>
          <w:sz w:val="24"/>
          <w:szCs w:val="24"/>
          <w:highlight w:val="none"/>
          <w:u w:val="none"/>
          <w:lang w:val="en-US" w:eastAsia="zh-CN"/>
        </w:rPr>
        <w:t>建筑工程专业二级（含）</w:t>
      </w:r>
      <w:r>
        <w:rPr>
          <w:rFonts w:hint="eastAsia"/>
          <w:i w:val="0"/>
          <w:iCs w:val="0"/>
          <w:color w:val="auto"/>
          <w:sz w:val="24"/>
          <w:szCs w:val="24"/>
          <w:highlight w:val="none"/>
          <w:u w:val="none"/>
          <w:lang w:val="en-US" w:eastAsia="zh-CN"/>
        </w:rPr>
        <w:t>以上注册建造师执业资格证书和有效的安全生产考核合格证书(B证)，且在确定成交时不得担任其他在施建设工程项目的项目经理（提供承诺，格式自拟）。</w:t>
      </w:r>
      <w:r>
        <w:rPr>
          <w:color w:val="auto"/>
          <w:sz w:val="24"/>
          <w:szCs w:val="24"/>
          <w:highlight w:val="none"/>
        </w:rPr>
        <w:br w:type="page"/>
      </w:r>
    </w:p>
    <w:p w14:paraId="6E065940">
      <w:pPr>
        <w:tabs>
          <w:tab w:val="left" w:pos="360"/>
        </w:tabs>
        <w:snapToGrid w:val="0"/>
        <w:spacing w:line="360" w:lineRule="auto"/>
        <w:outlineLvl w:val="1"/>
        <w:rPr>
          <w:color w:val="auto"/>
          <w:sz w:val="24"/>
          <w:szCs w:val="24"/>
          <w:highlight w:val="none"/>
        </w:rPr>
      </w:pPr>
      <w:r>
        <w:rPr>
          <w:color w:val="auto"/>
          <w:sz w:val="24"/>
          <w:szCs w:val="24"/>
          <w:highlight w:val="none"/>
        </w:rPr>
        <w:t>4 磋商保证金凭证/交款单据电子件</w:t>
      </w:r>
      <w:r>
        <w:rPr>
          <w:rFonts w:hint="eastAsia"/>
          <w:color w:val="auto"/>
          <w:sz w:val="24"/>
          <w:szCs w:val="24"/>
          <w:highlight w:val="none"/>
        </w:rPr>
        <w:t>（如有）</w:t>
      </w:r>
    </w:p>
    <w:p w14:paraId="049AD1B5">
      <w:pPr>
        <w:widowControl/>
        <w:jc w:val="left"/>
        <w:rPr>
          <w:color w:val="auto"/>
          <w:kern w:val="0"/>
          <w:sz w:val="24"/>
          <w:szCs w:val="24"/>
          <w:highlight w:val="none"/>
        </w:rPr>
      </w:pPr>
      <w:r>
        <w:rPr>
          <w:b/>
          <w:color w:val="auto"/>
          <w:sz w:val="24"/>
          <w:szCs w:val="24"/>
          <w:highlight w:val="none"/>
        </w:rPr>
        <w:br w:type="page"/>
      </w:r>
    </w:p>
    <w:p w14:paraId="426BBE22">
      <w:pPr>
        <w:widowControl/>
        <w:jc w:val="left"/>
        <w:rPr>
          <w:b/>
          <w:color w:val="auto"/>
          <w:sz w:val="24"/>
          <w:szCs w:val="24"/>
          <w:highlight w:val="none"/>
        </w:rPr>
      </w:pPr>
    </w:p>
    <w:p w14:paraId="3A69ECBA">
      <w:pPr>
        <w:tabs>
          <w:tab w:val="left" w:pos="360"/>
        </w:tabs>
        <w:snapToGrid w:val="0"/>
        <w:spacing w:line="360" w:lineRule="auto"/>
        <w:outlineLvl w:val="1"/>
        <w:rPr>
          <w:color w:val="auto"/>
          <w:sz w:val="24"/>
          <w:szCs w:val="24"/>
          <w:highlight w:val="none"/>
        </w:rPr>
      </w:pPr>
      <w:bookmarkStart w:id="1966" w:name="_Hlt520273711"/>
      <w:bookmarkEnd w:id="1966"/>
      <w:bookmarkStart w:id="1967" w:name="_Hlt520343392"/>
      <w:bookmarkEnd w:id="1967"/>
      <w:bookmarkStart w:id="1968" w:name="_Hlt520274121"/>
      <w:bookmarkEnd w:id="1968"/>
      <w:bookmarkStart w:id="1969" w:name="_Hlt520274393"/>
      <w:bookmarkEnd w:id="1969"/>
      <w:bookmarkStart w:id="1970" w:name="_Hlt520343000"/>
      <w:bookmarkEnd w:id="1970"/>
      <w:bookmarkStart w:id="1971" w:name="_Hlt520350918"/>
      <w:bookmarkEnd w:id="1971"/>
      <w:bookmarkStart w:id="1972" w:name="_Hlt520274065"/>
      <w:bookmarkEnd w:id="1972"/>
      <w:bookmarkStart w:id="1973" w:name="_Hlt520274407"/>
      <w:bookmarkEnd w:id="1973"/>
      <w:bookmarkStart w:id="1974" w:name="_Hlt520355504"/>
      <w:bookmarkEnd w:id="1974"/>
      <w:bookmarkStart w:id="1975" w:name="_Hlt520271212"/>
      <w:bookmarkEnd w:id="1975"/>
      <w:bookmarkStart w:id="1976" w:name="_Toc480942349"/>
      <w:bookmarkStart w:id="1977" w:name="_Ref467988698"/>
      <w:bookmarkStart w:id="1978" w:name="_Toc226309800"/>
      <w:bookmarkStart w:id="1979" w:name="_Toc142311058"/>
      <w:bookmarkStart w:id="1980" w:name="_Toc150774761"/>
      <w:bookmarkStart w:id="1981" w:name="_Toc127151556"/>
      <w:bookmarkStart w:id="1982" w:name="_Toc226965829"/>
      <w:bookmarkStart w:id="1983" w:name="_Toc520356217"/>
      <w:bookmarkStart w:id="1984" w:name="_Toc226965746"/>
      <w:bookmarkStart w:id="1985" w:name="_Toc195842921"/>
      <w:bookmarkStart w:id="1986" w:name="_Toc150480794"/>
      <w:bookmarkStart w:id="1987" w:name="_Toc226337252"/>
      <w:r>
        <w:rPr>
          <w:color w:val="auto"/>
          <w:sz w:val="24"/>
          <w:szCs w:val="24"/>
          <w:highlight w:val="none"/>
        </w:rPr>
        <w:t xml:space="preserve">5 </w:t>
      </w:r>
      <w:bookmarkEnd w:id="1976"/>
      <w:bookmarkEnd w:id="1977"/>
      <w:r>
        <w:rPr>
          <w:color w:val="auto"/>
          <w:sz w:val="24"/>
          <w:szCs w:val="24"/>
          <w:highlight w:val="none"/>
        </w:rPr>
        <w:t>响应书</w:t>
      </w:r>
      <w:bookmarkEnd w:id="1978"/>
      <w:bookmarkEnd w:id="1979"/>
      <w:bookmarkEnd w:id="1980"/>
      <w:bookmarkEnd w:id="1981"/>
      <w:bookmarkEnd w:id="1982"/>
      <w:bookmarkEnd w:id="1983"/>
      <w:bookmarkEnd w:id="1984"/>
      <w:bookmarkEnd w:id="1985"/>
      <w:bookmarkEnd w:id="1986"/>
      <w:bookmarkEnd w:id="1987"/>
      <w:r>
        <w:rPr>
          <w:rFonts w:hint="eastAsia"/>
          <w:color w:val="auto"/>
          <w:sz w:val="24"/>
          <w:szCs w:val="24"/>
          <w:highlight w:val="none"/>
        </w:rPr>
        <w:t>（实质性格式）</w:t>
      </w:r>
    </w:p>
    <w:p w14:paraId="0CAB7543">
      <w:pPr>
        <w:tabs>
          <w:tab w:val="left" w:pos="5580"/>
        </w:tabs>
        <w:spacing w:line="360" w:lineRule="auto"/>
        <w:rPr>
          <w:color w:val="auto"/>
          <w:sz w:val="24"/>
          <w:szCs w:val="24"/>
          <w:highlight w:val="none"/>
        </w:rPr>
      </w:pPr>
    </w:p>
    <w:p w14:paraId="28BE4F14">
      <w:pPr>
        <w:spacing w:line="360" w:lineRule="auto"/>
        <w:jc w:val="center"/>
        <w:rPr>
          <w:b/>
          <w:color w:val="auto"/>
          <w:sz w:val="24"/>
          <w:szCs w:val="24"/>
          <w:highlight w:val="none"/>
        </w:rPr>
      </w:pPr>
      <w:r>
        <w:rPr>
          <w:rFonts w:hint="eastAsia"/>
          <w:b/>
          <w:color w:val="auto"/>
          <w:sz w:val="24"/>
          <w:szCs w:val="24"/>
          <w:highlight w:val="none"/>
        </w:rPr>
        <w:t>响应书</w:t>
      </w:r>
    </w:p>
    <w:p w14:paraId="27EC6D89">
      <w:pPr>
        <w:tabs>
          <w:tab w:val="left" w:pos="5580"/>
        </w:tabs>
        <w:spacing w:line="360" w:lineRule="auto"/>
        <w:rPr>
          <w:color w:val="auto"/>
          <w:sz w:val="24"/>
          <w:szCs w:val="24"/>
          <w:highlight w:val="none"/>
        </w:rPr>
      </w:pPr>
      <w:r>
        <w:rPr>
          <w:color w:val="auto"/>
          <w:sz w:val="24"/>
          <w:szCs w:val="24"/>
          <w:highlight w:val="none"/>
        </w:rPr>
        <w:t>致：</w:t>
      </w:r>
      <w:r>
        <w:rPr>
          <w:color w:val="auto"/>
          <w:sz w:val="24"/>
          <w:szCs w:val="24"/>
          <w:highlight w:val="none"/>
          <w:u w:val="single"/>
        </w:rPr>
        <w:t>（采购人或采购代理机构）</w:t>
      </w:r>
    </w:p>
    <w:p w14:paraId="3432EE3F">
      <w:pPr>
        <w:tabs>
          <w:tab w:val="left" w:pos="5580"/>
        </w:tabs>
        <w:spacing w:line="360" w:lineRule="auto"/>
        <w:rPr>
          <w:color w:val="auto"/>
          <w:sz w:val="24"/>
          <w:szCs w:val="24"/>
          <w:highlight w:val="none"/>
        </w:rPr>
      </w:pPr>
    </w:p>
    <w:p w14:paraId="20EAB9AF">
      <w:pPr>
        <w:tabs>
          <w:tab w:val="left" w:pos="5580"/>
        </w:tabs>
        <w:spacing w:line="360" w:lineRule="auto"/>
        <w:ind w:firstLine="408"/>
        <w:rPr>
          <w:color w:val="auto"/>
          <w:sz w:val="24"/>
          <w:szCs w:val="24"/>
          <w:highlight w:val="none"/>
        </w:rPr>
      </w:pPr>
      <w:r>
        <w:rPr>
          <w:color w:val="auto"/>
          <w:sz w:val="24"/>
          <w:szCs w:val="24"/>
          <w:highlight w:val="none"/>
        </w:rPr>
        <w:t>我方参加你方就______（项目名称，项目编号/包号）组织的采购活动，并对此项目进行磋商。</w:t>
      </w:r>
    </w:p>
    <w:p w14:paraId="67E23D66">
      <w:pPr>
        <w:tabs>
          <w:tab w:val="left" w:pos="5580"/>
        </w:tabs>
        <w:spacing w:line="360" w:lineRule="auto"/>
        <w:ind w:firstLine="408"/>
        <w:rPr>
          <w:color w:val="auto"/>
          <w:sz w:val="24"/>
          <w:szCs w:val="24"/>
          <w:highlight w:val="none"/>
        </w:rPr>
      </w:pPr>
      <w:r>
        <w:rPr>
          <w:color w:val="auto"/>
          <w:sz w:val="24"/>
          <w:szCs w:val="24"/>
          <w:highlight w:val="none"/>
        </w:rPr>
        <w:t>1. 我方已详细审查全部竞争性磋商文件，自愿参与磋商并承诺如下：</w:t>
      </w:r>
    </w:p>
    <w:p w14:paraId="6D5A4F30">
      <w:pPr>
        <w:tabs>
          <w:tab w:val="left" w:pos="720"/>
          <w:tab w:val="left" w:pos="900"/>
        </w:tabs>
        <w:spacing w:line="360" w:lineRule="auto"/>
        <w:ind w:left="360" w:firstLine="72" w:firstLineChars="30"/>
        <w:rPr>
          <w:color w:val="auto"/>
          <w:sz w:val="24"/>
          <w:szCs w:val="24"/>
          <w:highlight w:val="none"/>
        </w:rPr>
      </w:pPr>
      <w:r>
        <w:rPr>
          <w:color w:val="auto"/>
          <w:sz w:val="24"/>
          <w:szCs w:val="24"/>
          <w:highlight w:val="none"/>
        </w:rPr>
        <w:t>（1）本响应有效期为自提交响应文件的截止之日起______个日历日。</w:t>
      </w:r>
    </w:p>
    <w:p w14:paraId="3C9CDC2C">
      <w:pPr>
        <w:tabs>
          <w:tab w:val="left" w:pos="720"/>
          <w:tab w:val="left" w:pos="900"/>
        </w:tabs>
        <w:spacing w:line="360" w:lineRule="auto"/>
        <w:ind w:left="360" w:firstLine="72" w:firstLineChars="30"/>
        <w:rPr>
          <w:color w:val="auto"/>
          <w:sz w:val="24"/>
          <w:szCs w:val="24"/>
          <w:highlight w:val="none"/>
        </w:rPr>
      </w:pPr>
      <w:r>
        <w:rPr>
          <w:color w:val="auto"/>
          <w:sz w:val="24"/>
          <w:szCs w:val="24"/>
          <w:highlight w:val="none"/>
        </w:rPr>
        <w:t>（2）除合同条款及采购需求偏离表列出的偏离外，我方响应竞争性磋商文件的全部要求。</w:t>
      </w:r>
    </w:p>
    <w:p w14:paraId="68B76803">
      <w:pPr>
        <w:tabs>
          <w:tab w:val="left" w:pos="5580"/>
        </w:tabs>
        <w:spacing w:line="360" w:lineRule="auto"/>
        <w:ind w:firstLine="420" w:firstLineChars="175"/>
        <w:rPr>
          <w:color w:val="auto"/>
          <w:sz w:val="24"/>
          <w:szCs w:val="24"/>
          <w:highlight w:val="none"/>
        </w:rPr>
      </w:pPr>
      <w:r>
        <w:rPr>
          <w:color w:val="auto"/>
          <w:sz w:val="24"/>
          <w:szCs w:val="24"/>
          <w:highlight w:val="none"/>
        </w:rPr>
        <w:t>（3）我方已提供的全部文件资料是真实、准确的，并对此承担一切法律后果。</w:t>
      </w:r>
    </w:p>
    <w:p w14:paraId="5F1E27BC">
      <w:pPr>
        <w:tabs>
          <w:tab w:val="left" w:pos="5580"/>
        </w:tabs>
        <w:spacing w:line="360" w:lineRule="auto"/>
        <w:ind w:firstLine="420" w:firstLineChars="175"/>
        <w:rPr>
          <w:color w:val="auto"/>
          <w:sz w:val="24"/>
          <w:szCs w:val="24"/>
          <w:highlight w:val="none"/>
        </w:rPr>
      </w:pPr>
      <w:r>
        <w:rPr>
          <w:color w:val="auto"/>
          <w:sz w:val="24"/>
          <w:szCs w:val="24"/>
          <w:highlight w:val="none"/>
        </w:rPr>
        <w:t>（4）如我方成交，我方将在法律规定的期限内与你方签订合同，按照竞争性磋商文件要求提交履约保证金，并在合同约定的期限内完成合同规定的全部义务。</w:t>
      </w:r>
    </w:p>
    <w:p w14:paraId="22E73FAD">
      <w:pPr>
        <w:spacing w:line="360" w:lineRule="auto"/>
        <w:ind w:left="420"/>
        <w:rPr>
          <w:color w:val="auto"/>
          <w:sz w:val="24"/>
          <w:szCs w:val="24"/>
          <w:highlight w:val="none"/>
        </w:rPr>
      </w:pPr>
      <w:r>
        <w:rPr>
          <w:color w:val="auto"/>
          <w:sz w:val="24"/>
          <w:szCs w:val="24"/>
          <w:highlight w:val="none"/>
        </w:rPr>
        <w:t>2. 其他补充条款（如有）：______。</w:t>
      </w:r>
    </w:p>
    <w:p w14:paraId="1C82844D">
      <w:pPr>
        <w:spacing w:line="360" w:lineRule="auto"/>
        <w:ind w:firstLine="480" w:firstLineChars="200"/>
        <w:rPr>
          <w:color w:val="auto"/>
          <w:sz w:val="24"/>
          <w:szCs w:val="24"/>
          <w:highlight w:val="none"/>
        </w:rPr>
      </w:pPr>
      <w:r>
        <w:rPr>
          <w:color w:val="auto"/>
          <w:sz w:val="24"/>
          <w:szCs w:val="24"/>
          <w:highlight w:val="none"/>
        </w:rPr>
        <w:t>与本磋商有关的一切正式往来信函请寄：</w:t>
      </w:r>
    </w:p>
    <w:p w14:paraId="561A3724">
      <w:pPr>
        <w:tabs>
          <w:tab w:val="left" w:pos="5580"/>
        </w:tabs>
        <w:spacing w:line="360" w:lineRule="auto"/>
        <w:ind w:left="420"/>
        <w:rPr>
          <w:color w:val="auto"/>
          <w:sz w:val="24"/>
          <w:szCs w:val="24"/>
          <w:highlight w:val="none"/>
        </w:rPr>
      </w:pPr>
    </w:p>
    <w:p w14:paraId="46C2509F">
      <w:pPr>
        <w:tabs>
          <w:tab w:val="left" w:pos="5580"/>
        </w:tabs>
        <w:spacing w:line="360" w:lineRule="auto"/>
        <w:ind w:left="420"/>
        <w:rPr>
          <w:color w:val="auto"/>
          <w:sz w:val="24"/>
          <w:szCs w:val="24"/>
          <w:highlight w:val="none"/>
        </w:rPr>
      </w:pPr>
      <w:r>
        <w:rPr>
          <w:color w:val="auto"/>
          <w:sz w:val="24"/>
          <w:szCs w:val="24"/>
          <w:highlight w:val="none"/>
        </w:rPr>
        <w:t>地址</w:t>
      </w:r>
      <w:r>
        <w:rPr>
          <w:bCs/>
          <w:color w:val="auto"/>
          <w:sz w:val="24"/>
          <w:szCs w:val="24"/>
          <w:highlight w:val="none"/>
        </w:rPr>
        <w:t>_________________________</w:t>
      </w:r>
      <w:r>
        <w:rPr>
          <w:color w:val="auto"/>
          <w:sz w:val="24"/>
          <w:szCs w:val="24"/>
          <w:highlight w:val="none"/>
        </w:rPr>
        <w:t xml:space="preserve">      传   真</w:t>
      </w:r>
      <w:r>
        <w:rPr>
          <w:bCs/>
          <w:color w:val="auto"/>
          <w:sz w:val="24"/>
          <w:szCs w:val="24"/>
          <w:highlight w:val="none"/>
        </w:rPr>
        <w:t>_________________________</w:t>
      </w:r>
    </w:p>
    <w:p w14:paraId="279BB6DC">
      <w:pPr>
        <w:tabs>
          <w:tab w:val="left" w:pos="5580"/>
        </w:tabs>
        <w:spacing w:line="360" w:lineRule="auto"/>
        <w:ind w:left="420"/>
        <w:rPr>
          <w:color w:val="auto"/>
          <w:sz w:val="24"/>
          <w:szCs w:val="24"/>
          <w:highlight w:val="none"/>
        </w:rPr>
      </w:pPr>
      <w:r>
        <w:rPr>
          <w:color w:val="auto"/>
          <w:sz w:val="24"/>
          <w:szCs w:val="24"/>
          <w:highlight w:val="none"/>
        </w:rPr>
        <w:t>电话</w:t>
      </w:r>
      <w:r>
        <w:rPr>
          <w:bCs/>
          <w:color w:val="auto"/>
          <w:sz w:val="24"/>
          <w:szCs w:val="24"/>
          <w:highlight w:val="none"/>
        </w:rPr>
        <w:t>_________________________</w:t>
      </w:r>
      <w:r>
        <w:rPr>
          <w:color w:val="auto"/>
          <w:sz w:val="24"/>
          <w:szCs w:val="24"/>
          <w:highlight w:val="none"/>
        </w:rPr>
        <w:t xml:space="preserve">      电子函件</w:t>
      </w:r>
      <w:r>
        <w:rPr>
          <w:bCs/>
          <w:color w:val="auto"/>
          <w:sz w:val="24"/>
          <w:szCs w:val="24"/>
          <w:highlight w:val="none"/>
        </w:rPr>
        <w:t>_________________________</w:t>
      </w:r>
    </w:p>
    <w:p w14:paraId="1BC2DA42">
      <w:pPr>
        <w:tabs>
          <w:tab w:val="left" w:pos="5580"/>
        </w:tabs>
        <w:spacing w:line="360" w:lineRule="auto"/>
        <w:ind w:left="420"/>
        <w:rPr>
          <w:color w:val="auto"/>
          <w:sz w:val="24"/>
          <w:szCs w:val="24"/>
          <w:highlight w:val="none"/>
        </w:rPr>
      </w:pPr>
    </w:p>
    <w:p w14:paraId="1D3BE2A1">
      <w:pPr>
        <w:tabs>
          <w:tab w:val="left" w:pos="5580"/>
        </w:tabs>
        <w:spacing w:line="360" w:lineRule="auto"/>
        <w:ind w:left="420"/>
        <w:rPr>
          <w:color w:val="auto"/>
          <w:sz w:val="24"/>
          <w:szCs w:val="24"/>
          <w:highlight w:val="none"/>
        </w:rPr>
      </w:pPr>
    </w:p>
    <w:p w14:paraId="1D720D5D">
      <w:pPr>
        <w:tabs>
          <w:tab w:val="left" w:pos="5580"/>
        </w:tabs>
        <w:spacing w:line="360" w:lineRule="auto"/>
        <w:ind w:left="420"/>
        <w:rPr>
          <w:color w:val="auto"/>
          <w:sz w:val="24"/>
          <w:szCs w:val="24"/>
          <w:highlight w:val="none"/>
        </w:rPr>
      </w:pPr>
    </w:p>
    <w:p w14:paraId="3B775837">
      <w:pPr>
        <w:autoSpaceDE w:val="0"/>
        <w:autoSpaceDN w:val="0"/>
        <w:adjustRightInd w:val="0"/>
        <w:snapToGrid w:val="0"/>
        <w:spacing w:before="25" w:after="25" w:line="360" w:lineRule="auto"/>
        <w:ind w:right="360" w:firstLine="360" w:firstLineChars="150"/>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w:t>
      </w:r>
    </w:p>
    <w:p w14:paraId="6C800EFE">
      <w:pPr>
        <w:tabs>
          <w:tab w:val="left" w:pos="5580"/>
        </w:tabs>
        <w:spacing w:line="360" w:lineRule="auto"/>
        <w:ind w:firstLine="360" w:firstLineChars="150"/>
        <w:rPr>
          <w:color w:val="auto"/>
          <w:sz w:val="24"/>
          <w:szCs w:val="24"/>
          <w:highlight w:val="none"/>
        </w:rPr>
      </w:pPr>
      <w:r>
        <w:rPr>
          <w:color w:val="auto"/>
          <w:sz w:val="24"/>
          <w:szCs w:val="24"/>
          <w:highlight w:val="none"/>
        </w:rPr>
        <w:t xml:space="preserve">日期：____年____月____日  </w:t>
      </w:r>
    </w:p>
    <w:p w14:paraId="07CC1E63">
      <w:pPr>
        <w:tabs>
          <w:tab w:val="left" w:pos="5580"/>
        </w:tabs>
        <w:spacing w:line="360" w:lineRule="auto"/>
        <w:ind w:left="420"/>
        <w:jc w:val="left"/>
        <w:rPr>
          <w:color w:val="auto"/>
          <w:sz w:val="24"/>
          <w:szCs w:val="24"/>
          <w:highlight w:val="none"/>
        </w:rPr>
      </w:pPr>
    </w:p>
    <w:p w14:paraId="3CB67609">
      <w:pPr>
        <w:widowControl/>
        <w:jc w:val="left"/>
        <w:rPr>
          <w:b/>
          <w:color w:val="auto"/>
          <w:sz w:val="24"/>
          <w:szCs w:val="24"/>
          <w:highlight w:val="none"/>
        </w:rPr>
      </w:pPr>
      <w:r>
        <w:rPr>
          <w:b/>
          <w:color w:val="auto"/>
          <w:sz w:val="24"/>
          <w:szCs w:val="24"/>
          <w:highlight w:val="none"/>
        </w:rPr>
        <w:br w:type="page"/>
      </w:r>
    </w:p>
    <w:p w14:paraId="3EDB0858">
      <w:pPr>
        <w:widowControl/>
        <w:jc w:val="left"/>
        <w:rPr>
          <w:color w:val="auto"/>
          <w:sz w:val="24"/>
          <w:szCs w:val="24"/>
          <w:highlight w:val="none"/>
        </w:rPr>
      </w:pPr>
      <w:bookmarkStart w:id="1988" w:name="_Hlt520356243"/>
      <w:bookmarkEnd w:id="1988"/>
      <w:bookmarkStart w:id="1989" w:name="_Hlt520355938"/>
      <w:bookmarkEnd w:id="1989"/>
      <w:bookmarkStart w:id="1990" w:name="_Toc142311059"/>
      <w:bookmarkStart w:id="1991" w:name="_Toc226965830"/>
      <w:bookmarkStart w:id="1992" w:name="_Toc195842922"/>
      <w:bookmarkStart w:id="1993" w:name="_Toc265228395"/>
      <w:bookmarkStart w:id="1994" w:name="_Toc305158899"/>
      <w:bookmarkStart w:id="1995" w:name="_Toc150480795"/>
      <w:bookmarkStart w:id="1996" w:name="_Toc226337253"/>
      <w:bookmarkStart w:id="1997" w:name="_Toc127151557"/>
      <w:bookmarkStart w:id="1998" w:name="_Toc305158825"/>
      <w:bookmarkStart w:id="1999" w:name="_Toc226309801"/>
      <w:bookmarkStart w:id="2000" w:name="_Toc264969247"/>
      <w:bookmarkStart w:id="2001" w:name="_Toc150774762"/>
      <w:bookmarkStart w:id="2002" w:name="_Toc520356218"/>
      <w:bookmarkStart w:id="2003" w:name="_Ref467988705"/>
      <w:bookmarkStart w:id="2004" w:name="_Toc226965747"/>
      <w:bookmarkStart w:id="2005" w:name="_Toc480942350"/>
    </w:p>
    <w:p w14:paraId="73DBDFF9">
      <w:pPr>
        <w:tabs>
          <w:tab w:val="left" w:pos="360"/>
        </w:tabs>
        <w:snapToGrid w:val="0"/>
        <w:spacing w:line="360" w:lineRule="auto"/>
        <w:outlineLvl w:val="1"/>
        <w:rPr>
          <w:color w:val="auto"/>
          <w:sz w:val="24"/>
          <w:szCs w:val="24"/>
          <w:highlight w:val="none"/>
        </w:rPr>
      </w:pPr>
      <w:r>
        <w:rPr>
          <w:color w:val="auto"/>
          <w:sz w:val="24"/>
          <w:szCs w:val="24"/>
          <w:highlight w:val="none"/>
        </w:rPr>
        <w:t>6 授权委托书</w:t>
      </w:r>
      <w:r>
        <w:rPr>
          <w:rFonts w:hint="eastAsia"/>
          <w:color w:val="auto"/>
          <w:sz w:val="24"/>
          <w:szCs w:val="24"/>
          <w:highlight w:val="none"/>
        </w:rPr>
        <w:t>（实质性格式）</w:t>
      </w:r>
    </w:p>
    <w:p w14:paraId="552C42A6">
      <w:pPr>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授权委托书</w:t>
      </w:r>
    </w:p>
    <w:p w14:paraId="1E05C96D">
      <w:pPr>
        <w:spacing w:line="360" w:lineRule="auto"/>
        <w:ind w:firstLine="420"/>
        <w:rPr>
          <w:color w:val="auto"/>
          <w:sz w:val="24"/>
          <w:szCs w:val="24"/>
          <w:highlight w:val="none"/>
        </w:rPr>
      </w:pPr>
      <w:r>
        <w:rPr>
          <w:color w:val="auto"/>
          <w:sz w:val="24"/>
          <w:szCs w:val="24"/>
          <w:highlight w:val="none"/>
        </w:rPr>
        <w:t>本人____（姓名）系____（供应商名称）的法定代表人（单位负责人），现委托_____ （姓名）为我方代理人。代理人根据授权，以我方名义签署、澄清确认、递交、撤回、修改____（项目名称）响应文件和处理有关事宜，其法律后果由我方承担。</w:t>
      </w:r>
    </w:p>
    <w:p w14:paraId="5F0D1C62">
      <w:pPr>
        <w:spacing w:line="360" w:lineRule="auto"/>
        <w:ind w:firstLine="420"/>
        <w:rPr>
          <w:color w:val="auto"/>
          <w:sz w:val="24"/>
          <w:szCs w:val="24"/>
          <w:highlight w:val="none"/>
        </w:rPr>
      </w:pPr>
      <w:r>
        <w:rPr>
          <w:color w:val="auto"/>
          <w:sz w:val="24"/>
          <w:szCs w:val="24"/>
          <w:highlight w:val="none"/>
        </w:rPr>
        <w:t>委托期限：自本授权委托书签署之日起至响应有效期届满之日止。</w:t>
      </w:r>
    </w:p>
    <w:p w14:paraId="1506C7E0">
      <w:pPr>
        <w:spacing w:line="360" w:lineRule="auto"/>
        <w:ind w:firstLine="420"/>
        <w:rPr>
          <w:color w:val="auto"/>
          <w:sz w:val="24"/>
          <w:szCs w:val="24"/>
          <w:highlight w:val="none"/>
        </w:rPr>
      </w:pPr>
      <w:r>
        <w:rPr>
          <w:color w:val="auto"/>
          <w:sz w:val="24"/>
          <w:szCs w:val="24"/>
          <w:highlight w:val="none"/>
        </w:rPr>
        <w:t>代理人无转委托权。</w:t>
      </w:r>
      <w:r>
        <w:rPr>
          <w:color w:val="auto"/>
          <w:sz w:val="24"/>
          <w:szCs w:val="24"/>
          <w:highlight w:val="none"/>
        </w:rPr>
        <w:cr/>
      </w:r>
    </w:p>
    <w:p w14:paraId="402EA1E9">
      <w:pPr>
        <w:spacing w:line="360" w:lineRule="auto"/>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______________</w:t>
      </w:r>
    </w:p>
    <w:p w14:paraId="580630B3">
      <w:pPr>
        <w:spacing w:line="360" w:lineRule="auto"/>
        <w:rPr>
          <w:color w:val="auto"/>
          <w:sz w:val="24"/>
          <w:szCs w:val="24"/>
          <w:highlight w:val="none"/>
        </w:rPr>
      </w:pPr>
      <w:r>
        <w:rPr>
          <w:color w:val="auto"/>
          <w:sz w:val="24"/>
          <w:szCs w:val="24"/>
          <w:highlight w:val="none"/>
        </w:rPr>
        <w:t>法定代表人（单位负责人）（签字或</w:t>
      </w:r>
      <w:r>
        <w:rPr>
          <w:rFonts w:hint="eastAsia" w:ascii="宋体" w:hAnsi="宋体"/>
          <w:color w:val="auto"/>
          <w:sz w:val="24"/>
          <w:szCs w:val="24"/>
          <w:highlight w:val="none"/>
        </w:rPr>
        <w:t>签章</w:t>
      </w:r>
      <w:r>
        <w:rPr>
          <w:color w:val="auto"/>
          <w:sz w:val="24"/>
          <w:szCs w:val="24"/>
          <w:highlight w:val="none"/>
        </w:rPr>
        <w:t>）：______________</w:t>
      </w:r>
    </w:p>
    <w:p w14:paraId="008720B1">
      <w:pPr>
        <w:autoSpaceDE w:val="0"/>
        <w:autoSpaceDN w:val="0"/>
        <w:adjustRightInd w:val="0"/>
        <w:snapToGrid w:val="0"/>
        <w:spacing w:line="360" w:lineRule="auto"/>
        <w:rPr>
          <w:color w:val="auto"/>
          <w:sz w:val="24"/>
          <w:szCs w:val="24"/>
          <w:highlight w:val="none"/>
          <w:lang w:val="zh-CN"/>
        </w:rPr>
      </w:pPr>
      <w:r>
        <w:rPr>
          <w:color w:val="auto"/>
          <w:sz w:val="24"/>
          <w:szCs w:val="24"/>
          <w:highlight w:val="none"/>
        </w:rPr>
        <w:t>委托代理人（签字</w:t>
      </w:r>
      <w:r>
        <w:rPr>
          <w:rFonts w:hint="eastAsia" w:ascii="宋体" w:hAnsi="宋体"/>
          <w:color w:val="auto"/>
          <w:sz w:val="24"/>
          <w:szCs w:val="24"/>
          <w:highlight w:val="none"/>
        </w:rPr>
        <w:t>或签章</w:t>
      </w:r>
      <w:r>
        <w:rPr>
          <w:color w:val="auto"/>
          <w:sz w:val="24"/>
          <w:szCs w:val="24"/>
          <w:highlight w:val="none"/>
        </w:rPr>
        <w:t>）：______________</w:t>
      </w:r>
      <w:r>
        <w:rPr>
          <w:color w:val="auto"/>
          <w:sz w:val="24"/>
          <w:szCs w:val="24"/>
          <w:highlight w:val="none"/>
          <w:lang w:val="zh-CN"/>
        </w:rPr>
        <w:t xml:space="preserve">        </w:t>
      </w:r>
    </w:p>
    <w:p w14:paraId="5AFDDBB9">
      <w:pPr>
        <w:autoSpaceDE w:val="0"/>
        <w:autoSpaceDN w:val="0"/>
        <w:adjustRightInd w:val="0"/>
        <w:snapToGrid w:val="0"/>
        <w:spacing w:line="360" w:lineRule="auto"/>
        <w:rPr>
          <w:color w:val="auto"/>
          <w:sz w:val="24"/>
          <w:szCs w:val="24"/>
          <w:highlight w:val="none"/>
          <w:lang w:val="zh-CN"/>
        </w:rPr>
      </w:pPr>
      <w:r>
        <w:rPr>
          <w:color w:val="auto"/>
          <w:sz w:val="24"/>
          <w:szCs w:val="24"/>
          <w:highlight w:val="none"/>
        </w:rPr>
        <w:t>日期：____年____月____日</w:t>
      </w:r>
    </w:p>
    <w:p w14:paraId="57E3359A">
      <w:pPr>
        <w:tabs>
          <w:tab w:val="left" w:pos="5580"/>
        </w:tabs>
        <w:spacing w:line="360" w:lineRule="auto"/>
        <w:ind w:firstLine="480" w:firstLineChars="200"/>
        <w:rPr>
          <w:color w:val="auto"/>
          <w:sz w:val="24"/>
          <w:szCs w:val="24"/>
          <w:highlight w:val="none"/>
        </w:rPr>
      </w:pPr>
    </w:p>
    <w:p w14:paraId="428C41BE">
      <w:pPr>
        <w:tabs>
          <w:tab w:val="left" w:pos="5580"/>
        </w:tabs>
        <w:spacing w:line="360" w:lineRule="auto"/>
        <w:jc w:val="left"/>
        <w:rPr>
          <w:color w:val="auto"/>
          <w:sz w:val="24"/>
          <w:szCs w:val="24"/>
          <w:highlight w:val="none"/>
        </w:rPr>
      </w:pPr>
      <w:r>
        <w:rPr>
          <w:color w:val="auto"/>
          <w:sz w:val="24"/>
          <w:szCs w:val="24"/>
          <w:highlight w:val="none"/>
        </w:rPr>
        <w:t>法定代表人及委托代理人身份证明文件电子件：</w:t>
      </w:r>
    </w:p>
    <w:tbl>
      <w:tblPr>
        <w:tblStyle w:val="53"/>
        <w:tblW w:w="920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209"/>
      </w:tblGrid>
      <w:tr w14:paraId="2F75D1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399" w:hRule="atLeast"/>
        </w:trPr>
        <w:tc>
          <w:tcPr>
            <w:tcW w:w="9209" w:type="dxa"/>
          </w:tcPr>
          <w:p w14:paraId="19C2E5F9">
            <w:pPr>
              <w:tabs>
                <w:tab w:val="left" w:pos="5580"/>
              </w:tabs>
              <w:spacing w:line="360" w:lineRule="auto"/>
              <w:jc w:val="left"/>
              <w:rPr>
                <w:color w:val="auto"/>
                <w:sz w:val="24"/>
                <w:szCs w:val="24"/>
                <w:highlight w:val="none"/>
              </w:rPr>
            </w:pPr>
          </w:p>
          <w:p w14:paraId="64FD5407">
            <w:pPr>
              <w:tabs>
                <w:tab w:val="left" w:pos="5580"/>
              </w:tabs>
              <w:spacing w:line="360" w:lineRule="auto"/>
              <w:jc w:val="left"/>
              <w:rPr>
                <w:color w:val="auto"/>
                <w:sz w:val="24"/>
                <w:szCs w:val="24"/>
                <w:highlight w:val="none"/>
              </w:rPr>
            </w:pPr>
          </w:p>
          <w:p w14:paraId="658D70D3">
            <w:pPr>
              <w:tabs>
                <w:tab w:val="left" w:pos="5580"/>
              </w:tabs>
              <w:spacing w:line="360" w:lineRule="auto"/>
              <w:jc w:val="left"/>
              <w:rPr>
                <w:color w:val="auto"/>
                <w:sz w:val="24"/>
                <w:szCs w:val="24"/>
                <w:highlight w:val="none"/>
              </w:rPr>
            </w:pPr>
          </w:p>
          <w:p w14:paraId="7E2E3826">
            <w:pPr>
              <w:tabs>
                <w:tab w:val="left" w:pos="5580"/>
              </w:tabs>
              <w:spacing w:line="360" w:lineRule="auto"/>
              <w:jc w:val="left"/>
              <w:rPr>
                <w:color w:val="auto"/>
                <w:sz w:val="24"/>
                <w:szCs w:val="24"/>
                <w:highlight w:val="none"/>
              </w:rPr>
            </w:pPr>
          </w:p>
          <w:p w14:paraId="4E2D006A">
            <w:pPr>
              <w:tabs>
                <w:tab w:val="left" w:pos="5580"/>
              </w:tabs>
              <w:spacing w:line="360" w:lineRule="auto"/>
              <w:jc w:val="left"/>
              <w:rPr>
                <w:color w:val="auto"/>
                <w:sz w:val="24"/>
                <w:szCs w:val="24"/>
                <w:highlight w:val="none"/>
              </w:rPr>
            </w:pPr>
          </w:p>
        </w:tc>
      </w:tr>
    </w:tbl>
    <w:p w14:paraId="55E0D04F">
      <w:pPr>
        <w:tabs>
          <w:tab w:val="left" w:pos="5580"/>
        </w:tabs>
        <w:spacing w:line="360" w:lineRule="auto"/>
        <w:jc w:val="left"/>
        <w:rPr>
          <w:color w:val="auto"/>
          <w:sz w:val="24"/>
          <w:szCs w:val="24"/>
          <w:highlight w:val="none"/>
        </w:rPr>
      </w:pPr>
      <w:r>
        <w:rPr>
          <w:color w:val="auto"/>
          <w:sz w:val="24"/>
          <w:szCs w:val="24"/>
          <w:highlight w:val="none"/>
        </w:rPr>
        <w:t>说明：</w:t>
      </w:r>
    </w:p>
    <w:p w14:paraId="2CA44D94">
      <w:pPr>
        <w:widowControl/>
        <w:jc w:val="left"/>
        <w:rPr>
          <w:color w:val="auto"/>
          <w:sz w:val="24"/>
          <w:szCs w:val="24"/>
          <w:highlight w:val="none"/>
        </w:rPr>
      </w:pPr>
      <w:r>
        <w:rPr>
          <w:rFonts w:hint="eastAsia"/>
          <w:color w:val="auto"/>
          <w:sz w:val="24"/>
          <w:szCs w:val="24"/>
          <w:highlight w:val="none"/>
        </w:rPr>
        <w:t>1.若供应商为事业单位或其他组织或分支机构，则法定代表人（单位负责人）处的签署人可为单位负责人。</w:t>
      </w:r>
    </w:p>
    <w:p w14:paraId="73431433">
      <w:pPr>
        <w:widowControl/>
        <w:jc w:val="left"/>
        <w:rPr>
          <w:color w:val="auto"/>
          <w:sz w:val="24"/>
          <w:szCs w:val="24"/>
          <w:highlight w:val="none"/>
        </w:rPr>
      </w:pPr>
      <w:r>
        <w:rPr>
          <w:color w:val="auto"/>
          <w:sz w:val="24"/>
          <w:szCs w:val="24"/>
          <w:highlight w:val="none"/>
        </w:rPr>
        <w:t>2.</w:t>
      </w:r>
      <w:r>
        <w:rPr>
          <w:rFonts w:hint="eastAsia"/>
          <w:color w:val="auto"/>
          <w:sz w:val="24"/>
          <w:szCs w:val="24"/>
          <w:highlight w:val="none"/>
        </w:rPr>
        <w:t>若响应文件中签字之处均为法定代表人（单位负责人）本人签署，则可不</w:t>
      </w:r>
      <w:r>
        <w:rPr>
          <w:color w:val="auto"/>
          <w:sz w:val="24"/>
          <w:szCs w:val="24"/>
          <w:highlight w:val="none"/>
        </w:rPr>
        <w:t>提</w:t>
      </w:r>
      <w:r>
        <w:rPr>
          <w:rFonts w:hint="eastAsia"/>
          <w:color w:val="auto"/>
          <w:sz w:val="24"/>
          <w:szCs w:val="24"/>
          <w:highlight w:val="none"/>
        </w:rPr>
        <w:t>供本《授权委托书》，但须</w:t>
      </w:r>
      <w:r>
        <w:rPr>
          <w:color w:val="auto"/>
          <w:sz w:val="24"/>
          <w:szCs w:val="24"/>
          <w:highlight w:val="none"/>
        </w:rPr>
        <w:t>提</w:t>
      </w:r>
      <w:r>
        <w:rPr>
          <w:rFonts w:hint="eastAsia"/>
          <w:color w:val="auto"/>
          <w:sz w:val="24"/>
          <w:szCs w:val="24"/>
          <w:highlight w:val="none"/>
        </w:rPr>
        <w:t>供《法定代表人（单位负责人）身份证明》；否则，不需要</w:t>
      </w:r>
      <w:r>
        <w:rPr>
          <w:color w:val="auto"/>
          <w:sz w:val="24"/>
          <w:szCs w:val="24"/>
          <w:highlight w:val="none"/>
        </w:rPr>
        <w:t>提</w:t>
      </w:r>
      <w:r>
        <w:rPr>
          <w:rFonts w:hint="eastAsia"/>
          <w:color w:val="auto"/>
          <w:sz w:val="24"/>
          <w:szCs w:val="24"/>
          <w:highlight w:val="none"/>
        </w:rPr>
        <w:t>供《法定代表人（单位负责人）身份证明》。</w:t>
      </w:r>
    </w:p>
    <w:p w14:paraId="6F6AD193">
      <w:pPr>
        <w:widowControl/>
        <w:jc w:val="left"/>
        <w:rPr>
          <w:color w:val="auto"/>
          <w:sz w:val="24"/>
          <w:szCs w:val="24"/>
          <w:highlight w:val="none"/>
        </w:rPr>
      </w:pPr>
      <w:r>
        <w:rPr>
          <w:color w:val="auto"/>
          <w:sz w:val="24"/>
          <w:szCs w:val="24"/>
          <w:highlight w:val="none"/>
        </w:rPr>
        <w:t>3.</w:t>
      </w:r>
      <w:r>
        <w:rPr>
          <w:rFonts w:hint="eastAsia"/>
          <w:color w:val="auto"/>
          <w:sz w:val="24"/>
          <w:szCs w:val="24"/>
          <w:highlight w:val="none"/>
        </w:rPr>
        <w:t>供应商为自然人的情形，可不</w:t>
      </w:r>
      <w:r>
        <w:rPr>
          <w:color w:val="auto"/>
          <w:sz w:val="24"/>
          <w:szCs w:val="24"/>
          <w:highlight w:val="none"/>
        </w:rPr>
        <w:t>提</w:t>
      </w:r>
      <w:r>
        <w:rPr>
          <w:rFonts w:hint="eastAsia"/>
          <w:color w:val="auto"/>
          <w:sz w:val="24"/>
          <w:szCs w:val="24"/>
          <w:highlight w:val="none"/>
        </w:rPr>
        <w:t>供本《授权委托书》。</w:t>
      </w:r>
    </w:p>
    <w:p w14:paraId="00A9C454">
      <w:pPr>
        <w:widowControl/>
        <w:jc w:val="left"/>
        <w:rPr>
          <w:color w:val="auto"/>
          <w:sz w:val="24"/>
          <w:szCs w:val="24"/>
          <w:highlight w:val="none"/>
        </w:rPr>
      </w:pPr>
      <w:r>
        <w:rPr>
          <w:color w:val="auto"/>
          <w:sz w:val="24"/>
          <w:szCs w:val="24"/>
          <w:highlight w:val="none"/>
        </w:rPr>
        <w:t>4.</w:t>
      </w:r>
      <w:r>
        <w:rPr>
          <w:rFonts w:hint="eastAsia"/>
          <w:color w:val="auto"/>
          <w:sz w:val="24"/>
          <w:szCs w:val="24"/>
          <w:highlight w:val="none"/>
        </w:rPr>
        <w:t>供应商应随本《授权委托书》同时</w:t>
      </w:r>
      <w:r>
        <w:rPr>
          <w:color w:val="auto"/>
          <w:sz w:val="24"/>
          <w:szCs w:val="24"/>
          <w:highlight w:val="none"/>
        </w:rPr>
        <w:t>提</w:t>
      </w:r>
      <w:r>
        <w:rPr>
          <w:rFonts w:hint="eastAsia"/>
          <w:color w:val="auto"/>
          <w:sz w:val="24"/>
          <w:szCs w:val="24"/>
          <w:highlight w:val="none"/>
        </w:rPr>
        <w:t>供法定代表人（单位负责人）及委托代理人的有效的身份证、护照等身份证明文件电子件。</w:t>
      </w:r>
      <w:r>
        <w:rPr>
          <w:color w:val="auto"/>
          <w:sz w:val="24"/>
          <w:szCs w:val="24"/>
          <w:highlight w:val="none"/>
        </w:rPr>
        <w:t>提</w:t>
      </w:r>
      <w:r>
        <w:rPr>
          <w:rFonts w:hint="eastAsia"/>
          <w:color w:val="auto"/>
          <w:sz w:val="24"/>
          <w:szCs w:val="24"/>
          <w:highlight w:val="none"/>
        </w:rPr>
        <w:t>供身份证的，应同时</w:t>
      </w:r>
      <w:r>
        <w:rPr>
          <w:color w:val="auto"/>
          <w:sz w:val="24"/>
          <w:szCs w:val="24"/>
          <w:highlight w:val="none"/>
        </w:rPr>
        <w:t>提</w:t>
      </w:r>
      <w:r>
        <w:rPr>
          <w:rFonts w:hint="eastAsia"/>
          <w:color w:val="auto"/>
          <w:sz w:val="24"/>
          <w:szCs w:val="24"/>
          <w:highlight w:val="none"/>
        </w:rPr>
        <w:t>供身份证</w:t>
      </w:r>
      <w:r>
        <w:rPr>
          <w:rFonts w:hint="eastAsia"/>
          <w:b/>
          <w:bCs/>
          <w:color w:val="auto"/>
          <w:sz w:val="24"/>
          <w:szCs w:val="24"/>
          <w:highlight w:val="none"/>
        </w:rPr>
        <w:t>双面</w:t>
      </w:r>
      <w:r>
        <w:rPr>
          <w:rFonts w:hint="eastAsia"/>
          <w:color w:val="auto"/>
          <w:sz w:val="24"/>
          <w:szCs w:val="24"/>
          <w:highlight w:val="none"/>
        </w:rPr>
        <w:t>电子件。</w:t>
      </w:r>
      <w:r>
        <w:rPr>
          <w:color w:val="auto"/>
          <w:sz w:val="24"/>
          <w:szCs w:val="24"/>
          <w:highlight w:val="none"/>
        </w:rPr>
        <w:br w:type="page"/>
      </w:r>
    </w:p>
    <w:p w14:paraId="0BDD8197">
      <w:pPr>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附：法定代表人（单位负责人）身份证明</w:t>
      </w:r>
    </w:p>
    <w:p w14:paraId="4BC144BD">
      <w:pPr>
        <w:kinsoku w:val="0"/>
        <w:overflowPunct w:val="0"/>
        <w:spacing w:line="200" w:lineRule="exact"/>
        <w:rPr>
          <w:color w:val="auto"/>
          <w:sz w:val="24"/>
          <w:szCs w:val="24"/>
          <w:highlight w:val="none"/>
        </w:rPr>
      </w:pPr>
    </w:p>
    <w:p w14:paraId="5076E58E">
      <w:pPr>
        <w:tabs>
          <w:tab w:val="left" w:pos="5580"/>
        </w:tabs>
        <w:spacing w:line="360" w:lineRule="auto"/>
        <w:rPr>
          <w:color w:val="auto"/>
          <w:sz w:val="24"/>
          <w:szCs w:val="24"/>
          <w:highlight w:val="none"/>
        </w:rPr>
      </w:pPr>
      <w:r>
        <w:rPr>
          <w:color w:val="auto"/>
          <w:sz w:val="24"/>
          <w:szCs w:val="24"/>
          <w:highlight w:val="none"/>
        </w:rPr>
        <w:t>致：____（采购人或采购代理机构）</w:t>
      </w:r>
    </w:p>
    <w:p w14:paraId="7C51677A">
      <w:pPr>
        <w:pStyle w:val="22"/>
        <w:tabs>
          <w:tab w:val="left" w:pos="2412"/>
          <w:tab w:val="left" w:pos="3883"/>
          <w:tab w:val="left" w:pos="5352"/>
          <w:tab w:val="left" w:pos="6821"/>
        </w:tabs>
        <w:kinsoku w:val="0"/>
        <w:overflowPunct w:val="0"/>
        <w:spacing w:line="335" w:lineRule="exact"/>
        <w:ind w:firstLine="480" w:firstLineChars="200"/>
        <w:rPr>
          <w:rFonts w:ascii="Times New Roman" w:hAnsi="Times New Roman"/>
          <w:color w:val="auto"/>
          <w:sz w:val="24"/>
          <w:szCs w:val="24"/>
          <w:highlight w:val="none"/>
        </w:rPr>
      </w:pPr>
      <w:r>
        <w:rPr>
          <w:rFonts w:ascii="Times New Roman" w:hAnsi="Times New Roman"/>
          <w:color w:val="auto"/>
          <w:sz w:val="24"/>
          <w:szCs w:val="24"/>
          <w:highlight w:val="none"/>
        </w:rPr>
        <w:t>兹证明，</w:t>
      </w:r>
    </w:p>
    <w:p w14:paraId="59FBACED">
      <w:pPr>
        <w:pStyle w:val="22"/>
        <w:tabs>
          <w:tab w:val="left" w:pos="1690"/>
          <w:tab w:val="left" w:pos="3400"/>
          <w:tab w:val="left" w:pos="5110"/>
          <w:tab w:val="left" w:pos="6821"/>
        </w:tabs>
        <w:kinsoku w:val="0"/>
        <w:overflowPunct w:val="0"/>
        <w:spacing w:line="335" w:lineRule="exact"/>
        <w:rPr>
          <w:rFonts w:ascii="Times New Roman" w:hAnsi="Times New Roman"/>
          <w:color w:val="auto"/>
          <w:sz w:val="24"/>
          <w:szCs w:val="24"/>
          <w:highlight w:val="none"/>
        </w:rPr>
      </w:pPr>
      <w:r>
        <w:rPr>
          <w:rFonts w:ascii="Times New Roman" w:hAnsi="Times New Roman"/>
          <w:color w:val="auto"/>
          <w:sz w:val="24"/>
          <w:szCs w:val="24"/>
          <w:highlight w:val="none"/>
        </w:rPr>
        <w:t>姓名：____性别：____年龄：____职务：____</w:t>
      </w:r>
    </w:p>
    <w:p w14:paraId="2725F8CF">
      <w:pPr>
        <w:pStyle w:val="22"/>
        <w:tabs>
          <w:tab w:val="left" w:pos="2412"/>
          <w:tab w:val="left" w:pos="3883"/>
          <w:tab w:val="left" w:pos="5352"/>
          <w:tab w:val="left" w:pos="6821"/>
        </w:tabs>
        <w:kinsoku w:val="0"/>
        <w:overflowPunct w:val="0"/>
        <w:spacing w:line="335" w:lineRule="exact"/>
        <w:rPr>
          <w:rFonts w:ascii="Times New Roman" w:hAnsi="Times New Roman"/>
          <w:color w:val="auto"/>
          <w:sz w:val="24"/>
          <w:szCs w:val="24"/>
          <w:highlight w:val="none"/>
        </w:rPr>
      </w:pPr>
    </w:p>
    <w:p w14:paraId="76C6E893">
      <w:pPr>
        <w:pStyle w:val="22"/>
        <w:tabs>
          <w:tab w:val="left" w:pos="2250"/>
          <w:tab w:val="left" w:pos="2412"/>
          <w:tab w:val="left" w:pos="3883"/>
          <w:tab w:val="left" w:pos="5352"/>
          <w:tab w:val="left" w:pos="6821"/>
          <w:tab w:val="clear" w:pos="567"/>
        </w:tabs>
        <w:kinsoku w:val="0"/>
        <w:overflowPunct w:val="0"/>
        <w:spacing w:line="335" w:lineRule="exact"/>
        <w:rPr>
          <w:rFonts w:ascii="Times New Roman" w:hAnsi="Times New Roman"/>
          <w:color w:val="auto"/>
          <w:sz w:val="24"/>
          <w:szCs w:val="24"/>
          <w:highlight w:val="none"/>
        </w:rPr>
      </w:pPr>
      <w:r>
        <w:rPr>
          <w:rFonts w:ascii="Times New Roman" w:hAnsi="Times New Roman"/>
          <w:color w:val="auto"/>
          <w:sz w:val="24"/>
          <w:szCs w:val="24"/>
          <w:highlight w:val="none"/>
        </w:rPr>
        <w:t>系__________（供应商名称）的法定代表人（单位负责人）。</w:t>
      </w:r>
    </w:p>
    <w:p w14:paraId="47D54544">
      <w:pPr>
        <w:pStyle w:val="22"/>
        <w:tabs>
          <w:tab w:val="left" w:pos="2412"/>
          <w:tab w:val="left" w:pos="3883"/>
          <w:tab w:val="left" w:pos="5352"/>
          <w:tab w:val="left" w:pos="6821"/>
        </w:tabs>
        <w:kinsoku w:val="0"/>
        <w:overflowPunct w:val="0"/>
        <w:spacing w:line="335" w:lineRule="exact"/>
        <w:rPr>
          <w:rFonts w:ascii="Times New Roman" w:hAnsi="Times New Roman"/>
          <w:color w:val="auto"/>
          <w:sz w:val="24"/>
          <w:szCs w:val="24"/>
          <w:highlight w:val="none"/>
        </w:rPr>
      </w:pPr>
    </w:p>
    <w:p w14:paraId="5BCF10E7">
      <w:pPr>
        <w:pStyle w:val="22"/>
        <w:tabs>
          <w:tab w:val="left" w:pos="2412"/>
          <w:tab w:val="left" w:pos="3883"/>
          <w:tab w:val="left" w:pos="5352"/>
          <w:tab w:val="left" w:pos="6821"/>
        </w:tabs>
        <w:kinsoku w:val="0"/>
        <w:overflowPunct w:val="0"/>
        <w:spacing w:line="335" w:lineRule="exact"/>
        <w:rPr>
          <w:rFonts w:ascii="Times New Roman" w:hAnsi="Times New Roman"/>
          <w:color w:val="auto"/>
          <w:sz w:val="24"/>
          <w:szCs w:val="24"/>
          <w:highlight w:val="none"/>
        </w:rPr>
      </w:pPr>
    </w:p>
    <w:p w14:paraId="31C84789">
      <w:pPr>
        <w:pStyle w:val="22"/>
        <w:tabs>
          <w:tab w:val="left" w:pos="2412"/>
          <w:tab w:val="left" w:pos="3883"/>
          <w:tab w:val="left" w:pos="5352"/>
          <w:tab w:val="left" w:pos="6821"/>
        </w:tabs>
        <w:kinsoku w:val="0"/>
        <w:overflowPunct w:val="0"/>
        <w:spacing w:line="335" w:lineRule="exact"/>
        <w:rPr>
          <w:rFonts w:ascii="Times New Roman" w:hAnsi="Times New Roman"/>
          <w:color w:val="auto"/>
          <w:sz w:val="24"/>
          <w:szCs w:val="24"/>
          <w:highlight w:val="none"/>
        </w:rPr>
      </w:pPr>
    </w:p>
    <w:p w14:paraId="6B6D0F89">
      <w:pPr>
        <w:pStyle w:val="22"/>
        <w:kinsoku w:val="0"/>
        <w:overflowPunct w:val="0"/>
        <w:spacing w:line="583" w:lineRule="auto"/>
        <w:ind w:right="-46"/>
        <w:rPr>
          <w:rFonts w:ascii="Times New Roman" w:hAnsi="Times New Roman"/>
          <w:color w:val="auto"/>
          <w:spacing w:val="-3"/>
          <w:sz w:val="24"/>
          <w:szCs w:val="24"/>
          <w:highlight w:val="none"/>
        </w:rPr>
      </w:pPr>
      <w:r>
        <w:rPr>
          <w:rFonts w:ascii="Times New Roman" w:hAnsi="Times New Roman"/>
          <w:color w:val="auto"/>
          <w:sz w:val="24"/>
          <w:szCs w:val="24"/>
          <w:highlight w:val="none"/>
        </w:rPr>
        <w:t>附：</w:t>
      </w:r>
      <w:r>
        <w:rPr>
          <w:rFonts w:ascii="Times New Roman" w:hAnsi="Times New Roman"/>
          <w:color w:val="auto"/>
          <w:spacing w:val="-3"/>
          <w:sz w:val="24"/>
          <w:szCs w:val="24"/>
          <w:highlight w:val="none"/>
        </w:rPr>
        <w:t>法</w:t>
      </w:r>
      <w:r>
        <w:rPr>
          <w:rFonts w:ascii="Times New Roman" w:hAnsi="Times New Roman"/>
          <w:color w:val="auto"/>
          <w:sz w:val="24"/>
          <w:szCs w:val="24"/>
          <w:highlight w:val="none"/>
        </w:rPr>
        <w:t>定</w:t>
      </w:r>
      <w:r>
        <w:rPr>
          <w:rFonts w:ascii="Times New Roman" w:hAnsi="Times New Roman"/>
          <w:color w:val="auto"/>
          <w:spacing w:val="-3"/>
          <w:sz w:val="24"/>
          <w:szCs w:val="24"/>
          <w:highlight w:val="none"/>
        </w:rPr>
        <w:t>代</w:t>
      </w:r>
      <w:r>
        <w:rPr>
          <w:rFonts w:ascii="Times New Roman" w:hAnsi="Times New Roman"/>
          <w:color w:val="auto"/>
          <w:sz w:val="24"/>
          <w:szCs w:val="24"/>
          <w:highlight w:val="none"/>
        </w:rPr>
        <w:t>表</w:t>
      </w:r>
      <w:r>
        <w:rPr>
          <w:rFonts w:ascii="Times New Roman" w:hAnsi="Times New Roman"/>
          <w:color w:val="auto"/>
          <w:spacing w:val="-3"/>
          <w:sz w:val="24"/>
          <w:szCs w:val="24"/>
          <w:highlight w:val="none"/>
        </w:rPr>
        <w:t>人</w:t>
      </w:r>
      <w:r>
        <w:rPr>
          <w:rFonts w:ascii="Times New Roman" w:hAnsi="Times New Roman"/>
          <w:color w:val="auto"/>
          <w:sz w:val="24"/>
          <w:szCs w:val="24"/>
          <w:highlight w:val="none"/>
        </w:rPr>
        <w:t>（</w:t>
      </w:r>
      <w:r>
        <w:rPr>
          <w:rFonts w:ascii="Times New Roman" w:hAnsi="Times New Roman"/>
          <w:color w:val="auto"/>
          <w:spacing w:val="-3"/>
          <w:sz w:val="24"/>
          <w:szCs w:val="24"/>
          <w:highlight w:val="none"/>
        </w:rPr>
        <w:t>单</w:t>
      </w:r>
      <w:r>
        <w:rPr>
          <w:rFonts w:ascii="Times New Roman" w:hAnsi="Times New Roman"/>
          <w:color w:val="auto"/>
          <w:sz w:val="24"/>
          <w:szCs w:val="24"/>
          <w:highlight w:val="none"/>
        </w:rPr>
        <w:t>位</w:t>
      </w:r>
      <w:r>
        <w:rPr>
          <w:rFonts w:ascii="Times New Roman" w:hAnsi="Times New Roman"/>
          <w:color w:val="auto"/>
          <w:spacing w:val="-3"/>
          <w:sz w:val="24"/>
          <w:szCs w:val="24"/>
          <w:highlight w:val="none"/>
        </w:rPr>
        <w:t>负</w:t>
      </w:r>
      <w:r>
        <w:rPr>
          <w:rFonts w:ascii="Times New Roman" w:hAnsi="Times New Roman"/>
          <w:color w:val="auto"/>
          <w:sz w:val="24"/>
          <w:szCs w:val="24"/>
          <w:highlight w:val="none"/>
        </w:rPr>
        <w:t>责人</w:t>
      </w:r>
      <w:r>
        <w:rPr>
          <w:rFonts w:ascii="Times New Roman" w:hAnsi="Times New Roman"/>
          <w:color w:val="auto"/>
          <w:spacing w:val="-3"/>
          <w:sz w:val="24"/>
          <w:szCs w:val="24"/>
          <w:highlight w:val="none"/>
        </w:rPr>
        <w:t>）身份证、护照等身份证明文件电子件。</w:t>
      </w:r>
    </w:p>
    <w:tbl>
      <w:tblPr>
        <w:tblStyle w:val="53"/>
        <w:tblW w:w="9019"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019"/>
      </w:tblGrid>
      <w:tr w14:paraId="39226A1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052" w:hRule="atLeast"/>
        </w:trPr>
        <w:tc>
          <w:tcPr>
            <w:tcW w:w="9019" w:type="dxa"/>
          </w:tcPr>
          <w:p w14:paraId="51F9E085">
            <w:pPr>
              <w:tabs>
                <w:tab w:val="left" w:pos="5580"/>
              </w:tabs>
              <w:spacing w:line="360" w:lineRule="auto"/>
              <w:jc w:val="left"/>
              <w:rPr>
                <w:color w:val="auto"/>
                <w:sz w:val="24"/>
                <w:szCs w:val="24"/>
                <w:highlight w:val="none"/>
              </w:rPr>
            </w:pPr>
          </w:p>
          <w:p w14:paraId="7A2741ED">
            <w:pPr>
              <w:tabs>
                <w:tab w:val="left" w:pos="5580"/>
              </w:tabs>
              <w:spacing w:line="360" w:lineRule="auto"/>
              <w:jc w:val="left"/>
              <w:rPr>
                <w:color w:val="auto"/>
                <w:sz w:val="24"/>
                <w:szCs w:val="24"/>
                <w:highlight w:val="none"/>
              </w:rPr>
            </w:pPr>
          </w:p>
          <w:p w14:paraId="4F192BB7">
            <w:pPr>
              <w:tabs>
                <w:tab w:val="left" w:pos="5580"/>
              </w:tabs>
              <w:spacing w:line="360" w:lineRule="auto"/>
              <w:jc w:val="left"/>
              <w:rPr>
                <w:color w:val="auto"/>
                <w:sz w:val="24"/>
                <w:szCs w:val="24"/>
                <w:highlight w:val="none"/>
              </w:rPr>
            </w:pPr>
          </w:p>
          <w:p w14:paraId="13AEE6D2">
            <w:pPr>
              <w:tabs>
                <w:tab w:val="left" w:pos="5580"/>
              </w:tabs>
              <w:spacing w:line="360" w:lineRule="auto"/>
              <w:jc w:val="left"/>
              <w:rPr>
                <w:color w:val="auto"/>
                <w:sz w:val="24"/>
                <w:szCs w:val="24"/>
                <w:highlight w:val="none"/>
              </w:rPr>
            </w:pPr>
          </w:p>
          <w:p w14:paraId="37D9C9E0">
            <w:pPr>
              <w:tabs>
                <w:tab w:val="left" w:pos="5580"/>
              </w:tabs>
              <w:spacing w:line="360" w:lineRule="auto"/>
              <w:jc w:val="left"/>
              <w:rPr>
                <w:color w:val="auto"/>
                <w:sz w:val="24"/>
                <w:szCs w:val="24"/>
                <w:highlight w:val="none"/>
              </w:rPr>
            </w:pPr>
          </w:p>
        </w:tc>
      </w:tr>
    </w:tbl>
    <w:p w14:paraId="784C0A41">
      <w:pPr>
        <w:pStyle w:val="22"/>
        <w:kinsoku w:val="0"/>
        <w:overflowPunct w:val="0"/>
        <w:spacing w:line="583" w:lineRule="auto"/>
        <w:ind w:right="4305"/>
        <w:rPr>
          <w:rFonts w:ascii="Times New Roman" w:hAnsi="Times New Roman"/>
          <w:color w:val="auto"/>
          <w:spacing w:val="-3"/>
          <w:sz w:val="24"/>
          <w:szCs w:val="24"/>
          <w:highlight w:val="none"/>
        </w:rPr>
      </w:pPr>
    </w:p>
    <w:p w14:paraId="18325807">
      <w:pPr>
        <w:pStyle w:val="22"/>
        <w:kinsoku w:val="0"/>
        <w:overflowPunct w:val="0"/>
        <w:spacing w:line="583" w:lineRule="auto"/>
        <w:ind w:right="4305"/>
        <w:rPr>
          <w:rFonts w:ascii="Times New Roman" w:hAnsi="Times New Roman"/>
          <w:color w:val="auto"/>
          <w:spacing w:val="-3"/>
          <w:sz w:val="24"/>
          <w:szCs w:val="24"/>
          <w:highlight w:val="none"/>
        </w:rPr>
      </w:pPr>
    </w:p>
    <w:p w14:paraId="5E67B41F">
      <w:pPr>
        <w:pStyle w:val="22"/>
        <w:kinsoku w:val="0"/>
        <w:overflowPunct w:val="0"/>
        <w:spacing w:line="583" w:lineRule="auto"/>
        <w:ind w:right="4305"/>
        <w:rPr>
          <w:rFonts w:ascii="Times New Roman" w:hAnsi="Times New Roman"/>
          <w:color w:val="auto"/>
          <w:spacing w:val="-3"/>
          <w:sz w:val="24"/>
          <w:szCs w:val="24"/>
          <w:highlight w:val="none"/>
        </w:rPr>
      </w:pPr>
    </w:p>
    <w:p w14:paraId="4B75F036">
      <w:pPr>
        <w:autoSpaceDE w:val="0"/>
        <w:autoSpaceDN w:val="0"/>
        <w:adjustRightInd w:val="0"/>
        <w:snapToGrid w:val="0"/>
        <w:spacing w:line="360" w:lineRule="auto"/>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w:t>
      </w:r>
    </w:p>
    <w:p w14:paraId="068D377D">
      <w:pPr>
        <w:autoSpaceDE w:val="0"/>
        <w:autoSpaceDN w:val="0"/>
        <w:adjustRightInd w:val="0"/>
        <w:snapToGrid w:val="0"/>
        <w:spacing w:line="360" w:lineRule="auto"/>
        <w:rPr>
          <w:color w:val="auto"/>
          <w:sz w:val="24"/>
          <w:szCs w:val="24"/>
          <w:highlight w:val="none"/>
          <w:lang w:val="zh-CN"/>
        </w:rPr>
      </w:pPr>
      <w:r>
        <w:rPr>
          <w:color w:val="auto"/>
          <w:spacing w:val="-3"/>
          <w:sz w:val="24"/>
          <w:szCs w:val="24"/>
          <w:highlight w:val="none"/>
        </w:rPr>
        <w:t>法定代表人（</w:t>
      </w:r>
      <w:r>
        <w:rPr>
          <w:color w:val="auto"/>
          <w:sz w:val="24"/>
          <w:szCs w:val="24"/>
          <w:highlight w:val="none"/>
        </w:rPr>
        <w:t>单位负责人</w:t>
      </w:r>
      <w:r>
        <w:rPr>
          <w:color w:val="auto"/>
          <w:spacing w:val="-3"/>
          <w:sz w:val="24"/>
          <w:szCs w:val="24"/>
          <w:highlight w:val="none"/>
        </w:rPr>
        <w:t>）（签字或</w:t>
      </w:r>
      <w:r>
        <w:rPr>
          <w:rFonts w:hint="eastAsia" w:ascii="宋体" w:hAnsi="宋体"/>
          <w:color w:val="auto"/>
          <w:sz w:val="24"/>
          <w:szCs w:val="24"/>
          <w:highlight w:val="none"/>
        </w:rPr>
        <w:t>签章</w:t>
      </w:r>
      <w:r>
        <w:rPr>
          <w:color w:val="auto"/>
          <w:spacing w:val="-3"/>
          <w:sz w:val="24"/>
          <w:szCs w:val="24"/>
          <w:highlight w:val="none"/>
        </w:rPr>
        <w:t>）：</w:t>
      </w:r>
      <w:r>
        <w:rPr>
          <w:color w:val="auto"/>
          <w:sz w:val="24"/>
          <w:szCs w:val="24"/>
          <w:highlight w:val="none"/>
        </w:rPr>
        <w:t>______</w:t>
      </w:r>
    </w:p>
    <w:p w14:paraId="72967127">
      <w:pPr>
        <w:autoSpaceDE w:val="0"/>
        <w:autoSpaceDN w:val="0"/>
        <w:adjustRightInd w:val="0"/>
        <w:snapToGrid w:val="0"/>
        <w:spacing w:line="360" w:lineRule="auto"/>
        <w:rPr>
          <w:color w:val="auto"/>
          <w:sz w:val="24"/>
          <w:szCs w:val="24"/>
          <w:highlight w:val="none"/>
          <w:lang w:val="zh-CN"/>
        </w:rPr>
      </w:pPr>
      <w:r>
        <w:rPr>
          <w:color w:val="auto"/>
          <w:sz w:val="24"/>
          <w:szCs w:val="24"/>
          <w:highlight w:val="none"/>
        </w:rPr>
        <w:t>日期：____年____月____日</w:t>
      </w:r>
    </w:p>
    <w:p w14:paraId="107FCE98">
      <w:pPr>
        <w:widowControl/>
        <w:jc w:val="left"/>
        <w:rPr>
          <w:i/>
          <w:color w:val="auto"/>
          <w:sz w:val="24"/>
          <w:szCs w:val="24"/>
          <w:highlight w:val="none"/>
          <w:u w:val="single"/>
        </w:rPr>
      </w:pPr>
    </w:p>
    <w:p w14:paraId="12256694">
      <w:pPr>
        <w:widowControl/>
        <w:jc w:val="left"/>
        <w:rPr>
          <w:color w:val="auto"/>
          <w:sz w:val="24"/>
          <w:szCs w:val="24"/>
          <w:highlight w:val="none"/>
        </w:rPr>
      </w:pPr>
      <w:r>
        <w:rPr>
          <w:color w:val="auto"/>
          <w:sz w:val="24"/>
          <w:szCs w:val="24"/>
          <w:highlight w:val="none"/>
        </w:rPr>
        <w:br w:type="page"/>
      </w:r>
    </w:p>
    <w:p w14:paraId="3FDCE893">
      <w:pPr>
        <w:tabs>
          <w:tab w:val="left" w:pos="360"/>
        </w:tabs>
        <w:snapToGrid w:val="0"/>
        <w:spacing w:line="360" w:lineRule="auto"/>
        <w:outlineLvl w:val="1"/>
        <w:rPr>
          <w:color w:val="auto"/>
          <w:sz w:val="24"/>
          <w:szCs w:val="24"/>
          <w:highlight w:val="none"/>
        </w:rPr>
      </w:pPr>
      <w:r>
        <w:rPr>
          <w:color w:val="auto"/>
          <w:sz w:val="24"/>
          <w:szCs w:val="24"/>
          <w:highlight w:val="none"/>
        </w:rPr>
        <w:t>7  报价一览表</w:t>
      </w:r>
      <w:bookmarkEnd w:id="1990"/>
      <w:bookmarkEnd w:id="1991"/>
      <w:bookmarkEnd w:id="1992"/>
      <w:bookmarkEnd w:id="1993"/>
      <w:bookmarkEnd w:id="1994"/>
      <w:bookmarkEnd w:id="1995"/>
      <w:bookmarkEnd w:id="1996"/>
      <w:bookmarkEnd w:id="1997"/>
      <w:bookmarkEnd w:id="1998"/>
      <w:bookmarkEnd w:id="1999"/>
      <w:bookmarkEnd w:id="2000"/>
      <w:bookmarkEnd w:id="2001"/>
      <w:bookmarkEnd w:id="2002"/>
      <w:bookmarkEnd w:id="2003"/>
      <w:bookmarkEnd w:id="2004"/>
      <w:bookmarkEnd w:id="2005"/>
    </w:p>
    <w:p w14:paraId="18D31AB5">
      <w:pPr>
        <w:jc w:val="center"/>
        <w:rPr>
          <w:b/>
          <w:color w:val="auto"/>
          <w:sz w:val="24"/>
          <w:szCs w:val="24"/>
          <w:highlight w:val="none"/>
        </w:rPr>
      </w:pPr>
      <w:bookmarkStart w:id="2006" w:name="_Toc195842923"/>
      <w:bookmarkStart w:id="2007" w:name="_Toc226965748"/>
      <w:bookmarkStart w:id="2008" w:name="_Toc226309802"/>
      <w:bookmarkStart w:id="2009" w:name="_Toc265228396"/>
      <w:bookmarkStart w:id="2010" w:name="_Toc305158900"/>
      <w:bookmarkStart w:id="2011" w:name="_Toc164608672"/>
      <w:bookmarkStart w:id="2012" w:name="_Toc226337254"/>
      <w:bookmarkStart w:id="2013" w:name="_Toc264969248"/>
      <w:bookmarkStart w:id="2014" w:name="_Toc305158826"/>
      <w:bookmarkStart w:id="2015" w:name="_Toc226965831"/>
      <w:bookmarkStart w:id="2016" w:name="_Toc164608827"/>
      <w:r>
        <w:rPr>
          <w:rFonts w:hint="eastAsia"/>
          <w:b/>
          <w:color w:val="auto"/>
          <w:sz w:val="24"/>
          <w:szCs w:val="24"/>
          <w:highlight w:val="none"/>
        </w:rPr>
        <w:t>报价一览表</w:t>
      </w:r>
      <w:bookmarkEnd w:id="2006"/>
      <w:bookmarkEnd w:id="2007"/>
      <w:bookmarkEnd w:id="2008"/>
      <w:bookmarkEnd w:id="2009"/>
      <w:bookmarkEnd w:id="2010"/>
      <w:bookmarkEnd w:id="2011"/>
      <w:bookmarkEnd w:id="2012"/>
      <w:bookmarkEnd w:id="2013"/>
      <w:bookmarkEnd w:id="2014"/>
      <w:bookmarkEnd w:id="2015"/>
      <w:bookmarkEnd w:id="2016"/>
    </w:p>
    <w:p w14:paraId="75B45A48">
      <w:pPr>
        <w:tabs>
          <w:tab w:val="left" w:pos="1800"/>
          <w:tab w:val="left" w:pos="5580"/>
        </w:tabs>
        <w:spacing w:line="360" w:lineRule="auto"/>
        <w:jc w:val="left"/>
        <w:rPr>
          <w:color w:val="auto"/>
          <w:sz w:val="24"/>
          <w:szCs w:val="24"/>
          <w:highlight w:val="none"/>
        </w:rPr>
      </w:pPr>
    </w:p>
    <w:p w14:paraId="22F875C4">
      <w:pPr>
        <w:tabs>
          <w:tab w:val="left" w:pos="1800"/>
          <w:tab w:val="left" w:pos="5580"/>
        </w:tabs>
        <w:spacing w:line="360" w:lineRule="auto"/>
        <w:jc w:val="left"/>
        <w:rPr>
          <w:i/>
          <w:color w:val="auto"/>
          <w:sz w:val="24"/>
          <w:szCs w:val="24"/>
          <w:highlight w:val="none"/>
        </w:rPr>
      </w:pPr>
    </w:p>
    <w:p w14:paraId="30CAB28D">
      <w:pPr>
        <w:tabs>
          <w:tab w:val="left" w:pos="1800"/>
          <w:tab w:val="left" w:pos="5580"/>
        </w:tabs>
        <w:spacing w:line="360" w:lineRule="auto"/>
        <w:ind w:firstLine="240" w:firstLineChars="100"/>
        <w:jc w:val="left"/>
        <w:rPr>
          <w:color w:val="auto"/>
          <w:sz w:val="24"/>
          <w:szCs w:val="24"/>
          <w:highlight w:val="none"/>
          <w:u w:val="single"/>
        </w:rPr>
      </w:pPr>
      <w:r>
        <w:rPr>
          <w:color w:val="auto"/>
          <w:sz w:val="24"/>
          <w:szCs w:val="24"/>
          <w:highlight w:val="none"/>
        </w:rPr>
        <w:t>项目编号/包号：___________     项目名称：___________</w:t>
      </w:r>
    </w:p>
    <w:tbl>
      <w:tblPr>
        <w:tblStyle w:val="53"/>
        <w:tblW w:w="1077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531"/>
        <w:gridCol w:w="1912"/>
        <w:gridCol w:w="2200"/>
        <w:gridCol w:w="2288"/>
        <w:gridCol w:w="1650"/>
        <w:gridCol w:w="1100"/>
        <w:gridCol w:w="1095"/>
      </w:tblGrid>
      <w:tr w14:paraId="215B9F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02" w:hRule="atLeast"/>
          <w:jc w:val="center"/>
        </w:trPr>
        <w:tc>
          <w:tcPr>
            <w:tcW w:w="531" w:type="dxa"/>
            <w:vMerge w:val="restart"/>
            <w:tcBorders>
              <w:top w:val="single" w:color="auto" w:sz="4" w:space="0"/>
              <w:left w:val="single" w:color="auto" w:sz="4" w:space="0"/>
              <w:bottom w:val="single" w:color="auto" w:sz="4" w:space="0"/>
              <w:right w:val="single" w:color="auto" w:sz="4" w:space="0"/>
            </w:tcBorders>
            <w:vAlign w:val="center"/>
          </w:tcPr>
          <w:p w14:paraId="6B309699">
            <w:pPr>
              <w:tabs>
                <w:tab w:val="left" w:pos="5580"/>
              </w:tabs>
              <w:jc w:val="center"/>
              <w:rPr>
                <w:b/>
                <w:color w:val="auto"/>
                <w:sz w:val="24"/>
                <w:szCs w:val="24"/>
                <w:highlight w:val="none"/>
              </w:rPr>
            </w:pPr>
            <w:r>
              <w:rPr>
                <w:rFonts w:hint="eastAsia"/>
                <w:b/>
                <w:color w:val="auto"/>
                <w:sz w:val="24"/>
                <w:szCs w:val="24"/>
                <w:highlight w:val="none"/>
              </w:rPr>
              <w:t>序号</w:t>
            </w:r>
          </w:p>
        </w:tc>
        <w:tc>
          <w:tcPr>
            <w:tcW w:w="1912" w:type="dxa"/>
            <w:vMerge w:val="restart"/>
            <w:tcBorders>
              <w:top w:val="single" w:color="auto" w:sz="4" w:space="0"/>
              <w:left w:val="single" w:color="auto" w:sz="4" w:space="0"/>
              <w:bottom w:val="single" w:color="auto" w:sz="4" w:space="0"/>
              <w:right w:val="single" w:color="auto" w:sz="4" w:space="0"/>
            </w:tcBorders>
            <w:vAlign w:val="center"/>
          </w:tcPr>
          <w:p w14:paraId="420E6172">
            <w:pPr>
              <w:tabs>
                <w:tab w:val="left" w:pos="5580"/>
              </w:tabs>
              <w:jc w:val="center"/>
              <w:rPr>
                <w:b/>
                <w:color w:val="auto"/>
                <w:sz w:val="24"/>
                <w:szCs w:val="24"/>
                <w:highlight w:val="none"/>
              </w:rPr>
            </w:pPr>
            <w:r>
              <w:rPr>
                <w:rFonts w:hint="eastAsia"/>
                <w:b/>
                <w:color w:val="auto"/>
                <w:sz w:val="24"/>
                <w:szCs w:val="24"/>
                <w:highlight w:val="none"/>
              </w:rPr>
              <w:t>供应商名称</w:t>
            </w:r>
          </w:p>
        </w:tc>
        <w:tc>
          <w:tcPr>
            <w:tcW w:w="4488" w:type="dxa"/>
            <w:gridSpan w:val="2"/>
            <w:tcBorders>
              <w:top w:val="single" w:color="auto" w:sz="4" w:space="0"/>
              <w:left w:val="single" w:color="auto" w:sz="4" w:space="0"/>
              <w:bottom w:val="single" w:color="auto" w:sz="4" w:space="0"/>
              <w:right w:val="single" w:color="auto" w:sz="4" w:space="0"/>
            </w:tcBorders>
            <w:vAlign w:val="center"/>
          </w:tcPr>
          <w:p w14:paraId="3CBD219D">
            <w:pPr>
              <w:tabs>
                <w:tab w:val="left" w:pos="5580"/>
              </w:tabs>
              <w:jc w:val="center"/>
              <w:rPr>
                <w:b/>
                <w:color w:val="auto"/>
                <w:sz w:val="24"/>
                <w:szCs w:val="24"/>
                <w:highlight w:val="none"/>
              </w:rPr>
            </w:pPr>
            <w:r>
              <w:rPr>
                <w:rFonts w:hint="eastAsia"/>
                <w:b/>
                <w:color w:val="auto"/>
                <w:sz w:val="24"/>
                <w:szCs w:val="24"/>
                <w:highlight w:val="none"/>
              </w:rPr>
              <w:t>报价</w:t>
            </w:r>
          </w:p>
        </w:tc>
        <w:tc>
          <w:tcPr>
            <w:tcW w:w="1650" w:type="dxa"/>
            <w:vMerge w:val="restart"/>
            <w:tcBorders>
              <w:top w:val="single" w:color="auto" w:sz="4" w:space="0"/>
              <w:left w:val="single" w:color="auto" w:sz="4" w:space="0"/>
              <w:right w:val="single" w:color="auto" w:sz="4" w:space="0"/>
            </w:tcBorders>
            <w:vAlign w:val="center"/>
          </w:tcPr>
          <w:p w14:paraId="7966327E">
            <w:pPr>
              <w:tabs>
                <w:tab w:val="left" w:pos="5580"/>
              </w:tabs>
              <w:jc w:val="center"/>
              <w:rPr>
                <w:rFonts w:hint="eastAsia"/>
                <w:b/>
                <w:color w:val="auto"/>
                <w:sz w:val="24"/>
                <w:szCs w:val="24"/>
                <w:highlight w:val="none"/>
                <w:lang w:val="en-US" w:eastAsia="zh-CN"/>
              </w:rPr>
            </w:pPr>
            <w:r>
              <w:rPr>
                <w:rFonts w:hint="eastAsia"/>
                <w:b/>
                <w:color w:val="auto"/>
                <w:sz w:val="24"/>
                <w:szCs w:val="24"/>
                <w:highlight w:val="none"/>
                <w:lang w:val="en-US" w:eastAsia="zh-CN"/>
              </w:rPr>
              <w:t>合同履行期限（工期）</w:t>
            </w:r>
          </w:p>
        </w:tc>
        <w:tc>
          <w:tcPr>
            <w:tcW w:w="1100" w:type="dxa"/>
            <w:vMerge w:val="restart"/>
            <w:tcBorders>
              <w:top w:val="single" w:color="auto" w:sz="4" w:space="0"/>
              <w:left w:val="single" w:color="auto" w:sz="4" w:space="0"/>
              <w:right w:val="single" w:color="auto" w:sz="4" w:space="0"/>
            </w:tcBorders>
            <w:vAlign w:val="center"/>
          </w:tcPr>
          <w:p w14:paraId="18417213">
            <w:pPr>
              <w:tabs>
                <w:tab w:val="left" w:pos="5580"/>
              </w:tabs>
              <w:jc w:val="center"/>
              <w:rPr>
                <w:rFonts w:hint="default" w:eastAsia="宋体"/>
                <w:b/>
                <w:color w:val="auto"/>
                <w:sz w:val="24"/>
                <w:szCs w:val="24"/>
                <w:highlight w:val="none"/>
                <w:lang w:val="en-US" w:eastAsia="zh-CN"/>
              </w:rPr>
            </w:pPr>
            <w:r>
              <w:rPr>
                <w:rFonts w:hint="eastAsia"/>
                <w:b/>
                <w:color w:val="auto"/>
                <w:sz w:val="24"/>
                <w:szCs w:val="24"/>
                <w:highlight w:val="none"/>
                <w:lang w:val="en-US" w:eastAsia="zh-CN"/>
              </w:rPr>
              <w:t>工程质量标准</w:t>
            </w:r>
          </w:p>
        </w:tc>
        <w:tc>
          <w:tcPr>
            <w:tcW w:w="1095" w:type="dxa"/>
            <w:vMerge w:val="restart"/>
            <w:tcBorders>
              <w:top w:val="single" w:color="auto" w:sz="4" w:space="0"/>
              <w:left w:val="single" w:color="auto" w:sz="4" w:space="0"/>
              <w:right w:val="single" w:color="auto" w:sz="4" w:space="0"/>
            </w:tcBorders>
            <w:vAlign w:val="center"/>
          </w:tcPr>
          <w:p w14:paraId="42D067FD">
            <w:pPr>
              <w:tabs>
                <w:tab w:val="left" w:pos="5580"/>
              </w:tabs>
              <w:jc w:val="center"/>
              <w:rPr>
                <w:rFonts w:hint="default"/>
                <w:b/>
                <w:color w:val="auto"/>
                <w:sz w:val="24"/>
                <w:szCs w:val="24"/>
                <w:highlight w:val="none"/>
                <w:lang w:val="en-US" w:eastAsia="zh-CN"/>
              </w:rPr>
            </w:pPr>
            <w:r>
              <w:rPr>
                <w:rFonts w:hint="eastAsia"/>
                <w:b/>
                <w:color w:val="auto"/>
                <w:sz w:val="24"/>
                <w:szCs w:val="24"/>
                <w:highlight w:val="none"/>
                <w:lang w:val="en-US" w:eastAsia="zh-CN"/>
              </w:rPr>
              <w:t>备注</w:t>
            </w:r>
          </w:p>
        </w:tc>
      </w:tr>
      <w:tr w14:paraId="61F94F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845" w:hRule="atLeast"/>
          <w:jc w:val="center"/>
        </w:trPr>
        <w:tc>
          <w:tcPr>
            <w:tcW w:w="531" w:type="dxa"/>
            <w:vMerge w:val="continue"/>
            <w:tcBorders>
              <w:top w:val="single" w:color="auto" w:sz="4" w:space="0"/>
              <w:left w:val="single" w:color="auto" w:sz="4" w:space="0"/>
              <w:bottom w:val="single" w:color="auto" w:sz="4" w:space="0"/>
              <w:right w:val="single" w:color="auto" w:sz="4" w:space="0"/>
            </w:tcBorders>
            <w:vAlign w:val="center"/>
          </w:tcPr>
          <w:p w14:paraId="4E788C6F">
            <w:pPr>
              <w:widowControl/>
              <w:jc w:val="left"/>
              <w:rPr>
                <w:b/>
                <w:color w:val="auto"/>
                <w:sz w:val="24"/>
                <w:szCs w:val="24"/>
                <w:highlight w:val="none"/>
              </w:rPr>
            </w:pPr>
          </w:p>
        </w:tc>
        <w:tc>
          <w:tcPr>
            <w:tcW w:w="1912" w:type="dxa"/>
            <w:vMerge w:val="continue"/>
            <w:tcBorders>
              <w:top w:val="single" w:color="auto" w:sz="4" w:space="0"/>
              <w:left w:val="single" w:color="auto" w:sz="4" w:space="0"/>
              <w:bottom w:val="single" w:color="auto" w:sz="4" w:space="0"/>
              <w:right w:val="single" w:color="auto" w:sz="4" w:space="0"/>
            </w:tcBorders>
            <w:vAlign w:val="center"/>
          </w:tcPr>
          <w:p w14:paraId="01B06415">
            <w:pPr>
              <w:widowControl/>
              <w:jc w:val="left"/>
              <w:rPr>
                <w:b/>
                <w:color w:val="auto"/>
                <w:sz w:val="24"/>
                <w:szCs w:val="24"/>
                <w:highlight w:val="none"/>
              </w:rPr>
            </w:pPr>
          </w:p>
        </w:tc>
        <w:tc>
          <w:tcPr>
            <w:tcW w:w="2200" w:type="dxa"/>
            <w:tcBorders>
              <w:top w:val="single" w:color="auto" w:sz="4" w:space="0"/>
              <w:left w:val="single" w:color="auto" w:sz="4" w:space="0"/>
              <w:bottom w:val="single" w:color="auto" w:sz="4" w:space="0"/>
              <w:right w:val="single" w:color="auto" w:sz="4" w:space="0"/>
            </w:tcBorders>
            <w:vAlign w:val="center"/>
          </w:tcPr>
          <w:p w14:paraId="66FC205D">
            <w:pPr>
              <w:tabs>
                <w:tab w:val="left" w:pos="5580"/>
              </w:tabs>
              <w:jc w:val="center"/>
              <w:rPr>
                <w:b/>
                <w:color w:val="auto"/>
                <w:sz w:val="24"/>
                <w:szCs w:val="24"/>
                <w:highlight w:val="none"/>
              </w:rPr>
            </w:pPr>
            <w:r>
              <w:rPr>
                <w:b/>
                <w:color w:val="auto"/>
                <w:sz w:val="24"/>
                <w:szCs w:val="24"/>
                <w:highlight w:val="none"/>
              </w:rPr>
              <w:t>小写</w:t>
            </w:r>
          </w:p>
        </w:tc>
        <w:tc>
          <w:tcPr>
            <w:tcW w:w="2288" w:type="dxa"/>
            <w:tcBorders>
              <w:top w:val="single" w:color="auto" w:sz="4" w:space="0"/>
              <w:left w:val="single" w:color="auto" w:sz="4" w:space="0"/>
              <w:bottom w:val="single" w:color="auto" w:sz="4" w:space="0"/>
              <w:right w:val="single" w:color="auto" w:sz="4" w:space="0"/>
            </w:tcBorders>
            <w:vAlign w:val="center"/>
          </w:tcPr>
          <w:p w14:paraId="71728C77">
            <w:pPr>
              <w:tabs>
                <w:tab w:val="left" w:pos="5580"/>
              </w:tabs>
              <w:jc w:val="center"/>
              <w:rPr>
                <w:b/>
                <w:color w:val="auto"/>
                <w:sz w:val="24"/>
                <w:szCs w:val="24"/>
                <w:highlight w:val="none"/>
              </w:rPr>
            </w:pPr>
            <w:r>
              <w:rPr>
                <w:rFonts w:hint="eastAsia"/>
                <w:b/>
                <w:color w:val="auto"/>
                <w:sz w:val="24"/>
                <w:szCs w:val="24"/>
                <w:highlight w:val="none"/>
              </w:rPr>
              <w:t>大写</w:t>
            </w:r>
          </w:p>
        </w:tc>
        <w:tc>
          <w:tcPr>
            <w:tcW w:w="1650" w:type="dxa"/>
            <w:vMerge w:val="continue"/>
            <w:tcBorders>
              <w:left w:val="single" w:color="auto" w:sz="4" w:space="0"/>
              <w:bottom w:val="single" w:color="auto" w:sz="4" w:space="0"/>
              <w:right w:val="single" w:color="auto" w:sz="4" w:space="0"/>
            </w:tcBorders>
            <w:vAlign w:val="center"/>
          </w:tcPr>
          <w:p w14:paraId="57D1C9E3">
            <w:pPr>
              <w:tabs>
                <w:tab w:val="left" w:pos="5580"/>
              </w:tabs>
              <w:jc w:val="center"/>
              <w:rPr>
                <w:rFonts w:hint="eastAsia"/>
                <w:b/>
                <w:color w:val="auto"/>
                <w:sz w:val="24"/>
                <w:szCs w:val="24"/>
                <w:highlight w:val="none"/>
              </w:rPr>
            </w:pPr>
          </w:p>
        </w:tc>
        <w:tc>
          <w:tcPr>
            <w:tcW w:w="1100" w:type="dxa"/>
            <w:vMerge w:val="continue"/>
            <w:tcBorders>
              <w:left w:val="single" w:color="auto" w:sz="4" w:space="0"/>
              <w:bottom w:val="single" w:color="auto" w:sz="4" w:space="0"/>
              <w:right w:val="single" w:color="auto" w:sz="4" w:space="0"/>
            </w:tcBorders>
            <w:vAlign w:val="center"/>
          </w:tcPr>
          <w:p w14:paraId="09ADB718">
            <w:pPr>
              <w:tabs>
                <w:tab w:val="left" w:pos="5580"/>
              </w:tabs>
              <w:jc w:val="center"/>
              <w:rPr>
                <w:rFonts w:hint="eastAsia"/>
                <w:b/>
                <w:color w:val="auto"/>
                <w:sz w:val="24"/>
                <w:szCs w:val="24"/>
                <w:highlight w:val="none"/>
              </w:rPr>
            </w:pPr>
          </w:p>
        </w:tc>
        <w:tc>
          <w:tcPr>
            <w:tcW w:w="1095" w:type="dxa"/>
            <w:vMerge w:val="continue"/>
            <w:tcBorders>
              <w:left w:val="single" w:color="auto" w:sz="4" w:space="0"/>
              <w:bottom w:val="single" w:color="auto" w:sz="4" w:space="0"/>
              <w:right w:val="single" w:color="auto" w:sz="4" w:space="0"/>
            </w:tcBorders>
            <w:vAlign w:val="center"/>
          </w:tcPr>
          <w:p w14:paraId="1B33B6F3">
            <w:pPr>
              <w:tabs>
                <w:tab w:val="left" w:pos="5580"/>
              </w:tabs>
              <w:jc w:val="center"/>
              <w:rPr>
                <w:rFonts w:hint="eastAsia"/>
                <w:b/>
                <w:color w:val="auto"/>
                <w:sz w:val="24"/>
                <w:szCs w:val="24"/>
                <w:highlight w:val="none"/>
              </w:rPr>
            </w:pPr>
          </w:p>
        </w:tc>
      </w:tr>
      <w:tr w14:paraId="4EC7E3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1258" w:hRule="atLeast"/>
          <w:jc w:val="center"/>
        </w:trPr>
        <w:tc>
          <w:tcPr>
            <w:tcW w:w="531" w:type="dxa"/>
            <w:tcBorders>
              <w:top w:val="single" w:color="auto" w:sz="4" w:space="0"/>
              <w:left w:val="single" w:color="auto" w:sz="4" w:space="0"/>
              <w:bottom w:val="single" w:color="auto" w:sz="4" w:space="0"/>
              <w:right w:val="single" w:color="auto" w:sz="4" w:space="0"/>
            </w:tcBorders>
            <w:vAlign w:val="center"/>
          </w:tcPr>
          <w:p w14:paraId="205D6B1B">
            <w:pPr>
              <w:tabs>
                <w:tab w:val="left" w:pos="5580"/>
              </w:tabs>
              <w:jc w:val="center"/>
              <w:rPr>
                <w:color w:val="auto"/>
                <w:sz w:val="24"/>
                <w:szCs w:val="24"/>
                <w:highlight w:val="none"/>
              </w:rPr>
            </w:pPr>
          </w:p>
        </w:tc>
        <w:tc>
          <w:tcPr>
            <w:tcW w:w="1912" w:type="dxa"/>
            <w:tcBorders>
              <w:top w:val="single" w:color="auto" w:sz="4" w:space="0"/>
              <w:left w:val="single" w:color="auto" w:sz="4" w:space="0"/>
              <w:bottom w:val="single" w:color="auto" w:sz="4" w:space="0"/>
              <w:right w:val="single" w:color="auto" w:sz="4" w:space="0"/>
            </w:tcBorders>
            <w:vAlign w:val="center"/>
          </w:tcPr>
          <w:p w14:paraId="3AE2B630">
            <w:pPr>
              <w:tabs>
                <w:tab w:val="left" w:pos="5580"/>
              </w:tabs>
              <w:jc w:val="center"/>
              <w:rPr>
                <w:color w:val="auto"/>
                <w:sz w:val="24"/>
                <w:szCs w:val="24"/>
                <w:highlight w:val="none"/>
              </w:rPr>
            </w:pPr>
          </w:p>
        </w:tc>
        <w:tc>
          <w:tcPr>
            <w:tcW w:w="2200" w:type="dxa"/>
            <w:tcBorders>
              <w:top w:val="single" w:color="auto" w:sz="4" w:space="0"/>
              <w:left w:val="single" w:color="auto" w:sz="4" w:space="0"/>
              <w:bottom w:val="single" w:color="auto" w:sz="4" w:space="0"/>
              <w:right w:val="single" w:color="auto" w:sz="4" w:space="0"/>
            </w:tcBorders>
            <w:vAlign w:val="center"/>
          </w:tcPr>
          <w:p w14:paraId="26741EF0">
            <w:pPr>
              <w:tabs>
                <w:tab w:val="left" w:pos="5580"/>
              </w:tabs>
              <w:jc w:val="center"/>
              <w:rPr>
                <w:color w:val="auto"/>
                <w:sz w:val="24"/>
                <w:szCs w:val="24"/>
                <w:highlight w:val="none"/>
              </w:rPr>
            </w:pPr>
          </w:p>
        </w:tc>
        <w:tc>
          <w:tcPr>
            <w:tcW w:w="2288" w:type="dxa"/>
            <w:tcBorders>
              <w:top w:val="single" w:color="auto" w:sz="4" w:space="0"/>
              <w:left w:val="single" w:color="auto" w:sz="4" w:space="0"/>
              <w:bottom w:val="single" w:color="auto" w:sz="4" w:space="0"/>
              <w:right w:val="single" w:color="auto" w:sz="4" w:space="0"/>
            </w:tcBorders>
            <w:vAlign w:val="center"/>
          </w:tcPr>
          <w:p w14:paraId="4FD3AC50">
            <w:pPr>
              <w:tabs>
                <w:tab w:val="left" w:pos="5580"/>
              </w:tabs>
              <w:jc w:val="center"/>
              <w:rPr>
                <w:color w:val="auto"/>
                <w:sz w:val="24"/>
                <w:szCs w:val="24"/>
                <w:highlight w:val="none"/>
              </w:rPr>
            </w:pPr>
          </w:p>
        </w:tc>
        <w:tc>
          <w:tcPr>
            <w:tcW w:w="1650" w:type="dxa"/>
            <w:tcBorders>
              <w:top w:val="single" w:color="auto" w:sz="4" w:space="0"/>
              <w:left w:val="single" w:color="auto" w:sz="4" w:space="0"/>
              <w:bottom w:val="single" w:color="auto" w:sz="4" w:space="0"/>
              <w:right w:val="single" w:color="auto" w:sz="4" w:space="0"/>
            </w:tcBorders>
            <w:vAlign w:val="center"/>
          </w:tcPr>
          <w:p w14:paraId="2D2BEC23">
            <w:pPr>
              <w:tabs>
                <w:tab w:val="left" w:pos="5580"/>
              </w:tabs>
              <w:jc w:val="center"/>
              <w:rPr>
                <w:color w:val="auto"/>
                <w:sz w:val="24"/>
                <w:szCs w:val="24"/>
                <w:highlight w:val="none"/>
              </w:rPr>
            </w:pPr>
          </w:p>
        </w:tc>
        <w:tc>
          <w:tcPr>
            <w:tcW w:w="1100" w:type="dxa"/>
            <w:tcBorders>
              <w:top w:val="single" w:color="auto" w:sz="4" w:space="0"/>
              <w:left w:val="single" w:color="auto" w:sz="4" w:space="0"/>
              <w:bottom w:val="single" w:color="auto" w:sz="4" w:space="0"/>
              <w:right w:val="single" w:color="auto" w:sz="4" w:space="0"/>
            </w:tcBorders>
            <w:vAlign w:val="center"/>
          </w:tcPr>
          <w:p w14:paraId="7FBEEF25">
            <w:pPr>
              <w:tabs>
                <w:tab w:val="left" w:pos="5580"/>
              </w:tabs>
              <w:jc w:val="center"/>
              <w:rPr>
                <w:color w:val="auto"/>
                <w:sz w:val="24"/>
                <w:szCs w:val="24"/>
                <w:highlight w:val="none"/>
              </w:rPr>
            </w:pPr>
          </w:p>
        </w:tc>
        <w:tc>
          <w:tcPr>
            <w:tcW w:w="1095" w:type="dxa"/>
            <w:tcBorders>
              <w:top w:val="single" w:color="auto" w:sz="4" w:space="0"/>
              <w:left w:val="single" w:color="auto" w:sz="4" w:space="0"/>
              <w:bottom w:val="single" w:color="auto" w:sz="4" w:space="0"/>
              <w:right w:val="single" w:color="auto" w:sz="4" w:space="0"/>
            </w:tcBorders>
            <w:vAlign w:val="center"/>
          </w:tcPr>
          <w:p w14:paraId="3BB83B0C">
            <w:pPr>
              <w:tabs>
                <w:tab w:val="left" w:pos="5580"/>
              </w:tabs>
              <w:jc w:val="center"/>
              <w:rPr>
                <w:color w:val="auto"/>
                <w:sz w:val="24"/>
                <w:szCs w:val="24"/>
                <w:highlight w:val="none"/>
              </w:rPr>
            </w:pPr>
          </w:p>
        </w:tc>
      </w:tr>
    </w:tbl>
    <w:p w14:paraId="69134601">
      <w:pPr>
        <w:autoSpaceDE w:val="0"/>
        <w:autoSpaceDN w:val="0"/>
        <w:adjustRightInd w:val="0"/>
        <w:jc w:val="left"/>
        <w:rPr>
          <w:color w:val="auto"/>
          <w:kern w:val="0"/>
          <w:sz w:val="24"/>
          <w:szCs w:val="24"/>
          <w:highlight w:val="none"/>
        </w:rPr>
      </w:pPr>
    </w:p>
    <w:p w14:paraId="237179BE">
      <w:pPr>
        <w:autoSpaceDE w:val="0"/>
        <w:autoSpaceDN w:val="0"/>
        <w:adjustRightInd w:val="0"/>
        <w:jc w:val="left"/>
        <w:rPr>
          <w:color w:val="auto"/>
          <w:sz w:val="24"/>
          <w:szCs w:val="24"/>
          <w:highlight w:val="none"/>
        </w:rPr>
      </w:pPr>
      <w:r>
        <w:rPr>
          <w:color w:val="auto"/>
          <w:kern w:val="0"/>
          <w:sz w:val="24"/>
          <w:szCs w:val="24"/>
          <w:highlight w:val="none"/>
        </w:rPr>
        <w:t>注：1</w:t>
      </w:r>
      <w:r>
        <w:rPr>
          <w:color w:val="auto"/>
          <w:sz w:val="24"/>
          <w:szCs w:val="24"/>
          <w:highlight w:val="none"/>
        </w:rPr>
        <w:t>.此表中，</w:t>
      </w:r>
      <w:r>
        <w:rPr>
          <w:rFonts w:hint="eastAsia"/>
          <w:color w:val="auto"/>
          <w:sz w:val="24"/>
          <w:szCs w:val="24"/>
          <w:highlight w:val="none"/>
          <w:lang w:val="en-US" w:eastAsia="zh-CN"/>
        </w:rPr>
        <w:t>总</w:t>
      </w:r>
      <w:r>
        <w:rPr>
          <w:color w:val="auto"/>
          <w:sz w:val="24"/>
          <w:szCs w:val="24"/>
          <w:highlight w:val="none"/>
        </w:rPr>
        <w:t>报价应和</w:t>
      </w:r>
      <w:r>
        <w:rPr>
          <w:rFonts w:hint="eastAsia"/>
          <w:color w:val="auto"/>
          <w:sz w:val="24"/>
          <w:szCs w:val="24"/>
          <w:highlight w:val="none"/>
          <w:lang w:val="en-US" w:eastAsia="zh-CN"/>
        </w:rPr>
        <w:t>已标价的工程量清单</w:t>
      </w:r>
      <w:r>
        <w:rPr>
          <w:color w:val="auto"/>
          <w:sz w:val="24"/>
          <w:szCs w:val="24"/>
          <w:highlight w:val="none"/>
        </w:rPr>
        <w:t>中的总价相一致。</w:t>
      </w:r>
    </w:p>
    <w:p w14:paraId="53583EA5">
      <w:pPr>
        <w:tabs>
          <w:tab w:val="left" w:pos="5580"/>
        </w:tabs>
        <w:ind w:firstLine="480" w:firstLineChars="200"/>
        <w:rPr>
          <w:color w:val="auto"/>
          <w:sz w:val="24"/>
          <w:szCs w:val="24"/>
          <w:highlight w:val="none"/>
        </w:rPr>
      </w:pPr>
      <w:r>
        <w:rPr>
          <w:color w:val="auto"/>
          <w:sz w:val="24"/>
          <w:szCs w:val="24"/>
          <w:highlight w:val="none"/>
        </w:rPr>
        <w:t>2.本表必须按包分别填写。</w:t>
      </w:r>
    </w:p>
    <w:p w14:paraId="7B682ADC">
      <w:pPr>
        <w:tabs>
          <w:tab w:val="left" w:pos="5580"/>
        </w:tabs>
        <w:ind w:firstLine="480" w:firstLineChars="200"/>
        <w:rPr>
          <w:color w:val="auto"/>
          <w:sz w:val="24"/>
          <w:szCs w:val="24"/>
          <w:highlight w:val="none"/>
        </w:rPr>
      </w:pPr>
    </w:p>
    <w:p w14:paraId="664141D7">
      <w:pPr>
        <w:autoSpaceDE w:val="0"/>
        <w:autoSpaceDN w:val="0"/>
        <w:adjustRightInd w:val="0"/>
        <w:snapToGrid w:val="0"/>
        <w:spacing w:before="25" w:after="25" w:line="360" w:lineRule="auto"/>
        <w:rPr>
          <w:color w:val="auto"/>
          <w:sz w:val="24"/>
          <w:szCs w:val="24"/>
          <w:highlight w:val="none"/>
          <w:lang w:val="zh-CN"/>
        </w:rPr>
      </w:pPr>
    </w:p>
    <w:p w14:paraId="7087C220">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lang w:val="zh-CN"/>
        </w:rPr>
        <w:t xml:space="preserve">   </w:t>
      </w:r>
    </w:p>
    <w:p w14:paraId="232F2A7B">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___________</w:t>
      </w:r>
    </w:p>
    <w:p w14:paraId="637D770A">
      <w:pPr>
        <w:autoSpaceDE w:val="0"/>
        <w:autoSpaceDN w:val="0"/>
        <w:adjustRightInd w:val="0"/>
        <w:snapToGrid w:val="0"/>
        <w:spacing w:line="360" w:lineRule="auto"/>
        <w:rPr>
          <w:color w:val="auto"/>
          <w:sz w:val="24"/>
          <w:szCs w:val="24"/>
          <w:highlight w:val="none"/>
          <w:lang w:val="zh-CN"/>
        </w:rPr>
      </w:pPr>
      <w:r>
        <w:rPr>
          <w:color w:val="auto"/>
          <w:sz w:val="24"/>
          <w:szCs w:val="24"/>
          <w:highlight w:val="none"/>
        </w:rPr>
        <w:t>日期：____年____月____日</w:t>
      </w:r>
    </w:p>
    <w:p w14:paraId="5F4CA9FA">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rPr>
        <w:t xml:space="preserve">  </w:t>
      </w:r>
    </w:p>
    <w:p w14:paraId="1B21B284">
      <w:pPr>
        <w:widowControl/>
        <w:jc w:val="left"/>
        <w:rPr>
          <w:color w:val="auto"/>
          <w:sz w:val="24"/>
          <w:szCs w:val="24"/>
          <w:highlight w:val="none"/>
        </w:rPr>
      </w:pPr>
      <w:bookmarkStart w:id="2017" w:name="_Toc195842924"/>
      <w:bookmarkStart w:id="2018" w:name="_Toc127151558"/>
      <w:bookmarkStart w:id="2019" w:name="_Toc150480796"/>
      <w:bookmarkStart w:id="2020" w:name="_Toc226965832"/>
      <w:bookmarkStart w:id="2021" w:name="_Toc305158901"/>
      <w:bookmarkStart w:id="2022" w:name="_Toc226965749"/>
      <w:bookmarkStart w:id="2023" w:name="_Toc305158827"/>
      <w:bookmarkStart w:id="2024" w:name="_Toc265228397"/>
      <w:bookmarkStart w:id="2025" w:name="_Toc264969249"/>
      <w:bookmarkStart w:id="2026" w:name="_Toc142311060"/>
      <w:bookmarkStart w:id="2027" w:name="_Toc150774763"/>
      <w:bookmarkStart w:id="2028" w:name="_Toc226337255"/>
      <w:bookmarkStart w:id="2029" w:name="_Toc226309803"/>
      <w:r>
        <w:rPr>
          <w:color w:val="auto"/>
          <w:sz w:val="24"/>
          <w:szCs w:val="24"/>
          <w:highlight w:val="none"/>
        </w:rPr>
        <w:br w:type="page"/>
      </w:r>
    </w:p>
    <w:p w14:paraId="2625C007">
      <w:pPr>
        <w:tabs>
          <w:tab w:val="left" w:pos="360"/>
        </w:tabs>
        <w:snapToGrid w:val="0"/>
        <w:spacing w:line="360" w:lineRule="auto"/>
        <w:outlineLvl w:val="1"/>
        <w:rPr>
          <w:color w:val="auto"/>
          <w:sz w:val="24"/>
          <w:szCs w:val="24"/>
          <w:highlight w:val="none"/>
        </w:rPr>
      </w:pPr>
      <w:r>
        <w:rPr>
          <w:color w:val="auto"/>
          <w:sz w:val="24"/>
          <w:szCs w:val="24"/>
          <w:highlight w:val="none"/>
        </w:rPr>
        <w:t xml:space="preserve">8 </w:t>
      </w:r>
      <w:bookmarkEnd w:id="2017"/>
      <w:bookmarkEnd w:id="2018"/>
      <w:bookmarkEnd w:id="2019"/>
      <w:bookmarkEnd w:id="2020"/>
      <w:bookmarkEnd w:id="2021"/>
      <w:bookmarkEnd w:id="2022"/>
      <w:bookmarkEnd w:id="2023"/>
      <w:bookmarkEnd w:id="2024"/>
      <w:bookmarkEnd w:id="2025"/>
      <w:bookmarkEnd w:id="2026"/>
      <w:bookmarkEnd w:id="2027"/>
      <w:bookmarkEnd w:id="2028"/>
      <w:bookmarkEnd w:id="2029"/>
      <w:r>
        <w:rPr>
          <w:rFonts w:hint="eastAsia"/>
          <w:color w:val="auto"/>
          <w:sz w:val="24"/>
          <w:szCs w:val="24"/>
          <w:highlight w:val="none"/>
          <w:lang w:val="en-US" w:eastAsia="zh-CN"/>
        </w:rPr>
        <w:t xml:space="preserve"> </w:t>
      </w:r>
      <w:r>
        <w:rPr>
          <w:rFonts w:hint="eastAsia"/>
          <w:color w:val="auto"/>
          <w:sz w:val="24"/>
          <w:szCs w:val="24"/>
          <w:highlight w:val="none"/>
        </w:rPr>
        <w:t>已标价工程量清单</w:t>
      </w:r>
    </w:p>
    <w:p w14:paraId="0919BF4E">
      <w:pPr>
        <w:tabs>
          <w:tab w:val="left" w:pos="360"/>
        </w:tabs>
        <w:snapToGrid w:val="0"/>
        <w:spacing w:line="360" w:lineRule="auto"/>
        <w:outlineLvl w:val="9"/>
        <w:rPr>
          <w:color w:val="auto"/>
          <w:sz w:val="24"/>
          <w:szCs w:val="24"/>
          <w:highlight w:val="none"/>
        </w:rPr>
      </w:pPr>
    </w:p>
    <w:p w14:paraId="3D12B433">
      <w:pPr>
        <w:tabs>
          <w:tab w:val="left" w:pos="1800"/>
          <w:tab w:val="left" w:pos="5580"/>
        </w:tabs>
        <w:ind w:firstLine="482" w:firstLineChars="200"/>
        <w:jc w:val="center"/>
        <w:rPr>
          <w:color w:val="auto"/>
          <w:sz w:val="24"/>
          <w:szCs w:val="24"/>
          <w:highlight w:val="none"/>
        </w:rPr>
      </w:pPr>
      <w:r>
        <w:rPr>
          <w:rFonts w:hint="eastAsia"/>
          <w:b/>
          <w:color w:val="auto"/>
          <w:sz w:val="24"/>
          <w:szCs w:val="24"/>
          <w:highlight w:val="none"/>
        </w:rPr>
        <w:t>附已标价工程量清单</w:t>
      </w:r>
    </w:p>
    <w:p w14:paraId="1197EC2F">
      <w:pPr>
        <w:autoSpaceDE w:val="0"/>
        <w:autoSpaceDN w:val="0"/>
        <w:adjustRightInd w:val="0"/>
        <w:snapToGrid w:val="0"/>
        <w:spacing w:before="25" w:after="25" w:line="360" w:lineRule="auto"/>
        <w:rPr>
          <w:color w:val="auto"/>
          <w:sz w:val="24"/>
          <w:szCs w:val="24"/>
          <w:highlight w:val="none"/>
        </w:rPr>
      </w:pPr>
    </w:p>
    <w:p w14:paraId="487624DA">
      <w:pPr>
        <w:tabs>
          <w:tab w:val="left" w:pos="360"/>
        </w:tabs>
        <w:snapToGrid w:val="0"/>
        <w:spacing w:line="360" w:lineRule="auto"/>
        <w:outlineLvl w:val="1"/>
        <w:rPr>
          <w:color w:val="auto"/>
          <w:sz w:val="24"/>
          <w:szCs w:val="24"/>
          <w:highlight w:val="none"/>
        </w:rPr>
      </w:pPr>
      <w:bookmarkStart w:id="2030" w:name="_Toc195842927"/>
      <w:bookmarkStart w:id="2031" w:name="_Toc150774765"/>
      <w:bookmarkStart w:id="2032" w:name="_Toc127151562"/>
      <w:bookmarkStart w:id="2033" w:name="_Toc226309806"/>
      <w:bookmarkStart w:id="2034" w:name="_Toc226965752"/>
      <w:bookmarkStart w:id="2035" w:name="_Toc150480798"/>
      <w:bookmarkStart w:id="2036" w:name="_Toc264969252"/>
      <w:bookmarkStart w:id="2037" w:name="_Toc305158830"/>
      <w:bookmarkStart w:id="2038" w:name="_Toc142311062"/>
      <w:bookmarkStart w:id="2039" w:name="_Toc226965835"/>
      <w:bookmarkStart w:id="2040" w:name="_Toc305158904"/>
      <w:bookmarkStart w:id="2041" w:name="_Toc226337258"/>
      <w:bookmarkStart w:id="2042" w:name="_Toc265228400"/>
      <w:bookmarkStart w:id="2043" w:name="_Toc226337257"/>
      <w:bookmarkStart w:id="2044" w:name="_Toc127151561"/>
      <w:bookmarkStart w:id="2045" w:name="_Toc150480797"/>
      <w:bookmarkStart w:id="2046" w:name="_Toc226309805"/>
      <w:bookmarkStart w:id="2047" w:name="_Toc195842926"/>
      <w:bookmarkStart w:id="2048" w:name="_Toc226965751"/>
      <w:bookmarkStart w:id="2049" w:name="_Toc305158903"/>
      <w:bookmarkStart w:id="2050" w:name="_Toc305158829"/>
      <w:bookmarkStart w:id="2051" w:name="_Toc264969251"/>
      <w:bookmarkStart w:id="2052" w:name="_Toc265228399"/>
      <w:bookmarkStart w:id="2053" w:name="_Toc226965834"/>
      <w:bookmarkStart w:id="2054" w:name="_Toc142311061"/>
      <w:bookmarkStart w:id="2055" w:name="_Toc150774764"/>
      <w:r>
        <w:rPr>
          <w:color w:val="auto"/>
          <w:sz w:val="24"/>
          <w:szCs w:val="24"/>
          <w:highlight w:val="none"/>
        </w:rPr>
        <w:br w:type="page"/>
      </w:r>
      <w:r>
        <w:rPr>
          <w:color w:val="auto"/>
          <w:sz w:val="24"/>
          <w:szCs w:val="24"/>
          <w:highlight w:val="none"/>
        </w:rPr>
        <w:t>9  合同条款偏离表</w:t>
      </w:r>
      <w:bookmarkEnd w:id="2030"/>
      <w:bookmarkEnd w:id="2031"/>
      <w:bookmarkEnd w:id="2032"/>
      <w:bookmarkEnd w:id="2033"/>
      <w:bookmarkEnd w:id="2034"/>
      <w:bookmarkEnd w:id="2035"/>
      <w:bookmarkEnd w:id="2036"/>
      <w:bookmarkEnd w:id="2037"/>
      <w:bookmarkEnd w:id="2038"/>
      <w:bookmarkEnd w:id="2039"/>
      <w:bookmarkEnd w:id="2040"/>
      <w:bookmarkEnd w:id="2041"/>
      <w:bookmarkEnd w:id="2042"/>
      <w:r>
        <w:rPr>
          <w:rFonts w:hint="eastAsia"/>
          <w:color w:val="auto"/>
          <w:sz w:val="24"/>
          <w:szCs w:val="24"/>
          <w:highlight w:val="none"/>
        </w:rPr>
        <w:t>（实质性格式）</w:t>
      </w:r>
    </w:p>
    <w:p w14:paraId="7770AAA4">
      <w:pPr>
        <w:spacing w:line="360" w:lineRule="auto"/>
        <w:rPr>
          <w:color w:val="auto"/>
          <w:sz w:val="24"/>
          <w:szCs w:val="24"/>
          <w:highlight w:val="none"/>
        </w:rPr>
      </w:pPr>
    </w:p>
    <w:p w14:paraId="384F588E">
      <w:pPr>
        <w:tabs>
          <w:tab w:val="left" w:pos="2775"/>
          <w:tab w:val="center" w:pos="4153"/>
        </w:tabs>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合同条款偏离表</w:t>
      </w:r>
    </w:p>
    <w:p w14:paraId="5705068B">
      <w:pPr>
        <w:spacing w:line="360" w:lineRule="auto"/>
        <w:rPr>
          <w:color w:val="auto"/>
          <w:sz w:val="24"/>
          <w:szCs w:val="24"/>
          <w:highlight w:val="none"/>
        </w:rPr>
      </w:pPr>
    </w:p>
    <w:p w14:paraId="76D8DCDB">
      <w:pPr>
        <w:tabs>
          <w:tab w:val="left" w:pos="1800"/>
          <w:tab w:val="left" w:pos="5580"/>
        </w:tabs>
        <w:spacing w:line="360" w:lineRule="auto"/>
        <w:ind w:firstLine="360" w:firstLineChars="150"/>
        <w:jc w:val="left"/>
        <w:rPr>
          <w:color w:val="auto"/>
          <w:sz w:val="24"/>
          <w:szCs w:val="24"/>
          <w:highlight w:val="none"/>
        </w:rPr>
      </w:pPr>
      <w:r>
        <w:rPr>
          <w:color w:val="auto"/>
          <w:sz w:val="24"/>
          <w:szCs w:val="24"/>
          <w:highlight w:val="none"/>
        </w:rPr>
        <w:t>项目编号/包号：_______________     项目名称：_______________</w:t>
      </w:r>
    </w:p>
    <w:tbl>
      <w:tblPr>
        <w:tblStyle w:val="53"/>
        <w:tblW w:w="928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91"/>
        <w:gridCol w:w="1383"/>
        <w:gridCol w:w="1911"/>
        <w:gridCol w:w="1912"/>
        <w:gridCol w:w="2334"/>
        <w:gridCol w:w="857"/>
      </w:tblGrid>
      <w:tr w14:paraId="532D9F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1" w:type="dxa"/>
            <w:vAlign w:val="center"/>
          </w:tcPr>
          <w:p w14:paraId="789DC001">
            <w:pPr>
              <w:adjustRightInd w:val="0"/>
              <w:snapToGrid w:val="0"/>
              <w:jc w:val="center"/>
              <w:rPr>
                <w:color w:val="auto"/>
                <w:sz w:val="24"/>
                <w:szCs w:val="24"/>
                <w:highlight w:val="none"/>
              </w:rPr>
            </w:pPr>
            <w:r>
              <w:rPr>
                <w:color w:val="auto"/>
                <w:sz w:val="24"/>
                <w:szCs w:val="24"/>
                <w:highlight w:val="none"/>
              </w:rPr>
              <w:t>序号</w:t>
            </w:r>
          </w:p>
        </w:tc>
        <w:tc>
          <w:tcPr>
            <w:tcW w:w="1383" w:type="dxa"/>
            <w:vAlign w:val="center"/>
          </w:tcPr>
          <w:p w14:paraId="56DBEFB5">
            <w:pPr>
              <w:adjustRightInd w:val="0"/>
              <w:snapToGrid w:val="0"/>
              <w:jc w:val="center"/>
              <w:rPr>
                <w:color w:val="auto"/>
                <w:sz w:val="24"/>
                <w:szCs w:val="24"/>
                <w:highlight w:val="none"/>
              </w:rPr>
            </w:pPr>
            <w:r>
              <w:rPr>
                <w:color w:val="auto"/>
                <w:sz w:val="24"/>
                <w:szCs w:val="24"/>
                <w:highlight w:val="none"/>
              </w:rPr>
              <w:t>竞争性磋商文件条目号（页码）</w:t>
            </w:r>
          </w:p>
        </w:tc>
        <w:tc>
          <w:tcPr>
            <w:tcW w:w="1911" w:type="dxa"/>
            <w:vAlign w:val="center"/>
          </w:tcPr>
          <w:p w14:paraId="4E87CAA5">
            <w:pPr>
              <w:adjustRightInd w:val="0"/>
              <w:snapToGrid w:val="0"/>
              <w:jc w:val="center"/>
              <w:rPr>
                <w:color w:val="auto"/>
                <w:sz w:val="24"/>
                <w:szCs w:val="24"/>
                <w:highlight w:val="none"/>
              </w:rPr>
            </w:pPr>
            <w:r>
              <w:rPr>
                <w:color w:val="auto"/>
                <w:sz w:val="24"/>
                <w:szCs w:val="24"/>
                <w:highlight w:val="none"/>
              </w:rPr>
              <w:t>竞争性磋商文件要求</w:t>
            </w:r>
          </w:p>
        </w:tc>
        <w:tc>
          <w:tcPr>
            <w:tcW w:w="1912" w:type="dxa"/>
            <w:vAlign w:val="center"/>
          </w:tcPr>
          <w:p w14:paraId="4A75F841">
            <w:pPr>
              <w:adjustRightInd w:val="0"/>
              <w:snapToGrid w:val="0"/>
              <w:jc w:val="center"/>
              <w:rPr>
                <w:color w:val="auto"/>
                <w:sz w:val="24"/>
                <w:szCs w:val="24"/>
                <w:highlight w:val="none"/>
              </w:rPr>
            </w:pPr>
            <w:r>
              <w:rPr>
                <w:color w:val="auto"/>
                <w:sz w:val="24"/>
                <w:szCs w:val="24"/>
                <w:highlight w:val="none"/>
              </w:rPr>
              <w:t>响应文件内容</w:t>
            </w:r>
          </w:p>
        </w:tc>
        <w:tc>
          <w:tcPr>
            <w:tcW w:w="2334" w:type="dxa"/>
            <w:vAlign w:val="center"/>
          </w:tcPr>
          <w:p w14:paraId="2AC1A710">
            <w:pPr>
              <w:adjustRightInd w:val="0"/>
              <w:snapToGrid w:val="0"/>
              <w:jc w:val="center"/>
              <w:rPr>
                <w:color w:val="auto"/>
                <w:sz w:val="24"/>
                <w:szCs w:val="24"/>
                <w:highlight w:val="none"/>
              </w:rPr>
            </w:pPr>
            <w:r>
              <w:rPr>
                <w:color w:val="auto"/>
                <w:sz w:val="24"/>
                <w:szCs w:val="24"/>
                <w:highlight w:val="none"/>
              </w:rPr>
              <w:t>偏离情况</w:t>
            </w:r>
          </w:p>
        </w:tc>
        <w:tc>
          <w:tcPr>
            <w:tcW w:w="857" w:type="dxa"/>
            <w:vAlign w:val="center"/>
          </w:tcPr>
          <w:p w14:paraId="6232D54C">
            <w:pPr>
              <w:adjustRightInd w:val="0"/>
              <w:snapToGrid w:val="0"/>
              <w:jc w:val="center"/>
              <w:rPr>
                <w:color w:val="auto"/>
                <w:sz w:val="24"/>
                <w:szCs w:val="24"/>
                <w:highlight w:val="none"/>
              </w:rPr>
            </w:pPr>
            <w:r>
              <w:rPr>
                <w:color w:val="auto"/>
                <w:sz w:val="24"/>
                <w:szCs w:val="24"/>
                <w:highlight w:val="none"/>
              </w:rPr>
              <w:t>说明</w:t>
            </w:r>
          </w:p>
        </w:tc>
      </w:tr>
      <w:tr w14:paraId="757B59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5" w:hRule="atLeast"/>
          <w:jc w:val="center"/>
        </w:trPr>
        <w:tc>
          <w:tcPr>
            <w:tcW w:w="9288" w:type="dxa"/>
            <w:gridSpan w:val="6"/>
            <w:vAlign w:val="center"/>
          </w:tcPr>
          <w:p w14:paraId="18413229">
            <w:pPr>
              <w:adjustRightInd w:val="0"/>
              <w:snapToGrid w:val="0"/>
              <w:jc w:val="left"/>
              <w:rPr>
                <w:b/>
                <w:color w:val="auto"/>
                <w:sz w:val="24"/>
                <w:szCs w:val="24"/>
                <w:highlight w:val="none"/>
              </w:rPr>
            </w:pPr>
            <w:r>
              <w:rPr>
                <w:rFonts w:hint="eastAsia"/>
                <w:b/>
                <w:color w:val="auto"/>
                <w:sz w:val="24"/>
                <w:szCs w:val="24"/>
                <w:highlight w:val="none"/>
              </w:rPr>
              <w:t>对本项目合同条款的偏离情况况（应进行选择，未选择响应无效）：</w:t>
            </w:r>
          </w:p>
          <w:p w14:paraId="182DFF14">
            <w:pPr>
              <w:adjustRightInd w:val="0"/>
              <w:snapToGrid w:val="0"/>
              <w:jc w:val="left"/>
              <w:rPr>
                <w:b/>
                <w:color w:val="auto"/>
                <w:sz w:val="24"/>
                <w:szCs w:val="24"/>
                <w:highlight w:val="none"/>
              </w:rPr>
            </w:pPr>
            <w:r>
              <w:rPr>
                <w:b/>
                <w:color w:val="auto"/>
                <w:sz w:val="24"/>
                <w:szCs w:val="24"/>
                <w:highlight w:val="none"/>
              </w:rPr>
              <w:t>□无偏离</w:t>
            </w:r>
            <w:r>
              <w:rPr>
                <w:rFonts w:hint="eastAsia"/>
                <w:color w:val="auto"/>
                <w:sz w:val="24"/>
                <w:szCs w:val="24"/>
                <w:highlight w:val="none"/>
              </w:rPr>
              <w:t>（如无偏离，仅选择无偏离即可；无偏离即为对合同条款中的所有要求，均视作供应商已对之理解和响应。）</w:t>
            </w:r>
          </w:p>
          <w:p w14:paraId="379F4DE0">
            <w:pPr>
              <w:adjustRightInd w:val="0"/>
              <w:snapToGrid w:val="0"/>
              <w:jc w:val="left"/>
              <w:rPr>
                <w:color w:val="auto"/>
                <w:sz w:val="24"/>
                <w:szCs w:val="24"/>
                <w:highlight w:val="none"/>
              </w:rPr>
            </w:pPr>
            <w:r>
              <w:rPr>
                <w:b/>
                <w:color w:val="auto"/>
                <w:sz w:val="24"/>
                <w:szCs w:val="24"/>
                <w:highlight w:val="none"/>
              </w:rPr>
              <w:t>□有偏离</w:t>
            </w:r>
            <w:r>
              <w:rPr>
                <w:rFonts w:hint="eastAsia"/>
                <w:color w:val="auto"/>
                <w:sz w:val="24"/>
                <w:szCs w:val="24"/>
                <w:highlight w:val="none"/>
              </w:rPr>
              <w:t>（如有偏离，则应在本表中对负偏离项逐一列明，否则响应无效；对合同条款中的所有要求，除本表列明的偏离外，均视作供应商已对之理解和响应。）</w:t>
            </w:r>
          </w:p>
        </w:tc>
      </w:tr>
      <w:tr w14:paraId="2C8BC0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8" w:hRule="atLeast"/>
          <w:jc w:val="center"/>
        </w:trPr>
        <w:tc>
          <w:tcPr>
            <w:tcW w:w="891" w:type="dxa"/>
            <w:vAlign w:val="center"/>
          </w:tcPr>
          <w:p w14:paraId="181CB689">
            <w:pPr>
              <w:adjustRightInd w:val="0"/>
              <w:snapToGrid w:val="0"/>
              <w:jc w:val="center"/>
              <w:rPr>
                <w:color w:val="auto"/>
                <w:sz w:val="24"/>
                <w:szCs w:val="24"/>
                <w:highlight w:val="none"/>
              </w:rPr>
            </w:pPr>
          </w:p>
        </w:tc>
        <w:tc>
          <w:tcPr>
            <w:tcW w:w="1383" w:type="dxa"/>
            <w:vAlign w:val="center"/>
          </w:tcPr>
          <w:p w14:paraId="20937306">
            <w:pPr>
              <w:adjustRightInd w:val="0"/>
              <w:snapToGrid w:val="0"/>
              <w:jc w:val="center"/>
              <w:rPr>
                <w:color w:val="auto"/>
                <w:sz w:val="24"/>
                <w:szCs w:val="24"/>
                <w:highlight w:val="none"/>
              </w:rPr>
            </w:pPr>
          </w:p>
        </w:tc>
        <w:tc>
          <w:tcPr>
            <w:tcW w:w="1911" w:type="dxa"/>
            <w:vAlign w:val="center"/>
          </w:tcPr>
          <w:p w14:paraId="53B06B12">
            <w:pPr>
              <w:adjustRightInd w:val="0"/>
              <w:snapToGrid w:val="0"/>
              <w:jc w:val="center"/>
              <w:rPr>
                <w:color w:val="auto"/>
                <w:sz w:val="24"/>
                <w:szCs w:val="24"/>
                <w:highlight w:val="none"/>
              </w:rPr>
            </w:pPr>
          </w:p>
        </w:tc>
        <w:tc>
          <w:tcPr>
            <w:tcW w:w="1912" w:type="dxa"/>
            <w:vAlign w:val="center"/>
          </w:tcPr>
          <w:p w14:paraId="32086CBA">
            <w:pPr>
              <w:adjustRightInd w:val="0"/>
              <w:snapToGrid w:val="0"/>
              <w:jc w:val="center"/>
              <w:rPr>
                <w:color w:val="auto"/>
                <w:sz w:val="24"/>
                <w:szCs w:val="24"/>
                <w:highlight w:val="none"/>
              </w:rPr>
            </w:pPr>
          </w:p>
        </w:tc>
        <w:tc>
          <w:tcPr>
            <w:tcW w:w="2334" w:type="dxa"/>
            <w:vAlign w:val="center"/>
          </w:tcPr>
          <w:p w14:paraId="083FF796">
            <w:pPr>
              <w:adjustRightInd w:val="0"/>
              <w:snapToGrid w:val="0"/>
              <w:jc w:val="center"/>
              <w:rPr>
                <w:color w:val="auto"/>
                <w:sz w:val="24"/>
                <w:szCs w:val="24"/>
                <w:highlight w:val="none"/>
              </w:rPr>
            </w:pPr>
          </w:p>
        </w:tc>
        <w:tc>
          <w:tcPr>
            <w:tcW w:w="857" w:type="dxa"/>
            <w:vAlign w:val="center"/>
          </w:tcPr>
          <w:p w14:paraId="1909EB12">
            <w:pPr>
              <w:adjustRightInd w:val="0"/>
              <w:snapToGrid w:val="0"/>
              <w:jc w:val="center"/>
              <w:rPr>
                <w:color w:val="auto"/>
                <w:sz w:val="24"/>
                <w:szCs w:val="24"/>
                <w:highlight w:val="none"/>
              </w:rPr>
            </w:pPr>
          </w:p>
        </w:tc>
      </w:tr>
      <w:tr w14:paraId="3A38AA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1" w:type="dxa"/>
            <w:vAlign w:val="center"/>
          </w:tcPr>
          <w:p w14:paraId="08572489">
            <w:pPr>
              <w:adjustRightInd w:val="0"/>
              <w:snapToGrid w:val="0"/>
              <w:jc w:val="center"/>
              <w:rPr>
                <w:color w:val="auto"/>
                <w:sz w:val="24"/>
                <w:szCs w:val="24"/>
                <w:highlight w:val="none"/>
              </w:rPr>
            </w:pPr>
          </w:p>
        </w:tc>
        <w:tc>
          <w:tcPr>
            <w:tcW w:w="1383" w:type="dxa"/>
            <w:vAlign w:val="center"/>
          </w:tcPr>
          <w:p w14:paraId="12214E20">
            <w:pPr>
              <w:adjustRightInd w:val="0"/>
              <w:snapToGrid w:val="0"/>
              <w:jc w:val="center"/>
              <w:rPr>
                <w:color w:val="auto"/>
                <w:sz w:val="24"/>
                <w:szCs w:val="24"/>
                <w:highlight w:val="none"/>
              </w:rPr>
            </w:pPr>
          </w:p>
        </w:tc>
        <w:tc>
          <w:tcPr>
            <w:tcW w:w="1911" w:type="dxa"/>
            <w:vAlign w:val="center"/>
          </w:tcPr>
          <w:p w14:paraId="22BED780">
            <w:pPr>
              <w:adjustRightInd w:val="0"/>
              <w:snapToGrid w:val="0"/>
              <w:jc w:val="center"/>
              <w:rPr>
                <w:color w:val="auto"/>
                <w:sz w:val="24"/>
                <w:szCs w:val="24"/>
                <w:highlight w:val="none"/>
              </w:rPr>
            </w:pPr>
          </w:p>
        </w:tc>
        <w:tc>
          <w:tcPr>
            <w:tcW w:w="1912" w:type="dxa"/>
            <w:vAlign w:val="center"/>
          </w:tcPr>
          <w:p w14:paraId="0E5E13FB">
            <w:pPr>
              <w:adjustRightInd w:val="0"/>
              <w:snapToGrid w:val="0"/>
              <w:jc w:val="center"/>
              <w:rPr>
                <w:color w:val="auto"/>
                <w:sz w:val="24"/>
                <w:szCs w:val="24"/>
                <w:highlight w:val="none"/>
              </w:rPr>
            </w:pPr>
          </w:p>
        </w:tc>
        <w:tc>
          <w:tcPr>
            <w:tcW w:w="2334" w:type="dxa"/>
            <w:vAlign w:val="center"/>
          </w:tcPr>
          <w:p w14:paraId="4A314CCA">
            <w:pPr>
              <w:adjustRightInd w:val="0"/>
              <w:snapToGrid w:val="0"/>
              <w:jc w:val="center"/>
              <w:rPr>
                <w:color w:val="auto"/>
                <w:sz w:val="24"/>
                <w:szCs w:val="24"/>
                <w:highlight w:val="none"/>
              </w:rPr>
            </w:pPr>
          </w:p>
        </w:tc>
        <w:tc>
          <w:tcPr>
            <w:tcW w:w="857" w:type="dxa"/>
            <w:vAlign w:val="center"/>
          </w:tcPr>
          <w:p w14:paraId="605BBB98">
            <w:pPr>
              <w:adjustRightInd w:val="0"/>
              <w:snapToGrid w:val="0"/>
              <w:jc w:val="center"/>
              <w:rPr>
                <w:color w:val="auto"/>
                <w:sz w:val="24"/>
                <w:szCs w:val="24"/>
                <w:highlight w:val="none"/>
              </w:rPr>
            </w:pPr>
          </w:p>
        </w:tc>
      </w:tr>
      <w:tr w14:paraId="655518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1" w:type="dxa"/>
            <w:vAlign w:val="center"/>
          </w:tcPr>
          <w:p w14:paraId="2AFAB315">
            <w:pPr>
              <w:adjustRightInd w:val="0"/>
              <w:snapToGrid w:val="0"/>
              <w:jc w:val="center"/>
              <w:rPr>
                <w:color w:val="auto"/>
                <w:sz w:val="24"/>
                <w:szCs w:val="24"/>
                <w:highlight w:val="none"/>
              </w:rPr>
            </w:pPr>
          </w:p>
        </w:tc>
        <w:tc>
          <w:tcPr>
            <w:tcW w:w="1383" w:type="dxa"/>
            <w:vAlign w:val="center"/>
          </w:tcPr>
          <w:p w14:paraId="6EB4FCBA">
            <w:pPr>
              <w:adjustRightInd w:val="0"/>
              <w:snapToGrid w:val="0"/>
              <w:jc w:val="center"/>
              <w:rPr>
                <w:color w:val="auto"/>
                <w:sz w:val="24"/>
                <w:szCs w:val="24"/>
                <w:highlight w:val="none"/>
              </w:rPr>
            </w:pPr>
          </w:p>
        </w:tc>
        <w:tc>
          <w:tcPr>
            <w:tcW w:w="1911" w:type="dxa"/>
            <w:vAlign w:val="center"/>
          </w:tcPr>
          <w:p w14:paraId="30504C14">
            <w:pPr>
              <w:adjustRightInd w:val="0"/>
              <w:snapToGrid w:val="0"/>
              <w:jc w:val="center"/>
              <w:rPr>
                <w:color w:val="auto"/>
                <w:sz w:val="24"/>
                <w:szCs w:val="24"/>
                <w:highlight w:val="none"/>
              </w:rPr>
            </w:pPr>
          </w:p>
        </w:tc>
        <w:tc>
          <w:tcPr>
            <w:tcW w:w="1912" w:type="dxa"/>
            <w:vAlign w:val="center"/>
          </w:tcPr>
          <w:p w14:paraId="1383734F">
            <w:pPr>
              <w:adjustRightInd w:val="0"/>
              <w:snapToGrid w:val="0"/>
              <w:jc w:val="center"/>
              <w:rPr>
                <w:color w:val="auto"/>
                <w:sz w:val="24"/>
                <w:szCs w:val="24"/>
                <w:highlight w:val="none"/>
              </w:rPr>
            </w:pPr>
          </w:p>
        </w:tc>
        <w:tc>
          <w:tcPr>
            <w:tcW w:w="2334" w:type="dxa"/>
            <w:vAlign w:val="center"/>
          </w:tcPr>
          <w:p w14:paraId="34EB6196">
            <w:pPr>
              <w:adjustRightInd w:val="0"/>
              <w:snapToGrid w:val="0"/>
              <w:jc w:val="center"/>
              <w:rPr>
                <w:color w:val="auto"/>
                <w:sz w:val="24"/>
                <w:szCs w:val="24"/>
                <w:highlight w:val="none"/>
              </w:rPr>
            </w:pPr>
          </w:p>
        </w:tc>
        <w:tc>
          <w:tcPr>
            <w:tcW w:w="857" w:type="dxa"/>
            <w:vAlign w:val="center"/>
          </w:tcPr>
          <w:p w14:paraId="450B80B2">
            <w:pPr>
              <w:adjustRightInd w:val="0"/>
              <w:snapToGrid w:val="0"/>
              <w:jc w:val="center"/>
              <w:rPr>
                <w:color w:val="auto"/>
                <w:sz w:val="24"/>
                <w:szCs w:val="24"/>
                <w:highlight w:val="none"/>
              </w:rPr>
            </w:pPr>
          </w:p>
        </w:tc>
      </w:tr>
      <w:tr w14:paraId="4DEE9BC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891" w:type="dxa"/>
            <w:vAlign w:val="center"/>
          </w:tcPr>
          <w:p w14:paraId="0C9095E3">
            <w:pPr>
              <w:adjustRightInd w:val="0"/>
              <w:snapToGrid w:val="0"/>
              <w:jc w:val="center"/>
              <w:rPr>
                <w:color w:val="auto"/>
                <w:sz w:val="24"/>
                <w:szCs w:val="24"/>
                <w:highlight w:val="none"/>
              </w:rPr>
            </w:pPr>
          </w:p>
        </w:tc>
        <w:tc>
          <w:tcPr>
            <w:tcW w:w="1383" w:type="dxa"/>
            <w:vAlign w:val="center"/>
          </w:tcPr>
          <w:p w14:paraId="21D2ED40">
            <w:pPr>
              <w:adjustRightInd w:val="0"/>
              <w:snapToGrid w:val="0"/>
              <w:jc w:val="center"/>
              <w:rPr>
                <w:color w:val="auto"/>
                <w:sz w:val="24"/>
                <w:szCs w:val="24"/>
                <w:highlight w:val="none"/>
              </w:rPr>
            </w:pPr>
          </w:p>
        </w:tc>
        <w:tc>
          <w:tcPr>
            <w:tcW w:w="1911" w:type="dxa"/>
            <w:vAlign w:val="center"/>
          </w:tcPr>
          <w:p w14:paraId="33E4642D">
            <w:pPr>
              <w:adjustRightInd w:val="0"/>
              <w:snapToGrid w:val="0"/>
              <w:jc w:val="center"/>
              <w:rPr>
                <w:color w:val="auto"/>
                <w:sz w:val="24"/>
                <w:szCs w:val="24"/>
                <w:highlight w:val="none"/>
              </w:rPr>
            </w:pPr>
          </w:p>
        </w:tc>
        <w:tc>
          <w:tcPr>
            <w:tcW w:w="1912" w:type="dxa"/>
            <w:vAlign w:val="center"/>
          </w:tcPr>
          <w:p w14:paraId="5BE3E777">
            <w:pPr>
              <w:adjustRightInd w:val="0"/>
              <w:snapToGrid w:val="0"/>
              <w:jc w:val="center"/>
              <w:rPr>
                <w:color w:val="auto"/>
                <w:sz w:val="24"/>
                <w:szCs w:val="24"/>
                <w:highlight w:val="none"/>
              </w:rPr>
            </w:pPr>
          </w:p>
        </w:tc>
        <w:tc>
          <w:tcPr>
            <w:tcW w:w="2334" w:type="dxa"/>
            <w:vAlign w:val="center"/>
          </w:tcPr>
          <w:p w14:paraId="5133A742">
            <w:pPr>
              <w:adjustRightInd w:val="0"/>
              <w:snapToGrid w:val="0"/>
              <w:jc w:val="center"/>
              <w:rPr>
                <w:color w:val="auto"/>
                <w:sz w:val="24"/>
                <w:szCs w:val="24"/>
                <w:highlight w:val="none"/>
              </w:rPr>
            </w:pPr>
          </w:p>
        </w:tc>
        <w:tc>
          <w:tcPr>
            <w:tcW w:w="857" w:type="dxa"/>
            <w:vAlign w:val="center"/>
          </w:tcPr>
          <w:p w14:paraId="45A45F73">
            <w:pPr>
              <w:adjustRightInd w:val="0"/>
              <w:snapToGrid w:val="0"/>
              <w:jc w:val="center"/>
              <w:rPr>
                <w:color w:val="auto"/>
                <w:sz w:val="24"/>
                <w:szCs w:val="24"/>
                <w:highlight w:val="none"/>
              </w:rPr>
            </w:pPr>
          </w:p>
        </w:tc>
      </w:tr>
    </w:tbl>
    <w:p w14:paraId="55DA71A3">
      <w:pPr>
        <w:tabs>
          <w:tab w:val="left" w:pos="1800"/>
          <w:tab w:val="left" w:pos="5580"/>
        </w:tabs>
        <w:jc w:val="left"/>
        <w:rPr>
          <w:color w:val="auto"/>
          <w:sz w:val="24"/>
          <w:szCs w:val="24"/>
          <w:highlight w:val="none"/>
        </w:rPr>
      </w:pPr>
    </w:p>
    <w:p w14:paraId="38466656">
      <w:pPr>
        <w:tabs>
          <w:tab w:val="left" w:pos="1800"/>
          <w:tab w:val="left" w:pos="5580"/>
        </w:tabs>
        <w:jc w:val="left"/>
        <w:rPr>
          <w:color w:val="auto"/>
          <w:sz w:val="24"/>
          <w:szCs w:val="24"/>
          <w:highlight w:val="none"/>
        </w:rPr>
      </w:pPr>
      <w:r>
        <w:rPr>
          <w:rFonts w:hint="eastAsia"/>
          <w:color w:val="auto"/>
          <w:sz w:val="24"/>
          <w:szCs w:val="24"/>
          <w:highlight w:val="none"/>
        </w:rPr>
        <w:t>注：偏离情况”列应据实填写“正偏离”或“负偏离”。</w:t>
      </w:r>
    </w:p>
    <w:p w14:paraId="7FD0CF33">
      <w:pPr>
        <w:spacing w:line="360" w:lineRule="auto"/>
        <w:rPr>
          <w:color w:val="auto"/>
          <w:sz w:val="24"/>
          <w:szCs w:val="24"/>
          <w:highlight w:val="none"/>
        </w:rPr>
      </w:pPr>
    </w:p>
    <w:p w14:paraId="08A9CF31">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_______________</w:t>
      </w:r>
    </w:p>
    <w:p w14:paraId="757E416C">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rPr>
        <w:t xml:space="preserve">日期：____年____月____日    </w:t>
      </w:r>
    </w:p>
    <w:p w14:paraId="07A0B609">
      <w:pPr>
        <w:tabs>
          <w:tab w:val="left" w:pos="2775"/>
          <w:tab w:val="center" w:pos="4153"/>
        </w:tabs>
        <w:autoSpaceDE w:val="0"/>
        <w:autoSpaceDN w:val="0"/>
        <w:adjustRightInd w:val="0"/>
        <w:spacing w:line="360" w:lineRule="auto"/>
        <w:jc w:val="left"/>
        <w:outlineLvl w:val="1"/>
        <w:rPr>
          <w:color w:val="auto"/>
          <w:sz w:val="24"/>
          <w:szCs w:val="24"/>
          <w:highlight w:val="none"/>
        </w:rPr>
      </w:pPr>
      <w:r>
        <w:rPr>
          <w:color w:val="auto"/>
          <w:sz w:val="24"/>
          <w:szCs w:val="24"/>
          <w:highlight w:val="none"/>
        </w:rPr>
        <w:br w:type="page"/>
      </w:r>
      <w:r>
        <w:rPr>
          <w:rFonts w:ascii="Times New Roman" w:hAnsi="Times New Roman" w:eastAsia="宋体" w:cs="Times New Roman"/>
          <w:color w:val="auto"/>
          <w:sz w:val="24"/>
          <w:szCs w:val="24"/>
          <w:highlight w:val="none"/>
        </w:rPr>
        <w:t xml:space="preserve">10  </w:t>
      </w:r>
      <w:bookmarkEnd w:id="2043"/>
      <w:bookmarkEnd w:id="2044"/>
      <w:bookmarkEnd w:id="2045"/>
      <w:bookmarkEnd w:id="2046"/>
      <w:bookmarkEnd w:id="2047"/>
      <w:bookmarkEnd w:id="2048"/>
      <w:bookmarkEnd w:id="2049"/>
      <w:bookmarkEnd w:id="2050"/>
      <w:bookmarkEnd w:id="2051"/>
      <w:bookmarkEnd w:id="2052"/>
      <w:bookmarkEnd w:id="2053"/>
      <w:bookmarkEnd w:id="2054"/>
      <w:bookmarkEnd w:id="2055"/>
      <w:r>
        <w:rPr>
          <w:rFonts w:ascii="Times New Roman" w:hAnsi="Times New Roman" w:eastAsia="宋体" w:cs="Times New Roman"/>
          <w:color w:val="auto"/>
          <w:sz w:val="24"/>
          <w:szCs w:val="24"/>
          <w:highlight w:val="none"/>
        </w:rPr>
        <w:t>采购需求偏离表</w:t>
      </w:r>
      <w:r>
        <w:rPr>
          <w:rFonts w:hint="eastAsia" w:ascii="Times New Roman" w:hAnsi="Times New Roman" w:eastAsia="宋体" w:cs="Times New Roman"/>
          <w:color w:val="auto"/>
          <w:sz w:val="24"/>
          <w:szCs w:val="24"/>
          <w:highlight w:val="none"/>
        </w:rPr>
        <w:t>（实质性格式）</w:t>
      </w:r>
    </w:p>
    <w:p w14:paraId="3B743D07">
      <w:pPr>
        <w:autoSpaceDE w:val="0"/>
        <w:autoSpaceDN w:val="0"/>
        <w:adjustRightInd w:val="0"/>
        <w:spacing w:line="360" w:lineRule="auto"/>
        <w:jc w:val="center"/>
        <w:rPr>
          <w:b/>
          <w:color w:val="auto"/>
          <w:sz w:val="24"/>
          <w:szCs w:val="24"/>
          <w:highlight w:val="none"/>
        </w:rPr>
      </w:pPr>
      <w:r>
        <w:rPr>
          <w:rFonts w:hint="eastAsia"/>
          <w:b/>
          <w:color w:val="auto"/>
          <w:sz w:val="24"/>
          <w:szCs w:val="24"/>
          <w:highlight w:val="none"/>
        </w:rPr>
        <w:t>采购需求偏离表</w:t>
      </w:r>
    </w:p>
    <w:p w14:paraId="75561380">
      <w:pPr>
        <w:tabs>
          <w:tab w:val="left" w:pos="1800"/>
          <w:tab w:val="left" w:pos="5580"/>
        </w:tabs>
        <w:spacing w:line="360" w:lineRule="auto"/>
        <w:ind w:firstLine="360" w:firstLineChars="150"/>
        <w:jc w:val="left"/>
        <w:rPr>
          <w:color w:val="auto"/>
          <w:sz w:val="24"/>
          <w:szCs w:val="24"/>
          <w:highlight w:val="none"/>
        </w:rPr>
      </w:pPr>
      <w:r>
        <w:rPr>
          <w:color w:val="auto"/>
          <w:sz w:val="24"/>
          <w:szCs w:val="24"/>
          <w:highlight w:val="none"/>
        </w:rPr>
        <w:t>项目编号/包号：_______________     项目名称：_______________</w:t>
      </w:r>
    </w:p>
    <w:tbl>
      <w:tblPr>
        <w:tblStyle w:val="53"/>
        <w:tblW w:w="965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75"/>
        <w:gridCol w:w="1482"/>
        <w:gridCol w:w="2384"/>
        <w:gridCol w:w="2126"/>
        <w:gridCol w:w="1875"/>
        <w:gridCol w:w="1009"/>
      </w:tblGrid>
      <w:tr w14:paraId="4907465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1053" w:hRule="atLeast"/>
          <w:jc w:val="center"/>
        </w:trPr>
        <w:tc>
          <w:tcPr>
            <w:tcW w:w="775" w:type="dxa"/>
            <w:vAlign w:val="center"/>
          </w:tcPr>
          <w:p w14:paraId="02370D2A">
            <w:pPr>
              <w:adjustRightInd w:val="0"/>
              <w:snapToGrid w:val="0"/>
              <w:jc w:val="center"/>
              <w:rPr>
                <w:color w:val="auto"/>
                <w:sz w:val="24"/>
                <w:szCs w:val="24"/>
                <w:highlight w:val="none"/>
              </w:rPr>
            </w:pPr>
            <w:r>
              <w:rPr>
                <w:color w:val="auto"/>
                <w:sz w:val="24"/>
                <w:szCs w:val="24"/>
                <w:highlight w:val="none"/>
              </w:rPr>
              <w:t>序号</w:t>
            </w:r>
          </w:p>
        </w:tc>
        <w:tc>
          <w:tcPr>
            <w:tcW w:w="1482" w:type="dxa"/>
            <w:vAlign w:val="center"/>
          </w:tcPr>
          <w:p w14:paraId="1500BAE2">
            <w:pPr>
              <w:adjustRightInd w:val="0"/>
              <w:snapToGrid w:val="0"/>
              <w:jc w:val="center"/>
              <w:rPr>
                <w:color w:val="auto"/>
                <w:sz w:val="24"/>
                <w:szCs w:val="24"/>
                <w:highlight w:val="none"/>
              </w:rPr>
            </w:pPr>
            <w:r>
              <w:rPr>
                <w:color w:val="auto"/>
                <w:sz w:val="24"/>
                <w:szCs w:val="24"/>
                <w:highlight w:val="none"/>
              </w:rPr>
              <w:t>竞争性磋商文件条目号(页码)</w:t>
            </w:r>
          </w:p>
        </w:tc>
        <w:tc>
          <w:tcPr>
            <w:tcW w:w="2384" w:type="dxa"/>
            <w:vAlign w:val="center"/>
          </w:tcPr>
          <w:p w14:paraId="580E338A">
            <w:pPr>
              <w:adjustRightInd w:val="0"/>
              <w:snapToGrid w:val="0"/>
              <w:jc w:val="center"/>
              <w:rPr>
                <w:color w:val="auto"/>
                <w:sz w:val="24"/>
                <w:szCs w:val="24"/>
                <w:highlight w:val="none"/>
              </w:rPr>
            </w:pPr>
            <w:r>
              <w:rPr>
                <w:color w:val="auto"/>
                <w:sz w:val="24"/>
                <w:szCs w:val="24"/>
                <w:highlight w:val="none"/>
              </w:rPr>
              <w:t>竞争性磋商文件要求</w:t>
            </w:r>
          </w:p>
        </w:tc>
        <w:tc>
          <w:tcPr>
            <w:tcW w:w="2126" w:type="dxa"/>
            <w:vAlign w:val="center"/>
          </w:tcPr>
          <w:p w14:paraId="33DC11E5">
            <w:pPr>
              <w:adjustRightInd w:val="0"/>
              <w:snapToGrid w:val="0"/>
              <w:jc w:val="center"/>
              <w:rPr>
                <w:color w:val="auto"/>
                <w:sz w:val="24"/>
                <w:szCs w:val="24"/>
                <w:highlight w:val="none"/>
              </w:rPr>
            </w:pPr>
            <w:r>
              <w:rPr>
                <w:color w:val="auto"/>
                <w:sz w:val="24"/>
                <w:szCs w:val="24"/>
                <w:highlight w:val="none"/>
              </w:rPr>
              <w:t>响应内容</w:t>
            </w:r>
          </w:p>
        </w:tc>
        <w:tc>
          <w:tcPr>
            <w:tcW w:w="1875" w:type="dxa"/>
            <w:vAlign w:val="center"/>
          </w:tcPr>
          <w:p w14:paraId="1CA75316">
            <w:pPr>
              <w:adjustRightInd w:val="0"/>
              <w:snapToGrid w:val="0"/>
              <w:jc w:val="center"/>
              <w:rPr>
                <w:color w:val="auto"/>
                <w:sz w:val="24"/>
                <w:szCs w:val="24"/>
                <w:highlight w:val="none"/>
              </w:rPr>
            </w:pPr>
            <w:r>
              <w:rPr>
                <w:color w:val="auto"/>
                <w:sz w:val="24"/>
                <w:szCs w:val="24"/>
                <w:highlight w:val="none"/>
              </w:rPr>
              <w:t>偏离情况</w:t>
            </w:r>
          </w:p>
        </w:tc>
        <w:tc>
          <w:tcPr>
            <w:tcW w:w="1009" w:type="dxa"/>
            <w:vAlign w:val="center"/>
          </w:tcPr>
          <w:p w14:paraId="5A2B451D">
            <w:pPr>
              <w:adjustRightInd w:val="0"/>
              <w:snapToGrid w:val="0"/>
              <w:jc w:val="center"/>
              <w:rPr>
                <w:color w:val="auto"/>
                <w:sz w:val="24"/>
                <w:szCs w:val="24"/>
                <w:highlight w:val="none"/>
              </w:rPr>
            </w:pPr>
            <w:r>
              <w:rPr>
                <w:color w:val="auto"/>
                <w:sz w:val="24"/>
                <w:szCs w:val="24"/>
                <w:highlight w:val="none"/>
              </w:rPr>
              <w:t>说明</w:t>
            </w:r>
          </w:p>
        </w:tc>
      </w:tr>
      <w:tr w14:paraId="4E0CC3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9651" w:type="dxa"/>
            <w:gridSpan w:val="6"/>
            <w:vAlign w:val="center"/>
          </w:tcPr>
          <w:p w14:paraId="2F3D2B70">
            <w:pPr>
              <w:adjustRightInd w:val="0"/>
              <w:snapToGrid w:val="0"/>
              <w:jc w:val="left"/>
              <w:rPr>
                <w:b/>
                <w:color w:val="auto"/>
                <w:sz w:val="24"/>
                <w:szCs w:val="24"/>
                <w:highlight w:val="none"/>
              </w:rPr>
            </w:pPr>
            <w:r>
              <w:rPr>
                <w:rFonts w:hint="eastAsia"/>
                <w:b/>
                <w:color w:val="auto"/>
                <w:sz w:val="24"/>
                <w:szCs w:val="24"/>
                <w:highlight w:val="none"/>
              </w:rPr>
              <w:t>对本项目采购需求的偏离情况况（应进行选择，未选择响应无效）：</w:t>
            </w:r>
          </w:p>
          <w:p w14:paraId="609DCF15">
            <w:pPr>
              <w:adjustRightInd w:val="0"/>
              <w:snapToGrid w:val="0"/>
              <w:jc w:val="left"/>
              <w:rPr>
                <w:b/>
                <w:color w:val="auto"/>
                <w:sz w:val="24"/>
                <w:szCs w:val="24"/>
                <w:highlight w:val="none"/>
              </w:rPr>
            </w:pPr>
            <w:r>
              <w:rPr>
                <w:b/>
                <w:color w:val="auto"/>
                <w:sz w:val="24"/>
                <w:szCs w:val="24"/>
                <w:highlight w:val="none"/>
              </w:rPr>
              <w:t>□无偏离</w:t>
            </w:r>
            <w:r>
              <w:rPr>
                <w:rFonts w:hint="eastAsia"/>
                <w:color w:val="auto"/>
                <w:sz w:val="24"/>
                <w:szCs w:val="24"/>
                <w:highlight w:val="none"/>
              </w:rPr>
              <w:t>（如无偏离，仅选择无偏离即可；无偏离即为对合同条款中的所有要求，均视作供应商已对之理解和响应。）</w:t>
            </w:r>
          </w:p>
          <w:p w14:paraId="53940B7E">
            <w:pPr>
              <w:adjustRightInd w:val="0"/>
              <w:snapToGrid w:val="0"/>
              <w:jc w:val="left"/>
              <w:rPr>
                <w:color w:val="auto"/>
                <w:sz w:val="24"/>
                <w:szCs w:val="24"/>
                <w:highlight w:val="none"/>
              </w:rPr>
            </w:pPr>
            <w:r>
              <w:rPr>
                <w:b/>
                <w:color w:val="auto"/>
                <w:sz w:val="24"/>
                <w:szCs w:val="24"/>
                <w:highlight w:val="none"/>
              </w:rPr>
              <w:t>□有偏离</w:t>
            </w:r>
            <w:r>
              <w:rPr>
                <w:rFonts w:hint="eastAsia"/>
                <w:color w:val="auto"/>
                <w:sz w:val="24"/>
                <w:szCs w:val="24"/>
                <w:highlight w:val="none"/>
              </w:rPr>
              <w:t>（如有偏离，则应在本表中对负偏离项逐一列明，否则响应无效；对合同条款中的所有要求，除本表列明的偏离外，均视作供应商已对之理解和响应。）</w:t>
            </w:r>
          </w:p>
        </w:tc>
      </w:tr>
      <w:tr w14:paraId="42F70D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5AA55BFD">
            <w:pPr>
              <w:adjustRightInd w:val="0"/>
              <w:snapToGrid w:val="0"/>
              <w:jc w:val="center"/>
              <w:rPr>
                <w:color w:val="auto"/>
                <w:sz w:val="24"/>
                <w:szCs w:val="24"/>
                <w:highlight w:val="none"/>
              </w:rPr>
            </w:pPr>
          </w:p>
        </w:tc>
        <w:tc>
          <w:tcPr>
            <w:tcW w:w="1482" w:type="dxa"/>
            <w:vAlign w:val="center"/>
          </w:tcPr>
          <w:p w14:paraId="14C6E4CF">
            <w:pPr>
              <w:adjustRightInd w:val="0"/>
              <w:snapToGrid w:val="0"/>
              <w:jc w:val="center"/>
              <w:rPr>
                <w:color w:val="auto"/>
                <w:sz w:val="24"/>
                <w:szCs w:val="24"/>
                <w:highlight w:val="none"/>
              </w:rPr>
            </w:pPr>
          </w:p>
        </w:tc>
        <w:tc>
          <w:tcPr>
            <w:tcW w:w="2384" w:type="dxa"/>
            <w:vAlign w:val="center"/>
          </w:tcPr>
          <w:p w14:paraId="2D44A241">
            <w:pPr>
              <w:adjustRightInd w:val="0"/>
              <w:snapToGrid w:val="0"/>
              <w:jc w:val="center"/>
              <w:rPr>
                <w:color w:val="auto"/>
                <w:sz w:val="24"/>
                <w:szCs w:val="24"/>
                <w:highlight w:val="none"/>
              </w:rPr>
            </w:pPr>
          </w:p>
        </w:tc>
        <w:tc>
          <w:tcPr>
            <w:tcW w:w="2126" w:type="dxa"/>
            <w:vAlign w:val="center"/>
          </w:tcPr>
          <w:p w14:paraId="3D117546">
            <w:pPr>
              <w:adjustRightInd w:val="0"/>
              <w:snapToGrid w:val="0"/>
              <w:jc w:val="center"/>
              <w:rPr>
                <w:color w:val="auto"/>
                <w:sz w:val="24"/>
                <w:szCs w:val="24"/>
                <w:highlight w:val="none"/>
              </w:rPr>
            </w:pPr>
          </w:p>
        </w:tc>
        <w:tc>
          <w:tcPr>
            <w:tcW w:w="1875" w:type="dxa"/>
            <w:vAlign w:val="center"/>
          </w:tcPr>
          <w:p w14:paraId="61CCDA37">
            <w:pPr>
              <w:adjustRightInd w:val="0"/>
              <w:snapToGrid w:val="0"/>
              <w:jc w:val="center"/>
              <w:rPr>
                <w:color w:val="auto"/>
                <w:sz w:val="24"/>
                <w:szCs w:val="24"/>
                <w:highlight w:val="none"/>
              </w:rPr>
            </w:pPr>
          </w:p>
        </w:tc>
        <w:tc>
          <w:tcPr>
            <w:tcW w:w="1009" w:type="dxa"/>
            <w:vAlign w:val="center"/>
          </w:tcPr>
          <w:p w14:paraId="0ADC5D61">
            <w:pPr>
              <w:adjustRightInd w:val="0"/>
              <w:snapToGrid w:val="0"/>
              <w:jc w:val="center"/>
              <w:rPr>
                <w:color w:val="auto"/>
                <w:sz w:val="24"/>
                <w:szCs w:val="24"/>
                <w:highlight w:val="none"/>
              </w:rPr>
            </w:pPr>
          </w:p>
        </w:tc>
      </w:tr>
      <w:tr w14:paraId="0F96B6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1AC28239">
            <w:pPr>
              <w:adjustRightInd w:val="0"/>
              <w:snapToGrid w:val="0"/>
              <w:jc w:val="center"/>
              <w:rPr>
                <w:color w:val="auto"/>
                <w:sz w:val="24"/>
                <w:szCs w:val="24"/>
                <w:highlight w:val="none"/>
              </w:rPr>
            </w:pPr>
          </w:p>
        </w:tc>
        <w:tc>
          <w:tcPr>
            <w:tcW w:w="1482" w:type="dxa"/>
            <w:vAlign w:val="center"/>
          </w:tcPr>
          <w:p w14:paraId="330A81A0">
            <w:pPr>
              <w:adjustRightInd w:val="0"/>
              <w:snapToGrid w:val="0"/>
              <w:jc w:val="center"/>
              <w:rPr>
                <w:color w:val="auto"/>
                <w:sz w:val="24"/>
                <w:szCs w:val="24"/>
                <w:highlight w:val="none"/>
              </w:rPr>
            </w:pPr>
          </w:p>
        </w:tc>
        <w:tc>
          <w:tcPr>
            <w:tcW w:w="2384" w:type="dxa"/>
            <w:vAlign w:val="center"/>
          </w:tcPr>
          <w:p w14:paraId="351BA474">
            <w:pPr>
              <w:adjustRightInd w:val="0"/>
              <w:snapToGrid w:val="0"/>
              <w:jc w:val="center"/>
              <w:rPr>
                <w:color w:val="auto"/>
                <w:sz w:val="24"/>
                <w:szCs w:val="24"/>
                <w:highlight w:val="none"/>
              </w:rPr>
            </w:pPr>
          </w:p>
        </w:tc>
        <w:tc>
          <w:tcPr>
            <w:tcW w:w="2126" w:type="dxa"/>
            <w:vAlign w:val="center"/>
          </w:tcPr>
          <w:p w14:paraId="0080BB01">
            <w:pPr>
              <w:adjustRightInd w:val="0"/>
              <w:snapToGrid w:val="0"/>
              <w:jc w:val="center"/>
              <w:rPr>
                <w:color w:val="auto"/>
                <w:sz w:val="24"/>
                <w:szCs w:val="24"/>
                <w:highlight w:val="none"/>
              </w:rPr>
            </w:pPr>
          </w:p>
        </w:tc>
        <w:tc>
          <w:tcPr>
            <w:tcW w:w="1875" w:type="dxa"/>
            <w:vAlign w:val="center"/>
          </w:tcPr>
          <w:p w14:paraId="6592C611">
            <w:pPr>
              <w:adjustRightInd w:val="0"/>
              <w:snapToGrid w:val="0"/>
              <w:jc w:val="center"/>
              <w:rPr>
                <w:color w:val="auto"/>
                <w:sz w:val="24"/>
                <w:szCs w:val="24"/>
                <w:highlight w:val="none"/>
              </w:rPr>
            </w:pPr>
          </w:p>
        </w:tc>
        <w:tc>
          <w:tcPr>
            <w:tcW w:w="1009" w:type="dxa"/>
            <w:vAlign w:val="center"/>
          </w:tcPr>
          <w:p w14:paraId="4AC55690">
            <w:pPr>
              <w:adjustRightInd w:val="0"/>
              <w:snapToGrid w:val="0"/>
              <w:jc w:val="center"/>
              <w:rPr>
                <w:color w:val="auto"/>
                <w:sz w:val="24"/>
                <w:szCs w:val="24"/>
                <w:highlight w:val="none"/>
              </w:rPr>
            </w:pPr>
          </w:p>
        </w:tc>
      </w:tr>
      <w:tr w14:paraId="3D20D9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23D85483">
            <w:pPr>
              <w:adjustRightInd w:val="0"/>
              <w:snapToGrid w:val="0"/>
              <w:jc w:val="center"/>
              <w:rPr>
                <w:color w:val="auto"/>
                <w:sz w:val="24"/>
                <w:szCs w:val="24"/>
                <w:highlight w:val="none"/>
              </w:rPr>
            </w:pPr>
          </w:p>
        </w:tc>
        <w:tc>
          <w:tcPr>
            <w:tcW w:w="1482" w:type="dxa"/>
            <w:vAlign w:val="center"/>
          </w:tcPr>
          <w:p w14:paraId="3D2EEFD8">
            <w:pPr>
              <w:adjustRightInd w:val="0"/>
              <w:snapToGrid w:val="0"/>
              <w:jc w:val="center"/>
              <w:rPr>
                <w:color w:val="auto"/>
                <w:sz w:val="24"/>
                <w:szCs w:val="24"/>
                <w:highlight w:val="none"/>
              </w:rPr>
            </w:pPr>
          </w:p>
        </w:tc>
        <w:tc>
          <w:tcPr>
            <w:tcW w:w="2384" w:type="dxa"/>
            <w:vAlign w:val="center"/>
          </w:tcPr>
          <w:p w14:paraId="4CB40B88">
            <w:pPr>
              <w:adjustRightInd w:val="0"/>
              <w:snapToGrid w:val="0"/>
              <w:jc w:val="center"/>
              <w:rPr>
                <w:color w:val="auto"/>
                <w:sz w:val="24"/>
                <w:szCs w:val="24"/>
                <w:highlight w:val="none"/>
              </w:rPr>
            </w:pPr>
          </w:p>
        </w:tc>
        <w:tc>
          <w:tcPr>
            <w:tcW w:w="2126" w:type="dxa"/>
            <w:vAlign w:val="center"/>
          </w:tcPr>
          <w:p w14:paraId="322B46FC">
            <w:pPr>
              <w:adjustRightInd w:val="0"/>
              <w:snapToGrid w:val="0"/>
              <w:jc w:val="center"/>
              <w:rPr>
                <w:color w:val="auto"/>
                <w:sz w:val="24"/>
                <w:szCs w:val="24"/>
                <w:highlight w:val="none"/>
              </w:rPr>
            </w:pPr>
          </w:p>
        </w:tc>
        <w:tc>
          <w:tcPr>
            <w:tcW w:w="1875" w:type="dxa"/>
            <w:vAlign w:val="center"/>
          </w:tcPr>
          <w:p w14:paraId="414EFE93">
            <w:pPr>
              <w:adjustRightInd w:val="0"/>
              <w:snapToGrid w:val="0"/>
              <w:jc w:val="center"/>
              <w:rPr>
                <w:color w:val="auto"/>
                <w:sz w:val="24"/>
                <w:szCs w:val="24"/>
                <w:highlight w:val="none"/>
              </w:rPr>
            </w:pPr>
          </w:p>
        </w:tc>
        <w:tc>
          <w:tcPr>
            <w:tcW w:w="1009" w:type="dxa"/>
            <w:vAlign w:val="center"/>
          </w:tcPr>
          <w:p w14:paraId="0E891CC1">
            <w:pPr>
              <w:adjustRightInd w:val="0"/>
              <w:snapToGrid w:val="0"/>
              <w:jc w:val="center"/>
              <w:rPr>
                <w:color w:val="auto"/>
                <w:sz w:val="24"/>
                <w:szCs w:val="24"/>
                <w:highlight w:val="none"/>
              </w:rPr>
            </w:pPr>
          </w:p>
        </w:tc>
      </w:tr>
      <w:tr w14:paraId="1F2916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303D39DD">
            <w:pPr>
              <w:adjustRightInd w:val="0"/>
              <w:snapToGrid w:val="0"/>
              <w:jc w:val="center"/>
              <w:rPr>
                <w:color w:val="auto"/>
                <w:sz w:val="24"/>
                <w:szCs w:val="24"/>
                <w:highlight w:val="none"/>
              </w:rPr>
            </w:pPr>
          </w:p>
        </w:tc>
        <w:tc>
          <w:tcPr>
            <w:tcW w:w="1482" w:type="dxa"/>
            <w:vAlign w:val="center"/>
          </w:tcPr>
          <w:p w14:paraId="37E1936D">
            <w:pPr>
              <w:adjustRightInd w:val="0"/>
              <w:snapToGrid w:val="0"/>
              <w:jc w:val="center"/>
              <w:rPr>
                <w:color w:val="auto"/>
                <w:sz w:val="24"/>
                <w:szCs w:val="24"/>
                <w:highlight w:val="none"/>
              </w:rPr>
            </w:pPr>
          </w:p>
        </w:tc>
        <w:tc>
          <w:tcPr>
            <w:tcW w:w="2384" w:type="dxa"/>
            <w:vAlign w:val="center"/>
          </w:tcPr>
          <w:p w14:paraId="63E182A7">
            <w:pPr>
              <w:adjustRightInd w:val="0"/>
              <w:snapToGrid w:val="0"/>
              <w:jc w:val="center"/>
              <w:rPr>
                <w:color w:val="auto"/>
                <w:sz w:val="24"/>
                <w:szCs w:val="24"/>
                <w:highlight w:val="none"/>
              </w:rPr>
            </w:pPr>
          </w:p>
        </w:tc>
        <w:tc>
          <w:tcPr>
            <w:tcW w:w="2126" w:type="dxa"/>
            <w:vAlign w:val="center"/>
          </w:tcPr>
          <w:p w14:paraId="5D5E3A80">
            <w:pPr>
              <w:adjustRightInd w:val="0"/>
              <w:snapToGrid w:val="0"/>
              <w:jc w:val="center"/>
              <w:rPr>
                <w:color w:val="auto"/>
                <w:sz w:val="24"/>
                <w:szCs w:val="24"/>
                <w:highlight w:val="none"/>
              </w:rPr>
            </w:pPr>
          </w:p>
        </w:tc>
        <w:tc>
          <w:tcPr>
            <w:tcW w:w="1875" w:type="dxa"/>
            <w:vAlign w:val="center"/>
          </w:tcPr>
          <w:p w14:paraId="02F727AE">
            <w:pPr>
              <w:adjustRightInd w:val="0"/>
              <w:snapToGrid w:val="0"/>
              <w:jc w:val="center"/>
              <w:rPr>
                <w:color w:val="auto"/>
                <w:sz w:val="24"/>
                <w:szCs w:val="24"/>
                <w:highlight w:val="none"/>
              </w:rPr>
            </w:pPr>
          </w:p>
        </w:tc>
        <w:tc>
          <w:tcPr>
            <w:tcW w:w="1009" w:type="dxa"/>
            <w:vAlign w:val="center"/>
          </w:tcPr>
          <w:p w14:paraId="5EB9F641">
            <w:pPr>
              <w:adjustRightInd w:val="0"/>
              <w:snapToGrid w:val="0"/>
              <w:jc w:val="center"/>
              <w:rPr>
                <w:color w:val="auto"/>
                <w:sz w:val="24"/>
                <w:szCs w:val="24"/>
                <w:highlight w:val="none"/>
              </w:rPr>
            </w:pPr>
          </w:p>
        </w:tc>
      </w:tr>
      <w:tr w14:paraId="231D75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0" w:hRule="atLeast"/>
          <w:jc w:val="center"/>
        </w:trPr>
        <w:tc>
          <w:tcPr>
            <w:tcW w:w="775" w:type="dxa"/>
            <w:vAlign w:val="center"/>
          </w:tcPr>
          <w:p w14:paraId="06599266">
            <w:pPr>
              <w:adjustRightInd w:val="0"/>
              <w:snapToGrid w:val="0"/>
              <w:jc w:val="center"/>
              <w:rPr>
                <w:color w:val="auto"/>
                <w:sz w:val="24"/>
                <w:szCs w:val="24"/>
                <w:highlight w:val="none"/>
              </w:rPr>
            </w:pPr>
          </w:p>
        </w:tc>
        <w:tc>
          <w:tcPr>
            <w:tcW w:w="1482" w:type="dxa"/>
            <w:vAlign w:val="center"/>
          </w:tcPr>
          <w:p w14:paraId="355208B4">
            <w:pPr>
              <w:adjustRightInd w:val="0"/>
              <w:snapToGrid w:val="0"/>
              <w:jc w:val="center"/>
              <w:rPr>
                <w:color w:val="auto"/>
                <w:sz w:val="24"/>
                <w:szCs w:val="24"/>
                <w:highlight w:val="none"/>
              </w:rPr>
            </w:pPr>
          </w:p>
        </w:tc>
        <w:tc>
          <w:tcPr>
            <w:tcW w:w="2384" w:type="dxa"/>
            <w:vAlign w:val="center"/>
          </w:tcPr>
          <w:p w14:paraId="2724BD54">
            <w:pPr>
              <w:adjustRightInd w:val="0"/>
              <w:snapToGrid w:val="0"/>
              <w:jc w:val="center"/>
              <w:rPr>
                <w:color w:val="auto"/>
                <w:sz w:val="24"/>
                <w:szCs w:val="24"/>
                <w:highlight w:val="none"/>
              </w:rPr>
            </w:pPr>
          </w:p>
        </w:tc>
        <w:tc>
          <w:tcPr>
            <w:tcW w:w="2126" w:type="dxa"/>
            <w:vAlign w:val="center"/>
          </w:tcPr>
          <w:p w14:paraId="4780147C">
            <w:pPr>
              <w:adjustRightInd w:val="0"/>
              <w:snapToGrid w:val="0"/>
              <w:jc w:val="center"/>
              <w:rPr>
                <w:color w:val="auto"/>
                <w:sz w:val="24"/>
                <w:szCs w:val="24"/>
                <w:highlight w:val="none"/>
              </w:rPr>
            </w:pPr>
          </w:p>
        </w:tc>
        <w:tc>
          <w:tcPr>
            <w:tcW w:w="1875" w:type="dxa"/>
            <w:vAlign w:val="center"/>
          </w:tcPr>
          <w:p w14:paraId="179EB224">
            <w:pPr>
              <w:adjustRightInd w:val="0"/>
              <w:snapToGrid w:val="0"/>
              <w:jc w:val="center"/>
              <w:rPr>
                <w:color w:val="auto"/>
                <w:sz w:val="24"/>
                <w:szCs w:val="24"/>
                <w:highlight w:val="none"/>
              </w:rPr>
            </w:pPr>
          </w:p>
        </w:tc>
        <w:tc>
          <w:tcPr>
            <w:tcW w:w="1009" w:type="dxa"/>
            <w:vAlign w:val="center"/>
          </w:tcPr>
          <w:p w14:paraId="3E24C16E">
            <w:pPr>
              <w:adjustRightInd w:val="0"/>
              <w:snapToGrid w:val="0"/>
              <w:jc w:val="center"/>
              <w:rPr>
                <w:color w:val="auto"/>
                <w:sz w:val="24"/>
                <w:szCs w:val="24"/>
                <w:highlight w:val="none"/>
              </w:rPr>
            </w:pPr>
          </w:p>
        </w:tc>
      </w:tr>
    </w:tbl>
    <w:p w14:paraId="3C25F002">
      <w:pPr>
        <w:tabs>
          <w:tab w:val="left" w:pos="1800"/>
          <w:tab w:val="left" w:pos="5580"/>
        </w:tabs>
        <w:spacing w:line="360" w:lineRule="auto"/>
        <w:ind w:firstLine="360" w:firstLineChars="150"/>
        <w:jc w:val="left"/>
        <w:rPr>
          <w:color w:val="auto"/>
          <w:sz w:val="24"/>
          <w:szCs w:val="24"/>
          <w:highlight w:val="none"/>
          <w:u w:val="single"/>
        </w:rPr>
      </w:pPr>
    </w:p>
    <w:p w14:paraId="16754556">
      <w:pPr>
        <w:tabs>
          <w:tab w:val="left" w:pos="1800"/>
          <w:tab w:val="left" w:pos="5580"/>
        </w:tabs>
        <w:spacing w:line="360" w:lineRule="auto"/>
        <w:ind w:firstLine="360" w:firstLineChars="150"/>
        <w:jc w:val="left"/>
        <w:rPr>
          <w:color w:val="auto"/>
          <w:sz w:val="24"/>
          <w:szCs w:val="24"/>
          <w:highlight w:val="none"/>
          <w:u w:val="single"/>
        </w:rPr>
      </w:pPr>
    </w:p>
    <w:p w14:paraId="2BF1A818">
      <w:pPr>
        <w:tabs>
          <w:tab w:val="left" w:pos="1800"/>
          <w:tab w:val="left" w:pos="5580"/>
        </w:tabs>
        <w:jc w:val="left"/>
        <w:rPr>
          <w:color w:val="auto"/>
          <w:sz w:val="24"/>
          <w:szCs w:val="24"/>
          <w:highlight w:val="none"/>
        </w:rPr>
      </w:pPr>
      <w:r>
        <w:rPr>
          <w:color w:val="auto"/>
          <w:sz w:val="24"/>
          <w:szCs w:val="24"/>
          <w:highlight w:val="none"/>
        </w:rPr>
        <w:t>注：</w:t>
      </w:r>
    </w:p>
    <w:p w14:paraId="70CA6EDE">
      <w:pPr>
        <w:tabs>
          <w:tab w:val="left" w:pos="1800"/>
          <w:tab w:val="left" w:pos="5580"/>
        </w:tabs>
        <w:jc w:val="left"/>
        <w:rPr>
          <w:color w:val="auto"/>
          <w:sz w:val="24"/>
          <w:szCs w:val="24"/>
          <w:highlight w:val="none"/>
        </w:rPr>
      </w:pPr>
      <w:r>
        <w:rPr>
          <w:rFonts w:hint="eastAsia"/>
          <w:color w:val="auto"/>
          <w:sz w:val="24"/>
          <w:szCs w:val="24"/>
          <w:highlight w:val="none"/>
        </w:rPr>
        <w:t>1</w:t>
      </w:r>
      <w:r>
        <w:rPr>
          <w:color w:val="auto"/>
          <w:sz w:val="24"/>
          <w:szCs w:val="24"/>
          <w:highlight w:val="none"/>
        </w:rPr>
        <w:t>. 对竞争性磋商文件中的所有商务、技术要求，除本表所列明的所有偏离外，均视作供应商已对之理解和响应。</w:t>
      </w:r>
    </w:p>
    <w:p w14:paraId="210C25CC">
      <w:pPr>
        <w:tabs>
          <w:tab w:val="left" w:pos="1800"/>
          <w:tab w:val="left" w:pos="5580"/>
        </w:tabs>
        <w:jc w:val="left"/>
        <w:rPr>
          <w:color w:val="auto"/>
          <w:sz w:val="24"/>
          <w:szCs w:val="24"/>
          <w:highlight w:val="none"/>
        </w:rPr>
      </w:pPr>
      <w:r>
        <w:rPr>
          <w:color w:val="auto"/>
          <w:sz w:val="24"/>
          <w:szCs w:val="24"/>
          <w:highlight w:val="none"/>
        </w:rPr>
        <w:t>2.</w:t>
      </w:r>
      <w:r>
        <w:rPr>
          <w:rFonts w:hint="eastAsia"/>
          <w:color w:val="auto"/>
          <w:sz w:val="24"/>
          <w:szCs w:val="24"/>
          <w:highlight w:val="none"/>
        </w:rPr>
        <w:t>“偏离情况”列应据实填写“无偏离”、“正偏离”或“负偏离”。</w:t>
      </w:r>
    </w:p>
    <w:p w14:paraId="6A12D35B">
      <w:pPr>
        <w:tabs>
          <w:tab w:val="left" w:pos="1800"/>
          <w:tab w:val="left" w:pos="5580"/>
        </w:tabs>
        <w:jc w:val="left"/>
        <w:rPr>
          <w:color w:val="auto"/>
          <w:sz w:val="24"/>
          <w:szCs w:val="24"/>
          <w:highlight w:val="none"/>
        </w:rPr>
      </w:pPr>
    </w:p>
    <w:p w14:paraId="6F433880">
      <w:pPr>
        <w:rPr>
          <w:color w:val="auto"/>
          <w:sz w:val="24"/>
          <w:szCs w:val="24"/>
          <w:highlight w:val="none"/>
        </w:rPr>
      </w:pPr>
    </w:p>
    <w:p w14:paraId="00DB7CAB">
      <w:pPr>
        <w:autoSpaceDE w:val="0"/>
        <w:autoSpaceDN w:val="0"/>
        <w:adjustRightInd w:val="0"/>
        <w:snapToGrid w:val="0"/>
        <w:spacing w:before="25" w:after="25" w:line="360" w:lineRule="auto"/>
        <w:ind w:right="360"/>
        <w:jc w:val="left"/>
        <w:rPr>
          <w:color w:val="auto"/>
          <w:sz w:val="24"/>
          <w:szCs w:val="24"/>
          <w:highlight w:val="none"/>
          <w:lang w:val="zh-CN"/>
        </w:rPr>
      </w:pPr>
      <w:r>
        <w:rPr>
          <w:color w:val="auto"/>
          <w:sz w:val="24"/>
          <w:szCs w:val="24"/>
          <w:highlight w:val="none"/>
        </w:rPr>
        <w:t>供应商名称（加盖公章）</w:t>
      </w:r>
      <w:r>
        <w:rPr>
          <w:color w:val="auto"/>
          <w:sz w:val="24"/>
          <w:szCs w:val="24"/>
          <w:highlight w:val="none"/>
          <w:lang w:val="zh-CN"/>
        </w:rPr>
        <w:t>：</w:t>
      </w:r>
      <w:r>
        <w:rPr>
          <w:color w:val="auto"/>
          <w:sz w:val="24"/>
          <w:szCs w:val="24"/>
          <w:highlight w:val="none"/>
        </w:rPr>
        <w:t>______</w:t>
      </w:r>
    </w:p>
    <w:p w14:paraId="7F4A4A77">
      <w:pPr>
        <w:autoSpaceDE w:val="0"/>
        <w:autoSpaceDN w:val="0"/>
        <w:adjustRightInd w:val="0"/>
        <w:snapToGrid w:val="0"/>
        <w:spacing w:before="25" w:after="25" w:line="360" w:lineRule="auto"/>
        <w:ind w:right="360"/>
        <w:jc w:val="left"/>
        <w:rPr>
          <w:color w:val="auto"/>
          <w:sz w:val="24"/>
          <w:szCs w:val="24"/>
          <w:highlight w:val="none"/>
        </w:rPr>
      </w:pPr>
      <w:r>
        <w:rPr>
          <w:color w:val="auto"/>
          <w:sz w:val="24"/>
          <w:szCs w:val="24"/>
          <w:highlight w:val="none"/>
        </w:rPr>
        <w:t xml:space="preserve">日期：____年____月____日 </w:t>
      </w:r>
    </w:p>
    <w:p w14:paraId="6017A6B9">
      <w:pPr>
        <w:rPr>
          <w:color w:val="auto"/>
          <w:sz w:val="24"/>
          <w:szCs w:val="24"/>
          <w:highlight w:val="none"/>
        </w:rPr>
      </w:pPr>
      <w:r>
        <w:rPr>
          <w:color w:val="auto"/>
          <w:sz w:val="24"/>
          <w:szCs w:val="24"/>
          <w:highlight w:val="none"/>
        </w:rPr>
        <w:br w:type="page"/>
      </w:r>
    </w:p>
    <w:p w14:paraId="4869861C">
      <w:pPr>
        <w:tabs>
          <w:tab w:val="left" w:pos="360"/>
        </w:tabs>
        <w:snapToGrid w:val="0"/>
        <w:spacing w:line="360" w:lineRule="auto"/>
        <w:outlineLvl w:val="1"/>
        <w:rPr>
          <w:rFonts w:hint="eastAsia" w:eastAsia="宋体"/>
          <w:color w:val="auto"/>
          <w:sz w:val="24"/>
          <w:szCs w:val="24"/>
          <w:highlight w:val="none"/>
          <w:lang w:eastAsia="zh-CN"/>
        </w:rPr>
      </w:pPr>
      <w:r>
        <w:rPr>
          <w:color w:val="auto"/>
          <w:sz w:val="24"/>
          <w:szCs w:val="24"/>
          <w:highlight w:val="none"/>
        </w:rPr>
        <w:t>1</w:t>
      </w:r>
      <w:r>
        <w:rPr>
          <w:rFonts w:hint="eastAsia"/>
          <w:color w:val="auto"/>
          <w:sz w:val="24"/>
          <w:szCs w:val="24"/>
          <w:highlight w:val="none"/>
        </w:rPr>
        <w:t>1</w:t>
      </w:r>
      <w:r>
        <w:rPr>
          <w:color w:val="auto"/>
          <w:sz w:val="24"/>
          <w:szCs w:val="24"/>
          <w:highlight w:val="none"/>
        </w:rPr>
        <w:t xml:space="preserve">  </w:t>
      </w:r>
      <w:r>
        <w:rPr>
          <w:rFonts w:hint="eastAsia"/>
          <w:color w:val="auto"/>
          <w:sz w:val="24"/>
          <w:szCs w:val="24"/>
          <w:highlight w:val="none"/>
          <w:lang w:eastAsia="zh-CN"/>
        </w:rPr>
        <w:t>本国产品标准证明文件（</w:t>
      </w:r>
      <w:r>
        <w:rPr>
          <w:rFonts w:hint="eastAsia"/>
          <w:color w:val="auto"/>
          <w:sz w:val="24"/>
          <w:szCs w:val="24"/>
          <w:highlight w:val="none"/>
          <w:lang w:val="en-US" w:eastAsia="zh-CN"/>
        </w:rPr>
        <w:t>如适用请提供，不适用则无需提供）</w:t>
      </w:r>
    </w:p>
    <w:p w14:paraId="0AC0CA1F">
      <w:pPr>
        <w:pStyle w:val="47"/>
        <w:shd w:val="clear" w:color="auto" w:fill="FFFFFF"/>
        <w:spacing w:before="30" w:beforeAutospacing="0" w:after="30" w:afterAutospacing="0"/>
        <w:jc w:val="center"/>
        <w:rPr>
          <w:color w:val="auto"/>
          <w:sz w:val="24"/>
          <w:szCs w:val="24"/>
          <w:highlight w:val="none"/>
        </w:rPr>
      </w:pPr>
      <w:r>
        <w:rPr>
          <w:rStyle w:val="57"/>
          <w:rFonts w:hint="eastAsia"/>
          <w:color w:val="auto"/>
          <w:sz w:val="24"/>
          <w:szCs w:val="24"/>
          <w:highlight w:val="none"/>
          <w:shd w:val="clear" w:color="auto" w:fill="FFFFFF"/>
        </w:rPr>
        <w:t>关于符合本国产品标准的声明函</w:t>
      </w:r>
    </w:p>
    <w:p w14:paraId="71186D29">
      <w:pPr>
        <w:pStyle w:val="47"/>
        <w:shd w:val="clear" w:color="auto" w:fill="FFFFFF"/>
        <w:spacing w:before="30" w:beforeAutospacing="0" w:after="30" w:afterAutospacing="0"/>
        <w:ind w:firstLine="420"/>
        <w:rPr>
          <w:color w:val="auto"/>
          <w:sz w:val="24"/>
          <w:szCs w:val="24"/>
          <w:highlight w:val="none"/>
        </w:rPr>
      </w:pPr>
    </w:p>
    <w:p w14:paraId="69B4E96A">
      <w:pPr>
        <w:pStyle w:val="47"/>
        <w:shd w:val="clear" w:color="auto" w:fill="FFFFFF"/>
        <w:spacing w:before="0" w:beforeAutospacing="0" w:after="0" w:afterAutospacing="0" w:line="360" w:lineRule="auto"/>
        <w:ind w:firstLine="480" w:firstLineChars="200"/>
        <w:rPr>
          <w:color w:val="auto"/>
          <w:sz w:val="24"/>
          <w:szCs w:val="24"/>
          <w:highlight w:val="none"/>
        </w:rPr>
      </w:pPr>
      <w:r>
        <w:rPr>
          <w:rFonts w:hint="eastAsia"/>
          <w:color w:val="auto"/>
          <w:sz w:val="24"/>
          <w:szCs w:val="24"/>
          <w:highlight w:val="none"/>
          <w:shd w:val="clear" w:color="auto" w:fill="FFFFFF"/>
        </w:rPr>
        <w:t>本公司（单位）郑重声明，根据《国务院办公厅关于在政府采购中实施本国产品标准及相关政策的通知》（国办发〔2025〕34号）的规定，本公司（单位）提供的以下产品属于本国产品。具体情况如下：</w:t>
      </w:r>
    </w:p>
    <w:p w14:paraId="73BC5F66">
      <w:pPr>
        <w:pStyle w:val="47"/>
        <w:shd w:val="clear" w:color="auto" w:fill="FFFFFF"/>
        <w:spacing w:before="0" w:beforeAutospacing="0" w:after="0" w:afterAutospacing="0" w:line="360" w:lineRule="auto"/>
        <w:ind w:firstLine="480" w:firstLineChars="200"/>
        <w:rPr>
          <w:color w:val="auto"/>
          <w:sz w:val="24"/>
          <w:szCs w:val="24"/>
          <w:highlight w:val="none"/>
        </w:rPr>
      </w:pPr>
      <w:r>
        <w:rPr>
          <w:rFonts w:hint="eastAsia"/>
          <w:color w:val="auto"/>
          <w:sz w:val="24"/>
          <w:szCs w:val="24"/>
          <w:highlight w:val="none"/>
          <w:shd w:val="clear" w:color="auto" w:fill="FFFFFF"/>
        </w:rPr>
        <w:t>1.</w:t>
      </w:r>
      <w:r>
        <w:rPr>
          <w:rStyle w:val="60"/>
          <w:rFonts w:hint="eastAsia"/>
          <w:color w:val="auto"/>
          <w:sz w:val="24"/>
          <w:szCs w:val="24"/>
          <w:highlight w:val="none"/>
          <w:u w:val="single"/>
          <w:shd w:val="clear" w:color="auto" w:fill="FFFFFF"/>
        </w:rPr>
        <w:t>（产品名称1）</w:t>
      </w:r>
      <w:r>
        <w:rPr>
          <w:rStyle w:val="60"/>
          <w:rFonts w:hint="eastAsia"/>
          <w:color w:val="auto"/>
          <w:sz w:val="24"/>
          <w:szCs w:val="24"/>
          <w:highlight w:val="none"/>
          <w:shd w:val="clear" w:color="auto" w:fill="FFFFFF"/>
          <w:vertAlign w:val="superscript"/>
        </w:rPr>
        <w:t>1</w:t>
      </w:r>
      <w:r>
        <w:rPr>
          <w:rFonts w:hint="eastAsia"/>
          <w:color w:val="auto"/>
          <w:sz w:val="24"/>
          <w:szCs w:val="24"/>
          <w:highlight w:val="none"/>
          <w:shd w:val="clear" w:color="auto" w:fill="FFFFFF"/>
        </w:rPr>
        <w:t>，生产厂为</w:t>
      </w:r>
      <w:r>
        <w:rPr>
          <w:rStyle w:val="60"/>
          <w:rFonts w:hint="eastAsia"/>
          <w:color w:val="auto"/>
          <w:sz w:val="24"/>
          <w:szCs w:val="24"/>
          <w:highlight w:val="none"/>
          <w:u w:val="single"/>
          <w:shd w:val="clear" w:color="auto" w:fill="FFFFFF"/>
        </w:rPr>
        <w:t>（厂名）</w:t>
      </w:r>
      <w:r>
        <w:rPr>
          <w:rStyle w:val="60"/>
          <w:rFonts w:hint="eastAsia"/>
          <w:color w:val="auto"/>
          <w:sz w:val="24"/>
          <w:szCs w:val="24"/>
          <w:highlight w:val="none"/>
          <w:shd w:val="clear" w:color="auto" w:fill="FFFFFF"/>
          <w:vertAlign w:val="superscript"/>
        </w:rPr>
        <w:t>2</w:t>
      </w:r>
      <w:r>
        <w:rPr>
          <w:rFonts w:hint="eastAsia"/>
          <w:color w:val="auto"/>
          <w:sz w:val="24"/>
          <w:szCs w:val="24"/>
          <w:highlight w:val="none"/>
          <w:shd w:val="clear" w:color="auto" w:fill="FFFFFF"/>
        </w:rPr>
        <w:t>，厂址为</w:t>
      </w:r>
      <w:r>
        <w:rPr>
          <w:rStyle w:val="60"/>
          <w:rFonts w:hint="eastAsia"/>
          <w:color w:val="auto"/>
          <w:sz w:val="24"/>
          <w:szCs w:val="24"/>
          <w:highlight w:val="none"/>
          <w:u w:val="single"/>
          <w:shd w:val="clear" w:color="auto" w:fill="FFFFFF"/>
        </w:rPr>
        <w:t>（生产厂址）</w:t>
      </w:r>
      <w:r>
        <w:rPr>
          <w:rFonts w:hint="eastAsia"/>
          <w:color w:val="auto"/>
          <w:sz w:val="24"/>
          <w:szCs w:val="24"/>
          <w:highlight w:val="none"/>
          <w:shd w:val="clear" w:color="auto" w:fill="FFFFFF"/>
        </w:rPr>
        <w:t>。</w:t>
      </w:r>
      <w:r>
        <w:rPr>
          <w:rStyle w:val="60"/>
          <w:rFonts w:hint="eastAsia"/>
          <w:color w:val="auto"/>
          <w:sz w:val="24"/>
          <w:szCs w:val="24"/>
          <w:highlight w:val="none"/>
          <w:u w:val="single"/>
          <w:shd w:val="clear" w:color="auto" w:fill="FFFFFF"/>
        </w:rPr>
        <w:t>（产品名称1）</w:t>
      </w:r>
      <w:r>
        <w:rPr>
          <w:rFonts w:hint="eastAsia"/>
          <w:color w:val="auto"/>
          <w:sz w:val="24"/>
          <w:szCs w:val="24"/>
          <w:highlight w:val="none"/>
          <w:shd w:val="clear" w:color="auto" w:fill="FFFFFF"/>
        </w:rPr>
        <w:t>的中国境内生产的组件成本占比≥</w:t>
      </w:r>
      <w:r>
        <w:rPr>
          <w:rStyle w:val="60"/>
          <w:rFonts w:hint="eastAsia"/>
          <w:color w:val="auto"/>
          <w:sz w:val="24"/>
          <w:szCs w:val="24"/>
          <w:highlight w:val="none"/>
          <w:u w:val="single"/>
          <w:shd w:val="clear" w:color="auto" w:fill="FFFFFF"/>
        </w:rPr>
        <w:t>（规定比例）</w:t>
      </w:r>
      <w:r>
        <w:rPr>
          <w:rStyle w:val="60"/>
          <w:rFonts w:hint="eastAsia"/>
          <w:color w:val="auto"/>
          <w:sz w:val="24"/>
          <w:szCs w:val="24"/>
          <w:highlight w:val="none"/>
          <w:shd w:val="clear" w:color="auto" w:fill="FFFFFF"/>
          <w:vertAlign w:val="superscript"/>
        </w:rPr>
        <w:t>3</w:t>
      </w:r>
      <w:r>
        <w:rPr>
          <w:rFonts w:hint="eastAsia"/>
          <w:color w:val="auto"/>
          <w:sz w:val="24"/>
          <w:szCs w:val="24"/>
          <w:highlight w:val="none"/>
          <w:shd w:val="clear" w:color="auto" w:fill="FFFFFF"/>
        </w:rPr>
        <w:t>。</w:t>
      </w:r>
      <w:r>
        <w:rPr>
          <w:rStyle w:val="60"/>
          <w:rFonts w:hint="eastAsia"/>
          <w:color w:val="auto"/>
          <w:sz w:val="24"/>
          <w:szCs w:val="24"/>
          <w:highlight w:val="none"/>
          <w:u w:val="single"/>
          <w:shd w:val="clear" w:color="auto" w:fill="FFFFFF"/>
        </w:rPr>
        <w:t>（产品名称1）</w:t>
      </w:r>
      <w:r>
        <w:rPr>
          <w:rFonts w:hint="eastAsia"/>
          <w:color w:val="auto"/>
          <w:sz w:val="24"/>
          <w:szCs w:val="24"/>
          <w:highlight w:val="none"/>
          <w:shd w:val="clear" w:color="auto" w:fill="FFFFFF"/>
        </w:rPr>
        <w:t>的</w:t>
      </w:r>
      <w:r>
        <w:rPr>
          <w:rStyle w:val="60"/>
          <w:rFonts w:hint="eastAsia"/>
          <w:color w:val="auto"/>
          <w:sz w:val="24"/>
          <w:szCs w:val="24"/>
          <w:highlight w:val="none"/>
          <w:u w:val="single"/>
          <w:shd w:val="clear" w:color="auto" w:fill="FFFFFF"/>
        </w:rPr>
        <w:t>（关键组件）</w:t>
      </w:r>
      <w:r>
        <w:rPr>
          <w:rStyle w:val="60"/>
          <w:rFonts w:hint="eastAsia"/>
          <w:color w:val="auto"/>
          <w:sz w:val="24"/>
          <w:szCs w:val="24"/>
          <w:highlight w:val="none"/>
          <w:shd w:val="clear" w:color="auto" w:fill="FFFFFF"/>
          <w:vertAlign w:val="superscript"/>
        </w:rPr>
        <w:t>4</w:t>
      </w:r>
      <w:r>
        <w:rPr>
          <w:rFonts w:hint="eastAsia"/>
          <w:color w:val="auto"/>
          <w:sz w:val="24"/>
          <w:szCs w:val="24"/>
          <w:highlight w:val="none"/>
          <w:shd w:val="clear" w:color="auto" w:fill="FFFFFF"/>
        </w:rPr>
        <w:t>在中国境内生产。</w:t>
      </w:r>
      <w:r>
        <w:rPr>
          <w:rStyle w:val="60"/>
          <w:rFonts w:hint="eastAsia"/>
          <w:color w:val="auto"/>
          <w:sz w:val="24"/>
          <w:szCs w:val="24"/>
          <w:highlight w:val="none"/>
          <w:u w:val="single"/>
          <w:shd w:val="clear" w:color="auto" w:fill="FFFFFF"/>
        </w:rPr>
        <w:t>（产品名称1）</w:t>
      </w:r>
      <w:r>
        <w:rPr>
          <w:rFonts w:hint="eastAsia"/>
          <w:color w:val="auto"/>
          <w:sz w:val="24"/>
          <w:szCs w:val="24"/>
          <w:highlight w:val="none"/>
          <w:shd w:val="clear" w:color="auto" w:fill="FFFFFF"/>
        </w:rPr>
        <w:t>的</w:t>
      </w:r>
      <w:r>
        <w:rPr>
          <w:rStyle w:val="60"/>
          <w:rFonts w:hint="eastAsia"/>
          <w:color w:val="auto"/>
          <w:sz w:val="24"/>
          <w:szCs w:val="24"/>
          <w:highlight w:val="none"/>
          <w:u w:val="single"/>
          <w:shd w:val="clear" w:color="auto" w:fill="FFFFFF"/>
        </w:rPr>
        <w:t>（关键工序）</w:t>
      </w:r>
      <w:r>
        <w:rPr>
          <w:rStyle w:val="60"/>
          <w:rFonts w:hint="eastAsia"/>
          <w:color w:val="auto"/>
          <w:sz w:val="24"/>
          <w:szCs w:val="24"/>
          <w:highlight w:val="none"/>
          <w:shd w:val="clear" w:color="auto" w:fill="FFFFFF"/>
          <w:vertAlign w:val="superscript"/>
        </w:rPr>
        <w:t>5</w:t>
      </w:r>
      <w:r>
        <w:rPr>
          <w:rFonts w:hint="eastAsia"/>
          <w:color w:val="auto"/>
          <w:sz w:val="24"/>
          <w:szCs w:val="24"/>
          <w:highlight w:val="none"/>
          <w:shd w:val="clear" w:color="auto" w:fill="FFFFFF"/>
        </w:rPr>
        <w:t>在中国境内完成。</w:t>
      </w:r>
    </w:p>
    <w:p w14:paraId="25C74363">
      <w:pPr>
        <w:pStyle w:val="47"/>
        <w:shd w:val="clear" w:color="auto" w:fill="FFFFFF"/>
        <w:spacing w:before="0" w:beforeAutospacing="0" w:after="0" w:afterAutospacing="0" w:line="360" w:lineRule="auto"/>
        <w:ind w:firstLine="480" w:firstLineChars="200"/>
        <w:rPr>
          <w:color w:val="auto"/>
          <w:sz w:val="24"/>
          <w:szCs w:val="24"/>
          <w:highlight w:val="none"/>
        </w:rPr>
      </w:pPr>
      <w:r>
        <w:rPr>
          <w:rFonts w:hint="eastAsia"/>
          <w:color w:val="auto"/>
          <w:sz w:val="24"/>
          <w:szCs w:val="24"/>
          <w:highlight w:val="none"/>
          <w:shd w:val="clear" w:color="auto" w:fill="FFFFFF"/>
        </w:rPr>
        <w:t>2.</w:t>
      </w:r>
      <w:r>
        <w:rPr>
          <w:rStyle w:val="60"/>
          <w:rFonts w:hint="eastAsia"/>
          <w:color w:val="auto"/>
          <w:sz w:val="24"/>
          <w:szCs w:val="24"/>
          <w:highlight w:val="none"/>
          <w:u w:val="single"/>
          <w:shd w:val="clear" w:color="auto" w:fill="FFFFFF"/>
        </w:rPr>
        <w:t>（产品名称2）</w:t>
      </w:r>
      <w:r>
        <w:rPr>
          <w:rFonts w:hint="eastAsia"/>
          <w:color w:val="auto"/>
          <w:sz w:val="24"/>
          <w:szCs w:val="24"/>
          <w:highlight w:val="none"/>
          <w:shd w:val="clear" w:color="auto" w:fill="FFFFFF"/>
        </w:rPr>
        <w:t>，生产厂为</w:t>
      </w:r>
      <w:r>
        <w:rPr>
          <w:rStyle w:val="60"/>
          <w:rFonts w:hint="eastAsia"/>
          <w:color w:val="auto"/>
          <w:sz w:val="24"/>
          <w:szCs w:val="24"/>
          <w:highlight w:val="none"/>
          <w:u w:val="single"/>
          <w:shd w:val="clear" w:color="auto" w:fill="FFFFFF"/>
        </w:rPr>
        <w:t>（厂名）</w:t>
      </w:r>
      <w:r>
        <w:rPr>
          <w:rFonts w:hint="eastAsia"/>
          <w:color w:val="auto"/>
          <w:sz w:val="24"/>
          <w:szCs w:val="24"/>
          <w:highlight w:val="none"/>
          <w:shd w:val="clear" w:color="auto" w:fill="FFFFFF"/>
        </w:rPr>
        <w:t>，厂址为</w:t>
      </w:r>
      <w:r>
        <w:rPr>
          <w:rStyle w:val="60"/>
          <w:rFonts w:hint="eastAsia"/>
          <w:color w:val="auto"/>
          <w:sz w:val="24"/>
          <w:szCs w:val="24"/>
          <w:highlight w:val="none"/>
          <w:u w:val="single"/>
          <w:shd w:val="clear" w:color="auto" w:fill="FFFFFF"/>
        </w:rPr>
        <w:t>（生产厂址）</w:t>
      </w:r>
      <w:r>
        <w:rPr>
          <w:rFonts w:hint="eastAsia"/>
          <w:color w:val="auto"/>
          <w:sz w:val="24"/>
          <w:szCs w:val="24"/>
          <w:highlight w:val="none"/>
          <w:shd w:val="clear" w:color="auto" w:fill="FFFFFF"/>
        </w:rPr>
        <w:t>。</w:t>
      </w:r>
      <w:r>
        <w:rPr>
          <w:rStyle w:val="60"/>
          <w:rFonts w:hint="eastAsia"/>
          <w:color w:val="auto"/>
          <w:sz w:val="24"/>
          <w:szCs w:val="24"/>
          <w:highlight w:val="none"/>
          <w:u w:val="single"/>
          <w:shd w:val="clear" w:color="auto" w:fill="FFFFFF"/>
        </w:rPr>
        <w:t>（产品名称2）</w:t>
      </w:r>
      <w:r>
        <w:rPr>
          <w:rFonts w:hint="eastAsia"/>
          <w:color w:val="auto"/>
          <w:sz w:val="24"/>
          <w:szCs w:val="24"/>
          <w:highlight w:val="none"/>
          <w:shd w:val="clear" w:color="auto" w:fill="FFFFFF"/>
        </w:rPr>
        <w:t>的中国境内生产的组件成本占比≥</w:t>
      </w:r>
      <w:r>
        <w:rPr>
          <w:rStyle w:val="60"/>
          <w:rFonts w:hint="eastAsia"/>
          <w:color w:val="auto"/>
          <w:sz w:val="24"/>
          <w:szCs w:val="24"/>
          <w:highlight w:val="none"/>
          <w:u w:val="single"/>
          <w:shd w:val="clear" w:color="auto" w:fill="FFFFFF"/>
        </w:rPr>
        <w:t>（规定比例）</w:t>
      </w:r>
      <w:r>
        <w:rPr>
          <w:rFonts w:hint="eastAsia"/>
          <w:color w:val="auto"/>
          <w:sz w:val="24"/>
          <w:szCs w:val="24"/>
          <w:highlight w:val="none"/>
          <w:shd w:val="clear" w:color="auto" w:fill="FFFFFF"/>
        </w:rPr>
        <w:t>。</w:t>
      </w:r>
      <w:r>
        <w:rPr>
          <w:rStyle w:val="60"/>
          <w:rFonts w:hint="eastAsia"/>
          <w:color w:val="auto"/>
          <w:sz w:val="24"/>
          <w:szCs w:val="24"/>
          <w:highlight w:val="none"/>
          <w:u w:val="single"/>
          <w:shd w:val="clear" w:color="auto" w:fill="FFFFFF"/>
        </w:rPr>
        <w:t>（产品名称2）</w:t>
      </w:r>
      <w:r>
        <w:rPr>
          <w:rFonts w:hint="eastAsia"/>
          <w:color w:val="auto"/>
          <w:sz w:val="24"/>
          <w:szCs w:val="24"/>
          <w:highlight w:val="none"/>
          <w:shd w:val="clear" w:color="auto" w:fill="FFFFFF"/>
        </w:rPr>
        <w:t>的</w:t>
      </w:r>
      <w:r>
        <w:rPr>
          <w:rStyle w:val="60"/>
          <w:rFonts w:hint="eastAsia"/>
          <w:color w:val="auto"/>
          <w:sz w:val="24"/>
          <w:szCs w:val="24"/>
          <w:highlight w:val="none"/>
          <w:u w:val="single"/>
          <w:shd w:val="clear" w:color="auto" w:fill="FFFFFF"/>
        </w:rPr>
        <w:t>（关键组件）</w:t>
      </w:r>
      <w:r>
        <w:rPr>
          <w:rFonts w:hint="eastAsia"/>
          <w:color w:val="auto"/>
          <w:sz w:val="24"/>
          <w:szCs w:val="24"/>
          <w:highlight w:val="none"/>
          <w:shd w:val="clear" w:color="auto" w:fill="FFFFFF"/>
        </w:rPr>
        <w:t>在中国境内生产。</w:t>
      </w:r>
      <w:r>
        <w:rPr>
          <w:rStyle w:val="60"/>
          <w:rFonts w:hint="eastAsia"/>
          <w:color w:val="auto"/>
          <w:sz w:val="24"/>
          <w:szCs w:val="24"/>
          <w:highlight w:val="none"/>
          <w:u w:val="single"/>
          <w:shd w:val="clear" w:color="auto" w:fill="FFFFFF"/>
        </w:rPr>
        <w:t>（产品名称2）</w:t>
      </w:r>
      <w:r>
        <w:rPr>
          <w:rFonts w:hint="eastAsia"/>
          <w:color w:val="auto"/>
          <w:sz w:val="24"/>
          <w:szCs w:val="24"/>
          <w:highlight w:val="none"/>
          <w:shd w:val="clear" w:color="auto" w:fill="FFFFFF"/>
        </w:rPr>
        <w:t>的</w:t>
      </w:r>
      <w:r>
        <w:rPr>
          <w:rStyle w:val="60"/>
          <w:rFonts w:hint="eastAsia"/>
          <w:color w:val="auto"/>
          <w:sz w:val="24"/>
          <w:szCs w:val="24"/>
          <w:highlight w:val="none"/>
          <w:u w:val="single"/>
          <w:shd w:val="clear" w:color="auto" w:fill="FFFFFF"/>
        </w:rPr>
        <w:t>（关键工序）</w:t>
      </w:r>
      <w:r>
        <w:rPr>
          <w:rFonts w:hint="eastAsia"/>
          <w:color w:val="auto"/>
          <w:sz w:val="24"/>
          <w:szCs w:val="24"/>
          <w:highlight w:val="none"/>
          <w:shd w:val="clear" w:color="auto" w:fill="FFFFFF"/>
        </w:rPr>
        <w:t>在中国境内完成。</w:t>
      </w:r>
    </w:p>
    <w:p w14:paraId="53BD8B81">
      <w:pPr>
        <w:pStyle w:val="47"/>
        <w:shd w:val="clear" w:color="auto" w:fill="FFFFFF"/>
        <w:spacing w:before="0" w:beforeAutospacing="0" w:after="0" w:afterAutospacing="0" w:line="360" w:lineRule="auto"/>
        <w:ind w:firstLine="480" w:firstLineChars="200"/>
        <w:rPr>
          <w:color w:val="auto"/>
          <w:sz w:val="24"/>
          <w:szCs w:val="24"/>
          <w:highlight w:val="none"/>
        </w:rPr>
      </w:pPr>
      <w:r>
        <w:rPr>
          <w:rFonts w:hint="eastAsia"/>
          <w:color w:val="auto"/>
          <w:sz w:val="24"/>
          <w:szCs w:val="24"/>
          <w:highlight w:val="none"/>
          <w:shd w:val="clear" w:color="auto" w:fill="FFFFFF"/>
        </w:rPr>
        <w:t>……</w:t>
      </w:r>
    </w:p>
    <w:p w14:paraId="4D15E800">
      <w:pPr>
        <w:pStyle w:val="47"/>
        <w:shd w:val="clear" w:color="auto" w:fill="FFFFFF"/>
        <w:spacing w:before="0" w:beforeAutospacing="0" w:after="0" w:afterAutospacing="0" w:line="360" w:lineRule="auto"/>
        <w:ind w:firstLine="480" w:firstLineChars="200"/>
        <w:rPr>
          <w:color w:val="auto"/>
          <w:sz w:val="24"/>
          <w:szCs w:val="24"/>
          <w:highlight w:val="none"/>
        </w:rPr>
      </w:pPr>
      <w:r>
        <w:rPr>
          <w:rFonts w:hint="eastAsia"/>
          <w:color w:val="auto"/>
          <w:sz w:val="24"/>
          <w:szCs w:val="24"/>
          <w:highlight w:val="none"/>
          <w:shd w:val="clear" w:color="auto" w:fill="FFFFFF"/>
        </w:rPr>
        <w:t>本公司（单位）对上述声明内容的真实性负责。如有虚假，愿承担相应法律责任。</w:t>
      </w:r>
    </w:p>
    <w:p w14:paraId="63B98541">
      <w:pPr>
        <w:pStyle w:val="47"/>
        <w:shd w:val="clear" w:color="auto" w:fill="FFFFFF"/>
        <w:spacing w:before="0" w:beforeAutospacing="0" w:after="0" w:afterAutospacing="0" w:line="360" w:lineRule="auto"/>
        <w:rPr>
          <w:color w:val="auto"/>
          <w:sz w:val="24"/>
          <w:szCs w:val="24"/>
          <w:highlight w:val="none"/>
        </w:rPr>
      </w:pPr>
    </w:p>
    <w:p w14:paraId="699DD26E">
      <w:pPr>
        <w:pStyle w:val="47"/>
        <w:shd w:val="clear" w:color="auto" w:fill="FFFFFF"/>
        <w:spacing w:before="0" w:beforeAutospacing="0" w:after="0" w:afterAutospacing="0" w:line="360" w:lineRule="auto"/>
        <w:jc w:val="right"/>
        <w:rPr>
          <w:color w:val="auto"/>
          <w:sz w:val="24"/>
          <w:szCs w:val="24"/>
          <w:highlight w:val="none"/>
          <w:shd w:val="clear" w:color="auto" w:fill="FFFFFF"/>
        </w:rPr>
      </w:pPr>
    </w:p>
    <w:p w14:paraId="22C1F5D9">
      <w:pPr>
        <w:pStyle w:val="47"/>
        <w:shd w:val="clear" w:color="auto" w:fill="FFFFFF"/>
        <w:spacing w:before="0" w:beforeAutospacing="0" w:after="0" w:afterAutospacing="0" w:line="360" w:lineRule="auto"/>
        <w:jc w:val="right"/>
        <w:rPr>
          <w:color w:val="auto"/>
          <w:sz w:val="24"/>
          <w:szCs w:val="24"/>
          <w:highlight w:val="none"/>
        </w:rPr>
      </w:pPr>
      <w:r>
        <w:rPr>
          <w:rFonts w:hint="eastAsia"/>
          <w:color w:val="auto"/>
          <w:sz w:val="24"/>
          <w:szCs w:val="24"/>
          <w:highlight w:val="none"/>
          <w:shd w:val="clear" w:color="auto" w:fill="FFFFFF"/>
        </w:rPr>
        <w:t>公司（单位）名称（盖章）：　        </w:t>
      </w:r>
    </w:p>
    <w:p w14:paraId="6D64406D">
      <w:pPr>
        <w:pStyle w:val="47"/>
        <w:shd w:val="clear" w:color="auto" w:fill="FFFFFF"/>
        <w:spacing w:before="0" w:beforeAutospacing="0" w:after="0" w:afterAutospacing="0" w:line="360" w:lineRule="auto"/>
        <w:jc w:val="right"/>
        <w:rPr>
          <w:color w:val="auto"/>
          <w:sz w:val="24"/>
          <w:szCs w:val="24"/>
          <w:highlight w:val="none"/>
        </w:rPr>
      </w:pPr>
      <w:r>
        <w:rPr>
          <w:rFonts w:hint="eastAsia"/>
          <w:color w:val="auto"/>
          <w:sz w:val="24"/>
          <w:szCs w:val="24"/>
          <w:highlight w:val="none"/>
          <w:shd w:val="clear" w:color="auto" w:fill="FFFFFF"/>
        </w:rPr>
        <w:t>日期：　     年　  月　  日         </w:t>
      </w:r>
    </w:p>
    <w:p w14:paraId="199F003C">
      <w:pPr>
        <w:pStyle w:val="47"/>
        <w:shd w:val="clear" w:color="auto" w:fill="FFFFFF"/>
        <w:spacing w:before="0" w:beforeAutospacing="0" w:after="0" w:afterAutospacing="0" w:line="360" w:lineRule="auto"/>
        <w:rPr>
          <w:color w:val="auto"/>
          <w:sz w:val="24"/>
          <w:szCs w:val="24"/>
          <w:highlight w:val="none"/>
          <w:shd w:val="clear" w:color="auto" w:fill="FFFFFF"/>
        </w:rPr>
      </w:pPr>
    </w:p>
    <w:p w14:paraId="75EDDC13">
      <w:pPr>
        <w:pStyle w:val="47"/>
        <w:shd w:val="clear" w:color="auto" w:fill="FFFFFF"/>
        <w:spacing w:before="0" w:beforeAutospacing="0" w:after="0" w:afterAutospacing="0" w:line="360" w:lineRule="auto"/>
        <w:rPr>
          <w:color w:val="auto"/>
          <w:sz w:val="24"/>
          <w:szCs w:val="24"/>
          <w:highlight w:val="none"/>
          <w:shd w:val="clear" w:color="auto" w:fill="FFFFFF"/>
        </w:rPr>
      </w:pPr>
    </w:p>
    <w:p w14:paraId="266D5767">
      <w:pPr>
        <w:keepNext w:val="0"/>
        <w:keepLines w:val="0"/>
        <w:pageBreakBefore w:val="0"/>
        <w:widowControl w:val="0"/>
        <w:kinsoku/>
        <w:wordWrap/>
        <w:overflowPunct/>
        <w:topLinePunct w:val="0"/>
        <w:autoSpaceDE/>
        <w:autoSpaceDN/>
        <w:bidi w:val="0"/>
        <w:adjustRightInd/>
        <w:snapToGrid/>
        <w:spacing w:after="0" w:line="360" w:lineRule="auto"/>
        <w:ind w:left="484" w:leftChars="1" w:hanging="482" w:hangingChars="201"/>
        <w:textAlignment w:val="auto"/>
        <w:rPr>
          <w:color w:val="auto"/>
          <w:sz w:val="24"/>
          <w:szCs w:val="24"/>
          <w:highlight w:val="none"/>
          <w:shd w:val="clear" w:color="auto" w:fill="FFFFFF"/>
        </w:rPr>
      </w:pPr>
      <w:r>
        <w:rPr>
          <w:rFonts w:hint="eastAsia"/>
          <w:color w:val="auto"/>
          <w:sz w:val="24"/>
          <w:szCs w:val="24"/>
          <w:highlight w:val="none"/>
          <w:shd w:val="clear" w:color="auto" w:fill="FFFFFF"/>
        </w:rPr>
        <w:t>注：</w:t>
      </w:r>
      <w:r>
        <w:rPr>
          <w:color w:val="auto"/>
          <w:sz w:val="24"/>
          <w:szCs w:val="24"/>
          <w:highlight w:val="none"/>
          <w:shd w:val="clear" w:color="auto" w:fill="FFFFFF"/>
        </w:rPr>
        <w:t>1.</w:t>
      </w:r>
      <w:r>
        <w:rPr>
          <w:rFonts w:hint="eastAsia"/>
          <w:color w:val="auto"/>
          <w:sz w:val="24"/>
          <w:szCs w:val="24"/>
          <w:highlight w:val="none"/>
          <w:shd w:val="clear" w:color="auto" w:fill="FFFFFF"/>
        </w:rPr>
        <w:t>产品如有型号，请在</w:t>
      </w:r>
      <w:r>
        <w:rPr>
          <w:color w:val="auto"/>
          <w:sz w:val="24"/>
          <w:szCs w:val="24"/>
          <w:highlight w:val="none"/>
          <w:shd w:val="clear" w:color="auto" w:fill="FFFFFF"/>
        </w:rPr>
        <w:t>“</w:t>
      </w:r>
      <w:r>
        <w:rPr>
          <w:rFonts w:hint="eastAsia"/>
          <w:color w:val="auto"/>
          <w:sz w:val="24"/>
          <w:szCs w:val="24"/>
          <w:highlight w:val="none"/>
          <w:shd w:val="clear" w:color="auto" w:fill="FFFFFF"/>
        </w:rPr>
        <w:t>产品名称</w:t>
      </w:r>
      <w:r>
        <w:rPr>
          <w:color w:val="auto"/>
          <w:sz w:val="24"/>
          <w:szCs w:val="24"/>
          <w:highlight w:val="none"/>
          <w:shd w:val="clear" w:color="auto" w:fill="FFFFFF"/>
        </w:rPr>
        <w:t>”</w:t>
      </w:r>
      <w:r>
        <w:rPr>
          <w:rFonts w:hint="eastAsia"/>
          <w:color w:val="auto"/>
          <w:sz w:val="24"/>
          <w:szCs w:val="24"/>
          <w:highlight w:val="none"/>
          <w:shd w:val="clear" w:color="auto" w:fill="FFFFFF"/>
        </w:rPr>
        <w:t>栏一并填写。</w:t>
      </w:r>
    </w:p>
    <w:p w14:paraId="721ACD3C">
      <w:pPr>
        <w:keepNext w:val="0"/>
        <w:keepLines w:val="0"/>
        <w:pageBreakBefore w:val="0"/>
        <w:widowControl w:val="0"/>
        <w:kinsoku/>
        <w:wordWrap/>
        <w:overflowPunct/>
        <w:topLinePunct w:val="0"/>
        <w:autoSpaceDE/>
        <w:autoSpaceDN/>
        <w:bidi w:val="0"/>
        <w:adjustRightInd/>
        <w:snapToGrid/>
        <w:spacing w:after="0" w:line="360" w:lineRule="auto"/>
        <w:ind w:left="420" w:leftChars="200"/>
        <w:textAlignment w:val="auto"/>
        <w:rPr>
          <w:color w:val="auto"/>
          <w:sz w:val="24"/>
          <w:szCs w:val="24"/>
          <w:highlight w:val="none"/>
          <w:shd w:val="clear" w:color="auto" w:fill="FFFFFF"/>
        </w:rPr>
      </w:pPr>
      <w:r>
        <w:rPr>
          <w:color w:val="auto"/>
          <w:sz w:val="24"/>
          <w:szCs w:val="24"/>
          <w:highlight w:val="none"/>
          <w:shd w:val="clear" w:color="auto" w:fill="FFFFFF"/>
        </w:rPr>
        <w:t>2.</w:t>
      </w:r>
      <w:r>
        <w:rPr>
          <w:rFonts w:hint="eastAsia"/>
          <w:color w:val="auto"/>
          <w:sz w:val="24"/>
          <w:szCs w:val="24"/>
          <w:highlight w:val="none"/>
          <w:shd w:val="clear" w:color="auto" w:fill="FFFFFF"/>
        </w:rPr>
        <w:t>生产厂名与厂址应与生产厂营业执照载明的相关信息保持一致。</w:t>
      </w:r>
    </w:p>
    <w:p w14:paraId="0D26C694">
      <w:pPr>
        <w:keepNext w:val="0"/>
        <w:keepLines w:val="0"/>
        <w:pageBreakBefore w:val="0"/>
        <w:widowControl w:val="0"/>
        <w:kinsoku/>
        <w:wordWrap/>
        <w:overflowPunct/>
        <w:topLinePunct w:val="0"/>
        <w:autoSpaceDE/>
        <w:autoSpaceDN/>
        <w:bidi w:val="0"/>
        <w:adjustRightInd/>
        <w:snapToGrid/>
        <w:spacing w:after="0" w:line="360" w:lineRule="auto"/>
        <w:ind w:left="420" w:leftChars="200"/>
        <w:textAlignment w:val="auto"/>
        <w:rPr>
          <w:color w:val="auto"/>
          <w:sz w:val="24"/>
          <w:szCs w:val="24"/>
          <w:highlight w:val="none"/>
          <w:shd w:val="clear" w:color="auto" w:fill="FFFFFF"/>
        </w:rPr>
      </w:pPr>
      <w:r>
        <w:rPr>
          <w:color w:val="auto"/>
          <w:sz w:val="24"/>
          <w:szCs w:val="24"/>
          <w:highlight w:val="none"/>
          <w:shd w:val="clear" w:color="auto" w:fill="FFFFFF"/>
        </w:rPr>
        <w:t>3.</w:t>
      </w:r>
      <w:r>
        <w:rPr>
          <w:rFonts w:hint="eastAsia"/>
          <w:color w:val="auto"/>
          <w:sz w:val="24"/>
          <w:szCs w:val="24"/>
          <w:highlight w:val="none"/>
          <w:shd w:val="clear" w:color="auto" w:fill="FFFFFF"/>
        </w:rPr>
        <w:t>该产品的中国境内生产的组件成本占比相关要求实施前，</w:t>
      </w:r>
      <w:r>
        <w:rPr>
          <w:color w:val="auto"/>
          <w:sz w:val="24"/>
          <w:szCs w:val="24"/>
          <w:highlight w:val="none"/>
          <w:shd w:val="clear" w:color="auto" w:fill="FFFFFF"/>
        </w:rPr>
        <w:t>“</w:t>
      </w:r>
      <w:r>
        <w:rPr>
          <w:rFonts w:hint="eastAsia"/>
          <w:color w:val="auto"/>
          <w:sz w:val="24"/>
          <w:szCs w:val="24"/>
          <w:highlight w:val="none"/>
          <w:shd w:val="clear" w:color="auto" w:fill="FFFFFF"/>
        </w:rPr>
        <w:t>规定比例</w:t>
      </w:r>
      <w:r>
        <w:rPr>
          <w:color w:val="auto"/>
          <w:sz w:val="24"/>
          <w:szCs w:val="24"/>
          <w:highlight w:val="none"/>
          <w:shd w:val="clear" w:color="auto" w:fill="FFFFFF"/>
        </w:rPr>
        <w:t>”</w:t>
      </w:r>
      <w:r>
        <w:rPr>
          <w:rFonts w:hint="eastAsia"/>
          <w:color w:val="auto"/>
          <w:sz w:val="24"/>
          <w:szCs w:val="24"/>
          <w:highlight w:val="none"/>
          <w:shd w:val="clear" w:color="auto" w:fill="FFFFFF"/>
        </w:rPr>
        <w:t>栏可不填。</w:t>
      </w:r>
    </w:p>
    <w:p w14:paraId="1843DA60">
      <w:pPr>
        <w:keepNext w:val="0"/>
        <w:keepLines w:val="0"/>
        <w:pageBreakBefore w:val="0"/>
        <w:widowControl w:val="0"/>
        <w:kinsoku/>
        <w:wordWrap/>
        <w:overflowPunct/>
        <w:topLinePunct w:val="0"/>
        <w:autoSpaceDE/>
        <w:autoSpaceDN/>
        <w:bidi w:val="0"/>
        <w:adjustRightInd/>
        <w:snapToGrid/>
        <w:spacing w:after="0" w:line="360" w:lineRule="auto"/>
        <w:ind w:left="420" w:leftChars="200"/>
        <w:textAlignment w:val="auto"/>
        <w:rPr>
          <w:color w:val="auto"/>
          <w:sz w:val="24"/>
          <w:szCs w:val="24"/>
          <w:highlight w:val="none"/>
          <w:shd w:val="clear" w:color="auto" w:fill="FFFFFF"/>
        </w:rPr>
      </w:pPr>
      <w:r>
        <w:rPr>
          <w:color w:val="auto"/>
          <w:sz w:val="24"/>
          <w:szCs w:val="24"/>
          <w:highlight w:val="none"/>
          <w:shd w:val="clear" w:color="auto" w:fill="FFFFFF"/>
        </w:rPr>
        <w:t>4.</w:t>
      </w:r>
      <w:r>
        <w:rPr>
          <w:rFonts w:hint="eastAsia"/>
          <w:color w:val="auto"/>
          <w:sz w:val="24"/>
          <w:szCs w:val="24"/>
          <w:highlight w:val="none"/>
          <w:shd w:val="clear" w:color="auto" w:fill="FFFFFF"/>
        </w:rPr>
        <w:t>该产品的关键组件要求实施前，</w:t>
      </w:r>
      <w:r>
        <w:rPr>
          <w:color w:val="auto"/>
          <w:sz w:val="24"/>
          <w:szCs w:val="24"/>
          <w:highlight w:val="none"/>
          <w:shd w:val="clear" w:color="auto" w:fill="FFFFFF"/>
        </w:rPr>
        <w:t>“</w:t>
      </w:r>
      <w:r>
        <w:rPr>
          <w:rFonts w:hint="eastAsia"/>
          <w:color w:val="auto"/>
          <w:sz w:val="24"/>
          <w:szCs w:val="24"/>
          <w:highlight w:val="none"/>
          <w:shd w:val="clear" w:color="auto" w:fill="FFFFFF"/>
        </w:rPr>
        <w:t>关键组件</w:t>
      </w:r>
      <w:r>
        <w:rPr>
          <w:color w:val="auto"/>
          <w:sz w:val="24"/>
          <w:szCs w:val="24"/>
          <w:highlight w:val="none"/>
          <w:shd w:val="clear" w:color="auto" w:fill="FFFFFF"/>
        </w:rPr>
        <w:t>”</w:t>
      </w:r>
      <w:r>
        <w:rPr>
          <w:rFonts w:hint="eastAsia"/>
          <w:color w:val="auto"/>
          <w:sz w:val="24"/>
          <w:szCs w:val="24"/>
          <w:highlight w:val="none"/>
          <w:shd w:val="clear" w:color="auto" w:fill="FFFFFF"/>
        </w:rPr>
        <w:t>栏可不填。</w:t>
      </w:r>
    </w:p>
    <w:p w14:paraId="4260CCA2">
      <w:pPr>
        <w:keepNext w:val="0"/>
        <w:keepLines w:val="0"/>
        <w:pageBreakBefore w:val="0"/>
        <w:widowControl w:val="0"/>
        <w:kinsoku/>
        <w:wordWrap/>
        <w:overflowPunct/>
        <w:topLinePunct w:val="0"/>
        <w:autoSpaceDE/>
        <w:autoSpaceDN/>
        <w:bidi w:val="0"/>
        <w:adjustRightInd/>
        <w:snapToGrid/>
        <w:spacing w:after="0" w:line="360" w:lineRule="auto"/>
        <w:ind w:left="420" w:leftChars="200"/>
        <w:textAlignment w:val="auto"/>
        <w:rPr>
          <w:color w:val="auto"/>
          <w:sz w:val="24"/>
          <w:szCs w:val="24"/>
          <w:highlight w:val="none"/>
          <w:shd w:val="clear" w:color="auto" w:fill="FFFFFF"/>
        </w:rPr>
      </w:pPr>
      <w:r>
        <w:rPr>
          <w:color w:val="auto"/>
          <w:sz w:val="24"/>
          <w:szCs w:val="24"/>
          <w:highlight w:val="none"/>
          <w:shd w:val="clear" w:color="auto" w:fill="FFFFFF"/>
        </w:rPr>
        <w:t>5.</w:t>
      </w:r>
      <w:r>
        <w:rPr>
          <w:rFonts w:hint="eastAsia"/>
          <w:color w:val="auto"/>
          <w:sz w:val="24"/>
          <w:szCs w:val="24"/>
          <w:highlight w:val="none"/>
          <w:shd w:val="clear" w:color="auto" w:fill="FFFFFF"/>
        </w:rPr>
        <w:t>该产品的关键工序要求实施前，</w:t>
      </w:r>
      <w:r>
        <w:rPr>
          <w:color w:val="auto"/>
          <w:sz w:val="24"/>
          <w:szCs w:val="24"/>
          <w:highlight w:val="none"/>
          <w:shd w:val="clear" w:color="auto" w:fill="FFFFFF"/>
        </w:rPr>
        <w:t>“</w:t>
      </w:r>
      <w:r>
        <w:rPr>
          <w:rFonts w:hint="eastAsia"/>
          <w:color w:val="auto"/>
          <w:sz w:val="24"/>
          <w:szCs w:val="24"/>
          <w:highlight w:val="none"/>
          <w:shd w:val="clear" w:color="auto" w:fill="FFFFFF"/>
        </w:rPr>
        <w:t>关键工序</w:t>
      </w:r>
      <w:r>
        <w:rPr>
          <w:color w:val="auto"/>
          <w:sz w:val="24"/>
          <w:szCs w:val="24"/>
          <w:highlight w:val="none"/>
          <w:shd w:val="clear" w:color="auto" w:fill="FFFFFF"/>
        </w:rPr>
        <w:t>”</w:t>
      </w:r>
      <w:r>
        <w:rPr>
          <w:rFonts w:hint="eastAsia"/>
          <w:color w:val="auto"/>
          <w:sz w:val="24"/>
          <w:szCs w:val="24"/>
          <w:highlight w:val="none"/>
          <w:shd w:val="clear" w:color="auto" w:fill="FFFFFF"/>
        </w:rPr>
        <w:t>栏可不填。</w:t>
      </w:r>
    </w:p>
    <w:p w14:paraId="5CDABE05">
      <w:pPr>
        <w:widowControl/>
        <w:jc w:val="left"/>
        <w:rPr>
          <w:color w:val="auto"/>
          <w:sz w:val="24"/>
          <w:szCs w:val="24"/>
          <w:highlight w:val="none"/>
          <w:shd w:val="clear" w:color="auto" w:fill="FFFFFF"/>
        </w:rPr>
      </w:pPr>
      <w:r>
        <w:rPr>
          <w:color w:val="auto"/>
          <w:sz w:val="24"/>
          <w:szCs w:val="24"/>
          <w:highlight w:val="none"/>
          <w:shd w:val="clear" w:color="auto" w:fill="FFFFFF"/>
        </w:rPr>
        <w:br w:type="page"/>
      </w:r>
    </w:p>
    <w:p w14:paraId="2D8CCB2B">
      <w:pPr>
        <w:tabs>
          <w:tab w:val="left" w:pos="360"/>
        </w:tabs>
        <w:snapToGrid w:val="0"/>
        <w:spacing w:line="360" w:lineRule="auto"/>
        <w:jc w:val="center"/>
        <w:outlineLvl w:val="9"/>
        <w:rPr>
          <w:rStyle w:val="57"/>
          <w:rFonts w:hint="eastAsia"/>
          <w:color w:val="auto"/>
          <w:sz w:val="24"/>
          <w:szCs w:val="24"/>
          <w:highlight w:val="none"/>
        </w:rPr>
      </w:pPr>
      <w:r>
        <w:rPr>
          <w:rStyle w:val="57"/>
          <w:rFonts w:hint="eastAsia"/>
          <w:color w:val="auto"/>
          <w:sz w:val="24"/>
          <w:szCs w:val="24"/>
          <w:highlight w:val="none"/>
        </w:rPr>
        <w:t>产品成本占比承诺函</w:t>
      </w:r>
    </w:p>
    <w:p w14:paraId="7BF25D7C">
      <w:pPr>
        <w:tabs>
          <w:tab w:val="left" w:pos="360"/>
        </w:tabs>
        <w:snapToGrid w:val="0"/>
        <w:spacing w:line="360" w:lineRule="auto"/>
        <w:jc w:val="center"/>
        <w:outlineLvl w:val="9"/>
        <w:rPr>
          <w:rStyle w:val="57"/>
          <w:color w:val="auto"/>
          <w:sz w:val="24"/>
          <w:szCs w:val="24"/>
          <w:highlight w:val="none"/>
        </w:rPr>
      </w:pPr>
      <w:r>
        <w:rPr>
          <w:rFonts w:hint="eastAsia"/>
          <w:color w:val="auto"/>
          <w:sz w:val="24"/>
          <w:szCs w:val="24"/>
          <w:highlight w:val="none"/>
          <w:lang w:eastAsia="zh-CN"/>
        </w:rPr>
        <w:t>（</w:t>
      </w:r>
      <w:r>
        <w:rPr>
          <w:rFonts w:hint="eastAsia"/>
          <w:color w:val="auto"/>
          <w:sz w:val="24"/>
          <w:szCs w:val="24"/>
          <w:highlight w:val="none"/>
          <w:lang w:val="en-US" w:eastAsia="zh-CN"/>
        </w:rPr>
        <w:t>如适用请提供，不适用则无需提供）</w:t>
      </w:r>
    </w:p>
    <w:p w14:paraId="1917F3E2">
      <w:pPr>
        <w:pStyle w:val="47"/>
        <w:shd w:val="clear" w:color="auto" w:fill="FFFFFF"/>
        <w:spacing w:before="30" w:beforeAutospacing="0" w:after="30" w:afterAutospacing="0"/>
        <w:rPr>
          <w:rStyle w:val="57"/>
          <w:color w:val="auto"/>
          <w:sz w:val="24"/>
          <w:szCs w:val="24"/>
          <w:highlight w:val="none"/>
        </w:rPr>
      </w:pPr>
    </w:p>
    <w:p w14:paraId="3D4C87A4">
      <w:pPr>
        <w:widowControl/>
        <w:spacing w:line="360" w:lineRule="auto"/>
        <w:ind w:firstLine="480" w:firstLineChars="200"/>
        <w:jc w:val="left"/>
        <w:rPr>
          <w:color w:val="auto"/>
          <w:sz w:val="24"/>
          <w:szCs w:val="24"/>
          <w:highlight w:val="none"/>
          <w:shd w:val="clear" w:color="auto" w:fill="FFFFFF"/>
        </w:rPr>
      </w:pPr>
      <w:r>
        <w:rPr>
          <w:rFonts w:hint="eastAsia"/>
          <w:color w:val="auto"/>
          <w:sz w:val="24"/>
          <w:szCs w:val="24"/>
          <w:highlight w:val="none"/>
          <w:shd w:val="clear" w:color="auto" w:fill="FFFFFF"/>
        </w:rPr>
        <w:t>我公司（单位）郑重承诺，我公司已阅读并理解《国务院办公厅关于在政府采购中实施本国产品标准及相关政策的通知》（国办发〔</w:t>
      </w:r>
      <w:r>
        <w:rPr>
          <w:color w:val="auto"/>
          <w:sz w:val="24"/>
          <w:szCs w:val="24"/>
          <w:highlight w:val="none"/>
          <w:shd w:val="clear" w:color="auto" w:fill="FFFFFF"/>
        </w:rPr>
        <w:t>2025</w:t>
      </w:r>
      <w:r>
        <w:rPr>
          <w:rFonts w:hint="eastAsia"/>
          <w:color w:val="auto"/>
          <w:sz w:val="24"/>
          <w:szCs w:val="24"/>
          <w:highlight w:val="none"/>
          <w:shd w:val="clear" w:color="auto" w:fill="FFFFFF"/>
        </w:rPr>
        <w:t>〕</w:t>
      </w:r>
      <w:r>
        <w:rPr>
          <w:color w:val="auto"/>
          <w:sz w:val="24"/>
          <w:szCs w:val="24"/>
          <w:highlight w:val="none"/>
          <w:shd w:val="clear" w:color="auto" w:fill="FFFFFF"/>
        </w:rPr>
        <w:t>34</w:t>
      </w:r>
      <w:r>
        <w:rPr>
          <w:rFonts w:hint="eastAsia"/>
          <w:color w:val="auto"/>
          <w:sz w:val="24"/>
          <w:szCs w:val="24"/>
          <w:highlight w:val="none"/>
          <w:shd w:val="clear" w:color="auto" w:fill="FFFFFF"/>
        </w:rPr>
        <w:t>号）的规定。据此承诺如下：</w:t>
      </w:r>
    </w:p>
    <w:p w14:paraId="5306B2DA">
      <w:pPr>
        <w:widowControl/>
        <w:spacing w:line="360" w:lineRule="auto"/>
        <w:ind w:firstLine="480" w:firstLineChars="200"/>
        <w:jc w:val="left"/>
        <w:rPr>
          <w:color w:val="auto"/>
          <w:spacing w:val="6"/>
          <w:sz w:val="24"/>
          <w:szCs w:val="24"/>
          <w:highlight w:val="none"/>
        </w:rPr>
      </w:pPr>
      <w:r>
        <w:rPr>
          <w:rFonts w:hint="eastAsia"/>
          <w:color w:val="auto"/>
          <w:sz w:val="24"/>
          <w:szCs w:val="24"/>
          <w:highlight w:val="none"/>
          <w:shd w:val="clear" w:color="auto" w:fill="FFFFFF"/>
        </w:rPr>
        <w:t>为本采购项目或者采购包提供的符合本国产品标准的产品成本之和占提供的全部产品成本之和的比例为</w:t>
      </w:r>
      <w:r>
        <w:rPr>
          <w:color w:val="auto"/>
          <w:spacing w:val="6"/>
          <w:sz w:val="24"/>
          <w:szCs w:val="24"/>
          <w:highlight w:val="none"/>
        </w:rPr>
        <w:t>______%</w:t>
      </w:r>
      <w:r>
        <w:rPr>
          <w:rFonts w:hint="eastAsia"/>
          <w:color w:val="auto"/>
          <w:spacing w:val="6"/>
          <w:sz w:val="24"/>
          <w:szCs w:val="24"/>
          <w:highlight w:val="none"/>
        </w:rPr>
        <w:t>。</w:t>
      </w:r>
    </w:p>
    <w:p w14:paraId="40368B6D">
      <w:pPr>
        <w:widowControl/>
        <w:spacing w:line="360" w:lineRule="auto"/>
        <w:ind w:firstLine="480" w:firstLineChars="200"/>
        <w:jc w:val="left"/>
        <w:rPr>
          <w:color w:val="auto"/>
          <w:sz w:val="24"/>
          <w:szCs w:val="24"/>
          <w:highlight w:val="none"/>
        </w:rPr>
      </w:pPr>
    </w:p>
    <w:p w14:paraId="0F62ABFF">
      <w:pPr>
        <w:pStyle w:val="47"/>
        <w:shd w:val="clear" w:color="auto" w:fill="FFFFFF"/>
        <w:spacing w:before="0" w:beforeAutospacing="0" w:after="0" w:afterAutospacing="0" w:line="360" w:lineRule="auto"/>
        <w:jc w:val="right"/>
        <w:rPr>
          <w:color w:val="auto"/>
          <w:sz w:val="24"/>
          <w:szCs w:val="24"/>
          <w:highlight w:val="none"/>
        </w:rPr>
      </w:pPr>
      <w:r>
        <w:rPr>
          <w:rFonts w:hint="eastAsia"/>
          <w:color w:val="auto"/>
          <w:sz w:val="24"/>
          <w:szCs w:val="24"/>
          <w:highlight w:val="none"/>
          <w:shd w:val="clear" w:color="auto" w:fill="FFFFFF"/>
        </w:rPr>
        <w:t>公司（单位）名称（盖章）：　        </w:t>
      </w:r>
    </w:p>
    <w:p w14:paraId="5CCCE30F">
      <w:pPr>
        <w:widowControl/>
        <w:spacing w:line="360" w:lineRule="auto"/>
        <w:ind w:firstLine="480" w:firstLineChars="200"/>
        <w:jc w:val="right"/>
        <w:rPr>
          <w:color w:val="auto"/>
          <w:sz w:val="24"/>
          <w:szCs w:val="24"/>
          <w:highlight w:val="none"/>
        </w:rPr>
      </w:pPr>
      <w:r>
        <w:rPr>
          <w:rFonts w:hint="eastAsia"/>
          <w:color w:val="auto"/>
          <w:sz w:val="24"/>
          <w:szCs w:val="24"/>
          <w:highlight w:val="none"/>
          <w:shd w:val="clear" w:color="auto" w:fill="FFFFFF"/>
        </w:rPr>
        <w:t>日期：　     </w:t>
      </w:r>
      <w:r>
        <w:rPr>
          <w:rFonts w:hint="eastAsia" w:ascii="宋体" w:hAnsi="宋体" w:cs="宋体"/>
          <w:color w:val="auto"/>
          <w:sz w:val="24"/>
          <w:szCs w:val="24"/>
          <w:highlight w:val="none"/>
          <w:shd w:val="clear" w:color="auto" w:fill="FFFFFF"/>
        </w:rPr>
        <w:t>年　</w:t>
      </w:r>
      <w:r>
        <w:rPr>
          <w:rFonts w:hint="eastAsia"/>
          <w:color w:val="auto"/>
          <w:sz w:val="24"/>
          <w:szCs w:val="24"/>
          <w:highlight w:val="none"/>
          <w:shd w:val="clear" w:color="auto" w:fill="FFFFFF"/>
        </w:rPr>
        <w:t>  </w:t>
      </w:r>
      <w:r>
        <w:rPr>
          <w:rFonts w:hint="eastAsia" w:ascii="宋体" w:hAnsi="宋体" w:cs="宋体"/>
          <w:color w:val="auto"/>
          <w:sz w:val="24"/>
          <w:szCs w:val="24"/>
          <w:highlight w:val="none"/>
          <w:shd w:val="clear" w:color="auto" w:fill="FFFFFF"/>
        </w:rPr>
        <w:t>月　</w:t>
      </w:r>
      <w:r>
        <w:rPr>
          <w:rFonts w:hint="eastAsia"/>
          <w:color w:val="auto"/>
          <w:sz w:val="24"/>
          <w:szCs w:val="24"/>
          <w:highlight w:val="none"/>
          <w:shd w:val="clear" w:color="auto" w:fill="FFFFFF"/>
        </w:rPr>
        <w:t>  </w:t>
      </w:r>
      <w:r>
        <w:rPr>
          <w:rFonts w:hint="eastAsia" w:ascii="宋体" w:hAnsi="宋体" w:cs="宋体"/>
          <w:color w:val="auto"/>
          <w:sz w:val="24"/>
          <w:szCs w:val="24"/>
          <w:highlight w:val="none"/>
          <w:shd w:val="clear" w:color="auto" w:fill="FFFFFF"/>
        </w:rPr>
        <w:t>日</w:t>
      </w:r>
      <w:r>
        <w:rPr>
          <w:rFonts w:hint="eastAsia"/>
          <w:color w:val="auto"/>
          <w:sz w:val="24"/>
          <w:szCs w:val="24"/>
          <w:highlight w:val="none"/>
          <w:shd w:val="clear" w:color="auto" w:fill="FFFFFF"/>
        </w:rPr>
        <w:t>     </w:t>
      </w:r>
    </w:p>
    <w:p w14:paraId="4D705D1B">
      <w:pPr>
        <w:widowControl/>
        <w:spacing w:line="360" w:lineRule="auto"/>
        <w:jc w:val="left"/>
        <w:rPr>
          <w:color w:val="auto"/>
          <w:sz w:val="24"/>
          <w:szCs w:val="24"/>
          <w:highlight w:val="none"/>
        </w:rPr>
      </w:pPr>
    </w:p>
    <w:p w14:paraId="3A90C601">
      <w:pPr>
        <w:widowControl/>
        <w:spacing w:line="360" w:lineRule="auto"/>
        <w:jc w:val="left"/>
        <w:rPr>
          <w:color w:val="auto"/>
          <w:sz w:val="24"/>
          <w:szCs w:val="24"/>
          <w:highlight w:val="none"/>
        </w:rPr>
      </w:pPr>
    </w:p>
    <w:p w14:paraId="1C2D0BCC">
      <w:pPr>
        <w:spacing w:line="360" w:lineRule="auto"/>
        <w:rPr>
          <w:color w:val="auto"/>
          <w:sz w:val="24"/>
          <w:szCs w:val="24"/>
          <w:highlight w:val="none"/>
        </w:rPr>
      </w:pPr>
      <w:r>
        <w:rPr>
          <w:rFonts w:hint="eastAsia"/>
          <w:color w:val="auto"/>
          <w:sz w:val="24"/>
          <w:szCs w:val="24"/>
          <w:highlight w:val="none"/>
        </w:rPr>
        <w:t>注：</w:t>
      </w:r>
    </w:p>
    <w:p w14:paraId="5D42E26A">
      <w:pPr>
        <w:spacing w:line="360" w:lineRule="auto"/>
        <w:rPr>
          <w:color w:val="auto"/>
          <w:sz w:val="24"/>
          <w:szCs w:val="24"/>
          <w:highlight w:val="none"/>
          <w:shd w:val="clear" w:color="auto" w:fill="FFFFFF"/>
        </w:rPr>
      </w:pPr>
      <w:r>
        <w:rPr>
          <w:color w:val="auto"/>
          <w:sz w:val="24"/>
          <w:szCs w:val="24"/>
          <w:highlight w:val="none"/>
          <w:shd w:val="clear" w:color="auto" w:fill="FFFFFF"/>
        </w:rPr>
        <w:t xml:space="preserve">1. </w:t>
      </w:r>
      <w:r>
        <w:rPr>
          <w:rFonts w:hint="eastAsia"/>
          <w:color w:val="auto"/>
          <w:sz w:val="24"/>
          <w:szCs w:val="24"/>
          <w:highlight w:val="none"/>
          <w:shd w:val="clear" w:color="auto" w:fill="FFFFFF"/>
        </w:rPr>
        <w:t>本承诺函应按包分别提供。</w:t>
      </w:r>
    </w:p>
    <w:p w14:paraId="55820F10">
      <w:pPr>
        <w:spacing w:line="360" w:lineRule="auto"/>
        <w:rPr>
          <w:color w:val="auto"/>
          <w:sz w:val="24"/>
          <w:szCs w:val="24"/>
          <w:highlight w:val="none"/>
          <w:shd w:val="clear" w:color="auto" w:fill="FFFFFF"/>
        </w:rPr>
      </w:pPr>
      <w:r>
        <w:rPr>
          <w:color w:val="auto"/>
          <w:sz w:val="24"/>
          <w:szCs w:val="24"/>
          <w:highlight w:val="none"/>
          <w:shd w:val="clear" w:color="auto" w:fill="FFFFFF"/>
        </w:rPr>
        <w:t xml:space="preserve">2. </w:t>
      </w:r>
      <w:r>
        <w:rPr>
          <w:rFonts w:hint="eastAsia"/>
          <w:color w:val="auto"/>
          <w:sz w:val="24"/>
          <w:szCs w:val="24"/>
          <w:highlight w:val="none"/>
          <w:shd w:val="clear" w:color="auto" w:fill="FFFFFF"/>
        </w:rPr>
        <w:t>单一产品采购无须提供本承诺函；供应商提供产品全部为本国产品，且提供了《关于符合本国产品标准的声明函》时，无须提供本承诺函。</w:t>
      </w:r>
    </w:p>
    <w:p w14:paraId="175FCF79">
      <w:pPr>
        <w:spacing w:line="360" w:lineRule="auto"/>
        <w:rPr>
          <w:color w:val="auto"/>
          <w:sz w:val="24"/>
          <w:szCs w:val="24"/>
          <w:highlight w:val="none"/>
          <w:shd w:val="clear" w:color="auto" w:fill="FFFFFF"/>
        </w:rPr>
      </w:pPr>
      <w:r>
        <w:rPr>
          <w:color w:val="auto"/>
          <w:sz w:val="24"/>
          <w:szCs w:val="24"/>
          <w:highlight w:val="none"/>
          <w:shd w:val="clear" w:color="auto" w:fill="FFFFFF"/>
        </w:rPr>
        <w:t xml:space="preserve">3. </w:t>
      </w:r>
      <w:r>
        <w:rPr>
          <w:rFonts w:hint="eastAsia"/>
          <w:color w:val="auto"/>
          <w:sz w:val="24"/>
          <w:szCs w:val="24"/>
          <w:highlight w:val="none"/>
          <w:shd w:val="clear" w:color="auto" w:fill="FFFFFF"/>
        </w:rPr>
        <w:t>当采购项目或单个采购包中含有多种产品，且供应商提供的产品同时包含本国产品及非本国产品，则供应商除需提供《关于符合本国产品标准的声明函》外，还需提供本承诺函；否则，不享受</w:t>
      </w:r>
      <w:r>
        <w:rPr>
          <w:rFonts w:hint="eastAsia"/>
          <w:color w:val="auto"/>
          <w:sz w:val="24"/>
          <w:szCs w:val="24"/>
          <w:highlight w:val="none"/>
        </w:rPr>
        <w:t>价格评审优惠</w:t>
      </w:r>
      <w:r>
        <w:rPr>
          <w:rFonts w:hint="eastAsia"/>
          <w:color w:val="auto"/>
          <w:sz w:val="24"/>
          <w:szCs w:val="24"/>
          <w:highlight w:val="none"/>
          <w:shd w:val="clear" w:color="auto" w:fill="FFFFFF"/>
        </w:rPr>
        <w:t>。</w:t>
      </w:r>
    </w:p>
    <w:p w14:paraId="065E4EAB">
      <w:pPr>
        <w:tabs>
          <w:tab w:val="left" w:pos="360"/>
        </w:tabs>
        <w:snapToGrid w:val="0"/>
        <w:spacing w:line="360" w:lineRule="auto"/>
        <w:outlineLvl w:val="9"/>
        <w:rPr>
          <w:color w:val="auto"/>
          <w:sz w:val="24"/>
          <w:szCs w:val="24"/>
          <w:highlight w:val="none"/>
        </w:rPr>
      </w:pPr>
    </w:p>
    <w:p w14:paraId="4A3104F7">
      <w:pPr>
        <w:rPr>
          <w:color w:val="auto"/>
          <w:sz w:val="24"/>
          <w:szCs w:val="24"/>
          <w:highlight w:val="none"/>
        </w:rPr>
      </w:pPr>
      <w:r>
        <w:rPr>
          <w:color w:val="auto"/>
          <w:sz w:val="24"/>
          <w:szCs w:val="24"/>
          <w:highlight w:val="none"/>
        </w:rPr>
        <w:br w:type="page"/>
      </w:r>
    </w:p>
    <w:p w14:paraId="1E45C5E3">
      <w:pPr>
        <w:tabs>
          <w:tab w:val="left" w:pos="360"/>
        </w:tabs>
        <w:snapToGrid w:val="0"/>
        <w:spacing w:line="360" w:lineRule="auto"/>
        <w:outlineLvl w:val="1"/>
        <w:rPr>
          <w:rFonts w:hint="default" w:ascii="Times New Roman" w:hAnsi="Times New Roman" w:eastAsia="宋体" w:cs="Times New Roman"/>
          <w:color w:val="auto"/>
          <w:sz w:val="24"/>
          <w:szCs w:val="24"/>
          <w:highlight w:val="none"/>
          <w:lang w:val="en-US" w:eastAsia="zh-CN"/>
        </w:rPr>
      </w:pPr>
      <w:r>
        <w:rPr>
          <w:rFonts w:hint="eastAsia"/>
          <w:color w:val="auto"/>
          <w:sz w:val="24"/>
          <w:szCs w:val="24"/>
          <w:highlight w:val="none"/>
          <w:lang w:val="en-US" w:eastAsia="zh-CN"/>
        </w:rPr>
        <w:t>12 技术部分服务方案</w:t>
      </w:r>
    </w:p>
    <w:p w14:paraId="1C86156E">
      <w:pPr>
        <w:widowControl w:val="0"/>
        <w:spacing w:after="120" w:line="480" w:lineRule="exact"/>
        <w:ind w:left="0" w:leftChars="0" w:firstLine="0" w:firstLineChars="0"/>
        <w:jc w:val="center"/>
        <w:rPr>
          <w:rFonts w:ascii="Times New Roman" w:hAnsi="Times New Roman" w:eastAsia="宋体" w:cs="Times New Roman"/>
          <w:color w:val="auto"/>
          <w:kern w:val="2"/>
          <w:sz w:val="24"/>
          <w:szCs w:val="24"/>
          <w:highlight w:val="none"/>
          <w:lang w:val="en-US" w:eastAsia="zh-CN" w:bidi="ar-SA"/>
        </w:rPr>
      </w:pPr>
      <w:r>
        <w:rPr>
          <w:rFonts w:ascii="Times New Roman" w:hAnsi="Times New Roman" w:eastAsia="宋体" w:cs="Times New Roman"/>
          <w:color w:val="auto"/>
          <w:kern w:val="2"/>
          <w:sz w:val="24"/>
          <w:szCs w:val="24"/>
          <w:highlight w:val="none"/>
          <w:lang w:val="en-US" w:eastAsia="zh-CN" w:bidi="ar-SA"/>
        </w:rPr>
        <w:t>内容自拟。</w:t>
      </w:r>
    </w:p>
    <w:p w14:paraId="48C0B3AD">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1A663FF6">
      <w:pPr>
        <w:tabs>
          <w:tab w:val="left" w:pos="360"/>
          <w:tab w:val="left" w:pos="900"/>
        </w:tabs>
        <w:snapToGrid w:val="0"/>
        <w:spacing w:line="360" w:lineRule="auto"/>
        <w:outlineLvl w:val="1"/>
        <w:rPr>
          <w:color w:val="auto"/>
          <w:sz w:val="24"/>
          <w:szCs w:val="24"/>
          <w:highlight w:val="none"/>
        </w:rPr>
      </w:pP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3</w:t>
      </w:r>
      <w:r>
        <w:rPr>
          <w:rFonts w:ascii="Times New Roman" w:hAnsi="Times New Roman" w:eastAsia="宋体" w:cs="Times New Roman"/>
          <w:color w:val="auto"/>
          <w:sz w:val="24"/>
          <w:szCs w:val="24"/>
          <w:highlight w:val="none"/>
        </w:rPr>
        <w:t xml:space="preserve"> </w:t>
      </w:r>
      <w:r>
        <w:rPr>
          <w:rFonts w:hint="eastAsia" w:ascii="Times New Roman" w:hAnsi="Times New Roman" w:eastAsia="宋体" w:cs="Times New Roman"/>
          <w:color w:val="auto"/>
          <w:sz w:val="24"/>
          <w:szCs w:val="24"/>
          <w:highlight w:val="none"/>
        </w:rPr>
        <w:t>拟投入本项目团队人员汇总表</w:t>
      </w:r>
    </w:p>
    <w:p w14:paraId="2BFD0454">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拟投入本项目团队人员汇总表</w:t>
      </w:r>
    </w:p>
    <w:tbl>
      <w:tblPr>
        <w:tblStyle w:val="53"/>
        <w:tblW w:w="907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63"/>
        <w:gridCol w:w="1326"/>
        <w:gridCol w:w="1286"/>
        <w:gridCol w:w="1462"/>
        <w:gridCol w:w="1189"/>
        <w:gridCol w:w="1297"/>
        <w:gridCol w:w="1753"/>
      </w:tblGrid>
      <w:tr w14:paraId="6FFDED2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109" w:hRule="atLeast"/>
        </w:trPr>
        <w:tc>
          <w:tcPr>
            <w:tcW w:w="763" w:type="dxa"/>
            <w:shd w:val="clear" w:color="auto" w:fill="auto"/>
            <w:vAlign w:val="center"/>
          </w:tcPr>
          <w:p w14:paraId="3116F47B">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序号</w:t>
            </w:r>
          </w:p>
        </w:tc>
        <w:tc>
          <w:tcPr>
            <w:tcW w:w="1326" w:type="dxa"/>
            <w:shd w:val="clear" w:color="auto" w:fill="auto"/>
            <w:vAlign w:val="center"/>
          </w:tcPr>
          <w:p w14:paraId="104D7670">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姓名</w:t>
            </w:r>
          </w:p>
        </w:tc>
        <w:tc>
          <w:tcPr>
            <w:tcW w:w="1286" w:type="dxa"/>
            <w:shd w:val="clear" w:color="auto" w:fill="auto"/>
            <w:vAlign w:val="center"/>
          </w:tcPr>
          <w:p w14:paraId="7D990931">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学历</w:t>
            </w:r>
          </w:p>
        </w:tc>
        <w:tc>
          <w:tcPr>
            <w:tcW w:w="1462" w:type="dxa"/>
            <w:shd w:val="clear" w:color="auto" w:fill="auto"/>
            <w:vAlign w:val="center"/>
          </w:tcPr>
          <w:p w14:paraId="7F9BDAE4">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专业</w:t>
            </w:r>
          </w:p>
        </w:tc>
        <w:tc>
          <w:tcPr>
            <w:tcW w:w="1189" w:type="dxa"/>
            <w:shd w:val="clear" w:color="auto" w:fill="auto"/>
            <w:vAlign w:val="center"/>
          </w:tcPr>
          <w:p w14:paraId="3B59F182">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技术职称</w:t>
            </w:r>
          </w:p>
        </w:tc>
        <w:tc>
          <w:tcPr>
            <w:tcW w:w="1297" w:type="dxa"/>
            <w:shd w:val="clear" w:color="auto" w:fill="auto"/>
            <w:vAlign w:val="center"/>
          </w:tcPr>
          <w:p w14:paraId="0A67685E">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相关工作年限</w:t>
            </w:r>
          </w:p>
        </w:tc>
        <w:tc>
          <w:tcPr>
            <w:tcW w:w="1753" w:type="dxa"/>
            <w:shd w:val="clear" w:color="auto" w:fill="auto"/>
            <w:vAlign w:val="center"/>
          </w:tcPr>
          <w:p w14:paraId="0D959A58">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在本项目拟任职务</w:t>
            </w:r>
          </w:p>
        </w:tc>
      </w:tr>
      <w:tr w14:paraId="488056B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63" w:type="dxa"/>
            <w:shd w:val="clear" w:color="auto" w:fill="auto"/>
          </w:tcPr>
          <w:p w14:paraId="0EDAAB7C">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657D6C5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1AD61227">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6C944FD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50A51C47">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5B8DFED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19B59388">
            <w:pPr>
              <w:widowControl w:val="0"/>
              <w:spacing w:after="120" w:line="480" w:lineRule="exact"/>
              <w:ind w:left="0" w:leftChars="0" w:firstLine="0" w:firstLineChars="0"/>
              <w:jc w:val="center"/>
              <w:rPr>
                <w:rFonts w:hint="default" w:ascii="Times New Roman" w:hAnsi="Times New Roman" w:eastAsia="宋体" w:cs="Times New Roman"/>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项目经理</w:t>
            </w:r>
          </w:p>
        </w:tc>
      </w:tr>
      <w:tr w14:paraId="6FDD62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63" w:type="dxa"/>
            <w:shd w:val="clear" w:color="auto" w:fill="auto"/>
          </w:tcPr>
          <w:p w14:paraId="1D4B185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4F1C0D99">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22121FA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1052B802">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5FB7FA7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5FE1351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7633FA1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56AC79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63" w:type="dxa"/>
            <w:shd w:val="clear" w:color="auto" w:fill="auto"/>
          </w:tcPr>
          <w:p w14:paraId="0F0C2D3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28F9DC9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09A92CA1">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6A17B8F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1EED207D">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2A407D5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0E30C45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4051E6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63" w:type="dxa"/>
            <w:shd w:val="clear" w:color="auto" w:fill="auto"/>
          </w:tcPr>
          <w:p w14:paraId="49A76F1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6775E92D">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74E108D2">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786B1971">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2129B32A">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27BDF72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0B6E9EC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44E6AC2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33" w:hRule="atLeast"/>
        </w:trPr>
        <w:tc>
          <w:tcPr>
            <w:tcW w:w="763" w:type="dxa"/>
            <w:shd w:val="clear" w:color="auto" w:fill="auto"/>
          </w:tcPr>
          <w:p w14:paraId="370C1D4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0D75DBA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5F28005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375CD47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18A0B74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1B4287A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3B8036AF">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18412BB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74" w:hRule="atLeast"/>
        </w:trPr>
        <w:tc>
          <w:tcPr>
            <w:tcW w:w="763" w:type="dxa"/>
            <w:shd w:val="clear" w:color="auto" w:fill="auto"/>
          </w:tcPr>
          <w:p w14:paraId="257CBFA4">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6" w:type="dxa"/>
            <w:shd w:val="clear" w:color="auto" w:fill="auto"/>
          </w:tcPr>
          <w:p w14:paraId="462E8AB2">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86" w:type="dxa"/>
            <w:shd w:val="clear" w:color="auto" w:fill="auto"/>
          </w:tcPr>
          <w:p w14:paraId="248A1C2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462" w:type="dxa"/>
            <w:shd w:val="clear" w:color="auto" w:fill="auto"/>
          </w:tcPr>
          <w:p w14:paraId="7913EC89">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89" w:type="dxa"/>
            <w:shd w:val="clear" w:color="auto" w:fill="auto"/>
          </w:tcPr>
          <w:p w14:paraId="2DCD1DF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297" w:type="dxa"/>
            <w:shd w:val="clear" w:color="auto" w:fill="auto"/>
          </w:tcPr>
          <w:p w14:paraId="0865407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753" w:type="dxa"/>
            <w:shd w:val="clear" w:color="auto" w:fill="auto"/>
          </w:tcPr>
          <w:p w14:paraId="1D7995E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bl>
    <w:p w14:paraId="52F7F0E2">
      <w:pPr>
        <w:widowControl w:val="0"/>
        <w:adjustRightInd w:val="0"/>
        <w:snapToGrid w:val="0"/>
        <w:spacing w:line="360" w:lineRule="auto"/>
        <w:jc w:val="both"/>
        <w:rPr>
          <w:rFonts w:hint="eastAsia" w:ascii="Times New Roman" w:hAnsi="Times New Roman" w:eastAsia="宋体" w:cs="Times New Roman"/>
          <w:color w:val="auto"/>
          <w:sz w:val="24"/>
          <w:szCs w:val="24"/>
          <w:highlight w:val="none"/>
        </w:rPr>
      </w:pPr>
      <w:r>
        <w:rPr>
          <w:rFonts w:hint="eastAsia" w:ascii="Times New Roman" w:hAnsi="Times New Roman" w:eastAsia="宋体" w:cs="Times New Roman"/>
          <w:b/>
          <w:bCs/>
          <w:color w:val="auto"/>
          <w:sz w:val="24"/>
          <w:szCs w:val="24"/>
          <w:highlight w:val="none"/>
          <w:lang w:eastAsia="zh-CN"/>
        </w:rPr>
        <w:t>注：</w:t>
      </w:r>
      <w:r>
        <w:rPr>
          <w:rFonts w:hint="eastAsia" w:ascii="Times New Roman" w:hAnsi="Times New Roman" w:eastAsia="宋体" w:cs="Times New Roman"/>
          <w:color w:val="auto"/>
          <w:sz w:val="24"/>
          <w:szCs w:val="24"/>
          <w:highlight w:val="none"/>
        </w:rPr>
        <w:t>应提供有效的证明材料</w:t>
      </w:r>
      <w:r>
        <w:rPr>
          <w:rFonts w:hint="eastAsia" w:ascii="Times New Roman" w:hAnsi="Times New Roman" w:eastAsia="宋体" w:cs="Times New Roman"/>
          <w:color w:val="auto"/>
          <w:sz w:val="24"/>
          <w:szCs w:val="24"/>
          <w:highlight w:val="none"/>
          <w:lang w:eastAsia="zh-CN"/>
        </w:rPr>
        <w:t>，</w:t>
      </w:r>
      <w:r>
        <w:rPr>
          <w:rFonts w:hint="eastAsia" w:ascii="Times New Roman" w:hAnsi="Times New Roman" w:eastAsia="宋体" w:cs="Times New Roman"/>
          <w:color w:val="auto"/>
          <w:sz w:val="24"/>
          <w:szCs w:val="24"/>
          <w:highlight w:val="none"/>
          <w:lang w:val="en-US" w:eastAsia="zh-CN"/>
        </w:rPr>
        <w:t>如：身份证、</w:t>
      </w:r>
      <w:r>
        <w:rPr>
          <w:rFonts w:ascii="Arial" w:hAnsi="宋体" w:eastAsia="宋体" w:cs="Arial"/>
          <w:bCs/>
          <w:color w:val="auto"/>
          <w:sz w:val="24"/>
          <w:szCs w:val="24"/>
          <w:highlight w:val="none"/>
        </w:rPr>
        <w:t>学历证明、</w:t>
      </w:r>
      <w:r>
        <w:rPr>
          <w:rFonts w:hint="eastAsia" w:ascii="Arial" w:hAnsi="宋体" w:eastAsia="宋体" w:cs="Arial"/>
          <w:bCs/>
          <w:color w:val="auto"/>
          <w:sz w:val="24"/>
          <w:szCs w:val="24"/>
          <w:highlight w:val="none"/>
          <w:lang w:val="en-US" w:eastAsia="zh-CN"/>
        </w:rPr>
        <w:t>注册类证书（如有）、职称</w:t>
      </w:r>
      <w:r>
        <w:rPr>
          <w:rFonts w:ascii="Arial" w:hAnsi="宋体" w:eastAsia="宋体" w:cs="Arial"/>
          <w:bCs/>
          <w:color w:val="auto"/>
          <w:sz w:val="24"/>
          <w:szCs w:val="24"/>
          <w:highlight w:val="none"/>
        </w:rPr>
        <w:t>证书（</w:t>
      </w:r>
      <w:r>
        <w:rPr>
          <w:rFonts w:hint="eastAsia" w:ascii="Arial" w:hAnsi="宋体" w:eastAsia="宋体" w:cs="Arial"/>
          <w:bCs/>
          <w:color w:val="auto"/>
          <w:sz w:val="24"/>
          <w:szCs w:val="24"/>
          <w:highlight w:val="none"/>
          <w:lang w:val="en-US" w:eastAsia="zh-CN"/>
        </w:rPr>
        <w:t>如有</w:t>
      </w:r>
      <w:r>
        <w:rPr>
          <w:rFonts w:ascii="Arial" w:hAnsi="宋体" w:eastAsia="宋体" w:cs="Arial"/>
          <w:bCs/>
          <w:color w:val="auto"/>
          <w:sz w:val="24"/>
          <w:szCs w:val="24"/>
          <w:highlight w:val="none"/>
        </w:rPr>
        <w:t>），证明材料</w:t>
      </w:r>
      <w:r>
        <w:rPr>
          <w:rFonts w:hint="eastAsia" w:ascii="Arial" w:hAnsi="宋体" w:eastAsia="宋体" w:cs="Arial"/>
          <w:bCs/>
          <w:color w:val="auto"/>
          <w:sz w:val="24"/>
          <w:szCs w:val="24"/>
          <w:highlight w:val="none"/>
        </w:rPr>
        <w:t>复印件</w:t>
      </w:r>
      <w:r>
        <w:rPr>
          <w:rFonts w:ascii="Arial" w:hAnsi="宋体" w:eastAsia="宋体" w:cs="Arial"/>
          <w:bCs/>
          <w:color w:val="auto"/>
          <w:sz w:val="24"/>
          <w:szCs w:val="24"/>
          <w:highlight w:val="none"/>
        </w:rPr>
        <w:t>（加盖公章）。</w:t>
      </w:r>
    </w:p>
    <w:p w14:paraId="2F4B0AB5">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59662CDA">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2C430B84">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171D094B">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3C7AD5DC">
      <w:pPr>
        <w:autoSpaceDE w:val="0"/>
        <w:autoSpaceDN w:val="0"/>
        <w:adjustRightInd w:val="0"/>
        <w:snapToGrid w:val="0"/>
        <w:spacing w:before="25" w:after="25" w:line="360" w:lineRule="auto"/>
        <w:ind w:right="360"/>
        <w:jc w:val="left"/>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rPr>
        <w:t>供应商名称（加盖公章）</w:t>
      </w:r>
      <w:r>
        <w:rPr>
          <w:rFonts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rPr>
        <w:t>______</w:t>
      </w:r>
    </w:p>
    <w:p w14:paraId="5692117C">
      <w:pPr>
        <w:autoSpaceDE w:val="0"/>
        <w:autoSpaceDN w:val="0"/>
        <w:adjustRightInd w:val="0"/>
        <w:snapToGrid w:val="0"/>
        <w:spacing w:before="25" w:after="25" w:line="360" w:lineRule="auto"/>
        <w:ind w:right="36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日期：____年____月____日 </w:t>
      </w:r>
    </w:p>
    <w:p w14:paraId="72D2EA4F">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p w14:paraId="3AC65CD6">
      <w:pPr>
        <w:tabs>
          <w:tab w:val="left" w:pos="360"/>
          <w:tab w:val="left" w:pos="900"/>
        </w:tabs>
        <w:snapToGrid w:val="0"/>
        <w:spacing w:line="360" w:lineRule="auto"/>
        <w:outlineLvl w:val="1"/>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r>
        <w:rPr>
          <w:rFonts w:ascii="Times New Roman" w:hAnsi="Times New Roman" w:eastAsia="宋体" w:cs="Times New Roman"/>
          <w:color w:val="auto"/>
          <w:sz w:val="24"/>
          <w:szCs w:val="24"/>
          <w:highlight w:val="none"/>
        </w:rPr>
        <w:t>1</w:t>
      </w:r>
      <w:r>
        <w:rPr>
          <w:rFonts w:hint="eastAsia" w:cs="Times New Roman"/>
          <w:color w:val="auto"/>
          <w:sz w:val="24"/>
          <w:szCs w:val="24"/>
          <w:highlight w:val="none"/>
          <w:lang w:val="en-US" w:eastAsia="zh-CN"/>
        </w:rPr>
        <w:t>4</w:t>
      </w:r>
      <w:r>
        <w:rPr>
          <w:rFonts w:ascii="Times New Roman" w:hAnsi="Times New Roman" w:eastAsia="宋体" w:cs="Times New Roman"/>
          <w:color w:val="auto"/>
          <w:sz w:val="24"/>
          <w:szCs w:val="24"/>
          <w:highlight w:val="none"/>
        </w:rPr>
        <w:t xml:space="preserve"> 业绩及证明文件</w:t>
      </w:r>
    </w:p>
    <w:p w14:paraId="51628C30">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ascii="Times New Roman" w:hAnsi="Times New Roman" w:eastAsia="宋体" w:cs="Times New Roman"/>
          <w:b/>
          <w:bCs/>
          <w:color w:val="auto"/>
          <w:kern w:val="2"/>
          <w:sz w:val="24"/>
          <w:szCs w:val="24"/>
          <w:highlight w:val="none"/>
          <w:lang w:val="en-US" w:eastAsia="zh-CN" w:bidi="ar-SA"/>
        </w:rPr>
        <w:t>业绩及证明文件</w:t>
      </w:r>
    </w:p>
    <w:tbl>
      <w:tblPr>
        <w:tblStyle w:val="53"/>
        <w:tblW w:w="9288"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24"/>
        <w:gridCol w:w="1929"/>
        <w:gridCol w:w="1327"/>
        <w:gridCol w:w="1512"/>
        <w:gridCol w:w="1142"/>
        <w:gridCol w:w="1826"/>
        <w:gridCol w:w="828"/>
      </w:tblGrid>
      <w:tr w14:paraId="3D1069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shd w:val="clear" w:color="auto" w:fill="auto"/>
            <w:vAlign w:val="center"/>
          </w:tcPr>
          <w:p w14:paraId="34F26D85">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序号</w:t>
            </w:r>
          </w:p>
        </w:tc>
        <w:tc>
          <w:tcPr>
            <w:tcW w:w="1929" w:type="dxa"/>
            <w:shd w:val="clear" w:color="auto" w:fill="auto"/>
            <w:vAlign w:val="center"/>
          </w:tcPr>
          <w:p w14:paraId="7F137F3A">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项目名称</w:t>
            </w:r>
          </w:p>
        </w:tc>
        <w:tc>
          <w:tcPr>
            <w:tcW w:w="1327" w:type="dxa"/>
            <w:shd w:val="clear" w:color="auto" w:fill="auto"/>
            <w:vAlign w:val="center"/>
          </w:tcPr>
          <w:p w14:paraId="34D081A9">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主要内容</w:t>
            </w:r>
          </w:p>
        </w:tc>
        <w:tc>
          <w:tcPr>
            <w:tcW w:w="1512" w:type="dxa"/>
            <w:shd w:val="clear" w:color="auto" w:fill="auto"/>
            <w:vAlign w:val="center"/>
          </w:tcPr>
          <w:p w14:paraId="58320871">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合同总金额</w:t>
            </w:r>
          </w:p>
        </w:tc>
        <w:tc>
          <w:tcPr>
            <w:tcW w:w="1142" w:type="dxa"/>
            <w:shd w:val="clear" w:color="auto" w:fill="auto"/>
            <w:vAlign w:val="center"/>
          </w:tcPr>
          <w:p w14:paraId="24495144">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委托方</w:t>
            </w:r>
          </w:p>
        </w:tc>
        <w:tc>
          <w:tcPr>
            <w:tcW w:w="1826" w:type="dxa"/>
            <w:shd w:val="clear" w:color="auto" w:fill="auto"/>
            <w:vAlign w:val="center"/>
          </w:tcPr>
          <w:p w14:paraId="14C0B5D2">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合同签订时间</w:t>
            </w:r>
          </w:p>
        </w:tc>
        <w:tc>
          <w:tcPr>
            <w:tcW w:w="828" w:type="dxa"/>
            <w:shd w:val="clear" w:color="auto" w:fill="auto"/>
            <w:vAlign w:val="center"/>
          </w:tcPr>
          <w:p w14:paraId="183A765C">
            <w:pPr>
              <w:widowControl w:val="0"/>
              <w:spacing w:after="120" w:line="480" w:lineRule="exact"/>
              <w:ind w:left="0" w:leftChars="0" w:firstLine="0" w:firstLineChars="0"/>
              <w:jc w:val="center"/>
              <w:rPr>
                <w:rFonts w:ascii="Times New Roman" w:hAnsi="Times New Roman" w:eastAsia="宋体" w:cs="Times New Roman"/>
                <w:b/>
                <w:bCs/>
                <w:color w:val="auto"/>
                <w:kern w:val="2"/>
                <w:sz w:val="24"/>
                <w:szCs w:val="24"/>
                <w:highlight w:val="none"/>
                <w:lang w:val="en-US" w:eastAsia="zh-CN" w:bidi="ar-SA"/>
              </w:rPr>
            </w:pPr>
            <w:r>
              <w:rPr>
                <w:rFonts w:hint="eastAsia" w:ascii="Times New Roman" w:hAnsi="Times New Roman" w:eastAsia="宋体" w:cs="Times New Roman"/>
                <w:b/>
                <w:bCs/>
                <w:color w:val="auto"/>
                <w:kern w:val="2"/>
                <w:sz w:val="24"/>
                <w:szCs w:val="24"/>
                <w:highlight w:val="none"/>
                <w:lang w:val="en-US" w:eastAsia="zh-CN" w:bidi="ar-SA"/>
              </w:rPr>
              <w:t>备注</w:t>
            </w:r>
          </w:p>
        </w:tc>
      </w:tr>
      <w:tr w14:paraId="6C3587E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shd w:val="clear" w:color="auto" w:fill="auto"/>
          </w:tcPr>
          <w:p w14:paraId="447E5171">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929" w:type="dxa"/>
            <w:shd w:val="clear" w:color="auto" w:fill="auto"/>
          </w:tcPr>
          <w:p w14:paraId="487D260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7" w:type="dxa"/>
            <w:shd w:val="clear" w:color="auto" w:fill="auto"/>
          </w:tcPr>
          <w:p w14:paraId="6729C80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512" w:type="dxa"/>
            <w:shd w:val="clear" w:color="auto" w:fill="auto"/>
          </w:tcPr>
          <w:p w14:paraId="5C2A2ADF">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42" w:type="dxa"/>
            <w:shd w:val="clear" w:color="auto" w:fill="auto"/>
          </w:tcPr>
          <w:p w14:paraId="550CBC3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826" w:type="dxa"/>
            <w:shd w:val="clear" w:color="auto" w:fill="auto"/>
          </w:tcPr>
          <w:p w14:paraId="52339B8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828" w:type="dxa"/>
            <w:shd w:val="clear" w:color="auto" w:fill="auto"/>
          </w:tcPr>
          <w:p w14:paraId="2FA17D4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7C31169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shd w:val="clear" w:color="auto" w:fill="auto"/>
          </w:tcPr>
          <w:p w14:paraId="2F5A9673">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929" w:type="dxa"/>
            <w:shd w:val="clear" w:color="auto" w:fill="auto"/>
          </w:tcPr>
          <w:p w14:paraId="585DEBFA">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7" w:type="dxa"/>
            <w:shd w:val="clear" w:color="auto" w:fill="auto"/>
          </w:tcPr>
          <w:p w14:paraId="393D5E89">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512" w:type="dxa"/>
            <w:shd w:val="clear" w:color="auto" w:fill="auto"/>
          </w:tcPr>
          <w:p w14:paraId="1A3C0CB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42" w:type="dxa"/>
            <w:shd w:val="clear" w:color="auto" w:fill="auto"/>
          </w:tcPr>
          <w:p w14:paraId="28C7F28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826" w:type="dxa"/>
            <w:shd w:val="clear" w:color="auto" w:fill="auto"/>
          </w:tcPr>
          <w:p w14:paraId="091BC8D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828" w:type="dxa"/>
            <w:shd w:val="clear" w:color="auto" w:fill="auto"/>
          </w:tcPr>
          <w:p w14:paraId="5807844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2E7AFA9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shd w:val="clear" w:color="auto" w:fill="auto"/>
          </w:tcPr>
          <w:p w14:paraId="73848BB8">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929" w:type="dxa"/>
            <w:shd w:val="clear" w:color="auto" w:fill="auto"/>
          </w:tcPr>
          <w:p w14:paraId="02428D9D">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7" w:type="dxa"/>
            <w:shd w:val="clear" w:color="auto" w:fill="auto"/>
          </w:tcPr>
          <w:p w14:paraId="3C927366">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512" w:type="dxa"/>
            <w:shd w:val="clear" w:color="auto" w:fill="auto"/>
          </w:tcPr>
          <w:p w14:paraId="599AB8D9">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42" w:type="dxa"/>
            <w:shd w:val="clear" w:color="auto" w:fill="auto"/>
          </w:tcPr>
          <w:p w14:paraId="319D98B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826" w:type="dxa"/>
            <w:shd w:val="clear" w:color="auto" w:fill="auto"/>
          </w:tcPr>
          <w:p w14:paraId="36BDD2DB">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828" w:type="dxa"/>
            <w:shd w:val="clear" w:color="auto" w:fill="auto"/>
          </w:tcPr>
          <w:p w14:paraId="70A19D12">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r w14:paraId="136A8A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724" w:type="dxa"/>
            <w:shd w:val="clear" w:color="auto" w:fill="auto"/>
          </w:tcPr>
          <w:p w14:paraId="4FC6242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929" w:type="dxa"/>
            <w:shd w:val="clear" w:color="auto" w:fill="auto"/>
          </w:tcPr>
          <w:p w14:paraId="7734A8D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327" w:type="dxa"/>
            <w:shd w:val="clear" w:color="auto" w:fill="auto"/>
          </w:tcPr>
          <w:p w14:paraId="40D1E2B5">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512" w:type="dxa"/>
            <w:shd w:val="clear" w:color="auto" w:fill="auto"/>
          </w:tcPr>
          <w:p w14:paraId="1001773E">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142" w:type="dxa"/>
            <w:shd w:val="clear" w:color="auto" w:fill="auto"/>
          </w:tcPr>
          <w:p w14:paraId="616A5812">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1826" w:type="dxa"/>
            <w:shd w:val="clear" w:color="auto" w:fill="auto"/>
          </w:tcPr>
          <w:p w14:paraId="78617F27">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c>
          <w:tcPr>
            <w:tcW w:w="828" w:type="dxa"/>
            <w:shd w:val="clear" w:color="auto" w:fill="auto"/>
          </w:tcPr>
          <w:p w14:paraId="146BEB30">
            <w:pPr>
              <w:widowControl w:val="0"/>
              <w:spacing w:after="120" w:line="480" w:lineRule="exact"/>
              <w:ind w:left="0" w:leftChars="0" w:firstLine="0" w:firstLineChars="0"/>
              <w:jc w:val="both"/>
              <w:rPr>
                <w:rFonts w:ascii="Times New Roman" w:hAnsi="Times New Roman" w:eastAsia="宋体" w:cs="Times New Roman"/>
                <w:color w:val="auto"/>
                <w:kern w:val="2"/>
                <w:sz w:val="24"/>
                <w:szCs w:val="24"/>
                <w:highlight w:val="none"/>
                <w:lang w:val="en-US" w:eastAsia="zh-CN" w:bidi="ar-SA"/>
              </w:rPr>
            </w:pPr>
          </w:p>
        </w:tc>
      </w:tr>
    </w:tbl>
    <w:p w14:paraId="7A72BD92">
      <w:pPr>
        <w:widowControl w:val="0"/>
        <w:autoSpaceDE w:val="0"/>
        <w:autoSpaceDN w:val="0"/>
        <w:jc w:val="left"/>
        <w:rPr>
          <w:rFonts w:hint="eastAsia" w:ascii="宋体" w:hAnsi="宋体" w:eastAsia="宋体" w:cs="宋体"/>
          <w:color w:val="auto"/>
          <w:kern w:val="0"/>
          <w:sz w:val="24"/>
          <w:szCs w:val="24"/>
          <w:highlight w:val="none"/>
          <w:lang w:val="en-US" w:eastAsia="en-US" w:bidi="ar-SA"/>
        </w:rPr>
      </w:pPr>
      <w:r>
        <w:rPr>
          <w:rFonts w:hint="eastAsia" w:ascii="宋体" w:hAnsi="宋体" w:eastAsia="宋体" w:cs="宋体"/>
          <w:b/>
          <w:bCs/>
          <w:color w:val="auto"/>
          <w:kern w:val="0"/>
          <w:sz w:val="24"/>
          <w:szCs w:val="24"/>
          <w:highlight w:val="none"/>
          <w:lang w:val="en-US" w:eastAsia="zh-CN" w:bidi="ar-SA"/>
        </w:rPr>
        <w:t>注：</w:t>
      </w:r>
      <w:r>
        <w:rPr>
          <w:rFonts w:hint="eastAsia" w:ascii="宋体" w:hAnsi="宋体" w:eastAsia="宋体" w:cs="宋体"/>
          <w:color w:val="auto"/>
          <w:kern w:val="0"/>
          <w:sz w:val="24"/>
          <w:szCs w:val="24"/>
          <w:highlight w:val="none"/>
          <w:lang w:val="en-US" w:eastAsia="en-US" w:bidi="ar-SA"/>
        </w:rPr>
        <w:t>应提供有效的证明材料（提供合同首页、服务主要内容页、盖章页等关键页、以签订日期为准）需提供合同复印件加盖公章。</w:t>
      </w:r>
    </w:p>
    <w:p w14:paraId="51ACC7FC">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6F5AE053">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01225C43">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2BBB6684">
      <w:pPr>
        <w:widowControl w:val="0"/>
        <w:autoSpaceDE w:val="0"/>
        <w:autoSpaceDN w:val="0"/>
        <w:jc w:val="left"/>
        <w:rPr>
          <w:rFonts w:hint="eastAsia" w:ascii="宋体" w:hAnsi="宋体" w:eastAsia="宋体" w:cs="宋体"/>
          <w:color w:val="auto"/>
          <w:kern w:val="0"/>
          <w:sz w:val="24"/>
          <w:szCs w:val="24"/>
          <w:highlight w:val="none"/>
          <w:lang w:val="en-US" w:eastAsia="en-US" w:bidi="ar-SA"/>
        </w:rPr>
      </w:pPr>
    </w:p>
    <w:p w14:paraId="59D02F34">
      <w:pPr>
        <w:autoSpaceDE w:val="0"/>
        <w:autoSpaceDN w:val="0"/>
        <w:adjustRightInd w:val="0"/>
        <w:snapToGrid w:val="0"/>
        <w:spacing w:before="25" w:after="25" w:line="360" w:lineRule="auto"/>
        <w:ind w:right="360"/>
        <w:jc w:val="left"/>
        <w:rPr>
          <w:rFonts w:ascii="Times New Roman" w:hAnsi="Times New Roman" w:eastAsia="宋体" w:cs="Times New Roman"/>
          <w:color w:val="auto"/>
          <w:sz w:val="24"/>
          <w:szCs w:val="24"/>
          <w:highlight w:val="none"/>
          <w:lang w:val="zh-CN"/>
        </w:rPr>
      </w:pPr>
      <w:r>
        <w:rPr>
          <w:rFonts w:ascii="Times New Roman" w:hAnsi="Times New Roman" w:eastAsia="宋体" w:cs="Times New Roman"/>
          <w:color w:val="auto"/>
          <w:sz w:val="24"/>
          <w:szCs w:val="24"/>
          <w:highlight w:val="none"/>
        </w:rPr>
        <w:t>供应商名称（加盖公章）</w:t>
      </w:r>
      <w:r>
        <w:rPr>
          <w:rFonts w:ascii="Times New Roman" w:hAnsi="Times New Roman" w:eastAsia="宋体" w:cs="Times New Roman"/>
          <w:color w:val="auto"/>
          <w:sz w:val="24"/>
          <w:szCs w:val="24"/>
          <w:highlight w:val="none"/>
          <w:lang w:val="zh-CN"/>
        </w:rPr>
        <w:t>：</w:t>
      </w:r>
      <w:r>
        <w:rPr>
          <w:rFonts w:ascii="Times New Roman" w:hAnsi="Times New Roman" w:eastAsia="宋体" w:cs="Times New Roman"/>
          <w:color w:val="auto"/>
          <w:sz w:val="24"/>
          <w:szCs w:val="24"/>
          <w:highlight w:val="none"/>
        </w:rPr>
        <w:t>______</w:t>
      </w:r>
    </w:p>
    <w:p w14:paraId="2ADC69B5">
      <w:pPr>
        <w:autoSpaceDE w:val="0"/>
        <w:autoSpaceDN w:val="0"/>
        <w:adjustRightInd w:val="0"/>
        <w:snapToGrid w:val="0"/>
        <w:spacing w:before="25" w:after="25" w:line="360" w:lineRule="auto"/>
        <w:ind w:right="360"/>
        <w:jc w:val="left"/>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t xml:space="preserve">日期：____年____月____日 </w:t>
      </w:r>
    </w:p>
    <w:p w14:paraId="4F4CAAAA">
      <w:pPr>
        <w:rPr>
          <w:rFonts w:ascii="Times New Roman" w:hAnsi="Times New Roman" w:eastAsia="宋体" w:cs="Times New Roman"/>
          <w:color w:val="auto"/>
          <w:sz w:val="24"/>
          <w:szCs w:val="24"/>
          <w:highlight w:val="none"/>
        </w:rPr>
      </w:pPr>
      <w:r>
        <w:rPr>
          <w:rFonts w:ascii="Times New Roman" w:hAnsi="Times New Roman" w:eastAsia="宋体" w:cs="Times New Roman"/>
          <w:color w:val="auto"/>
          <w:sz w:val="24"/>
          <w:szCs w:val="24"/>
          <w:highlight w:val="none"/>
        </w:rPr>
        <w:br w:type="page"/>
      </w:r>
    </w:p>
    <w:p w14:paraId="15C792D8">
      <w:pPr>
        <w:tabs>
          <w:tab w:val="left" w:pos="360"/>
        </w:tabs>
        <w:snapToGrid w:val="0"/>
        <w:spacing w:line="360" w:lineRule="auto"/>
        <w:outlineLvl w:val="1"/>
        <w:rPr>
          <w:color w:val="auto"/>
          <w:sz w:val="24"/>
          <w:szCs w:val="24"/>
          <w:highlight w:val="none"/>
        </w:rPr>
      </w:pPr>
      <w:bookmarkStart w:id="2056" w:name="_Hlk167094858"/>
      <w:r>
        <w:rPr>
          <w:rFonts w:hint="eastAsia"/>
          <w:color w:val="auto"/>
          <w:sz w:val="24"/>
          <w:szCs w:val="24"/>
          <w:highlight w:val="none"/>
          <w:lang w:val="en-US" w:eastAsia="zh-CN"/>
        </w:rPr>
        <w:t xml:space="preserve">15 </w:t>
      </w:r>
      <w:r>
        <w:rPr>
          <w:color w:val="auto"/>
          <w:sz w:val="24"/>
          <w:szCs w:val="24"/>
          <w:highlight w:val="none"/>
        </w:rPr>
        <w:t>竞争性磋商文件要求提供或供应商认为应附的其他材料</w:t>
      </w:r>
    </w:p>
    <w:p w14:paraId="6C3272DB">
      <w:pPr>
        <w:rPr>
          <w:rFonts w:hint="eastAsia"/>
          <w:color w:val="auto"/>
          <w:sz w:val="24"/>
          <w:szCs w:val="24"/>
          <w:highlight w:val="none"/>
        </w:rPr>
      </w:pPr>
    </w:p>
    <w:p w14:paraId="41DDCCB4">
      <w:pPr>
        <w:widowControl/>
        <w:jc w:val="left"/>
        <w:rPr>
          <w:rFonts w:hint="eastAsia"/>
          <w:color w:val="auto"/>
          <w:sz w:val="24"/>
          <w:szCs w:val="24"/>
          <w:highlight w:val="none"/>
        </w:rPr>
      </w:pPr>
    </w:p>
    <w:p w14:paraId="1DA9F969">
      <w:pPr>
        <w:widowControl/>
        <w:jc w:val="left"/>
        <w:rPr>
          <w:rFonts w:hint="eastAsia"/>
          <w:color w:val="auto"/>
          <w:sz w:val="24"/>
          <w:szCs w:val="24"/>
          <w:highlight w:val="none"/>
        </w:rPr>
      </w:pPr>
    </w:p>
    <w:p w14:paraId="48B97C9A">
      <w:pPr>
        <w:widowControl/>
        <w:jc w:val="left"/>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5</w:t>
      </w:r>
      <w:r>
        <w:rPr>
          <w:color w:val="auto"/>
          <w:sz w:val="24"/>
          <w:szCs w:val="24"/>
          <w:highlight w:val="none"/>
        </w:rPr>
        <w:t>-1</w:t>
      </w:r>
      <w:r>
        <w:rPr>
          <w:rFonts w:hint="eastAsia"/>
          <w:color w:val="auto"/>
          <w:sz w:val="24"/>
          <w:szCs w:val="24"/>
          <w:highlight w:val="none"/>
        </w:rPr>
        <w:t>供应商信息采集表</w:t>
      </w:r>
    </w:p>
    <w:tbl>
      <w:tblPr>
        <w:tblStyle w:val="54"/>
        <w:tblW w:w="5000" w:type="pct"/>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108" w:type="dxa"/>
          <w:bottom w:w="0" w:type="dxa"/>
          <w:right w:w="108" w:type="dxa"/>
        </w:tblCellMar>
      </w:tblPr>
      <w:tblGrid>
        <w:gridCol w:w="3321"/>
        <w:gridCol w:w="3322"/>
        <w:gridCol w:w="3320"/>
      </w:tblGrid>
      <w:tr w14:paraId="404C83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0" w:hRule="atLeast"/>
        </w:trPr>
        <w:tc>
          <w:tcPr>
            <w:tcW w:w="1667" w:type="pct"/>
            <w:vAlign w:val="center"/>
          </w:tcPr>
          <w:p w14:paraId="0EEDF36B">
            <w:pPr>
              <w:jc w:val="center"/>
              <w:rPr>
                <w:color w:val="auto"/>
                <w:sz w:val="24"/>
                <w:szCs w:val="24"/>
                <w:highlight w:val="none"/>
              </w:rPr>
            </w:pPr>
            <w:r>
              <w:rPr>
                <w:rFonts w:hint="eastAsia"/>
                <w:color w:val="auto"/>
                <w:sz w:val="24"/>
                <w:szCs w:val="24"/>
                <w:highlight w:val="none"/>
              </w:rPr>
              <w:t>供应商名称</w:t>
            </w:r>
          </w:p>
        </w:tc>
        <w:tc>
          <w:tcPr>
            <w:tcW w:w="1667" w:type="pct"/>
            <w:vAlign w:val="center"/>
          </w:tcPr>
          <w:p w14:paraId="59A010AF">
            <w:pPr>
              <w:jc w:val="center"/>
              <w:rPr>
                <w:color w:val="auto"/>
                <w:sz w:val="24"/>
                <w:szCs w:val="24"/>
                <w:highlight w:val="none"/>
              </w:rPr>
            </w:pPr>
            <w:r>
              <w:rPr>
                <w:rFonts w:hint="eastAsia"/>
                <w:color w:val="auto"/>
                <w:sz w:val="24"/>
                <w:szCs w:val="24"/>
                <w:highlight w:val="none"/>
              </w:rPr>
              <w:t>供应商所属性别</w:t>
            </w:r>
          </w:p>
        </w:tc>
        <w:tc>
          <w:tcPr>
            <w:tcW w:w="1667" w:type="pct"/>
            <w:vAlign w:val="center"/>
          </w:tcPr>
          <w:p w14:paraId="6CACE7FB">
            <w:pPr>
              <w:jc w:val="center"/>
              <w:rPr>
                <w:color w:val="auto"/>
                <w:sz w:val="24"/>
                <w:szCs w:val="24"/>
                <w:highlight w:val="none"/>
              </w:rPr>
            </w:pPr>
            <w:r>
              <w:rPr>
                <w:rFonts w:hint="eastAsia"/>
                <w:color w:val="auto"/>
                <w:sz w:val="24"/>
                <w:szCs w:val="24"/>
                <w:highlight w:val="none"/>
              </w:rPr>
              <w:t>外商投资类型</w:t>
            </w:r>
          </w:p>
        </w:tc>
      </w:tr>
      <w:tr w14:paraId="302297A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4" w:hRule="atLeast"/>
        </w:trPr>
        <w:tc>
          <w:tcPr>
            <w:tcW w:w="1667" w:type="pct"/>
          </w:tcPr>
          <w:p w14:paraId="52559881">
            <w:pPr>
              <w:rPr>
                <w:color w:val="auto"/>
                <w:sz w:val="24"/>
                <w:szCs w:val="24"/>
                <w:highlight w:val="none"/>
              </w:rPr>
            </w:pPr>
          </w:p>
        </w:tc>
        <w:tc>
          <w:tcPr>
            <w:tcW w:w="1667" w:type="pct"/>
          </w:tcPr>
          <w:p w14:paraId="38C878E9">
            <w:pPr>
              <w:rPr>
                <w:color w:val="auto"/>
                <w:sz w:val="24"/>
                <w:szCs w:val="24"/>
                <w:highlight w:val="none"/>
              </w:rPr>
            </w:pPr>
          </w:p>
        </w:tc>
        <w:tc>
          <w:tcPr>
            <w:tcW w:w="1667" w:type="pct"/>
          </w:tcPr>
          <w:p w14:paraId="7DD359A2">
            <w:pPr>
              <w:rPr>
                <w:color w:val="auto"/>
                <w:sz w:val="24"/>
                <w:szCs w:val="24"/>
                <w:highlight w:val="none"/>
              </w:rPr>
            </w:pPr>
          </w:p>
        </w:tc>
      </w:tr>
      <w:tr w14:paraId="2B0DB56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9" w:hRule="atLeast"/>
        </w:trPr>
        <w:tc>
          <w:tcPr>
            <w:tcW w:w="1667" w:type="pct"/>
          </w:tcPr>
          <w:p w14:paraId="3A1FFE64">
            <w:pPr>
              <w:rPr>
                <w:color w:val="auto"/>
                <w:sz w:val="24"/>
                <w:szCs w:val="24"/>
                <w:highlight w:val="none"/>
              </w:rPr>
            </w:pPr>
          </w:p>
        </w:tc>
        <w:tc>
          <w:tcPr>
            <w:tcW w:w="1667" w:type="pct"/>
          </w:tcPr>
          <w:p w14:paraId="786F0250">
            <w:pPr>
              <w:rPr>
                <w:color w:val="auto"/>
                <w:sz w:val="24"/>
                <w:szCs w:val="24"/>
                <w:highlight w:val="none"/>
              </w:rPr>
            </w:pPr>
          </w:p>
        </w:tc>
        <w:tc>
          <w:tcPr>
            <w:tcW w:w="1667" w:type="pct"/>
          </w:tcPr>
          <w:p w14:paraId="55B8BBE9">
            <w:pPr>
              <w:rPr>
                <w:color w:val="auto"/>
                <w:sz w:val="24"/>
                <w:szCs w:val="24"/>
                <w:highlight w:val="none"/>
              </w:rPr>
            </w:pPr>
          </w:p>
        </w:tc>
      </w:tr>
      <w:tr w14:paraId="43909A8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11" w:hRule="atLeast"/>
        </w:trPr>
        <w:tc>
          <w:tcPr>
            <w:tcW w:w="1667" w:type="pct"/>
          </w:tcPr>
          <w:p w14:paraId="47F62A5B">
            <w:pPr>
              <w:rPr>
                <w:color w:val="auto"/>
                <w:sz w:val="24"/>
                <w:szCs w:val="24"/>
                <w:highlight w:val="none"/>
              </w:rPr>
            </w:pPr>
          </w:p>
        </w:tc>
        <w:tc>
          <w:tcPr>
            <w:tcW w:w="1667" w:type="pct"/>
          </w:tcPr>
          <w:p w14:paraId="49C3C664">
            <w:pPr>
              <w:rPr>
                <w:color w:val="auto"/>
                <w:sz w:val="24"/>
                <w:szCs w:val="24"/>
                <w:highlight w:val="none"/>
              </w:rPr>
            </w:pPr>
          </w:p>
        </w:tc>
        <w:tc>
          <w:tcPr>
            <w:tcW w:w="1667" w:type="pct"/>
          </w:tcPr>
          <w:p w14:paraId="769EC24A">
            <w:pPr>
              <w:rPr>
                <w:color w:val="auto"/>
                <w:sz w:val="24"/>
                <w:szCs w:val="24"/>
                <w:highlight w:val="none"/>
              </w:rPr>
            </w:pPr>
          </w:p>
        </w:tc>
      </w:tr>
      <w:tr w14:paraId="77F0EC5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274" w:hRule="atLeast"/>
        </w:trPr>
        <w:tc>
          <w:tcPr>
            <w:tcW w:w="1667" w:type="pct"/>
          </w:tcPr>
          <w:p w14:paraId="1D84FA72">
            <w:pPr>
              <w:rPr>
                <w:color w:val="auto"/>
                <w:sz w:val="24"/>
                <w:szCs w:val="24"/>
                <w:highlight w:val="none"/>
              </w:rPr>
            </w:pPr>
          </w:p>
        </w:tc>
        <w:tc>
          <w:tcPr>
            <w:tcW w:w="1667" w:type="pct"/>
          </w:tcPr>
          <w:p w14:paraId="1188B33F">
            <w:pPr>
              <w:rPr>
                <w:color w:val="auto"/>
                <w:sz w:val="24"/>
                <w:szCs w:val="24"/>
                <w:highlight w:val="none"/>
              </w:rPr>
            </w:pPr>
          </w:p>
        </w:tc>
        <w:tc>
          <w:tcPr>
            <w:tcW w:w="1667" w:type="pct"/>
          </w:tcPr>
          <w:p w14:paraId="44512478">
            <w:pPr>
              <w:rPr>
                <w:color w:val="auto"/>
                <w:sz w:val="24"/>
                <w:szCs w:val="24"/>
                <w:highlight w:val="none"/>
              </w:rPr>
            </w:pPr>
          </w:p>
        </w:tc>
      </w:tr>
    </w:tbl>
    <w:p w14:paraId="70A833F3">
      <w:pPr>
        <w:tabs>
          <w:tab w:val="left" w:pos="1800"/>
          <w:tab w:val="left" w:pos="5580"/>
        </w:tabs>
        <w:jc w:val="left"/>
        <w:rPr>
          <w:color w:val="auto"/>
          <w:sz w:val="24"/>
          <w:szCs w:val="24"/>
          <w:highlight w:val="none"/>
        </w:rPr>
      </w:pPr>
      <w:r>
        <w:rPr>
          <w:rFonts w:hint="eastAsia"/>
          <w:color w:val="auto"/>
          <w:sz w:val="24"/>
          <w:szCs w:val="24"/>
          <w:highlight w:val="none"/>
        </w:rPr>
        <w:t>注：1.供应商如为联合体，则应填写联合体各成员信息。</w:t>
      </w:r>
    </w:p>
    <w:p w14:paraId="7FDDE9D5">
      <w:pPr>
        <w:tabs>
          <w:tab w:val="left" w:pos="1800"/>
          <w:tab w:val="left" w:pos="5580"/>
        </w:tabs>
        <w:ind w:firstLine="480" w:firstLineChars="200"/>
        <w:jc w:val="left"/>
        <w:rPr>
          <w:color w:val="auto"/>
          <w:sz w:val="24"/>
          <w:szCs w:val="24"/>
          <w:highlight w:val="none"/>
        </w:rPr>
      </w:pPr>
      <w:r>
        <w:rPr>
          <w:rFonts w:hint="eastAsia"/>
          <w:color w:val="auto"/>
          <w:sz w:val="24"/>
          <w:szCs w:val="24"/>
          <w:highlight w:val="none"/>
        </w:rPr>
        <w:t>2.供应商所属性别请填写“男”或“女”，指制造商持股份额男性女性占比大的性别。</w:t>
      </w:r>
    </w:p>
    <w:p w14:paraId="7F609A9E">
      <w:pPr>
        <w:tabs>
          <w:tab w:val="left" w:pos="1800"/>
          <w:tab w:val="left" w:pos="5580"/>
        </w:tabs>
        <w:ind w:firstLine="480" w:firstLineChars="200"/>
        <w:jc w:val="left"/>
        <w:rPr>
          <w:color w:val="auto"/>
          <w:sz w:val="24"/>
          <w:szCs w:val="24"/>
          <w:highlight w:val="none"/>
        </w:rPr>
      </w:pPr>
      <w:r>
        <w:rPr>
          <w:rFonts w:hint="eastAsia"/>
          <w:color w:val="auto"/>
          <w:sz w:val="24"/>
          <w:szCs w:val="24"/>
          <w:highlight w:val="none"/>
        </w:rPr>
        <w:t>3.外商投资类型请填写“外商单独投资”、“外商部分投资”或“内资”。</w:t>
      </w:r>
    </w:p>
    <w:bookmarkEnd w:id="2056"/>
    <w:p w14:paraId="19515EB7">
      <w:pPr>
        <w:widowControl/>
        <w:jc w:val="left"/>
        <w:rPr>
          <w:b/>
          <w:color w:val="auto"/>
          <w:sz w:val="24"/>
          <w:szCs w:val="24"/>
          <w:highlight w:val="none"/>
        </w:rPr>
      </w:pPr>
      <w:r>
        <w:rPr>
          <w:b/>
          <w:color w:val="auto"/>
          <w:sz w:val="24"/>
          <w:szCs w:val="24"/>
          <w:highlight w:val="none"/>
        </w:rPr>
        <w:br w:type="page"/>
      </w:r>
    </w:p>
    <w:p w14:paraId="61AB5D42">
      <w:pPr>
        <w:tabs>
          <w:tab w:val="left" w:pos="360"/>
        </w:tabs>
        <w:snapToGrid w:val="0"/>
        <w:spacing w:line="360" w:lineRule="auto"/>
        <w:outlineLvl w:val="1"/>
        <w:rPr>
          <w:color w:val="auto"/>
          <w:sz w:val="24"/>
          <w:szCs w:val="24"/>
          <w:highlight w:val="none"/>
        </w:rPr>
      </w:pPr>
      <w:r>
        <w:rPr>
          <w:color w:val="auto"/>
          <w:sz w:val="24"/>
          <w:szCs w:val="24"/>
          <w:highlight w:val="none"/>
        </w:rPr>
        <w:t>1</w:t>
      </w:r>
      <w:r>
        <w:rPr>
          <w:rFonts w:hint="eastAsia"/>
          <w:color w:val="auto"/>
          <w:sz w:val="24"/>
          <w:szCs w:val="24"/>
          <w:highlight w:val="none"/>
          <w:lang w:val="en-US" w:eastAsia="zh-CN"/>
        </w:rPr>
        <w:t>6</w:t>
      </w:r>
      <w:r>
        <w:rPr>
          <w:color w:val="auto"/>
          <w:sz w:val="24"/>
          <w:szCs w:val="24"/>
          <w:highlight w:val="none"/>
        </w:rPr>
        <w:t xml:space="preserve">  最后报价一览表（</w:t>
      </w:r>
      <w:r>
        <w:rPr>
          <w:rFonts w:hint="eastAsia"/>
          <w:color w:val="auto"/>
          <w:sz w:val="24"/>
          <w:szCs w:val="24"/>
          <w:highlight w:val="none"/>
          <w:lang w:val="en-US" w:eastAsia="zh-CN"/>
        </w:rPr>
        <w:t>磋商环节在一体化平台系统提交</w:t>
      </w:r>
      <w:r>
        <w:rPr>
          <w:color w:val="auto"/>
          <w:sz w:val="24"/>
          <w:szCs w:val="24"/>
          <w:highlight w:val="none"/>
        </w:rPr>
        <w:t>）</w:t>
      </w:r>
    </w:p>
    <w:p w14:paraId="2A3ADB02">
      <w:pPr>
        <w:tabs>
          <w:tab w:val="left" w:pos="360"/>
        </w:tabs>
        <w:snapToGrid w:val="0"/>
        <w:spacing w:line="360" w:lineRule="auto"/>
        <w:outlineLvl w:val="9"/>
        <w:rPr>
          <w:color w:val="auto"/>
          <w:sz w:val="24"/>
          <w:szCs w:val="24"/>
          <w:highlight w:val="none"/>
        </w:rPr>
      </w:pPr>
    </w:p>
    <w:p w14:paraId="06259176">
      <w:pPr>
        <w:widowControl/>
        <w:jc w:val="left"/>
        <w:rPr>
          <w:color w:val="auto"/>
          <w:kern w:val="0"/>
          <w:sz w:val="24"/>
          <w:szCs w:val="24"/>
          <w:highlight w:val="none"/>
        </w:rPr>
      </w:pPr>
    </w:p>
    <w:p w14:paraId="6A49FF3B">
      <w:pPr>
        <w:spacing w:line="360" w:lineRule="exact"/>
        <w:ind w:left="0" w:leftChars="0" w:firstLine="0" w:firstLineChars="0"/>
        <w:jc w:val="center"/>
        <w:rPr>
          <w:b/>
          <w:color w:val="auto"/>
          <w:sz w:val="24"/>
          <w:szCs w:val="24"/>
          <w:highlight w:val="none"/>
        </w:rPr>
      </w:pPr>
      <w:r>
        <w:rPr>
          <w:rFonts w:hint="eastAsia"/>
          <w:b/>
          <w:color w:val="auto"/>
          <w:sz w:val="24"/>
          <w:szCs w:val="24"/>
          <w:highlight w:val="none"/>
        </w:rPr>
        <w:t>最后报价一览表</w:t>
      </w:r>
    </w:p>
    <w:p w14:paraId="33D17072">
      <w:pPr>
        <w:tabs>
          <w:tab w:val="left" w:pos="1800"/>
          <w:tab w:val="left" w:pos="5580"/>
        </w:tabs>
        <w:spacing w:line="360" w:lineRule="auto"/>
        <w:jc w:val="left"/>
        <w:rPr>
          <w:color w:val="auto"/>
          <w:sz w:val="24"/>
          <w:szCs w:val="24"/>
          <w:highlight w:val="none"/>
        </w:rPr>
      </w:pPr>
    </w:p>
    <w:p w14:paraId="04D3A27B">
      <w:pPr>
        <w:tabs>
          <w:tab w:val="left" w:pos="1800"/>
          <w:tab w:val="left" w:pos="5580"/>
        </w:tabs>
        <w:spacing w:line="360" w:lineRule="auto"/>
        <w:ind w:firstLine="360" w:firstLineChars="150"/>
        <w:jc w:val="left"/>
        <w:rPr>
          <w:color w:val="auto"/>
          <w:sz w:val="24"/>
          <w:szCs w:val="24"/>
          <w:highlight w:val="none"/>
        </w:rPr>
      </w:pPr>
      <w:r>
        <w:rPr>
          <w:color w:val="auto"/>
          <w:sz w:val="24"/>
          <w:szCs w:val="24"/>
          <w:highlight w:val="none"/>
        </w:rPr>
        <w:t>项目编号/包号：_______________     项目名称：_______________</w:t>
      </w:r>
    </w:p>
    <w:tbl>
      <w:tblPr>
        <w:tblStyle w:val="53"/>
        <w:tblW w:w="4999"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0" w:type="dxa"/>
          <w:bottom w:w="0" w:type="dxa"/>
          <w:right w:w="0" w:type="dxa"/>
        </w:tblCellMar>
      </w:tblPr>
      <w:tblGrid>
        <w:gridCol w:w="1586"/>
        <w:gridCol w:w="2688"/>
        <w:gridCol w:w="1999"/>
        <w:gridCol w:w="1780"/>
        <w:gridCol w:w="1702"/>
      </w:tblGrid>
      <w:tr w14:paraId="396A16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531" w:hRule="atLeast"/>
          <w:jc w:val="center"/>
        </w:trPr>
        <w:tc>
          <w:tcPr>
            <w:tcW w:w="813" w:type="pct"/>
            <w:vMerge w:val="restart"/>
            <w:vAlign w:val="center"/>
          </w:tcPr>
          <w:p w14:paraId="460CECB9">
            <w:pPr>
              <w:tabs>
                <w:tab w:val="left" w:pos="5580"/>
              </w:tabs>
              <w:jc w:val="center"/>
              <w:rPr>
                <w:b/>
                <w:color w:val="auto"/>
                <w:sz w:val="24"/>
                <w:szCs w:val="24"/>
                <w:highlight w:val="none"/>
              </w:rPr>
            </w:pPr>
            <w:r>
              <w:rPr>
                <w:b/>
                <w:color w:val="auto"/>
                <w:sz w:val="24"/>
                <w:szCs w:val="24"/>
                <w:highlight w:val="none"/>
              </w:rPr>
              <w:t>序号</w:t>
            </w:r>
          </w:p>
        </w:tc>
        <w:tc>
          <w:tcPr>
            <w:tcW w:w="1377" w:type="pct"/>
            <w:vMerge w:val="restart"/>
            <w:vAlign w:val="center"/>
          </w:tcPr>
          <w:p w14:paraId="78E25D34">
            <w:pPr>
              <w:tabs>
                <w:tab w:val="left" w:pos="5580"/>
              </w:tabs>
              <w:jc w:val="center"/>
              <w:rPr>
                <w:b/>
                <w:color w:val="auto"/>
                <w:sz w:val="24"/>
                <w:szCs w:val="24"/>
                <w:highlight w:val="none"/>
              </w:rPr>
            </w:pPr>
            <w:r>
              <w:rPr>
                <w:b/>
                <w:color w:val="auto"/>
                <w:sz w:val="24"/>
                <w:szCs w:val="24"/>
                <w:highlight w:val="none"/>
              </w:rPr>
              <w:t>供应商名称</w:t>
            </w:r>
          </w:p>
        </w:tc>
        <w:tc>
          <w:tcPr>
            <w:tcW w:w="1936" w:type="pct"/>
            <w:gridSpan w:val="2"/>
            <w:vAlign w:val="center"/>
          </w:tcPr>
          <w:p w14:paraId="1F1E9897">
            <w:pPr>
              <w:tabs>
                <w:tab w:val="left" w:pos="5580"/>
              </w:tabs>
              <w:jc w:val="center"/>
              <w:rPr>
                <w:b/>
                <w:color w:val="auto"/>
                <w:sz w:val="24"/>
                <w:szCs w:val="24"/>
                <w:highlight w:val="none"/>
              </w:rPr>
            </w:pPr>
            <w:r>
              <w:rPr>
                <w:b/>
                <w:color w:val="auto"/>
                <w:sz w:val="24"/>
                <w:szCs w:val="24"/>
                <w:highlight w:val="none"/>
              </w:rPr>
              <w:t>最后报价</w:t>
            </w:r>
          </w:p>
        </w:tc>
        <w:tc>
          <w:tcPr>
            <w:tcW w:w="872" w:type="pct"/>
            <w:vMerge w:val="restart"/>
            <w:vAlign w:val="center"/>
          </w:tcPr>
          <w:p w14:paraId="73D0A6B4">
            <w:pPr>
              <w:tabs>
                <w:tab w:val="left" w:pos="5580"/>
              </w:tabs>
              <w:jc w:val="center"/>
              <w:rPr>
                <w:b/>
                <w:color w:val="auto"/>
                <w:sz w:val="24"/>
                <w:szCs w:val="24"/>
                <w:highlight w:val="none"/>
              </w:rPr>
            </w:pPr>
            <w:r>
              <w:rPr>
                <w:b/>
                <w:color w:val="auto"/>
                <w:sz w:val="24"/>
                <w:szCs w:val="24"/>
                <w:highlight w:val="none"/>
              </w:rPr>
              <w:t>其他</w:t>
            </w:r>
          </w:p>
          <w:p w14:paraId="26983D08">
            <w:pPr>
              <w:tabs>
                <w:tab w:val="left" w:pos="5580"/>
              </w:tabs>
              <w:jc w:val="center"/>
              <w:rPr>
                <w:b/>
                <w:color w:val="auto"/>
                <w:sz w:val="24"/>
                <w:szCs w:val="24"/>
                <w:highlight w:val="none"/>
              </w:rPr>
            </w:pPr>
            <w:r>
              <w:rPr>
                <w:b/>
                <w:color w:val="auto"/>
                <w:sz w:val="24"/>
                <w:szCs w:val="24"/>
                <w:highlight w:val="none"/>
              </w:rPr>
              <w:t>声明</w:t>
            </w:r>
          </w:p>
        </w:tc>
      </w:tr>
      <w:tr w14:paraId="450D37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4" w:hRule="atLeast"/>
          <w:jc w:val="center"/>
        </w:trPr>
        <w:tc>
          <w:tcPr>
            <w:tcW w:w="813" w:type="pct"/>
            <w:vMerge w:val="continue"/>
            <w:vAlign w:val="center"/>
          </w:tcPr>
          <w:p w14:paraId="35E56860">
            <w:pPr>
              <w:tabs>
                <w:tab w:val="left" w:pos="5580"/>
              </w:tabs>
              <w:jc w:val="center"/>
              <w:rPr>
                <w:color w:val="auto"/>
                <w:sz w:val="24"/>
                <w:szCs w:val="24"/>
                <w:highlight w:val="none"/>
              </w:rPr>
            </w:pPr>
          </w:p>
        </w:tc>
        <w:tc>
          <w:tcPr>
            <w:tcW w:w="1377" w:type="pct"/>
            <w:vMerge w:val="continue"/>
            <w:vAlign w:val="center"/>
          </w:tcPr>
          <w:p w14:paraId="3CE208C3">
            <w:pPr>
              <w:tabs>
                <w:tab w:val="left" w:pos="5580"/>
              </w:tabs>
              <w:jc w:val="center"/>
              <w:rPr>
                <w:color w:val="auto"/>
                <w:sz w:val="24"/>
                <w:szCs w:val="24"/>
                <w:highlight w:val="none"/>
              </w:rPr>
            </w:pPr>
          </w:p>
        </w:tc>
        <w:tc>
          <w:tcPr>
            <w:tcW w:w="1024" w:type="pct"/>
            <w:vAlign w:val="center"/>
          </w:tcPr>
          <w:p w14:paraId="4676EB2B">
            <w:pPr>
              <w:tabs>
                <w:tab w:val="left" w:pos="5580"/>
              </w:tabs>
              <w:jc w:val="center"/>
              <w:rPr>
                <w:b/>
                <w:color w:val="auto"/>
                <w:sz w:val="24"/>
                <w:szCs w:val="24"/>
                <w:highlight w:val="none"/>
              </w:rPr>
            </w:pPr>
            <w:r>
              <w:rPr>
                <w:b/>
                <w:color w:val="auto"/>
                <w:sz w:val="24"/>
                <w:szCs w:val="24"/>
                <w:highlight w:val="none"/>
              </w:rPr>
              <w:t>小写</w:t>
            </w:r>
          </w:p>
        </w:tc>
        <w:tc>
          <w:tcPr>
            <w:tcW w:w="912" w:type="pct"/>
            <w:vAlign w:val="center"/>
          </w:tcPr>
          <w:p w14:paraId="5B28B1A7">
            <w:pPr>
              <w:tabs>
                <w:tab w:val="left" w:pos="5580"/>
              </w:tabs>
              <w:jc w:val="center"/>
              <w:rPr>
                <w:b/>
                <w:color w:val="auto"/>
                <w:sz w:val="24"/>
                <w:szCs w:val="24"/>
                <w:highlight w:val="none"/>
              </w:rPr>
            </w:pPr>
            <w:r>
              <w:rPr>
                <w:b/>
                <w:color w:val="auto"/>
                <w:sz w:val="24"/>
                <w:szCs w:val="24"/>
                <w:highlight w:val="none"/>
              </w:rPr>
              <w:t>大写</w:t>
            </w:r>
          </w:p>
        </w:tc>
        <w:tc>
          <w:tcPr>
            <w:tcW w:w="872" w:type="pct"/>
            <w:vMerge w:val="continue"/>
            <w:vAlign w:val="center"/>
          </w:tcPr>
          <w:p w14:paraId="43343620">
            <w:pPr>
              <w:tabs>
                <w:tab w:val="left" w:pos="5580"/>
              </w:tabs>
              <w:ind w:firstLine="482"/>
              <w:jc w:val="center"/>
              <w:rPr>
                <w:b/>
                <w:color w:val="auto"/>
                <w:sz w:val="24"/>
                <w:szCs w:val="24"/>
                <w:highlight w:val="none"/>
              </w:rPr>
            </w:pPr>
          </w:p>
        </w:tc>
      </w:tr>
      <w:tr w14:paraId="1EDA89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976" w:hRule="atLeast"/>
          <w:jc w:val="center"/>
        </w:trPr>
        <w:tc>
          <w:tcPr>
            <w:tcW w:w="813" w:type="pct"/>
            <w:vAlign w:val="center"/>
          </w:tcPr>
          <w:p w14:paraId="2704D35F">
            <w:pPr>
              <w:tabs>
                <w:tab w:val="left" w:pos="5580"/>
              </w:tabs>
              <w:jc w:val="center"/>
              <w:rPr>
                <w:color w:val="auto"/>
                <w:sz w:val="24"/>
                <w:szCs w:val="24"/>
                <w:highlight w:val="none"/>
              </w:rPr>
            </w:pPr>
          </w:p>
        </w:tc>
        <w:tc>
          <w:tcPr>
            <w:tcW w:w="1377" w:type="pct"/>
            <w:vAlign w:val="center"/>
          </w:tcPr>
          <w:p w14:paraId="7F2DB674">
            <w:pPr>
              <w:tabs>
                <w:tab w:val="left" w:pos="5580"/>
              </w:tabs>
              <w:jc w:val="center"/>
              <w:rPr>
                <w:color w:val="auto"/>
                <w:sz w:val="24"/>
                <w:szCs w:val="24"/>
                <w:highlight w:val="none"/>
              </w:rPr>
            </w:pPr>
          </w:p>
        </w:tc>
        <w:tc>
          <w:tcPr>
            <w:tcW w:w="1024" w:type="pct"/>
            <w:vAlign w:val="center"/>
          </w:tcPr>
          <w:p w14:paraId="17BD8345">
            <w:pPr>
              <w:tabs>
                <w:tab w:val="left" w:pos="5580"/>
              </w:tabs>
              <w:jc w:val="center"/>
              <w:rPr>
                <w:color w:val="auto"/>
                <w:sz w:val="24"/>
                <w:szCs w:val="24"/>
                <w:highlight w:val="none"/>
              </w:rPr>
            </w:pPr>
          </w:p>
        </w:tc>
        <w:tc>
          <w:tcPr>
            <w:tcW w:w="912" w:type="pct"/>
            <w:vAlign w:val="center"/>
          </w:tcPr>
          <w:p w14:paraId="5C619CBF">
            <w:pPr>
              <w:tabs>
                <w:tab w:val="left" w:pos="5580"/>
              </w:tabs>
              <w:jc w:val="center"/>
              <w:rPr>
                <w:color w:val="auto"/>
                <w:sz w:val="24"/>
                <w:szCs w:val="24"/>
                <w:highlight w:val="none"/>
              </w:rPr>
            </w:pPr>
          </w:p>
        </w:tc>
        <w:tc>
          <w:tcPr>
            <w:tcW w:w="872" w:type="pct"/>
            <w:vAlign w:val="center"/>
          </w:tcPr>
          <w:p w14:paraId="27C72B72">
            <w:pPr>
              <w:tabs>
                <w:tab w:val="left" w:pos="5580"/>
              </w:tabs>
              <w:jc w:val="center"/>
              <w:rPr>
                <w:color w:val="auto"/>
                <w:sz w:val="24"/>
                <w:szCs w:val="24"/>
                <w:highlight w:val="none"/>
              </w:rPr>
            </w:pPr>
          </w:p>
        </w:tc>
      </w:tr>
    </w:tbl>
    <w:p w14:paraId="40C6EE57">
      <w:pPr>
        <w:autoSpaceDE w:val="0"/>
        <w:autoSpaceDN w:val="0"/>
        <w:adjustRightInd w:val="0"/>
        <w:jc w:val="left"/>
        <w:rPr>
          <w:color w:val="auto"/>
          <w:kern w:val="0"/>
          <w:sz w:val="24"/>
          <w:szCs w:val="24"/>
          <w:highlight w:val="none"/>
        </w:rPr>
      </w:pPr>
    </w:p>
    <w:p w14:paraId="15FB241F">
      <w:pPr>
        <w:autoSpaceDE w:val="0"/>
        <w:autoSpaceDN w:val="0"/>
        <w:adjustRightInd w:val="0"/>
        <w:snapToGrid w:val="0"/>
        <w:spacing w:before="25" w:after="25" w:line="360" w:lineRule="auto"/>
        <w:rPr>
          <w:rFonts w:hint="eastAsia"/>
          <w:color w:val="auto"/>
          <w:sz w:val="24"/>
          <w:szCs w:val="24"/>
          <w:highlight w:val="none"/>
          <w:lang w:val="zh-CN"/>
        </w:rPr>
      </w:pPr>
      <w:r>
        <w:rPr>
          <w:color w:val="auto"/>
          <w:kern w:val="0"/>
          <w:sz w:val="24"/>
          <w:szCs w:val="24"/>
          <w:highlight w:val="none"/>
        </w:rPr>
        <w:t>注：</w:t>
      </w:r>
      <w:r>
        <w:rPr>
          <w:rFonts w:hint="eastAsia"/>
          <w:color w:val="auto"/>
          <w:sz w:val="24"/>
          <w:szCs w:val="24"/>
          <w:highlight w:val="none"/>
          <w:lang w:val="zh-CN"/>
        </w:rPr>
        <w:t>此表无需在响应文件中提交，磋商</w:t>
      </w:r>
      <w:r>
        <w:rPr>
          <w:rFonts w:hint="eastAsia"/>
          <w:color w:val="auto"/>
          <w:sz w:val="24"/>
          <w:szCs w:val="24"/>
          <w:highlight w:val="none"/>
          <w:lang w:val="en-US" w:eastAsia="zh-CN"/>
        </w:rPr>
        <w:t>环节</w:t>
      </w:r>
      <w:r>
        <w:rPr>
          <w:rFonts w:hint="eastAsia"/>
          <w:color w:val="auto"/>
          <w:sz w:val="24"/>
          <w:szCs w:val="24"/>
          <w:highlight w:val="none"/>
          <w:lang w:val="zh-CN"/>
        </w:rPr>
        <w:t>供应商</w:t>
      </w:r>
      <w:r>
        <w:rPr>
          <w:rFonts w:hint="eastAsia"/>
          <w:b/>
          <w:bCs/>
          <w:color w:val="auto"/>
          <w:sz w:val="24"/>
          <w:szCs w:val="24"/>
          <w:highlight w:val="none"/>
          <w:lang w:val="en-US" w:eastAsia="zh-CN"/>
        </w:rPr>
        <w:t>须在一体化平台系统进行报价提交</w:t>
      </w:r>
      <w:r>
        <w:rPr>
          <w:rFonts w:hint="eastAsia"/>
          <w:color w:val="auto"/>
          <w:sz w:val="24"/>
          <w:szCs w:val="24"/>
          <w:highlight w:val="none"/>
          <w:lang w:val="zh-CN"/>
        </w:rPr>
        <w:t>。</w:t>
      </w:r>
    </w:p>
    <w:p w14:paraId="4ED831C8">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lang w:val="zh-CN"/>
        </w:rPr>
        <w:t xml:space="preserve">      </w:t>
      </w:r>
    </w:p>
    <w:p w14:paraId="56FA9F1F">
      <w:pPr>
        <w:autoSpaceDE w:val="0"/>
        <w:autoSpaceDN w:val="0"/>
        <w:adjustRightInd w:val="0"/>
        <w:snapToGrid w:val="0"/>
        <w:spacing w:before="25" w:after="25" w:line="360" w:lineRule="auto"/>
        <w:ind w:leftChars="200"/>
        <w:rPr>
          <w:color w:val="auto"/>
          <w:sz w:val="24"/>
          <w:szCs w:val="24"/>
          <w:highlight w:val="none"/>
          <w:lang w:val="zh-CN"/>
        </w:rPr>
      </w:pPr>
      <w:r>
        <w:rPr>
          <w:color w:val="auto"/>
          <w:sz w:val="24"/>
          <w:szCs w:val="24"/>
          <w:highlight w:val="none"/>
        </w:rPr>
        <w:t>供应商授权代表签字（或加盖供应商公章）</w:t>
      </w:r>
      <w:r>
        <w:rPr>
          <w:color w:val="auto"/>
          <w:sz w:val="24"/>
          <w:szCs w:val="24"/>
          <w:highlight w:val="none"/>
          <w:lang w:val="zh-CN"/>
        </w:rPr>
        <w:t xml:space="preserve">：___________ </w:t>
      </w:r>
    </w:p>
    <w:p w14:paraId="67B73D74">
      <w:pPr>
        <w:widowControl/>
        <w:ind w:leftChars="200"/>
        <w:jc w:val="left"/>
        <w:rPr>
          <w:color w:val="auto"/>
          <w:sz w:val="24"/>
          <w:szCs w:val="24"/>
          <w:highlight w:val="none"/>
        </w:rPr>
      </w:pPr>
      <w:r>
        <w:rPr>
          <w:color w:val="auto"/>
          <w:sz w:val="24"/>
          <w:szCs w:val="24"/>
          <w:highlight w:val="none"/>
        </w:rPr>
        <w:t xml:space="preserve">日期：____年____月____日   </w:t>
      </w:r>
    </w:p>
    <w:p w14:paraId="7BBD7922">
      <w:pPr>
        <w:widowControl/>
        <w:ind w:leftChars="200"/>
        <w:jc w:val="left"/>
        <w:rPr>
          <w:color w:val="auto"/>
          <w:sz w:val="24"/>
          <w:szCs w:val="24"/>
          <w:highlight w:val="none"/>
        </w:rPr>
      </w:pPr>
      <w:r>
        <w:rPr>
          <w:color w:val="auto"/>
          <w:sz w:val="24"/>
          <w:szCs w:val="24"/>
          <w:highlight w:val="none"/>
        </w:rPr>
        <w:br w:type="page"/>
      </w:r>
    </w:p>
    <w:p w14:paraId="700DF759">
      <w:pPr>
        <w:jc w:val="left"/>
        <w:rPr>
          <w:rFonts w:hint="eastAsia"/>
          <w:color w:val="auto"/>
          <w:sz w:val="24"/>
          <w:szCs w:val="24"/>
          <w:highlight w:val="none"/>
        </w:rPr>
      </w:pPr>
      <w:r>
        <w:rPr>
          <w:color w:val="auto"/>
          <w:sz w:val="24"/>
          <w:szCs w:val="24"/>
          <w:highlight w:val="none"/>
        </w:rPr>
        <w:t>1</w:t>
      </w:r>
      <w:r>
        <w:rPr>
          <w:rFonts w:hint="eastAsia"/>
          <w:color w:val="auto"/>
          <w:sz w:val="24"/>
          <w:szCs w:val="24"/>
          <w:highlight w:val="none"/>
          <w:lang w:val="en-US" w:eastAsia="zh-CN"/>
        </w:rPr>
        <w:t>7</w:t>
      </w:r>
      <w:r>
        <w:rPr>
          <w:color w:val="auto"/>
          <w:sz w:val="24"/>
          <w:szCs w:val="24"/>
          <w:highlight w:val="none"/>
        </w:rPr>
        <w:t xml:space="preserve">  最后分项报价表</w:t>
      </w:r>
      <w:r>
        <w:rPr>
          <w:rFonts w:hint="eastAsia"/>
          <w:color w:val="auto"/>
          <w:sz w:val="24"/>
          <w:szCs w:val="24"/>
          <w:highlight w:val="none"/>
        </w:rPr>
        <w:t>（如有，实质性格式，磋商后提交）</w:t>
      </w:r>
    </w:p>
    <w:p w14:paraId="66431BD5">
      <w:pPr>
        <w:jc w:val="center"/>
        <w:rPr>
          <w:rFonts w:hint="eastAsia"/>
          <w:color w:val="auto"/>
          <w:sz w:val="24"/>
          <w:szCs w:val="24"/>
          <w:highlight w:val="none"/>
        </w:rPr>
      </w:pPr>
    </w:p>
    <w:p w14:paraId="6F58699C">
      <w:pPr>
        <w:jc w:val="center"/>
        <w:rPr>
          <w:color w:val="auto"/>
          <w:sz w:val="24"/>
          <w:szCs w:val="24"/>
          <w:highlight w:val="none"/>
        </w:rPr>
      </w:pPr>
      <w:r>
        <w:rPr>
          <w:color w:val="auto"/>
          <w:sz w:val="24"/>
          <w:szCs w:val="24"/>
          <w:highlight w:val="none"/>
        </w:rPr>
        <w:t>最后分项报价表</w:t>
      </w:r>
    </w:p>
    <w:p w14:paraId="2DD872EB">
      <w:pPr>
        <w:spacing w:line="260" w:lineRule="exact"/>
        <w:jc w:val="center"/>
        <w:rPr>
          <w:color w:val="auto"/>
          <w:sz w:val="24"/>
          <w:szCs w:val="24"/>
          <w:highlight w:val="none"/>
        </w:rPr>
      </w:pPr>
    </w:p>
    <w:p w14:paraId="044DD61C">
      <w:pPr>
        <w:tabs>
          <w:tab w:val="left" w:pos="1800"/>
          <w:tab w:val="left" w:pos="5580"/>
        </w:tabs>
        <w:rPr>
          <w:color w:val="auto"/>
          <w:sz w:val="24"/>
          <w:szCs w:val="24"/>
          <w:highlight w:val="none"/>
        </w:rPr>
      </w:pPr>
    </w:p>
    <w:tbl>
      <w:tblPr>
        <w:tblStyle w:val="53"/>
        <w:tblW w:w="861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28"/>
        <w:gridCol w:w="4497"/>
        <w:gridCol w:w="3193"/>
      </w:tblGrid>
      <w:tr w14:paraId="20E0E0D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8" w:hRule="atLeast"/>
        </w:trPr>
        <w:tc>
          <w:tcPr>
            <w:tcW w:w="928" w:type="dxa"/>
            <w:tcBorders>
              <w:top w:val="single" w:color="auto" w:sz="4" w:space="0"/>
              <w:left w:val="single" w:color="auto" w:sz="4" w:space="0"/>
              <w:bottom w:val="single" w:color="auto" w:sz="4" w:space="0"/>
              <w:right w:val="single" w:color="auto" w:sz="4" w:space="0"/>
            </w:tcBorders>
            <w:vAlign w:val="center"/>
          </w:tcPr>
          <w:p w14:paraId="2E088741">
            <w:pPr>
              <w:adjustRightInd w:val="0"/>
              <w:snapToGrid w:val="0"/>
              <w:jc w:val="center"/>
              <w:rPr>
                <w:b/>
                <w:color w:val="auto"/>
                <w:sz w:val="24"/>
                <w:szCs w:val="24"/>
                <w:highlight w:val="none"/>
              </w:rPr>
            </w:pPr>
            <w:r>
              <w:rPr>
                <w:rFonts w:hint="eastAsia"/>
                <w:b/>
                <w:color w:val="auto"/>
                <w:sz w:val="24"/>
                <w:szCs w:val="24"/>
                <w:highlight w:val="none"/>
              </w:rPr>
              <w:t>序号</w:t>
            </w:r>
          </w:p>
        </w:tc>
        <w:tc>
          <w:tcPr>
            <w:tcW w:w="4497" w:type="dxa"/>
            <w:tcBorders>
              <w:top w:val="single" w:color="auto" w:sz="4" w:space="0"/>
              <w:left w:val="single" w:color="auto" w:sz="4" w:space="0"/>
              <w:bottom w:val="single" w:color="auto" w:sz="4" w:space="0"/>
              <w:right w:val="single" w:color="auto" w:sz="4" w:space="0"/>
            </w:tcBorders>
            <w:vAlign w:val="center"/>
          </w:tcPr>
          <w:p w14:paraId="01DC3A01">
            <w:pPr>
              <w:adjustRightInd w:val="0"/>
              <w:snapToGrid w:val="0"/>
              <w:jc w:val="center"/>
              <w:rPr>
                <w:b/>
                <w:color w:val="auto"/>
                <w:sz w:val="24"/>
                <w:szCs w:val="24"/>
                <w:highlight w:val="none"/>
              </w:rPr>
            </w:pPr>
            <w:r>
              <w:rPr>
                <w:rFonts w:hint="eastAsia"/>
                <w:b/>
                <w:color w:val="auto"/>
                <w:sz w:val="24"/>
                <w:szCs w:val="24"/>
                <w:highlight w:val="none"/>
              </w:rPr>
              <w:t>最后报价计算过程或说明</w:t>
            </w:r>
          </w:p>
        </w:tc>
        <w:tc>
          <w:tcPr>
            <w:tcW w:w="3193" w:type="dxa"/>
            <w:tcBorders>
              <w:top w:val="single" w:color="auto" w:sz="4" w:space="0"/>
              <w:left w:val="single" w:color="auto" w:sz="4" w:space="0"/>
              <w:bottom w:val="single" w:color="auto" w:sz="4" w:space="0"/>
              <w:right w:val="single" w:color="auto" w:sz="4" w:space="0"/>
            </w:tcBorders>
            <w:vAlign w:val="center"/>
          </w:tcPr>
          <w:p w14:paraId="3D744AB5">
            <w:pPr>
              <w:adjustRightInd w:val="0"/>
              <w:snapToGrid w:val="0"/>
              <w:jc w:val="center"/>
              <w:rPr>
                <w:b/>
                <w:color w:val="auto"/>
                <w:sz w:val="24"/>
                <w:szCs w:val="24"/>
                <w:highlight w:val="none"/>
              </w:rPr>
            </w:pPr>
            <w:r>
              <w:rPr>
                <w:rFonts w:hint="eastAsia"/>
                <w:b/>
                <w:color w:val="auto"/>
                <w:sz w:val="24"/>
                <w:szCs w:val="24"/>
                <w:highlight w:val="none"/>
              </w:rPr>
              <w:t>总价（元）</w:t>
            </w:r>
          </w:p>
        </w:tc>
      </w:tr>
      <w:tr w14:paraId="3B602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13" w:hRule="atLeast"/>
        </w:trPr>
        <w:tc>
          <w:tcPr>
            <w:tcW w:w="928" w:type="dxa"/>
            <w:tcBorders>
              <w:top w:val="single" w:color="auto" w:sz="4" w:space="0"/>
              <w:left w:val="single" w:color="auto" w:sz="4" w:space="0"/>
              <w:bottom w:val="single" w:color="auto" w:sz="4" w:space="0"/>
              <w:right w:val="single" w:color="auto" w:sz="4" w:space="0"/>
            </w:tcBorders>
            <w:vAlign w:val="center"/>
          </w:tcPr>
          <w:p w14:paraId="0D58DCD1">
            <w:pPr>
              <w:adjustRightInd w:val="0"/>
              <w:snapToGrid w:val="0"/>
              <w:jc w:val="center"/>
              <w:rPr>
                <w:color w:val="auto"/>
                <w:sz w:val="24"/>
                <w:szCs w:val="24"/>
                <w:highlight w:val="none"/>
              </w:rPr>
            </w:pPr>
            <w:r>
              <w:rPr>
                <w:color w:val="auto"/>
                <w:sz w:val="24"/>
                <w:szCs w:val="24"/>
                <w:highlight w:val="none"/>
              </w:rPr>
              <w:t>1</w:t>
            </w:r>
          </w:p>
        </w:tc>
        <w:tc>
          <w:tcPr>
            <w:tcW w:w="4497" w:type="dxa"/>
            <w:tcBorders>
              <w:top w:val="single" w:color="auto" w:sz="4" w:space="0"/>
              <w:left w:val="single" w:color="auto" w:sz="4" w:space="0"/>
              <w:bottom w:val="single" w:color="auto" w:sz="4" w:space="0"/>
              <w:right w:val="single" w:color="auto" w:sz="4" w:space="0"/>
            </w:tcBorders>
            <w:vAlign w:val="center"/>
          </w:tcPr>
          <w:p w14:paraId="0C402AF0">
            <w:pPr>
              <w:adjustRightInd w:val="0"/>
              <w:snapToGrid w:val="0"/>
              <w:jc w:val="left"/>
              <w:rPr>
                <w:color w:val="auto"/>
                <w:sz w:val="24"/>
                <w:szCs w:val="24"/>
                <w:highlight w:val="none"/>
              </w:rPr>
            </w:pPr>
          </w:p>
        </w:tc>
        <w:tc>
          <w:tcPr>
            <w:tcW w:w="3193" w:type="dxa"/>
            <w:tcBorders>
              <w:top w:val="single" w:color="auto" w:sz="4" w:space="0"/>
              <w:left w:val="single" w:color="auto" w:sz="4" w:space="0"/>
              <w:bottom w:val="single" w:color="auto" w:sz="4" w:space="0"/>
              <w:right w:val="single" w:color="auto" w:sz="4" w:space="0"/>
            </w:tcBorders>
            <w:vAlign w:val="center"/>
          </w:tcPr>
          <w:p w14:paraId="51D72546">
            <w:pPr>
              <w:adjustRightInd w:val="0"/>
              <w:snapToGrid w:val="0"/>
              <w:jc w:val="left"/>
              <w:rPr>
                <w:color w:val="auto"/>
                <w:sz w:val="24"/>
                <w:szCs w:val="24"/>
                <w:highlight w:val="none"/>
              </w:rPr>
            </w:pPr>
          </w:p>
        </w:tc>
      </w:tr>
      <w:tr w14:paraId="32947C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49" w:hRule="atLeast"/>
        </w:trPr>
        <w:tc>
          <w:tcPr>
            <w:tcW w:w="8618" w:type="dxa"/>
            <w:gridSpan w:val="3"/>
            <w:tcBorders>
              <w:top w:val="single" w:color="auto" w:sz="4" w:space="0"/>
              <w:left w:val="single" w:color="auto" w:sz="4" w:space="0"/>
              <w:bottom w:val="single" w:color="auto" w:sz="4" w:space="0"/>
              <w:right w:val="single" w:color="auto" w:sz="4" w:space="0"/>
            </w:tcBorders>
            <w:vAlign w:val="center"/>
          </w:tcPr>
          <w:p w14:paraId="6516A6A0">
            <w:pPr>
              <w:adjustRightInd w:val="0"/>
              <w:snapToGrid w:val="0"/>
              <w:spacing w:line="360" w:lineRule="auto"/>
              <w:jc w:val="left"/>
              <w:rPr>
                <w:rFonts w:hint="eastAsia" w:eastAsia="宋体"/>
                <w:color w:val="auto"/>
                <w:sz w:val="24"/>
                <w:szCs w:val="24"/>
                <w:highlight w:val="none"/>
                <w:lang w:eastAsia="zh-CN"/>
              </w:rPr>
            </w:pPr>
            <w:r>
              <w:rPr>
                <w:rFonts w:hint="eastAsia" w:ascii="宋体" w:hAnsi="宋体" w:eastAsia="宋体" w:cs="宋体"/>
                <w:b w:val="0"/>
                <w:bCs w:val="0"/>
                <w:color w:val="auto"/>
                <w:sz w:val="24"/>
                <w:szCs w:val="24"/>
                <w:highlight w:val="none"/>
                <w:lang w:val="en-US" w:eastAsia="zh-CN"/>
              </w:rPr>
              <w:t>备注：</w:t>
            </w:r>
            <w:r>
              <w:rPr>
                <w:rFonts w:hint="eastAsia" w:ascii="宋体" w:hAnsi="宋体" w:eastAsia="宋体" w:cs="宋体"/>
                <w:b w:val="0"/>
                <w:bCs w:val="0"/>
                <w:color w:val="auto"/>
                <w:sz w:val="24"/>
                <w:szCs w:val="24"/>
                <w:highlight w:val="none"/>
              </w:rPr>
              <w:t>最后报价计算过程或说明可以填写按第一次报价下浮/上浮比例，也可以填写相对第一次报价某部分价格变化情况</w:t>
            </w:r>
            <w:r>
              <w:rPr>
                <w:rFonts w:hint="eastAsia" w:ascii="宋体" w:hAnsi="宋体" w:eastAsia="宋体" w:cs="宋体"/>
                <w:b w:val="0"/>
                <w:bCs w:val="0"/>
                <w:color w:val="auto"/>
                <w:sz w:val="24"/>
                <w:szCs w:val="24"/>
                <w:highlight w:val="none"/>
                <w:lang w:val="en-US" w:eastAsia="zh-CN"/>
              </w:rPr>
              <w:t>或详见已标价的工程量清单。</w:t>
            </w:r>
          </w:p>
        </w:tc>
      </w:tr>
    </w:tbl>
    <w:p w14:paraId="1E17D537">
      <w:pPr>
        <w:rPr>
          <w:rFonts w:hint="eastAsia" w:ascii="宋体" w:hAnsi="宋体" w:cs="宋体"/>
          <w:color w:val="auto"/>
          <w:sz w:val="24"/>
          <w:szCs w:val="24"/>
          <w:highlight w:val="none"/>
        </w:rPr>
      </w:pPr>
    </w:p>
    <w:p w14:paraId="16040BCE">
      <w:pPr>
        <w:rPr>
          <w:rFonts w:hint="eastAsia" w:ascii="宋体" w:hAnsi="宋体" w:cs="宋体"/>
          <w:color w:val="auto"/>
          <w:sz w:val="24"/>
          <w:szCs w:val="24"/>
          <w:highlight w:val="none"/>
        </w:rPr>
      </w:pPr>
    </w:p>
    <w:p w14:paraId="795D6C92">
      <w:pPr>
        <w:autoSpaceDE w:val="0"/>
        <w:autoSpaceDN w:val="0"/>
        <w:adjustRightInd w:val="0"/>
        <w:snapToGrid w:val="0"/>
        <w:spacing w:before="25" w:after="25" w:line="360" w:lineRule="auto"/>
        <w:rPr>
          <w:color w:val="auto"/>
          <w:sz w:val="24"/>
          <w:szCs w:val="24"/>
          <w:highlight w:val="none"/>
          <w:lang w:val="zh-CN"/>
        </w:rPr>
      </w:pPr>
      <w:r>
        <w:rPr>
          <w:color w:val="auto"/>
          <w:sz w:val="24"/>
          <w:szCs w:val="24"/>
          <w:highlight w:val="none"/>
          <w:lang w:val="zh-CN"/>
        </w:rPr>
        <w:t xml:space="preserve">   </w:t>
      </w:r>
    </w:p>
    <w:p w14:paraId="3285574E">
      <w:pPr>
        <w:autoSpaceDE w:val="0"/>
        <w:autoSpaceDN w:val="0"/>
        <w:adjustRightInd w:val="0"/>
        <w:snapToGrid w:val="0"/>
        <w:spacing w:line="360" w:lineRule="auto"/>
        <w:rPr>
          <w:color w:val="auto"/>
          <w:sz w:val="24"/>
          <w:szCs w:val="24"/>
          <w:highlight w:val="none"/>
        </w:rPr>
      </w:pPr>
      <w:r>
        <w:rPr>
          <w:color w:val="auto"/>
          <w:sz w:val="24"/>
          <w:szCs w:val="24"/>
          <w:highlight w:val="none"/>
        </w:rPr>
        <w:t>注：1.本表应按</w:t>
      </w:r>
      <w:r>
        <w:rPr>
          <w:rFonts w:hint="eastAsia"/>
          <w:color w:val="auto"/>
          <w:sz w:val="24"/>
          <w:szCs w:val="24"/>
          <w:highlight w:val="none"/>
        </w:rPr>
        <w:t>项目类别</w:t>
      </w:r>
      <w:r>
        <w:rPr>
          <w:color w:val="auto"/>
          <w:sz w:val="24"/>
          <w:szCs w:val="24"/>
          <w:highlight w:val="none"/>
        </w:rPr>
        <w:t>分别填写</w:t>
      </w:r>
      <w:r>
        <w:rPr>
          <w:rFonts w:hint="eastAsia"/>
          <w:color w:val="auto"/>
          <w:sz w:val="24"/>
          <w:szCs w:val="24"/>
          <w:highlight w:val="none"/>
          <w:lang w:eastAsia="zh-CN"/>
        </w:rPr>
        <w:t>，</w:t>
      </w:r>
      <w:r>
        <w:rPr>
          <w:rFonts w:hint="eastAsia"/>
          <w:color w:val="auto"/>
          <w:sz w:val="24"/>
          <w:szCs w:val="24"/>
          <w:highlight w:val="none"/>
          <w:lang w:val="en-US" w:eastAsia="zh-CN"/>
        </w:rPr>
        <w:t>也可根据项目实际情况进行格式调整</w:t>
      </w:r>
      <w:r>
        <w:rPr>
          <w:color w:val="auto"/>
          <w:sz w:val="24"/>
          <w:szCs w:val="24"/>
          <w:highlight w:val="none"/>
        </w:rPr>
        <w:t>。</w:t>
      </w:r>
    </w:p>
    <w:p w14:paraId="03E1AE31">
      <w:pPr>
        <w:tabs>
          <w:tab w:val="left" w:pos="1800"/>
          <w:tab w:val="left" w:pos="5580"/>
        </w:tabs>
        <w:spacing w:line="360" w:lineRule="auto"/>
        <w:ind w:firstLine="480" w:firstLineChars="200"/>
        <w:jc w:val="left"/>
        <w:rPr>
          <w:color w:val="auto"/>
          <w:sz w:val="24"/>
          <w:szCs w:val="24"/>
          <w:highlight w:val="none"/>
        </w:rPr>
      </w:pPr>
      <w:r>
        <w:rPr>
          <w:color w:val="auto"/>
          <w:sz w:val="24"/>
          <w:szCs w:val="24"/>
          <w:highlight w:val="none"/>
        </w:rPr>
        <w:t>2.如果</w:t>
      </w:r>
      <w:r>
        <w:rPr>
          <w:rFonts w:hint="eastAsia"/>
          <w:color w:val="auto"/>
          <w:sz w:val="24"/>
          <w:szCs w:val="24"/>
          <w:highlight w:val="none"/>
        </w:rPr>
        <w:t>最终报价有变动，须将</w:t>
      </w:r>
      <w:r>
        <w:rPr>
          <w:rFonts w:hint="eastAsia"/>
          <w:color w:val="auto"/>
          <w:sz w:val="24"/>
          <w:szCs w:val="24"/>
          <w:highlight w:val="none"/>
          <w:lang w:val="en-US" w:eastAsia="zh-CN"/>
        </w:rPr>
        <w:t>变动后的最后分项报价表或</w:t>
      </w:r>
      <w:r>
        <w:rPr>
          <w:rFonts w:hint="eastAsia"/>
          <w:b/>
          <w:bCs/>
          <w:color w:val="auto"/>
          <w:sz w:val="24"/>
          <w:szCs w:val="24"/>
          <w:highlight w:val="none"/>
          <w:lang w:val="en-US" w:eastAsia="zh-CN"/>
        </w:rPr>
        <w:t>最终版已标价的工程量清单</w:t>
      </w:r>
      <w:r>
        <w:rPr>
          <w:rFonts w:hint="eastAsia"/>
          <w:color w:val="auto"/>
          <w:sz w:val="24"/>
          <w:szCs w:val="24"/>
          <w:highlight w:val="none"/>
        </w:rPr>
        <w:t>以邮件形式在磋商环节发送至我公司邮箱</w:t>
      </w:r>
      <w:r>
        <w:rPr>
          <w:rFonts w:hint="eastAsia"/>
          <w:color w:val="auto"/>
          <w:sz w:val="24"/>
          <w:szCs w:val="24"/>
          <w:highlight w:val="none"/>
          <w:lang w:val="en-US" w:eastAsia="zh-CN"/>
        </w:rPr>
        <w:t>66442483@qq.com</w:t>
      </w:r>
      <w:r>
        <w:rPr>
          <w:rFonts w:hint="eastAsia"/>
          <w:color w:val="auto"/>
          <w:sz w:val="24"/>
          <w:szCs w:val="24"/>
          <w:highlight w:val="none"/>
        </w:rPr>
        <w:t>（如供应商在现场可以在现场进行提交）；如最终报价无变动，无须填写。</w:t>
      </w:r>
    </w:p>
    <w:p w14:paraId="7FBF9122">
      <w:pPr>
        <w:tabs>
          <w:tab w:val="left" w:pos="1800"/>
          <w:tab w:val="left" w:pos="5580"/>
        </w:tabs>
        <w:spacing w:line="360" w:lineRule="auto"/>
        <w:ind w:firstLine="480" w:firstLineChars="200"/>
        <w:jc w:val="left"/>
        <w:rPr>
          <w:color w:val="auto"/>
          <w:sz w:val="24"/>
          <w:szCs w:val="24"/>
          <w:highlight w:val="none"/>
        </w:rPr>
      </w:pPr>
      <w:r>
        <w:rPr>
          <w:color w:val="auto"/>
          <w:sz w:val="24"/>
          <w:szCs w:val="24"/>
          <w:highlight w:val="none"/>
        </w:rPr>
        <w:t>3.上述各项的详细规格（如有），可另页描述。</w:t>
      </w:r>
    </w:p>
    <w:p w14:paraId="0448F950">
      <w:pPr>
        <w:autoSpaceDE w:val="0"/>
        <w:autoSpaceDN w:val="0"/>
        <w:adjustRightInd w:val="0"/>
        <w:snapToGrid w:val="0"/>
        <w:spacing w:before="25" w:after="25" w:line="360" w:lineRule="auto"/>
        <w:ind w:firstLine="424" w:firstLineChars="177"/>
        <w:rPr>
          <w:color w:val="auto"/>
          <w:sz w:val="24"/>
          <w:szCs w:val="24"/>
          <w:highlight w:val="none"/>
          <w:lang w:val="zh-CN"/>
        </w:rPr>
      </w:pPr>
      <w:r>
        <w:rPr>
          <w:rFonts w:hint="eastAsia"/>
          <w:color w:val="auto"/>
          <w:sz w:val="24"/>
          <w:szCs w:val="24"/>
          <w:highlight w:val="none"/>
        </w:rPr>
        <w:t>4.</w:t>
      </w:r>
      <w:r>
        <w:rPr>
          <w:rFonts w:hint="eastAsia"/>
          <w:color w:val="auto"/>
          <w:sz w:val="24"/>
          <w:szCs w:val="24"/>
          <w:highlight w:val="none"/>
          <w:lang w:val="zh-CN"/>
        </w:rPr>
        <w:t>此表无需在响应文件中提交，磋商后供应商按磋商小组要求提交。</w:t>
      </w:r>
    </w:p>
    <w:p w14:paraId="5EA5D2A2">
      <w:pPr>
        <w:widowControl/>
        <w:jc w:val="left"/>
        <w:rPr>
          <w:color w:val="auto"/>
          <w:sz w:val="24"/>
          <w:szCs w:val="24"/>
          <w:highlight w:val="none"/>
          <w:lang w:val="zh-CN"/>
        </w:rPr>
      </w:pPr>
      <w:r>
        <w:rPr>
          <w:color w:val="auto"/>
          <w:sz w:val="24"/>
          <w:szCs w:val="24"/>
          <w:highlight w:val="none"/>
          <w:lang w:val="zh-CN"/>
        </w:rPr>
        <w:br w:type="page"/>
      </w:r>
    </w:p>
    <w:p w14:paraId="1A8E81B2">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8</w:t>
      </w:r>
      <w:r>
        <w:rPr>
          <w:rFonts w:hint="eastAsia"/>
          <w:color w:val="auto"/>
          <w:sz w:val="24"/>
          <w:szCs w:val="24"/>
          <w:highlight w:val="none"/>
        </w:rPr>
        <w:t xml:space="preserve"> 最后报价构成表（如有，实质性格式，磋商后提交）</w:t>
      </w:r>
    </w:p>
    <w:p w14:paraId="68125244">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8</w:t>
      </w:r>
      <w:r>
        <w:rPr>
          <w:rFonts w:hint="eastAsia"/>
          <w:color w:val="auto"/>
          <w:sz w:val="24"/>
          <w:szCs w:val="24"/>
          <w:highlight w:val="none"/>
        </w:rPr>
        <w:t>-1 最终报价中分包情况说明</w:t>
      </w:r>
    </w:p>
    <w:tbl>
      <w:tblPr>
        <w:tblStyle w:val="5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7"/>
        <w:gridCol w:w="2610"/>
        <w:gridCol w:w="3051"/>
        <w:gridCol w:w="3165"/>
      </w:tblGrid>
      <w:tr w14:paraId="1417965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1EAFB48">
            <w:pPr>
              <w:pStyle w:val="258"/>
              <w:jc w:val="center"/>
              <w:rPr>
                <w:rFonts w:hint="eastAsia"/>
                <w:color w:val="auto"/>
                <w:sz w:val="24"/>
                <w:szCs w:val="24"/>
                <w:highlight w:val="none"/>
              </w:rPr>
            </w:pPr>
            <w:r>
              <w:rPr>
                <w:rFonts w:hint="eastAsia"/>
                <w:color w:val="auto"/>
                <w:sz w:val="24"/>
                <w:szCs w:val="24"/>
                <w:highlight w:val="none"/>
              </w:rPr>
              <w:t>序号</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B6C74E">
            <w:pPr>
              <w:pStyle w:val="258"/>
              <w:jc w:val="center"/>
              <w:rPr>
                <w:rFonts w:hint="eastAsia"/>
                <w:color w:val="auto"/>
                <w:sz w:val="24"/>
                <w:szCs w:val="24"/>
                <w:highlight w:val="none"/>
              </w:rPr>
            </w:pPr>
            <w:r>
              <w:rPr>
                <w:rFonts w:hint="eastAsia"/>
                <w:color w:val="auto"/>
                <w:sz w:val="24"/>
                <w:szCs w:val="24"/>
                <w:highlight w:val="none"/>
              </w:rPr>
              <w:t>分包承担</w:t>
            </w:r>
          </w:p>
          <w:p w14:paraId="5508E67C">
            <w:pPr>
              <w:pStyle w:val="258"/>
              <w:jc w:val="center"/>
              <w:rPr>
                <w:rFonts w:hint="eastAsia"/>
                <w:color w:val="auto"/>
                <w:sz w:val="24"/>
                <w:szCs w:val="24"/>
                <w:highlight w:val="none"/>
              </w:rPr>
            </w:pPr>
            <w:r>
              <w:rPr>
                <w:rFonts w:hint="eastAsia"/>
                <w:color w:val="auto"/>
                <w:sz w:val="24"/>
                <w:szCs w:val="24"/>
                <w:highlight w:val="none"/>
              </w:rPr>
              <w:t>主体名称</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17EF325">
            <w:pPr>
              <w:pStyle w:val="258"/>
              <w:jc w:val="center"/>
              <w:rPr>
                <w:rFonts w:hint="eastAsia"/>
                <w:color w:val="auto"/>
                <w:sz w:val="24"/>
                <w:szCs w:val="24"/>
                <w:highlight w:val="none"/>
                <w:lang w:eastAsia="zh-CN"/>
              </w:rPr>
            </w:pPr>
            <w:r>
              <w:rPr>
                <w:rFonts w:hint="eastAsia"/>
                <w:color w:val="auto"/>
                <w:sz w:val="24"/>
                <w:szCs w:val="24"/>
                <w:highlight w:val="none"/>
                <w:lang w:eastAsia="zh-CN"/>
              </w:rPr>
              <w:t>分包承担</w:t>
            </w:r>
          </w:p>
          <w:p w14:paraId="0E42B2F4">
            <w:pPr>
              <w:pStyle w:val="258"/>
              <w:jc w:val="center"/>
              <w:rPr>
                <w:rFonts w:hint="eastAsia"/>
                <w:color w:val="auto"/>
                <w:sz w:val="24"/>
                <w:szCs w:val="24"/>
                <w:highlight w:val="none"/>
                <w:lang w:eastAsia="zh-CN"/>
              </w:rPr>
            </w:pPr>
            <w:r>
              <w:rPr>
                <w:rFonts w:hint="eastAsia"/>
                <w:color w:val="auto"/>
                <w:sz w:val="24"/>
                <w:szCs w:val="24"/>
                <w:highlight w:val="none"/>
                <w:lang w:eastAsia="zh-CN"/>
              </w:rPr>
              <w:t>主体类型</w:t>
            </w:r>
          </w:p>
          <w:p w14:paraId="2FD7EC52">
            <w:pPr>
              <w:pStyle w:val="258"/>
              <w:jc w:val="center"/>
              <w:rPr>
                <w:rFonts w:hint="eastAsia"/>
                <w:color w:val="auto"/>
                <w:sz w:val="24"/>
                <w:szCs w:val="24"/>
                <w:highlight w:val="none"/>
                <w:lang w:eastAsia="zh-CN"/>
              </w:rPr>
            </w:pPr>
            <w:r>
              <w:rPr>
                <w:rFonts w:hint="eastAsia"/>
                <w:color w:val="auto"/>
                <w:sz w:val="24"/>
                <w:szCs w:val="24"/>
                <w:highlight w:val="none"/>
                <w:lang w:eastAsia="zh-CN"/>
              </w:rPr>
              <w:t>（勾选）</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91C9AE">
            <w:pPr>
              <w:pStyle w:val="258"/>
              <w:jc w:val="center"/>
              <w:rPr>
                <w:rFonts w:hint="eastAsia"/>
                <w:color w:val="auto"/>
                <w:sz w:val="24"/>
                <w:szCs w:val="24"/>
                <w:highlight w:val="none"/>
                <w:lang w:eastAsia="zh-CN"/>
              </w:rPr>
            </w:pPr>
            <w:r>
              <w:rPr>
                <w:rFonts w:hint="eastAsia"/>
                <w:color w:val="auto"/>
                <w:sz w:val="24"/>
                <w:szCs w:val="24"/>
                <w:highlight w:val="none"/>
                <w:lang w:eastAsia="zh-CN"/>
              </w:rPr>
              <w:t>拟分包</w:t>
            </w:r>
          </w:p>
          <w:p w14:paraId="38F2BB0E">
            <w:pPr>
              <w:pStyle w:val="258"/>
              <w:jc w:val="center"/>
              <w:rPr>
                <w:rFonts w:hint="eastAsia"/>
                <w:color w:val="auto"/>
                <w:sz w:val="24"/>
                <w:szCs w:val="24"/>
                <w:highlight w:val="none"/>
                <w:lang w:eastAsia="zh-CN"/>
              </w:rPr>
            </w:pPr>
            <w:r>
              <w:rPr>
                <w:rFonts w:hint="eastAsia"/>
                <w:color w:val="auto"/>
                <w:sz w:val="24"/>
                <w:szCs w:val="24"/>
                <w:highlight w:val="none"/>
                <w:lang w:eastAsia="zh-CN"/>
              </w:rPr>
              <w:t>合同金额</w:t>
            </w:r>
          </w:p>
          <w:p w14:paraId="52FECD52">
            <w:pPr>
              <w:pStyle w:val="258"/>
              <w:jc w:val="center"/>
              <w:rPr>
                <w:rFonts w:hint="eastAsia"/>
                <w:color w:val="auto"/>
                <w:sz w:val="24"/>
                <w:szCs w:val="24"/>
                <w:highlight w:val="none"/>
                <w:lang w:eastAsia="zh-CN"/>
              </w:rPr>
            </w:pPr>
            <w:r>
              <w:rPr>
                <w:rFonts w:hint="eastAsia"/>
                <w:color w:val="auto"/>
                <w:sz w:val="24"/>
                <w:szCs w:val="24"/>
                <w:highlight w:val="none"/>
                <w:lang w:eastAsia="zh-CN"/>
              </w:rPr>
              <w:t>（人民币元）</w:t>
            </w:r>
          </w:p>
        </w:tc>
      </w:tr>
      <w:tr w14:paraId="4190F81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7EF2905">
            <w:pPr>
              <w:pStyle w:val="258"/>
              <w:jc w:val="center"/>
              <w:rPr>
                <w:rFonts w:hint="eastAsia" w:ascii="Times New Roman"/>
                <w:color w:val="auto"/>
                <w:sz w:val="24"/>
                <w:szCs w:val="24"/>
                <w:highlight w:val="none"/>
              </w:rPr>
            </w:pPr>
            <w:r>
              <w:rPr>
                <w:rFonts w:ascii="Times New Roman"/>
                <w:color w:val="auto"/>
                <w:sz w:val="24"/>
                <w:szCs w:val="24"/>
                <w:highlight w:val="none"/>
              </w:rPr>
              <w:t>1</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D05A578">
            <w:pPr>
              <w:pStyle w:val="258"/>
              <w:jc w:val="center"/>
              <w:rPr>
                <w:rFonts w:ascii="Times New Roman" w:hAnsi="Times New Roman" w:cs="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CA9C1B6">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57794A24">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631E3DEA">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□其他</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A3A16FF">
            <w:pPr>
              <w:pStyle w:val="258"/>
              <w:jc w:val="center"/>
              <w:rPr>
                <w:rFonts w:hint="eastAsia" w:ascii="Times New Roman"/>
                <w:color w:val="auto"/>
                <w:sz w:val="24"/>
                <w:szCs w:val="24"/>
                <w:highlight w:val="none"/>
                <w:lang w:eastAsia="zh-CN"/>
              </w:rPr>
            </w:pPr>
          </w:p>
        </w:tc>
      </w:tr>
      <w:tr w14:paraId="2740BA2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89B6A8">
            <w:pPr>
              <w:pStyle w:val="258"/>
              <w:jc w:val="center"/>
              <w:rPr>
                <w:rFonts w:hint="eastAsia" w:ascii="Times New Roman"/>
                <w:color w:val="auto"/>
                <w:sz w:val="24"/>
                <w:szCs w:val="24"/>
                <w:highlight w:val="none"/>
                <w:lang w:eastAsia="zh-CN"/>
              </w:rPr>
            </w:pPr>
            <w:r>
              <w:rPr>
                <w:rFonts w:ascii="Times New Roman"/>
                <w:color w:val="auto"/>
                <w:sz w:val="24"/>
                <w:szCs w:val="24"/>
                <w:highlight w:val="none"/>
                <w:lang w:eastAsia="zh-CN"/>
              </w:rPr>
              <w:t>2</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314F5B">
            <w:pPr>
              <w:pStyle w:val="258"/>
              <w:jc w:val="center"/>
              <w:rPr>
                <w:rFonts w:hint="eastAsia" w:ascii="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DBE2782">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42FE6AB6">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3550A2B5">
            <w:pPr>
              <w:pStyle w:val="258"/>
              <w:tabs>
                <w:tab w:val="left" w:pos="235"/>
              </w:tabs>
              <w:ind w:left="-90" w:leftChars="-43" w:firstLine="122" w:firstLineChars="51"/>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□其他</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17EC461">
            <w:pPr>
              <w:pStyle w:val="258"/>
              <w:jc w:val="center"/>
              <w:rPr>
                <w:rFonts w:hint="eastAsia" w:ascii="Times New Roman"/>
                <w:color w:val="auto"/>
                <w:sz w:val="24"/>
                <w:szCs w:val="24"/>
                <w:highlight w:val="none"/>
                <w:lang w:eastAsia="zh-CN"/>
              </w:rPr>
            </w:pPr>
          </w:p>
        </w:tc>
      </w:tr>
      <w:tr w14:paraId="24D27E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31EF7C">
            <w:pPr>
              <w:pStyle w:val="258"/>
              <w:jc w:val="center"/>
              <w:rPr>
                <w:rFonts w:hint="eastAsia" w:ascii="Times New Roman"/>
                <w:color w:val="auto"/>
                <w:sz w:val="24"/>
                <w:szCs w:val="24"/>
                <w:highlight w:val="none"/>
                <w:lang w:eastAsia="zh-CN"/>
              </w:rPr>
            </w:pPr>
            <w:r>
              <w:rPr>
                <w:rFonts w:hint="eastAsia" w:ascii="Times New Roman"/>
                <w:color w:val="auto"/>
                <w:sz w:val="24"/>
                <w:szCs w:val="24"/>
                <w:highlight w:val="none"/>
                <w:lang w:eastAsia="zh-CN"/>
              </w:rPr>
              <w:t>…</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BBD6448">
            <w:pPr>
              <w:pStyle w:val="258"/>
              <w:jc w:val="center"/>
              <w:rPr>
                <w:rFonts w:hint="eastAsia" w:ascii="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BBCD7EC">
            <w:pPr>
              <w:pStyle w:val="258"/>
              <w:tabs>
                <w:tab w:val="left" w:pos="235"/>
              </w:tabs>
              <w:jc w:val="center"/>
              <w:rPr>
                <w:rFonts w:hint="eastAsia"/>
                <w:color w:val="auto"/>
                <w:sz w:val="24"/>
                <w:szCs w:val="24"/>
                <w:highlight w:val="none"/>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6B47AAA">
            <w:pPr>
              <w:pStyle w:val="258"/>
              <w:jc w:val="center"/>
              <w:rPr>
                <w:rFonts w:hint="eastAsia" w:ascii="Times New Roman"/>
                <w:color w:val="auto"/>
                <w:sz w:val="24"/>
                <w:szCs w:val="24"/>
                <w:highlight w:val="none"/>
              </w:rPr>
            </w:pPr>
          </w:p>
        </w:tc>
      </w:tr>
      <w:tr w14:paraId="7B5F948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3A39F48A">
            <w:pPr>
              <w:pStyle w:val="258"/>
              <w:jc w:val="center"/>
              <w:rPr>
                <w:rFonts w:hint="eastAsia" w:ascii="Times New Roman"/>
                <w:color w:val="auto"/>
                <w:sz w:val="24"/>
                <w:szCs w:val="24"/>
                <w:highlight w:val="none"/>
              </w:rPr>
            </w:pPr>
            <w:r>
              <w:rPr>
                <w:rFonts w:ascii="Times New Roman"/>
                <w:color w:val="auto"/>
                <w:sz w:val="24"/>
                <w:szCs w:val="24"/>
                <w:highlight w:val="none"/>
              </w:rPr>
              <w:t>合计</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6720BB">
            <w:pPr>
              <w:pStyle w:val="258"/>
              <w:jc w:val="center"/>
              <w:rPr>
                <w:rFonts w:hint="eastAsia" w:ascii="Times New Roman"/>
                <w:color w:val="auto"/>
                <w:sz w:val="24"/>
                <w:szCs w:val="24"/>
                <w:highlight w:val="none"/>
              </w:rPr>
            </w:pPr>
          </w:p>
        </w:tc>
      </w:tr>
    </w:tbl>
    <w:p w14:paraId="1CD1DCC8">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1</w:t>
      </w:r>
      <w:r>
        <w:rPr>
          <w:rFonts w:hint="eastAsia"/>
          <w:color w:val="auto"/>
          <w:sz w:val="24"/>
          <w:szCs w:val="24"/>
          <w:highlight w:val="none"/>
          <w:lang w:val="en-US" w:eastAsia="zh-CN"/>
        </w:rPr>
        <w:t>8</w:t>
      </w:r>
      <w:r>
        <w:rPr>
          <w:rFonts w:hint="eastAsia"/>
          <w:color w:val="auto"/>
          <w:sz w:val="24"/>
          <w:szCs w:val="24"/>
          <w:highlight w:val="none"/>
        </w:rPr>
        <w:t>-2 联合体最终报价情况说明</w:t>
      </w:r>
    </w:p>
    <w:tbl>
      <w:tblPr>
        <w:tblStyle w:val="53"/>
        <w:tblW w:w="4998"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927"/>
        <w:gridCol w:w="2610"/>
        <w:gridCol w:w="3051"/>
        <w:gridCol w:w="3165"/>
      </w:tblGrid>
      <w:tr w14:paraId="5658961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47"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0FA120">
            <w:pPr>
              <w:pStyle w:val="258"/>
              <w:jc w:val="center"/>
              <w:rPr>
                <w:rFonts w:hint="eastAsia"/>
                <w:color w:val="auto"/>
                <w:sz w:val="24"/>
                <w:szCs w:val="24"/>
                <w:highlight w:val="none"/>
              </w:rPr>
            </w:pPr>
            <w:r>
              <w:rPr>
                <w:rFonts w:hint="eastAsia"/>
                <w:color w:val="auto"/>
                <w:sz w:val="24"/>
                <w:szCs w:val="24"/>
                <w:highlight w:val="none"/>
              </w:rPr>
              <w:t>序号</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4A51282">
            <w:pPr>
              <w:pStyle w:val="258"/>
              <w:jc w:val="center"/>
              <w:rPr>
                <w:rFonts w:hint="eastAsia"/>
                <w:color w:val="auto"/>
                <w:sz w:val="24"/>
                <w:szCs w:val="24"/>
                <w:highlight w:val="none"/>
              </w:rPr>
            </w:pPr>
            <w:r>
              <w:rPr>
                <w:rFonts w:hint="eastAsia"/>
                <w:color w:val="auto"/>
                <w:sz w:val="24"/>
                <w:szCs w:val="24"/>
                <w:highlight w:val="none"/>
              </w:rPr>
              <w:t>联合体成员名称</w:t>
            </w: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BC3BC73">
            <w:pPr>
              <w:pStyle w:val="258"/>
              <w:jc w:val="center"/>
              <w:rPr>
                <w:rFonts w:hint="eastAsia"/>
                <w:color w:val="auto"/>
                <w:sz w:val="24"/>
                <w:szCs w:val="24"/>
                <w:highlight w:val="none"/>
                <w:lang w:eastAsia="zh-CN"/>
              </w:rPr>
            </w:pPr>
            <w:r>
              <w:rPr>
                <w:rFonts w:hint="eastAsia"/>
                <w:color w:val="auto"/>
                <w:sz w:val="24"/>
                <w:szCs w:val="24"/>
                <w:highlight w:val="none"/>
                <w:lang w:eastAsia="zh-CN"/>
              </w:rPr>
              <w:t>联合体成员类型</w:t>
            </w:r>
          </w:p>
          <w:p w14:paraId="2F215C99">
            <w:pPr>
              <w:pStyle w:val="258"/>
              <w:jc w:val="center"/>
              <w:rPr>
                <w:rFonts w:hint="eastAsia"/>
                <w:color w:val="auto"/>
                <w:sz w:val="24"/>
                <w:szCs w:val="24"/>
                <w:highlight w:val="none"/>
                <w:lang w:eastAsia="zh-CN"/>
              </w:rPr>
            </w:pPr>
            <w:r>
              <w:rPr>
                <w:rFonts w:hint="eastAsia"/>
                <w:color w:val="auto"/>
                <w:sz w:val="24"/>
                <w:szCs w:val="24"/>
                <w:highlight w:val="none"/>
                <w:lang w:eastAsia="zh-CN"/>
              </w:rPr>
              <w:t>（选择）</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DEA24BD">
            <w:pPr>
              <w:pStyle w:val="258"/>
              <w:jc w:val="center"/>
              <w:rPr>
                <w:rFonts w:hint="eastAsia"/>
                <w:color w:val="auto"/>
                <w:sz w:val="24"/>
                <w:szCs w:val="24"/>
                <w:highlight w:val="none"/>
                <w:lang w:eastAsia="zh-CN"/>
              </w:rPr>
            </w:pPr>
            <w:r>
              <w:rPr>
                <w:rFonts w:hint="eastAsia"/>
                <w:color w:val="auto"/>
                <w:sz w:val="24"/>
                <w:szCs w:val="24"/>
                <w:highlight w:val="none"/>
                <w:lang w:eastAsia="zh-CN"/>
              </w:rPr>
              <w:t>合同金额</w:t>
            </w:r>
          </w:p>
          <w:p w14:paraId="0A902142">
            <w:pPr>
              <w:pStyle w:val="258"/>
              <w:jc w:val="center"/>
              <w:rPr>
                <w:rFonts w:hint="eastAsia"/>
                <w:color w:val="auto"/>
                <w:sz w:val="24"/>
                <w:szCs w:val="24"/>
                <w:highlight w:val="none"/>
                <w:lang w:eastAsia="zh-CN"/>
              </w:rPr>
            </w:pPr>
            <w:r>
              <w:rPr>
                <w:rFonts w:hint="eastAsia"/>
                <w:color w:val="auto"/>
                <w:sz w:val="24"/>
                <w:szCs w:val="24"/>
                <w:highlight w:val="none"/>
                <w:lang w:eastAsia="zh-CN"/>
              </w:rPr>
              <w:t>（人民币元）</w:t>
            </w:r>
          </w:p>
        </w:tc>
      </w:tr>
      <w:tr w14:paraId="065D034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F8334F8">
            <w:pPr>
              <w:pStyle w:val="258"/>
              <w:jc w:val="center"/>
              <w:rPr>
                <w:rFonts w:hint="eastAsia" w:ascii="Times New Roman"/>
                <w:color w:val="auto"/>
                <w:sz w:val="24"/>
                <w:szCs w:val="24"/>
                <w:highlight w:val="none"/>
              </w:rPr>
            </w:pPr>
            <w:r>
              <w:rPr>
                <w:rFonts w:ascii="Times New Roman"/>
                <w:color w:val="auto"/>
                <w:sz w:val="24"/>
                <w:szCs w:val="24"/>
                <w:highlight w:val="none"/>
              </w:rPr>
              <w:t>1</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793D98D">
            <w:pPr>
              <w:pStyle w:val="258"/>
              <w:jc w:val="center"/>
              <w:rPr>
                <w:rFonts w:ascii="Times New Roman" w:hAnsi="Times New Roman" w:cs="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76FDDCB">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099C7111">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6E045456">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□其他</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7244AF9">
            <w:pPr>
              <w:pStyle w:val="258"/>
              <w:jc w:val="center"/>
              <w:rPr>
                <w:rFonts w:hint="eastAsia" w:ascii="Times New Roman"/>
                <w:color w:val="auto"/>
                <w:sz w:val="24"/>
                <w:szCs w:val="24"/>
                <w:highlight w:val="none"/>
                <w:lang w:eastAsia="zh-CN"/>
              </w:rPr>
            </w:pPr>
          </w:p>
        </w:tc>
      </w:tr>
      <w:tr w14:paraId="390A549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954A0CD">
            <w:pPr>
              <w:pStyle w:val="258"/>
              <w:jc w:val="center"/>
              <w:rPr>
                <w:rFonts w:hint="eastAsia" w:ascii="Times New Roman"/>
                <w:color w:val="auto"/>
                <w:sz w:val="24"/>
                <w:szCs w:val="24"/>
                <w:highlight w:val="none"/>
                <w:lang w:eastAsia="zh-CN"/>
              </w:rPr>
            </w:pPr>
            <w:r>
              <w:rPr>
                <w:rFonts w:ascii="Times New Roman"/>
                <w:color w:val="auto"/>
                <w:sz w:val="24"/>
                <w:szCs w:val="24"/>
                <w:highlight w:val="none"/>
                <w:lang w:eastAsia="zh-CN"/>
              </w:rPr>
              <w:t>2</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A9ADAA">
            <w:pPr>
              <w:pStyle w:val="258"/>
              <w:jc w:val="center"/>
              <w:rPr>
                <w:rFonts w:hint="eastAsia" w:ascii="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FCFC4A4">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中型企业</w:t>
            </w:r>
          </w:p>
          <w:p w14:paraId="70B799C6">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w:t>
            </w:r>
            <w:r>
              <w:rPr>
                <w:rFonts w:hint="eastAsia" w:ascii="Times New Roman" w:hAnsi="Times New Roman" w:cs="Times New Roman"/>
                <w:color w:val="auto"/>
                <w:sz w:val="24"/>
                <w:szCs w:val="24"/>
                <w:highlight w:val="none"/>
                <w:lang w:eastAsia="zh-CN"/>
              </w:rPr>
              <w:t>小微企业</w:t>
            </w:r>
          </w:p>
          <w:p w14:paraId="4E40CA97">
            <w:pPr>
              <w:pStyle w:val="258"/>
              <w:tabs>
                <w:tab w:val="left" w:pos="235"/>
              </w:tabs>
              <w:ind w:left="-90" w:leftChars="-43" w:firstLine="213" w:firstLineChars="89"/>
              <w:rPr>
                <w:rFonts w:ascii="Times New Roman" w:hAnsi="Times New Roman" w:cs="Times New Roman"/>
                <w:color w:val="auto"/>
                <w:sz w:val="24"/>
                <w:szCs w:val="24"/>
                <w:highlight w:val="none"/>
                <w:lang w:eastAsia="zh-CN"/>
              </w:rPr>
            </w:pPr>
            <w:r>
              <w:rPr>
                <w:rFonts w:ascii="Times New Roman" w:hAnsi="Times New Roman" w:cs="Times New Roman"/>
                <w:color w:val="auto"/>
                <w:sz w:val="24"/>
                <w:szCs w:val="24"/>
                <w:highlight w:val="none"/>
                <w:lang w:eastAsia="zh-CN"/>
              </w:rPr>
              <w:t>□其他</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8E949">
            <w:pPr>
              <w:pStyle w:val="258"/>
              <w:jc w:val="center"/>
              <w:rPr>
                <w:rFonts w:hint="eastAsia" w:ascii="Times New Roman"/>
                <w:color w:val="auto"/>
                <w:sz w:val="24"/>
                <w:szCs w:val="24"/>
                <w:highlight w:val="none"/>
                <w:lang w:eastAsia="zh-CN"/>
              </w:rPr>
            </w:pPr>
          </w:p>
        </w:tc>
      </w:tr>
      <w:tr w14:paraId="6BBC2F7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475"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C5CBC43">
            <w:pPr>
              <w:pStyle w:val="258"/>
              <w:jc w:val="center"/>
              <w:rPr>
                <w:rFonts w:hint="eastAsia" w:ascii="Times New Roman"/>
                <w:color w:val="auto"/>
                <w:sz w:val="24"/>
                <w:szCs w:val="24"/>
                <w:highlight w:val="none"/>
                <w:lang w:eastAsia="zh-CN"/>
              </w:rPr>
            </w:pPr>
            <w:r>
              <w:rPr>
                <w:rFonts w:hint="eastAsia" w:ascii="Times New Roman"/>
                <w:color w:val="auto"/>
                <w:sz w:val="24"/>
                <w:szCs w:val="24"/>
                <w:highlight w:val="none"/>
                <w:lang w:eastAsia="zh-CN"/>
              </w:rPr>
              <w:t>…</w:t>
            </w:r>
          </w:p>
        </w:tc>
        <w:tc>
          <w:tcPr>
            <w:tcW w:w="133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CAF3D24">
            <w:pPr>
              <w:pStyle w:val="258"/>
              <w:jc w:val="center"/>
              <w:rPr>
                <w:rFonts w:hint="eastAsia" w:ascii="Times New Roman"/>
                <w:color w:val="auto"/>
                <w:sz w:val="24"/>
                <w:szCs w:val="24"/>
                <w:highlight w:val="none"/>
              </w:rPr>
            </w:pPr>
          </w:p>
        </w:tc>
        <w:tc>
          <w:tcPr>
            <w:tcW w:w="1563"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9C97003">
            <w:pPr>
              <w:pStyle w:val="258"/>
              <w:tabs>
                <w:tab w:val="left" w:pos="235"/>
              </w:tabs>
              <w:jc w:val="center"/>
              <w:rPr>
                <w:rFonts w:hint="eastAsia"/>
                <w:color w:val="auto"/>
                <w:sz w:val="24"/>
                <w:szCs w:val="24"/>
                <w:highlight w:val="none"/>
              </w:rPr>
            </w:pP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FDAE626">
            <w:pPr>
              <w:pStyle w:val="258"/>
              <w:jc w:val="center"/>
              <w:rPr>
                <w:rFonts w:hint="eastAsia" w:ascii="Times New Roman"/>
                <w:color w:val="auto"/>
                <w:sz w:val="24"/>
                <w:szCs w:val="24"/>
                <w:highlight w:val="none"/>
              </w:rPr>
            </w:pPr>
          </w:p>
        </w:tc>
      </w:tr>
      <w:tr w14:paraId="03A3AEB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18" w:hRule="atLeast"/>
          <w:jc w:val="center"/>
        </w:trPr>
        <w:tc>
          <w:tcPr>
            <w:tcW w:w="3377" w:type="pct"/>
            <w:gridSpan w:val="3"/>
            <w:tcBorders>
              <w:top w:val="single" w:color="000000" w:sz="4" w:space="0"/>
              <w:left w:val="single" w:color="000000" w:sz="4" w:space="0"/>
              <w:bottom w:val="single" w:color="000000" w:sz="4" w:space="0"/>
              <w:right w:val="single" w:color="000000" w:sz="4" w:space="0"/>
            </w:tcBorders>
            <w:shd w:val="clear" w:color="auto" w:fill="auto"/>
            <w:vAlign w:val="center"/>
          </w:tcPr>
          <w:p w14:paraId="2D751AFB">
            <w:pPr>
              <w:pStyle w:val="258"/>
              <w:jc w:val="center"/>
              <w:rPr>
                <w:rFonts w:hint="eastAsia" w:ascii="Times New Roman"/>
                <w:color w:val="auto"/>
                <w:sz w:val="24"/>
                <w:szCs w:val="24"/>
                <w:highlight w:val="none"/>
              </w:rPr>
            </w:pPr>
            <w:r>
              <w:rPr>
                <w:rFonts w:ascii="Times New Roman"/>
                <w:color w:val="auto"/>
                <w:sz w:val="24"/>
                <w:szCs w:val="24"/>
                <w:highlight w:val="none"/>
              </w:rPr>
              <w:t>合计</w:t>
            </w:r>
          </w:p>
        </w:tc>
        <w:tc>
          <w:tcPr>
            <w:tcW w:w="1622"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098DEB0">
            <w:pPr>
              <w:pStyle w:val="258"/>
              <w:jc w:val="center"/>
              <w:rPr>
                <w:rFonts w:hint="eastAsia" w:ascii="Times New Roman"/>
                <w:color w:val="auto"/>
                <w:sz w:val="24"/>
                <w:szCs w:val="24"/>
                <w:highlight w:val="none"/>
              </w:rPr>
            </w:pPr>
          </w:p>
        </w:tc>
      </w:tr>
    </w:tbl>
    <w:p w14:paraId="3971DBAD">
      <w:pPr>
        <w:adjustRightInd w:val="0"/>
        <w:snapToGrid w:val="0"/>
        <w:spacing w:line="360" w:lineRule="auto"/>
        <w:ind w:firstLine="480" w:firstLineChars="200"/>
        <w:jc w:val="left"/>
        <w:rPr>
          <w:color w:val="auto"/>
          <w:sz w:val="24"/>
          <w:szCs w:val="24"/>
          <w:highlight w:val="none"/>
        </w:rPr>
      </w:pPr>
    </w:p>
    <w:p w14:paraId="6005483B">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注：1.仅当本项目（包）预留部分采购项目预算专门面向中小企业采购，且供应商拟通过分包或联合体方式实现预留比例时必须</w:t>
      </w:r>
      <w:r>
        <w:rPr>
          <w:color w:val="auto"/>
          <w:sz w:val="24"/>
          <w:szCs w:val="24"/>
          <w:highlight w:val="none"/>
        </w:rPr>
        <w:t>提</w:t>
      </w:r>
      <w:r>
        <w:rPr>
          <w:rFonts w:hint="eastAsia"/>
          <w:color w:val="auto"/>
          <w:sz w:val="24"/>
          <w:szCs w:val="24"/>
          <w:highlight w:val="none"/>
        </w:rPr>
        <w:t>供，否则无须</w:t>
      </w:r>
      <w:r>
        <w:rPr>
          <w:color w:val="auto"/>
          <w:sz w:val="24"/>
          <w:szCs w:val="24"/>
          <w:highlight w:val="none"/>
        </w:rPr>
        <w:t>提</w:t>
      </w:r>
      <w:r>
        <w:rPr>
          <w:rFonts w:hint="eastAsia"/>
          <w:color w:val="auto"/>
          <w:sz w:val="24"/>
          <w:szCs w:val="24"/>
          <w:highlight w:val="none"/>
        </w:rPr>
        <w:t>供；当本项目（包）未预留部分采购项目预算专门面向中小企业采购，且小微企业拟享受中小企业扶持政策时，应</w:t>
      </w:r>
      <w:r>
        <w:rPr>
          <w:color w:val="auto"/>
          <w:sz w:val="24"/>
          <w:szCs w:val="24"/>
          <w:highlight w:val="none"/>
        </w:rPr>
        <w:t>提</w:t>
      </w:r>
      <w:r>
        <w:rPr>
          <w:rFonts w:hint="eastAsia"/>
          <w:color w:val="auto"/>
          <w:sz w:val="24"/>
          <w:szCs w:val="24"/>
          <w:highlight w:val="none"/>
        </w:rPr>
        <w:t>供上述证明文件。</w:t>
      </w:r>
    </w:p>
    <w:p w14:paraId="45B0EBDB">
      <w:pPr>
        <w:adjustRightInd w:val="0"/>
        <w:snapToGrid w:val="0"/>
        <w:spacing w:line="360" w:lineRule="auto"/>
        <w:ind w:firstLine="480" w:firstLineChars="200"/>
        <w:jc w:val="left"/>
        <w:rPr>
          <w:color w:val="auto"/>
          <w:sz w:val="24"/>
          <w:szCs w:val="24"/>
          <w:highlight w:val="none"/>
        </w:rPr>
      </w:pPr>
      <w:r>
        <w:rPr>
          <w:color w:val="auto"/>
          <w:sz w:val="24"/>
          <w:szCs w:val="24"/>
          <w:highlight w:val="none"/>
        </w:rPr>
        <w:t>2.</w:t>
      </w:r>
      <w:r>
        <w:rPr>
          <w:rFonts w:hint="eastAsia"/>
          <w:color w:val="auto"/>
          <w:sz w:val="24"/>
          <w:szCs w:val="24"/>
          <w:highlight w:val="none"/>
        </w:rPr>
        <w:t>供应商可根据自身响应实际情况，选择一种表格填报</w:t>
      </w:r>
      <w:r>
        <w:rPr>
          <w:color w:val="auto"/>
          <w:sz w:val="24"/>
          <w:szCs w:val="24"/>
          <w:highlight w:val="none"/>
        </w:rPr>
        <w:t>提</w:t>
      </w:r>
      <w:r>
        <w:rPr>
          <w:rFonts w:hint="eastAsia"/>
          <w:color w:val="auto"/>
          <w:sz w:val="24"/>
          <w:szCs w:val="24"/>
          <w:highlight w:val="none"/>
        </w:rPr>
        <w:t>交即可。</w:t>
      </w:r>
    </w:p>
    <w:p w14:paraId="2F550408">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3.本表应按包分别填写。</w:t>
      </w:r>
    </w:p>
    <w:p w14:paraId="6B8867B8">
      <w:pPr>
        <w:adjustRightInd w:val="0"/>
        <w:snapToGrid w:val="0"/>
        <w:spacing w:line="360" w:lineRule="auto"/>
        <w:ind w:firstLine="480" w:firstLineChars="200"/>
        <w:jc w:val="left"/>
        <w:rPr>
          <w:color w:val="auto"/>
          <w:sz w:val="24"/>
          <w:szCs w:val="24"/>
          <w:highlight w:val="none"/>
        </w:rPr>
      </w:pPr>
      <w:r>
        <w:rPr>
          <w:color w:val="auto"/>
          <w:sz w:val="24"/>
          <w:szCs w:val="24"/>
          <w:highlight w:val="none"/>
        </w:rPr>
        <w:t>4.</w:t>
      </w:r>
      <w:r>
        <w:rPr>
          <w:rFonts w:hint="eastAsia"/>
          <w:color w:val="auto"/>
          <w:sz w:val="24"/>
          <w:szCs w:val="24"/>
          <w:highlight w:val="none"/>
        </w:rPr>
        <w:t>此表无需在响应文件中</w:t>
      </w:r>
      <w:r>
        <w:rPr>
          <w:color w:val="auto"/>
          <w:sz w:val="24"/>
          <w:szCs w:val="24"/>
          <w:highlight w:val="none"/>
        </w:rPr>
        <w:t>提</w:t>
      </w:r>
      <w:r>
        <w:rPr>
          <w:rFonts w:hint="eastAsia"/>
          <w:color w:val="auto"/>
          <w:sz w:val="24"/>
          <w:szCs w:val="24"/>
          <w:highlight w:val="none"/>
        </w:rPr>
        <w:t>交，磋商后供应商按磋商小组要求</w:t>
      </w:r>
      <w:r>
        <w:rPr>
          <w:color w:val="auto"/>
          <w:sz w:val="24"/>
          <w:szCs w:val="24"/>
          <w:highlight w:val="none"/>
        </w:rPr>
        <w:t>提</w:t>
      </w:r>
      <w:r>
        <w:rPr>
          <w:rFonts w:hint="eastAsia"/>
          <w:color w:val="auto"/>
          <w:sz w:val="24"/>
          <w:szCs w:val="24"/>
          <w:highlight w:val="none"/>
        </w:rPr>
        <w:t>交。</w:t>
      </w:r>
    </w:p>
    <w:p w14:paraId="6AFFDC40">
      <w:pPr>
        <w:adjustRightInd w:val="0"/>
        <w:snapToGrid w:val="0"/>
        <w:spacing w:line="360" w:lineRule="auto"/>
        <w:ind w:firstLine="480" w:firstLineChars="200"/>
        <w:jc w:val="left"/>
        <w:rPr>
          <w:color w:val="auto"/>
          <w:sz w:val="24"/>
          <w:szCs w:val="24"/>
          <w:highlight w:val="none"/>
        </w:rPr>
      </w:pPr>
      <w:r>
        <w:rPr>
          <w:rFonts w:hint="eastAsia"/>
          <w:color w:val="auto"/>
          <w:sz w:val="24"/>
          <w:szCs w:val="24"/>
          <w:highlight w:val="none"/>
        </w:rPr>
        <w:t>供应商授权代表签字（或加盖供应商公章）：____________</w:t>
      </w:r>
    </w:p>
    <w:p w14:paraId="54150C6B">
      <w:pPr>
        <w:adjustRightInd w:val="0"/>
        <w:snapToGrid w:val="0"/>
        <w:spacing w:line="360" w:lineRule="auto"/>
        <w:ind w:firstLine="480" w:firstLineChars="200"/>
        <w:jc w:val="left"/>
        <w:rPr>
          <w:rFonts w:hint="eastAsia"/>
          <w:color w:val="auto"/>
          <w:sz w:val="24"/>
          <w:szCs w:val="24"/>
          <w:highlight w:val="none"/>
        </w:rPr>
      </w:pPr>
      <w:r>
        <w:rPr>
          <w:rFonts w:hint="eastAsia"/>
          <w:color w:val="auto"/>
          <w:sz w:val="24"/>
          <w:szCs w:val="24"/>
          <w:highlight w:val="none"/>
        </w:rPr>
        <w:t>日期：____年____月____日</w:t>
      </w:r>
    </w:p>
    <w:p w14:paraId="580EBC40">
      <w:pPr>
        <w:rPr>
          <w:rFonts w:hint="eastAsia"/>
          <w:color w:val="auto"/>
          <w:sz w:val="24"/>
          <w:szCs w:val="24"/>
          <w:highlight w:val="none"/>
        </w:rPr>
      </w:pPr>
      <w:r>
        <w:rPr>
          <w:rFonts w:hint="eastAsia"/>
          <w:color w:val="auto"/>
          <w:sz w:val="24"/>
          <w:szCs w:val="24"/>
          <w:highlight w:val="none"/>
        </w:rPr>
        <w:br w:type="page"/>
      </w:r>
    </w:p>
    <w:p w14:paraId="2A6457B3">
      <w:pPr>
        <w:adjustRightInd w:val="0"/>
        <w:snapToGrid w:val="0"/>
        <w:spacing w:line="360" w:lineRule="auto"/>
        <w:jc w:val="left"/>
        <w:rPr>
          <w:rFonts w:hint="eastAsia"/>
          <w:color w:val="auto"/>
          <w:sz w:val="24"/>
          <w:szCs w:val="24"/>
          <w:highlight w:val="none"/>
        </w:rPr>
      </w:pPr>
    </w:p>
    <w:p w14:paraId="76D2199A">
      <w:pPr>
        <w:adjustRightInd w:val="0"/>
        <w:snapToGrid w:val="0"/>
        <w:spacing w:line="360" w:lineRule="auto"/>
        <w:jc w:val="left"/>
        <w:rPr>
          <w:rFonts w:hAnsi="宋体" w:cs="宋体"/>
          <w:b/>
          <w:bCs/>
          <w:color w:val="auto"/>
          <w:sz w:val="24"/>
          <w:szCs w:val="24"/>
          <w:highlight w:val="none"/>
        </w:rPr>
      </w:pPr>
      <w:r>
        <w:rPr>
          <w:rFonts w:hint="eastAsia" w:hAnsi="宋体" w:cs="宋体"/>
          <w:b/>
          <w:bCs/>
          <w:color w:val="auto"/>
          <w:sz w:val="24"/>
          <w:szCs w:val="24"/>
          <w:highlight w:val="none"/>
        </w:rPr>
        <w:t>附件：以下文件为重要的参考资料，供应商不必编制在其响应文件中。</w:t>
      </w:r>
    </w:p>
    <w:p w14:paraId="5C13369E">
      <w:pPr>
        <w:shd w:val="clear"/>
        <w:spacing w:line="360" w:lineRule="auto"/>
        <w:rPr>
          <w:rFonts w:ascii="宋体" w:hAnsi="宋体" w:cs="宋体"/>
          <w:color w:val="auto"/>
          <w:sz w:val="24"/>
          <w:szCs w:val="24"/>
          <w:highlight w:val="none"/>
        </w:rPr>
      </w:pPr>
    </w:p>
    <w:p w14:paraId="2EB99766">
      <w:pPr>
        <w:pStyle w:val="746"/>
        <w:shd w:val="clear"/>
        <w:spacing w:line="360" w:lineRule="auto"/>
        <w:ind w:firstLine="0"/>
        <w:outlineLvl w:val="9"/>
        <w:rPr>
          <w:rFonts w:hAnsi="宋体" w:cs="宋体"/>
          <w:b/>
          <w:bCs/>
          <w:color w:val="auto"/>
          <w:sz w:val="24"/>
          <w:szCs w:val="24"/>
          <w:highlight w:val="none"/>
        </w:rPr>
      </w:pPr>
      <w:bookmarkStart w:id="2057" w:name="_Toc122691621"/>
      <w:bookmarkStart w:id="2058" w:name="_Toc126227800"/>
      <w:bookmarkStart w:id="2059" w:name="_Toc139289783"/>
      <w:bookmarkStart w:id="2060" w:name="_Toc119076620"/>
      <w:bookmarkStart w:id="2061" w:name="_Toc6884"/>
      <w:bookmarkStart w:id="2062" w:name="_Toc10618"/>
      <w:r>
        <w:rPr>
          <w:rFonts w:hint="eastAsia" w:hAnsi="宋体" w:cs="宋体"/>
          <w:b/>
          <w:bCs/>
          <w:color w:val="auto"/>
          <w:sz w:val="24"/>
          <w:szCs w:val="24"/>
          <w:highlight w:val="none"/>
        </w:rPr>
        <w:t>附件1：</w:t>
      </w:r>
      <w:r>
        <w:rPr>
          <w:rFonts w:hint="eastAsia" w:hAnsi="宋体" w:cs="宋体"/>
          <w:b/>
          <w:bCs/>
          <w:color w:val="auto"/>
          <w:sz w:val="24"/>
          <w:szCs w:val="24"/>
          <w:highlight w:val="none"/>
          <w:shd w:val="clear" w:color="auto" w:fill="FFFFFF"/>
          <w:lang w:bidi="ar"/>
        </w:rPr>
        <w:t>关于印发中小企业划型标准规定的通知</w:t>
      </w:r>
      <w:bookmarkEnd w:id="2057"/>
      <w:bookmarkEnd w:id="2058"/>
      <w:bookmarkEnd w:id="2059"/>
      <w:bookmarkEnd w:id="2060"/>
      <w:bookmarkEnd w:id="2061"/>
      <w:bookmarkEnd w:id="2062"/>
    </w:p>
    <w:p w14:paraId="4A54F3B1">
      <w:pPr>
        <w:shd w:val="clear"/>
        <w:spacing w:line="360" w:lineRule="auto"/>
        <w:jc w:val="center"/>
        <w:textAlignment w:val="baseline"/>
        <w:rPr>
          <w:rFonts w:ascii="宋体" w:hAnsi="宋体" w:cs="宋体"/>
          <w:color w:val="auto"/>
          <w:sz w:val="24"/>
          <w:szCs w:val="24"/>
          <w:highlight w:val="none"/>
        </w:rPr>
      </w:pPr>
      <w:bookmarkStart w:id="2063" w:name="_Toc31978"/>
      <w:r>
        <w:rPr>
          <w:rFonts w:hint="eastAsia" w:ascii="宋体" w:hAnsi="宋体" w:cs="宋体"/>
          <w:color w:val="auto"/>
          <w:sz w:val="24"/>
          <w:szCs w:val="24"/>
          <w:highlight w:val="none"/>
          <w:shd w:val="clear" w:color="auto" w:fill="FFFFFF"/>
        </w:rPr>
        <w:t>工信部联企业〔2011〕300号</w:t>
      </w:r>
      <w:bookmarkEnd w:id="2063"/>
    </w:p>
    <w:p w14:paraId="3DEC4348">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各省、自治区、直辖市人民政府，国务院各部委、各直属机构及有关单位：</w:t>
      </w:r>
    </w:p>
    <w:p w14:paraId="7BBC5F14">
      <w:pPr>
        <w:pStyle w:val="47"/>
        <w:shd w:val="clear"/>
        <w:spacing w:before="0" w:beforeAutospacing="0" w:after="0" w:afterAutospacing="0" w:line="360" w:lineRule="auto"/>
        <w:textAlignment w:val="baseline"/>
        <w:rPr>
          <w:color w:val="auto"/>
          <w:sz w:val="24"/>
          <w:szCs w:val="24"/>
          <w:highlight w:val="none"/>
        </w:rPr>
      </w:pPr>
      <w:r>
        <w:rPr>
          <w:rFonts w:hint="eastAsia"/>
          <w:color w:val="auto"/>
          <w:sz w:val="24"/>
          <w:szCs w:val="24"/>
          <w:highlight w:val="none"/>
          <w:shd w:val="clear" w:color="auto" w:fill="FFFFFF"/>
        </w:rPr>
        <w:t>　　为贯彻落实《中华人民共和国中小企业促进法》和《国务院关于进一步促进中小企业发展的若干意见》（国发〔2009〕36号），工业和信息化部、国家统计局、发展改革委、财政部研究制定了《中小企业划型标准规定》。经国务院同意，现印发给你们，请遵照执行。</w:t>
      </w:r>
    </w:p>
    <w:p w14:paraId="6C485B95">
      <w:pPr>
        <w:pStyle w:val="47"/>
        <w:shd w:val="clear"/>
        <w:spacing w:before="0" w:beforeAutospacing="0" w:after="0" w:afterAutospacing="0" w:line="360" w:lineRule="auto"/>
        <w:jc w:val="right"/>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工业和信息化部</w:t>
      </w:r>
    </w:p>
    <w:p w14:paraId="63AE1D50">
      <w:pPr>
        <w:pStyle w:val="47"/>
        <w:shd w:val="clear"/>
        <w:spacing w:before="0" w:beforeAutospacing="0" w:after="0" w:afterAutospacing="0" w:line="360" w:lineRule="auto"/>
        <w:jc w:val="right"/>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国家统计局</w:t>
      </w:r>
    </w:p>
    <w:p w14:paraId="427AFEA0">
      <w:pPr>
        <w:pStyle w:val="47"/>
        <w:shd w:val="clear"/>
        <w:spacing w:before="0" w:beforeAutospacing="0" w:after="0" w:afterAutospacing="0" w:line="360" w:lineRule="auto"/>
        <w:jc w:val="right"/>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国家发展和改革委员会</w:t>
      </w:r>
    </w:p>
    <w:p w14:paraId="47E97F80">
      <w:pPr>
        <w:pStyle w:val="47"/>
        <w:shd w:val="clear"/>
        <w:spacing w:before="0" w:beforeAutospacing="0" w:after="0" w:afterAutospacing="0" w:line="360" w:lineRule="auto"/>
        <w:jc w:val="right"/>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财政部</w:t>
      </w:r>
    </w:p>
    <w:p w14:paraId="725B7DCC">
      <w:pPr>
        <w:pStyle w:val="47"/>
        <w:shd w:val="clear"/>
        <w:spacing w:before="0" w:beforeAutospacing="0" w:after="0" w:afterAutospacing="0" w:line="360" w:lineRule="auto"/>
        <w:jc w:val="right"/>
        <w:textAlignment w:val="baseline"/>
        <w:rPr>
          <w:color w:val="auto"/>
          <w:sz w:val="24"/>
          <w:szCs w:val="24"/>
          <w:highlight w:val="none"/>
        </w:rPr>
      </w:pPr>
      <w:r>
        <w:rPr>
          <w:rFonts w:hint="eastAsia"/>
          <w:color w:val="auto"/>
          <w:sz w:val="24"/>
          <w:szCs w:val="24"/>
          <w:highlight w:val="none"/>
          <w:shd w:val="clear" w:color="auto" w:fill="FFFFFF"/>
        </w:rPr>
        <w:t>二○一一年六月十八日</w:t>
      </w:r>
    </w:p>
    <w:p w14:paraId="0F900A4A">
      <w:pPr>
        <w:pStyle w:val="47"/>
        <w:shd w:val="clear"/>
        <w:spacing w:before="0" w:beforeAutospacing="0" w:after="0" w:afterAutospacing="0" w:line="360" w:lineRule="auto"/>
        <w:jc w:val="center"/>
        <w:textAlignment w:val="baseline"/>
        <w:rPr>
          <w:color w:val="auto"/>
          <w:sz w:val="24"/>
          <w:szCs w:val="24"/>
          <w:highlight w:val="none"/>
        </w:rPr>
      </w:pPr>
      <w:r>
        <w:rPr>
          <w:rStyle w:val="57"/>
          <w:rFonts w:hint="eastAsia"/>
          <w:color w:val="auto"/>
          <w:sz w:val="24"/>
          <w:szCs w:val="24"/>
          <w:highlight w:val="none"/>
          <w:shd w:val="clear" w:color="auto" w:fill="FFFFFF"/>
        </w:rPr>
        <w:t>中小企业划型标准规定</w:t>
      </w:r>
    </w:p>
    <w:p w14:paraId="4BC9FA4C">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一、根据《中华人民共和国中小企业促进法》和《国务院关于进一步促进中小企业发展的若干意见》(国发〔2009〕36号)，制定本规定。</w:t>
      </w:r>
    </w:p>
    <w:p w14:paraId="220FF9CC">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二、中小企业划分为中型、小型、微型三种类型，具体标准根据企业从业人员、营业收入、资产总额等指标，结合行业特点制定。</w:t>
      </w:r>
    </w:p>
    <w:p w14:paraId="548ED530">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三、本规定适用的行业包括：农、林、牧、渔业，工业（包括采矿业，制造业，电力、热力、燃气及水生产和供应业），建筑业，批发业，零售业，交通运输业（不含铁路运输业），仓储业，邮政业，住宿业，餐饮业，信息传输业（包括电信、互联网和相关服务），软件和信息技术服务业，房地产开发经营，物业管理，租赁和商务服务业，其他未列明行业（包括科学研究和技术服务业，水利、环境和公共设施管理业，居民服务、修理和其他服务业，社会工作，文化、体育和娱乐业等）。</w:t>
      </w:r>
    </w:p>
    <w:p w14:paraId="1EA1D52B">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四、各行业划型标准为：</w:t>
      </w:r>
    </w:p>
    <w:p w14:paraId="1A2A0B4B">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（一）农、林、牧、渔业。营业收入20000万元以下的为中小微型企业。其中，营业收入500万元及以上的为中型企业，营业收入50万元及以上的为小型企业，营业收入50万元以下的为微型企业。</w:t>
      </w:r>
    </w:p>
    <w:p w14:paraId="0CC58725">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二）工业。从业人员1000人以下或营业收入40000万元以下的为中小微型企业。其中，从业人员300人及以上，且营业收入2000万元及以上的为中型企业；从业人员20人及以上，且营业收入300万元及以上的为小型企业；从业人员20人以下或营业收入300万元以下的为微型企业。</w:t>
      </w:r>
    </w:p>
    <w:p w14:paraId="1855D3ED">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三）建筑业。营业收入80000万元以下或资产总额80000万元以下的为中小微型企业。其中，营业收入6000万元及以上，且资产总额5000万元及以上的为中型企业；营业收入300万元及以上，且资产总额300万元及以上的为小型企业；营业收入300万元以下或资产总额300万元以下的为微型企业。</w:t>
      </w:r>
    </w:p>
    <w:p w14:paraId="27490D6C">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四）批发业。从业人员200人以下或营业收入40000万元以下的为中小微型企业。其中，从业人员20人及以上，且营业收入5000万元及以上的为中型企业；从业人员5人及以上，且营业收入1000万元及以上的为小型企业；从业人员5人以下或营业收入1000万元以下的为微型企业。</w:t>
      </w:r>
    </w:p>
    <w:p w14:paraId="04E62067">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五）零售业。从业人员300人以下或营业收入20000万元以下的为中小微型企业。其中，从业人员50人及以上，且营业收入500万元及以上的为中型企业；从业人员10人及以上，且营业收入100万元及以上的为小型企业；从业人员10人以下或营业收入100万元以下的为微型企业。</w:t>
      </w:r>
    </w:p>
    <w:p w14:paraId="09E93957">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六）交通运输业。从业人员1000人以下或营业收入30000万元以下的为中小微型企业。其中，从业人员300人及以上，且营业收入3000万元及以上的为中型企业；从业人员20人及以上，且营业收入200万元及以上的为小型企业；从业人员20人以下或营业收入200万元以下的为微型企业。</w:t>
      </w:r>
    </w:p>
    <w:p w14:paraId="5C14F66F">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七）仓储业。从业人员200人以下或营业收入30000万元以下的为中小微型企业。其中，从业人员100人及以上，且营业收入1000万元及以上的为中型企业；从业人员20人及以上，且营业收入100万元及以上的为小型企业；从业人员20人以下或营业收入100万元以下的为微型企业。</w:t>
      </w:r>
    </w:p>
    <w:p w14:paraId="5C9AC377">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八）邮政业。从业人员1000人以下或营业收入30000万元以下的为中小微型企业。其中，从业人员300人及以上，且营业收入2000万元及以上的为中型企业；从业人员20人及以上，且营业收入100万元及以上的为小型企业；从业人员20人以下或营业收入100万元以下的为微型企业。</w:t>
      </w:r>
    </w:p>
    <w:p w14:paraId="414A6E6D">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九）住宿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62E6F3D8">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餐饮业。从业人员300人以下或营业收入10000万元以下的为中小微型企业。其中，从业人员100人及以上，且营业收入2000万元及以上的为中型企业；从业人员10人及以上，且营业收入100万元及以上的为小型企业；从业人员10人以下或营业收入100万元以下的为微型企业。</w:t>
      </w:r>
    </w:p>
    <w:p w14:paraId="32A84BE2">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一）信息传输业。从业人员2000人以下或营业收入100000万元以下的为中小微型企业。其中，从业人员100人及以上，且营业收入1000万元及以上的为中型企业；从业人员10人及以上，且营业收入100万元及以上的为小型企业；从业人员10人以下或营业收入100万元以下的为微型企业。</w:t>
      </w:r>
    </w:p>
    <w:p w14:paraId="53895020">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二）软件和信息技术服务业。从业人员300人以下或营业收入10000万元以下的为中小微型企业。其中，从业人员100人及以上，且营业收入1000万元及以上的为中型企业；从业人员10人及以上，且营业收入50万元及以上的为小型企业；从业人员10人以下或营业收入50万元以下的为微型企业。</w:t>
      </w:r>
    </w:p>
    <w:p w14:paraId="08CF7B4B">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三）房地产开发经营。营业收入200000万元以下或资产总额10000万元以下的为中小微型企业。其中，营业收入1000万元及以上，且资产总额5000万元及以上的为中型企业；营业收入100万元及以上，且资产总额2000万元及以上的为小型企业；营业收入100万元以下或资产总额2000万元以下的为微型企业。</w:t>
      </w:r>
    </w:p>
    <w:p w14:paraId="6ACF636E">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四）物业管理。从业人员1000人以下或营业收入5000万元以下的为中小微型企业。其中，从业人员300人及以上，且营业收入1000万元及以上的为中型企业；从业人员100人及以上，且营业收入500万元及以上的为小型企业；从业人员100人以下或营业收入500万元以下的为微型企业。</w:t>
      </w:r>
    </w:p>
    <w:p w14:paraId="5FF16851">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五）租赁和商务服务业。从业人员300人以下或资产总额120000万元以下的为中小微型企业。其中，从业人员100人及以上，且资产总额8000万元及以上的为中型企业；从业人员10人及以上，且资产总额100万元及以上的为小型企业；从业人员10人以下或资产总额100万元以下的为微型企业。</w:t>
      </w:r>
    </w:p>
    <w:p w14:paraId="5B23E0C8">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（十六）其他未列明行业。从业人员300人以下的为中小微型企业。其中，从业人员100人及以上的为中型企业；从业人员10人及以上的为小型企业；从业人员10人以下的为微型企业。</w:t>
      </w:r>
    </w:p>
    <w:p w14:paraId="19D86864">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五、企业类型的划分以统计部门的统计数据为依据。</w:t>
      </w:r>
    </w:p>
    <w:p w14:paraId="40EE8895">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六、本规定适用于在中华人民共和国境内依法设立的各类所有制和各种组织形式的企业。个体工商户和本规定以外的行业，参照本规定进行划型。</w:t>
      </w:r>
    </w:p>
    <w:p w14:paraId="619D1C05">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七、本规定的中型企业标准上限即为大型企业标准的下限，国家统计部门据此制定大中小微型企业的统计分类。国务院有关部门据此进行相关数据分析，不得制定与本规定不一致的企业划型标准。</w:t>
      </w:r>
    </w:p>
    <w:p w14:paraId="361625AA">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八、本规定由工业和信息化部、国家统计局会同有关部门根据《国民经济行业分类》修订情况和企业发展变化情况适时修订。</w:t>
      </w:r>
    </w:p>
    <w:p w14:paraId="43D4C933">
      <w:pPr>
        <w:pStyle w:val="47"/>
        <w:shd w:val="clear"/>
        <w:spacing w:before="0" w:beforeAutospacing="0" w:after="0" w:afterAutospacing="0" w:line="360" w:lineRule="auto"/>
        <w:textAlignment w:val="baseline"/>
        <w:rPr>
          <w:rFonts w:hint="eastAsia" w:eastAsia="宋体"/>
          <w:color w:val="auto"/>
          <w:sz w:val="24"/>
          <w:szCs w:val="24"/>
          <w:highlight w:val="none"/>
          <w:shd w:val="clear" w:color="auto" w:fill="FFFFFF"/>
          <w:lang w:eastAsia="zh-CN"/>
        </w:rPr>
      </w:pPr>
      <w:r>
        <w:rPr>
          <w:rFonts w:hint="eastAsia"/>
          <w:color w:val="auto"/>
          <w:sz w:val="24"/>
          <w:szCs w:val="24"/>
          <w:highlight w:val="none"/>
          <w:shd w:val="clear" w:color="auto" w:fill="FFFFFF"/>
        </w:rPr>
        <w:t>　　九、本规定由工业和信息化部、国家统计局会同有关部门负责解释。</w:t>
      </w:r>
    </w:p>
    <w:p w14:paraId="07A60082">
      <w:pPr>
        <w:pStyle w:val="47"/>
        <w:shd w:val="clear"/>
        <w:spacing w:before="0" w:beforeAutospacing="0" w:after="0" w:afterAutospacing="0" w:line="360" w:lineRule="auto"/>
        <w:textAlignment w:val="baseline"/>
        <w:rPr>
          <w:color w:val="auto"/>
          <w:sz w:val="24"/>
          <w:szCs w:val="24"/>
          <w:highlight w:val="none"/>
        </w:rPr>
      </w:pPr>
      <w:r>
        <w:rPr>
          <w:rFonts w:hint="eastAsia"/>
          <w:color w:val="auto"/>
          <w:sz w:val="24"/>
          <w:szCs w:val="24"/>
          <w:highlight w:val="none"/>
          <w:shd w:val="clear" w:color="auto" w:fill="FFFFFF"/>
        </w:rPr>
        <w:t>　　十、本规定自发布之日起执行，原国家经贸委、原国家计委、财政部和国家统计局2003年颁布的《中小企业标准暂行规定》同时废止。</w:t>
      </w:r>
    </w:p>
    <w:p w14:paraId="47957D7E">
      <w:pPr>
        <w:pStyle w:val="42"/>
        <w:shd w:val="clear"/>
        <w:ind w:left="840" w:hanging="420"/>
        <w:rPr>
          <w:color w:val="auto"/>
          <w:sz w:val="24"/>
          <w:szCs w:val="24"/>
          <w:highlight w:val="none"/>
        </w:rPr>
      </w:pPr>
    </w:p>
    <w:p w14:paraId="65C188AD">
      <w:pPr>
        <w:widowControl/>
        <w:shd w:val="clear"/>
        <w:jc w:val="left"/>
        <w:rPr>
          <w:b/>
          <w:color w:val="auto"/>
          <w:sz w:val="24"/>
          <w:szCs w:val="24"/>
          <w:highlight w:val="none"/>
        </w:rPr>
      </w:pPr>
    </w:p>
    <w:p w14:paraId="4DE611E0">
      <w:pPr>
        <w:widowControl/>
        <w:shd w:val="clear"/>
        <w:jc w:val="left"/>
        <w:rPr>
          <w:b/>
          <w:color w:val="auto"/>
          <w:sz w:val="24"/>
          <w:szCs w:val="24"/>
          <w:highlight w:val="none"/>
        </w:rPr>
      </w:pPr>
    </w:p>
    <w:p w14:paraId="63558F86">
      <w:pPr>
        <w:adjustRightInd w:val="0"/>
        <w:snapToGrid w:val="0"/>
        <w:spacing w:line="360" w:lineRule="auto"/>
        <w:ind w:firstLine="480" w:firstLineChars="200"/>
        <w:jc w:val="left"/>
        <w:rPr>
          <w:rFonts w:hint="eastAsia"/>
          <w:color w:val="auto"/>
          <w:sz w:val="24"/>
          <w:szCs w:val="24"/>
          <w:highlight w:val="none"/>
        </w:rPr>
      </w:pPr>
    </w:p>
    <w:sectPr>
      <w:headerReference r:id="rId14" w:type="first"/>
      <w:footerReference r:id="rId16" w:type="first"/>
      <w:headerReference r:id="rId13" w:type="even"/>
      <w:footerReference r:id="rId15" w:type="even"/>
      <w:pgSz w:w="11907" w:h="16840"/>
      <w:pgMar w:top="1440" w:right="1080" w:bottom="1440" w:left="1080" w:header="851" w:footer="851" w:gutter="0"/>
      <w:pgNumType w:fmt="decimal"/>
      <w:cols w:space="720" w:num="1"/>
      <w:docGrid w:linePitch="46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28"/>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ì.">
    <w:altName w:val="宋体"/>
    <w:panose1 w:val="00000000000000000000"/>
    <w:charset w:val="86"/>
    <w:family w:val="swiss"/>
    <w:pitch w:val="default"/>
    <w:sig w:usb0="00000000" w:usb1="00000000" w:usb2="00000010" w:usb3="00000000" w:csb0="00040000" w:csb1="00000000"/>
  </w:font>
  <w:font w:name="华文中宋">
    <w:altName w:val="宋体"/>
    <w:panose1 w:val="02010600040101010101"/>
    <w:charset w:val="86"/>
    <w:family w:val="auto"/>
    <w:pitch w:val="default"/>
    <w:sig w:usb0="00000000" w:usb1="00000000" w:usb2="00000000" w:usb3="00000000" w:csb0="0004009F" w:csb1="DFD70000"/>
  </w:font>
  <w:font w:name="Cambria">
    <w:panose1 w:val="02040503050406030204"/>
    <w:charset w:val="00"/>
    <w:family w:val="roman"/>
    <w:pitch w:val="default"/>
    <w:sig w:usb0="E00006FF" w:usb1="420024FF" w:usb2="02000000"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ˎ̥">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swiss"/>
    <w:pitch w:val="default"/>
    <w:sig w:usb0="00000000" w:usb1="00000000" w:usb2="0000003F" w:usb3="00000000" w:csb0="603F01FF" w:csb1="FFFF0000"/>
  </w:font>
  <w:font w:name="Tahoma">
    <w:panose1 w:val="020B0604030504040204"/>
    <w:charset w:val="00"/>
    <w:family w:val="swiss"/>
    <w:pitch w:val="default"/>
    <w:sig w:usb0="E1002EFF" w:usb1="C000605B" w:usb2="00000029" w:usb3="00000000" w:csb0="200101FF" w:csb1="20280000"/>
  </w:font>
  <w:font w:name="Verdana">
    <w:panose1 w:val="020B0604030504040204"/>
    <w:charset w:val="00"/>
    <w:family w:val="swiss"/>
    <w:pitch w:val="default"/>
    <w:sig w:usb0="A00006FF" w:usb1="4000205B" w:usb2="00000010" w:usb3="00000000" w:csb0="2000019F" w:csb1="00000000"/>
  </w:font>
  <w:font w:name="楷体_GB2312">
    <w:altName w:val="楷体"/>
    <w:panose1 w:val="00000000000000000000"/>
    <w:charset w:val="86"/>
    <w:family w:val="modern"/>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Century Gothic">
    <w:altName w:val="Yu Gothic UI"/>
    <w:panose1 w:val="020B0502020202020204"/>
    <w:charset w:val="00"/>
    <w:family w:val="swiss"/>
    <w:pitch w:val="default"/>
    <w:sig w:usb0="00000000" w:usb1="00000000" w:usb2="00000000" w:usb3="00000000" w:csb0="2000009F" w:csb1="DFD70000"/>
  </w:font>
  <w:font w:name="Yu Gothic UI">
    <w:panose1 w:val="020B0500000000000000"/>
    <w:charset w:val="80"/>
    <w:family w:val="auto"/>
    <w:pitch w:val="default"/>
    <w:sig w:usb0="E00002FF" w:usb1="2AC7FDFF" w:usb2="00000016" w:usb3="00000000" w:csb0="2002009F" w:csb1="00000000"/>
  </w:font>
  <w:font w:name="儷宋 Pro">
    <w:altName w:val="宋体"/>
    <w:panose1 w:val="02020300000000000000"/>
    <w:charset w:val="88"/>
    <w:family w:val="auto"/>
    <w:pitch w:val="default"/>
    <w:sig w:usb0="00000000" w:usb1="00000000" w:usb2="00000016" w:usb3="00000000" w:csb0="00100000" w:csb1="00000000"/>
  </w:font>
  <w:font w:name="微软雅黑">
    <w:panose1 w:val="020B0503020204020204"/>
    <w:charset w:val="86"/>
    <w:family w:val="swiss"/>
    <w:pitch w:val="default"/>
    <w:sig w:usb0="80000287" w:usb1="2ACF3C50" w:usb2="00000016" w:usb3="00000000" w:csb0="0004001F" w:csb1="00000000"/>
  </w:font>
  <w:font w:name="华文细黑">
    <w:altName w:val="微软雅黑"/>
    <w:panose1 w:val="02010600040101010101"/>
    <w:charset w:val="86"/>
    <w:family w:val="auto"/>
    <w:pitch w:val="default"/>
    <w:sig w:usb0="00000000" w:usb1="00000000" w:usb2="00000000" w:usb3="00000000" w:csb0="0004009F" w:csb1="DFD70000"/>
  </w:font>
  <w:font w:name="Segoe UI Symbol">
    <w:panose1 w:val="020B0502040204020203"/>
    <w:charset w:val="00"/>
    <w:family w:val="swiss"/>
    <w:pitch w:val="default"/>
    <w:sig w:usb0="800001E3" w:usb1="1200FFEF" w:usb2="00040000" w:usb3="04000000" w:csb0="00000001" w:csb1="40000000"/>
  </w:font>
  <w:font w:name="????">
    <w:altName w:val="宋体"/>
    <w:panose1 w:val="00000000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AB5B11">
    <w:pPr>
      <w:pStyle w:val="34"/>
      <w:jc w:val="center"/>
      <w:rPr>
        <w:rFonts w:hint="eastAsia" w:hAnsi="宋体" w:cs="宋体"/>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6BE12EC">
    <w:pPr>
      <w:pStyle w:val="34"/>
      <w:jc w:val="center"/>
      <w:rPr>
        <w:rFonts w:hint="eastAsia" w:hAnsi="宋体" w:cs="宋体"/>
        <w:sz w:val="28"/>
        <w:szCs w:val="2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F95428">
    <w:pPr>
      <w:pStyle w:val="34"/>
      <w:jc w:val="center"/>
      <w:rPr>
        <w:rFonts w:hint="eastAsia" w:hAnsi="宋体" w:cs="宋体"/>
        <w:sz w:val="28"/>
        <w:szCs w:val="28"/>
      </w:rPr>
    </w:pPr>
    <w:r>
      <w:rPr>
        <w:sz w:val="2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6" name="文本框 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CE81D38">
                          <w:pPr>
                            <w:pStyle w:val="34"/>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CJEl4xAgAAYQ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zigxTKPgl+/fLj9+&#10;XX5+JbMkT+3CAlEPDnGxeWsbNM1wHnCYWDel1+kLPgR+iHu+iiuaSHi6NJ/O52O4OHzDBvjZ43Xn&#10;Q3wnrCbJyKlH9VpR2WkXYhc6hKRsxm6lUm0FlSE1KLx+M24vXD0AVwY5EonuscmKzb7pme1tcQYx&#10;b7vOCI5vJZLvWIj3zKMV8GAMS7zDUiqLJLa3KKms//Kv8xSPCsFLSY3WyqnBJFGi3htUDoBxMPxg&#10;7AfDHPWtRa9OMISOtyYu+KgGs/RWf8YErVMOuJjhyJTTOJi3sWtvTCAX63UbdHReHqruAvrOsbgz&#10;D46nNEnI4NbHCDFbjZNAnSq9bui8tkr9lKTW/nPfRj3+GVa/A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wiRJeMQIAAGEEAAAOAAAAAAAAAAEAIAAAAB8BAABkcnMvZTJvRG9jLnhtbFBLBQYA&#10;AAAABgAGAFkBAADCBQAAAAA=&#10;">
              <v:fill on="f" focussize="0,0"/>
              <v:stroke on="f" weight="0.5pt"/>
              <v:imagedata o:title=""/>
              <o:lock v:ext="edit" aspectratio="f"/>
              <v:textbox inset="0mm,0mm,0mm,0mm" style="mso-fit-shape-to-text:t;">
                <w:txbxContent>
                  <w:p w14:paraId="3CE81D38">
                    <w:pPr>
                      <w:pStyle w:val="34"/>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8F5E6C">
    <w:pPr>
      <w:pStyle w:val="34"/>
      <w:jc w:val="center"/>
    </w:pPr>
    <w:r>
      <w:fldChar w:fldCharType="begin"/>
    </w:r>
    <w:r>
      <w:instrText xml:space="preserve"> PAGE   \* MERGEFORMAT </w:instrText>
    </w:r>
    <w:r>
      <w:fldChar w:fldCharType="separate"/>
    </w:r>
    <w:r>
      <w:rPr>
        <w:lang w:val="zh-CN"/>
      </w:rPr>
      <w:t>76</w:t>
    </w:r>
    <w:r>
      <w:rPr>
        <w:lang w:val="zh-CN"/>
      </w:rPr>
      <w:fldChar w:fldCharType="end"/>
    </w:r>
  </w:p>
  <w:p w14:paraId="1F17D8AD">
    <w:pPr>
      <w:pStyle w:val="34"/>
      <w:tabs>
        <w:tab w:val="left" w:pos="4668"/>
        <w:tab w:val="clear" w:pos="4153"/>
        <w:tab w:val="clear" w:pos="8306"/>
      </w:tabs>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5B424AF">
    <w:pPr>
      <w:pStyle w:val="34"/>
      <w:jc w:val="center"/>
      <w:rPr>
        <w:rFonts w:hint="eastAsia" w:hAnsi="宋体" w:cs="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59E79702">
                          <w:pPr>
                            <w:pStyle w:val="3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59E79702">
                    <w:pPr>
                      <w:pStyle w:val="3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B50B6C1">
    <w:pPr>
      <w:pStyle w:val="34"/>
      <w:jc w:val="center"/>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sdt>
                          <w:sdtPr>
                            <w:id w:val="147470852"/>
                            <w:docPartObj>
                              <w:docPartGallery w:val="autotext"/>
                            </w:docPartObj>
                          </w:sdtPr>
                          <w:sdtContent>
                            <w:p w14:paraId="53A69F1F">
                              <w:pPr>
                                <w:pStyle w:val="34"/>
                                <w:jc w:val="center"/>
                              </w:pPr>
                              <w:r>
                                <w:fldChar w:fldCharType="begin"/>
                              </w:r>
                              <w:r>
                                <w:instrText xml:space="preserve">PAGE   \* MERGEFORMAT</w:instrText>
                              </w:r>
                              <w:r>
                                <w:fldChar w:fldCharType="separate"/>
                              </w:r>
                              <w:r>
                                <w:rPr>
                                  <w:lang w:val="zh-CN"/>
                                </w:rPr>
                                <w:t>2</w:t>
                              </w:r>
                              <w:r>
                                <w:fldChar w:fldCharType="end"/>
                              </w:r>
                            </w:p>
                          </w:sdtContent>
                        </w:sdt>
                        <w:p w14:paraId="21F98B87"/>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sdt>
                    <w:sdtPr>
                      <w:id w:val="147470852"/>
                      <w:docPartObj>
                        <w:docPartGallery w:val="autotext"/>
                      </w:docPartObj>
                    </w:sdtPr>
                    <w:sdtContent>
                      <w:p w14:paraId="53A69F1F">
                        <w:pPr>
                          <w:pStyle w:val="34"/>
                          <w:jc w:val="center"/>
                        </w:pPr>
                        <w:r>
                          <w:fldChar w:fldCharType="begin"/>
                        </w:r>
                        <w:r>
                          <w:instrText xml:space="preserve">PAGE   \* MERGEFORMAT</w:instrText>
                        </w:r>
                        <w:r>
                          <w:fldChar w:fldCharType="separate"/>
                        </w:r>
                        <w:r>
                          <w:rPr>
                            <w:lang w:val="zh-CN"/>
                          </w:rPr>
                          <w:t>2</w:t>
                        </w:r>
                        <w:r>
                          <w:fldChar w:fldCharType="end"/>
                        </w:r>
                      </w:p>
                    </w:sdtContent>
                  </w:sdt>
                  <w:p w14:paraId="21F98B87"/>
                </w:txbxContent>
              </v:textbox>
            </v:shape>
          </w:pict>
        </mc:Fallback>
      </mc:AlternateContent>
    </w:r>
  </w:p>
  <w:p w14:paraId="15A1600F">
    <w:pPr>
      <w:pStyle w:val="34"/>
      <w:tabs>
        <w:tab w:val="center" w:pos="4140"/>
        <w:tab w:val="right" w:pos="8300"/>
        <w:tab w:val="clear" w:pos="4153"/>
        <w:tab w:val="clear" w:pos="8306"/>
      </w:tabs>
    </w:pP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2411299">
    <w:pPr>
      <w:pStyle w:val="34"/>
      <w:framePr w:wrap="around" w:vAnchor="text" w:hAnchor="margin" w:xAlign="right" w:y="1"/>
      <w:rPr>
        <w:rStyle w:val="58"/>
      </w:rPr>
    </w:pPr>
    <w:r>
      <w:rPr>
        <w:rStyle w:val="58"/>
      </w:rPr>
      <w:fldChar w:fldCharType="begin"/>
    </w:r>
    <w:r>
      <w:rPr>
        <w:rStyle w:val="58"/>
      </w:rPr>
      <w:instrText xml:space="preserve">PAGE  </w:instrText>
    </w:r>
    <w:r>
      <w:rPr>
        <w:rStyle w:val="58"/>
      </w:rPr>
      <w:fldChar w:fldCharType="separate"/>
    </w:r>
    <w:r>
      <w:rPr>
        <w:rStyle w:val="58"/>
      </w:rPr>
      <w:t>61</w:t>
    </w:r>
    <w:r>
      <w:rPr>
        <w:rStyle w:val="58"/>
      </w:rPr>
      <w:fldChar w:fldCharType="end"/>
    </w:r>
  </w:p>
  <w:p w14:paraId="55734A87">
    <w:pPr>
      <w:pStyle w:val="34"/>
      <w:ind w:right="360"/>
    </w:pP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5FA57B9">
    <w:pPr>
      <w:pStyle w:val="34"/>
      <w:framePr w:wrap="around" w:vAnchor="text" w:hAnchor="margin" w:xAlign="right" w:y="1"/>
      <w:rPr>
        <w:rStyle w:val="58"/>
      </w:rPr>
    </w:pPr>
    <w:r>
      <w:rPr>
        <w:rStyle w:val="58"/>
      </w:rPr>
      <w:fldChar w:fldCharType="begin"/>
    </w:r>
    <w:r>
      <w:rPr>
        <w:rStyle w:val="58"/>
      </w:rPr>
      <w:instrText xml:space="preserve">PAGE  </w:instrText>
    </w:r>
    <w:r>
      <w:rPr>
        <w:rStyle w:val="58"/>
      </w:rPr>
      <w:fldChar w:fldCharType="end"/>
    </w:r>
  </w:p>
  <w:p w14:paraId="20045B28">
    <w:pPr>
      <w:pStyle w:val="34"/>
      <w:ind w:right="360"/>
    </w:pPr>
  </w:p>
  <w:p w14:paraId="6229C640"/>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250731B">
    <w:pPr>
      <w:pStyle w:val="3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CC1207D">
    <w:pPr>
      <w:ind w:left="42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D3E5DFB">
    <w:pPr>
      <w:pStyle w:val="35"/>
      <w:pBdr>
        <w:bottom w:val="none" w:color="auto" w:sz="0" w:space="1"/>
      </w:pBd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938C5A">
    <w:pPr>
      <w:pStyle w:val="35"/>
      <w:pBdr>
        <w:bottom w:val="none" w:color="auto" w:sz="0" w:space="1"/>
      </w:pBd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919A98">
    <w:pPr>
      <w:pStyle w:val="35"/>
    </w:pPr>
  </w:p>
  <w:p w14:paraId="57E4ADBB"/>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DA85CA">
    <w:pPr>
      <w:pStyle w:val="3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914AA43"/>
    <w:multiLevelType w:val="singleLevel"/>
    <w:tmpl w:val="9914AA43"/>
    <w:lvl w:ilvl="0" w:tentative="0">
      <w:start w:val="7"/>
      <w:numFmt w:val="chineseCounting"/>
      <w:suff w:val="nothing"/>
      <w:lvlText w:val="%1、"/>
      <w:lvlJc w:val="left"/>
      <w:rPr>
        <w:rFonts w:hint="eastAsia"/>
      </w:rPr>
    </w:lvl>
  </w:abstractNum>
  <w:abstractNum w:abstractNumId="1">
    <w:nsid w:val="DB21EDF7"/>
    <w:multiLevelType w:val="singleLevel"/>
    <w:tmpl w:val="DB21EDF7"/>
    <w:lvl w:ilvl="0" w:tentative="0">
      <w:start w:val="6"/>
      <w:numFmt w:val="decimal"/>
      <w:lvlText w:val="%1."/>
      <w:lvlJc w:val="left"/>
      <w:pPr>
        <w:tabs>
          <w:tab w:val="left" w:pos="312"/>
        </w:tabs>
      </w:pPr>
    </w:lvl>
  </w:abstractNum>
  <w:abstractNum w:abstractNumId="2">
    <w:nsid w:val="ED12A922"/>
    <w:multiLevelType w:val="singleLevel"/>
    <w:tmpl w:val="ED12A922"/>
    <w:lvl w:ilvl="0" w:tentative="0">
      <w:start w:val="1"/>
      <w:numFmt w:val="decimal"/>
      <w:lvlText w:val="(%1)"/>
      <w:lvlJc w:val="left"/>
      <w:pPr>
        <w:tabs>
          <w:tab w:val="left" w:pos="420"/>
        </w:tabs>
        <w:ind w:left="845" w:hanging="425"/>
      </w:pPr>
      <w:rPr>
        <w:rFonts w:hint="default"/>
      </w:rPr>
    </w:lvl>
  </w:abstractNum>
  <w:abstractNum w:abstractNumId="3">
    <w:nsid w:val="00000001"/>
    <w:multiLevelType w:val="multilevel"/>
    <w:tmpl w:val="00000001"/>
    <w:lvl w:ilvl="0" w:tentative="0">
      <w:start w:val="1"/>
      <w:numFmt w:val="chineseCountingThousand"/>
      <w:pStyle w:val="761"/>
      <w:lvlText w:val="%1、"/>
      <w:lvlJc w:val="left"/>
      <w:pPr>
        <w:ind w:left="840" w:hanging="420"/>
      </w:pPr>
      <w:rPr>
        <w:rFonts w:hint="default"/>
      </w:r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00000004"/>
    <w:multiLevelType w:val="multilevel"/>
    <w:tmpl w:val="00000004"/>
    <w:lvl w:ilvl="0" w:tentative="0">
      <w:start w:val="1"/>
      <w:numFmt w:val="japaneseCounting"/>
      <w:lvlText w:val="第%1章"/>
      <w:lvlJc w:val="left"/>
      <w:pPr>
        <w:tabs>
          <w:tab w:val="left" w:pos="4941"/>
        </w:tabs>
        <w:ind w:left="4941" w:hanging="1140"/>
      </w:pPr>
      <w:rPr>
        <w:rFonts w:hint="eastAsia"/>
      </w:rPr>
    </w:lvl>
    <w:lvl w:ilvl="1" w:tentative="0">
      <w:start w:val="1"/>
      <w:numFmt w:val="lowerLetter"/>
      <w:lvlText w:val="%2)"/>
      <w:lvlJc w:val="left"/>
      <w:pPr>
        <w:tabs>
          <w:tab w:val="left" w:pos="4641"/>
        </w:tabs>
        <w:ind w:left="4641" w:hanging="420"/>
      </w:pPr>
    </w:lvl>
    <w:lvl w:ilvl="2" w:tentative="0">
      <w:start w:val="1"/>
      <w:numFmt w:val="lowerRoman"/>
      <w:lvlText w:val="%3."/>
      <w:lvlJc w:val="right"/>
      <w:pPr>
        <w:tabs>
          <w:tab w:val="left" w:pos="5061"/>
        </w:tabs>
        <w:ind w:left="5061" w:hanging="420"/>
      </w:pPr>
    </w:lvl>
    <w:lvl w:ilvl="3" w:tentative="0">
      <w:start w:val="1"/>
      <w:numFmt w:val="decimal"/>
      <w:lvlText w:val="%4."/>
      <w:lvlJc w:val="left"/>
      <w:pPr>
        <w:tabs>
          <w:tab w:val="left" w:pos="5481"/>
        </w:tabs>
        <w:ind w:left="5481" w:hanging="420"/>
      </w:pPr>
    </w:lvl>
    <w:lvl w:ilvl="4" w:tentative="0">
      <w:start w:val="1"/>
      <w:numFmt w:val="lowerLetter"/>
      <w:lvlText w:val="%5)"/>
      <w:lvlJc w:val="left"/>
      <w:pPr>
        <w:tabs>
          <w:tab w:val="left" w:pos="5901"/>
        </w:tabs>
        <w:ind w:left="5901" w:hanging="420"/>
      </w:pPr>
    </w:lvl>
    <w:lvl w:ilvl="5" w:tentative="0">
      <w:start w:val="1"/>
      <w:numFmt w:val="lowerRoman"/>
      <w:lvlText w:val="%6."/>
      <w:lvlJc w:val="right"/>
      <w:pPr>
        <w:tabs>
          <w:tab w:val="left" w:pos="6321"/>
        </w:tabs>
        <w:ind w:left="6321" w:hanging="420"/>
      </w:pPr>
    </w:lvl>
    <w:lvl w:ilvl="6" w:tentative="0">
      <w:start w:val="1"/>
      <w:numFmt w:val="decimal"/>
      <w:lvlText w:val="%7."/>
      <w:lvlJc w:val="left"/>
      <w:pPr>
        <w:tabs>
          <w:tab w:val="left" w:pos="6741"/>
        </w:tabs>
        <w:ind w:left="6741" w:hanging="420"/>
      </w:pPr>
    </w:lvl>
    <w:lvl w:ilvl="7" w:tentative="0">
      <w:start w:val="1"/>
      <w:numFmt w:val="lowerLetter"/>
      <w:lvlText w:val="%8)"/>
      <w:lvlJc w:val="left"/>
      <w:pPr>
        <w:tabs>
          <w:tab w:val="left" w:pos="7161"/>
        </w:tabs>
        <w:ind w:left="7161" w:hanging="420"/>
      </w:pPr>
    </w:lvl>
    <w:lvl w:ilvl="8" w:tentative="0">
      <w:start w:val="1"/>
      <w:numFmt w:val="lowerRoman"/>
      <w:lvlText w:val="%9."/>
      <w:lvlJc w:val="right"/>
      <w:pPr>
        <w:tabs>
          <w:tab w:val="left" w:pos="7581"/>
        </w:tabs>
        <w:ind w:left="7581" w:hanging="420"/>
      </w:pPr>
    </w:lvl>
  </w:abstractNum>
  <w:abstractNum w:abstractNumId="5">
    <w:nsid w:val="00000029"/>
    <w:multiLevelType w:val="multilevel"/>
    <w:tmpl w:val="00000029"/>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6">
    <w:nsid w:val="10872DAA"/>
    <w:multiLevelType w:val="multilevel"/>
    <w:tmpl w:val="10872DAA"/>
    <w:lvl w:ilvl="0" w:tentative="0">
      <w:start w:val="1"/>
      <w:numFmt w:val="decimal"/>
      <w:lvlText w:val="%1"/>
      <w:lvlJc w:val="left"/>
      <w:pPr>
        <w:tabs>
          <w:tab w:val="left" w:pos="900"/>
        </w:tabs>
        <w:ind w:left="900" w:hanging="900"/>
      </w:pPr>
      <w:rPr>
        <w:rFonts w:hint="eastAsia"/>
      </w:rPr>
    </w:lvl>
    <w:lvl w:ilvl="1" w:tentative="0">
      <w:start w:val="1"/>
      <w:numFmt w:val="decimal"/>
      <w:lvlText w:val="%1.%2"/>
      <w:lvlJc w:val="left"/>
      <w:pPr>
        <w:tabs>
          <w:tab w:val="left" w:pos="1589"/>
        </w:tabs>
        <w:ind w:left="1468" w:hanging="900"/>
      </w:pPr>
      <w:rPr>
        <w:rFonts w:hint="default" w:ascii="Times New Roman" w:hAnsi="Times New Roman" w:cs="Times New Roman"/>
        <w:b w:val="0"/>
        <w:sz w:val="24"/>
        <w:szCs w:val="24"/>
      </w:rPr>
    </w:lvl>
    <w:lvl w:ilvl="2" w:tentative="0">
      <w:start w:val="1"/>
      <w:numFmt w:val="decimal"/>
      <w:lvlText w:val="%1.%2.%3"/>
      <w:lvlJc w:val="left"/>
      <w:pPr>
        <w:tabs>
          <w:tab w:val="left" w:pos="1980"/>
        </w:tabs>
        <w:ind w:left="1980" w:hanging="900"/>
      </w:pPr>
      <w:rPr>
        <w:rFonts w:hint="eastAsia"/>
      </w:rPr>
    </w:lvl>
    <w:lvl w:ilvl="3" w:tentative="0">
      <w:start w:val="1"/>
      <w:numFmt w:val="decimal"/>
      <w:lvlText w:val="%1.%2.%3.%4"/>
      <w:lvlJc w:val="left"/>
      <w:pPr>
        <w:tabs>
          <w:tab w:val="left" w:pos="900"/>
        </w:tabs>
        <w:ind w:left="900" w:hanging="900"/>
      </w:pPr>
      <w:rPr>
        <w:rFonts w:hint="eastAsia"/>
      </w:rPr>
    </w:lvl>
    <w:lvl w:ilvl="4" w:tentative="0">
      <w:start w:val="1"/>
      <w:numFmt w:val="decimal"/>
      <w:lvlText w:val="%1.%2.%3.%4.%5"/>
      <w:lvlJc w:val="left"/>
      <w:pPr>
        <w:tabs>
          <w:tab w:val="left" w:pos="900"/>
        </w:tabs>
        <w:ind w:left="900" w:hanging="900"/>
      </w:pPr>
      <w:rPr>
        <w:rFonts w:hint="eastAsia"/>
      </w:rPr>
    </w:lvl>
    <w:lvl w:ilvl="5" w:tentative="0">
      <w:start w:val="1"/>
      <w:numFmt w:val="decimal"/>
      <w:lvlText w:val="%1.%2.%3.%4.%5.%6"/>
      <w:lvlJc w:val="left"/>
      <w:pPr>
        <w:tabs>
          <w:tab w:val="left" w:pos="900"/>
        </w:tabs>
        <w:ind w:left="900" w:hanging="900"/>
      </w:pPr>
      <w:rPr>
        <w:rFonts w:hint="eastAsia"/>
      </w:rPr>
    </w:lvl>
    <w:lvl w:ilvl="6" w:tentative="0">
      <w:start w:val="1"/>
      <w:numFmt w:val="decimal"/>
      <w:lvlText w:val="%1.%2.%3.%4.%5.%6.%7"/>
      <w:lvlJc w:val="left"/>
      <w:pPr>
        <w:tabs>
          <w:tab w:val="left" w:pos="900"/>
        </w:tabs>
        <w:ind w:left="900" w:hanging="900"/>
      </w:pPr>
      <w:rPr>
        <w:rFonts w:hint="eastAsia"/>
      </w:rPr>
    </w:lvl>
    <w:lvl w:ilvl="7" w:tentative="0">
      <w:start w:val="1"/>
      <w:numFmt w:val="decimal"/>
      <w:lvlText w:val="%1.%2.%3.%4.%5.%6.%7.%8"/>
      <w:lvlJc w:val="left"/>
      <w:pPr>
        <w:tabs>
          <w:tab w:val="left" w:pos="900"/>
        </w:tabs>
        <w:ind w:left="900" w:hanging="900"/>
      </w:pPr>
      <w:rPr>
        <w:rFonts w:hint="eastAsia"/>
      </w:rPr>
    </w:lvl>
    <w:lvl w:ilvl="8" w:tentative="0">
      <w:start w:val="1"/>
      <w:numFmt w:val="decimal"/>
      <w:lvlText w:val="%1.%2.%3.%4.%5.%6.%7.%8.%9"/>
      <w:lvlJc w:val="left"/>
      <w:pPr>
        <w:tabs>
          <w:tab w:val="left" w:pos="900"/>
        </w:tabs>
        <w:ind w:left="900" w:hanging="900"/>
      </w:pPr>
      <w:rPr>
        <w:rFonts w:hint="eastAsia"/>
      </w:rPr>
    </w:lvl>
  </w:abstractNum>
  <w:abstractNum w:abstractNumId="7">
    <w:nsid w:val="11B54120"/>
    <w:multiLevelType w:val="singleLevel"/>
    <w:tmpl w:val="11B54120"/>
    <w:lvl w:ilvl="0" w:tentative="0">
      <w:start w:val="5"/>
      <w:numFmt w:val="chineseCounting"/>
      <w:suff w:val="space"/>
      <w:lvlText w:val="第%1章"/>
      <w:lvlJc w:val="left"/>
      <w:rPr>
        <w:rFonts w:hint="eastAsia"/>
      </w:rPr>
    </w:lvl>
  </w:abstractNum>
  <w:abstractNum w:abstractNumId="8">
    <w:nsid w:val="29F6D836"/>
    <w:multiLevelType w:val="singleLevel"/>
    <w:tmpl w:val="29F6D836"/>
    <w:lvl w:ilvl="0" w:tentative="0">
      <w:start w:val="3"/>
      <w:numFmt w:val="chineseCounting"/>
      <w:suff w:val="nothing"/>
      <w:lvlText w:val="%1、"/>
      <w:lvlJc w:val="left"/>
      <w:rPr>
        <w:rFonts w:hint="eastAsia"/>
      </w:rPr>
    </w:lvl>
  </w:abstractNum>
  <w:abstractNum w:abstractNumId="9">
    <w:nsid w:val="302065E1"/>
    <w:multiLevelType w:val="multilevel"/>
    <w:tmpl w:val="302065E1"/>
    <w:lvl w:ilvl="0" w:tentative="0">
      <w:start w:val="1"/>
      <w:numFmt w:val="japaneseCounting"/>
      <w:lvlText w:val="（%1）"/>
      <w:lvlJc w:val="left"/>
      <w:pPr>
        <w:ind w:left="1560" w:hanging="720"/>
      </w:pPr>
      <w:rPr>
        <w:rFonts w:hint="default"/>
      </w:rPr>
    </w:lvl>
    <w:lvl w:ilvl="1" w:tentative="0">
      <w:start w:val="1"/>
      <w:numFmt w:val="lowerLetter"/>
      <w:lvlText w:val="%2)"/>
      <w:lvlJc w:val="left"/>
      <w:pPr>
        <w:ind w:left="1680" w:hanging="420"/>
      </w:pPr>
    </w:lvl>
    <w:lvl w:ilvl="2" w:tentative="0">
      <w:start w:val="1"/>
      <w:numFmt w:val="lowerRoman"/>
      <w:lvlText w:val="%3."/>
      <w:lvlJc w:val="right"/>
      <w:pPr>
        <w:ind w:left="2100" w:hanging="420"/>
      </w:pPr>
    </w:lvl>
    <w:lvl w:ilvl="3" w:tentative="0">
      <w:start w:val="1"/>
      <w:numFmt w:val="decimal"/>
      <w:lvlText w:val="%4."/>
      <w:lvlJc w:val="left"/>
      <w:pPr>
        <w:ind w:left="2520" w:hanging="420"/>
      </w:pPr>
    </w:lvl>
    <w:lvl w:ilvl="4" w:tentative="0">
      <w:start w:val="1"/>
      <w:numFmt w:val="lowerLetter"/>
      <w:lvlText w:val="%5)"/>
      <w:lvlJc w:val="left"/>
      <w:pPr>
        <w:ind w:left="2940" w:hanging="420"/>
      </w:pPr>
    </w:lvl>
    <w:lvl w:ilvl="5" w:tentative="0">
      <w:start w:val="1"/>
      <w:numFmt w:val="lowerRoman"/>
      <w:lvlText w:val="%6."/>
      <w:lvlJc w:val="right"/>
      <w:pPr>
        <w:ind w:left="3360" w:hanging="420"/>
      </w:pPr>
    </w:lvl>
    <w:lvl w:ilvl="6" w:tentative="0">
      <w:start w:val="1"/>
      <w:numFmt w:val="decimal"/>
      <w:lvlText w:val="%7."/>
      <w:lvlJc w:val="left"/>
      <w:pPr>
        <w:ind w:left="3780" w:hanging="420"/>
      </w:pPr>
    </w:lvl>
    <w:lvl w:ilvl="7" w:tentative="0">
      <w:start w:val="1"/>
      <w:numFmt w:val="lowerLetter"/>
      <w:lvlText w:val="%8)"/>
      <w:lvlJc w:val="left"/>
      <w:pPr>
        <w:ind w:left="4200" w:hanging="420"/>
      </w:pPr>
    </w:lvl>
    <w:lvl w:ilvl="8" w:tentative="0">
      <w:start w:val="1"/>
      <w:numFmt w:val="lowerRoman"/>
      <w:lvlText w:val="%9."/>
      <w:lvlJc w:val="right"/>
      <w:pPr>
        <w:ind w:left="4620" w:hanging="420"/>
      </w:pPr>
    </w:lvl>
  </w:abstractNum>
  <w:abstractNum w:abstractNumId="10">
    <w:nsid w:val="4972674D"/>
    <w:multiLevelType w:val="singleLevel"/>
    <w:tmpl w:val="4972674D"/>
    <w:lvl w:ilvl="0" w:tentative="0">
      <w:start w:val="1"/>
      <w:numFmt w:val="japaneseCounting"/>
      <w:lvlText w:val="%1、"/>
      <w:lvlJc w:val="left"/>
      <w:pPr>
        <w:tabs>
          <w:tab w:val="left" w:pos="780"/>
        </w:tabs>
        <w:ind w:left="780" w:hanging="600"/>
      </w:pPr>
      <w:rPr>
        <w:rFonts w:hint="eastAsia"/>
        <w:b w:val="0"/>
      </w:rPr>
    </w:lvl>
  </w:abstractNum>
  <w:abstractNum w:abstractNumId="11">
    <w:nsid w:val="76933334"/>
    <w:multiLevelType w:val="multilevel"/>
    <w:tmpl w:val="76933334"/>
    <w:lvl w:ilvl="0" w:tentative="0">
      <w:start w:val="1"/>
      <w:numFmt w:val="none"/>
      <w:pStyle w:val="680"/>
      <w:lvlText w:val="%1——"/>
      <w:lvlJc w:val="left"/>
      <w:pPr>
        <w:tabs>
          <w:tab w:val="left" w:pos="1140"/>
        </w:tabs>
        <w:ind w:left="840" w:hanging="42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1"/>
  </w:num>
  <w:num w:numId="2">
    <w:abstractNumId w:val="3"/>
  </w:num>
  <w:num w:numId="3">
    <w:abstractNumId w:val="1"/>
  </w:num>
  <w:num w:numId="4">
    <w:abstractNumId w:val="0"/>
  </w:num>
  <w:num w:numId="5">
    <w:abstractNumId w:val="5"/>
  </w:num>
  <w:num w:numId="6">
    <w:abstractNumId w:val="4"/>
  </w:num>
  <w:num w:numId="7">
    <w:abstractNumId w:val="6"/>
  </w:num>
  <w:num w:numId="8">
    <w:abstractNumId w:val="8"/>
  </w:num>
  <w:num w:numId="9">
    <w:abstractNumId w:val="2"/>
  </w:num>
  <w:num w:numId="10">
    <w:abstractNumId w:val="7"/>
  </w:num>
  <w:num w:numId="11">
    <w:abstractNumId w:val="9"/>
  </w:num>
  <w:num w:numId="1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5"/>
  <w:displayBackgroundShape w:val="1"/>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doNotValidateAgainstSchema/>
  <w:doNotDemarcateInvalidXml/>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ACTIVE" w:val="03年范本稿123.doc"/>
    <w:docVar w:name="commondata" w:val="eyJoZGlkIjoiYzYyYzNhODRiMTQ0Y2I4ODJlY2FjMDBmMTQwMTUyNzYifQ=="/>
    <w:docVar w:name="VTCASE" w:val="4"/>
    <w:docVar w:name="VTCommandPending" w:val="NONE"/>
  </w:docVars>
  <w:rsids>
    <w:rsidRoot w:val="00172A27"/>
    <w:rsid w:val="00000277"/>
    <w:rsid w:val="000002C4"/>
    <w:rsid w:val="00000368"/>
    <w:rsid w:val="00000432"/>
    <w:rsid w:val="00000448"/>
    <w:rsid w:val="00000905"/>
    <w:rsid w:val="00000CCE"/>
    <w:rsid w:val="00000DF5"/>
    <w:rsid w:val="00000F3F"/>
    <w:rsid w:val="000010CF"/>
    <w:rsid w:val="00001449"/>
    <w:rsid w:val="00001711"/>
    <w:rsid w:val="00001895"/>
    <w:rsid w:val="00001948"/>
    <w:rsid w:val="00001F9C"/>
    <w:rsid w:val="000020BD"/>
    <w:rsid w:val="0000218D"/>
    <w:rsid w:val="00002358"/>
    <w:rsid w:val="0000240B"/>
    <w:rsid w:val="000026F7"/>
    <w:rsid w:val="0000279B"/>
    <w:rsid w:val="000027EB"/>
    <w:rsid w:val="00002944"/>
    <w:rsid w:val="00002D16"/>
    <w:rsid w:val="00002F3D"/>
    <w:rsid w:val="00002FE1"/>
    <w:rsid w:val="000031CE"/>
    <w:rsid w:val="00003279"/>
    <w:rsid w:val="00003711"/>
    <w:rsid w:val="00003804"/>
    <w:rsid w:val="000039FD"/>
    <w:rsid w:val="00003A41"/>
    <w:rsid w:val="00003D6A"/>
    <w:rsid w:val="00003E5F"/>
    <w:rsid w:val="00003EA2"/>
    <w:rsid w:val="00004254"/>
    <w:rsid w:val="0000429B"/>
    <w:rsid w:val="000044A2"/>
    <w:rsid w:val="000046C6"/>
    <w:rsid w:val="0000474F"/>
    <w:rsid w:val="00004A22"/>
    <w:rsid w:val="00004C44"/>
    <w:rsid w:val="00004D13"/>
    <w:rsid w:val="00004E70"/>
    <w:rsid w:val="0000508D"/>
    <w:rsid w:val="000051DC"/>
    <w:rsid w:val="00005232"/>
    <w:rsid w:val="000053B4"/>
    <w:rsid w:val="00005407"/>
    <w:rsid w:val="00005905"/>
    <w:rsid w:val="00005A31"/>
    <w:rsid w:val="00005AF1"/>
    <w:rsid w:val="00005DF0"/>
    <w:rsid w:val="00005EC8"/>
    <w:rsid w:val="000060A7"/>
    <w:rsid w:val="00006359"/>
    <w:rsid w:val="000064B2"/>
    <w:rsid w:val="00006923"/>
    <w:rsid w:val="00006BD5"/>
    <w:rsid w:val="00006CD1"/>
    <w:rsid w:val="00006CD3"/>
    <w:rsid w:val="000073B1"/>
    <w:rsid w:val="000073E8"/>
    <w:rsid w:val="0000781A"/>
    <w:rsid w:val="00007A5A"/>
    <w:rsid w:val="00007AB4"/>
    <w:rsid w:val="00007DA4"/>
    <w:rsid w:val="00007F7A"/>
    <w:rsid w:val="00010010"/>
    <w:rsid w:val="000100A2"/>
    <w:rsid w:val="000100B6"/>
    <w:rsid w:val="000104BA"/>
    <w:rsid w:val="000106FC"/>
    <w:rsid w:val="00010763"/>
    <w:rsid w:val="00010962"/>
    <w:rsid w:val="00010DB9"/>
    <w:rsid w:val="00010E8F"/>
    <w:rsid w:val="0001121F"/>
    <w:rsid w:val="0001127B"/>
    <w:rsid w:val="000112A5"/>
    <w:rsid w:val="00011565"/>
    <w:rsid w:val="00011793"/>
    <w:rsid w:val="000118AD"/>
    <w:rsid w:val="00011AFF"/>
    <w:rsid w:val="00011BD5"/>
    <w:rsid w:val="00011DA9"/>
    <w:rsid w:val="0001235C"/>
    <w:rsid w:val="00012486"/>
    <w:rsid w:val="000124BE"/>
    <w:rsid w:val="000125B2"/>
    <w:rsid w:val="000125FF"/>
    <w:rsid w:val="00012A66"/>
    <w:rsid w:val="00012BE6"/>
    <w:rsid w:val="00012C45"/>
    <w:rsid w:val="00012EBE"/>
    <w:rsid w:val="00013121"/>
    <w:rsid w:val="000131D3"/>
    <w:rsid w:val="000136DC"/>
    <w:rsid w:val="00013965"/>
    <w:rsid w:val="00013DAB"/>
    <w:rsid w:val="00013FB5"/>
    <w:rsid w:val="00014156"/>
    <w:rsid w:val="0001416B"/>
    <w:rsid w:val="000141D5"/>
    <w:rsid w:val="00014444"/>
    <w:rsid w:val="00014851"/>
    <w:rsid w:val="000149E0"/>
    <w:rsid w:val="00014D98"/>
    <w:rsid w:val="00015030"/>
    <w:rsid w:val="00015094"/>
    <w:rsid w:val="0001518B"/>
    <w:rsid w:val="000151D7"/>
    <w:rsid w:val="00015316"/>
    <w:rsid w:val="000154B9"/>
    <w:rsid w:val="00015645"/>
    <w:rsid w:val="000156A3"/>
    <w:rsid w:val="0001576D"/>
    <w:rsid w:val="000157C2"/>
    <w:rsid w:val="00015C1D"/>
    <w:rsid w:val="00015C92"/>
    <w:rsid w:val="00015D20"/>
    <w:rsid w:val="00015D38"/>
    <w:rsid w:val="0001606B"/>
    <w:rsid w:val="000160FB"/>
    <w:rsid w:val="000163AA"/>
    <w:rsid w:val="00016644"/>
    <w:rsid w:val="000168D9"/>
    <w:rsid w:val="000169A7"/>
    <w:rsid w:val="00016E72"/>
    <w:rsid w:val="000173B8"/>
    <w:rsid w:val="0001745D"/>
    <w:rsid w:val="00017521"/>
    <w:rsid w:val="00017674"/>
    <w:rsid w:val="000178F8"/>
    <w:rsid w:val="00017A16"/>
    <w:rsid w:val="00017A27"/>
    <w:rsid w:val="00017A3B"/>
    <w:rsid w:val="00017A46"/>
    <w:rsid w:val="00017B36"/>
    <w:rsid w:val="00017C5E"/>
    <w:rsid w:val="00020232"/>
    <w:rsid w:val="000203B5"/>
    <w:rsid w:val="00020505"/>
    <w:rsid w:val="00020696"/>
    <w:rsid w:val="00020880"/>
    <w:rsid w:val="00020900"/>
    <w:rsid w:val="00020C28"/>
    <w:rsid w:val="00020E48"/>
    <w:rsid w:val="000210FD"/>
    <w:rsid w:val="0002113E"/>
    <w:rsid w:val="000215D4"/>
    <w:rsid w:val="000217FC"/>
    <w:rsid w:val="00021AEB"/>
    <w:rsid w:val="00021C9E"/>
    <w:rsid w:val="00021F1F"/>
    <w:rsid w:val="00021F66"/>
    <w:rsid w:val="0002210E"/>
    <w:rsid w:val="0002216A"/>
    <w:rsid w:val="0002217C"/>
    <w:rsid w:val="0002226B"/>
    <w:rsid w:val="000222D0"/>
    <w:rsid w:val="00022354"/>
    <w:rsid w:val="000223C3"/>
    <w:rsid w:val="00022526"/>
    <w:rsid w:val="00022562"/>
    <w:rsid w:val="000227DC"/>
    <w:rsid w:val="000227F5"/>
    <w:rsid w:val="00022BE1"/>
    <w:rsid w:val="00022C7A"/>
    <w:rsid w:val="00022D53"/>
    <w:rsid w:val="00022F7D"/>
    <w:rsid w:val="0002328F"/>
    <w:rsid w:val="00023458"/>
    <w:rsid w:val="000234AD"/>
    <w:rsid w:val="00023CAF"/>
    <w:rsid w:val="00023D59"/>
    <w:rsid w:val="000241D9"/>
    <w:rsid w:val="00024343"/>
    <w:rsid w:val="00024427"/>
    <w:rsid w:val="00024446"/>
    <w:rsid w:val="0002455F"/>
    <w:rsid w:val="000246FD"/>
    <w:rsid w:val="000249B1"/>
    <w:rsid w:val="000249FA"/>
    <w:rsid w:val="00024B4F"/>
    <w:rsid w:val="00024BB5"/>
    <w:rsid w:val="00024D50"/>
    <w:rsid w:val="00024D59"/>
    <w:rsid w:val="00024FD8"/>
    <w:rsid w:val="00025050"/>
    <w:rsid w:val="00025279"/>
    <w:rsid w:val="00025543"/>
    <w:rsid w:val="00025545"/>
    <w:rsid w:val="0002559A"/>
    <w:rsid w:val="00025BF3"/>
    <w:rsid w:val="00025DA9"/>
    <w:rsid w:val="00026353"/>
    <w:rsid w:val="000265E5"/>
    <w:rsid w:val="00026693"/>
    <w:rsid w:val="000267C8"/>
    <w:rsid w:val="00026845"/>
    <w:rsid w:val="00026AAC"/>
    <w:rsid w:val="00026D3D"/>
    <w:rsid w:val="00026F4A"/>
    <w:rsid w:val="000272EC"/>
    <w:rsid w:val="00027416"/>
    <w:rsid w:val="000274ED"/>
    <w:rsid w:val="0002751F"/>
    <w:rsid w:val="00027819"/>
    <w:rsid w:val="000279DE"/>
    <w:rsid w:val="0003010B"/>
    <w:rsid w:val="00030152"/>
    <w:rsid w:val="000301C2"/>
    <w:rsid w:val="000304E9"/>
    <w:rsid w:val="00030640"/>
    <w:rsid w:val="0003072E"/>
    <w:rsid w:val="000307A8"/>
    <w:rsid w:val="00030887"/>
    <w:rsid w:val="00030993"/>
    <w:rsid w:val="00030D81"/>
    <w:rsid w:val="00030EDC"/>
    <w:rsid w:val="00031069"/>
    <w:rsid w:val="000313A2"/>
    <w:rsid w:val="000313C2"/>
    <w:rsid w:val="00031442"/>
    <w:rsid w:val="0003161A"/>
    <w:rsid w:val="00031704"/>
    <w:rsid w:val="00031756"/>
    <w:rsid w:val="00031A81"/>
    <w:rsid w:val="00031B2F"/>
    <w:rsid w:val="00031B98"/>
    <w:rsid w:val="00031BCE"/>
    <w:rsid w:val="00031EC6"/>
    <w:rsid w:val="000324CE"/>
    <w:rsid w:val="00032727"/>
    <w:rsid w:val="00032743"/>
    <w:rsid w:val="000328FF"/>
    <w:rsid w:val="00032AFA"/>
    <w:rsid w:val="00032B14"/>
    <w:rsid w:val="00032C55"/>
    <w:rsid w:val="00032E71"/>
    <w:rsid w:val="00033034"/>
    <w:rsid w:val="00033192"/>
    <w:rsid w:val="00033263"/>
    <w:rsid w:val="00033483"/>
    <w:rsid w:val="00033665"/>
    <w:rsid w:val="000337D2"/>
    <w:rsid w:val="00033A69"/>
    <w:rsid w:val="00033AAE"/>
    <w:rsid w:val="0003416B"/>
    <w:rsid w:val="00034376"/>
    <w:rsid w:val="000343B7"/>
    <w:rsid w:val="000343F4"/>
    <w:rsid w:val="0003447F"/>
    <w:rsid w:val="00034786"/>
    <w:rsid w:val="00034820"/>
    <w:rsid w:val="0003491D"/>
    <w:rsid w:val="00034F4A"/>
    <w:rsid w:val="000352D3"/>
    <w:rsid w:val="0003536A"/>
    <w:rsid w:val="000357FF"/>
    <w:rsid w:val="00035B0F"/>
    <w:rsid w:val="00035C34"/>
    <w:rsid w:val="00035DDC"/>
    <w:rsid w:val="00035FEF"/>
    <w:rsid w:val="00036158"/>
    <w:rsid w:val="00036235"/>
    <w:rsid w:val="0003628C"/>
    <w:rsid w:val="00036301"/>
    <w:rsid w:val="000363BC"/>
    <w:rsid w:val="00036500"/>
    <w:rsid w:val="000366A5"/>
    <w:rsid w:val="0003683A"/>
    <w:rsid w:val="000369F4"/>
    <w:rsid w:val="00036A1C"/>
    <w:rsid w:val="00036B73"/>
    <w:rsid w:val="00036D6E"/>
    <w:rsid w:val="00036E36"/>
    <w:rsid w:val="00036EE2"/>
    <w:rsid w:val="000370CE"/>
    <w:rsid w:val="000371CF"/>
    <w:rsid w:val="00037376"/>
    <w:rsid w:val="000375F9"/>
    <w:rsid w:val="00037AF2"/>
    <w:rsid w:val="00040091"/>
    <w:rsid w:val="000403CA"/>
    <w:rsid w:val="0004042F"/>
    <w:rsid w:val="0004060C"/>
    <w:rsid w:val="00040B56"/>
    <w:rsid w:val="00040D2C"/>
    <w:rsid w:val="00040D38"/>
    <w:rsid w:val="00040D45"/>
    <w:rsid w:val="00040D67"/>
    <w:rsid w:val="00041026"/>
    <w:rsid w:val="00041129"/>
    <w:rsid w:val="00041142"/>
    <w:rsid w:val="00041243"/>
    <w:rsid w:val="0004148E"/>
    <w:rsid w:val="000415CF"/>
    <w:rsid w:val="00041993"/>
    <w:rsid w:val="00041A0A"/>
    <w:rsid w:val="00041BE6"/>
    <w:rsid w:val="00041C6E"/>
    <w:rsid w:val="00041C8A"/>
    <w:rsid w:val="00041D94"/>
    <w:rsid w:val="00041DA9"/>
    <w:rsid w:val="000422C8"/>
    <w:rsid w:val="00042453"/>
    <w:rsid w:val="000424A2"/>
    <w:rsid w:val="00042558"/>
    <w:rsid w:val="000426DE"/>
    <w:rsid w:val="0004276D"/>
    <w:rsid w:val="0004277A"/>
    <w:rsid w:val="00042934"/>
    <w:rsid w:val="00042AC7"/>
    <w:rsid w:val="00042BAD"/>
    <w:rsid w:val="00042C3E"/>
    <w:rsid w:val="00042FD2"/>
    <w:rsid w:val="0004311D"/>
    <w:rsid w:val="000431B4"/>
    <w:rsid w:val="0004336D"/>
    <w:rsid w:val="00043879"/>
    <w:rsid w:val="00043A61"/>
    <w:rsid w:val="00043B1C"/>
    <w:rsid w:val="00043C68"/>
    <w:rsid w:val="00043D59"/>
    <w:rsid w:val="000441F6"/>
    <w:rsid w:val="000446D5"/>
    <w:rsid w:val="0004473A"/>
    <w:rsid w:val="0004483E"/>
    <w:rsid w:val="00044AA1"/>
    <w:rsid w:val="00044D9C"/>
    <w:rsid w:val="00044EDD"/>
    <w:rsid w:val="00045112"/>
    <w:rsid w:val="00045147"/>
    <w:rsid w:val="00045514"/>
    <w:rsid w:val="00045678"/>
    <w:rsid w:val="0004567A"/>
    <w:rsid w:val="000456B3"/>
    <w:rsid w:val="00045730"/>
    <w:rsid w:val="00045840"/>
    <w:rsid w:val="0004588D"/>
    <w:rsid w:val="0004597F"/>
    <w:rsid w:val="00045A76"/>
    <w:rsid w:val="00045BF7"/>
    <w:rsid w:val="00046001"/>
    <w:rsid w:val="000460A7"/>
    <w:rsid w:val="0004611A"/>
    <w:rsid w:val="000461DC"/>
    <w:rsid w:val="00046309"/>
    <w:rsid w:val="0004639F"/>
    <w:rsid w:val="00046737"/>
    <w:rsid w:val="0004680B"/>
    <w:rsid w:val="00046872"/>
    <w:rsid w:val="00046939"/>
    <w:rsid w:val="00046963"/>
    <w:rsid w:val="00046C5C"/>
    <w:rsid w:val="000470D5"/>
    <w:rsid w:val="00047207"/>
    <w:rsid w:val="00047479"/>
    <w:rsid w:val="000476F9"/>
    <w:rsid w:val="00047889"/>
    <w:rsid w:val="00047AB3"/>
    <w:rsid w:val="00047ADA"/>
    <w:rsid w:val="00047BBA"/>
    <w:rsid w:val="00047E61"/>
    <w:rsid w:val="000500A2"/>
    <w:rsid w:val="000502FD"/>
    <w:rsid w:val="00050351"/>
    <w:rsid w:val="00050606"/>
    <w:rsid w:val="00050747"/>
    <w:rsid w:val="00050899"/>
    <w:rsid w:val="000508C4"/>
    <w:rsid w:val="00050A3F"/>
    <w:rsid w:val="00050AEA"/>
    <w:rsid w:val="00050C78"/>
    <w:rsid w:val="00050EAE"/>
    <w:rsid w:val="000514DF"/>
    <w:rsid w:val="0005161F"/>
    <w:rsid w:val="00051756"/>
    <w:rsid w:val="000517DD"/>
    <w:rsid w:val="0005182E"/>
    <w:rsid w:val="0005191F"/>
    <w:rsid w:val="0005192B"/>
    <w:rsid w:val="00051C52"/>
    <w:rsid w:val="00052978"/>
    <w:rsid w:val="00052D2A"/>
    <w:rsid w:val="00052FD2"/>
    <w:rsid w:val="00053251"/>
    <w:rsid w:val="000535C2"/>
    <w:rsid w:val="000535E6"/>
    <w:rsid w:val="00053890"/>
    <w:rsid w:val="000539CC"/>
    <w:rsid w:val="00053AC5"/>
    <w:rsid w:val="00053B80"/>
    <w:rsid w:val="00054265"/>
    <w:rsid w:val="0005434F"/>
    <w:rsid w:val="000548B1"/>
    <w:rsid w:val="00054A1D"/>
    <w:rsid w:val="00054B62"/>
    <w:rsid w:val="00054CED"/>
    <w:rsid w:val="00054E53"/>
    <w:rsid w:val="00054E6E"/>
    <w:rsid w:val="00055046"/>
    <w:rsid w:val="00055165"/>
    <w:rsid w:val="00055298"/>
    <w:rsid w:val="000553C0"/>
    <w:rsid w:val="00055594"/>
    <w:rsid w:val="000555BE"/>
    <w:rsid w:val="00055637"/>
    <w:rsid w:val="0005569F"/>
    <w:rsid w:val="00055922"/>
    <w:rsid w:val="00055B14"/>
    <w:rsid w:val="00055DD7"/>
    <w:rsid w:val="00055F08"/>
    <w:rsid w:val="00055F19"/>
    <w:rsid w:val="00056003"/>
    <w:rsid w:val="000560E2"/>
    <w:rsid w:val="0005626D"/>
    <w:rsid w:val="000562AB"/>
    <w:rsid w:val="00056476"/>
    <w:rsid w:val="00056502"/>
    <w:rsid w:val="0005682F"/>
    <w:rsid w:val="000568DE"/>
    <w:rsid w:val="00056B27"/>
    <w:rsid w:val="00056E70"/>
    <w:rsid w:val="0005707E"/>
    <w:rsid w:val="000570D7"/>
    <w:rsid w:val="0005717B"/>
    <w:rsid w:val="000571B5"/>
    <w:rsid w:val="00057274"/>
    <w:rsid w:val="0005763B"/>
    <w:rsid w:val="00057B08"/>
    <w:rsid w:val="000600AF"/>
    <w:rsid w:val="000600DF"/>
    <w:rsid w:val="00060210"/>
    <w:rsid w:val="000602E6"/>
    <w:rsid w:val="00060333"/>
    <w:rsid w:val="00060350"/>
    <w:rsid w:val="000605F1"/>
    <w:rsid w:val="00060615"/>
    <w:rsid w:val="00060784"/>
    <w:rsid w:val="00060C6B"/>
    <w:rsid w:val="00060D4C"/>
    <w:rsid w:val="00060D82"/>
    <w:rsid w:val="00060E85"/>
    <w:rsid w:val="00060FB3"/>
    <w:rsid w:val="00061003"/>
    <w:rsid w:val="0006108C"/>
    <w:rsid w:val="0006142A"/>
    <w:rsid w:val="00061819"/>
    <w:rsid w:val="00061DD1"/>
    <w:rsid w:val="00061EF5"/>
    <w:rsid w:val="00061F68"/>
    <w:rsid w:val="000620CE"/>
    <w:rsid w:val="0006234D"/>
    <w:rsid w:val="00062474"/>
    <w:rsid w:val="0006280B"/>
    <w:rsid w:val="00062854"/>
    <w:rsid w:val="000630BA"/>
    <w:rsid w:val="0006314D"/>
    <w:rsid w:val="0006336F"/>
    <w:rsid w:val="000633D6"/>
    <w:rsid w:val="000634A5"/>
    <w:rsid w:val="00063741"/>
    <w:rsid w:val="00063AB9"/>
    <w:rsid w:val="00063C49"/>
    <w:rsid w:val="00063EE1"/>
    <w:rsid w:val="000640A5"/>
    <w:rsid w:val="00064564"/>
    <w:rsid w:val="000645FE"/>
    <w:rsid w:val="000649EC"/>
    <w:rsid w:val="00064E78"/>
    <w:rsid w:val="00065020"/>
    <w:rsid w:val="00065240"/>
    <w:rsid w:val="00065259"/>
    <w:rsid w:val="0006564E"/>
    <w:rsid w:val="000659A7"/>
    <w:rsid w:val="00065B6B"/>
    <w:rsid w:val="00065C44"/>
    <w:rsid w:val="00065FDC"/>
    <w:rsid w:val="00066242"/>
    <w:rsid w:val="000665A0"/>
    <w:rsid w:val="000666C4"/>
    <w:rsid w:val="000668C9"/>
    <w:rsid w:val="000668D7"/>
    <w:rsid w:val="00066C16"/>
    <w:rsid w:val="00066E01"/>
    <w:rsid w:val="0006751D"/>
    <w:rsid w:val="00067529"/>
    <w:rsid w:val="00067802"/>
    <w:rsid w:val="000679C4"/>
    <w:rsid w:val="00067D43"/>
    <w:rsid w:val="00067E9C"/>
    <w:rsid w:val="00070102"/>
    <w:rsid w:val="000701A2"/>
    <w:rsid w:val="0007050C"/>
    <w:rsid w:val="00070524"/>
    <w:rsid w:val="00070526"/>
    <w:rsid w:val="0007060C"/>
    <w:rsid w:val="0007090B"/>
    <w:rsid w:val="00070998"/>
    <w:rsid w:val="00070BB9"/>
    <w:rsid w:val="0007103D"/>
    <w:rsid w:val="00071223"/>
    <w:rsid w:val="00071356"/>
    <w:rsid w:val="00071D3C"/>
    <w:rsid w:val="00071DF6"/>
    <w:rsid w:val="00071FFA"/>
    <w:rsid w:val="0007206F"/>
    <w:rsid w:val="000720B4"/>
    <w:rsid w:val="00072449"/>
    <w:rsid w:val="000724D7"/>
    <w:rsid w:val="000725F4"/>
    <w:rsid w:val="00072698"/>
    <w:rsid w:val="000726DA"/>
    <w:rsid w:val="00072873"/>
    <w:rsid w:val="000729EE"/>
    <w:rsid w:val="00072BC1"/>
    <w:rsid w:val="00072CC1"/>
    <w:rsid w:val="00072E30"/>
    <w:rsid w:val="00072F0B"/>
    <w:rsid w:val="000730C3"/>
    <w:rsid w:val="0007344E"/>
    <w:rsid w:val="00073590"/>
    <w:rsid w:val="0007376E"/>
    <w:rsid w:val="0007378B"/>
    <w:rsid w:val="00073C70"/>
    <w:rsid w:val="00074113"/>
    <w:rsid w:val="00074147"/>
    <w:rsid w:val="00074252"/>
    <w:rsid w:val="0007464A"/>
    <w:rsid w:val="00074670"/>
    <w:rsid w:val="00074780"/>
    <w:rsid w:val="00074786"/>
    <w:rsid w:val="00074C28"/>
    <w:rsid w:val="00074FC7"/>
    <w:rsid w:val="000752FF"/>
    <w:rsid w:val="000756AC"/>
    <w:rsid w:val="00075879"/>
    <w:rsid w:val="00075941"/>
    <w:rsid w:val="00075AFF"/>
    <w:rsid w:val="00075BC6"/>
    <w:rsid w:val="00075C77"/>
    <w:rsid w:val="00076259"/>
    <w:rsid w:val="0007662D"/>
    <w:rsid w:val="000768C5"/>
    <w:rsid w:val="000768D2"/>
    <w:rsid w:val="00076D3D"/>
    <w:rsid w:val="00076E3C"/>
    <w:rsid w:val="00076E8A"/>
    <w:rsid w:val="00076EFF"/>
    <w:rsid w:val="00076F9C"/>
    <w:rsid w:val="00076FDA"/>
    <w:rsid w:val="00077079"/>
    <w:rsid w:val="000770B3"/>
    <w:rsid w:val="00077705"/>
    <w:rsid w:val="000778B7"/>
    <w:rsid w:val="00077A02"/>
    <w:rsid w:val="00077C79"/>
    <w:rsid w:val="00077D3D"/>
    <w:rsid w:val="00077FE5"/>
    <w:rsid w:val="000801CC"/>
    <w:rsid w:val="00080289"/>
    <w:rsid w:val="00080443"/>
    <w:rsid w:val="000805BC"/>
    <w:rsid w:val="00080608"/>
    <w:rsid w:val="00080982"/>
    <w:rsid w:val="000809DF"/>
    <w:rsid w:val="00080C51"/>
    <w:rsid w:val="00081030"/>
    <w:rsid w:val="00081713"/>
    <w:rsid w:val="000817A1"/>
    <w:rsid w:val="00081948"/>
    <w:rsid w:val="00082322"/>
    <w:rsid w:val="0008234E"/>
    <w:rsid w:val="00082377"/>
    <w:rsid w:val="00082994"/>
    <w:rsid w:val="000832F9"/>
    <w:rsid w:val="00083393"/>
    <w:rsid w:val="000835FF"/>
    <w:rsid w:val="00083626"/>
    <w:rsid w:val="000836B3"/>
    <w:rsid w:val="00083A02"/>
    <w:rsid w:val="00083A20"/>
    <w:rsid w:val="00083ABF"/>
    <w:rsid w:val="00083CFA"/>
    <w:rsid w:val="00083CFB"/>
    <w:rsid w:val="00083E1C"/>
    <w:rsid w:val="00083EA8"/>
    <w:rsid w:val="00083EB5"/>
    <w:rsid w:val="00083EC6"/>
    <w:rsid w:val="00084077"/>
    <w:rsid w:val="000841B8"/>
    <w:rsid w:val="00084429"/>
    <w:rsid w:val="00084441"/>
    <w:rsid w:val="0008448C"/>
    <w:rsid w:val="0008456F"/>
    <w:rsid w:val="00084588"/>
    <w:rsid w:val="000846E9"/>
    <w:rsid w:val="000848C3"/>
    <w:rsid w:val="000849D7"/>
    <w:rsid w:val="00084A05"/>
    <w:rsid w:val="00084B23"/>
    <w:rsid w:val="00084FE2"/>
    <w:rsid w:val="00085002"/>
    <w:rsid w:val="0008516D"/>
    <w:rsid w:val="000851B1"/>
    <w:rsid w:val="00085227"/>
    <w:rsid w:val="000852B5"/>
    <w:rsid w:val="00085AF9"/>
    <w:rsid w:val="00085B15"/>
    <w:rsid w:val="00085C48"/>
    <w:rsid w:val="00085D2A"/>
    <w:rsid w:val="00085D4B"/>
    <w:rsid w:val="00085D71"/>
    <w:rsid w:val="00085F6D"/>
    <w:rsid w:val="0008601C"/>
    <w:rsid w:val="00086020"/>
    <w:rsid w:val="000861B9"/>
    <w:rsid w:val="000861C0"/>
    <w:rsid w:val="0008620D"/>
    <w:rsid w:val="0008626C"/>
    <w:rsid w:val="00086927"/>
    <w:rsid w:val="00086998"/>
    <w:rsid w:val="00086C03"/>
    <w:rsid w:val="00086EFE"/>
    <w:rsid w:val="00087001"/>
    <w:rsid w:val="00087282"/>
    <w:rsid w:val="00087C66"/>
    <w:rsid w:val="00087D11"/>
    <w:rsid w:val="00087DE9"/>
    <w:rsid w:val="000902F4"/>
    <w:rsid w:val="000904B2"/>
    <w:rsid w:val="00090738"/>
    <w:rsid w:val="00090850"/>
    <w:rsid w:val="00090950"/>
    <w:rsid w:val="00090958"/>
    <w:rsid w:val="00090AAA"/>
    <w:rsid w:val="00090C22"/>
    <w:rsid w:val="00090CC8"/>
    <w:rsid w:val="00090F15"/>
    <w:rsid w:val="000911FC"/>
    <w:rsid w:val="000914C3"/>
    <w:rsid w:val="000914DC"/>
    <w:rsid w:val="000915D2"/>
    <w:rsid w:val="00091842"/>
    <w:rsid w:val="00091976"/>
    <w:rsid w:val="00091A30"/>
    <w:rsid w:val="00091D7F"/>
    <w:rsid w:val="00091DCF"/>
    <w:rsid w:val="00091E0A"/>
    <w:rsid w:val="00091EBC"/>
    <w:rsid w:val="0009202E"/>
    <w:rsid w:val="0009206B"/>
    <w:rsid w:val="0009213E"/>
    <w:rsid w:val="000923A8"/>
    <w:rsid w:val="00092413"/>
    <w:rsid w:val="000925EE"/>
    <w:rsid w:val="000927C4"/>
    <w:rsid w:val="00092C18"/>
    <w:rsid w:val="00092EA1"/>
    <w:rsid w:val="00093073"/>
    <w:rsid w:val="00093464"/>
    <w:rsid w:val="000935DA"/>
    <w:rsid w:val="00093680"/>
    <w:rsid w:val="00093B6D"/>
    <w:rsid w:val="00093DF7"/>
    <w:rsid w:val="00093EE8"/>
    <w:rsid w:val="00093F6E"/>
    <w:rsid w:val="0009426B"/>
    <w:rsid w:val="000944DB"/>
    <w:rsid w:val="000945AA"/>
    <w:rsid w:val="00094A82"/>
    <w:rsid w:val="00094BE8"/>
    <w:rsid w:val="00094C51"/>
    <w:rsid w:val="00094C99"/>
    <w:rsid w:val="00094CC8"/>
    <w:rsid w:val="00094CE8"/>
    <w:rsid w:val="000950F5"/>
    <w:rsid w:val="00095312"/>
    <w:rsid w:val="00095435"/>
    <w:rsid w:val="0009559F"/>
    <w:rsid w:val="000956AB"/>
    <w:rsid w:val="00095B18"/>
    <w:rsid w:val="00095B23"/>
    <w:rsid w:val="00095BE5"/>
    <w:rsid w:val="00095D63"/>
    <w:rsid w:val="00096012"/>
    <w:rsid w:val="00096244"/>
    <w:rsid w:val="00096251"/>
    <w:rsid w:val="0009672F"/>
    <w:rsid w:val="000967EC"/>
    <w:rsid w:val="00096822"/>
    <w:rsid w:val="00096835"/>
    <w:rsid w:val="00096BFF"/>
    <w:rsid w:val="00096C99"/>
    <w:rsid w:val="00096CA2"/>
    <w:rsid w:val="00096CBB"/>
    <w:rsid w:val="00096CE7"/>
    <w:rsid w:val="00096F57"/>
    <w:rsid w:val="000974EB"/>
    <w:rsid w:val="0009757F"/>
    <w:rsid w:val="000975B5"/>
    <w:rsid w:val="000975C7"/>
    <w:rsid w:val="000976D2"/>
    <w:rsid w:val="000979E2"/>
    <w:rsid w:val="00097DD0"/>
    <w:rsid w:val="00097FB5"/>
    <w:rsid w:val="000A0203"/>
    <w:rsid w:val="000A022B"/>
    <w:rsid w:val="000A08FB"/>
    <w:rsid w:val="000A0C74"/>
    <w:rsid w:val="000A0CC1"/>
    <w:rsid w:val="000A0CE8"/>
    <w:rsid w:val="000A0D6C"/>
    <w:rsid w:val="000A0F92"/>
    <w:rsid w:val="000A1016"/>
    <w:rsid w:val="000A1125"/>
    <w:rsid w:val="000A1172"/>
    <w:rsid w:val="000A1189"/>
    <w:rsid w:val="000A127C"/>
    <w:rsid w:val="000A13AE"/>
    <w:rsid w:val="000A1480"/>
    <w:rsid w:val="000A173F"/>
    <w:rsid w:val="000A1897"/>
    <w:rsid w:val="000A1902"/>
    <w:rsid w:val="000A1A1F"/>
    <w:rsid w:val="000A1A94"/>
    <w:rsid w:val="000A1AE2"/>
    <w:rsid w:val="000A1C46"/>
    <w:rsid w:val="000A1EC2"/>
    <w:rsid w:val="000A1F58"/>
    <w:rsid w:val="000A2051"/>
    <w:rsid w:val="000A2497"/>
    <w:rsid w:val="000A2766"/>
    <w:rsid w:val="000A2DA2"/>
    <w:rsid w:val="000A2DAE"/>
    <w:rsid w:val="000A2E01"/>
    <w:rsid w:val="000A311C"/>
    <w:rsid w:val="000A32EB"/>
    <w:rsid w:val="000A34BA"/>
    <w:rsid w:val="000A34F3"/>
    <w:rsid w:val="000A38B4"/>
    <w:rsid w:val="000A3D00"/>
    <w:rsid w:val="000A3FFB"/>
    <w:rsid w:val="000A414A"/>
    <w:rsid w:val="000A41F4"/>
    <w:rsid w:val="000A4578"/>
    <w:rsid w:val="000A4A3B"/>
    <w:rsid w:val="000A4DA3"/>
    <w:rsid w:val="000A4F98"/>
    <w:rsid w:val="000A539A"/>
    <w:rsid w:val="000A54ED"/>
    <w:rsid w:val="000A5506"/>
    <w:rsid w:val="000A5577"/>
    <w:rsid w:val="000A5754"/>
    <w:rsid w:val="000A5860"/>
    <w:rsid w:val="000A5902"/>
    <w:rsid w:val="000A5D65"/>
    <w:rsid w:val="000A5E91"/>
    <w:rsid w:val="000A5EAC"/>
    <w:rsid w:val="000A60F3"/>
    <w:rsid w:val="000A6A43"/>
    <w:rsid w:val="000A6D69"/>
    <w:rsid w:val="000A6F27"/>
    <w:rsid w:val="000A6F72"/>
    <w:rsid w:val="000A6F99"/>
    <w:rsid w:val="000A6FE6"/>
    <w:rsid w:val="000A721F"/>
    <w:rsid w:val="000A72B1"/>
    <w:rsid w:val="000A77E9"/>
    <w:rsid w:val="000A79A7"/>
    <w:rsid w:val="000A7ACC"/>
    <w:rsid w:val="000A7D7F"/>
    <w:rsid w:val="000B0123"/>
    <w:rsid w:val="000B0141"/>
    <w:rsid w:val="000B0529"/>
    <w:rsid w:val="000B07B3"/>
    <w:rsid w:val="000B086E"/>
    <w:rsid w:val="000B09B0"/>
    <w:rsid w:val="000B09FF"/>
    <w:rsid w:val="000B0BBF"/>
    <w:rsid w:val="000B0C83"/>
    <w:rsid w:val="000B0D2B"/>
    <w:rsid w:val="000B0E8D"/>
    <w:rsid w:val="000B0F08"/>
    <w:rsid w:val="000B0FDB"/>
    <w:rsid w:val="000B1128"/>
    <w:rsid w:val="000B1135"/>
    <w:rsid w:val="000B1156"/>
    <w:rsid w:val="000B1513"/>
    <w:rsid w:val="000B15B4"/>
    <w:rsid w:val="000B1772"/>
    <w:rsid w:val="000B1A73"/>
    <w:rsid w:val="000B1B49"/>
    <w:rsid w:val="000B1CAA"/>
    <w:rsid w:val="000B2097"/>
    <w:rsid w:val="000B21DC"/>
    <w:rsid w:val="000B224F"/>
    <w:rsid w:val="000B2473"/>
    <w:rsid w:val="000B2535"/>
    <w:rsid w:val="000B2E06"/>
    <w:rsid w:val="000B2E78"/>
    <w:rsid w:val="000B2F43"/>
    <w:rsid w:val="000B330A"/>
    <w:rsid w:val="000B3874"/>
    <w:rsid w:val="000B394D"/>
    <w:rsid w:val="000B3B3B"/>
    <w:rsid w:val="000B3FFC"/>
    <w:rsid w:val="000B3FFE"/>
    <w:rsid w:val="000B43F5"/>
    <w:rsid w:val="000B43FB"/>
    <w:rsid w:val="000B4569"/>
    <w:rsid w:val="000B45D7"/>
    <w:rsid w:val="000B4721"/>
    <w:rsid w:val="000B4993"/>
    <w:rsid w:val="000B4A43"/>
    <w:rsid w:val="000B4C17"/>
    <w:rsid w:val="000B4EA9"/>
    <w:rsid w:val="000B4FDF"/>
    <w:rsid w:val="000B5054"/>
    <w:rsid w:val="000B51F4"/>
    <w:rsid w:val="000B5244"/>
    <w:rsid w:val="000B527F"/>
    <w:rsid w:val="000B52C2"/>
    <w:rsid w:val="000B5452"/>
    <w:rsid w:val="000B55C3"/>
    <w:rsid w:val="000B5660"/>
    <w:rsid w:val="000B5883"/>
    <w:rsid w:val="000B5A3A"/>
    <w:rsid w:val="000B5C9C"/>
    <w:rsid w:val="000B5FAE"/>
    <w:rsid w:val="000B61D8"/>
    <w:rsid w:val="000B622F"/>
    <w:rsid w:val="000B62EF"/>
    <w:rsid w:val="000B6409"/>
    <w:rsid w:val="000B6929"/>
    <w:rsid w:val="000B6B39"/>
    <w:rsid w:val="000B6B3E"/>
    <w:rsid w:val="000B6BB5"/>
    <w:rsid w:val="000B6E79"/>
    <w:rsid w:val="000B6E9F"/>
    <w:rsid w:val="000B6FF1"/>
    <w:rsid w:val="000B7029"/>
    <w:rsid w:val="000B702E"/>
    <w:rsid w:val="000B718C"/>
    <w:rsid w:val="000B7226"/>
    <w:rsid w:val="000B73F8"/>
    <w:rsid w:val="000B7513"/>
    <w:rsid w:val="000B7642"/>
    <w:rsid w:val="000B77C6"/>
    <w:rsid w:val="000B785C"/>
    <w:rsid w:val="000C003D"/>
    <w:rsid w:val="000C074E"/>
    <w:rsid w:val="000C0D9E"/>
    <w:rsid w:val="000C1275"/>
    <w:rsid w:val="000C15B8"/>
    <w:rsid w:val="000C1698"/>
    <w:rsid w:val="000C1890"/>
    <w:rsid w:val="000C18A4"/>
    <w:rsid w:val="000C196B"/>
    <w:rsid w:val="000C1B49"/>
    <w:rsid w:val="000C1E46"/>
    <w:rsid w:val="000C1F62"/>
    <w:rsid w:val="000C206A"/>
    <w:rsid w:val="000C2090"/>
    <w:rsid w:val="000C2095"/>
    <w:rsid w:val="000C210C"/>
    <w:rsid w:val="000C219A"/>
    <w:rsid w:val="000C24A8"/>
    <w:rsid w:val="000C2612"/>
    <w:rsid w:val="000C2692"/>
    <w:rsid w:val="000C2706"/>
    <w:rsid w:val="000C2707"/>
    <w:rsid w:val="000C2E10"/>
    <w:rsid w:val="000C3279"/>
    <w:rsid w:val="000C3406"/>
    <w:rsid w:val="000C3497"/>
    <w:rsid w:val="000C36BD"/>
    <w:rsid w:val="000C36F6"/>
    <w:rsid w:val="000C394A"/>
    <w:rsid w:val="000C3A98"/>
    <w:rsid w:val="000C3C31"/>
    <w:rsid w:val="000C41AB"/>
    <w:rsid w:val="000C4314"/>
    <w:rsid w:val="000C440E"/>
    <w:rsid w:val="000C463D"/>
    <w:rsid w:val="000C4681"/>
    <w:rsid w:val="000C48A6"/>
    <w:rsid w:val="000C4985"/>
    <w:rsid w:val="000C4C98"/>
    <w:rsid w:val="000C4E0C"/>
    <w:rsid w:val="000C4E9E"/>
    <w:rsid w:val="000C4F33"/>
    <w:rsid w:val="000C4F74"/>
    <w:rsid w:val="000C5166"/>
    <w:rsid w:val="000C516C"/>
    <w:rsid w:val="000C5319"/>
    <w:rsid w:val="000C53CE"/>
    <w:rsid w:val="000C54E9"/>
    <w:rsid w:val="000C555D"/>
    <w:rsid w:val="000C5953"/>
    <w:rsid w:val="000C5ED7"/>
    <w:rsid w:val="000C5F12"/>
    <w:rsid w:val="000C5FA7"/>
    <w:rsid w:val="000C6043"/>
    <w:rsid w:val="000C6211"/>
    <w:rsid w:val="000C6255"/>
    <w:rsid w:val="000C627A"/>
    <w:rsid w:val="000C655D"/>
    <w:rsid w:val="000C692E"/>
    <w:rsid w:val="000C69D5"/>
    <w:rsid w:val="000C6D78"/>
    <w:rsid w:val="000C6EBF"/>
    <w:rsid w:val="000C6F06"/>
    <w:rsid w:val="000C70D6"/>
    <w:rsid w:val="000C7581"/>
    <w:rsid w:val="000C76DD"/>
    <w:rsid w:val="000C7E46"/>
    <w:rsid w:val="000C7EAD"/>
    <w:rsid w:val="000D02EB"/>
    <w:rsid w:val="000D0723"/>
    <w:rsid w:val="000D07F4"/>
    <w:rsid w:val="000D0953"/>
    <w:rsid w:val="000D0D09"/>
    <w:rsid w:val="000D0E8B"/>
    <w:rsid w:val="000D0F36"/>
    <w:rsid w:val="000D0F46"/>
    <w:rsid w:val="000D10B3"/>
    <w:rsid w:val="000D11FA"/>
    <w:rsid w:val="000D144A"/>
    <w:rsid w:val="000D16DF"/>
    <w:rsid w:val="000D1A8A"/>
    <w:rsid w:val="000D1AC6"/>
    <w:rsid w:val="000D1B3E"/>
    <w:rsid w:val="000D1D24"/>
    <w:rsid w:val="000D21FE"/>
    <w:rsid w:val="000D248C"/>
    <w:rsid w:val="000D25C5"/>
    <w:rsid w:val="000D25DD"/>
    <w:rsid w:val="000D26A3"/>
    <w:rsid w:val="000D26C9"/>
    <w:rsid w:val="000D279E"/>
    <w:rsid w:val="000D281B"/>
    <w:rsid w:val="000D2828"/>
    <w:rsid w:val="000D284E"/>
    <w:rsid w:val="000D2C0F"/>
    <w:rsid w:val="000D2EFE"/>
    <w:rsid w:val="000D2FA8"/>
    <w:rsid w:val="000D309B"/>
    <w:rsid w:val="000D30F6"/>
    <w:rsid w:val="000D3225"/>
    <w:rsid w:val="000D32EA"/>
    <w:rsid w:val="000D3324"/>
    <w:rsid w:val="000D3332"/>
    <w:rsid w:val="000D335B"/>
    <w:rsid w:val="000D3397"/>
    <w:rsid w:val="000D33BE"/>
    <w:rsid w:val="000D38C3"/>
    <w:rsid w:val="000D398B"/>
    <w:rsid w:val="000D3C54"/>
    <w:rsid w:val="000D3E70"/>
    <w:rsid w:val="000D3EA8"/>
    <w:rsid w:val="000D3F97"/>
    <w:rsid w:val="000D3FA5"/>
    <w:rsid w:val="000D3FE7"/>
    <w:rsid w:val="000D4081"/>
    <w:rsid w:val="000D42FB"/>
    <w:rsid w:val="000D45CE"/>
    <w:rsid w:val="000D47A9"/>
    <w:rsid w:val="000D4985"/>
    <w:rsid w:val="000D4BAD"/>
    <w:rsid w:val="000D4CDB"/>
    <w:rsid w:val="000D4EA5"/>
    <w:rsid w:val="000D4F97"/>
    <w:rsid w:val="000D51C0"/>
    <w:rsid w:val="000D524E"/>
    <w:rsid w:val="000D54BA"/>
    <w:rsid w:val="000D5B64"/>
    <w:rsid w:val="000D5C3A"/>
    <w:rsid w:val="000D6209"/>
    <w:rsid w:val="000D643C"/>
    <w:rsid w:val="000D64DD"/>
    <w:rsid w:val="000D6AEB"/>
    <w:rsid w:val="000D6C0B"/>
    <w:rsid w:val="000D6C2E"/>
    <w:rsid w:val="000D7460"/>
    <w:rsid w:val="000D7971"/>
    <w:rsid w:val="000D79DB"/>
    <w:rsid w:val="000D7D7F"/>
    <w:rsid w:val="000D7D9A"/>
    <w:rsid w:val="000D7E52"/>
    <w:rsid w:val="000D7EEC"/>
    <w:rsid w:val="000E00B1"/>
    <w:rsid w:val="000E0249"/>
    <w:rsid w:val="000E0865"/>
    <w:rsid w:val="000E0994"/>
    <w:rsid w:val="000E09FF"/>
    <w:rsid w:val="000E103A"/>
    <w:rsid w:val="000E10BC"/>
    <w:rsid w:val="000E10E3"/>
    <w:rsid w:val="000E11BF"/>
    <w:rsid w:val="000E1232"/>
    <w:rsid w:val="000E1253"/>
    <w:rsid w:val="000E12D6"/>
    <w:rsid w:val="000E1859"/>
    <w:rsid w:val="000E1C30"/>
    <w:rsid w:val="000E1CCF"/>
    <w:rsid w:val="000E1F55"/>
    <w:rsid w:val="000E208B"/>
    <w:rsid w:val="000E2595"/>
    <w:rsid w:val="000E2961"/>
    <w:rsid w:val="000E2A71"/>
    <w:rsid w:val="000E2C27"/>
    <w:rsid w:val="000E2D24"/>
    <w:rsid w:val="000E2F58"/>
    <w:rsid w:val="000E2F7A"/>
    <w:rsid w:val="000E321B"/>
    <w:rsid w:val="000E3359"/>
    <w:rsid w:val="000E371C"/>
    <w:rsid w:val="000E37B4"/>
    <w:rsid w:val="000E3A1B"/>
    <w:rsid w:val="000E3C86"/>
    <w:rsid w:val="000E3D59"/>
    <w:rsid w:val="000E3DAC"/>
    <w:rsid w:val="000E401D"/>
    <w:rsid w:val="000E41A7"/>
    <w:rsid w:val="000E4215"/>
    <w:rsid w:val="000E439E"/>
    <w:rsid w:val="000E4476"/>
    <w:rsid w:val="000E4703"/>
    <w:rsid w:val="000E478F"/>
    <w:rsid w:val="000E48E2"/>
    <w:rsid w:val="000E48F7"/>
    <w:rsid w:val="000E4CBB"/>
    <w:rsid w:val="000E4DCA"/>
    <w:rsid w:val="000E5132"/>
    <w:rsid w:val="000E53A1"/>
    <w:rsid w:val="000E53E9"/>
    <w:rsid w:val="000E5525"/>
    <w:rsid w:val="000E554E"/>
    <w:rsid w:val="000E57D3"/>
    <w:rsid w:val="000E60DC"/>
    <w:rsid w:val="000E62CE"/>
    <w:rsid w:val="000E62D4"/>
    <w:rsid w:val="000E62F5"/>
    <w:rsid w:val="000E6382"/>
    <w:rsid w:val="000E6393"/>
    <w:rsid w:val="000E678B"/>
    <w:rsid w:val="000E6A44"/>
    <w:rsid w:val="000E6EA3"/>
    <w:rsid w:val="000E7231"/>
    <w:rsid w:val="000E7316"/>
    <w:rsid w:val="000E74CA"/>
    <w:rsid w:val="000E77B6"/>
    <w:rsid w:val="000E7838"/>
    <w:rsid w:val="000E7901"/>
    <w:rsid w:val="000E7910"/>
    <w:rsid w:val="000E795C"/>
    <w:rsid w:val="000E7A0C"/>
    <w:rsid w:val="000E7AF9"/>
    <w:rsid w:val="000E7C99"/>
    <w:rsid w:val="000E7EFD"/>
    <w:rsid w:val="000F0028"/>
    <w:rsid w:val="000F01E6"/>
    <w:rsid w:val="000F0397"/>
    <w:rsid w:val="000F0873"/>
    <w:rsid w:val="000F0979"/>
    <w:rsid w:val="000F0B3B"/>
    <w:rsid w:val="000F0C34"/>
    <w:rsid w:val="000F0C76"/>
    <w:rsid w:val="000F0D7A"/>
    <w:rsid w:val="000F0E42"/>
    <w:rsid w:val="000F17AF"/>
    <w:rsid w:val="000F181A"/>
    <w:rsid w:val="000F2136"/>
    <w:rsid w:val="000F229F"/>
    <w:rsid w:val="000F2348"/>
    <w:rsid w:val="000F2381"/>
    <w:rsid w:val="000F240D"/>
    <w:rsid w:val="000F2592"/>
    <w:rsid w:val="000F37A3"/>
    <w:rsid w:val="000F3843"/>
    <w:rsid w:val="000F385E"/>
    <w:rsid w:val="000F3C91"/>
    <w:rsid w:val="000F3D72"/>
    <w:rsid w:val="000F42A6"/>
    <w:rsid w:val="000F4378"/>
    <w:rsid w:val="000F43EF"/>
    <w:rsid w:val="000F44ED"/>
    <w:rsid w:val="000F470E"/>
    <w:rsid w:val="000F4813"/>
    <w:rsid w:val="000F4DBC"/>
    <w:rsid w:val="000F4F02"/>
    <w:rsid w:val="000F4F39"/>
    <w:rsid w:val="000F4FC2"/>
    <w:rsid w:val="000F4FF0"/>
    <w:rsid w:val="000F50E7"/>
    <w:rsid w:val="000F512F"/>
    <w:rsid w:val="000F5225"/>
    <w:rsid w:val="000F5401"/>
    <w:rsid w:val="000F5493"/>
    <w:rsid w:val="000F54C6"/>
    <w:rsid w:val="000F5681"/>
    <w:rsid w:val="000F57CC"/>
    <w:rsid w:val="000F581F"/>
    <w:rsid w:val="000F5829"/>
    <w:rsid w:val="000F58A7"/>
    <w:rsid w:val="000F5A9B"/>
    <w:rsid w:val="000F5B31"/>
    <w:rsid w:val="000F5E7A"/>
    <w:rsid w:val="000F616A"/>
    <w:rsid w:val="000F6258"/>
    <w:rsid w:val="000F636C"/>
    <w:rsid w:val="000F64E1"/>
    <w:rsid w:val="000F66A1"/>
    <w:rsid w:val="000F67F0"/>
    <w:rsid w:val="000F6CE4"/>
    <w:rsid w:val="000F6DDD"/>
    <w:rsid w:val="000F72E1"/>
    <w:rsid w:val="000F72FF"/>
    <w:rsid w:val="000F736E"/>
    <w:rsid w:val="000F738E"/>
    <w:rsid w:val="000F74AB"/>
    <w:rsid w:val="000F74D5"/>
    <w:rsid w:val="000F7671"/>
    <w:rsid w:val="000F775A"/>
    <w:rsid w:val="000F7C70"/>
    <w:rsid w:val="000F7E2B"/>
    <w:rsid w:val="001003BB"/>
    <w:rsid w:val="00100421"/>
    <w:rsid w:val="0010063E"/>
    <w:rsid w:val="001006D6"/>
    <w:rsid w:val="001006F0"/>
    <w:rsid w:val="001008FB"/>
    <w:rsid w:val="00100A6E"/>
    <w:rsid w:val="00100CF1"/>
    <w:rsid w:val="00100EF3"/>
    <w:rsid w:val="00100FA0"/>
    <w:rsid w:val="001011B1"/>
    <w:rsid w:val="00101254"/>
    <w:rsid w:val="0010166A"/>
    <w:rsid w:val="00101C2D"/>
    <w:rsid w:val="00101CD7"/>
    <w:rsid w:val="00101E70"/>
    <w:rsid w:val="0010209B"/>
    <w:rsid w:val="00102313"/>
    <w:rsid w:val="0010234F"/>
    <w:rsid w:val="00102653"/>
    <w:rsid w:val="0010270C"/>
    <w:rsid w:val="00102833"/>
    <w:rsid w:val="00102BA9"/>
    <w:rsid w:val="00102F8E"/>
    <w:rsid w:val="001033C4"/>
    <w:rsid w:val="0010366C"/>
    <w:rsid w:val="001036EB"/>
    <w:rsid w:val="00103727"/>
    <w:rsid w:val="0010372B"/>
    <w:rsid w:val="00103916"/>
    <w:rsid w:val="00103A23"/>
    <w:rsid w:val="00103AFD"/>
    <w:rsid w:val="00103C7C"/>
    <w:rsid w:val="00103EA8"/>
    <w:rsid w:val="00103FCB"/>
    <w:rsid w:val="0010421A"/>
    <w:rsid w:val="00104312"/>
    <w:rsid w:val="00104581"/>
    <w:rsid w:val="001045A2"/>
    <w:rsid w:val="00104786"/>
    <w:rsid w:val="00104823"/>
    <w:rsid w:val="001048BF"/>
    <w:rsid w:val="001049C9"/>
    <w:rsid w:val="00104AC6"/>
    <w:rsid w:val="00104C7F"/>
    <w:rsid w:val="00104E4C"/>
    <w:rsid w:val="00104EA1"/>
    <w:rsid w:val="001051DA"/>
    <w:rsid w:val="00105422"/>
    <w:rsid w:val="00105502"/>
    <w:rsid w:val="00106284"/>
    <w:rsid w:val="0010635B"/>
    <w:rsid w:val="00106636"/>
    <w:rsid w:val="00106A5A"/>
    <w:rsid w:val="00106D2D"/>
    <w:rsid w:val="00106D64"/>
    <w:rsid w:val="00106E02"/>
    <w:rsid w:val="00107187"/>
    <w:rsid w:val="001073A4"/>
    <w:rsid w:val="0010780D"/>
    <w:rsid w:val="0010782F"/>
    <w:rsid w:val="00107862"/>
    <w:rsid w:val="001078AC"/>
    <w:rsid w:val="0010791C"/>
    <w:rsid w:val="001079D8"/>
    <w:rsid w:val="00107B30"/>
    <w:rsid w:val="00107B44"/>
    <w:rsid w:val="00107C2C"/>
    <w:rsid w:val="00107C4E"/>
    <w:rsid w:val="00107C9C"/>
    <w:rsid w:val="00107D1D"/>
    <w:rsid w:val="001104BE"/>
    <w:rsid w:val="00110517"/>
    <w:rsid w:val="001105B3"/>
    <w:rsid w:val="00110754"/>
    <w:rsid w:val="00110A92"/>
    <w:rsid w:val="00110AF8"/>
    <w:rsid w:val="00110B0A"/>
    <w:rsid w:val="00110C17"/>
    <w:rsid w:val="00110C8D"/>
    <w:rsid w:val="00110D04"/>
    <w:rsid w:val="00110F25"/>
    <w:rsid w:val="00110F91"/>
    <w:rsid w:val="0011139D"/>
    <w:rsid w:val="0011174B"/>
    <w:rsid w:val="0011199A"/>
    <w:rsid w:val="00111AB0"/>
    <w:rsid w:val="00111B72"/>
    <w:rsid w:val="00111BB5"/>
    <w:rsid w:val="00111C2B"/>
    <w:rsid w:val="00111D5C"/>
    <w:rsid w:val="00111DD5"/>
    <w:rsid w:val="0011204B"/>
    <w:rsid w:val="00112212"/>
    <w:rsid w:val="001125D6"/>
    <w:rsid w:val="0011261B"/>
    <w:rsid w:val="00112659"/>
    <w:rsid w:val="0011279B"/>
    <w:rsid w:val="00112BFA"/>
    <w:rsid w:val="00112C7A"/>
    <w:rsid w:val="00112D88"/>
    <w:rsid w:val="00112DC9"/>
    <w:rsid w:val="00112EA1"/>
    <w:rsid w:val="00112EB8"/>
    <w:rsid w:val="00112F41"/>
    <w:rsid w:val="00113254"/>
    <w:rsid w:val="001133A4"/>
    <w:rsid w:val="00113451"/>
    <w:rsid w:val="0011354B"/>
    <w:rsid w:val="0011375C"/>
    <w:rsid w:val="001137C8"/>
    <w:rsid w:val="001137CA"/>
    <w:rsid w:val="00113A8F"/>
    <w:rsid w:val="00113AEF"/>
    <w:rsid w:val="00113C06"/>
    <w:rsid w:val="001140D4"/>
    <w:rsid w:val="001141CF"/>
    <w:rsid w:val="00114447"/>
    <w:rsid w:val="001146A0"/>
    <w:rsid w:val="0011490F"/>
    <w:rsid w:val="00114978"/>
    <w:rsid w:val="00114A55"/>
    <w:rsid w:val="00114A83"/>
    <w:rsid w:val="00114D97"/>
    <w:rsid w:val="00114FDE"/>
    <w:rsid w:val="001151F2"/>
    <w:rsid w:val="00115203"/>
    <w:rsid w:val="00115763"/>
    <w:rsid w:val="00115828"/>
    <w:rsid w:val="00115942"/>
    <w:rsid w:val="00115943"/>
    <w:rsid w:val="00115979"/>
    <w:rsid w:val="00115A3B"/>
    <w:rsid w:val="00115A7A"/>
    <w:rsid w:val="00115BEF"/>
    <w:rsid w:val="00115CAE"/>
    <w:rsid w:val="001160B0"/>
    <w:rsid w:val="001160FB"/>
    <w:rsid w:val="0011665B"/>
    <w:rsid w:val="001167AC"/>
    <w:rsid w:val="00116B52"/>
    <w:rsid w:val="00116C62"/>
    <w:rsid w:val="00116CF7"/>
    <w:rsid w:val="00116D7F"/>
    <w:rsid w:val="00116EC4"/>
    <w:rsid w:val="00117108"/>
    <w:rsid w:val="00117175"/>
    <w:rsid w:val="00117253"/>
    <w:rsid w:val="00117358"/>
    <w:rsid w:val="001174DD"/>
    <w:rsid w:val="00117562"/>
    <w:rsid w:val="00117635"/>
    <w:rsid w:val="00117A1A"/>
    <w:rsid w:val="00117A2B"/>
    <w:rsid w:val="00117BC8"/>
    <w:rsid w:val="00117C45"/>
    <w:rsid w:val="00117C62"/>
    <w:rsid w:val="00117CA0"/>
    <w:rsid w:val="00117D44"/>
    <w:rsid w:val="00117E59"/>
    <w:rsid w:val="00117E5C"/>
    <w:rsid w:val="00120019"/>
    <w:rsid w:val="001206A9"/>
    <w:rsid w:val="0012074E"/>
    <w:rsid w:val="001207FD"/>
    <w:rsid w:val="00120AFC"/>
    <w:rsid w:val="00120C39"/>
    <w:rsid w:val="00120C60"/>
    <w:rsid w:val="00120CD9"/>
    <w:rsid w:val="0012135A"/>
    <w:rsid w:val="00121418"/>
    <w:rsid w:val="0012165E"/>
    <w:rsid w:val="001216C8"/>
    <w:rsid w:val="0012175A"/>
    <w:rsid w:val="001218AD"/>
    <w:rsid w:val="00121CCD"/>
    <w:rsid w:val="00121D83"/>
    <w:rsid w:val="00121F73"/>
    <w:rsid w:val="00122148"/>
    <w:rsid w:val="00122567"/>
    <w:rsid w:val="001226E3"/>
    <w:rsid w:val="0012282D"/>
    <w:rsid w:val="001229F8"/>
    <w:rsid w:val="00122A53"/>
    <w:rsid w:val="00122A5B"/>
    <w:rsid w:val="00122DB8"/>
    <w:rsid w:val="00122E2E"/>
    <w:rsid w:val="00122EC6"/>
    <w:rsid w:val="00122EF1"/>
    <w:rsid w:val="00122F50"/>
    <w:rsid w:val="0012309F"/>
    <w:rsid w:val="001233F3"/>
    <w:rsid w:val="0012341B"/>
    <w:rsid w:val="00123451"/>
    <w:rsid w:val="0012354D"/>
    <w:rsid w:val="0012358D"/>
    <w:rsid w:val="0012386D"/>
    <w:rsid w:val="00123C6B"/>
    <w:rsid w:val="00123C87"/>
    <w:rsid w:val="00123CD1"/>
    <w:rsid w:val="00123E00"/>
    <w:rsid w:val="00123FDC"/>
    <w:rsid w:val="00124151"/>
    <w:rsid w:val="001241ED"/>
    <w:rsid w:val="00124210"/>
    <w:rsid w:val="00124248"/>
    <w:rsid w:val="00124732"/>
    <w:rsid w:val="001248A3"/>
    <w:rsid w:val="001248FD"/>
    <w:rsid w:val="00124C8B"/>
    <w:rsid w:val="00124D00"/>
    <w:rsid w:val="00124E36"/>
    <w:rsid w:val="00124EAB"/>
    <w:rsid w:val="001251E2"/>
    <w:rsid w:val="00125286"/>
    <w:rsid w:val="00125301"/>
    <w:rsid w:val="0012535E"/>
    <w:rsid w:val="00125402"/>
    <w:rsid w:val="0012550F"/>
    <w:rsid w:val="00125659"/>
    <w:rsid w:val="00125686"/>
    <w:rsid w:val="001257EB"/>
    <w:rsid w:val="0012582F"/>
    <w:rsid w:val="00125B2E"/>
    <w:rsid w:val="00125C0C"/>
    <w:rsid w:val="00126237"/>
    <w:rsid w:val="00126824"/>
    <w:rsid w:val="001268BB"/>
    <w:rsid w:val="00126915"/>
    <w:rsid w:val="00126958"/>
    <w:rsid w:val="001269B8"/>
    <w:rsid w:val="00126B14"/>
    <w:rsid w:val="00126BFE"/>
    <w:rsid w:val="00126D60"/>
    <w:rsid w:val="001271FC"/>
    <w:rsid w:val="001273F8"/>
    <w:rsid w:val="0012745B"/>
    <w:rsid w:val="001274A9"/>
    <w:rsid w:val="0012756F"/>
    <w:rsid w:val="001275B2"/>
    <w:rsid w:val="001278ED"/>
    <w:rsid w:val="00127B9E"/>
    <w:rsid w:val="00127CA5"/>
    <w:rsid w:val="00127D7F"/>
    <w:rsid w:val="00127EBF"/>
    <w:rsid w:val="00127FC5"/>
    <w:rsid w:val="00130315"/>
    <w:rsid w:val="00130435"/>
    <w:rsid w:val="001304DC"/>
    <w:rsid w:val="0013052D"/>
    <w:rsid w:val="00130A6F"/>
    <w:rsid w:val="00130B75"/>
    <w:rsid w:val="00130C82"/>
    <w:rsid w:val="00130C9F"/>
    <w:rsid w:val="00130D4E"/>
    <w:rsid w:val="00130DBC"/>
    <w:rsid w:val="00130F26"/>
    <w:rsid w:val="001310F1"/>
    <w:rsid w:val="00131197"/>
    <w:rsid w:val="001314B9"/>
    <w:rsid w:val="001316FA"/>
    <w:rsid w:val="0013186F"/>
    <w:rsid w:val="001319A0"/>
    <w:rsid w:val="00131D11"/>
    <w:rsid w:val="00132024"/>
    <w:rsid w:val="00132696"/>
    <w:rsid w:val="001328EB"/>
    <w:rsid w:val="00132E43"/>
    <w:rsid w:val="00132F01"/>
    <w:rsid w:val="00133060"/>
    <w:rsid w:val="0013309E"/>
    <w:rsid w:val="00133280"/>
    <w:rsid w:val="0013339C"/>
    <w:rsid w:val="001333F0"/>
    <w:rsid w:val="001335C9"/>
    <w:rsid w:val="001335CB"/>
    <w:rsid w:val="001339AC"/>
    <w:rsid w:val="001339FA"/>
    <w:rsid w:val="00133D72"/>
    <w:rsid w:val="001342F7"/>
    <w:rsid w:val="00134320"/>
    <w:rsid w:val="00134437"/>
    <w:rsid w:val="001344F5"/>
    <w:rsid w:val="0013450B"/>
    <w:rsid w:val="001346A0"/>
    <w:rsid w:val="001348C4"/>
    <w:rsid w:val="00134B36"/>
    <w:rsid w:val="00134DBA"/>
    <w:rsid w:val="00134EFC"/>
    <w:rsid w:val="00134F72"/>
    <w:rsid w:val="001352D6"/>
    <w:rsid w:val="0013565E"/>
    <w:rsid w:val="00135760"/>
    <w:rsid w:val="001359CF"/>
    <w:rsid w:val="001359D7"/>
    <w:rsid w:val="00135DD4"/>
    <w:rsid w:val="00135E44"/>
    <w:rsid w:val="0013606C"/>
    <w:rsid w:val="001361CD"/>
    <w:rsid w:val="001361D6"/>
    <w:rsid w:val="0013624E"/>
    <w:rsid w:val="001363BC"/>
    <w:rsid w:val="0013654A"/>
    <w:rsid w:val="001371D4"/>
    <w:rsid w:val="001371DC"/>
    <w:rsid w:val="001378D1"/>
    <w:rsid w:val="001379B7"/>
    <w:rsid w:val="00137A98"/>
    <w:rsid w:val="00137DD9"/>
    <w:rsid w:val="00137F03"/>
    <w:rsid w:val="001400A0"/>
    <w:rsid w:val="001404E9"/>
    <w:rsid w:val="00140656"/>
    <w:rsid w:val="00140C98"/>
    <w:rsid w:val="00140CC4"/>
    <w:rsid w:val="00140E02"/>
    <w:rsid w:val="00141657"/>
    <w:rsid w:val="001416C8"/>
    <w:rsid w:val="00141A84"/>
    <w:rsid w:val="00141C91"/>
    <w:rsid w:val="00141DF4"/>
    <w:rsid w:val="00141FEF"/>
    <w:rsid w:val="00142005"/>
    <w:rsid w:val="001421FC"/>
    <w:rsid w:val="001423BC"/>
    <w:rsid w:val="0014257F"/>
    <w:rsid w:val="001426BC"/>
    <w:rsid w:val="00142714"/>
    <w:rsid w:val="00142776"/>
    <w:rsid w:val="00142876"/>
    <w:rsid w:val="00142EA5"/>
    <w:rsid w:val="00142F2B"/>
    <w:rsid w:val="00143045"/>
    <w:rsid w:val="001436C2"/>
    <w:rsid w:val="001436DC"/>
    <w:rsid w:val="00143844"/>
    <w:rsid w:val="00143A06"/>
    <w:rsid w:val="00143A90"/>
    <w:rsid w:val="00143E6D"/>
    <w:rsid w:val="00144073"/>
    <w:rsid w:val="00144744"/>
    <w:rsid w:val="00144904"/>
    <w:rsid w:val="00144DFB"/>
    <w:rsid w:val="00145102"/>
    <w:rsid w:val="00145206"/>
    <w:rsid w:val="001452BA"/>
    <w:rsid w:val="0014531D"/>
    <w:rsid w:val="001453CC"/>
    <w:rsid w:val="00145496"/>
    <w:rsid w:val="001454C9"/>
    <w:rsid w:val="001455F5"/>
    <w:rsid w:val="001456A7"/>
    <w:rsid w:val="00145BFC"/>
    <w:rsid w:val="00145C76"/>
    <w:rsid w:val="00145C97"/>
    <w:rsid w:val="00145DB1"/>
    <w:rsid w:val="0014623B"/>
    <w:rsid w:val="00146568"/>
    <w:rsid w:val="00146705"/>
    <w:rsid w:val="0014676D"/>
    <w:rsid w:val="00146782"/>
    <w:rsid w:val="00146993"/>
    <w:rsid w:val="00146C9F"/>
    <w:rsid w:val="00146CFB"/>
    <w:rsid w:val="00146F6C"/>
    <w:rsid w:val="00146FDE"/>
    <w:rsid w:val="00147261"/>
    <w:rsid w:val="00147382"/>
    <w:rsid w:val="001473A6"/>
    <w:rsid w:val="001473C3"/>
    <w:rsid w:val="00147723"/>
    <w:rsid w:val="001477A1"/>
    <w:rsid w:val="00147A05"/>
    <w:rsid w:val="00147FCF"/>
    <w:rsid w:val="00147FEA"/>
    <w:rsid w:val="001501D5"/>
    <w:rsid w:val="00150506"/>
    <w:rsid w:val="001506D7"/>
    <w:rsid w:val="00150747"/>
    <w:rsid w:val="001507E8"/>
    <w:rsid w:val="001508A9"/>
    <w:rsid w:val="001509F7"/>
    <w:rsid w:val="00150A8E"/>
    <w:rsid w:val="00150B20"/>
    <w:rsid w:val="00150B66"/>
    <w:rsid w:val="00150CBA"/>
    <w:rsid w:val="00150F62"/>
    <w:rsid w:val="0015109E"/>
    <w:rsid w:val="00151323"/>
    <w:rsid w:val="0015147A"/>
    <w:rsid w:val="001514AF"/>
    <w:rsid w:val="0015152B"/>
    <w:rsid w:val="001516F0"/>
    <w:rsid w:val="00151747"/>
    <w:rsid w:val="001518CA"/>
    <w:rsid w:val="001519E7"/>
    <w:rsid w:val="00151D76"/>
    <w:rsid w:val="00151DC4"/>
    <w:rsid w:val="00151E6E"/>
    <w:rsid w:val="00152016"/>
    <w:rsid w:val="001520F6"/>
    <w:rsid w:val="00152108"/>
    <w:rsid w:val="001523EE"/>
    <w:rsid w:val="00152731"/>
    <w:rsid w:val="00152850"/>
    <w:rsid w:val="0015290E"/>
    <w:rsid w:val="00152991"/>
    <w:rsid w:val="00152ABC"/>
    <w:rsid w:val="00152FE4"/>
    <w:rsid w:val="001532A4"/>
    <w:rsid w:val="001537A4"/>
    <w:rsid w:val="001537D0"/>
    <w:rsid w:val="00153B7D"/>
    <w:rsid w:val="00153BC8"/>
    <w:rsid w:val="00153F15"/>
    <w:rsid w:val="00154401"/>
    <w:rsid w:val="001545AD"/>
    <w:rsid w:val="00154682"/>
    <w:rsid w:val="001547EA"/>
    <w:rsid w:val="001547F6"/>
    <w:rsid w:val="00154E2A"/>
    <w:rsid w:val="00154E60"/>
    <w:rsid w:val="00155202"/>
    <w:rsid w:val="0015538F"/>
    <w:rsid w:val="00155434"/>
    <w:rsid w:val="00155982"/>
    <w:rsid w:val="001564FC"/>
    <w:rsid w:val="00156D28"/>
    <w:rsid w:val="00156D64"/>
    <w:rsid w:val="00156E7B"/>
    <w:rsid w:val="00156EF9"/>
    <w:rsid w:val="001570D9"/>
    <w:rsid w:val="00157375"/>
    <w:rsid w:val="00157500"/>
    <w:rsid w:val="00157721"/>
    <w:rsid w:val="00157952"/>
    <w:rsid w:val="00157A47"/>
    <w:rsid w:val="001602B3"/>
    <w:rsid w:val="0016040C"/>
    <w:rsid w:val="0016050D"/>
    <w:rsid w:val="0016079C"/>
    <w:rsid w:val="0016086E"/>
    <w:rsid w:val="001609D0"/>
    <w:rsid w:val="00160A0C"/>
    <w:rsid w:val="00160C89"/>
    <w:rsid w:val="0016104C"/>
    <w:rsid w:val="0016143E"/>
    <w:rsid w:val="00161555"/>
    <w:rsid w:val="00161574"/>
    <w:rsid w:val="001615D5"/>
    <w:rsid w:val="001618DB"/>
    <w:rsid w:val="00161A84"/>
    <w:rsid w:val="00161AF3"/>
    <w:rsid w:val="001620A0"/>
    <w:rsid w:val="001620E1"/>
    <w:rsid w:val="0016216F"/>
    <w:rsid w:val="0016223A"/>
    <w:rsid w:val="001623B5"/>
    <w:rsid w:val="001624B5"/>
    <w:rsid w:val="001627F3"/>
    <w:rsid w:val="001629D3"/>
    <w:rsid w:val="00162A50"/>
    <w:rsid w:val="00162D12"/>
    <w:rsid w:val="00162DFF"/>
    <w:rsid w:val="001631B4"/>
    <w:rsid w:val="00163669"/>
    <w:rsid w:val="001638E0"/>
    <w:rsid w:val="001639E3"/>
    <w:rsid w:val="00163A1E"/>
    <w:rsid w:val="00163A32"/>
    <w:rsid w:val="00163B06"/>
    <w:rsid w:val="00163DD7"/>
    <w:rsid w:val="00163DF8"/>
    <w:rsid w:val="0016414D"/>
    <w:rsid w:val="00164669"/>
    <w:rsid w:val="00164761"/>
    <w:rsid w:val="0016487B"/>
    <w:rsid w:val="001648FB"/>
    <w:rsid w:val="00164974"/>
    <w:rsid w:val="00164AB5"/>
    <w:rsid w:val="00164B73"/>
    <w:rsid w:val="00164F9C"/>
    <w:rsid w:val="001650B0"/>
    <w:rsid w:val="001655BB"/>
    <w:rsid w:val="001657CC"/>
    <w:rsid w:val="00165B61"/>
    <w:rsid w:val="00165F07"/>
    <w:rsid w:val="001664DB"/>
    <w:rsid w:val="0016655E"/>
    <w:rsid w:val="00166A93"/>
    <w:rsid w:val="00166C93"/>
    <w:rsid w:val="00166E60"/>
    <w:rsid w:val="00166EBE"/>
    <w:rsid w:val="00166F3F"/>
    <w:rsid w:val="001670EA"/>
    <w:rsid w:val="001674A5"/>
    <w:rsid w:val="0016784B"/>
    <w:rsid w:val="001679B2"/>
    <w:rsid w:val="00167A55"/>
    <w:rsid w:val="00167AB6"/>
    <w:rsid w:val="00167EBA"/>
    <w:rsid w:val="00167FB2"/>
    <w:rsid w:val="00167FD9"/>
    <w:rsid w:val="001700A5"/>
    <w:rsid w:val="001703B4"/>
    <w:rsid w:val="001705E4"/>
    <w:rsid w:val="00170D89"/>
    <w:rsid w:val="00170FF3"/>
    <w:rsid w:val="0017116A"/>
    <w:rsid w:val="001711DB"/>
    <w:rsid w:val="001712A1"/>
    <w:rsid w:val="001712C4"/>
    <w:rsid w:val="00171325"/>
    <w:rsid w:val="00171451"/>
    <w:rsid w:val="00171482"/>
    <w:rsid w:val="001719E1"/>
    <w:rsid w:val="00171BD4"/>
    <w:rsid w:val="00171E69"/>
    <w:rsid w:val="0017203E"/>
    <w:rsid w:val="001721B3"/>
    <w:rsid w:val="001722BA"/>
    <w:rsid w:val="0017234F"/>
    <w:rsid w:val="0017273A"/>
    <w:rsid w:val="00172877"/>
    <w:rsid w:val="00172A27"/>
    <w:rsid w:val="00173062"/>
    <w:rsid w:val="00173087"/>
    <w:rsid w:val="001730AA"/>
    <w:rsid w:val="001733BD"/>
    <w:rsid w:val="0017344E"/>
    <w:rsid w:val="0017345B"/>
    <w:rsid w:val="0017345C"/>
    <w:rsid w:val="001734C6"/>
    <w:rsid w:val="001734F4"/>
    <w:rsid w:val="00173B73"/>
    <w:rsid w:val="00174052"/>
    <w:rsid w:val="00174088"/>
    <w:rsid w:val="00174325"/>
    <w:rsid w:val="00174359"/>
    <w:rsid w:val="001743FA"/>
    <w:rsid w:val="001744DA"/>
    <w:rsid w:val="00174694"/>
    <w:rsid w:val="00174952"/>
    <w:rsid w:val="001749EC"/>
    <w:rsid w:val="00174B65"/>
    <w:rsid w:val="00174B82"/>
    <w:rsid w:val="00174D35"/>
    <w:rsid w:val="001755BC"/>
    <w:rsid w:val="00175843"/>
    <w:rsid w:val="001759C5"/>
    <w:rsid w:val="00175AFE"/>
    <w:rsid w:val="00175BBF"/>
    <w:rsid w:val="00176149"/>
    <w:rsid w:val="0017622F"/>
    <w:rsid w:val="0017623A"/>
    <w:rsid w:val="00176250"/>
    <w:rsid w:val="00176399"/>
    <w:rsid w:val="00176768"/>
    <w:rsid w:val="00176794"/>
    <w:rsid w:val="001767E0"/>
    <w:rsid w:val="0017690B"/>
    <w:rsid w:val="001769DC"/>
    <w:rsid w:val="00176DE2"/>
    <w:rsid w:val="00176E48"/>
    <w:rsid w:val="001770BF"/>
    <w:rsid w:val="001770D4"/>
    <w:rsid w:val="0017712C"/>
    <w:rsid w:val="00177148"/>
    <w:rsid w:val="0017727A"/>
    <w:rsid w:val="001772BB"/>
    <w:rsid w:val="00177385"/>
    <w:rsid w:val="001776C7"/>
    <w:rsid w:val="00177707"/>
    <w:rsid w:val="00177873"/>
    <w:rsid w:val="00177B45"/>
    <w:rsid w:val="00177F9F"/>
    <w:rsid w:val="00180172"/>
    <w:rsid w:val="001801F4"/>
    <w:rsid w:val="001802CA"/>
    <w:rsid w:val="00180664"/>
    <w:rsid w:val="00180775"/>
    <w:rsid w:val="00180829"/>
    <w:rsid w:val="0018083E"/>
    <w:rsid w:val="0018085E"/>
    <w:rsid w:val="00180954"/>
    <w:rsid w:val="00180975"/>
    <w:rsid w:val="001809C7"/>
    <w:rsid w:val="00180D52"/>
    <w:rsid w:val="0018115A"/>
    <w:rsid w:val="001813A3"/>
    <w:rsid w:val="001813BA"/>
    <w:rsid w:val="001813BE"/>
    <w:rsid w:val="001813C3"/>
    <w:rsid w:val="00181581"/>
    <w:rsid w:val="00181919"/>
    <w:rsid w:val="00181A20"/>
    <w:rsid w:val="00181C43"/>
    <w:rsid w:val="00181C75"/>
    <w:rsid w:val="00181D48"/>
    <w:rsid w:val="00181D80"/>
    <w:rsid w:val="00182348"/>
    <w:rsid w:val="0018236B"/>
    <w:rsid w:val="00182464"/>
    <w:rsid w:val="001824BE"/>
    <w:rsid w:val="001826C3"/>
    <w:rsid w:val="001829EB"/>
    <w:rsid w:val="00182C70"/>
    <w:rsid w:val="00182DE9"/>
    <w:rsid w:val="00183026"/>
    <w:rsid w:val="001834AA"/>
    <w:rsid w:val="001835E4"/>
    <w:rsid w:val="001835F6"/>
    <w:rsid w:val="001838C6"/>
    <w:rsid w:val="00183935"/>
    <w:rsid w:val="0018397D"/>
    <w:rsid w:val="00183A51"/>
    <w:rsid w:val="00183A60"/>
    <w:rsid w:val="00183B57"/>
    <w:rsid w:val="00183DFC"/>
    <w:rsid w:val="00184004"/>
    <w:rsid w:val="00184171"/>
    <w:rsid w:val="00184298"/>
    <w:rsid w:val="001846ED"/>
    <w:rsid w:val="001849ED"/>
    <w:rsid w:val="00184B0F"/>
    <w:rsid w:val="00184BC3"/>
    <w:rsid w:val="00184DC3"/>
    <w:rsid w:val="00184F04"/>
    <w:rsid w:val="00184FA0"/>
    <w:rsid w:val="00185367"/>
    <w:rsid w:val="0018542F"/>
    <w:rsid w:val="0018557B"/>
    <w:rsid w:val="00185A00"/>
    <w:rsid w:val="00185BBA"/>
    <w:rsid w:val="0018614B"/>
    <w:rsid w:val="001862B1"/>
    <w:rsid w:val="001862ED"/>
    <w:rsid w:val="00186763"/>
    <w:rsid w:val="0018676E"/>
    <w:rsid w:val="0018693D"/>
    <w:rsid w:val="00186AEB"/>
    <w:rsid w:val="00186BD0"/>
    <w:rsid w:val="00186BD5"/>
    <w:rsid w:val="00186C6E"/>
    <w:rsid w:val="00186CE3"/>
    <w:rsid w:val="00187162"/>
    <w:rsid w:val="0018723C"/>
    <w:rsid w:val="001872B3"/>
    <w:rsid w:val="00187350"/>
    <w:rsid w:val="001874D5"/>
    <w:rsid w:val="00187BD3"/>
    <w:rsid w:val="00187D09"/>
    <w:rsid w:val="00187D47"/>
    <w:rsid w:val="00190143"/>
    <w:rsid w:val="0019015C"/>
    <w:rsid w:val="00190335"/>
    <w:rsid w:val="00190396"/>
    <w:rsid w:val="001907E2"/>
    <w:rsid w:val="00190CEE"/>
    <w:rsid w:val="001914A6"/>
    <w:rsid w:val="00191517"/>
    <w:rsid w:val="00191935"/>
    <w:rsid w:val="00191ABB"/>
    <w:rsid w:val="00191D08"/>
    <w:rsid w:val="00191F11"/>
    <w:rsid w:val="00191FD1"/>
    <w:rsid w:val="001921DF"/>
    <w:rsid w:val="00192450"/>
    <w:rsid w:val="001924F5"/>
    <w:rsid w:val="001928B8"/>
    <w:rsid w:val="00192A48"/>
    <w:rsid w:val="00192ADE"/>
    <w:rsid w:val="00192D14"/>
    <w:rsid w:val="00192E9C"/>
    <w:rsid w:val="001930E3"/>
    <w:rsid w:val="00193106"/>
    <w:rsid w:val="00193A98"/>
    <w:rsid w:val="00193BEE"/>
    <w:rsid w:val="00193C95"/>
    <w:rsid w:val="00193D98"/>
    <w:rsid w:val="00193E32"/>
    <w:rsid w:val="00194050"/>
    <w:rsid w:val="001941DC"/>
    <w:rsid w:val="00194200"/>
    <w:rsid w:val="00194427"/>
    <w:rsid w:val="001944C6"/>
    <w:rsid w:val="001948CB"/>
    <w:rsid w:val="00194C53"/>
    <w:rsid w:val="00194D42"/>
    <w:rsid w:val="00194D65"/>
    <w:rsid w:val="001950C6"/>
    <w:rsid w:val="0019525E"/>
    <w:rsid w:val="00195427"/>
    <w:rsid w:val="001954DF"/>
    <w:rsid w:val="00195515"/>
    <w:rsid w:val="0019580B"/>
    <w:rsid w:val="001958C9"/>
    <w:rsid w:val="00195A71"/>
    <w:rsid w:val="00195B1E"/>
    <w:rsid w:val="00195D3C"/>
    <w:rsid w:val="001961CE"/>
    <w:rsid w:val="00196296"/>
    <w:rsid w:val="00196AA1"/>
    <w:rsid w:val="00196C49"/>
    <w:rsid w:val="00196D7F"/>
    <w:rsid w:val="001971A4"/>
    <w:rsid w:val="0019751C"/>
    <w:rsid w:val="00197AD9"/>
    <w:rsid w:val="00197C13"/>
    <w:rsid w:val="00197DB5"/>
    <w:rsid w:val="00197F02"/>
    <w:rsid w:val="00197F40"/>
    <w:rsid w:val="001A0090"/>
    <w:rsid w:val="001A0161"/>
    <w:rsid w:val="001A022D"/>
    <w:rsid w:val="001A0286"/>
    <w:rsid w:val="001A0373"/>
    <w:rsid w:val="001A04AA"/>
    <w:rsid w:val="001A06F8"/>
    <w:rsid w:val="001A0A32"/>
    <w:rsid w:val="001A0B7A"/>
    <w:rsid w:val="001A0FE8"/>
    <w:rsid w:val="001A106A"/>
    <w:rsid w:val="001A10E5"/>
    <w:rsid w:val="001A1224"/>
    <w:rsid w:val="001A13A8"/>
    <w:rsid w:val="001A1606"/>
    <w:rsid w:val="001A168B"/>
    <w:rsid w:val="001A1914"/>
    <w:rsid w:val="001A19C5"/>
    <w:rsid w:val="001A1ABE"/>
    <w:rsid w:val="001A1B50"/>
    <w:rsid w:val="001A1B54"/>
    <w:rsid w:val="001A1B78"/>
    <w:rsid w:val="001A1BA3"/>
    <w:rsid w:val="001A1CEC"/>
    <w:rsid w:val="001A1F0B"/>
    <w:rsid w:val="001A1F70"/>
    <w:rsid w:val="001A229A"/>
    <w:rsid w:val="001A2347"/>
    <w:rsid w:val="001A2415"/>
    <w:rsid w:val="001A25C9"/>
    <w:rsid w:val="001A27B9"/>
    <w:rsid w:val="001A27E8"/>
    <w:rsid w:val="001A287C"/>
    <w:rsid w:val="001A29C1"/>
    <w:rsid w:val="001A2AFE"/>
    <w:rsid w:val="001A3094"/>
    <w:rsid w:val="001A35AC"/>
    <w:rsid w:val="001A390C"/>
    <w:rsid w:val="001A3985"/>
    <w:rsid w:val="001A399C"/>
    <w:rsid w:val="001A3B4D"/>
    <w:rsid w:val="001A3B68"/>
    <w:rsid w:val="001A3CCC"/>
    <w:rsid w:val="001A4045"/>
    <w:rsid w:val="001A40CF"/>
    <w:rsid w:val="001A4877"/>
    <w:rsid w:val="001A4A0B"/>
    <w:rsid w:val="001A4EBF"/>
    <w:rsid w:val="001A52A6"/>
    <w:rsid w:val="001A5496"/>
    <w:rsid w:val="001A5595"/>
    <w:rsid w:val="001A55F7"/>
    <w:rsid w:val="001A570C"/>
    <w:rsid w:val="001A57B9"/>
    <w:rsid w:val="001A5FC1"/>
    <w:rsid w:val="001A5FE3"/>
    <w:rsid w:val="001A5FF0"/>
    <w:rsid w:val="001A62AF"/>
    <w:rsid w:val="001A63B1"/>
    <w:rsid w:val="001A6701"/>
    <w:rsid w:val="001A6762"/>
    <w:rsid w:val="001A6862"/>
    <w:rsid w:val="001A68CC"/>
    <w:rsid w:val="001A6996"/>
    <w:rsid w:val="001A6BD3"/>
    <w:rsid w:val="001A6D7F"/>
    <w:rsid w:val="001A6F08"/>
    <w:rsid w:val="001A7040"/>
    <w:rsid w:val="001A70FF"/>
    <w:rsid w:val="001A7361"/>
    <w:rsid w:val="001A76B1"/>
    <w:rsid w:val="001A79C1"/>
    <w:rsid w:val="001A7ACB"/>
    <w:rsid w:val="001A7AE0"/>
    <w:rsid w:val="001A7CDD"/>
    <w:rsid w:val="001A7F41"/>
    <w:rsid w:val="001A7F77"/>
    <w:rsid w:val="001B016B"/>
    <w:rsid w:val="001B0413"/>
    <w:rsid w:val="001B04AA"/>
    <w:rsid w:val="001B055C"/>
    <w:rsid w:val="001B077F"/>
    <w:rsid w:val="001B0993"/>
    <w:rsid w:val="001B0B40"/>
    <w:rsid w:val="001B0D86"/>
    <w:rsid w:val="001B0F08"/>
    <w:rsid w:val="001B0FC5"/>
    <w:rsid w:val="001B106C"/>
    <w:rsid w:val="001B1142"/>
    <w:rsid w:val="001B11B3"/>
    <w:rsid w:val="001B11C4"/>
    <w:rsid w:val="001B1C0B"/>
    <w:rsid w:val="001B1D06"/>
    <w:rsid w:val="001B1F85"/>
    <w:rsid w:val="001B2015"/>
    <w:rsid w:val="001B2049"/>
    <w:rsid w:val="001B2067"/>
    <w:rsid w:val="001B2322"/>
    <w:rsid w:val="001B28F9"/>
    <w:rsid w:val="001B2A06"/>
    <w:rsid w:val="001B2D2E"/>
    <w:rsid w:val="001B2D3E"/>
    <w:rsid w:val="001B2EB9"/>
    <w:rsid w:val="001B2FD0"/>
    <w:rsid w:val="001B302C"/>
    <w:rsid w:val="001B30FE"/>
    <w:rsid w:val="001B3159"/>
    <w:rsid w:val="001B35C6"/>
    <w:rsid w:val="001B3793"/>
    <w:rsid w:val="001B38ED"/>
    <w:rsid w:val="001B39CE"/>
    <w:rsid w:val="001B39DF"/>
    <w:rsid w:val="001B3B2F"/>
    <w:rsid w:val="001B3B98"/>
    <w:rsid w:val="001B3BBA"/>
    <w:rsid w:val="001B3EF9"/>
    <w:rsid w:val="001B40F1"/>
    <w:rsid w:val="001B43B1"/>
    <w:rsid w:val="001B4499"/>
    <w:rsid w:val="001B47AF"/>
    <w:rsid w:val="001B49F0"/>
    <w:rsid w:val="001B504D"/>
    <w:rsid w:val="001B5307"/>
    <w:rsid w:val="001B53EE"/>
    <w:rsid w:val="001B56F4"/>
    <w:rsid w:val="001B5918"/>
    <w:rsid w:val="001B5BA3"/>
    <w:rsid w:val="001B5CD4"/>
    <w:rsid w:val="001B64C1"/>
    <w:rsid w:val="001B6C13"/>
    <w:rsid w:val="001B6F07"/>
    <w:rsid w:val="001B7015"/>
    <w:rsid w:val="001B702C"/>
    <w:rsid w:val="001B732E"/>
    <w:rsid w:val="001B73F3"/>
    <w:rsid w:val="001B741C"/>
    <w:rsid w:val="001B76E6"/>
    <w:rsid w:val="001B7C06"/>
    <w:rsid w:val="001B7D86"/>
    <w:rsid w:val="001B7DF0"/>
    <w:rsid w:val="001B7E75"/>
    <w:rsid w:val="001B7E7E"/>
    <w:rsid w:val="001C00DF"/>
    <w:rsid w:val="001C010E"/>
    <w:rsid w:val="001C0191"/>
    <w:rsid w:val="001C029F"/>
    <w:rsid w:val="001C065E"/>
    <w:rsid w:val="001C0850"/>
    <w:rsid w:val="001C0AB3"/>
    <w:rsid w:val="001C1461"/>
    <w:rsid w:val="001C167B"/>
    <w:rsid w:val="001C172A"/>
    <w:rsid w:val="001C1A12"/>
    <w:rsid w:val="001C1AE9"/>
    <w:rsid w:val="001C1B8B"/>
    <w:rsid w:val="001C1E53"/>
    <w:rsid w:val="001C2123"/>
    <w:rsid w:val="001C2145"/>
    <w:rsid w:val="001C255E"/>
    <w:rsid w:val="001C2695"/>
    <w:rsid w:val="001C29BE"/>
    <w:rsid w:val="001C2DCD"/>
    <w:rsid w:val="001C2E41"/>
    <w:rsid w:val="001C2ED2"/>
    <w:rsid w:val="001C2F65"/>
    <w:rsid w:val="001C326E"/>
    <w:rsid w:val="001C33D5"/>
    <w:rsid w:val="001C34AE"/>
    <w:rsid w:val="001C34EC"/>
    <w:rsid w:val="001C3701"/>
    <w:rsid w:val="001C38DF"/>
    <w:rsid w:val="001C3982"/>
    <w:rsid w:val="001C3EBD"/>
    <w:rsid w:val="001C41EB"/>
    <w:rsid w:val="001C4429"/>
    <w:rsid w:val="001C47A0"/>
    <w:rsid w:val="001C47E6"/>
    <w:rsid w:val="001C4F2E"/>
    <w:rsid w:val="001C4F89"/>
    <w:rsid w:val="001C503F"/>
    <w:rsid w:val="001C50AB"/>
    <w:rsid w:val="001C52A2"/>
    <w:rsid w:val="001C52D4"/>
    <w:rsid w:val="001C536A"/>
    <w:rsid w:val="001C5478"/>
    <w:rsid w:val="001C54F9"/>
    <w:rsid w:val="001C56EF"/>
    <w:rsid w:val="001C57B0"/>
    <w:rsid w:val="001C5849"/>
    <w:rsid w:val="001C5BED"/>
    <w:rsid w:val="001C5D25"/>
    <w:rsid w:val="001C6251"/>
    <w:rsid w:val="001C6412"/>
    <w:rsid w:val="001C660A"/>
    <w:rsid w:val="001C6732"/>
    <w:rsid w:val="001C6AAB"/>
    <w:rsid w:val="001C6AE0"/>
    <w:rsid w:val="001C6B50"/>
    <w:rsid w:val="001C6C55"/>
    <w:rsid w:val="001C70EB"/>
    <w:rsid w:val="001C7330"/>
    <w:rsid w:val="001C7368"/>
    <w:rsid w:val="001C778F"/>
    <w:rsid w:val="001C7909"/>
    <w:rsid w:val="001C7A23"/>
    <w:rsid w:val="001C7A82"/>
    <w:rsid w:val="001C7AE7"/>
    <w:rsid w:val="001C7C91"/>
    <w:rsid w:val="001C7E5E"/>
    <w:rsid w:val="001C7F13"/>
    <w:rsid w:val="001D021A"/>
    <w:rsid w:val="001D03AD"/>
    <w:rsid w:val="001D046C"/>
    <w:rsid w:val="001D0528"/>
    <w:rsid w:val="001D057E"/>
    <w:rsid w:val="001D0778"/>
    <w:rsid w:val="001D07CF"/>
    <w:rsid w:val="001D0985"/>
    <w:rsid w:val="001D0BEB"/>
    <w:rsid w:val="001D0C91"/>
    <w:rsid w:val="001D112C"/>
    <w:rsid w:val="001D165E"/>
    <w:rsid w:val="001D1689"/>
    <w:rsid w:val="001D1980"/>
    <w:rsid w:val="001D1F85"/>
    <w:rsid w:val="001D27F7"/>
    <w:rsid w:val="001D2889"/>
    <w:rsid w:val="001D28C9"/>
    <w:rsid w:val="001D2936"/>
    <w:rsid w:val="001D2BF6"/>
    <w:rsid w:val="001D2D30"/>
    <w:rsid w:val="001D309E"/>
    <w:rsid w:val="001D3766"/>
    <w:rsid w:val="001D3B44"/>
    <w:rsid w:val="001D3BFA"/>
    <w:rsid w:val="001D3F50"/>
    <w:rsid w:val="001D4067"/>
    <w:rsid w:val="001D4254"/>
    <w:rsid w:val="001D42B2"/>
    <w:rsid w:val="001D4345"/>
    <w:rsid w:val="001D4904"/>
    <w:rsid w:val="001D4A3F"/>
    <w:rsid w:val="001D4C30"/>
    <w:rsid w:val="001D4FC1"/>
    <w:rsid w:val="001D52B8"/>
    <w:rsid w:val="001D5355"/>
    <w:rsid w:val="001D5513"/>
    <w:rsid w:val="001D55D6"/>
    <w:rsid w:val="001D5897"/>
    <w:rsid w:val="001D58A8"/>
    <w:rsid w:val="001D5E02"/>
    <w:rsid w:val="001D6001"/>
    <w:rsid w:val="001D606E"/>
    <w:rsid w:val="001D614E"/>
    <w:rsid w:val="001D6399"/>
    <w:rsid w:val="001D66FE"/>
    <w:rsid w:val="001D6988"/>
    <w:rsid w:val="001D7003"/>
    <w:rsid w:val="001D709A"/>
    <w:rsid w:val="001D73D2"/>
    <w:rsid w:val="001D7969"/>
    <w:rsid w:val="001D7B11"/>
    <w:rsid w:val="001D7B71"/>
    <w:rsid w:val="001D7C04"/>
    <w:rsid w:val="001D7D1B"/>
    <w:rsid w:val="001D7EBE"/>
    <w:rsid w:val="001E0074"/>
    <w:rsid w:val="001E01D0"/>
    <w:rsid w:val="001E0327"/>
    <w:rsid w:val="001E0334"/>
    <w:rsid w:val="001E0621"/>
    <w:rsid w:val="001E0666"/>
    <w:rsid w:val="001E080E"/>
    <w:rsid w:val="001E09DD"/>
    <w:rsid w:val="001E0B3E"/>
    <w:rsid w:val="001E0B9A"/>
    <w:rsid w:val="001E0C8D"/>
    <w:rsid w:val="001E0D6F"/>
    <w:rsid w:val="001E0FFD"/>
    <w:rsid w:val="001E1087"/>
    <w:rsid w:val="001E10CD"/>
    <w:rsid w:val="001E141A"/>
    <w:rsid w:val="001E15D1"/>
    <w:rsid w:val="001E184D"/>
    <w:rsid w:val="001E19E2"/>
    <w:rsid w:val="001E1D1A"/>
    <w:rsid w:val="001E1D45"/>
    <w:rsid w:val="001E1E94"/>
    <w:rsid w:val="001E226B"/>
    <w:rsid w:val="001E226D"/>
    <w:rsid w:val="001E2280"/>
    <w:rsid w:val="001E2310"/>
    <w:rsid w:val="001E280C"/>
    <w:rsid w:val="001E2D70"/>
    <w:rsid w:val="001E306C"/>
    <w:rsid w:val="001E321E"/>
    <w:rsid w:val="001E3228"/>
    <w:rsid w:val="001E3354"/>
    <w:rsid w:val="001E34AA"/>
    <w:rsid w:val="001E34EF"/>
    <w:rsid w:val="001E3638"/>
    <w:rsid w:val="001E3764"/>
    <w:rsid w:val="001E381D"/>
    <w:rsid w:val="001E3875"/>
    <w:rsid w:val="001E3AE0"/>
    <w:rsid w:val="001E3B66"/>
    <w:rsid w:val="001E3C02"/>
    <w:rsid w:val="001E3D80"/>
    <w:rsid w:val="001E3DFC"/>
    <w:rsid w:val="001E4118"/>
    <w:rsid w:val="001E437E"/>
    <w:rsid w:val="001E447D"/>
    <w:rsid w:val="001E4ED1"/>
    <w:rsid w:val="001E5295"/>
    <w:rsid w:val="001E54DC"/>
    <w:rsid w:val="001E5F6D"/>
    <w:rsid w:val="001E60C7"/>
    <w:rsid w:val="001E62EA"/>
    <w:rsid w:val="001E63BE"/>
    <w:rsid w:val="001E65C3"/>
    <w:rsid w:val="001E6704"/>
    <w:rsid w:val="001E6978"/>
    <w:rsid w:val="001E698B"/>
    <w:rsid w:val="001E6A37"/>
    <w:rsid w:val="001E6A83"/>
    <w:rsid w:val="001E6B6F"/>
    <w:rsid w:val="001E6D16"/>
    <w:rsid w:val="001E6E79"/>
    <w:rsid w:val="001E6F5F"/>
    <w:rsid w:val="001E7530"/>
    <w:rsid w:val="001E7640"/>
    <w:rsid w:val="001E7815"/>
    <w:rsid w:val="001E78E7"/>
    <w:rsid w:val="001E7962"/>
    <w:rsid w:val="001E7ABB"/>
    <w:rsid w:val="001E7ACA"/>
    <w:rsid w:val="001E7CB2"/>
    <w:rsid w:val="001E7CBF"/>
    <w:rsid w:val="001E7CFD"/>
    <w:rsid w:val="001F00CF"/>
    <w:rsid w:val="001F0106"/>
    <w:rsid w:val="001F02AC"/>
    <w:rsid w:val="001F0615"/>
    <w:rsid w:val="001F07D6"/>
    <w:rsid w:val="001F07F7"/>
    <w:rsid w:val="001F08D7"/>
    <w:rsid w:val="001F0958"/>
    <w:rsid w:val="001F0C50"/>
    <w:rsid w:val="001F126A"/>
    <w:rsid w:val="001F137C"/>
    <w:rsid w:val="001F172A"/>
    <w:rsid w:val="001F17AB"/>
    <w:rsid w:val="001F1B18"/>
    <w:rsid w:val="001F1D26"/>
    <w:rsid w:val="001F1E70"/>
    <w:rsid w:val="001F2402"/>
    <w:rsid w:val="001F28AA"/>
    <w:rsid w:val="001F2AB7"/>
    <w:rsid w:val="001F3246"/>
    <w:rsid w:val="001F3530"/>
    <w:rsid w:val="001F3673"/>
    <w:rsid w:val="001F36AF"/>
    <w:rsid w:val="001F385D"/>
    <w:rsid w:val="001F3C79"/>
    <w:rsid w:val="001F3D72"/>
    <w:rsid w:val="001F3FA4"/>
    <w:rsid w:val="001F3FAF"/>
    <w:rsid w:val="001F4141"/>
    <w:rsid w:val="001F437A"/>
    <w:rsid w:val="001F4382"/>
    <w:rsid w:val="001F443D"/>
    <w:rsid w:val="001F446B"/>
    <w:rsid w:val="001F448E"/>
    <w:rsid w:val="001F4559"/>
    <w:rsid w:val="001F485E"/>
    <w:rsid w:val="001F5191"/>
    <w:rsid w:val="001F5251"/>
    <w:rsid w:val="001F52D4"/>
    <w:rsid w:val="001F5318"/>
    <w:rsid w:val="001F536F"/>
    <w:rsid w:val="001F5482"/>
    <w:rsid w:val="001F5484"/>
    <w:rsid w:val="001F584C"/>
    <w:rsid w:val="001F5935"/>
    <w:rsid w:val="001F5D74"/>
    <w:rsid w:val="001F6084"/>
    <w:rsid w:val="001F61FB"/>
    <w:rsid w:val="001F6393"/>
    <w:rsid w:val="001F6421"/>
    <w:rsid w:val="001F6533"/>
    <w:rsid w:val="001F68EE"/>
    <w:rsid w:val="001F68FD"/>
    <w:rsid w:val="001F6946"/>
    <w:rsid w:val="001F6CEE"/>
    <w:rsid w:val="001F6F41"/>
    <w:rsid w:val="001F705A"/>
    <w:rsid w:val="001F70CA"/>
    <w:rsid w:val="001F71D8"/>
    <w:rsid w:val="001F7249"/>
    <w:rsid w:val="001F7495"/>
    <w:rsid w:val="001F75CA"/>
    <w:rsid w:val="001F76B3"/>
    <w:rsid w:val="001F76CF"/>
    <w:rsid w:val="001F76EC"/>
    <w:rsid w:val="001F77FE"/>
    <w:rsid w:val="001F78C7"/>
    <w:rsid w:val="001F7959"/>
    <w:rsid w:val="001F7A9B"/>
    <w:rsid w:val="001F7D75"/>
    <w:rsid w:val="001F7E2B"/>
    <w:rsid w:val="0020047F"/>
    <w:rsid w:val="0020059F"/>
    <w:rsid w:val="002005BB"/>
    <w:rsid w:val="00200896"/>
    <w:rsid w:val="002008C8"/>
    <w:rsid w:val="00200FFD"/>
    <w:rsid w:val="00201195"/>
    <w:rsid w:val="002013FB"/>
    <w:rsid w:val="0020150D"/>
    <w:rsid w:val="00201870"/>
    <w:rsid w:val="002019EA"/>
    <w:rsid w:val="00201F71"/>
    <w:rsid w:val="002021B4"/>
    <w:rsid w:val="00202316"/>
    <w:rsid w:val="002023D4"/>
    <w:rsid w:val="002025B4"/>
    <w:rsid w:val="00202B06"/>
    <w:rsid w:val="00202B44"/>
    <w:rsid w:val="00202D54"/>
    <w:rsid w:val="00203118"/>
    <w:rsid w:val="00203153"/>
    <w:rsid w:val="002033CB"/>
    <w:rsid w:val="002034C2"/>
    <w:rsid w:val="00203726"/>
    <w:rsid w:val="00203A4A"/>
    <w:rsid w:val="00203BF8"/>
    <w:rsid w:val="00203DAD"/>
    <w:rsid w:val="00203E7F"/>
    <w:rsid w:val="00204574"/>
    <w:rsid w:val="00204728"/>
    <w:rsid w:val="00204761"/>
    <w:rsid w:val="002047C4"/>
    <w:rsid w:val="00204865"/>
    <w:rsid w:val="00204D86"/>
    <w:rsid w:val="00204E72"/>
    <w:rsid w:val="00204FA5"/>
    <w:rsid w:val="002057C1"/>
    <w:rsid w:val="00205CED"/>
    <w:rsid w:val="00205D16"/>
    <w:rsid w:val="00205F4E"/>
    <w:rsid w:val="00206410"/>
    <w:rsid w:val="00206722"/>
    <w:rsid w:val="002067CB"/>
    <w:rsid w:val="00206A04"/>
    <w:rsid w:val="00206BE4"/>
    <w:rsid w:val="00206D3E"/>
    <w:rsid w:val="00206D5B"/>
    <w:rsid w:val="002074D2"/>
    <w:rsid w:val="0020761E"/>
    <w:rsid w:val="002077D3"/>
    <w:rsid w:val="002078ED"/>
    <w:rsid w:val="00207913"/>
    <w:rsid w:val="002079D2"/>
    <w:rsid w:val="00207CF8"/>
    <w:rsid w:val="00207E99"/>
    <w:rsid w:val="00207F97"/>
    <w:rsid w:val="002105B2"/>
    <w:rsid w:val="002105C3"/>
    <w:rsid w:val="0021063C"/>
    <w:rsid w:val="0021085B"/>
    <w:rsid w:val="00210A3A"/>
    <w:rsid w:val="00210C07"/>
    <w:rsid w:val="00210E93"/>
    <w:rsid w:val="00211392"/>
    <w:rsid w:val="00211BE3"/>
    <w:rsid w:val="00211CF4"/>
    <w:rsid w:val="00211DA3"/>
    <w:rsid w:val="00211E81"/>
    <w:rsid w:val="00212379"/>
    <w:rsid w:val="002124C1"/>
    <w:rsid w:val="002125D6"/>
    <w:rsid w:val="00212B72"/>
    <w:rsid w:val="00212BA8"/>
    <w:rsid w:val="00212CA0"/>
    <w:rsid w:val="002130DE"/>
    <w:rsid w:val="002131C5"/>
    <w:rsid w:val="002139C6"/>
    <w:rsid w:val="00213B0D"/>
    <w:rsid w:val="00213B31"/>
    <w:rsid w:val="00213EC0"/>
    <w:rsid w:val="00213EE5"/>
    <w:rsid w:val="00213F17"/>
    <w:rsid w:val="00214137"/>
    <w:rsid w:val="002141E2"/>
    <w:rsid w:val="00214368"/>
    <w:rsid w:val="00214B2B"/>
    <w:rsid w:val="00214D0B"/>
    <w:rsid w:val="00214F86"/>
    <w:rsid w:val="00214FA6"/>
    <w:rsid w:val="0021509C"/>
    <w:rsid w:val="002152AD"/>
    <w:rsid w:val="00215476"/>
    <w:rsid w:val="0021554A"/>
    <w:rsid w:val="0021618E"/>
    <w:rsid w:val="002161B4"/>
    <w:rsid w:val="00216642"/>
    <w:rsid w:val="002166AF"/>
    <w:rsid w:val="002167D9"/>
    <w:rsid w:val="00216A22"/>
    <w:rsid w:val="00216EEC"/>
    <w:rsid w:val="00216F78"/>
    <w:rsid w:val="00217445"/>
    <w:rsid w:val="0021798F"/>
    <w:rsid w:val="00217C37"/>
    <w:rsid w:val="00217CB8"/>
    <w:rsid w:val="00217E13"/>
    <w:rsid w:val="00217E62"/>
    <w:rsid w:val="00217EA8"/>
    <w:rsid w:val="0022004D"/>
    <w:rsid w:val="002202F6"/>
    <w:rsid w:val="002202FE"/>
    <w:rsid w:val="00220349"/>
    <w:rsid w:val="00220562"/>
    <w:rsid w:val="0022057E"/>
    <w:rsid w:val="0022063E"/>
    <w:rsid w:val="00220796"/>
    <w:rsid w:val="002207A1"/>
    <w:rsid w:val="00220AAC"/>
    <w:rsid w:val="00220AC1"/>
    <w:rsid w:val="00220BEE"/>
    <w:rsid w:val="00220C2E"/>
    <w:rsid w:val="00220C35"/>
    <w:rsid w:val="00220D25"/>
    <w:rsid w:val="00220FED"/>
    <w:rsid w:val="0022105D"/>
    <w:rsid w:val="00221078"/>
    <w:rsid w:val="002214B2"/>
    <w:rsid w:val="0022153F"/>
    <w:rsid w:val="0022159C"/>
    <w:rsid w:val="002215B7"/>
    <w:rsid w:val="002216AC"/>
    <w:rsid w:val="00221869"/>
    <w:rsid w:val="00221992"/>
    <w:rsid w:val="00221D2A"/>
    <w:rsid w:val="00221E82"/>
    <w:rsid w:val="00221EA7"/>
    <w:rsid w:val="00222202"/>
    <w:rsid w:val="00222614"/>
    <w:rsid w:val="00222706"/>
    <w:rsid w:val="00222A23"/>
    <w:rsid w:val="00222B6A"/>
    <w:rsid w:val="00222B97"/>
    <w:rsid w:val="00222CE5"/>
    <w:rsid w:val="00223224"/>
    <w:rsid w:val="0022334D"/>
    <w:rsid w:val="002239ED"/>
    <w:rsid w:val="002239F5"/>
    <w:rsid w:val="00223B55"/>
    <w:rsid w:val="00223C8D"/>
    <w:rsid w:val="0022418F"/>
    <w:rsid w:val="0022432D"/>
    <w:rsid w:val="002243F5"/>
    <w:rsid w:val="0022472F"/>
    <w:rsid w:val="002247A9"/>
    <w:rsid w:val="002248DA"/>
    <w:rsid w:val="0022490C"/>
    <w:rsid w:val="00224943"/>
    <w:rsid w:val="002249DA"/>
    <w:rsid w:val="00224B15"/>
    <w:rsid w:val="00224D6D"/>
    <w:rsid w:val="00224F15"/>
    <w:rsid w:val="00225109"/>
    <w:rsid w:val="0022510C"/>
    <w:rsid w:val="0022517F"/>
    <w:rsid w:val="002252B0"/>
    <w:rsid w:val="002252B3"/>
    <w:rsid w:val="00225326"/>
    <w:rsid w:val="00225384"/>
    <w:rsid w:val="002253C2"/>
    <w:rsid w:val="0022558D"/>
    <w:rsid w:val="0022562C"/>
    <w:rsid w:val="002256A6"/>
    <w:rsid w:val="00225A87"/>
    <w:rsid w:val="00225CC1"/>
    <w:rsid w:val="00225D5A"/>
    <w:rsid w:val="00225D96"/>
    <w:rsid w:val="00225DBE"/>
    <w:rsid w:val="00226149"/>
    <w:rsid w:val="0022619D"/>
    <w:rsid w:val="00226217"/>
    <w:rsid w:val="0022656B"/>
    <w:rsid w:val="00226831"/>
    <w:rsid w:val="00226BA4"/>
    <w:rsid w:val="00226F38"/>
    <w:rsid w:val="00226FD1"/>
    <w:rsid w:val="0022737E"/>
    <w:rsid w:val="00227679"/>
    <w:rsid w:val="002278C1"/>
    <w:rsid w:val="00227B21"/>
    <w:rsid w:val="00230A63"/>
    <w:rsid w:val="00230AEB"/>
    <w:rsid w:val="00230B42"/>
    <w:rsid w:val="00230CB0"/>
    <w:rsid w:val="00230CFB"/>
    <w:rsid w:val="00230EA6"/>
    <w:rsid w:val="0023108B"/>
    <w:rsid w:val="0023109B"/>
    <w:rsid w:val="002313D6"/>
    <w:rsid w:val="0023145D"/>
    <w:rsid w:val="00231658"/>
    <w:rsid w:val="002316B7"/>
    <w:rsid w:val="0023181F"/>
    <w:rsid w:val="00231E6F"/>
    <w:rsid w:val="00231F45"/>
    <w:rsid w:val="00231F9E"/>
    <w:rsid w:val="00231FFD"/>
    <w:rsid w:val="00232100"/>
    <w:rsid w:val="0023249D"/>
    <w:rsid w:val="002324FB"/>
    <w:rsid w:val="0023250D"/>
    <w:rsid w:val="00232793"/>
    <w:rsid w:val="002327DD"/>
    <w:rsid w:val="0023295E"/>
    <w:rsid w:val="00232AC0"/>
    <w:rsid w:val="00232EAF"/>
    <w:rsid w:val="0023302F"/>
    <w:rsid w:val="002332CE"/>
    <w:rsid w:val="00233389"/>
    <w:rsid w:val="002334AF"/>
    <w:rsid w:val="002335F7"/>
    <w:rsid w:val="0023385B"/>
    <w:rsid w:val="002339B5"/>
    <w:rsid w:val="00233BE4"/>
    <w:rsid w:val="00233CFD"/>
    <w:rsid w:val="00233DA6"/>
    <w:rsid w:val="00234295"/>
    <w:rsid w:val="00234AA6"/>
    <w:rsid w:val="00234AED"/>
    <w:rsid w:val="00234B77"/>
    <w:rsid w:val="00234BF1"/>
    <w:rsid w:val="002351F1"/>
    <w:rsid w:val="00235450"/>
    <w:rsid w:val="002355E5"/>
    <w:rsid w:val="00235640"/>
    <w:rsid w:val="00235BDF"/>
    <w:rsid w:val="00235BEE"/>
    <w:rsid w:val="00235DA2"/>
    <w:rsid w:val="00235FCF"/>
    <w:rsid w:val="00236642"/>
    <w:rsid w:val="00236765"/>
    <w:rsid w:val="00236AC5"/>
    <w:rsid w:val="00236BA3"/>
    <w:rsid w:val="00236C96"/>
    <w:rsid w:val="00237125"/>
    <w:rsid w:val="002371F0"/>
    <w:rsid w:val="00237712"/>
    <w:rsid w:val="00237B33"/>
    <w:rsid w:val="00237C8B"/>
    <w:rsid w:val="00237DF5"/>
    <w:rsid w:val="00237E9C"/>
    <w:rsid w:val="00240071"/>
    <w:rsid w:val="00240426"/>
    <w:rsid w:val="00240561"/>
    <w:rsid w:val="00240852"/>
    <w:rsid w:val="00240AC8"/>
    <w:rsid w:val="00240D6D"/>
    <w:rsid w:val="00240F8A"/>
    <w:rsid w:val="0024101A"/>
    <w:rsid w:val="002412CB"/>
    <w:rsid w:val="002412F8"/>
    <w:rsid w:val="00241447"/>
    <w:rsid w:val="0024168E"/>
    <w:rsid w:val="00241690"/>
    <w:rsid w:val="0024172C"/>
    <w:rsid w:val="00241803"/>
    <w:rsid w:val="00241A6C"/>
    <w:rsid w:val="00241B38"/>
    <w:rsid w:val="00241C11"/>
    <w:rsid w:val="00241EB1"/>
    <w:rsid w:val="00241FBF"/>
    <w:rsid w:val="002421DA"/>
    <w:rsid w:val="00242324"/>
    <w:rsid w:val="00242A12"/>
    <w:rsid w:val="00242ACF"/>
    <w:rsid w:val="00242B42"/>
    <w:rsid w:val="00242B47"/>
    <w:rsid w:val="00242BD7"/>
    <w:rsid w:val="00242BFB"/>
    <w:rsid w:val="00242C2F"/>
    <w:rsid w:val="00242D52"/>
    <w:rsid w:val="00242E43"/>
    <w:rsid w:val="002431D2"/>
    <w:rsid w:val="002431E3"/>
    <w:rsid w:val="00243352"/>
    <w:rsid w:val="00243380"/>
    <w:rsid w:val="0024345C"/>
    <w:rsid w:val="00243846"/>
    <w:rsid w:val="00243ACD"/>
    <w:rsid w:val="00243CA0"/>
    <w:rsid w:val="00243CC7"/>
    <w:rsid w:val="00243F98"/>
    <w:rsid w:val="0024445A"/>
    <w:rsid w:val="0024469F"/>
    <w:rsid w:val="00244762"/>
    <w:rsid w:val="00244840"/>
    <w:rsid w:val="00244CC6"/>
    <w:rsid w:val="00244D86"/>
    <w:rsid w:val="00244E3D"/>
    <w:rsid w:val="00245223"/>
    <w:rsid w:val="0024539F"/>
    <w:rsid w:val="002454AE"/>
    <w:rsid w:val="00245564"/>
    <w:rsid w:val="002455C7"/>
    <w:rsid w:val="002457B8"/>
    <w:rsid w:val="00245972"/>
    <w:rsid w:val="002460FE"/>
    <w:rsid w:val="00246133"/>
    <w:rsid w:val="0024623F"/>
    <w:rsid w:val="00246812"/>
    <w:rsid w:val="002469F5"/>
    <w:rsid w:val="00246BC6"/>
    <w:rsid w:val="00246C6D"/>
    <w:rsid w:val="00246D51"/>
    <w:rsid w:val="00246E3E"/>
    <w:rsid w:val="00246FBC"/>
    <w:rsid w:val="0024701C"/>
    <w:rsid w:val="0024706D"/>
    <w:rsid w:val="00247A52"/>
    <w:rsid w:val="00247C47"/>
    <w:rsid w:val="00247ED7"/>
    <w:rsid w:val="00250042"/>
    <w:rsid w:val="00250065"/>
    <w:rsid w:val="00250104"/>
    <w:rsid w:val="00250150"/>
    <w:rsid w:val="00250499"/>
    <w:rsid w:val="002504BF"/>
    <w:rsid w:val="00250604"/>
    <w:rsid w:val="0025066C"/>
    <w:rsid w:val="00250861"/>
    <w:rsid w:val="002509A9"/>
    <w:rsid w:val="00250AB3"/>
    <w:rsid w:val="0025129E"/>
    <w:rsid w:val="00251429"/>
    <w:rsid w:val="002515FE"/>
    <w:rsid w:val="0025169F"/>
    <w:rsid w:val="00251844"/>
    <w:rsid w:val="002518B2"/>
    <w:rsid w:val="00251A07"/>
    <w:rsid w:val="00251A6A"/>
    <w:rsid w:val="00251B30"/>
    <w:rsid w:val="00251D5A"/>
    <w:rsid w:val="00251FDC"/>
    <w:rsid w:val="002522D3"/>
    <w:rsid w:val="0025234D"/>
    <w:rsid w:val="00252427"/>
    <w:rsid w:val="002525FE"/>
    <w:rsid w:val="002527A2"/>
    <w:rsid w:val="002527B3"/>
    <w:rsid w:val="0025298E"/>
    <w:rsid w:val="00252DF4"/>
    <w:rsid w:val="00252E4C"/>
    <w:rsid w:val="00252F1B"/>
    <w:rsid w:val="00252F1D"/>
    <w:rsid w:val="002531AA"/>
    <w:rsid w:val="0025371C"/>
    <w:rsid w:val="0025374F"/>
    <w:rsid w:val="00253AA7"/>
    <w:rsid w:val="00253CA5"/>
    <w:rsid w:val="00253F9B"/>
    <w:rsid w:val="002540B5"/>
    <w:rsid w:val="002543A7"/>
    <w:rsid w:val="00254481"/>
    <w:rsid w:val="00254AEF"/>
    <w:rsid w:val="00254DFD"/>
    <w:rsid w:val="00254E22"/>
    <w:rsid w:val="00254EFD"/>
    <w:rsid w:val="0025510B"/>
    <w:rsid w:val="002553A1"/>
    <w:rsid w:val="00255507"/>
    <w:rsid w:val="002557F8"/>
    <w:rsid w:val="002558CE"/>
    <w:rsid w:val="00255909"/>
    <w:rsid w:val="00255AFF"/>
    <w:rsid w:val="00255C30"/>
    <w:rsid w:val="00255DB7"/>
    <w:rsid w:val="00256234"/>
    <w:rsid w:val="00256587"/>
    <w:rsid w:val="002565FB"/>
    <w:rsid w:val="0025662A"/>
    <w:rsid w:val="00256B21"/>
    <w:rsid w:val="00256DC3"/>
    <w:rsid w:val="00256EFF"/>
    <w:rsid w:val="00256FCA"/>
    <w:rsid w:val="002570CA"/>
    <w:rsid w:val="0025735E"/>
    <w:rsid w:val="00257615"/>
    <w:rsid w:val="0025784D"/>
    <w:rsid w:val="0025796D"/>
    <w:rsid w:val="00257BBD"/>
    <w:rsid w:val="00257EAF"/>
    <w:rsid w:val="00257EC6"/>
    <w:rsid w:val="00257ED6"/>
    <w:rsid w:val="002601B4"/>
    <w:rsid w:val="00260201"/>
    <w:rsid w:val="0026037B"/>
    <w:rsid w:val="002604FD"/>
    <w:rsid w:val="002605E4"/>
    <w:rsid w:val="00260ABB"/>
    <w:rsid w:val="00260C7F"/>
    <w:rsid w:val="00260CD6"/>
    <w:rsid w:val="0026110D"/>
    <w:rsid w:val="002615F1"/>
    <w:rsid w:val="00261A56"/>
    <w:rsid w:val="00261B80"/>
    <w:rsid w:val="00261DE7"/>
    <w:rsid w:val="002622C9"/>
    <w:rsid w:val="002622ED"/>
    <w:rsid w:val="00262352"/>
    <w:rsid w:val="002623EE"/>
    <w:rsid w:val="00262400"/>
    <w:rsid w:val="002628C6"/>
    <w:rsid w:val="0026296A"/>
    <w:rsid w:val="00262A15"/>
    <w:rsid w:val="00262A99"/>
    <w:rsid w:val="00262CA4"/>
    <w:rsid w:val="00262D30"/>
    <w:rsid w:val="00263043"/>
    <w:rsid w:val="00263075"/>
    <w:rsid w:val="00263554"/>
    <w:rsid w:val="0026355D"/>
    <w:rsid w:val="0026386D"/>
    <w:rsid w:val="00263C90"/>
    <w:rsid w:val="00263D03"/>
    <w:rsid w:val="002642DE"/>
    <w:rsid w:val="002643A5"/>
    <w:rsid w:val="002644E1"/>
    <w:rsid w:val="00264548"/>
    <w:rsid w:val="002645A8"/>
    <w:rsid w:val="00264704"/>
    <w:rsid w:val="00264782"/>
    <w:rsid w:val="00264900"/>
    <w:rsid w:val="00264B24"/>
    <w:rsid w:val="00264B40"/>
    <w:rsid w:val="00264B60"/>
    <w:rsid w:val="00264CFA"/>
    <w:rsid w:val="002650FD"/>
    <w:rsid w:val="002654F2"/>
    <w:rsid w:val="00265791"/>
    <w:rsid w:val="00265EFB"/>
    <w:rsid w:val="00266784"/>
    <w:rsid w:val="002667BA"/>
    <w:rsid w:val="00266A1C"/>
    <w:rsid w:val="00266BF6"/>
    <w:rsid w:val="00266DB9"/>
    <w:rsid w:val="0026712C"/>
    <w:rsid w:val="00267217"/>
    <w:rsid w:val="00267471"/>
    <w:rsid w:val="002674BB"/>
    <w:rsid w:val="002675BA"/>
    <w:rsid w:val="00267698"/>
    <w:rsid w:val="0026796B"/>
    <w:rsid w:val="00267E37"/>
    <w:rsid w:val="00267E98"/>
    <w:rsid w:val="00270039"/>
    <w:rsid w:val="002701E5"/>
    <w:rsid w:val="00270331"/>
    <w:rsid w:val="0027033A"/>
    <w:rsid w:val="0027037A"/>
    <w:rsid w:val="00270464"/>
    <w:rsid w:val="002708B8"/>
    <w:rsid w:val="00270954"/>
    <w:rsid w:val="00270971"/>
    <w:rsid w:val="00270AA7"/>
    <w:rsid w:val="00270B6C"/>
    <w:rsid w:val="00270EDE"/>
    <w:rsid w:val="00270F10"/>
    <w:rsid w:val="0027143A"/>
    <w:rsid w:val="00271927"/>
    <w:rsid w:val="00271B76"/>
    <w:rsid w:val="00271DC6"/>
    <w:rsid w:val="00271E9A"/>
    <w:rsid w:val="002720D3"/>
    <w:rsid w:val="0027225F"/>
    <w:rsid w:val="00272537"/>
    <w:rsid w:val="00272769"/>
    <w:rsid w:val="00272E7F"/>
    <w:rsid w:val="00273108"/>
    <w:rsid w:val="002731C8"/>
    <w:rsid w:val="0027386E"/>
    <w:rsid w:val="002739CA"/>
    <w:rsid w:val="002739ED"/>
    <w:rsid w:val="00273A94"/>
    <w:rsid w:val="00273E7D"/>
    <w:rsid w:val="00274416"/>
    <w:rsid w:val="002745F8"/>
    <w:rsid w:val="002746C7"/>
    <w:rsid w:val="00274816"/>
    <w:rsid w:val="002748DF"/>
    <w:rsid w:val="0027490A"/>
    <w:rsid w:val="00274969"/>
    <w:rsid w:val="00274991"/>
    <w:rsid w:val="00274A08"/>
    <w:rsid w:val="00274B8B"/>
    <w:rsid w:val="00274C67"/>
    <w:rsid w:val="00274FAE"/>
    <w:rsid w:val="002751EC"/>
    <w:rsid w:val="00275316"/>
    <w:rsid w:val="002753AF"/>
    <w:rsid w:val="002755A1"/>
    <w:rsid w:val="002756B4"/>
    <w:rsid w:val="002758A0"/>
    <w:rsid w:val="00275BC6"/>
    <w:rsid w:val="00275C3F"/>
    <w:rsid w:val="00275D51"/>
    <w:rsid w:val="00275DF0"/>
    <w:rsid w:val="00276129"/>
    <w:rsid w:val="00276239"/>
    <w:rsid w:val="00276311"/>
    <w:rsid w:val="0027647D"/>
    <w:rsid w:val="002764C9"/>
    <w:rsid w:val="002764F5"/>
    <w:rsid w:val="00276556"/>
    <w:rsid w:val="00276631"/>
    <w:rsid w:val="002766F9"/>
    <w:rsid w:val="00276761"/>
    <w:rsid w:val="002769A3"/>
    <w:rsid w:val="00276AEA"/>
    <w:rsid w:val="00276B43"/>
    <w:rsid w:val="00276B8D"/>
    <w:rsid w:val="00276DA3"/>
    <w:rsid w:val="00276E70"/>
    <w:rsid w:val="00277058"/>
    <w:rsid w:val="0027711C"/>
    <w:rsid w:val="00277147"/>
    <w:rsid w:val="002771C6"/>
    <w:rsid w:val="002772BA"/>
    <w:rsid w:val="00277401"/>
    <w:rsid w:val="0027742A"/>
    <w:rsid w:val="002775CA"/>
    <w:rsid w:val="002776D8"/>
    <w:rsid w:val="002777C0"/>
    <w:rsid w:val="002777D6"/>
    <w:rsid w:val="00277856"/>
    <w:rsid w:val="00277AC2"/>
    <w:rsid w:val="00277E50"/>
    <w:rsid w:val="00277F3D"/>
    <w:rsid w:val="0028005D"/>
    <w:rsid w:val="00280076"/>
    <w:rsid w:val="00280246"/>
    <w:rsid w:val="002802BA"/>
    <w:rsid w:val="002806AC"/>
    <w:rsid w:val="002806B3"/>
    <w:rsid w:val="00280D62"/>
    <w:rsid w:val="00280FD6"/>
    <w:rsid w:val="00281044"/>
    <w:rsid w:val="00281148"/>
    <w:rsid w:val="002811BD"/>
    <w:rsid w:val="00281230"/>
    <w:rsid w:val="0028140B"/>
    <w:rsid w:val="00281614"/>
    <w:rsid w:val="002816F6"/>
    <w:rsid w:val="0028171C"/>
    <w:rsid w:val="00281732"/>
    <w:rsid w:val="00281744"/>
    <w:rsid w:val="00281760"/>
    <w:rsid w:val="002817EF"/>
    <w:rsid w:val="002817F1"/>
    <w:rsid w:val="00281898"/>
    <w:rsid w:val="00281CA3"/>
    <w:rsid w:val="00281D67"/>
    <w:rsid w:val="00281D8B"/>
    <w:rsid w:val="00281E86"/>
    <w:rsid w:val="00282390"/>
    <w:rsid w:val="002826C3"/>
    <w:rsid w:val="002828C2"/>
    <w:rsid w:val="00282F4A"/>
    <w:rsid w:val="00283031"/>
    <w:rsid w:val="002832A6"/>
    <w:rsid w:val="002834E4"/>
    <w:rsid w:val="002837B1"/>
    <w:rsid w:val="00283AA1"/>
    <w:rsid w:val="00283C48"/>
    <w:rsid w:val="00283D5E"/>
    <w:rsid w:val="00283E2E"/>
    <w:rsid w:val="00283ED2"/>
    <w:rsid w:val="00283FC0"/>
    <w:rsid w:val="002846A1"/>
    <w:rsid w:val="00284859"/>
    <w:rsid w:val="00284905"/>
    <w:rsid w:val="00284C10"/>
    <w:rsid w:val="00284F69"/>
    <w:rsid w:val="00285306"/>
    <w:rsid w:val="00285314"/>
    <w:rsid w:val="002856BE"/>
    <w:rsid w:val="00285712"/>
    <w:rsid w:val="0028577F"/>
    <w:rsid w:val="0028584C"/>
    <w:rsid w:val="0028596A"/>
    <w:rsid w:val="00285A13"/>
    <w:rsid w:val="00285C35"/>
    <w:rsid w:val="002860FB"/>
    <w:rsid w:val="002864B2"/>
    <w:rsid w:val="0028658C"/>
    <w:rsid w:val="002865ED"/>
    <w:rsid w:val="00286725"/>
    <w:rsid w:val="0028686B"/>
    <w:rsid w:val="00287093"/>
    <w:rsid w:val="002870D0"/>
    <w:rsid w:val="002870F7"/>
    <w:rsid w:val="00287166"/>
    <w:rsid w:val="002871FD"/>
    <w:rsid w:val="0028741D"/>
    <w:rsid w:val="0028742E"/>
    <w:rsid w:val="002874E4"/>
    <w:rsid w:val="002875F8"/>
    <w:rsid w:val="002876CA"/>
    <w:rsid w:val="00287906"/>
    <w:rsid w:val="00287930"/>
    <w:rsid w:val="00287A7F"/>
    <w:rsid w:val="00287A91"/>
    <w:rsid w:val="00290084"/>
    <w:rsid w:val="00290153"/>
    <w:rsid w:val="00290221"/>
    <w:rsid w:val="002902F2"/>
    <w:rsid w:val="0029034C"/>
    <w:rsid w:val="002904C0"/>
    <w:rsid w:val="00290503"/>
    <w:rsid w:val="0029096A"/>
    <w:rsid w:val="00290ACC"/>
    <w:rsid w:val="00290AF0"/>
    <w:rsid w:val="00290B2F"/>
    <w:rsid w:val="00290B7F"/>
    <w:rsid w:val="00290BF3"/>
    <w:rsid w:val="00290CC0"/>
    <w:rsid w:val="002911AB"/>
    <w:rsid w:val="00291282"/>
    <w:rsid w:val="00291411"/>
    <w:rsid w:val="0029160D"/>
    <w:rsid w:val="002917B6"/>
    <w:rsid w:val="002917BF"/>
    <w:rsid w:val="002918EC"/>
    <w:rsid w:val="00291B28"/>
    <w:rsid w:val="00291B63"/>
    <w:rsid w:val="00291C4E"/>
    <w:rsid w:val="00291D08"/>
    <w:rsid w:val="00291FB1"/>
    <w:rsid w:val="00292078"/>
    <w:rsid w:val="00292359"/>
    <w:rsid w:val="002923D5"/>
    <w:rsid w:val="00292ACA"/>
    <w:rsid w:val="00292C09"/>
    <w:rsid w:val="00292D49"/>
    <w:rsid w:val="00292E74"/>
    <w:rsid w:val="00293012"/>
    <w:rsid w:val="00293497"/>
    <w:rsid w:val="00293919"/>
    <w:rsid w:val="002939AF"/>
    <w:rsid w:val="00293BA4"/>
    <w:rsid w:val="00293BCF"/>
    <w:rsid w:val="00293D57"/>
    <w:rsid w:val="00293F96"/>
    <w:rsid w:val="0029467E"/>
    <w:rsid w:val="00294B02"/>
    <w:rsid w:val="00294EEB"/>
    <w:rsid w:val="0029533F"/>
    <w:rsid w:val="0029552E"/>
    <w:rsid w:val="00295708"/>
    <w:rsid w:val="002957E5"/>
    <w:rsid w:val="00295929"/>
    <w:rsid w:val="00295B27"/>
    <w:rsid w:val="00295FC1"/>
    <w:rsid w:val="00296334"/>
    <w:rsid w:val="0029639D"/>
    <w:rsid w:val="00296560"/>
    <w:rsid w:val="00296B1D"/>
    <w:rsid w:val="00296D9A"/>
    <w:rsid w:val="00296DCD"/>
    <w:rsid w:val="00297535"/>
    <w:rsid w:val="0029776F"/>
    <w:rsid w:val="002977B8"/>
    <w:rsid w:val="00297904"/>
    <w:rsid w:val="0029796B"/>
    <w:rsid w:val="00297B6E"/>
    <w:rsid w:val="00297C57"/>
    <w:rsid w:val="00297D32"/>
    <w:rsid w:val="002A00A1"/>
    <w:rsid w:val="002A019B"/>
    <w:rsid w:val="002A01EE"/>
    <w:rsid w:val="002A0456"/>
    <w:rsid w:val="002A066E"/>
    <w:rsid w:val="002A06B2"/>
    <w:rsid w:val="002A09EF"/>
    <w:rsid w:val="002A0D46"/>
    <w:rsid w:val="002A0DD7"/>
    <w:rsid w:val="002A0E44"/>
    <w:rsid w:val="002A0E83"/>
    <w:rsid w:val="002A1511"/>
    <w:rsid w:val="002A158A"/>
    <w:rsid w:val="002A1691"/>
    <w:rsid w:val="002A17AF"/>
    <w:rsid w:val="002A1875"/>
    <w:rsid w:val="002A19C7"/>
    <w:rsid w:val="002A1DEE"/>
    <w:rsid w:val="002A20F8"/>
    <w:rsid w:val="002A22A7"/>
    <w:rsid w:val="002A2380"/>
    <w:rsid w:val="002A2416"/>
    <w:rsid w:val="002A24E2"/>
    <w:rsid w:val="002A24F2"/>
    <w:rsid w:val="002A285F"/>
    <w:rsid w:val="002A2FCD"/>
    <w:rsid w:val="002A30A1"/>
    <w:rsid w:val="002A3686"/>
    <w:rsid w:val="002A368A"/>
    <w:rsid w:val="002A39F2"/>
    <w:rsid w:val="002A3D55"/>
    <w:rsid w:val="002A3E48"/>
    <w:rsid w:val="002A41F4"/>
    <w:rsid w:val="002A42CF"/>
    <w:rsid w:val="002A4349"/>
    <w:rsid w:val="002A43C2"/>
    <w:rsid w:val="002A43C6"/>
    <w:rsid w:val="002A475F"/>
    <w:rsid w:val="002A4847"/>
    <w:rsid w:val="002A4DA4"/>
    <w:rsid w:val="002A524C"/>
    <w:rsid w:val="002A5749"/>
    <w:rsid w:val="002A5B18"/>
    <w:rsid w:val="002A5D23"/>
    <w:rsid w:val="002A5D36"/>
    <w:rsid w:val="002A5ECF"/>
    <w:rsid w:val="002A6032"/>
    <w:rsid w:val="002A60AE"/>
    <w:rsid w:val="002A6390"/>
    <w:rsid w:val="002A6B4C"/>
    <w:rsid w:val="002A6C81"/>
    <w:rsid w:val="002A6CB1"/>
    <w:rsid w:val="002A6CBC"/>
    <w:rsid w:val="002A6CFE"/>
    <w:rsid w:val="002A71C9"/>
    <w:rsid w:val="002A7544"/>
    <w:rsid w:val="002A77D7"/>
    <w:rsid w:val="002A7A0F"/>
    <w:rsid w:val="002A7B62"/>
    <w:rsid w:val="002A7CF1"/>
    <w:rsid w:val="002A7F5B"/>
    <w:rsid w:val="002B00E2"/>
    <w:rsid w:val="002B02F2"/>
    <w:rsid w:val="002B04FD"/>
    <w:rsid w:val="002B05CF"/>
    <w:rsid w:val="002B0621"/>
    <w:rsid w:val="002B066E"/>
    <w:rsid w:val="002B06F7"/>
    <w:rsid w:val="002B073A"/>
    <w:rsid w:val="002B087D"/>
    <w:rsid w:val="002B0A54"/>
    <w:rsid w:val="002B0D06"/>
    <w:rsid w:val="002B0FF8"/>
    <w:rsid w:val="002B10A5"/>
    <w:rsid w:val="002B10CA"/>
    <w:rsid w:val="002B1700"/>
    <w:rsid w:val="002B1C7E"/>
    <w:rsid w:val="002B1EAA"/>
    <w:rsid w:val="002B1EF8"/>
    <w:rsid w:val="002B20CC"/>
    <w:rsid w:val="002B2117"/>
    <w:rsid w:val="002B25DB"/>
    <w:rsid w:val="002B284E"/>
    <w:rsid w:val="002B285A"/>
    <w:rsid w:val="002B29B3"/>
    <w:rsid w:val="002B2E51"/>
    <w:rsid w:val="002B2E5D"/>
    <w:rsid w:val="002B2F36"/>
    <w:rsid w:val="002B3141"/>
    <w:rsid w:val="002B3228"/>
    <w:rsid w:val="002B3318"/>
    <w:rsid w:val="002B3342"/>
    <w:rsid w:val="002B3438"/>
    <w:rsid w:val="002B3532"/>
    <w:rsid w:val="002B3571"/>
    <w:rsid w:val="002B35C1"/>
    <w:rsid w:val="002B36C4"/>
    <w:rsid w:val="002B37A2"/>
    <w:rsid w:val="002B380B"/>
    <w:rsid w:val="002B389E"/>
    <w:rsid w:val="002B38E4"/>
    <w:rsid w:val="002B3C62"/>
    <w:rsid w:val="002B3E1D"/>
    <w:rsid w:val="002B3E55"/>
    <w:rsid w:val="002B40E6"/>
    <w:rsid w:val="002B41B7"/>
    <w:rsid w:val="002B425C"/>
    <w:rsid w:val="002B4262"/>
    <w:rsid w:val="002B44C1"/>
    <w:rsid w:val="002B45BD"/>
    <w:rsid w:val="002B45DC"/>
    <w:rsid w:val="002B46EB"/>
    <w:rsid w:val="002B4988"/>
    <w:rsid w:val="002B4A39"/>
    <w:rsid w:val="002B4AC8"/>
    <w:rsid w:val="002B4BF5"/>
    <w:rsid w:val="002B4CAF"/>
    <w:rsid w:val="002B4CB5"/>
    <w:rsid w:val="002B4CC2"/>
    <w:rsid w:val="002B4DE1"/>
    <w:rsid w:val="002B502D"/>
    <w:rsid w:val="002B5166"/>
    <w:rsid w:val="002B518F"/>
    <w:rsid w:val="002B531C"/>
    <w:rsid w:val="002B5632"/>
    <w:rsid w:val="002B597F"/>
    <w:rsid w:val="002B59FD"/>
    <w:rsid w:val="002B5D2F"/>
    <w:rsid w:val="002B6164"/>
    <w:rsid w:val="002B6176"/>
    <w:rsid w:val="002B646E"/>
    <w:rsid w:val="002B6520"/>
    <w:rsid w:val="002B67FB"/>
    <w:rsid w:val="002B6876"/>
    <w:rsid w:val="002B6A46"/>
    <w:rsid w:val="002B6AE5"/>
    <w:rsid w:val="002B6C9C"/>
    <w:rsid w:val="002B6D50"/>
    <w:rsid w:val="002B6D6E"/>
    <w:rsid w:val="002B6F8C"/>
    <w:rsid w:val="002B7216"/>
    <w:rsid w:val="002B732E"/>
    <w:rsid w:val="002B75F9"/>
    <w:rsid w:val="002B76C6"/>
    <w:rsid w:val="002B779B"/>
    <w:rsid w:val="002B7903"/>
    <w:rsid w:val="002B79C4"/>
    <w:rsid w:val="002B7A47"/>
    <w:rsid w:val="002B7B00"/>
    <w:rsid w:val="002B7B0E"/>
    <w:rsid w:val="002B7BF3"/>
    <w:rsid w:val="002B7C9A"/>
    <w:rsid w:val="002B7CFD"/>
    <w:rsid w:val="002B7E71"/>
    <w:rsid w:val="002B7F68"/>
    <w:rsid w:val="002C0062"/>
    <w:rsid w:val="002C00EE"/>
    <w:rsid w:val="002C02E5"/>
    <w:rsid w:val="002C067A"/>
    <w:rsid w:val="002C0957"/>
    <w:rsid w:val="002C09AB"/>
    <w:rsid w:val="002C0BC7"/>
    <w:rsid w:val="002C0C93"/>
    <w:rsid w:val="002C0D61"/>
    <w:rsid w:val="002C0DAA"/>
    <w:rsid w:val="002C0EB8"/>
    <w:rsid w:val="002C0EF3"/>
    <w:rsid w:val="002C12E0"/>
    <w:rsid w:val="002C1363"/>
    <w:rsid w:val="002C1515"/>
    <w:rsid w:val="002C182C"/>
    <w:rsid w:val="002C191E"/>
    <w:rsid w:val="002C234D"/>
    <w:rsid w:val="002C26A1"/>
    <w:rsid w:val="002C28A2"/>
    <w:rsid w:val="002C29BA"/>
    <w:rsid w:val="002C29E6"/>
    <w:rsid w:val="002C2F33"/>
    <w:rsid w:val="002C30C3"/>
    <w:rsid w:val="002C3113"/>
    <w:rsid w:val="002C3127"/>
    <w:rsid w:val="002C34FA"/>
    <w:rsid w:val="002C354D"/>
    <w:rsid w:val="002C36A2"/>
    <w:rsid w:val="002C38AA"/>
    <w:rsid w:val="002C3A0B"/>
    <w:rsid w:val="002C3B26"/>
    <w:rsid w:val="002C3CFE"/>
    <w:rsid w:val="002C407B"/>
    <w:rsid w:val="002C4310"/>
    <w:rsid w:val="002C43B0"/>
    <w:rsid w:val="002C4B7F"/>
    <w:rsid w:val="002C4ECA"/>
    <w:rsid w:val="002C5057"/>
    <w:rsid w:val="002C50AE"/>
    <w:rsid w:val="002C5272"/>
    <w:rsid w:val="002C52B0"/>
    <w:rsid w:val="002C52BB"/>
    <w:rsid w:val="002C5322"/>
    <w:rsid w:val="002C53C5"/>
    <w:rsid w:val="002C5696"/>
    <w:rsid w:val="002C56DB"/>
    <w:rsid w:val="002C580F"/>
    <w:rsid w:val="002C5832"/>
    <w:rsid w:val="002C5845"/>
    <w:rsid w:val="002C5A4C"/>
    <w:rsid w:val="002C5D7C"/>
    <w:rsid w:val="002C5F25"/>
    <w:rsid w:val="002C5F4A"/>
    <w:rsid w:val="002C62F5"/>
    <w:rsid w:val="002C6396"/>
    <w:rsid w:val="002C6639"/>
    <w:rsid w:val="002C6AE7"/>
    <w:rsid w:val="002C6EB7"/>
    <w:rsid w:val="002C7061"/>
    <w:rsid w:val="002C7161"/>
    <w:rsid w:val="002C7612"/>
    <w:rsid w:val="002C7638"/>
    <w:rsid w:val="002C7ADD"/>
    <w:rsid w:val="002C7CAD"/>
    <w:rsid w:val="002C7E26"/>
    <w:rsid w:val="002C7EA1"/>
    <w:rsid w:val="002C7EF4"/>
    <w:rsid w:val="002C7F04"/>
    <w:rsid w:val="002C7F19"/>
    <w:rsid w:val="002D0089"/>
    <w:rsid w:val="002D018C"/>
    <w:rsid w:val="002D01F9"/>
    <w:rsid w:val="002D025B"/>
    <w:rsid w:val="002D03B9"/>
    <w:rsid w:val="002D060F"/>
    <w:rsid w:val="002D06D8"/>
    <w:rsid w:val="002D0993"/>
    <w:rsid w:val="002D09CD"/>
    <w:rsid w:val="002D0CA6"/>
    <w:rsid w:val="002D0D29"/>
    <w:rsid w:val="002D0EB2"/>
    <w:rsid w:val="002D1025"/>
    <w:rsid w:val="002D11D6"/>
    <w:rsid w:val="002D11EA"/>
    <w:rsid w:val="002D159C"/>
    <w:rsid w:val="002D19F8"/>
    <w:rsid w:val="002D1A90"/>
    <w:rsid w:val="002D1C06"/>
    <w:rsid w:val="002D20B0"/>
    <w:rsid w:val="002D2146"/>
    <w:rsid w:val="002D21DF"/>
    <w:rsid w:val="002D23AE"/>
    <w:rsid w:val="002D29D1"/>
    <w:rsid w:val="002D2ADC"/>
    <w:rsid w:val="002D2AED"/>
    <w:rsid w:val="002D2B96"/>
    <w:rsid w:val="002D2C1E"/>
    <w:rsid w:val="002D2D9F"/>
    <w:rsid w:val="002D2ECA"/>
    <w:rsid w:val="002D2EDC"/>
    <w:rsid w:val="002D32D9"/>
    <w:rsid w:val="002D3492"/>
    <w:rsid w:val="002D34C5"/>
    <w:rsid w:val="002D35AE"/>
    <w:rsid w:val="002D35E1"/>
    <w:rsid w:val="002D3617"/>
    <w:rsid w:val="002D36E6"/>
    <w:rsid w:val="002D38EE"/>
    <w:rsid w:val="002D3A4F"/>
    <w:rsid w:val="002D3C77"/>
    <w:rsid w:val="002D3D98"/>
    <w:rsid w:val="002D3EC4"/>
    <w:rsid w:val="002D4101"/>
    <w:rsid w:val="002D42B7"/>
    <w:rsid w:val="002D4461"/>
    <w:rsid w:val="002D451D"/>
    <w:rsid w:val="002D480F"/>
    <w:rsid w:val="002D4A67"/>
    <w:rsid w:val="002D4A89"/>
    <w:rsid w:val="002D556A"/>
    <w:rsid w:val="002D5656"/>
    <w:rsid w:val="002D5B33"/>
    <w:rsid w:val="002D5B5C"/>
    <w:rsid w:val="002D5E24"/>
    <w:rsid w:val="002D6234"/>
    <w:rsid w:val="002D6392"/>
    <w:rsid w:val="002D6402"/>
    <w:rsid w:val="002D6554"/>
    <w:rsid w:val="002D66E1"/>
    <w:rsid w:val="002D67DB"/>
    <w:rsid w:val="002D6B40"/>
    <w:rsid w:val="002D6EFF"/>
    <w:rsid w:val="002D7011"/>
    <w:rsid w:val="002D7194"/>
    <w:rsid w:val="002D7213"/>
    <w:rsid w:val="002D726A"/>
    <w:rsid w:val="002D72BB"/>
    <w:rsid w:val="002D72EE"/>
    <w:rsid w:val="002D76A5"/>
    <w:rsid w:val="002D7965"/>
    <w:rsid w:val="002E0044"/>
    <w:rsid w:val="002E00FB"/>
    <w:rsid w:val="002E0873"/>
    <w:rsid w:val="002E0993"/>
    <w:rsid w:val="002E0A10"/>
    <w:rsid w:val="002E0B22"/>
    <w:rsid w:val="002E0C91"/>
    <w:rsid w:val="002E0D1D"/>
    <w:rsid w:val="002E0FE5"/>
    <w:rsid w:val="002E13CE"/>
    <w:rsid w:val="002E1429"/>
    <w:rsid w:val="002E1518"/>
    <w:rsid w:val="002E1645"/>
    <w:rsid w:val="002E1797"/>
    <w:rsid w:val="002E1A4D"/>
    <w:rsid w:val="002E1AC7"/>
    <w:rsid w:val="002E1AE9"/>
    <w:rsid w:val="002E1BAB"/>
    <w:rsid w:val="002E1BEB"/>
    <w:rsid w:val="002E1F4A"/>
    <w:rsid w:val="002E229A"/>
    <w:rsid w:val="002E2303"/>
    <w:rsid w:val="002E239B"/>
    <w:rsid w:val="002E23CE"/>
    <w:rsid w:val="002E2659"/>
    <w:rsid w:val="002E2666"/>
    <w:rsid w:val="002E297F"/>
    <w:rsid w:val="002E2B06"/>
    <w:rsid w:val="002E2CE9"/>
    <w:rsid w:val="002E397A"/>
    <w:rsid w:val="002E3C7B"/>
    <w:rsid w:val="002E3DDA"/>
    <w:rsid w:val="002E410C"/>
    <w:rsid w:val="002E421F"/>
    <w:rsid w:val="002E4257"/>
    <w:rsid w:val="002E4721"/>
    <w:rsid w:val="002E4723"/>
    <w:rsid w:val="002E4E06"/>
    <w:rsid w:val="002E4F75"/>
    <w:rsid w:val="002E51A3"/>
    <w:rsid w:val="002E54A1"/>
    <w:rsid w:val="002E5586"/>
    <w:rsid w:val="002E5875"/>
    <w:rsid w:val="002E58BE"/>
    <w:rsid w:val="002E59B7"/>
    <w:rsid w:val="002E5B02"/>
    <w:rsid w:val="002E6163"/>
    <w:rsid w:val="002E61AA"/>
    <w:rsid w:val="002E622F"/>
    <w:rsid w:val="002E62DD"/>
    <w:rsid w:val="002E6383"/>
    <w:rsid w:val="002E6675"/>
    <w:rsid w:val="002E6C8A"/>
    <w:rsid w:val="002E6E1F"/>
    <w:rsid w:val="002E6ED1"/>
    <w:rsid w:val="002E6ED6"/>
    <w:rsid w:val="002E6EDD"/>
    <w:rsid w:val="002E70A9"/>
    <w:rsid w:val="002E73BC"/>
    <w:rsid w:val="002E7454"/>
    <w:rsid w:val="002E7602"/>
    <w:rsid w:val="002E7684"/>
    <w:rsid w:val="002E7999"/>
    <w:rsid w:val="002E7AB5"/>
    <w:rsid w:val="002E7BCC"/>
    <w:rsid w:val="002E7E30"/>
    <w:rsid w:val="002F004E"/>
    <w:rsid w:val="002F0092"/>
    <w:rsid w:val="002F0096"/>
    <w:rsid w:val="002F0332"/>
    <w:rsid w:val="002F04DE"/>
    <w:rsid w:val="002F0A22"/>
    <w:rsid w:val="002F0B08"/>
    <w:rsid w:val="002F0C1C"/>
    <w:rsid w:val="002F0C94"/>
    <w:rsid w:val="002F0D4F"/>
    <w:rsid w:val="002F0DBD"/>
    <w:rsid w:val="002F0E94"/>
    <w:rsid w:val="002F1269"/>
    <w:rsid w:val="002F1290"/>
    <w:rsid w:val="002F138D"/>
    <w:rsid w:val="002F1408"/>
    <w:rsid w:val="002F1560"/>
    <w:rsid w:val="002F16A9"/>
    <w:rsid w:val="002F16B5"/>
    <w:rsid w:val="002F1805"/>
    <w:rsid w:val="002F199B"/>
    <w:rsid w:val="002F1AA8"/>
    <w:rsid w:val="002F1D75"/>
    <w:rsid w:val="002F1F42"/>
    <w:rsid w:val="002F2663"/>
    <w:rsid w:val="002F26DC"/>
    <w:rsid w:val="002F2719"/>
    <w:rsid w:val="002F27A6"/>
    <w:rsid w:val="002F2961"/>
    <w:rsid w:val="002F297F"/>
    <w:rsid w:val="002F2A16"/>
    <w:rsid w:val="002F2CA9"/>
    <w:rsid w:val="002F2D41"/>
    <w:rsid w:val="002F2D64"/>
    <w:rsid w:val="002F2D67"/>
    <w:rsid w:val="002F2EC0"/>
    <w:rsid w:val="002F2F01"/>
    <w:rsid w:val="002F3169"/>
    <w:rsid w:val="002F33A6"/>
    <w:rsid w:val="002F33EA"/>
    <w:rsid w:val="002F348E"/>
    <w:rsid w:val="002F350C"/>
    <w:rsid w:val="002F35E7"/>
    <w:rsid w:val="002F3602"/>
    <w:rsid w:val="002F3ADE"/>
    <w:rsid w:val="002F3EB3"/>
    <w:rsid w:val="002F3F1B"/>
    <w:rsid w:val="002F3F3E"/>
    <w:rsid w:val="002F41C0"/>
    <w:rsid w:val="002F4344"/>
    <w:rsid w:val="002F4435"/>
    <w:rsid w:val="002F44BD"/>
    <w:rsid w:val="002F44E6"/>
    <w:rsid w:val="002F453E"/>
    <w:rsid w:val="002F4A13"/>
    <w:rsid w:val="002F4E0A"/>
    <w:rsid w:val="002F53B9"/>
    <w:rsid w:val="002F5704"/>
    <w:rsid w:val="002F571E"/>
    <w:rsid w:val="002F5C02"/>
    <w:rsid w:val="002F5CD4"/>
    <w:rsid w:val="002F5E41"/>
    <w:rsid w:val="002F5E52"/>
    <w:rsid w:val="002F5F34"/>
    <w:rsid w:val="002F5FDE"/>
    <w:rsid w:val="002F608B"/>
    <w:rsid w:val="002F621F"/>
    <w:rsid w:val="002F633C"/>
    <w:rsid w:val="002F6691"/>
    <w:rsid w:val="002F6802"/>
    <w:rsid w:val="002F68F5"/>
    <w:rsid w:val="002F6D58"/>
    <w:rsid w:val="002F6DD1"/>
    <w:rsid w:val="002F707C"/>
    <w:rsid w:val="002F736A"/>
    <w:rsid w:val="002F736E"/>
    <w:rsid w:val="002F75A3"/>
    <w:rsid w:val="002F7639"/>
    <w:rsid w:val="002F764A"/>
    <w:rsid w:val="002F7664"/>
    <w:rsid w:val="002F77EC"/>
    <w:rsid w:val="002F7B45"/>
    <w:rsid w:val="002F7E6C"/>
    <w:rsid w:val="002F7EEB"/>
    <w:rsid w:val="002F7F33"/>
    <w:rsid w:val="002F7F95"/>
    <w:rsid w:val="003003E9"/>
    <w:rsid w:val="00300607"/>
    <w:rsid w:val="00300ABD"/>
    <w:rsid w:val="00300BFC"/>
    <w:rsid w:val="00300CAB"/>
    <w:rsid w:val="00300D8B"/>
    <w:rsid w:val="00301052"/>
    <w:rsid w:val="00301117"/>
    <w:rsid w:val="00301186"/>
    <w:rsid w:val="003012F3"/>
    <w:rsid w:val="003013BA"/>
    <w:rsid w:val="003013BF"/>
    <w:rsid w:val="003013F3"/>
    <w:rsid w:val="00301620"/>
    <w:rsid w:val="00301668"/>
    <w:rsid w:val="003016CA"/>
    <w:rsid w:val="003016F0"/>
    <w:rsid w:val="003017D5"/>
    <w:rsid w:val="003017ED"/>
    <w:rsid w:val="003018F5"/>
    <w:rsid w:val="00301987"/>
    <w:rsid w:val="00301EE9"/>
    <w:rsid w:val="00301FBC"/>
    <w:rsid w:val="003023CD"/>
    <w:rsid w:val="0030260C"/>
    <w:rsid w:val="00302672"/>
    <w:rsid w:val="00302810"/>
    <w:rsid w:val="00302A19"/>
    <w:rsid w:val="00302ABD"/>
    <w:rsid w:val="00302B9C"/>
    <w:rsid w:val="00302C70"/>
    <w:rsid w:val="00302D01"/>
    <w:rsid w:val="00302E86"/>
    <w:rsid w:val="00302EE2"/>
    <w:rsid w:val="003032C7"/>
    <w:rsid w:val="003034FA"/>
    <w:rsid w:val="0030370E"/>
    <w:rsid w:val="003037A4"/>
    <w:rsid w:val="003039E6"/>
    <w:rsid w:val="00303A19"/>
    <w:rsid w:val="00303A1D"/>
    <w:rsid w:val="00303AB7"/>
    <w:rsid w:val="00303E6A"/>
    <w:rsid w:val="00304335"/>
    <w:rsid w:val="0030441F"/>
    <w:rsid w:val="00304454"/>
    <w:rsid w:val="003046D0"/>
    <w:rsid w:val="00304758"/>
    <w:rsid w:val="003047BF"/>
    <w:rsid w:val="0030490D"/>
    <w:rsid w:val="00304A48"/>
    <w:rsid w:val="00304AFE"/>
    <w:rsid w:val="00304B8A"/>
    <w:rsid w:val="00304F46"/>
    <w:rsid w:val="003052AB"/>
    <w:rsid w:val="003055EB"/>
    <w:rsid w:val="00305AC0"/>
    <w:rsid w:val="00305D0E"/>
    <w:rsid w:val="00305FDE"/>
    <w:rsid w:val="0030622C"/>
    <w:rsid w:val="003062C6"/>
    <w:rsid w:val="0030638F"/>
    <w:rsid w:val="003064E8"/>
    <w:rsid w:val="0030654D"/>
    <w:rsid w:val="00306557"/>
    <w:rsid w:val="00306709"/>
    <w:rsid w:val="00306D9F"/>
    <w:rsid w:val="00306DA5"/>
    <w:rsid w:val="00306E6D"/>
    <w:rsid w:val="00306FC9"/>
    <w:rsid w:val="0030730A"/>
    <w:rsid w:val="0030730E"/>
    <w:rsid w:val="00307877"/>
    <w:rsid w:val="0030792F"/>
    <w:rsid w:val="003079D0"/>
    <w:rsid w:val="00307A94"/>
    <w:rsid w:val="00307C74"/>
    <w:rsid w:val="00307F89"/>
    <w:rsid w:val="0031003F"/>
    <w:rsid w:val="00310638"/>
    <w:rsid w:val="00310741"/>
    <w:rsid w:val="003113D7"/>
    <w:rsid w:val="003114A8"/>
    <w:rsid w:val="003115F6"/>
    <w:rsid w:val="0031161C"/>
    <w:rsid w:val="0031186E"/>
    <w:rsid w:val="00311B0A"/>
    <w:rsid w:val="00311CFC"/>
    <w:rsid w:val="00311DC1"/>
    <w:rsid w:val="00311E6B"/>
    <w:rsid w:val="003122CD"/>
    <w:rsid w:val="003126D4"/>
    <w:rsid w:val="00312730"/>
    <w:rsid w:val="003127FE"/>
    <w:rsid w:val="00312A61"/>
    <w:rsid w:val="00312D00"/>
    <w:rsid w:val="00312D2C"/>
    <w:rsid w:val="00312DBE"/>
    <w:rsid w:val="00312DCA"/>
    <w:rsid w:val="00312FE6"/>
    <w:rsid w:val="0031301D"/>
    <w:rsid w:val="003130E8"/>
    <w:rsid w:val="003131E3"/>
    <w:rsid w:val="00313241"/>
    <w:rsid w:val="003136ED"/>
    <w:rsid w:val="00313D9D"/>
    <w:rsid w:val="003140A8"/>
    <w:rsid w:val="003141FD"/>
    <w:rsid w:val="00314235"/>
    <w:rsid w:val="00314291"/>
    <w:rsid w:val="0031494D"/>
    <w:rsid w:val="0031495F"/>
    <w:rsid w:val="00314AAF"/>
    <w:rsid w:val="00314D15"/>
    <w:rsid w:val="00314D31"/>
    <w:rsid w:val="00315055"/>
    <w:rsid w:val="0031524C"/>
    <w:rsid w:val="003152F2"/>
    <w:rsid w:val="0031572F"/>
    <w:rsid w:val="00315BEE"/>
    <w:rsid w:val="00315D8D"/>
    <w:rsid w:val="00315E32"/>
    <w:rsid w:val="00315F20"/>
    <w:rsid w:val="00316055"/>
    <w:rsid w:val="00316210"/>
    <w:rsid w:val="0031639C"/>
    <w:rsid w:val="00316530"/>
    <w:rsid w:val="00316650"/>
    <w:rsid w:val="003167D3"/>
    <w:rsid w:val="00316A43"/>
    <w:rsid w:val="00316A48"/>
    <w:rsid w:val="00316AE9"/>
    <w:rsid w:val="00316B62"/>
    <w:rsid w:val="00316CC7"/>
    <w:rsid w:val="00316F85"/>
    <w:rsid w:val="00317263"/>
    <w:rsid w:val="00317339"/>
    <w:rsid w:val="00317343"/>
    <w:rsid w:val="0031737A"/>
    <w:rsid w:val="00320028"/>
    <w:rsid w:val="00320187"/>
    <w:rsid w:val="00320305"/>
    <w:rsid w:val="003203EF"/>
    <w:rsid w:val="00320658"/>
    <w:rsid w:val="003207F3"/>
    <w:rsid w:val="0032088E"/>
    <w:rsid w:val="00320E72"/>
    <w:rsid w:val="003213AC"/>
    <w:rsid w:val="0032187C"/>
    <w:rsid w:val="00321898"/>
    <w:rsid w:val="003219FA"/>
    <w:rsid w:val="00321F0D"/>
    <w:rsid w:val="0032215D"/>
    <w:rsid w:val="00322197"/>
    <w:rsid w:val="00322400"/>
    <w:rsid w:val="00322572"/>
    <w:rsid w:val="0032269F"/>
    <w:rsid w:val="003227CF"/>
    <w:rsid w:val="003227D9"/>
    <w:rsid w:val="003229A5"/>
    <w:rsid w:val="00322AC9"/>
    <w:rsid w:val="00322CEC"/>
    <w:rsid w:val="00322D51"/>
    <w:rsid w:val="00322F07"/>
    <w:rsid w:val="003230FA"/>
    <w:rsid w:val="003231FE"/>
    <w:rsid w:val="003233B7"/>
    <w:rsid w:val="0032351D"/>
    <w:rsid w:val="003235F4"/>
    <w:rsid w:val="00323658"/>
    <w:rsid w:val="00323AA8"/>
    <w:rsid w:val="003240F3"/>
    <w:rsid w:val="003242C9"/>
    <w:rsid w:val="003242D0"/>
    <w:rsid w:val="003242EB"/>
    <w:rsid w:val="0032463B"/>
    <w:rsid w:val="00324682"/>
    <w:rsid w:val="003249B8"/>
    <w:rsid w:val="00324CE3"/>
    <w:rsid w:val="00325398"/>
    <w:rsid w:val="00325455"/>
    <w:rsid w:val="00325751"/>
    <w:rsid w:val="00325A09"/>
    <w:rsid w:val="00325E88"/>
    <w:rsid w:val="00325FA6"/>
    <w:rsid w:val="0032601E"/>
    <w:rsid w:val="00326139"/>
    <w:rsid w:val="003264D5"/>
    <w:rsid w:val="003265E7"/>
    <w:rsid w:val="003265F3"/>
    <w:rsid w:val="0032669D"/>
    <w:rsid w:val="00326A80"/>
    <w:rsid w:val="00326B2E"/>
    <w:rsid w:val="00326D56"/>
    <w:rsid w:val="00326FF0"/>
    <w:rsid w:val="00327291"/>
    <w:rsid w:val="003275CB"/>
    <w:rsid w:val="003278B6"/>
    <w:rsid w:val="00327C96"/>
    <w:rsid w:val="00327F45"/>
    <w:rsid w:val="00327FE1"/>
    <w:rsid w:val="0033004E"/>
    <w:rsid w:val="0033016A"/>
    <w:rsid w:val="003301B9"/>
    <w:rsid w:val="003301C3"/>
    <w:rsid w:val="00330B18"/>
    <w:rsid w:val="00330D71"/>
    <w:rsid w:val="0033129D"/>
    <w:rsid w:val="003315DC"/>
    <w:rsid w:val="00331758"/>
    <w:rsid w:val="00331C19"/>
    <w:rsid w:val="00331F7B"/>
    <w:rsid w:val="00332228"/>
    <w:rsid w:val="003322B4"/>
    <w:rsid w:val="003322E8"/>
    <w:rsid w:val="003324B7"/>
    <w:rsid w:val="003325BF"/>
    <w:rsid w:val="003325EB"/>
    <w:rsid w:val="003325F4"/>
    <w:rsid w:val="003327DF"/>
    <w:rsid w:val="00332908"/>
    <w:rsid w:val="00332A0B"/>
    <w:rsid w:val="00332A47"/>
    <w:rsid w:val="00332B3E"/>
    <w:rsid w:val="00332B90"/>
    <w:rsid w:val="00333157"/>
    <w:rsid w:val="00333502"/>
    <w:rsid w:val="00333541"/>
    <w:rsid w:val="00333553"/>
    <w:rsid w:val="00333681"/>
    <w:rsid w:val="003336C3"/>
    <w:rsid w:val="003338FF"/>
    <w:rsid w:val="00333914"/>
    <w:rsid w:val="003339D6"/>
    <w:rsid w:val="00333F89"/>
    <w:rsid w:val="00333FB1"/>
    <w:rsid w:val="00334249"/>
    <w:rsid w:val="003345BF"/>
    <w:rsid w:val="00334A3D"/>
    <w:rsid w:val="00334A6A"/>
    <w:rsid w:val="00334DD2"/>
    <w:rsid w:val="00334E9D"/>
    <w:rsid w:val="00334FC3"/>
    <w:rsid w:val="0033524C"/>
    <w:rsid w:val="003354C8"/>
    <w:rsid w:val="00335800"/>
    <w:rsid w:val="00335849"/>
    <w:rsid w:val="003358B3"/>
    <w:rsid w:val="003359B9"/>
    <w:rsid w:val="00335C2F"/>
    <w:rsid w:val="00335C95"/>
    <w:rsid w:val="00335F65"/>
    <w:rsid w:val="00335FF2"/>
    <w:rsid w:val="003361C6"/>
    <w:rsid w:val="003361E6"/>
    <w:rsid w:val="00336526"/>
    <w:rsid w:val="003367F5"/>
    <w:rsid w:val="0033685F"/>
    <w:rsid w:val="00336993"/>
    <w:rsid w:val="00336A49"/>
    <w:rsid w:val="00336A66"/>
    <w:rsid w:val="00336AB3"/>
    <w:rsid w:val="00336BD1"/>
    <w:rsid w:val="00336E3F"/>
    <w:rsid w:val="00336F09"/>
    <w:rsid w:val="00337009"/>
    <w:rsid w:val="00337349"/>
    <w:rsid w:val="00337354"/>
    <w:rsid w:val="00337785"/>
    <w:rsid w:val="00337934"/>
    <w:rsid w:val="00337B5A"/>
    <w:rsid w:val="00337C7B"/>
    <w:rsid w:val="00337D1D"/>
    <w:rsid w:val="00337FC4"/>
    <w:rsid w:val="00340014"/>
    <w:rsid w:val="00340245"/>
    <w:rsid w:val="0034060B"/>
    <w:rsid w:val="0034065D"/>
    <w:rsid w:val="00340718"/>
    <w:rsid w:val="00340888"/>
    <w:rsid w:val="00340B47"/>
    <w:rsid w:val="00340BDC"/>
    <w:rsid w:val="00340F1F"/>
    <w:rsid w:val="00341185"/>
    <w:rsid w:val="0034179B"/>
    <w:rsid w:val="00341A17"/>
    <w:rsid w:val="00341A8B"/>
    <w:rsid w:val="00341CFB"/>
    <w:rsid w:val="00341E81"/>
    <w:rsid w:val="00342094"/>
    <w:rsid w:val="003421D1"/>
    <w:rsid w:val="0034225D"/>
    <w:rsid w:val="003426DD"/>
    <w:rsid w:val="00342785"/>
    <w:rsid w:val="003428E8"/>
    <w:rsid w:val="00342B67"/>
    <w:rsid w:val="00342C1D"/>
    <w:rsid w:val="00343098"/>
    <w:rsid w:val="00343555"/>
    <w:rsid w:val="00343567"/>
    <w:rsid w:val="0034357E"/>
    <w:rsid w:val="003435AD"/>
    <w:rsid w:val="0034379F"/>
    <w:rsid w:val="0034386E"/>
    <w:rsid w:val="00343CCD"/>
    <w:rsid w:val="00343F1C"/>
    <w:rsid w:val="00344001"/>
    <w:rsid w:val="0034434F"/>
    <w:rsid w:val="003445C2"/>
    <w:rsid w:val="003445D6"/>
    <w:rsid w:val="00344893"/>
    <w:rsid w:val="00344CA2"/>
    <w:rsid w:val="00344E50"/>
    <w:rsid w:val="00345469"/>
    <w:rsid w:val="003457B8"/>
    <w:rsid w:val="0034581F"/>
    <w:rsid w:val="00345A10"/>
    <w:rsid w:val="00345F57"/>
    <w:rsid w:val="003460FF"/>
    <w:rsid w:val="00346218"/>
    <w:rsid w:val="00346850"/>
    <w:rsid w:val="003469F1"/>
    <w:rsid w:val="00346A6F"/>
    <w:rsid w:val="00346B32"/>
    <w:rsid w:val="00346C45"/>
    <w:rsid w:val="00346CDC"/>
    <w:rsid w:val="00346D1A"/>
    <w:rsid w:val="00346FDB"/>
    <w:rsid w:val="00347095"/>
    <w:rsid w:val="0034761D"/>
    <w:rsid w:val="00347954"/>
    <w:rsid w:val="00347ACA"/>
    <w:rsid w:val="00347BB1"/>
    <w:rsid w:val="00347D36"/>
    <w:rsid w:val="00347D5F"/>
    <w:rsid w:val="00347FF3"/>
    <w:rsid w:val="003500E9"/>
    <w:rsid w:val="00350101"/>
    <w:rsid w:val="003501FA"/>
    <w:rsid w:val="00350290"/>
    <w:rsid w:val="003503B3"/>
    <w:rsid w:val="003504AD"/>
    <w:rsid w:val="00350504"/>
    <w:rsid w:val="00350663"/>
    <w:rsid w:val="003507A7"/>
    <w:rsid w:val="00350889"/>
    <w:rsid w:val="00350973"/>
    <w:rsid w:val="00350A26"/>
    <w:rsid w:val="00350E45"/>
    <w:rsid w:val="00351052"/>
    <w:rsid w:val="00351069"/>
    <w:rsid w:val="003510C6"/>
    <w:rsid w:val="003510D9"/>
    <w:rsid w:val="003510EF"/>
    <w:rsid w:val="003511F4"/>
    <w:rsid w:val="00351370"/>
    <w:rsid w:val="003515C8"/>
    <w:rsid w:val="0035168D"/>
    <w:rsid w:val="00351939"/>
    <w:rsid w:val="00351986"/>
    <w:rsid w:val="00351F38"/>
    <w:rsid w:val="003520C4"/>
    <w:rsid w:val="00352375"/>
    <w:rsid w:val="003523C1"/>
    <w:rsid w:val="003527E0"/>
    <w:rsid w:val="003527F0"/>
    <w:rsid w:val="0035280A"/>
    <w:rsid w:val="003528AC"/>
    <w:rsid w:val="00352999"/>
    <w:rsid w:val="003529AB"/>
    <w:rsid w:val="00352A4C"/>
    <w:rsid w:val="00352C22"/>
    <w:rsid w:val="00352DC3"/>
    <w:rsid w:val="00352DF4"/>
    <w:rsid w:val="00352E5C"/>
    <w:rsid w:val="0035318F"/>
    <w:rsid w:val="003531A5"/>
    <w:rsid w:val="00353263"/>
    <w:rsid w:val="003532EF"/>
    <w:rsid w:val="003533C1"/>
    <w:rsid w:val="00353578"/>
    <w:rsid w:val="0035376A"/>
    <w:rsid w:val="00353953"/>
    <w:rsid w:val="003539D4"/>
    <w:rsid w:val="00353B20"/>
    <w:rsid w:val="00353B47"/>
    <w:rsid w:val="00353BBB"/>
    <w:rsid w:val="00353E92"/>
    <w:rsid w:val="00353FA0"/>
    <w:rsid w:val="00354029"/>
    <w:rsid w:val="00354272"/>
    <w:rsid w:val="00354532"/>
    <w:rsid w:val="00354759"/>
    <w:rsid w:val="00354843"/>
    <w:rsid w:val="003550CA"/>
    <w:rsid w:val="00355184"/>
    <w:rsid w:val="003552A4"/>
    <w:rsid w:val="003555A7"/>
    <w:rsid w:val="003557A6"/>
    <w:rsid w:val="003557E3"/>
    <w:rsid w:val="003558D7"/>
    <w:rsid w:val="00355968"/>
    <w:rsid w:val="003561DF"/>
    <w:rsid w:val="0035651B"/>
    <w:rsid w:val="00356734"/>
    <w:rsid w:val="00356C97"/>
    <w:rsid w:val="00357A03"/>
    <w:rsid w:val="00357B76"/>
    <w:rsid w:val="00357C60"/>
    <w:rsid w:val="00357CAC"/>
    <w:rsid w:val="00357D0D"/>
    <w:rsid w:val="00357D2E"/>
    <w:rsid w:val="00357EBC"/>
    <w:rsid w:val="00357EC8"/>
    <w:rsid w:val="00360066"/>
    <w:rsid w:val="00360548"/>
    <w:rsid w:val="003606B1"/>
    <w:rsid w:val="00360902"/>
    <w:rsid w:val="00360CAA"/>
    <w:rsid w:val="00360FAD"/>
    <w:rsid w:val="003610BA"/>
    <w:rsid w:val="003611CD"/>
    <w:rsid w:val="003611D0"/>
    <w:rsid w:val="003611EB"/>
    <w:rsid w:val="00361229"/>
    <w:rsid w:val="0036146B"/>
    <w:rsid w:val="00361558"/>
    <w:rsid w:val="003616CD"/>
    <w:rsid w:val="003617D6"/>
    <w:rsid w:val="003619F6"/>
    <w:rsid w:val="00361A16"/>
    <w:rsid w:val="00361B86"/>
    <w:rsid w:val="00361D07"/>
    <w:rsid w:val="00361E23"/>
    <w:rsid w:val="00361F38"/>
    <w:rsid w:val="00361FDF"/>
    <w:rsid w:val="003622AC"/>
    <w:rsid w:val="00362303"/>
    <w:rsid w:val="0036251F"/>
    <w:rsid w:val="00362BEA"/>
    <w:rsid w:val="00362D7C"/>
    <w:rsid w:val="00362DBD"/>
    <w:rsid w:val="00362F4E"/>
    <w:rsid w:val="00362F81"/>
    <w:rsid w:val="0036303C"/>
    <w:rsid w:val="00363098"/>
    <w:rsid w:val="0036320F"/>
    <w:rsid w:val="00363307"/>
    <w:rsid w:val="0036371D"/>
    <w:rsid w:val="00363886"/>
    <w:rsid w:val="003648EB"/>
    <w:rsid w:val="00364CF8"/>
    <w:rsid w:val="00364DBC"/>
    <w:rsid w:val="00364E75"/>
    <w:rsid w:val="00364EE4"/>
    <w:rsid w:val="00365073"/>
    <w:rsid w:val="003650DB"/>
    <w:rsid w:val="003650E4"/>
    <w:rsid w:val="00365318"/>
    <w:rsid w:val="003655F7"/>
    <w:rsid w:val="00365666"/>
    <w:rsid w:val="0036579A"/>
    <w:rsid w:val="003657E7"/>
    <w:rsid w:val="00365B55"/>
    <w:rsid w:val="00365B5F"/>
    <w:rsid w:val="00365B63"/>
    <w:rsid w:val="00365C15"/>
    <w:rsid w:val="00366029"/>
    <w:rsid w:val="0036658D"/>
    <w:rsid w:val="00366A6D"/>
    <w:rsid w:val="00366CB0"/>
    <w:rsid w:val="00366DE1"/>
    <w:rsid w:val="00366E81"/>
    <w:rsid w:val="003671D8"/>
    <w:rsid w:val="00367792"/>
    <w:rsid w:val="0036786B"/>
    <w:rsid w:val="00367A78"/>
    <w:rsid w:val="00367FC6"/>
    <w:rsid w:val="00370001"/>
    <w:rsid w:val="00370045"/>
    <w:rsid w:val="00370988"/>
    <w:rsid w:val="00370998"/>
    <w:rsid w:val="00370A0F"/>
    <w:rsid w:val="00370AE9"/>
    <w:rsid w:val="00370B54"/>
    <w:rsid w:val="00370BE7"/>
    <w:rsid w:val="00370C4B"/>
    <w:rsid w:val="00370C72"/>
    <w:rsid w:val="00370C76"/>
    <w:rsid w:val="00371116"/>
    <w:rsid w:val="00371152"/>
    <w:rsid w:val="003713A7"/>
    <w:rsid w:val="00371426"/>
    <w:rsid w:val="00371680"/>
    <w:rsid w:val="00371863"/>
    <w:rsid w:val="003718C3"/>
    <w:rsid w:val="00371B5B"/>
    <w:rsid w:val="00371BB8"/>
    <w:rsid w:val="00371DE5"/>
    <w:rsid w:val="00371E3E"/>
    <w:rsid w:val="00371EF8"/>
    <w:rsid w:val="003720D2"/>
    <w:rsid w:val="00372165"/>
    <w:rsid w:val="003723CB"/>
    <w:rsid w:val="0037249A"/>
    <w:rsid w:val="003725BC"/>
    <w:rsid w:val="003729BC"/>
    <w:rsid w:val="00372A01"/>
    <w:rsid w:val="00373340"/>
    <w:rsid w:val="00373643"/>
    <w:rsid w:val="003737A4"/>
    <w:rsid w:val="0037380D"/>
    <w:rsid w:val="003739F5"/>
    <w:rsid w:val="00373A9F"/>
    <w:rsid w:val="00373C05"/>
    <w:rsid w:val="00373D9C"/>
    <w:rsid w:val="00373EDB"/>
    <w:rsid w:val="00373F6D"/>
    <w:rsid w:val="003741C9"/>
    <w:rsid w:val="00374240"/>
    <w:rsid w:val="0037427F"/>
    <w:rsid w:val="003743F4"/>
    <w:rsid w:val="003743F6"/>
    <w:rsid w:val="0037445F"/>
    <w:rsid w:val="003744AF"/>
    <w:rsid w:val="00374704"/>
    <w:rsid w:val="0037470C"/>
    <w:rsid w:val="0037499B"/>
    <w:rsid w:val="003749F9"/>
    <w:rsid w:val="00374B83"/>
    <w:rsid w:val="00374C20"/>
    <w:rsid w:val="00375190"/>
    <w:rsid w:val="0037532B"/>
    <w:rsid w:val="00375399"/>
    <w:rsid w:val="003753DE"/>
    <w:rsid w:val="0037540D"/>
    <w:rsid w:val="00375648"/>
    <w:rsid w:val="0037567C"/>
    <w:rsid w:val="003757F5"/>
    <w:rsid w:val="0037584F"/>
    <w:rsid w:val="00375AD0"/>
    <w:rsid w:val="00375BEE"/>
    <w:rsid w:val="00375C9D"/>
    <w:rsid w:val="00375F03"/>
    <w:rsid w:val="00375F16"/>
    <w:rsid w:val="0037616A"/>
    <w:rsid w:val="0037621C"/>
    <w:rsid w:val="00376256"/>
    <w:rsid w:val="00376533"/>
    <w:rsid w:val="0037659D"/>
    <w:rsid w:val="003767B6"/>
    <w:rsid w:val="003769B4"/>
    <w:rsid w:val="00376A4B"/>
    <w:rsid w:val="00376AB2"/>
    <w:rsid w:val="00376B06"/>
    <w:rsid w:val="00376BFD"/>
    <w:rsid w:val="00376C7C"/>
    <w:rsid w:val="00376DE3"/>
    <w:rsid w:val="00376E80"/>
    <w:rsid w:val="00376FB2"/>
    <w:rsid w:val="00377703"/>
    <w:rsid w:val="00377AA4"/>
    <w:rsid w:val="00377AC7"/>
    <w:rsid w:val="00377DE5"/>
    <w:rsid w:val="00377E36"/>
    <w:rsid w:val="00377F4C"/>
    <w:rsid w:val="00377F7E"/>
    <w:rsid w:val="00380483"/>
    <w:rsid w:val="00380501"/>
    <w:rsid w:val="0038054E"/>
    <w:rsid w:val="00380689"/>
    <w:rsid w:val="00380837"/>
    <w:rsid w:val="00380873"/>
    <w:rsid w:val="003808E4"/>
    <w:rsid w:val="00380A83"/>
    <w:rsid w:val="00380CB6"/>
    <w:rsid w:val="00380D14"/>
    <w:rsid w:val="00380D52"/>
    <w:rsid w:val="00380DC8"/>
    <w:rsid w:val="0038130C"/>
    <w:rsid w:val="003818E3"/>
    <w:rsid w:val="00381AF0"/>
    <w:rsid w:val="00381F0C"/>
    <w:rsid w:val="00382135"/>
    <w:rsid w:val="003822BF"/>
    <w:rsid w:val="003823AA"/>
    <w:rsid w:val="0038240E"/>
    <w:rsid w:val="00382746"/>
    <w:rsid w:val="003827DA"/>
    <w:rsid w:val="0038296E"/>
    <w:rsid w:val="003829B4"/>
    <w:rsid w:val="00382B44"/>
    <w:rsid w:val="00382C3E"/>
    <w:rsid w:val="00382C85"/>
    <w:rsid w:val="00382E18"/>
    <w:rsid w:val="00382F72"/>
    <w:rsid w:val="003834F9"/>
    <w:rsid w:val="0038369C"/>
    <w:rsid w:val="00383D1B"/>
    <w:rsid w:val="00383D65"/>
    <w:rsid w:val="00383D69"/>
    <w:rsid w:val="00383E08"/>
    <w:rsid w:val="00384368"/>
    <w:rsid w:val="003844D1"/>
    <w:rsid w:val="00384595"/>
    <w:rsid w:val="00384959"/>
    <w:rsid w:val="00384B20"/>
    <w:rsid w:val="00384BD4"/>
    <w:rsid w:val="00384F33"/>
    <w:rsid w:val="0038520A"/>
    <w:rsid w:val="00385227"/>
    <w:rsid w:val="00385392"/>
    <w:rsid w:val="0038560D"/>
    <w:rsid w:val="00385718"/>
    <w:rsid w:val="00385720"/>
    <w:rsid w:val="00385BE1"/>
    <w:rsid w:val="00385C05"/>
    <w:rsid w:val="00385E0E"/>
    <w:rsid w:val="00385F94"/>
    <w:rsid w:val="0038613F"/>
    <w:rsid w:val="00386197"/>
    <w:rsid w:val="00386444"/>
    <w:rsid w:val="003865C2"/>
    <w:rsid w:val="0038679C"/>
    <w:rsid w:val="00386B1B"/>
    <w:rsid w:val="00386B70"/>
    <w:rsid w:val="00386F4D"/>
    <w:rsid w:val="003871C9"/>
    <w:rsid w:val="003872CF"/>
    <w:rsid w:val="00387682"/>
    <w:rsid w:val="00387694"/>
    <w:rsid w:val="003877C9"/>
    <w:rsid w:val="00387A89"/>
    <w:rsid w:val="00387CD7"/>
    <w:rsid w:val="00390019"/>
    <w:rsid w:val="0039043F"/>
    <w:rsid w:val="00390A07"/>
    <w:rsid w:val="00390AB5"/>
    <w:rsid w:val="00390C2B"/>
    <w:rsid w:val="00390E48"/>
    <w:rsid w:val="00390FD1"/>
    <w:rsid w:val="00391086"/>
    <w:rsid w:val="0039118A"/>
    <w:rsid w:val="0039132D"/>
    <w:rsid w:val="00391638"/>
    <w:rsid w:val="00391699"/>
    <w:rsid w:val="003917E3"/>
    <w:rsid w:val="00391CA6"/>
    <w:rsid w:val="0039213A"/>
    <w:rsid w:val="003921D2"/>
    <w:rsid w:val="0039230A"/>
    <w:rsid w:val="00392327"/>
    <w:rsid w:val="00392353"/>
    <w:rsid w:val="0039239D"/>
    <w:rsid w:val="003923BD"/>
    <w:rsid w:val="003924B2"/>
    <w:rsid w:val="003926DC"/>
    <w:rsid w:val="00392ABD"/>
    <w:rsid w:val="00392FB8"/>
    <w:rsid w:val="0039307C"/>
    <w:rsid w:val="00393197"/>
    <w:rsid w:val="00393448"/>
    <w:rsid w:val="00393490"/>
    <w:rsid w:val="003934EE"/>
    <w:rsid w:val="003936D3"/>
    <w:rsid w:val="00393707"/>
    <w:rsid w:val="003938DF"/>
    <w:rsid w:val="003938FA"/>
    <w:rsid w:val="00393B03"/>
    <w:rsid w:val="00393B1F"/>
    <w:rsid w:val="00393BEA"/>
    <w:rsid w:val="00393BF7"/>
    <w:rsid w:val="00394101"/>
    <w:rsid w:val="003941C0"/>
    <w:rsid w:val="00394314"/>
    <w:rsid w:val="0039447E"/>
    <w:rsid w:val="0039456E"/>
    <w:rsid w:val="00394702"/>
    <w:rsid w:val="0039477B"/>
    <w:rsid w:val="00394823"/>
    <w:rsid w:val="003948C0"/>
    <w:rsid w:val="00394F23"/>
    <w:rsid w:val="00395373"/>
    <w:rsid w:val="003954B1"/>
    <w:rsid w:val="003955B5"/>
    <w:rsid w:val="00395876"/>
    <w:rsid w:val="00395967"/>
    <w:rsid w:val="0039598B"/>
    <w:rsid w:val="00395A05"/>
    <w:rsid w:val="00395B6B"/>
    <w:rsid w:val="00395C2B"/>
    <w:rsid w:val="00395CAE"/>
    <w:rsid w:val="00395E4B"/>
    <w:rsid w:val="00395FF5"/>
    <w:rsid w:val="00396080"/>
    <w:rsid w:val="0039612B"/>
    <w:rsid w:val="0039619B"/>
    <w:rsid w:val="0039653A"/>
    <w:rsid w:val="00396ADA"/>
    <w:rsid w:val="00396EB5"/>
    <w:rsid w:val="003970A7"/>
    <w:rsid w:val="0039735D"/>
    <w:rsid w:val="00397502"/>
    <w:rsid w:val="00397515"/>
    <w:rsid w:val="00397608"/>
    <w:rsid w:val="00397999"/>
    <w:rsid w:val="00397BFE"/>
    <w:rsid w:val="003A00FB"/>
    <w:rsid w:val="003A03C1"/>
    <w:rsid w:val="003A0486"/>
    <w:rsid w:val="003A057E"/>
    <w:rsid w:val="003A067E"/>
    <w:rsid w:val="003A0AB9"/>
    <w:rsid w:val="003A0AD7"/>
    <w:rsid w:val="003A0D5B"/>
    <w:rsid w:val="003A0EF0"/>
    <w:rsid w:val="003A0FFF"/>
    <w:rsid w:val="003A10D5"/>
    <w:rsid w:val="003A1113"/>
    <w:rsid w:val="003A1194"/>
    <w:rsid w:val="003A1452"/>
    <w:rsid w:val="003A150B"/>
    <w:rsid w:val="003A1813"/>
    <w:rsid w:val="003A18A4"/>
    <w:rsid w:val="003A197C"/>
    <w:rsid w:val="003A1A10"/>
    <w:rsid w:val="003A1BDA"/>
    <w:rsid w:val="003A1CFF"/>
    <w:rsid w:val="003A1D63"/>
    <w:rsid w:val="003A1DBA"/>
    <w:rsid w:val="003A1ED4"/>
    <w:rsid w:val="003A1FA6"/>
    <w:rsid w:val="003A22D5"/>
    <w:rsid w:val="003A23E4"/>
    <w:rsid w:val="003A2438"/>
    <w:rsid w:val="003A2691"/>
    <w:rsid w:val="003A271C"/>
    <w:rsid w:val="003A2786"/>
    <w:rsid w:val="003A2819"/>
    <w:rsid w:val="003A2B0C"/>
    <w:rsid w:val="003A2B85"/>
    <w:rsid w:val="003A306B"/>
    <w:rsid w:val="003A3088"/>
    <w:rsid w:val="003A3092"/>
    <w:rsid w:val="003A30C7"/>
    <w:rsid w:val="003A3234"/>
    <w:rsid w:val="003A3373"/>
    <w:rsid w:val="003A3562"/>
    <w:rsid w:val="003A359E"/>
    <w:rsid w:val="003A368D"/>
    <w:rsid w:val="003A3799"/>
    <w:rsid w:val="003A38FB"/>
    <w:rsid w:val="003A3CC8"/>
    <w:rsid w:val="003A3E85"/>
    <w:rsid w:val="003A40D2"/>
    <w:rsid w:val="003A431B"/>
    <w:rsid w:val="003A4534"/>
    <w:rsid w:val="003A455D"/>
    <w:rsid w:val="003A4C0C"/>
    <w:rsid w:val="003A4E85"/>
    <w:rsid w:val="003A5178"/>
    <w:rsid w:val="003A51BE"/>
    <w:rsid w:val="003A55F8"/>
    <w:rsid w:val="003A562F"/>
    <w:rsid w:val="003A5788"/>
    <w:rsid w:val="003A5964"/>
    <w:rsid w:val="003A5E83"/>
    <w:rsid w:val="003A5FBB"/>
    <w:rsid w:val="003A6294"/>
    <w:rsid w:val="003A63A6"/>
    <w:rsid w:val="003A6719"/>
    <w:rsid w:val="003A68AE"/>
    <w:rsid w:val="003A698E"/>
    <w:rsid w:val="003A6C3E"/>
    <w:rsid w:val="003A6FA2"/>
    <w:rsid w:val="003A719D"/>
    <w:rsid w:val="003A73EB"/>
    <w:rsid w:val="003A745D"/>
    <w:rsid w:val="003A753E"/>
    <w:rsid w:val="003A7605"/>
    <w:rsid w:val="003A78C5"/>
    <w:rsid w:val="003A7AA7"/>
    <w:rsid w:val="003A7C53"/>
    <w:rsid w:val="003A7D05"/>
    <w:rsid w:val="003A7D64"/>
    <w:rsid w:val="003B00AE"/>
    <w:rsid w:val="003B0306"/>
    <w:rsid w:val="003B0365"/>
    <w:rsid w:val="003B07AC"/>
    <w:rsid w:val="003B08E8"/>
    <w:rsid w:val="003B09EC"/>
    <w:rsid w:val="003B0B19"/>
    <w:rsid w:val="003B0CA6"/>
    <w:rsid w:val="003B0D96"/>
    <w:rsid w:val="003B0D9A"/>
    <w:rsid w:val="003B0E13"/>
    <w:rsid w:val="003B0E65"/>
    <w:rsid w:val="003B0EF6"/>
    <w:rsid w:val="003B0FFF"/>
    <w:rsid w:val="003B1013"/>
    <w:rsid w:val="003B121F"/>
    <w:rsid w:val="003B122B"/>
    <w:rsid w:val="003B126E"/>
    <w:rsid w:val="003B1A0F"/>
    <w:rsid w:val="003B1AC0"/>
    <w:rsid w:val="003B1D6F"/>
    <w:rsid w:val="003B1FE6"/>
    <w:rsid w:val="003B2035"/>
    <w:rsid w:val="003B2168"/>
    <w:rsid w:val="003B21DA"/>
    <w:rsid w:val="003B223B"/>
    <w:rsid w:val="003B2502"/>
    <w:rsid w:val="003B2664"/>
    <w:rsid w:val="003B27CC"/>
    <w:rsid w:val="003B2CF2"/>
    <w:rsid w:val="003B2F25"/>
    <w:rsid w:val="003B3002"/>
    <w:rsid w:val="003B30AB"/>
    <w:rsid w:val="003B3E4A"/>
    <w:rsid w:val="003B480C"/>
    <w:rsid w:val="003B486E"/>
    <w:rsid w:val="003B48F2"/>
    <w:rsid w:val="003B4956"/>
    <w:rsid w:val="003B497D"/>
    <w:rsid w:val="003B4AA6"/>
    <w:rsid w:val="003B4E1F"/>
    <w:rsid w:val="003B4E60"/>
    <w:rsid w:val="003B5128"/>
    <w:rsid w:val="003B5268"/>
    <w:rsid w:val="003B5445"/>
    <w:rsid w:val="003B5675"/>
    <w:rsid w:val="003B58A1"/>
    <w:rsid w:val="003B5B4D"/>
    <w:rsid w:val="003B60FB"/>
    <w:rsid w:val="003B6C76"/>
    <w:rsid w:val="003B6E88"/>
    <w:rsid w:val="003B6F92"/>
    <w:rsid w:val="003B7140"/>
    <w:rsid w:val="003B73D7"/>
    <w:rsid w:val="003B76B3"/>
    <w:rsid w:val="003B778E"/>
    <w:rsid w:val="003B7982"/>
    <w:rsid w:val="003B7A48"/>
    <w:rsid w:val="003B7B10"/>
    <w:rsid w:val="003B7C00"/>
    <w:rsid w:val="003B7C13"/>
    <w:rsid w:val="003B7FC9"/>
    <w:rsid w:val="003C00E2"/>
    <w:rsid w:val="003C02EC"/>
    <w:rsid w:val="003C04AB"/>
    <w:rsid w:val="003C04B8"/>
    <w:rsid w:val="003C052A"/>
    <w:rsid w:val="003C0915"/>
    <w:rsid w:val="003C0D7F"/>
    <w:rsid w:val="003C0E4E"/>
    <w:rsid w:val="003C12A0"/>
    <w:rsid w:val="003C1550"/>
    <w:rsid w:val="003C159E"/>
    <w:rsid w:val="003C169B"/>
    <w:rsid w:val="003C19B8"/>
    <w:rsid w:val="003C19E0"/>
    <w:rsid w:val="003C1CAF"/>
    <w:rsid w:val="003C23D6"/>
    <w:rsid w:val="003C23E4"/>
    <w:rsid w:val="003C2415"/>
    <w:rsid w:val="003C248A"/>
    <w:rsid w:val="003C264D"/>
    <w:rsid w:val="003C2A7B"/>
    <w:rsid w:val="003C2B3C"/>
    <w:rsid w:val="003C3747"/>
    <w:rsid w:val="003C3B28"/>
    <w:rsid w:val="003C40BF"/>
    <w:rsid w:val="003C412E"/>
    <w:rsid w:val="003C417A"/>
    <w:rsid w:val="003C4233"/>
    <w:rsid w:val="003C43A6"/>
    <w:rsid w:val="003C43D1"/>
    <w:rsid w:val="003C4515"/>
    <w:rsid w:val="003C4840"/>
    <w:rsid w:val="003C4E96"/>
    <w:rsid w:val="003C5054"/>
    <w:rsid w:val="003C5201"/>
    <w:rsid w:val="003C5276"/>
    <w:rsid w:val="003C54E8"/>
    <w:rsid w:val="003C5687"/>
    <w:rsid w:val="003C578D"/>
    <w:rsid w:val="003C5793"/>
    <w:rsid w:val="003C5C29"/>
    <w:rsid w:val="003C5E34"/>
    <w:rsid w:val="003C5FC9"/>
    <w:rsid w:val="003C6594"/>
    <w:rsid w:val="003C66FA"/>
    <w:rsid w:val="003C67CC"/>
    <w:rsid w:val="003C6A20"/>
    <w:rsid w:val="003C6C32"/>
    <w:rsid w:val="003C7242"/>
    <w:rsid w:val="003C7310"/>
    <w:rsid w:val="003C73DA"/>
    <w:rsid w:val="003C754C"/>
    <w:rsid w:val="003C7838"/>
    <w:rsid w:val="003C7872"/>
    <w:rsid w:val="003C7ABC"/>
    <w:rsid w:val="003C7B69"/>
    <w:rsid w:val="003C7D93"/>
    <w:rsid w:val="003D0071"/>
    <w:rsid w:val="003D0106"/>
    <w:rsid w:val="003D03B4"/>
    <w:rsid w:val="003D0D10"/>
    <w:rsid w:val="003D11E9"/>
    <w:rsid w:val="003D1254"/>
    <w:rsid w:val="003D1397"/>
    <w:rsid w:val="003D13BC"/>
    <w:rsid w:val="003D13DE"/>
    <w:rsid w:val="003D1419"/>
    <w:rsid w:val="003D17A4"/>
    <w:rsid w:val="003D1835"/>
    <w:rsid w:val="003D1C9B"/>
    <w:rsid w:val="003D1CAC"/>
    <w:rsid w:val="003D1DAB"/>
    <w:rsid w:val="003D1F1E"/>
    <w:rsid w:val="003D1FF0"/>
    <w:rsid w:val="003D20F2"/>
    <w:rsid w:val="003D222C"/>
    <w:rsid w:val="003D26A9"/>
    <w:rsid w:val="003D288A"/>
    <w:rsid w:val="003D28A5"/>
    <w:rsid w:val="003D28EC"/>
    <w:rsid w:val="003D2BD9"/>
    <w:rsid w:val="003D2D25"/>
    <w:rsid w:val="003D326F"/>
    <w:rsid w:val="003D338E"/>
    <w:rsid w:val="003D33AC"/>
    <w:rsid w:val="003D33FA"/>
    <w:rsid w:val="003D3408"/>
    <w:rsid w:val="003D3437"/>
    <w:rsid w:val="003D3707"/>
    <w:rsid w:val="003D3861"/>
    <w:rsid w:val="003D38C7"/>
    <w:rsid w:val="003D3981"/>
    <w:rsid w:val="003D3CD3"/>
    <w:rsid w:val="003D3CF9"/>
    <w:rsid w:val="003D40F5"/>
    <w:rsid w:val="003D414E"/>
    <w:rsid w:val="003D423A"/>
    <w:rsid w:val="003D42C0"/>
    <w:rsid w:val="003D43D3"/>
    <w:rsid w:val="003D488D"/>
    <w:rsid w:val="003D4906"/>
    <w:rsid w:val="003D4A70"/>
    <w:rsid w:val="003D4A82"/>
    <w:rsid w:val="003D4B0B"/>
    <w:rsid w:val="003D4BAB"/>
    <w:rsid w:val="003D4E5F"/>
    <w:rsid w:val="003D51E5"/>
    <w:rsid w:val="003D52F9"/>
    <w:rsid w:val="003D575F"/>
    <w:rsid w:val="003D5875"/>
    <w:rsid w:val="003D58D6"/>
    <w:rsid w:val="003D59FB"/>
    <w:rsid w:val="003D5AE6"/>
    <w:rsid w:val="003D5C77"/>
    <w:rsid w:val="003D5DEC"/>
    <w:rsid w:val="003D5FE3"/>
    <w:rsid w:val="003D63C0"/>
    <w:rsid w:val="003D6498"/>
    <w:rsid w:val="003D688E"/>
    <w:rsid w:val="003D6899"/>
    <w:rsid w:val="003D6B8C"/>
    <w:rsid w:val="003D6C7D"/>
    <w:rsid w:val="003D7368"/>
    <w:rsid w:val="003D7589"/>
    <w:rsid w:val="003D775F"/>
    <w:rsid w:val="003D7A34"/>
    <w:rsid w:val="003D7A93"/>
    <w:rsid w:val="003D7AB7"/>
    <w:rsid w:val="003D7AF8"/>
    <w:rsid w:val="003D7BA7"/>
    <w:rsid w:val="003E0153"/>
    <w:rsid w:val="003E051D"/>
    <w:rsid w:val="003E05FE"/>
    <w:rsid w:val="003E0645"/>
    <w:rsid w:val="003E06E1"/>
    <w:rsid w:val="003E0902"/>
    <w:rsid w:val="003E119D"/>
    <w:rsid w:val="003E1223"/>
    <w:rsid w:val="003E12C2"/>
    <w:rsid w:val="003E135D"/>
    <w:rsid w:val="003E1520"/>
    <w:rsid w:val="003E1DC8"/>
    <w:rsid w:val="003E1E24"/>
    <w:rsid w:val="003E1E31"/>
    <w:rsid w:val="003E1EEF"/>
    <w:rsid w:val="003E214C"/>
    <w:rsid w:val="003E21A8"/>
    <w:rsid w:val="003E22EF"/>
    <w:rsid w:val="003E2554"/>
    <w:rsid w:val="003E281C"/>
    <w:rsid w:val="003E292E"/>
    <w:rsid w:val="003E2A2E"/>
    <w:rsid w:val="003E2B3B"/>
    <w:rsid w:val="003E2B91"/>
    <w:rsid w:val="003E2D06"/>
    <w:rsid w:val="003E2F5F"/>
    <w:rsid w:val="003E2F7A"/>
    <w:rsid w:val="003E30A6"/>
    <w:rsid w:val="003E3327"/>
    <w:rsid w:val="003E332F"/>
    <w:rsid w:val="003E3356"/>
    <w:rsid w:val="003E3366"/>
    <w:rsid w:val="003E36B2"/>
    <w:rsid w:val="003E373A"/>
    <w:rsid w:val="003E39AD"/>
    <w:rsid w:val="003E3AC3"/>
    <w:rsid w:val="003E3AFB"/>
    <w:rsid w:val="003E3BA5"/>
    <w:rsid w:val="003E3C9E"/>
    <w:rsid w:val="003E3F63"/>
    <w:rsid w:val="003E4725"/>
    <w:rsid w:val="003E4766"/>
    <w:rsid w:val="003E4837"/>
    <w:rsid w:val="003E4893"/>
    <w:rsid w:val="003E49A0"/>
    <w:rsid w:val="003E4AE1"/>
    <w:rsid w:val="003E4BE9"/>
    <w:rsid w:val="003E50C8"/>
    <w:rsid w:val="003E54F6"/>
    <w:rsid w:val="003E5628"/>
    <w:rsid w:val="003E56E1"/>
    <w:rsid w:val="003E5A69"/>
    <w:rsid w:val="003E5C42"/>
    <w:rsid w:val="003E5E13"/>
    <w:rsid w:val="003E5E2A"/>
    <w:rsid w:val="003E63C1"/>
    <w:rsid w:val="003E6569"/>
    <w:rsid w:val="003E6589"/>
    <w:rsid w:val="003E6BE1"/>
    <w:rsid w:val="003E703A"/>
    <w:rsid w:val="003E7118"/>
    <w:rsid w:val="003E723A"/>
    <w:rsid w:val="003E738E"/>
    <w:rsid w:val="003E744C"/>
    <w:rsid w:val="003E778B"/>
    <w:rsid w:val="003E77E1"/>
    <w:rsid w:val="003E792A"/>
    <w:rsid w:val="003E7BD4"/>
    <w:rsid w:val="003E7DFC"/>
    <w:rsid w:val="003F0228"/>
    <w:rsid w:val="003F022F"/>
    <w:rsid w:val="003F0461"/>
    <w:rsid w:val="003F0781"/>
    <w:rsid w:val="003F07E2"/>
    <w:rsid w:val="003F0A92"/>
    <w:rsid w:val="003F0C88"/>
    <w:rsid w:val="003F0D04"/>
    <w:rsid w:val="003F0F52"/>
    <w:rsid w:val="003F10D9"/>
    <w:rsid w:val="003F122D"/>
    <w:rsid w:val="003F14D8"/>
    <w:rsid w:val="003F158D"/>
    <w:rsid w:val="003F1718"/>
    <w:rsid w:val="003F2191"/>
    <w:rsid w:val="003F21E4"/>
    <w:rsid w:val="003F2D0B"/>
    <w:rsid w:val="003F2E4F"/>
    <w:rsid w:val="003F306A"/>
    <w:rsid w:val="003F3126"/>
    <w:rsid w:val="003F31C1"/>
    <w:rsid w:val="003F3204"/>
    <w:rsid w:val="003F34D0"/>
    <w:rsid w:val="003F3583"/>
    <w:rsid w:val="003F35C9"/>
    <w:rsid w:val="003F36A6"/>
    <w:rsid w:val="003F380E"/>
    <w:rsid w:val="003F3847"/>
    <w:rsid w:val="003F3888"/>
    <w:rsid w:val="003F3DC8"/>
    <w:rsid w:val="003F3DD4"/>
    <w:rsid w:val="003F3F77"/>
    <w:rsid w:val="003F4362"/>
    <w:rsid w:val="003F479B"/>
    <w:rsid w:val="003F4827"/>
    <w:rsid w:val="003F4839"/>
    <w:rsid w:val="003F4843"/>
    <w:rsid w:val="003F494E"/>
    <w:rsid w:val="003F4950"/>
    <w:rsid w:val="003F4AF4"/>
    <w:rsid w:val="003F4BB2"/>
    <w:rsid w:val="003F4BC8"/>
    <w:rsid w:val="003F4E62"/>
    <w:rsid w:val="003F4F42"/>
    <w:rsid w:val="003F5537"/>
    <w:rsid w:val="003F55BE"/>
    <w:rsid w:val="003F57E9"/>
    <w:rsid w:val="003F583E"/>
    <w:rsid w:val="003F5CFF"/>
    <w:rsid w:val="003F6044"/>
    <w:rsid w:val="003F6088"/>
    <w:rsid w:val="003F6454"/>
    <w:rsid w:val="003F66BB"/>
    <w:rsid w:val="003F6817"/>
    <w:rsid w:val="003F6A80"/>
    <w:rsid w:val="003F6D84"/>
    <w:rsid w:val="003F6E46"/>
    <w:rsid w:val="003F6E64"/>
    <w:rsid w:val="003F6E8E"/>
    <w:rsid w:val="003F6EC1"/>
    <w:rsid w:val="003F7094"/>
    <w:rsid w:val="003F73F7"/>
    <w:rsid w:val="003F7435"/>
    <w:rsid w:val="003F7536"/>
    <w:rsid w:val="003F78D1"/>
    <w:rsid w:val="003F7AB6"/>
    <w:rsid w:val="003F7D52"/>
    <w:rsid w:val="003F7EAC"/>
    <w:rsid w:val="003F7F50"/>
    <w:rsid w:val="00400054"/>
    <w:rsid w:val="0040014D"/>
    <w:rsid w:val="0040015A"/>
    <w:rsid w:val="004001A6"/>
    <w:rsid w:val="0040035C"/>
    <w:rsid w:val="004003FA"/>
    <w:rsid w:val="004004FE"/>
    <w:rsid w:val="004005F9"/>
    <w:rsid w:val="00400856"/>
    <w:rsid w:val="00400E91"/>
    <w:rsid w:val="00400EFC"/>
    <w:rsid w:val="00401033"/>
    <w:rsid w:val="00401045"/>
    <w:rsid w:val="00401293"/>
    <w:rsid w:val="004012CB"/>
    <w:rsid w:val="00401340"/>
    <w:rsid w:val="00401432"/>
    <w:rsid w:val="00401613"/>
    <w:rsid w:val="004017EC"/>
    <w:rsid w:val="00401B1F"/>
    <w:rsid w:val="00401BF6"/>
    <w:rsid w:val="00401D93"/>
    <w:rsid w:val="00402436"/>
    <w:rsid w:val="004027F9"/>
    <w:rsid w:val="004029DF"/>
    <w:rsid w:val="004029EC"/>
    <w:rsid w:val="00402ABC"/>
    <w:rsid w:val="00402B02"/>
    <w:rsid w:val="00402B36"/>
    <w:rsid w:val="00402FE5"/>
    <w:rsid w:val="0040303D"/>
    <w:rsid w:val="004031A5"/>
    <w:rsid w:val="004032E4"/>
    <w:rsid w:val="00403574"/>
    <w:rsid w:val="004037EE"/>
    <w:rsid w:val="00403820"/>
    <w:rsid w:val="00403C92"/>
    <w:rsid w:val="00403D62"/>
    <w:rsid w:val="00403EDA"/>
    <w:rsid w:val="004040A9"/>
    <w:rsid w:val="00404198"/>
    <w:rsid w:val="00404311"/>
    <w:rsid w:val="004043B8"/>
    <w:rsid w:val="0040448E"/>
    <w:rsid w:val="00404538"/>
    <w:rsid w:val="0040453F"/>
    <w:rsid w:val="00404553"/>
    <w:rsid w:val="004046A0"/>
    <w:rsid w:val="004046AC"/>
    <w:rsid w:val="004047F7"/>
    <w:rsid w:val="00404BC7"/>
    <w:rsid w:val="00404E6A"/>
    <w:rsid w:val="00404F39"/>
    <w:rsid w:val="004050B1"/>
    <w:rsid w:val="004051B4"/>
    <w:rsid w:val="00405368"/>
    <w:rsid w:val="0040567F"/>
    <w:rsid w:val="004056C1"/>
    <w:rsid w:val="00405789"/>
    <w:rsid w:val="00405940"/>
    <w:rsid w:val="00405BB1"/>
    <w:rsid w:val="00405C17"/>
    <w:rsid w:val="00405C81"/>
    <w:rsid w:val="00405CFC"/>
    <w:rsid w:val="0040667F"/>
    <w:rsid w:val="004066DC"/>
    <w:rsid w:val="004067F2"/>
    <w:rsid w:val="004068D6"/>
    <w:rsid w:val="00406AC6"/>
    <w:rsid w:val="00406C82"/>
    <w:rsid w:val="00406CA7"/>
    <w:rsid w:val="00406D6D"/>
    <w:rsid w:val="00406DB3"/>
    <w:rsid w:val="004072D4"/>
    <w:rsid w:val="0040762C"/>
    <w:rsid w:val="004076C9"/>
    <w:rsid w:val="00407728"/>
    <w:rsid w:val="00407796"/>
    <w:rsid w:val="00407A48"/>
    <w:rsid w:val="00407B86"/>
    <w:rsid w:val="004100CC"/>
    <w:rsid w:val="004100F9"/>
    <w:rsid w:val="00410544"/>
    <w:rsid w:val="0041090A"/>
    <w:rsid w:val="00410B05"/>
    <w:rsid w:val="00410C20"/>
    <w:rsid w:val="00410E28"/>
    <w:rsid w:val="004111AB"/>
    <w:rsid w:val="004112C2"/>
    <w:rsid w:val="0041152A"/>
    <w:rsid w:val="004117C1"/>
    <w:rsid w:val="004117CB"/>
    <w:rsid w:val="00411897"/>
    <w:rsid w:val="004118CE"/>
    <w:rsid w:val="004119DC"/>
    <w:rsid w:val="004119FE"/>
    <w:rsid w:val="00411C38"/>
    <w:rsid w:val="00411E61"/>
    <w:rsid w:val="00411EE0"/>
    <w:rsid w:val="00411F0E"/>
    <w:rsid w:val="0041230E"/>
    <w:rsid w:val="00412377"/>
    <w:rsid w:val="00412548"/>
    <w:rsid w:val="00412715"/>
    <w:rsid w:val="00412768"/>
    <w:rsid w:val="00412CAE"/>
    <w:rsid w:val="0041333F"/>
    <w:rsid w:val="00413352"/>
    <w:rsid w:val="0041350D"/>
    <w:rsid w:val="00413546"/>
    <w:rsid w:val="00413562"/>
    <w:rsid w:val="004137C5"/>
    <w:rsid w:val="00413AD8"/>
    <w:rsid w:val="00413CEA"/>
    <w:rsid w:val="00413FF3"/>
    <w:rsid w:val="0041402C"/>
    <w:rsid w:val="00414511"/>
    <w:rsid w:val="00414A6F"/>
    <w:rsid w:val="00414AEE"/>
    <w:rsid w:val="00414C26"/>
    <w:rsid w:val="00415122"/>
    <w:rsid w:val="004153BF"/>
    <w:rsid w:val="0041569A"/>
    <w:rsid w:val="004159FC"/>
    <w:rsid w:val="00415A6D"/>
    <w:rsid w:val="00415A87"/>
    <w:rsid w:val="00416000"/>
    <w:rsid w:val="0041661F"/>
    <w:rsid w:val="00416640"/>
    <w:rsid w:val="00416669"/>
    <w:rsid w:val="004167EC"/>
    <w:rsid w:val="004167F8"/>
    <w:rsid w:val="0041689B"/>
    <w:rsid w:val="00416D95"/>
    <w:rsid w:val="00416DCB"/>
    <w:rsid w:val="0041700F"/>
    <w:rsid w:val="00417323"/>
    <w:rsid w:val="0041744C"/>
    <w:rsid w:val="0041748D"/>
    <w:rsid w:val="004178B4"/>
    <w:rsid w:val="00417A97"/>
    <w:rsid w:val="00417CB1"/>
    <w:rsid w:val="00417E6C"/>
    <w:rsid w:val="00417F67"/>
    <w:rsid w:val="004201A9"/>
    <w:rsid w:val="00420342"/>
    <w:rsid w:val="0042035E"/>
    <w:rsid w:val="0042059F"/>
    <w:rsid w:val="0042075F"/>
    <w:rsid w:val="00420950"/>
    <w:rsid w:val="00420A3C"/>
    <w:rsid w:val="00420A7F"/>
    <w:rsid w:val="00420C49"/>
    <w:rsid w:val="00420DA9"/>
    <w:rsid w:val="00420F35"/>
    <w:rsid w:val="00420FE6"/>
    <w:rsid w:val="0042128D"/>
    <w:rsid w:val="00421484"/>
    <w:rsid w:val="004214DB"/>
    <w:rsid w:val="004215B8"/>
    <w:rsid w:val="00421BFB"/>
    <w:rsid w:val="00421D59"/>
    <w:rsid w:val="00421EB3"/>
    <w:rsid w:val="00422424"/>
    <w:rsid w:val="004226C2"/>
    <w:rsid w:val="004226E7"/>
    <w:rsid w:val="00422C81"/>
    <w:rsid w:val="00422DD1"/>
    <w:rsid w:val="0042301A"/>
    <w:rsid w:val="00423170"/>
    <w:rsid w:val="004232CD"/>
    <w:rsid w:val="00423597"/>
    <w:rsid w:val="00423600"/>
    <w:rsid w:val="0042374E"/>
    <w:rsid w:val="004237FD"/>
    <w:rsid w:val="00423886"/>
    <w:rsid w:val="004239D8"/>
    <w:rsid w:val="00423B69"/>
    <w:rsid w:val="00423DA1"/>
    <w:rsid w:val="00424063"/>
    <w:rsid w:val="00424126"/>
    <w:rsid w:val="004241E2"/>
    <w:rsid w:val="004241FD"/>
    <w:rsid w:val="004244C4"/>
    <w:rsid w:val="00424855"/>
    <w:rsid w:val="00424975"/>
    <w:rsid w:val="00424A5B"/>
    <w:rsid w:val="00424BC4"/>
    <w:rsid w:val="00424E92"/>
    <w:rsid w:val="004250B7"/>
    <w:rsid w:val="0042512C"/>
    <w:rsid w:val="00425318"/>
    <w:rsid w:val="00425693"/>
    <w:rsid w:val="004257F4"/>
    <w:rsid w:val="00425A07"/>
    <w:rsid w:val="00425A93"/>
    <w:rsid w:val="00425AF3"/>
    <w:rsid w:val="00425C32"/>
    <w:rsid w:val="00425D2D"/>
    <w:rsid w:val="00425E34"/>
    <w:rsid w:val="0042603B"/>
    <w:rsid w:val="0042619A"/>
    <w:rsid w:val="00426255"/>
    <w:rsid w:val="004262D9"/>
    <w:rsid w:val="004263FE"/>
    <w:rsid w:val="004266D1"/>
    <w:rsid w:val="00426707"/>
    <w:rsid w:val="0042670D"/>
    <w:rsid w:val="00426B64"/>
    <w:rsid w:val="00426D3F"/>
    <w:rsid w:val="00426F2B"/>
    <w:rsid w:val="00426F88"/>
    <w:rsid w:val="004270A2"/>
    <w:rsid w:val="004272F1"/>
    <w:rsid w:val="00427334"/>
    <w:rsid w:val="00427411"/>
    <w:rsid w:val="004279F1"/>
    <w:rsid w:val="00427ADF"/>
    <w:rsid w:val="00427BC9"/>
    <w:rsid w:val="00427D91"/>
    <w:rsid w:val="00427EB3"/>
    <w:rsid w:val="00430090"/>
    <w:rsid w:val="004300C8"/>
    <w:rsid w:val="004300DC"/>
    <w:rsid w:val="004302BA"/>
    <w:rsid w:val="004304C5"/>
    <w:rsid w:val="004305CC"/>
    <w:rsid w:val="004306C8"/>
    <w:rsid w:val="004306F8"/>
    <w:rsid w:val="00430815"/>
    <w:rsid w:val="00430A3E"/>
    <w:rsid w:val="00430BC1"/>
    <w:rsid w:val="00430BDB"/>
    <w:rsid w:val="00430DE2"/>
    <w:rsid w:val="004310ED"/>
    <w:rsid w:val="00431249"/>
    <w:rsid w:val="004313E7"/>
    <w:rsid w:val="0043176C"/>
    <w:rsid w:val="00431A06"/>
    <w:rsid w:val="00431EB8"/>
    <w:rsid w:val="00431FE3"/>
    <w:rsid w:val="00432295"/>
    <w:rsid w:val="004322D9"/>
    <w:rsid w:val="004323E2"/>
    <w:rsid w:val="0043266A"/>
    <w:rsid w:val="00432B79"/>
    <w:rsid w:val="00432BDB"/>
    <w:rsid w:val="00432C5E"/>
    <w:rsid w:val="00432DDB"/>
    <w:rsid w:val="00432DDF"/>
    <w:rsid w:val="00432EBF"/>
    <w:rsid w:val="00432F69"/>
    <w:rsid w:val="00433018"/>
    <w:rsid w:val="00433489"/>
    <w:rsid w:val="004335E9"/>
    <w:rsid w:val="00433602"/>
    <w:rsid w:val="004336C1"/>
    <w:rsid w:val="004336DF"/>
    <w:rsid w:val="00433978"/>
    <w:rsid w:val="00433B4F"/>
    <w:rsid w:val="00433CDD"/>
    <w:rsid w:val="00433E0B"/>
    <w:rsid w:val="0043405B"/>
    <w:rsid w:val="004340E0"/>
    <w:rsid w:val="004344B7"/>
    <w:rsid w:val="0043462A"/>
    <w:rsid w:val="00434840"/>
    <w:rsid w:val="004348A3"/>
    <w:rsid w:val="0043498E"/>
    <w:rsid w:val="004349BF"/>
    <w:rsid w:val="00434D74"/>
    <w:rsid w:val="00434F95"/>
    <w:rsid w:val="0043505E"/>
    <w:rsid w:val="00435337"/>
    <w:rsid w:val="004353C7"/>
    <w:rsid w:val="00435519"/>
    <w:rsid w:val="00435536"/>
    <w:rsid w:val="0043555B"/>
    <w:rsid w:val="00435F99"/>
    <w:rsid w:val="00436013"/>
    <w:rsid w:val="004364B0"/>
    <w:rsid w:val="004365B7"/>
    <w:rsid w:val="0043666B"/>
    <w:rsid w:val="004369BA"/>
    <w:rsid w:val="00436B53"/>
    <w:rsid w:val="00436BFB"/>
    <w:rsid w:val="00437070"/>
    <w:rsid w:val="004370F8"/>
    <w:rsid w:val="004376DC"/>
    <w:rsid w:val="0043770F"/>
    <w:rsid w:val="0043793E"/>
    <w:rsid w:val="00437A34"/>
    <w:rsid w:val="00437AB3"/>
    <w:rsid w:val="00437ABC"/>
    <w:rsid w:val="00437CDD"/>
    <w:rsid w:val="00437D0E"/>
    <w:rsid w:val="00437E2E"/>
    <w:rsid w:val="00440015"/>
    <w:rsid w:val="004406C1"/>
    <w:rsid w:val="004408D1"/>
    <w:rsid w:val="00440DD7"/>
    <w:rsid w:val="00440DED"/>
    <w:rsid w:val="00440EC0"/>
    <w:rsid w:val="00440F5D"/>
    <w:rsid w:val="00441030"/>
    <w:rsid w:val="00441405"/>
    <w:rsid w:val="00441490"/>
    <w:rsid w:val="00441AAC"/>
    <w:rsid w:val="00441B3D"/>
    <w:rsid w:val="00441BFB"/>
    <w:rsid w:val="00442243"/>
    <w:rsid w:val="004423DE"/>
    <w:rsid w:val="004423F4"/>
    <w:rsid w:val="0044240E"/>
    <w:rsid w:val="00442431"/>
    <w:rsid w:val="00442543"/>
    <w:rsid w:val="004428A3"/>
    <w:rsid w:val="00442A84"/>
    <w:rsid w:val="00442BC6"/>
    <w:rsid w:val="004430BB"/>
    <w:rsid w:val="004431A7"/>
    <w:rsid w:val="00443636"/>
    <w:rsid w:val="0044365F"/>
    <w:rsid w:val="0044383B"/>
    <w:rsid w:val="00443B3F"/>
    <w:rsid w:val="00443B9B"/>
    <w:rsid w:val="00443BD1"/>
    <w:rsid w:val="0044440B"/>
    <w:rsid w:val="0044472F"/>
    <w:rsid w:val="00444783"/>
    <w:rsid w:val="00444C59"/>
    <w:rsid w:val="00444ED1"/>
    <w:rsid w:val="00444FC6"/>
    <w:rsid w:val="0044506C"/>
    <w:rsid w:val="00445422"/>
    <w:rsid w:val="0044563B"/>
    <w:rsid w:val="004457C8"/>
    <w:rsid w:val="004457EE"/>
    <w:rsid w:val="00445971"/>
    <w:rsid w:val="00445A99"/>
    <w:rsid w:val="00445ABE"/>
    <w:rsid w:val="00445BC2"/>
    <w:rsid w:val="00445C65"/>
    <w:rsid w:val="00445C71"/>
    <w:rsid w:val="00445F8D"/>
    <w:rsid w:val="00446100"/>
    <w:rsid w:val="004461DB"/>
    <w:rsid w:val="00446268"/>
    <w:rsid w:val="00446335"/>
    <w:rsid w:val="00446497"/>
    <w:rsid w:val="004464FA"/>
    <w:rsid w:val="004466E4"/>
    <w:rsid w:val="00446A37"/>
    <w:rsid w:val="00446AB1"/>
    <w:rsid w:val="00446B58"/>
    <w:rsid w:val="00446C4E"/>
    <w:rsid w:val="00446C69"/>
    <w:rsid w:val="00446E59"/>
    <w:rsid w:val="004473B1"/>
    <w:rsid w:val="00447CF4"/>
    <w:rsid w:val="00447D56"/>
    <w:rsid w:val="00447E53"/>
    <w:rsid w:val="00447EB6"/>
    <w:rsid w:val="00447F16"/>
    <w:rsid w:val="004504F0"/>
    <w:rsid w:val="004504FE"/>
    <w:rsid w:val="00450D50"/>
    <w:rsid w:val="0045100C"/>
    <w:rsid w:val="00451076"/>
    <w:rsid w:val="004510BF"/>
    <w:rsid w:val="00451176"/>
    <w:rsid w:val="004511CD"/>
    <w:rsid w:val="0045139D"/>
    <w:rsid w:val="004513B1"/>
    <w:rsid w:val="004514CB"/>
    <w:rsid w:val="00451A83"/>
    <w:rsid w:val="00451DAF"/>
    <w:rsid w:val="004521F6"/>
    <w:rsid w:val="00452281"/>
    <w:rsid w:val="00452299"/>
    <w:rsid w:val="00452363"/>
    <w:rsid w:val="004524A6"/>
    <w:rsid w:val="0045298E"/>
    <w:rsid w:val="00452A61"/>
    <w:rsid w:val="00452A6C"/>
    <w:rsid w:val="00452BB8"/>
    <w:rsid w:val="00452CDE"/>
    <w:rsid w:val="00452D66"/>
    <w:rsid w:val="00452D68"/>
    <w:rsid w:val="00452F19"/>
    <w:rsid w:val="00453050"/>
    <w:rsid w:val="00453126"/>
    <w:rsid w:val="004531F7"/>
    <w:rsid w:val="00453259"/>
    <w:rsid w:val="00453E11"/>
    <w:rsid w:val="00453E33"/>
    <w:rsid w:val="00454330"/>
    <w:rsid w:val="00454349"/>
    <w:rsid w:val="0045438B"/>
    <w:rsid w:val="0045446D"/>
    <w:rsid w:val="004545E4"/>
    <w:rsid w:val="004546D5"/>
    <w:rsid w:val="004546EB"/>
    <w:rsid w:val="0045475C"/>
    <w:rsid w:val="004548F0"/>
    <w:rsid w:val="00454A11"/>
    <w:rsid w:val="00454DA3"/>
    <w:rsid w:val="00455273"/>
    <w:rsid w:val="004553A0"/>
    <w:rsid w:val="004553BC"/>
    <w:rsid w:val="00455458"/>
    <w:rsid w:val="0045593F"/>
    <w:rsid w:val="00455A69"/>
    <w:rsid w:val="00455D66"/>
    <w:rsid w:val="00455F7A"/>
    <w:rsid w:val="00455F7F"/>
    <w:rsid w:val="00455FBB"/>
    <w:rsid w:val="004560F5"/>
    <w:rsid w:val="00456253"/>
    <w:rsid w:val="004564C9"/>
    <w:rsid w:val="004564D7"/>
    <w:rsid w:val="00456556"/>
    <w:rsid w:val="0045691D"/>
    <w:rsid w:val="00456AA0"/>
    <w:rsid w:val="00456B07"/>
    <w:rsid w:val="00456C34"/>
    <w:rsid w:val="00456CE2"/>
    <w:rsid w:val="00456DC5"/>
    <w:rsid w:val="00456E5E"/>
    <w:rsid w:val="00456E6D"/>
    <w:rsid w:val="0045701E"/>
    <w:rsid w:val="00457393"/>
    <w:rsid w:val="0045745E"/>
    <w:rsid w:val="00457560"/>
    <w:rsid w:val="0045782B"/>
    <w:rsid w:val="00457BD8"/>
    <w:rsid w:val="00457D39"/>
    <w:rsid w:val="00457F6E"/>
    <w:rsid w:val="00457F79"/>
    <w:rsid w:val="00460089"/>
    <w:rsid w:val="00460158"/>
    <w:rsid w:val="00460601"/>
    <w:rsid w:val="00460657"/>
    <w:rsid w:val="00460ECA"/>
    <w:rsid w:val="00460EEC"/>
    <w:rsid w:val="0046118C"/>
    <w:rsid w:val="0046118E"/>
    <w:rsid w:val="00461279"/>
    <w:rsid w:val="00461284"/>
    <w:rsid w:val="0046134A"/>
    <w:rsid w:val="004613A1"/>
    <w:rsid w:val="004613D7"/>
    <w:rsid w:val="00461545"/>
    <w:rsid w:val="004615AF"/>
    <w:rsid w:val="00461644"/>
    <w:rsid w:val="0046168F"/>
    <w:rsid w:val="004617B6"/>
    <w:rsid w:val="004618BA"/>
    <w:rsid w:val="00461BC6"/>
    <w:rsid w:val="00461C1B"/>
    <w:rsid w:val="00461E28"/>
    <w:rsid w:val="00461F9B"/>
    <w:rsid w:val="00462C10"/>
    <w:rsid w:val="00462CDF"/>
    <w:rsid w:val="00462F1C"/>
    <w:rsid w:val="00462F92"/>
    <w:rsid w:val="004632F6"/>
    <w:rsid w:val="0046349B"/>
    <w:rsid w:val="00463507"/>
    <w:rsid w:val="004635E0"/>
    <w:rsid w:val="004637A0"/>
    <w:rsid w:val="004637D6"/>
    <w:rsid w:val="004638F4"/>
    <w:rsid w:val="00463A6B"/>
    <w:rsid w:val="00463E7C"/>
    <w:rsid w:val="00463F8B"/>
    <w:rsid w:val="00463F8F"/>
    <w:rsid w:val="00463FFE"/>
    <w:rsid w:val="004640D7"/>
    <w:rsid w:val="0046415A"/>
    <w:rsid w:val="004641E8"/>
    <w:rsid w:val="0046420E"/>
    <w:rsid w:val="00464298"/>
    <w:rsid w:val="004646E9"/>
    <w:rsid w:val="0046488C"/>
    <w:rsid w:val="0046489E"/>
    <w:rsid w:val="00464A4E"/>
    <w:rsid w:val="00464AC3"/>
    <w:rsid w:val="00464C7D"/>
    <w:rsid w:val="00464CE2"/>
    <w:rsid w:val="00464FA8"/>
    <w:rsid w:val="00465122"/>
    <w:rsid w:val="00465359"/>
    <w:rsid w:val="0046546D"/>
    <w:rsid w:val="0046551D"/>
    <w:rsid w:val="00465551"/>
    <w:rsid w:val="004657B2"/>
    <w:rsid w:val="004658C5"/>
    <w:rsid w:val="00465A5B"/>
    <w:rsid w:val="004660F6"/>
    <w:rsid w:val="00466269"/>
    <w:rsid w:val="004664F0"/>
    <w:rsid w:val="00466608"/>
    <w:rsid w:val="0046667A"/>
    <w:rsid w:val="00466735"/>
    <w:rsid w:val="0046698F"/>
    <w:rsid w:val="00466A43"/>
    <w:rsid w:val="00466FCB"/>
    <w:rsid w:val="004671AE"/>
    <w:rsid w:val="004672B1"/>
    <w:rsid w:val="004672EF"/>
    <w:rsid w:val="0046732E"/>
    <w:rsid w:val="00467A55"/>
    <w:rsid w:val="00467B4A"/>
    <w:rsid w:val="00467B78"/>
    <w:rsid w:val="00467D61"/>
    <w:rsid w:val="00467F23"/>
    <w:rsid w:val="00467F80"/>
    <w:rsid w:val="00470485"/>
    <w:rsid w:val="00470488"/>
    <w:rsid w:val="00470757"/>
    <w:rsid w:val="004708AC"/>
    <w:rsid w:val="004708D7"/>
    <w:rsid w:val="004709C6"/>
    <w:rsid w:val="00470C3E"/>
    <w:rsid w:val="00470FBD"/>
    <w:rsid w:val="00471045"/>
    <w:rsid w:val="0047120E"/>
    <w:rsid w:val="0047127F"/>
    <w:rsid w:val="00471331"/>
    <w:rsid w:val="00471345"/>
    <w:rsid w:val="004713D5"/>
    <w:rsid w:val="0047162A"/>
    <w:rsid w:val="00471738"/>
    <w:rsid w:val="0047187B"/>
    <w:rsid w:val="00471B19"/>
    <w:rsid w:val="00471C4C"/>
    <w:rsid w:val="00471C5A"/>
    <w:rsid w:val="00471D2D"/>
    <w:rsid w:val="00471DCF"/>
    <w:rsid w:val="00471DD9"/>
    <w:rsid w:val="00471EBE"/>
    <w:rsid w:val="00472016"/>
    <w:rsid w:val="00472039"/>
    <w:rsid w:val="0047209C"/>
    <w:rsid w:val="004720D5"/>
    <w:rsid w:val="00472355"/>
    <w:rsid w:val="00472384"/>
    <w:rsid w:val="00472423"/>
    <w:rsid w:val="004724EE"/>
    <w:rsid w:val="004728DE"/>
    <w:rsid w:val="0047297D"/>
    <w:rsid w:val="00472C48"/>
    <w:rsid w:val="00472EB7"/>
    <w:rsid w:val="00472EF7"/>
    <w:rsid w:val="004730D6"/>
    <w:rsid w:val="0047351A"/>
    <w:rsid w:val="004736AF"/>
    <w:rsid w:val="00473B52"/>
    <w:rsid w:val="00473BCA"/>
    <w:rsid w:val="00473DDD"/>
    <w:rsid w:val="00473E75"/>
    <w:rsid w:val="00473F03"/>
    <w:rsid w:val="00473F20"/>
    <w:rsid w:val="00473F99"/>
    <w:rsid w:val="00474059"/>
    <w:rsid w:val="00474153"/>
    <w:rsid w:val="004741B0"/>
    <w:rsid w:val="004741ED"/>
    <w:rsid w:val="00474489"/>
    <w:rsid w:val="00474494"/>
    <w:rsid w:val="004747C0"/>
    <w:rsid w:val="00474901"/>
    <w:rsid w:val="004749B1"/>
    <w:rsid w:val="00474D4D"/>
    <w:rsid w:val="00474DB4"/>
    <w:rsid w:val="00474F7A"/>
    <w:rsid w:val="00475106"/>
    <w:rsid w:val="004755A4"/>
    <w:rsid w:val="004755B2"/>
    <w:rsid w:val="00475607"/>
    <w:rsid w:val="004759D6"/>
    <w:rsid w:val="00475DDF"/>
    <w:rsid w:val="00475EB7"/>
    <w:rsid w:val="00475EF9"/>
    <w:rsid w:val="004760A4"/>
    <w:rsid w:val="00476129"/>
    <w:rsid w:val="0047647F"/>
    <w:rsid w:val="00476816"/>
    <w:rsid w:val="00476822"/>
    <w:rsid w:val="004768A1"/>
    <w:rsid w:val="004769D3"/>
    <w:rsid w:val="004769D5"/>
    <w:rsid w:val="00477938"/>
    <w:rsid w:val="00477B54"/>
    <w:rsid w:val="00477B57"/>
    <w:rsid w:val="00480096"/>
    <w:rsid w:val="004802F4"/>
    <w:rsid w:val="004807A8"/>
    <w:rsid w:val="0048093B"/>
    <w:rsid w:val="004809A3"/>
    <w:rsid w:val="00480F1D"/>
    <w:rsid w:val="00480F9E"/>
    <w:rsid w:val="0048102F"/>
    <w:rsid w:val="00481091"/>
    <w:rsid w:val="0048109C"/>
    <w:rsid w:val="004813CF"/>
    <w:rsid w:val="0048165B"/>
    <w:rsid w:val="004816DB"/>
    <w:rsid w:val="00481743"/>
    <w:rsid w:val="004818F2"/>
    <w:rsid w:val="00481907"/>
    <w:rsid w:val="0048195F"/>
    <w:rsid w:val="00481A6E"/>
    <w:rsid w:val="00481D59"/>
    <w:rsid w:val="00481EF9"/>
    <w:rsid w:val="00482100"/>
    <w:rsid w:val="00482239"/>
    <w:rsid w:val="004822D8"/>
    <w:rsid w:val="00482903"/>
    <w:rsid w:val="00482B33"/>
    <w:rsid w:val="00482D90"/>
    <w:rsid w:val="00482FEF"/>
    <w:rsid w:val="0048309D"/>
    <w:rsid w:val="00483435"/>
    <w:rsid w:val="004835BB"/>
    <w:rsid w:val="00483716"/>
    <w:rsid w:val="004838AA"/>
    <w:rsid w:val="004838E5"/>
    <w:rsid w:val="00483929"/>
    <w:rsid w:val="00483A12"/>
    <w:rsid w:val="00483B99"/>
    <w:rsid w:val="00483CE8"/>
    <w:rsid w:val="00483CED"/>
    <w:rsid w:val="00483EA7"/>
    <w:rsid w:val="00484475"/>
    <w:rsid w:val="004844DB"/>
    <w:rsid w:val="00484762"/>
    <w:rsid w:val="0048479B"/>
    <w:rsid w:val="00484B12"/>
    <w:rsid w:val="00484B2D"/>
    <w:rsid w:val="00484B3E"/>
    <w:rsid w:val="00484EE4"/>
    <w:rsid w:val="004852EE"/>
    <w:rsid w:val="00485858"/>
    <w:rsid w:val="00485904"/>
    <w:rsid w:val="004859CD"/>
    <w:rsid w:val="00485C1D"/>
    <w:rsid w:val="00485C55"/>
    <w:rsid w:val="00485E19"/>
    <w:rsid w:val="004860C5"/>
    <w:rsid w:val="0048613E"/>
    <w:rsid w:val="00486215"/>
    <w:rsid w:val="00486672"/>
    <w:rsid w:val="00486A3E"/>
    <w:rsid w:val="00486AC4"/>
    <w:rsid w:val="00486BB9"/>
    <w:rsid w:val="00486EC6"/>
    <w:rsid w:val="0048714A"/>
    <w:rsid w:val="00487276"/>
    <w:rsid w:val="004877DB"/>
    <w:rsid w:val="00487893"/>
    <w:rsid w:val="004879A9"/>
    <w:rsid w:val="00487BE6"/>
    <w:rsid w:val="004900F7"/>
    <w:rsid w:val="00490150"/>
    <w:rsid w:val="004901C5"/>
    <w:rsid w:val="004901EC"/>
    <w:rsid w:val="00490487"/>
    <w:rsid w:val="004905E8"/>
    <w:rsid w:val="0049075F"/>
    <w:rsid w:val="00490846"/>
    <w:rsid w:val="00490AEE"/>
    <w:rsid w:val="00490B65"/>
    <w:rsid w:val="00490CE2"/>
    <w:rsid w:val="00490F7C"/>
    <w:rsid w:val="004910E9"/>
    <w:rsid w:val="00491173"/>
    <w:rsid w:val="00491443"/>
    <w:rsid w:val="004915BF"/>
    <w:rsid w:val="00491711"/>
    <w:rsid w:val="00491735"/>
    <w:rsid w:val="004919B7"/>
    <w:rsid w:val="00491A90"/>
    <w:rsid w:val="00491AB9"/>
    <w:rsid w:val="00491BAB"/>
    <w:rsid w:val="00491BD0"/>
    <w:rsid w:val="00491CCC"/>
    <w:rsid w:val="00491D30"/>
    <w:rsid w:val="00491F97"/>
    <w:rsid w:val="00491FAE"/>
    <w:rsid w:val="004920F3"/>
    <w:rsid w:val="004922BC"/>
    <w:rsid w:val="004922E7"/>
    <w:rsid w:val="00492674"/>
    <w:rsid w:val="004928AB"/>
    <w:rsid w:val="00492C7F"/>
    <w:rsid w:val="00492CBA"/>
    <w:rsid w:val="00492E55"/>
    <w:rsid w:val="004931DB"/>
    <w:rsid w:val="00493278"/>
    <w:rsid w:val="0049334B"/>
    <w:rsid w:val="004933AD"/>
    <w:rsid w:val="004936C0"/>
    <w:rsid w:val="0049379C"/>
    <w:rsid w:val="00493956"/>
    <w:rsid w:val="00493F7B"/>
    <w:rsid w:val="004940F6"/>
    <w:rsid w:val="004941FC"/>
    <w:rsid w:val="00494240"/>
    <w:rsid w:val="004942E4"/>
    <w:rsid w:val="00494333"/>
    <w:rsid w:val="00494904"/>
    <w:rsid w:val="004949B4"/>
    <w:rsid w:val="00494C2E"/>
    <w:rsid w:val="00494EF5"/>
    <w:rsid w:val="00495188"/>
    <w:rsid w:val="0049534C"/>
    <w:rsid w:val="00495397"/>
    <w:rsid w:val="004958F4"/>
    <w:rsid w:val="00495930"/>
    <w:rsid w:val="00495A40"/>
    <w:rsid w:val="00495A52"/>
    <w:rsid w:val="00495B6C"/>
    <w:rsid w:val="00495DC4"/>
    <w:rsid w:val="00495FA6"/>
    <w:rsid w:val="0049656B"/>
    <w:rsid w:val="0049674B"/>
    <w:rsid w:val="00496C69"/>
    <w:rsid w:val="00496D74"/>
    <w:rsid w:val="00496E65"/>
    <w:rsid w:val="004972D9"/>
    <w:rsid w:val="004972F2"/>
    <w:rsid w:val="00497318"/>
    <w:rsid w:val="004976CB"/>
    <w:rsid w:val="00497773"/>
    <w:rsid w:val="004978B6"/>
    <w:rsid w:val="00497942"/>
    <w:rsid w:val="004979A5"/>
    <w:rsid w:val="00497A85"/>
    <w:rsid w:val="00497AF8"/>
    <w:rsid w:val="00497D3E"/>
    <w:rsid w:val="004A00A0"/>
    <w:rsid w:val="004A039F"/>
    <w:rsid w:val="004A053C"/>
    <w:rsid w:val="004A06C1"/>
    <w:rsid w:val="004A0B5A"/>
    <w:rsid w:val="004A0B66"/>
    <w:rsid w:val="004A0FC8"/>
    <w:rsid w:val="004A1240"/>
    <w:rsid w:val="004A1346"/>
    <w:rsid w:val="004A1636"/>
    <w:rsid w:val="004A1C93"/>
    <w:rsid w:val="004A1F90"/>
    <w:rsid w:val="004A2485"/>
    <w:rsid w:val="004A24C2"/>
    <w:rsid w:val="004A2583"/>
    <w:rsid w:val="004A273A"/>
    <w:rsid w:val="004A27FC"/>
    <w:rsid w:val="004A2810"/>
    <w:rsid w:val="004A2945"/>
    <w:rsid w:val="004A2C49"/>
    <w:rsid w:val="004A30E8"/>
    <w:rsid w:val="004A35D1"/>
    <w:rsid w:val="004A3719"/>
    <w:rsid w:val="004A3941"/>
    <w:rsid w:val="004A3C5F"/>
    <w:rsid w:val="004A3C67"/>
    <w:rsid w:val="004A3CE4"/>
    <w:rsid w:val="004A3DB8"/>
    <w:rsid w:val="004A3E15"/>
    <w:rsid w:val="004A3FA4"/>
    <w:rsid w:val="004A406D"/>
    <w:rsid w:val="004A40A3"/>
    <w:rsid w:val="004A425A"/>
    <w:rsid w:val="004A4329"/>
    <w:rsid w:val="004A43A8"/>
    <w:rsid w:val="004A44F5"/>
    <w:rsid w:val="004A458C"/>
    <w:rsid w:val="004A4670"/>
    <w:rsid w:val="004A4848"/>
    <w:rsid w:val="004A48BB"/>
    <w:rsid w:val="004A4CB1"/>
    <w:rsid w:val="004A4F52"/>
    <w:rsid w:val="004A4F88"/>
    <w:rsid w:val="004A4FB8"/>
    <w:rsid w:val="004A5161"/>
    <w:rsid w:val="004A56B5"/>
    <w:rsid w:val="004A5F43"/>
    <w:rsid w:val="004A5F7D"/>
    <w:rsid w:val="004A6064"/>
    <w:rsid w:val="004A60FC"/>
    <w:rsid w:val="004A626F"/>
    <w:rsid w:val="004A634E"/>
    <w:rsid w:val="004A6379"/>
    <w:rsid w:val="004A6381"/>
    <w:rsid w:val="004A649A"/>
    <w:rsid w:val="004A663C"/>
    <w:rsid w:val="004A6799"/>
    <w:rsid w:val="004A69CD"/>
    <w:rsid w:val="004A6A5A"/>
    <w:rsid w:val="004A6B3D"/>
    <w:rsid w:val="004A725E"/>
    <w:rsid w:val="004A76F6"/>
    <w:rsid w:val="004A786A"/>
    <w:rsid w:val="004A78F8"/>
    <w:rsid w:val="004B00A9"/>
    <w:rsid w:val="004B0420"/>
    <w:rsid w:val="004B0461"/>
    <w:rsid w:val="004B0495"/>
    <w:rsid w:val="004B0575"/>
    <w:rsid w:val="004B07E2"/>
    <w:rsid w:val="004B0810"/>
    <w:rsid w:val="004B0983"/>
    <w:rsid w:val="004B0A52"/>
    <w:rsid w:val="004B0BD6"/>
    <w:rsid w:val="004B0FCE"/>
    <w:rsid w:val="004B1124"/>
    <w:rsid w:val="004B1186"/>
    <w:rsid w:val="004B14FA"/>
    <w:rsid w:val="004B1565"/>
    <w:rsid w:val="004B1687"/>
    <w:rsid w:val="004B1D68"/>
    <w:rsid w:val="004B1FD7"/>
    <w:rsid w:val="004B2764"/>
    <w:rsid w:val="004B2C16"/>
    <w:rsid w:val="004B2C7A"/>
    <w:rsid w:val="004B2EF7"/>
    <w:rsid w:val="004B2FC6"/>
    <w:rsid w:val="004B350E"/>
    <w:rsid w:val="004B3630"/>
    <w:rsid w:val="004B39DB"/>
    <w:rsid w:val="004B3B99"/>
    <w:rsid w:val="004B3D57"/>
    <w:rsid w:val="004B4245"/>
    <w:rsid w:val="004B42B4"/>
    <w:rsid w:val="004B460C"/>
    <w:rsid w:val="004B48BB"/>
    <w:rsid w:val="004B49DE"/>
    <w:rsid w:val="004B4B4C"/>
    <w:rsid w:val="004B4BCE"/>
    <w:rsid w:val="004B4CB5"/>
    <w:rsid w:val="004B4D8B"/>
    <w:rsid w:val="004B4EC4"/>
    <w:rsid w:val="004B5240"/>
    <w:rsid w:val="004B5274"/>
    <w:rsid w:val="004B5524"/>
    <w:rsid w:val="004B5553"/>
    <w:rsid w:val="004B5658"/>
    <w:rsid w:val="004B5761"/>
    <w:rsid w:val="004B578D"/>
    <w:rsid w:val="004B5AA5"/>
    <w:rsid w:val="004B5B6A"/>
    <w:rsid w:val="004B5C1D"/>
    <w:rsid w:val="004B5E15"/>
    <w:rsid w:val="004B5E50"/>
    <w:rsid w:val="004B6079"/>
    <w:rsid w:val="004B6107"/>
    <w:rsid w:val="004B6150"/>
    <w:rsid w:val="004B63F3"/>
    <w:rsid w:val="004B6486"/>
    <w:rsid w:val="004B65C1"/>
    <w:rsid w:val="004B662A"/>
    <w:rsid w:val="004B6FF5"/>
    <w:rsid w:val="004B714E"/>
    <w:rsid w:val="004B7233"/>
    <w:rsid w:val="004B724D"/>
    <w:rsid w:val="004B72B9"/>
    <w:rsid w:val="004B73E3"/>
    <w:rsid w:val="004B756F"/>
    <w:rsid w:val="004B779F"/>
    <w:rsid w:val="004B792C"/>
    <w:rsid w:val="004B793A"/>
    <w:rsid w:val="004B7A7F"/>
    <w:rsid w:val="004B7B40"/>
    <w:rsid w:val="004B7C63"/>
    <w:rsid w:val="004B7EE6"/>
    <w:rsid w:val="004B7F9C"/>
    <w:rsid w:val="004B7FC9"/>
    <w:rsid w:val="004C0172"/>
    <w:rsid w:val="004C0371"/>
    <w:rsid w:val="004C03CD"/>
    <w:rsid w:val="004C0490"/>
    <w:rsid w:val="004C0721"/>
    <w:rsid w:val="004C0D88"/>
    <w:rsid w:val="004C100B"/>
    <w:rsid w:val="004C11AB"/>
    <w:rsid w:val="004C130F"/>
    <w:rsid w:val="004C1409"/>
    <w:rsid w:val="004C147D"/>
    <w:rsid w:val="004C153A"/>
    <w:rsid w:val="004C16AA"/>
    <w:rsid w:val="004C19F0"/>
    <w:rsid w:val="004C1C8D"/>
    <w:rsid w:val="004C1D42"/>
    <w:rsid w:val="004C1D65"/>
    <w:rsid w:val="004C1F3B"/>
    <w:rsid w:val="004C2112"/>
    <w:rsid w:val="004C2120"/>
    <w:rsid w:val="004C228C"/>
    <w:rsid w:val="004C22D4"/>
    <w:rsid w:val="004C22FC"/>
    <w:rsid w:val="004C2840"/>
    <w:rsid w:val="004C288A"/>
    <w:rsid w:val="004C2F53"/>
    <w:rsid w:val="004C2F6C"/>
    <w:rsid w:val="004C306D"/>
    <w:rsid w:val="004C3202"/>
    <w:rsid w:val="004C325D"/>
    <w:rsid w:val="004C3317"/>
    <w:rsid w:val="004C36AD"/>
    <w:rsid w:val="004C36B4"/>
    <w:rsid w:val="004C3976"/>
    <w:rsid w:val="004C39EC"/>
    <w:rsid w:val="004C3AC3"/>
    <w:rsid w:val="004C3D66"/>
    <w:rsid w:val="004C3D8B"/>
    <w:rsid w:val="004C3DB9"/>
    <w:rsid w:val="004C3DCE"/>
    <w:rsid w:val="004C3F4B"/>
    <w:rsid w:val="004C4082"/>
    <w:rsid w:val="004C40CF"/>
    <w:rsid w:val="004C43B8"/>
    <w:rsid w:val="004C470C"/>
    <w:rsid w:val="004C4864"/>
    <w:rsid w:val="004C486E"/>
    <w:rsid w:val="004C4A2C"/>
    <w:rsid w:val="004C4A30"/>
    <w:rsid w:val="004C4AE7"/>
    <w:rsid w:val="004C4B40"/>
    <w:rsid w:val="004C4BCC"/>
    <w:rsid w:val="004C4D68"/>
    <w:rsid w:val="004C4D88"/>
    <w:rsid w:val="004C508A"/>
    <w:rsid w:val="004C50AA"/>
    <w:rsid w:val="004C51EB"/>
    <w:rsid w:val="004C5516"/>
    <w:rsid w:val="004C554D"/>
    <w:rsid w:val="004C5695"/>
    <w:rsid w:val="004C5868"/>
    <w:rsid w:val="004C58D8"/>
    <w:rsid w:val="004C59D6"/>
    <w:rsid w:val="004C5A33"/>
    <w:rsid w:val="004C5BB5"/>
    <w:rsid w:val="004C5D01"/>
    <w:rsid w:val="004C5E1F"/>
    <w:rsid w:val="004C5E27"/>
    <w:rsid w:val="004C5E60"/>
    <w:rsid w:val="004C5E8F"/>
    <w:rsid w:val="004C5F7D"/>
    <w:rsid w:val="004C64F6"/>
    <w:rsid w:val="004C6756"/>
    <w:rsid w:val="004C6B5D"/>
    <w:rsid w:val="004C6C22"/>
    <w:rsid w:val="004C704C"/>
    <w:rsid w:val="004C7211"/>
    <w:rsid w:val="004C72E1"/>
    <w:rsid w:val="004C7705"/>
    <w:rsid w:val="004C7D3A"/>
    <w:rsid w:val="004D03CC"/>
    <w:rsid w:val="004D053C"/>
    <w:rsid w:val="004D05FF"/>
    <w:rsid w:val="004D074C"/>
    <w:rsid w:val="004D0872"/>
    <w:rsid w:val="004D0C2E"/>
    <w:rsid w:val="004D0CF5"/>
    <w:rsid w:val="004D0E23"/>
    <w:rsid w:val="004D0FEC"/>
    <w:rsid w:val="004D10AC"/>
    <w:rsid w:val="004D10FD"/>
    <w:rsid w:val="004D1154"/>
    <w:rsid w:val="004D1191"/>
    <w:rsid w:val="004D1757"/>
    <w:rsid w:val="004D1811"/>
    <w:rsid w:val="004D1A6D"/>
    <w:rsid w:val="004D1B15"/>
    <w:rsid w:val="004D1CD5"/>
    <w:rsid w:val="004D2246"/>
    <w:rsid w:val="004D22EF"/>
    <w:rsid w:val="004D2476"/>
    <w:rsid w:val="004D2859"/>
    <w:rsid w:val="004D2C55"/>
    <w:rsid w:val="004D2D54"/>
    <w:rsid w:val="004D2EC0"/>
    <w:rsid w:val="004D3271"/>
    <w:rsid w:val="004D328C"/>
    <w:rsid w:val="004D338A"/>
    <w:rsid w:val="004D338F"/>
    <w:rsid w:val="004D3488"/>
    <w:rsid w:val="004D352F"/>
    <w:rsid w:val="004D354E"/>
    <w:rsid w:val="004D363D"/>
    <w:rsid w:val="004D36F7"/>
    <w:rsid w:val="004D37B6"/>
    <w:rsid w:val="004D3981"/>
    <w:rsid w:val="004D39A9"/>
    <w:rsid w:val="004D3A03"/>
    <w:rsid w:val="004D3A39"/>
    <w:rsid w:val="004D3D09"/>
    <w:rsid w:val="004D3D3C"/>
    <w:rsid w:val="004D3DF9"/>
    <w:rsid w:val="004D4132"/>
    <w:rsid w:val="004D45AA"/>
    <w:rsid w:val="004D46C5"/>
    <w:rsid w:val="004D49B1"/>
    <w:rsid w:val="004D4C89"/>
    <w:rsid w:val="004D4F45"/>
    <w:rsid w:val="004D507E"/>
    <w:rsid w:val="004D5082"/>
    <w:rsid w:val="004D526C"/>
    <w:rsid w:val="004D52F3"/>
    <w:rsid w:val="004D543A"/>
    <w:rsid w:val="004D5590"/>
    <w:rsid w:val="004D55D0"/>
    <w:rsid w:val="004D5633"/>
    <w:rsid w:val="004D57ED"/>
    <w:rsid w:val="004D598D"/>
    <w:rsid w:val="004D5BC2"/>
    <w:rsid w:val="004D5BE8"/>
    <w:rsid w:val="004D5E46"/>
    <w:rsid w:val="004D64B2"/>
    <w:rsid w:val="004D66C9"/>
    <w:rsid w:val="004D66D9"/>
    <w:rsid w:val="004D6765"/>
    <w:rsid w:val="004D6B60"/>
    <w:rsid w:val="004D6FC1"/>
    <w:rsid w:val="004D7442"/>
    <w:rsid w:val="004D7568"/>
    <w:rsid w:val="004D75A7"/>
    <w:rsid w:val="004D78AA"/>
    <w:rsid w:val="004D79C6"/>
    <w:rsid w:val="004D7DEA"/>
    <w:rsid w:val="004D7EDE"/>
    <w:rsid w:val="004D7FA6"/>
    <w:rsid w:val="004E00B0"/>
    <w:rsid w:val="004E0375"/>
    <w:rsid w:val="004E053E"/>
    <w:rsid w:val="004E081B"/>
    <w:rsid w:val="004E0A30"/>
    <w:rsid w:val="004E0A50"/>
    <w:rsid w:val="004E0D8B"/>
    <w:rsid w:val="004E1045"/>
    <w:rsid w:val="004E10CE"/>
    <w:rsid w:val="004E1201"/>
    <w:rsid w:val="004E16E4"/>
    <w:rsid w:val="004E19C3"/>
    <w:rsid w:val="004E1CA9"/>
    <w:rsid w:val="004E1D7B"/>
    <w:rsid w:val="004E1FF2"/>
    <w:rsid w:val="004E2740"/>
    <w:rsid w:val="004E2772"/>
    <w:rsid w:val="004E2DF0"/>
    <w:rsid w:val="004E2EAE"/>
    <w:rsid w:val="004E31D9"/>
    <w:rsid w:val="004E3204"/>
    <w:rsid w:val="004E33EE"/>
    <w:rsid w:val="004E35AA"/>
    <w:rsid w:val="004E37D4"/>
    <w:rsid w:val="004E382C"/>
    <w:rsid w:val="004E39D3"/>
    <w:rsid w:val="004E3CDE"/>
    <w:rsid w:val="004E3FC3"/>
    <w:rsid w:val="004E3FF2"/>
    <w:rsid w:val="004E40EB"/>
    <w:rsid w:val="004E42A6"/>
    <w:rsid w:val="004E44D0"/>
    <w:rsid w:val="004E4952"/>
    <w:rsid w:val="004E4AAB"/>
    <w:rsid w:val="004E4D48"/>
    <w:rsid w:val="004E4F1C"/>
    <w:rsid w:val="004E5271"/>
    <w:rsid w:val="004E5312"/>
    <w:rsid w:val="004E567F"/>
    <w:rsid w:val="004E5705"/>
    <w:rsid w:val="004E572A"/>
    <w:rsid w:val="004E5870"/>
    <w:rsid w:val="004E5D39"/>
    <w:rsid w:val="004E5E78"/>
    <w:rsid w:val="004E5E8F"/>
    <w:rsid w:val="004E5F14"/>
    <w:rsid w:val="004E6220"/>
    <w:rsid w:val="004E6330"/>
    <w:rsid w:val="004E6474"/>
    <w:rsid w:val="004E6487"/>
    <w:rsid w:val="004E651E"/>
    <w:rsid w:val="004E660C"/>
    <w:rsid w:val="004E6729"/>
    <w:rsid w:val="004E6857"/>
    <w:rsid w:val="004E69DB"/>
    <w:rsid w:val="004E6B94"/>
    <w:rsid w:val="004E6E66"/>
    <w:rsid w:val="004E6FF2"/>
    <w:rsid w:val="004E7095"/>
    <w:rsid w:val="004E70BF"/>
    <w:rsid w:val="004E75E3"/>
    <w:rsid w:val="004E7627"/>
    <w:rsid w:val="004E7761"/>
    <w:rsid w:val="004E79D9"/>
    <w:rsid w:val="004E7A13"/>
    <w:rsid w:val="004E7ADD"/>
    <w:rsid w:val="004E7D16"/>
    <w:rsid w:val="004E7E0B"/>
    <w:rsid w:val="004F0319"/>
    <w:rsid w:val="004F0731"/>
    <w:rsid w:val="004F0747"/>
    <w:rsid w:val="004F0ACD"/>
    <w:rsid w:val="004F0DC1"/>
    <w:rsid w:val="004F0E5A"/>
    <w:rsid w:val="004F0F71"/>
    <w:rsid w:val="004F0FD2"/>
    <w:rsid w:val="004F104B"/>
    <w:rsid w:val="004F1073"/>
    <w:rsid w:val="004F111B"/>
    <w:rsid w:val="004F128F"/>
    <w:rsid w:val="004F1420"/>
    <w:rsid w:val="004F15DE"/>
    <w:rsid w:val="004F19BA"/>
    <w:rsid w:val="004F1A6A"/>
    <w:rsid w:val="004F1DDB"/>
    <w:rsid w:val="004F1F4D"/>
    <w:rsid w:val="004F2217"/>
    <w:rsid w:val="004F22E1"/>
    <w:rsid w:val="004F23E7"/>
    <w:rsid w:val="004F2607"/>
    <w:rsid w:val="004F292C"/>
    <w:rsid w:val="004F2A6D"/>
    <w:rsid w:val="004F2BAB"/>
    <w:rsid w:val="004F2BDE"/>
    <w:rsid w:val="004F2C23"/>
    <w:rsid w:val="004F2D9A"/>
    <w:rsid w:val="004F2FE5"/>
    <w:rsid w:val="004F31F3"/>
    <w:rsid w:val="004F3230"/>
    <w:rsid w:val="004F3261"/>
    <w:rsid w:val="004F3352"/>
    <w:rsid w:val="004F3644"/>
    <w:rsid w:val="004F374E"/>
    <w:rsid w:val="004F37F5"/>
    <w:rsid w:val="004F3B34"/>
    <w:rsid w:val="004F3B6F"/>
    <w:rsid w:val="004F3D77"/>
    <w:rsid w:val="004F3F39"/>
    <w:rsid w:val="004F3F7B"/>
    <w:rsid w:val="004F3FC4"/>
    <w:rsid w:val="004F41DC"/>
    <w:rsid w:val="004F4217"/>
    <w:rsid w:val="004F42C0"/>
    <w:rsid w:val="004F4752"/>
    <w:rsid w:val="004F4870"/>
    <w:rsid w:val="004F4990"/>
    <w:rsid w:val="004F4D17"/>
    <w:rsid w:val="004F4FDD"/>
    <w:rsid w:val="004F50AD"/>
    <w:rsid w:val="004F535D"/>
    <w:rsid w:val="004F54BD"/>
    <w:rsid w:val="004F55EA"/>
    <w:rsid w:val="004F599C"/>
    <w:rsid w:val="004F6066"/>
    <w:rsid w:val="004F61E3"/>
    <w:rsid w:val="004F6349"/>
    <w:rsid w:val="004F639C"/>
    <w:rsid w:val="004F6435"/>
    <w:rsid w:val="004F66C8"/>
    <w:rsid w:val="004F670B"/>
    <w:rsid w:val="004F68E3"/>
    <w:rsid w:val="004F6B36"/>
    <w:rsid w:val="004F6DC6"/>
    <w:rsid w:val="004F6E67"/>
    <w:rsid w:val="004F70B5"/>
    <w:rsid w:val="004F75F7"/>
    <w:rsid w:val="004F7691"/>
    <w:rsid w:val="004F78C8"/>
    <w:rsid w:val="004F7A5D"/>
    <w:rsid w:val="004F7B83"/>
    <w:rsid w:val="004F7D30"/>
    <w:rsid w:val="004F7DAE"/>
    <w:rsid w:val="004F7FC7"/>
    <w:rsid w:val="0050023C"/>
    <w:rsid w:val="00500AC9"/>
    <w:rsid w:val="00500DA9"/>
    <w:rsid w:val="00500FA8"/>
    <w:rsid w:val="005013E9"/>
    <w:rsid w:val="005015E0"/>
    <w:rsid w:val="00501649"/>
    <w:rsid w:val="00501682"/>
    <w:rsid w:val="005016C9"/>
    <w:rsid w:val="005017FC"/>
    <w:rsid w:val="00501942"/>
    <w:rsid w:val="00501BD4"/>
    <w:rsid w:val="00501E75"/>
    <w:rsid w:val="00502355"/>
    <w:rsid w:val="005024F5"/>
    <w:rsid w:val="00502573"/>
    <w:rsid w:val="0050271D"/>
    <w:rsid w:val="00502728"/>
    <w:rsid w:val="00502DA6"/>
    <w:rsid w:val="0050319D"/>
    <w:rsid w:val="005031B4"/>
    <w:rsid w:val="00503228"/>
    <w:rsid w:val="00503327"/>
    <w:rsid w:val="005034A0"/>
    <w:rsid w:val="005035D6"/>
    <w:rsid w:val="00503948"/>
    <w:rsid w:val="00503B29"/>
    <w:rsid w:val="00503C1F"/>
    <w:rsid w:val="00503EEF"/>
    <w:rsid w:val="00504367"/>
    <w:rsid w:val="00504877"/>
    <w:rsid w:val="00504B11"/>
    <w:rsid w:val="00504E78"/>
    <w:rsid w:val="00504F60"/>
    <w:rsid w:val="0050573F"/>
    <w:rsid w:val="0050579B"/>
    <w:rsid w:val="00505928"/>
    <w:rsid w:val="00505A38"/>
    <w:rsid w:val="00505A79"/>
    <w:rsid w:val="00505AA5"/>
    <w:rsid w:val="00505B78"/>
    <w:rsid w:val="00505D60"/>
    <w:rsid w:val="00506015"/>
    <w:rsid w:val="00506167"/>
    <w:rsid w:val="005061B4"/>
    <w:rsid w:val="005063C6"/>
    <w:rsid w:val="005064D8"/>
    <w:rsid w:val="00506763"/>
    <w:rsid w:val="00506780"/>
    <w:rsid w:val="0050693D"/>
    <w:rsid w:val="00506B42"/>
    <w:rsid w:val="00506BFF"/>
    <w:rsid w:val="00506C52"/>
    <w:rsid w:val="00506E0A"/>
    <w:rsid w:val="00506F88"/>
    <w:rsid w:val="00506FF0"/>
    <w:rsid w:val="0050706E"/>
    <w:rsid w:val="0050711A"/>
    <w:rsid w:val="00507275"/>
    <w:rsid w:val="00507290"/>
    <w:rsid w:val="00507397"/>
    <w:rsid w:val="0050741D"/>
    <w:rsid w:val="00507698"/>
    <w:rsid w:val="00507A8B"/>
    <w:rsid w:val="00507CF5"/>
    <w:rsid w:val="00507DD1"/>
    <w:rsid w:val="00507E76"/>
    <w:rsid w:val="00507EC6"/>
    <w:rsid w:val="005100D9"/>
    <w:rsid w:val="005104C5"/>
    <w:rsid w:val="0051058D"/>
    <w:rsid w:val="0051066B"/>
    <w:rsid w:val="00510766"/>
    <w:rsid w:val="0051082E"/>
    <w:rsid w:val="00510C64"/>
    <w:rsid w:val="005110C6"/>
    <w:rsid w:val="00511373"/>
    <w:rsid w:val="0051152D"/>
    <w:rsid w:val="00511773"/>
    <w:rsid w:val="00511991"/>
    <w:rsid w:val="00511B2D"/>
    <w:rsid w:val="00511BAD"/>
    <w:rsid w:val="00511C30"/>
    <w:rsid w:val="00511F0E"/>
    <w:rsid w:val="005120CB"/>
    <w:rsid w:val="0051249E"/>
    <w:rsid w:val="00512545"/>
    <w:rsid w:val="00512594"/>
    <w:rsid w:val="00512649"/>
    <w:rsid w:val="005126EA"/>
    <w:rsid w:val="00512901"/>
    <w:rsid w:val="0051294E"/>
    <w:rsid w:val="00512AB7"/>
    <w:rsid w:val="00512BB2"/>
    <w:rsid w:val="00512CC4"/>
    <w:rsid w:val="00512CDD"/>
    <w:rsid w:val="00512D5A"/>
    <w:rsid w:val="00512E71"/>
    <w:rsid w:val="00512F31"/>
    <w:rsid w:val="00512FD4"/>
    <w:rsid w:val="005130A0"/>
    <w:rsid w:val="005130CC"/>
    <w:rsid w:val="0051312A"/>
    <w:rsid w:val="005135BD"/>
    <w:rsid w:val="005135E5"/>
    <w:rsid w:val="005139BE"/>
    <w:rsid w:val="00513B7A"/>
    <w:rsid w:val="00513CC8"/>
    <w:rsid w:val="00514436"/>
    <w:rsid w:val="005145E2"/>
    <w:rsid w:val="00514A01"/>
    <w:rsid w:val="00514B4F"/>
    <w:rsid w:val="00514EE4"/>
    <w:rsid w:val="005151AE"/>
    <w:rsid w:val="00515238"/>
    <w:rsid w:val="0051557F"/>
    <w:rsid w:val="005156C8"/>
    <w:rsid w:val="00515A8D"/>
    <w:rsid w:val="00515DEB"/>
    <w:rsid w:val="00515E1A"/>
    <w:rsid w:val="005161C1"/>
    <w:rsid w:val="005167F0"/>
    <w:rsid w:val="0051687D"/>
    <w:rsid w:val="005169B6"/>
    <w:rsid w:val="00516B04"/>
    <w:rsid w:val="00516F93"/>
    <w:rsid w:val="00517139"/>
    <w:rsid w:val="0051713F"/>
    <w:rsid w:val="00517299"/>
    <w:rsid w:val="00517441"/>
    <w:rsid w:val="005176F7"/>
    <w:rsid w:val="005177DB"/>
    <w:rsid w:val="00517871"/>
    <w:rsid w:val="005178F0"/>
    <w:rsid w:val="00517A3D"/>
    <w:rsid w:val="00517A74"/>
    <w:rsid w:val="00517EE4"/>
    <w:rsid w:val="00517F38"/>
    <w:rsid w:val="00517F52"/>
    <w:rsid w:val="0052017B"/>
    <w:rsid w:val="0052052D"/>
    <w:rsid w:val="005205B6"/>
    <w:rsid w:val="00520A8B"/>
    <w:rsid w:val="00521016"/>
    <w:rsid w:val="005210E0"/>
    <w:rsid w:val="0052125C"/>
    <w:rsid w:val="005215D4"/>
    <w:rsid w:val="00521663"/>
    <w:rsid w:val="005217E8"/>
    <w:rsid w:val="00521851"/>
    <w:rsid w:val="0052192E"/>
    <w:rsid w:val="005224FF"/>
    <w:rsid w:val="005226C2"/>
    <w:rsid w:val="0052276E"/>
    <w:rsid w:val="005227C6"/>
    <w:rsid w:val="00522C96"/>
    <w:rsid w:val="00523026"/>
    <w:rsid w:val="0052311F"/>
    <w:rsid w:val="00523423"/>
    <w:rsid w:val="00523489"/>
    <w:rsid w:val="0052358B"/>
    <w:rsid w:val="005236A9"/>
    <w:rsid w:val="00523A6C"/>
    <w:rsid w:val="00523AFF"/>
    <w:rsid w:val="00523B93"/>
    <w:rsid w:val="00523CE4"/>
    <w:rsid w:val="00523E4B"/>
    <w:rsid w:val="0052411F"/>
    <w:rsid w:val="005242D1"/>
    <w:rsid w:val="005242D2"/>
    <w:rsid w:val="00524475"/>
    <w:rsid w:val="005244CF"/>
    <w:rsid w:val="005245EB"/>
    <w:rsid w:val="0052471D"/>
    <w:rsid w:val="00524CBD"/>
    <w:rsid w:val="005251CE"/>
    <w:rsid w:val="005251EB"/>
    <w:rsid w:val="005253DB"/>
    <w:rsid w:val="005259A9"/>
    <w:rsid w:val="00525C6E"/>
    <w:rsid w:val="00525D60"/>
    <w:rsid w:val="0052628E"/>
    <w:rsid w:val="005262A1"/>
    <w:rsid w:val="005264CD"/>
    <w:rsid w:val="005266BF"/>
    <w:rsid w:val="005266ED"/>
    <w:rsid w:val="0052698C"/>
    <w:rsid w:val="00526B6B"/>
    <w:rsid w:val="00526C8F"/>
    <w:rsid w:val="005270DF"/>
    <w:rsid w:val="005275CB"/>
    <w:rsid w:val="005276BF"/>
    <w:rsid w:val="00527726"/>
    <w:rsid w:val="00527825"/>
    <w:rsid w:val="00527B13"/>
    <w:rsid w:val="00527DF6"/>
    <w:rsid w:val="00530095"/>
    <w:rsid w:val="00530183"/>
    <w:rsid w:val="00530578"/>
    <w:rsid w:val="00530842"/>
    <w:rsid w:val="005309FA"/>
    <w:rsid w:val="00531011"/>
    <w:rsid w:val="00531258"/>
    <w:rsid w:val="005315AC"/>
    <w:rsid w:val="005315F7"/>
    <w:rsid w:val="00531660"/>
    <w:rsid w:val="00531696"/>
    <w:rsid w:val="00531746"/>
    <w:rsid w:val="00531919"/>
    <w:rsid w:val="00531A60"/>
    <w:rsid w:val="00531AA2"/>
    <w:rsid w:val="00531CAC"/>
    <w:rsid w:val="00531D5E"/>
    <w:rsid w:val="00532033"/>
    <w:rsid w:val="005320B8"/>
    <w:rsid w:val="005320DF"/>
    <w:rsid w:val="00532370"/>
    <w:rsid w:val="00532654"/>
    <w:rsid w:val="005326F2"/>
    <w:rsid w:val="005327D2"/>
    <w:rsid w:val="005327E8"/>
    <w:rsid w:val="005328F9"/>
    <w:rsid w:val="00532BE3"/>
    <w:rsid w:val="00532E4F"/>
    <w:rsid w:val="00532E86"/>
    <w:rsid w:val="00533568"/>
    <w:rsid w:val="005335C9"/>
    <w:rsid w:val="005338EA"/>
    <w:rsid w:val="00533912"/>
    <w:rsid w:val="00533C0A"/>
    <w:rsid w:val="00533C2D"/>
    <w:rsid w:val="00533F25"/>
    <w:rsid w:val="00533FD9"/>
    <w:rsid w:val="005341C6"/>
    <w:rsid w:val="00534376"/>
    <w:rsid w:val="0053484F"/>
    <w:rsid w:val="00534959"/>
    <w:rsid w:val="00534A24"/>
    <w:rsid w:val="00534BBD"/>
    <w:rsid w:val="00534BD4"/>
    <w:rsid w:val="00534CDA"/>
    <w:rsid w:val="00534E54"/>
    <w:rsid w:val="00534FA7"/>
    <w:rsid w:val="005354FC"/>
    <w:rsid w:val="005355D8"/>
    <w:rsid w:val="00535804"/>
    <w:rsid w:val="0053592A"/>
    <w:rsid w:val="00535C12"/>
    <w:rsid w:val="00535D55"/>
    <w:rsid w:val="00535DC6"/>
    <w:rsid w:val="00535DC8"/>
    <w:rsid w:val="00535F8D"/>
    <w:rsid w:val="005361BB"/>
    <w:rsid w:val="005362B0"/>
    <w:rsid w:val="00536577"/>
    <w:rsid w:val="0053657F"/>
    <w:rsid w:val="0053666E"/>
    <w:rsid w:val="005366D3"/>
    <w:rsid w:val="00536793"/>
    <w:rsid w:val="00536836"/>
    <w:rsid w:val="005369DF"/>
    <w:rsid w:val="00536DA3"/>
    <w:rsid w:val="00536F86"/>
    <w:rsid w:val="005375E9"/>
    <w:rsid w:val="005378E0"/>
    <w:rsid w:val="00537AD7"/>
    <w:rsid w:val="00537EEA"/>
    <w:rsid w:val="00537FDC"/>
    <w:rsid w:val="00540049"/>
    <w:rsid w:val="00540256"/>
    <w:rsid w:val="00540400"/>
    <w:rsid w:val="00540638"/>
    <w:rsid w:val="0054092B"/>
    <w:rsid w:val="00540A0F"/>
    <w:rsid w:val="00540BD0"/>
    <w:rsid w:val="00540BD7"/>
    <w:rsid w:val="00540C88"/>
    <w:rsid w:val="00540D31"/>
    <w:rsid w:val="00540D35"/>
    <w:rsid w:val="00540D81"/>
    <w:rsid w:val="00540D97"/>
    <w:rsid w:val="00540EBE"/>
    <w:rsid w:val="00540F79"/>
    <w:rsid w:val="00541207"/>
    <w:rsid w:val="0054132D"/>
    <w:rsid w:val="00541555"/>
    <w:rsid w:val="00541AD3"/>
    <w:rsid w:val="00541B36"/>
    <w:rsid w:val="00541CD1"/>
    <w:rsid w:val="00541DC9"/>
    <w:rsid w:val="00541E06"/>
    <w:rsid w:val="00541FCC"/>
    <w:rsid w:val="00542053"/>
    <w:rsid w:val="0054209A"/>
    <w:rsid w:val="005420E4"/>
    <w:rsid w:val="005421B1"/>
    <w:rsid w:val="00542212"/>
    <w:rsid w:val="005423A5"/>
    <w:rsid w:val="0054284A"/>
    <w:rsid w:val="005429E1"/>
    <w:rsid w:val="00542B25"/>
    <w:rsid w:val="005433E9"/>
    <w:rsid w:val="00543555"/>
    <w:rsid w:val="0054384C"/>
    <w:rsid w:val="00543983"/>
    <w:rsid w:val="00543AC9"/>
    <w:rsid w:val="00543AE6"/>
    <w:rsid w:val="00543B25"/>
    <w:rsid w:val="00543BCD"/>
    <w:rsid w:val="00543BD8"/>
    <w:rsid w:val="00543DE6"/>
    <w:rsid w:val="00543DF4"/>
    <w:rsid w:val="00543E22"/>
    <w:rsid w:val="00543F80"/>
    <w:rsid w:val="0054402D"/>
    <w:rsid w:val="00544325"/>
    <w:rsid w:val="005446DB"/>
    <w:rsid w:val="0054492F"/>
    <w:rsid w:val="00544BD5"/>
    <w:rsid w:val="00544C4D"/>
    <w:rsid w:val="00545039"/>
    <w:rsid w:val="00545139"/>
    <w:rsid w:val="00545171"/>
    <w:rsid w:val="00545239"/>
    <w:rsid w:val="00545306"/>
    <w:rsid w:val="0054552D"/>
    <w:rsid w:val="00545B6F"/>
    <w:rsid w:val="00545B72"/>
    <w:rsid w:val="00545D40"/>
    <w:rsid w:val="00545DCC"/>
    <w:rsid w:val="00545EE0"/>
    <w:rsid w:val="00545EE7"/>
    <w:rsid w:val="00545FEA"/>
    <w:rsid w:val="00546087"/>
    <w:rsid w:val="005462C8"/>
    <w:rsid w:val="0054637F"/>
    <w:rsid w:val="00546442"/>
    <w:rsid w:val="005465AC"/>
    <w:rsid w:val="00546609"/>
    <w:rsid w:val="005466CB"/>
    <w:rsid w:val="005467F8"/>
    <w:rsid w:val="0054685F"/>
    <w:rsid w:val="00546860"/>
    <w:rsid w:val="00546C93"/>
    <w:rsid w:val="00547183"/>
    <w:rsid w:val="005471CF"/>
    <w:rsid w:val="0054720F"/>
    <w:rsid w:val="005473EF"/>
    <w:rsid w:val="00547524"/>
    <w:rsid w:val="005476CA"/>
    <w:rsid w:val="005478D7"/>
    <w:rsid w:val="00547F9C"/>
    <w:rsid w:val="005501FB"/>
    <w:rsid w:val="005503D2"/>
    <w:rsid w:val="005505D4"/>
    <w:rsid w:val="005506ED"/>
    <w:rsid w:val="00550771"/>
    <w:rsid w:val="005507E7"/>
    <w:rsid w:val="0055095F"/>
    <w:rsid w:val="005509B9"/>
    <w:rsid w:val="00550CCA"/>
    <w:rsid w:val="00550D2B"/>
    <w:rsid w:val="00550D55"/>
    <w:rsid w:val="00550DE2"/>
    <w:rsid w:val="00551159"/>
    <w:rsid w:val="0055172B"/>
    <w:rsid w:val="005518BE"/>
    <w:rsid w:val="00551941"/>
    <w:rsid w:val="00551A02"/>
    <w:rsid w:val="00551AC0"/>
    <w:rsid w:val="00551B4D"/>
    <w:rsid w:val="00551C85"/>
    <w:rsid w:val="00551F80"/>
    <w:rsid w:val="00551FF2"/>
    <w:rsid w:val="005520ED"/>
    <w:rsid w:val="005522D2"/>
    <w:rsid w:val="005525B7"/>
    <w:rsid w:val="005526FA"/>
    <w:rsid w:val="00552768"/>
    <w:rsid w:val="00552896"/>
    <w:rsid w:val="0055293A"/>
    <w:rsid w:val="00552CB0"/>
    <w:rsid w:val="005530A1"/>
    <w:rsid w:val="00553207"/>
    <w:rsid w:val="00553475"/>
    <w:rsid w:val="00553679"/>
    <w:rsid w:val="0055370A"/>
    <w:rsid w:val="0055396A"/>
    <w:rsid w:val="00553AE7"/>
    <w:rsid w:val="00553D99"/>
    <w:rsid w:val="00553E7F"/>
    <w:rsid w:val="00553FC8"/>
    <w:rsid w:val="00553FF7"/>
    <w:rsid w:val="00554519"/>
    <w:rsid w:val="00554554"/>
    <w:rsid w:val="00554643"/>
    <w:rsid w:val="005546F8"/>
    <w:rsid w:val="00554735"/>
    <w:rsid w:val="005548AC"/>
    <w:rsid w:val="00554FE7"/>
    <w:rsid w:val="0055508D"/>
    <w:rsid w:val="005550F2"/>
    <w:rsid w:val="00555341"/>
    <w:rsid w:val="005559CB"/>
    <w:rsid w:val="00555A56"/>
    <w:rsid w:val="00555AC6"/>
    <w:rsid w:val="00555BC1"/>
    <w:rsid w:val="00555CED"/>
    <w:rsid w:val="00555D1E"/>
    <w:rsid w:val="00555D42"/>
    <w:rsid w:val="00555D74"/>
    <w:rsid w:val="00555DDF"/>
    <w:rsid w:val="00555E4C"/>
    <w:rsid w:val="00555E83"/>
    <w:rsid w:val="00555E9C"/>
    <w:rsid w:val="00555FE0"/>
    <w:rsid w:val="0055602D"/>
    <w:rsid w:val="00556171"/>
    <w:rsid w:val="00556190"/>
    <w:rsid w:val="005561E1"/>
    <w:rsid w:val="005563ED"/>
    <w:rsid w:val="0055642A"/>
    <w:rsid w:val="0055679D"/>
    <w:rsid w:val="005567E2"/>
    <w:rsid w:val="00556862"/>
    <w:rsid w:val="00556A67"/>
    <w:rsid w:val="00556DB7"/>
    <w:rsid w:val="00556E9E"/>
    <w:rsid w:val="005571A1"/>
    <w:rsid w:val="00557648"/>
    <w:rsid w:val="005577C4"/>
    <w:rsid w:val="00557D30"/>
    <w:rsid w:val="00560344"/>
    <w:rsid w:val="005603D9"/>
    <w:rsid w:val="00560420"/>
    <w:rsid w:val="0056044E"/>
    <w:rsid w:val="0056055F"/>
    <w:rsid w:val="005607CA"/>
    <w:rsid w:val="005608DB"/>
    <w:rsid w:val="00561001"/>
    <w:rsid w:val="00561038"/>
    <w:rsid w:val="00561075"/>
    <w:rsid w:val="005611A8"/>
    <w:rsid w:val="00561329"/>
    <w:rsid w:val="00561446"/>
    <w:rsid w:val="0056153B"/>
    <w:rsid w:val="005617D0"/>
    <w:rsid w:val="005618F1"/>
    <w:rsid w:val="00561AC8"/>
    <w:rsid w:val="00561AD8"/>
    <w:rsid w:val="00561C44"/>
    <w:rsid w:val="00561E31"/>
    <w:rsid w:val="00561FAD"/>
    <w:rsid w:val="00561FF7"/>
    <w:rsid w:val="005621E4"/>
    <w:rsid w:val="005623E4"/>
    <w:rsid w:val="005624BB"/>
    <w:rsid w:val="0056253B"/>
    <w:rsid w:val="0056256F"/>
    <w:rsid w:val="005627B4"/>
    <w:rsid w:val="005629EA"/>
    <w:rsid w:val="00562DAE"/>
    <w:rsid w:val="00562DD8"/>
    <w:rsid w:val="00562ED1"/>
    <w:rsid w:val="00562F79"/>
    <w:rsid w:val="00562FBC"/>
    <w:rsid w:val="00563140"/>
    <w:rsid w:val="00563370"/>
    <w:rsid w:val="0056349C"/>
    <w:rsid w:val="005636B0"/>
    <w:rsid w:val="005636B6"/>
    <w:rsid w:val="00563980"/>
    <w:rsid w:val="005639BD"/>
    <w:rsid w:val="00563AD0"/>
    <w:rsid w:val="00563B27"/>
    <w:rsid w:val="00563D54"/>
    <w:rsid w:val="00563FCF"/>
    <w:rsid w:val="005640FA"/>
    <w:rsid w:val="00564116"/>
    <w:rsid w:val="005645FC"/>
    <w:rsid w:val="005648DA"/>
    <w:rsid w:val="00564A39"/>
    <w:rsid w:val="00564A67"/>
    <w:rsid w:val="00564A93"/>
    <w:rsid w:val="00564D95"/>
    <w:rsid w:val="0056501B"/>
    <w:rsid w:val="0056505B"/>
    <w:rsid w:val="005650B5"/>
    <w:rsid w:val="00565359"/>
    <w:rsid w:val="00565577"/>
    <w:rsid w:val="0056585F"/>
    <w:rsid w:val="005658E6"/>
    <w:rsid w:val="00565904"/>
    <w:rsid w:val="00565AB3"/>
    <w:rsid w:val="00566005"/>
    <w:rsid w:val="0056601C"/>
    <w:rsid w:val="00566244"/>
    <w:rsid w:val="00566418"/>
    <w:rsid w:val="005664C2"/>
    <w:rsid w:val="00566532"/>
    <w:rsid w:val="0056663D"/>
    <w:rsid w:val="005668B5"/>
    <w:rsid w:val="00566ADD"/>
    <w:rsid w:val="00566D9F"/>
    <w:rsid w:val="00566EFD"/>
    <w:rsid w:val="00566FBD"/>
    <w:rsid w:val="00567211"/>
    <w:rsid w:val="005672DB"/>
    <w:rsid w:val="00567674"/>
    <w:rsid w:val="00567C2A"/>
    <w:rsid w:val="00567C4F"/>
    <w:rsid w:val="00567DAA"/>
    <w:rsid w:val="00567EDB"/>
    <w:rsid w:val="00567F2D"/>
    <w:rsid w:val="00570154"/>
    <w:rsid w:val="00570707"/>
    <w:rsid w:val="00570896"/>
    <w:rsid w:val="005708B3"/>
    <w:rsid w:val="00571152"/>
    <w:rsid w:val="005713C9"/>
    <w:rsid w:val="005715E8"/>
    <w:rsid w:val="005717D2"/>
    <w:rsid w:val="00571987"/>
    <w:rsid w:val="00571C53"/>
    <w:rsid w:val="00571C5B"/>
    <w:rsid w:val="00571FD3"/>
    <w:rsid w:val="00572088"/>
    <w:rsid w:val="0057212C"/>
    <w:rsid w:val="00572859"/>
    <w:rsid w:val="00572941"/>
    <w:rsid w:val="00572B74"/>
    <w:rsid w:val="00572CB1"/>
    <w:rsid w:val="00572DEE"/>
    <w:rsid w:val="0057335A"/>
    <w:rsid w:val="005735DF"/>
    <w:rsid w:val="00573815"/>
    <w:rsid w:val="0057393D"/>
    <w:rsid w:val="00573978"/>
    <w:rsid w:val="00573AC3"/>
    <w:rsid w:val="00573C9E"/>
    <w:rsid w:val="00573E28"/>
    <w:rsid w:val="00574056"/>
    <w:rsid w:val="005740C0"/>
    <w:rsid w:val="00574280"/>
    <w:rsid w:val="005742E1"/>
    <w:rsid w:val="00574424"/>
    <w:rsid w:val="005744BF"/>
    <w:rsid w:val="00574529"/>
    <w:rsid w:val="0057456B"/>
    <w:rsid w:val="00574C88"/>
    <w:rsid w:val="00574F21"/>
    <w:rsid w:val="00575315"/>
    <w:rsid w:val="00575378"/>
    <w:rsid w:val="00575506"/>
    <w:rsid w:val="00575AEB"/>
    <w:rsid w:val="00575E57"/>
    <w:rsid w:val="0057601E"/>
    <w:rsid w:val="00576180"/>
    <w:rsid w:val="0057618A"/>
    <w:rsid w:val="00576235"/>
    <w:rsid w:val="0057636D"/>
    <w:rsid w:val="005763AD"/>
    <w:rsid w:val="005763B8"/>
    <w:rsid w:val="00576504"/>
    <w:rsid w:val="005765DC"/>
    <w:rsid w:val="00576715"/>
    <w:rsid w:val="00576BA6"/>
    <w:rsid w:val="00576CBE"/>
    <w:rsid w:val="00576F8C"/>
    <w:rsid w:val="00576F91"/>
    <w:rsid w:val="005770B2"/>
    <w:rsid w:val="00577375"/>
    <w:rsid w:val="005773C7"/>
    <w:rsid w:val="0057777F"/>
    <w:rsid w:val="005779CF"/>
    <w:rsid w:val="00577BEE"/>
    <w:rsid w:val="00577DDD"/>
    <w:rsid w:val="00577F0C"/>
    <w:rsid w:val="00577F3D"/>
    <w:rsid w:val="00577FA5"/>
    <w:rsid w:val="00580073"/>
    <w:rsid w:val="00580602"/>
    <w:rsid w:val="00580669"/>
    <w:rsid w:val="00580B68"/>
    <w:rsid w:val="00580D5A"/>
    <w:rsid w:val="00580F2F"/>
    <w:rsid w:val="00581066"/>
    <w:rsid w:val="005811FF"/>
    <w:rsid w:val="00581413"/>
    <w:rsid w:val="00581442"/>
    <w:rsid w:val="00581498"/>
    <w:rsid w:val="0058159F"/>
    <w:rsid w:val="005815A1"/>
    <w:rsid w:val="00581656"/>
    <w:rsid w:val="005818E6"/>
    <w:rsid w:val="00581D8F"/>
    <w:rsid w:val="00581E63"/>
    <w:rsid w:val="00581F59"/>
    <w:rsid w:val="0058203C"/>
    <w:rsid w:val="00582196"/>
    <w:rsid w:val="005825F2"/>
    <w:rsid w:val="005826D5"/>
    <w:rsid w:val="005828E1"/>
    <w:rsid w:val="00582989"/>
    <w:rsid w:val="00582A72"/>
    <w:rsid w:val="00582D1C"/>
    <w:rsid w:val="00582F90"/>
    <w:rsid w:val="00582FF1"/>
    <w:rsid w:val="00583074"/>
    <w:rsid w:val="0058342B"/>
    <w:rsid w:val="0058361D"/>
    <w:rsid w:val="005839EF"/>
    <w:rsid w:val="00583E24"/>
    <w:rsid w:val="00584267"/>
    <w:rsid w:val="00584368"/>
    <w:rsid w:val="005845B8"/>
    <w:rsid w:val="005845EF"/>
    <w:rsid w:val="00584865"/>
    <w:rsid w:val="00584D9D"/>
    <w:rsid w:val="00584EAC"/>
    <w:rsid w:val="00585427"/>
    <w:rsid w:val="0058555E"/>
    <w:rsid w:val="0058561C"/>
    <w:rsid w:val="00585846"/>
    <w:rsid w:val="00585CE1"/>
    <w:rsid w:val="00585D4C"/>
    <w:rsid w:val="00585D87"/>
    <w:rsid w:val="00585DE7"/>
    <w:rsid w:val="00585ECD"/>
    <w:rsid w:val="005863A7"/>
    <w:rsid w:val="005864DF"/>
    <w:rsid w:val="00586571"/>
    <w:rsid w:val="005865DE"/>
    <w:rsid w:val="005865EA"/>
    <w:rsid w:val="005866D5"/>
    <w:rsid w:val="00586A41"/>
    <w:rsid w:val="00586D23"/>
    <w:rsid w:val="00586D58"/>
    <w:rsid w:val="00586D72"/>
    <w:rsid w:val="00586F1B"/>
    <w:rsid w:val="0058716D"/>
    <w:rsid w:val="0058773E"/>
    <w:rsid w:val="00587A6C"/>
    <w:rsid w:val="00587C00"/>
    <w:rsid w:val="005900BF"/>
    <w:rsid w:val="005902D0"/>
    <w:rsid w:val="005907FE"/>
    <w:rsid w:val="00590CA6"/>
    <w:rsid w:val="00590CB2"/>
    <w:rsid w:val="00590CFA"/>
    <w:rsid w:val="00590F63"/>
    <w:rsid w:val="005915BE"/>
    <w:rsid w:val="005917C0"/>
    <w:rsid w:val="0059195C"/>
    <w:rsid w:val="00591A04"/>
    <w:rsid w:val="00591AE2"/>
    <w:rsid w:val="00591E64"/>
    <w:rsid w:val="0059216A"/>
    <w:rsid w:val="0059252E"/>
    <w:rsid w:val="0059260B"/>
    <w:rsid w:val="00592679"/>
    <w:rsid w:val="00592804"/>
    <w:rsid w:val="005929AA"/>
    <w:rsid w:val="00592C45"/>
    <w:rsid w:val="00592CAF"/>
    <w:rsid w:val="00592EE6"/>
    <w:rsid w:val="00592F4C"/>
    <w:rsid w:val="00592FF2"/>
    <w:rsid w:val="00593065"/>
    <w:rsid w:val="0059329B"/>
    <w:rsid w:val="00593350"/>
    <w:rsid w:val="0059389C"/>
    <w:rsid w:val="00593C7C"/>
    <w:rsid w:val="00593D33"/>
    <w:rsid w:val="0059405A"/>
    <w:rsid w:val="00594208"/>
    <w:rsid w:val="00594506"/>
    <w:rsid w:val="00594523"/>
    <w:rsid w:val="005947B9"/>
    <w:rsid w:val="00594B0A"/>
    <w:rsid w:val="00594DAE"/>
    <w:rsid w:val="00594F05"/>
    <w:rsid w:val="0059525E"/>
    <w:rsid w:val="00595335"/>
    <w:rsid w:val="00595416"/>
    <w:rsid w:val="00595436"/>
    <w:rsid w:val="0059548B"/>
    <w:rsid w:val="005955B7"/>
    <w:rsid w:val="00595632"/>
    <w:rsid w:val="00595729"/>
    <w:rsid w:val="00595AAA"/>
    <w:rsid w:val="00595C20"/>
    <w:rsid w:val="00596072"/>
    <w:rsid w:val="005962A8"/>
    <w:rsid w:val="005965CF"/>
    <w:rsid w:val="005965E6"/>
    <w:rsid w:val="0059661E"/>
    <w:rsid w:val="00596926"/>
    <w:rsid w:val="00596BB3"/>
    <w:rsid w:val="00596CC3"/>
    <w:rsid w:val="00596D1D"/>
    <w:rsid w:val="00596E4F"/>
    <w:rsid w:val="00596E9B"/>
    <w:rsid w:val="00596F32"/>
    <w:rsid w:val="00596F8F"/>
    <w:rsid w:val="00596FBB"/>
    <w:rsid w:val="00596FE6"/>
    <w:rsid w:val="00597019"/>
    <w:rsid w:val="00597040"/>
    <w:rsid w:val="005973F7"/>
    <w:rsid w:val="005974B4"/>
    <w:rsid w:val="0059756C"/>
    <w:rsid w:val="005977E7"/>
    <w:rsid w:val="00597817"/>
    <w:rsid w:val="00597B38"/>
    <w:rsid w:val="00597F93"/>
    <w:rsid w:val="005A0053"/>
    <w:rsid w:val="005A013D"/>
    <w:rsid w:val="005A03CE"/>
    <w:rsid w:val="005A0659"/>
    <w:rsid w:val="005A092C"/>
    <w:rsid w:val="005A0C11"/>
    <w:rsid w:val="005A0DE5"/>
    <w:rsid w:val="005A0E16"/>
    <w:rsid w:val="005A107C"/>
    <w:rsid w:val="005A1087"/>
    <w:rsid w:val="005A10F1"/>
    <w:rsid w:val="005A1190"/>
    <w:rsid w:val="005A1355"/>
    <w:rsid w:val="005A156F"/>
    <w:rsid w:val="005A1A4F"/>
    <w:rsid w:val="005A1E45"/>
    <w:rsid w:val="005A1E5A"/>
    <w:rsid w:val="005A206F"/>
    <w:rsid w:val="005A2177"/>
    <w:rsid w:val="005A21BD"/>
    <w:rsid w:val="005A238C"/>
    <w:rsid w:val="005A23D0"/>
    <w:rsid w:val="005A24D1"/>
    <w:rsid w:val="005A28BE"/>
    <w:rsid w:val="005A29F7"/>
    <w:rsid w:val="005A2F44"/>
    <w:rsid w:val="005A2F45"/>
    <w:rsid w:val="005A2F85"/>
    <w:rsid w:val="005A3024"/>
    <w:rsid w:val="005A307E"/>
    <w:rsid w:val="005A30B5"/>
    <w:rsid w:val="005A36BC"/>
    <w:rsid w:val="005A37E3"/>
    <w:rsid w:val="005A37E5"/>
    <w:rsid w:val="005A3933"/>
    <w:rsid w:val="005A3B89"/>
    <w:rsid w:val="005A3DBA"/>
    <w:rsid w:val="005A3EAD"/>
    <w:rsid w:val="005A3EC6"/>
    <w:rsid w:val="005A44AE"/>
    <w:rsid w:val="005A44D3"/>
    <w:rsid w:val="005A4A2A"/>
    <w:rsid w:val="005A4EB2"/>
    <w:rsid w:val="005A4FD3"/>
    <w:rsid w:val="005A523A"/>
    <w:rsid w:val="005A532E"/>
    <w:rsid w:val="005A536D"/>
    <w:rsid w:val="005A53AD"/>
    <w:rsid w:val="005A5532"/>
    <w:rsid w:val="005A5855"/>
    <w:rsid w:val="005A594D"/>
    <w:rsid w:val="005A5953"/>
    <w:rsid w:val="005A5B16"/>
    <w:rsid w:val="005A6109"/>
    <w:rsid w:val="005A624A"/>
    <w:rsid w:val="005A6302"/>
    <w:rsid w:val="005A639A"/>
    <w:rsid w:val="005A63DA"/>
    <w:rsid w:val="005A6824"/>
    <w:rsid w:val="005A6AD0"/>
    <w:rsid w:val="005A6CD0"/>
    <w:rsid w:val="005A6D88"/>
    <w:rsid w:val="005A6DC0"/>
    <w:rsid w:val="005A6EC5"/>
    <w:rsid w:val="005A6FAD"/>
    <w:rsid w:val="005A7050"/>
    <w:rsid w:val="005A7369"/>
    <w:rsid w:val="005A7536"/>
    <w:rsid w:val="005A7D06"/>
    <w:rsid w:val="005A7E7E"/>
    <w:rsid w:val="005A7F16"/>
    <w:rsid w:val="005B0002"/>
    <w:rsid w:val="005B007D"/>
    <w:rsid w:val="005B00E7"/>
    <w:rsid w:val="005B02E6"/>
    <w:rsid w:val="005B03D8"/>
    <w:rsid w:val="005B0464"/>
    <w:rsid w:val="005B0730"/>
    <w:rsid w:val="005B0789"/>
    <w:rsid w:val="005B0DC3"/>
    <w:rsid w:val="005B0EA7"/>
    <w:rsid w:val="005B11F1"/>
    <w:rsid w:val="005B180E"/>
    <w:rsid w:val="005B1BBF"/>
    <w:rsid w:val="005B1ECB"/>
    <w:rsid w:val="005B20D5"/>
    <w:rsid w:val="005B225B"/>
    <w:rsid w:val="005B2331"/>
    <w:rsid w:val="005B2F67"/>
    <w:rsid w:val="005B2FB3"/>
    <w:rsid w:val="005B3152"/>
    <w:rsid w:val="005B356A"/>
    <w:rsid w:val="005B3598"/>
    <w:rsid w:val="005B3761"/>
    <w:rsid w:val="005B3823"/>
    <w:rsid w:val="005B39E2"/>
    <w:rsid w:val="005B3AC6"/>
    <w:rsid w:val="005B3C99"/>
    <w:rsid w:val="005B3E7B"/>
    <w:rsid w:val="005B3EFF"/>
    <w:rsid w:val="005B404D"/>
    <w:rsid w:val="005B40C9"/>
    <w:rsid w:val="005B4888"/>
    <w:rsid w:val="005B49B4"/>
    <w:rsid w:val="005B4B6C"/>
    <w:rsid w:val="005B4D05"/>
    <w:rsid w:val="005B5189"/>
    <w:rsid w:val="005B56AE"/>
    <w:rsid w:val="005B57CD"/>
    <w:rsid w:val="005B58F8"/>
    <w:rsid w:val="005B5AEA"/>
    <w:rsid w:val="005B5BFF"/>
    <w:rsid w:val="005B5F99"/>
    <w:rsid w:val="005B5FF2"/>
    <w:rsid w:val="005B603E"/>
    <w:rsid w:val="005B60C4"/>
    <w:rsid w:val="005B60D3"/>
    <w:rsid w:val="005B65A2"/>
    <w:rsid w:val="005B670A"/>
    <w:rsid w:val="005B6903"/>
    <w:rsid w:val="005B6996"/>
    <w:rsid w:val="005B69B6"/>
    <w:rsid w:val="005B6A92"/>
    <w:rsid w:val="005B6B20"/>
    <w:rsid w:val="005B6BD4"/>
    <w:rsid w:val="005B6C58"/>
    <w:rsid w:val="005B6DDD"/>
    <w:rsid w:val="005B6E54"/>
    <w:rsid w:val="005B7074"/>
    <w:rsid w:val="005B71B7"/>
    <w:rsid w:val="005B7328"/>
    <w:rsid w:val="005B752A"/>
    <w:rsid w:val="005B752E"/>
    <w:rsid w:val="005B7BBC"/>
    <w:rsid w:val="005C0398"/>
    <w:rsid w:val="005C04CD"/>
    <w:rsid w:val="005C0C8D"/>
    <w:rsid w:val="005C0D6F"/>
    <w:rsid w:val="005C0E2C"/>
    <w:rsid w:val="005C0F0C"/>
    <w:rsid w:val="005C11B0"/>
    <w:rsid w:val="005C129A"/>
    <w:rsid w:val="005C17B9"/>
    <w:rsid w:val="005C1913"/>
    <w:rsid w:val="005C1B09"/>
    <w:rsid w:val="005C1E5C"/>
    <w:rsid w:val="005C1E93"/>
    <w:rsid w:val="005C21A6"/>
    <w:rsid w:val="005C2210"/>
    <w:rsid w:val="005C239D"/>
    <w:rsid w:val="005C2594"/>
    <w:rsid w:val="005C25B6"/>
    <w:rsid w:val="005C29AA"/>
    <w:rsid w:val="005C2B1E"/>
    <w:rsid w:val="005C2E53"/>
    <w:rsid w:val="005C3002"/>
    <w:rsid w:val="005C307B"/>
    <w:rsid w:val="005C342F"/>
    <w:rsid w:val="005C34FB"/>
    <w:rsid w:val="005C3973"/>
    <w:rsid w:val="005C3BDD"/>
    <w:rsid w:val="005C3F31"/>
    <w:rsid w:val="005C4021"/>
    <w:rsid w:val="005C404B"/>
    <w:rsid w:val="005C4719"/>
    <w:rsid w:val="005C4A16"/>
    <w:rsid w:val="005C4A32"/>
    <w:rsid w:val="005C4BC1"/>
    <w:rsid w:val="005C4D3D"/>
    <w:rsid w:val="005C4F4B"/>
    <w:rsid w:val="005C54D3"/>
    <w:rsid w:val="005C5540"/>
    <w:rsid w:val="005C5719"/>
    <w:rsid w:val="005C58BB"/>
    <w:rsid w:val="005C5911"/>
    <w:rsid w:val="005C5944"/>
    <w:rsid w:val="005C5A89"/>
    <w:rsid w:val="005C5B2A"/>
    <w:rsid w:val="005C5E5C"/>
    <w:rsid w:val="005C63CC"/>
    <w:rsid w:val="005C65F6"/>
    <w:rsid w:val="005C668A"/>
    <w:rsid w:val="005C68F2"/>
    <w:rsid w:val="005C6B27"/>
    <w:rsid w:val="005C6B7E"/>
    <w:rsid w:val="005C6BF1"/>
    <w:rsid w:val="005C710E"/>
    <w:rsid w:val="005C737F"/>
    <w:rsid w:val="005C7384"/>
    <w:rsid w:val="005C73EA"/>
    <w:rsid w:val="005C740B"/>
    <w:rsid w:val="005C76C6"/>
    <w:rsid w:val="005C7811"/>
    <w:rsid w:val="005C7C45"/>
    <w:rsid w:val="005C7F60"/>
    <w:rsid w:val="005D0079"/>
    <w:rsid w:val="005D02EF"/>
    <w:rsid w:val="005D032D"/>
    <w:rsid w:val="005D0456"/>
    <w:rsid w:val="005D04B0"/>
    <w:rsid w:val="005D0859"/>
    <w:rsid w:val="005D088A"/>
    <w:rsid w:val="005D0980"/>
    <w:rsid w:val="005D10FC"/>
    <w:rsid w:val="005D15F9"/>
    <w:rsid w:val="005D1785"/>
    <w:rsid w:val="005D1BD8"/>
    <w:rsid w:val="005D1CE6"/>
    <w:rsid w:val="005D23E7"/>
    <w:rsid w:val="005D24D1"/>
    <w:rsid w:val="005D2975"/>
    <w:rsid w:val="005D2AB7"/>
    <w:rsid w:val="005D2CCA"/>
    <w:rsid w:val="005D2DE0"/>
    <w:rsid w:val="005D2FFC"/>
    <w:rsid w:val="005D3143"/>
    <w:rsid w:val="005D336D"/>
    <w:rsid w:val="005D33A1"/>
    <w:rsid w:val="005D35FD"/>
    <w:rsid w:val="005D362F"/>
    <w:rsid w:val="005D36A2"/>
    <w:rsid w:val="005D3772"/>
    <w:rsid w:val="005D3842"/>
    <w:rsid w:val="005D396D"/>
    <w:rsid w:val="005D3A16"/>
    <w:rsid w:val="005D3BC1"/>
    <w:rsid w:val="005D3D2C"/>
    <w:rsid w:val="005D3F21"/>
    <w:rsid w:val="005D4550"/>
    <w:rsid w:val="005D4579"/>
    <w:rsid w:val="005D45F8"/>
    <w:rsid w:val="005D48E9"/>
    <w:rsid w:val="005D4B6E"/>
    <w:rsid w:val="005D4C8B"/>
    <w:rsid w:val="005D5032"/>
    <w:rsid w:val="005D5407"/>
    <w:rsid w:val="005D5436"/>
    <w:rsid w:val="005D55D2"/>
    <w:rsid w:val="005D5667"/>
    <w:rsid w:val="005D56B2"/>
    <w:rsid w:val="005D585B"/>
    <w:rsid w:val="005D5925"/>
    <w:rsid w:val="005D5A5F"/>
    <w:rsid w:val="005D5C6B"/>
    <w:rsid w:val="005D5E06"/>
    <w:rsid w:val="005D5E6C"/>
    <w:rsid w:val="005D6028"/>
    <w:rsid w:val="005D621E"/>
    <w:rsid w:val="005D6354"/>
    <w:rsid w:val="005D6848"/>
    <w:rsid w:val="005D68CE"/>
    <w:rsid w:val="005D6B1F"/>
    <w:rsid w:val="005D6B9A"/>
    <w:rsid w:val="005D6BF0"/>
    <w:rsid w:val="005D6D9E"/>
    <w:rsid w:val="005D6E76"/>
    <w:rsid w:val="005D6EF2"/>
    <w:rsid w:val="005D70EF"/>
    <w:rsid w:val="005D7117"/>
    <w:rsid w:val="005D7261"/>
    <w:rsid w:val="005D72C9"/>
    <w:rsid w:val="005D770B"/>
    <w:rsid w:val="005D7A07"/>
    <w:rsid w:val="005D7C2A"/>
    <w:rsid w:val="005D7CC7"/>
    <w:rsid w:val="005D7DA9"/>
    <w:rsid w:val="005D7DAC"/>
    <w:rsid w:val="005E00A6"/>
    <w:rsid w:val="005E019B"/>
    <w:rsid w:val="005E0B26"/>
    <w:rsid w:val="005E1590"/>
    <w:rsid w:val="005E1749"/>
    <w:rsid w:val="005E1848"/>
    <w:rsid w:val="005E1921"/>
    <w:rsid w:val="005E1C8A"/>
    <w:rsid w:val="005E1DA5"/>
    <w:rsid w:val="005E202B"/>
    <w:rsid w:val="005E222A"/>
    <w:rsid w:val="005E23B5"/>
    <w:rsid w:val="005E23E1"/>
    <w:rsid w:val="005E291A"/>
    <w:rsid w:val="005E2B37"/>
    <w:rsid w:val="005E33C3"/>
    <w:rsid w:val="005E3679"/>
    <w:rsid w:val="005E38EB"/>
    <w:rsid w:val="005E3A8C"/>
    <w:rsid w:val="005E3DB2"/>
    <w:rsid w:val="005E4759"/>
    <w:rsid w:val="005E47C2"/>
    <w:rsid w:val="005E4A56"/>
    <w:rsid w:val="005E4BD8"/>
    <w:rsid w:val="005E4F07"/>
    <w:rsid w:val="005E4F2D"/>
    <w:rsid w:val="005E4FE1"/>
    <w:rsid w:val="005E5327"/>
    <w:rsid w:val="005E5605"/>
    <w:rsid w:val="005E5AC7"/>
    <w:rsid w:val="005E5B6D"/>
    <w:rsid w:val="005E5D33"/>
    <w:rsid w:val="005E6164"/>
    <w:rsid w:val="005E6402"/>
    <w:rsid w:val="005E6430"/>
    <w:rsid w:val="005E6457"/>
    <w:rsid w:val="005E64C2"/>
    <w:rsid w:val="005E69D6"/>
    <w:rsid w:val="005E6E35"/>
    <w:rsid w:val="005E6EB7"/>
    <w:rsid w:val="005E72AA"/>
    <w:rsid w:val="005E73CA"/>
    <w:rsid w:val="005E74F8"/>
    <w:rsid w:val="005E76B5"/>
    <w:rsid w:val="005E792F"/>
    <w:rsid w:val="005E7E29"/>
    <w:rsid w:val="005F035F"/>
    <w:rsid w:val="005F0396"/>
    <w:rsid w:val="005F03BF"/>
    <w:rsid w:val="005F048D"/>
    <w:rsid w:val="005F049F"/>
    <w:rsid w:val="005F0553"/>
    <w:rsid w:val="005F0580"/>
    <w:rsid w:val="005F079F"/>
    <w:rsid w:val="005F0801"/>
    <w:rsid w:val="005F0BFE"/>
    <w:rsid w:val="005F0F57"/>
    <w:rsid w:val="005F0FC1"/>
    <w:rsid w:val="005F0FD2"/>
    <w:rsid w:val="005F173C"/>
    <w:rsid w:val="005F18D0"/>
    <w:rsid w:val="005F1AED"/>
    <w:rsid w:val="005F1D62"/>
    <w:rsid w:val="005F215B"/>
    <w:rsid w:val="005F22AF"/>
    <w:rsid w:val="005F2358"/>
    <w:rsid w:val="005F25BE"/>
    <w:rsid w:val="005F2711"/>
    <w:rsid w:val="005F2739"/>
    <w:rsid w:val="005F27CD"/>
    <w:rsid w:val="005F2AB4"/>
    <w:rsid w:val="005F2BAE"/>
    <w:rsid w:val="005F2D37"/>
    <w:rsid w:val="005F311F"/>
    <w:rsid w:val="005F3171"/>
    <w:rsid w:val="005F31BB"/>
    <w:rsid w:val="005F32DD"/>
    <w:rsid w:val="005F36BE"/>
    <w:rsid w:val="005F384F"/>
    <w:rsid w:val="005F38C5"/>
    <w:rsid w:val="005F3934"/>
    <w:rsid w:val="005F3ED4"/>
    <w:rsid w:val="005F41ED"/>
    <w:rsid w:val="005F4256"/>
    <w:rsid w:val="005F4407"/>
    <w:rsid w:val="005F449D"/>
    <w:rsid w:val="005F451E"/>
    <w:rsid w:val="005F48CC"/>
    <w:rsid w:val="005F4AD8"/>
    <w:rsid w:val="005F4EB4"/>
    <w:rsid w:val="005F4EF9"/>
    <w:rsid w:val="005F4F45"/>
    <w:rsid w:val="005F4F5C"/>
    <w:rsid w:val="005F4FE9"/>
    <w:rsid w:val="005F51F0"/>
    <w:rsid w:val="005F57E0"/>
    <w:rsid w:val="005F58FD"/>
    <w:rsid w:val="005F599E"/>
    <w:rsid w:val="005F59C1"/>
    <w:rsid w:val="005F5B2D"/>
    <w:rsid w:val="005F5C83"/>
    <w:rsid w:val="005F5ED6"/>
    <w:rsid w:val="005F5FE6"/>
    <w:rsid w:val="005F645C"/>
    <w:rsid w:val="005F64D4"/>
    <w:rsid w:val="005F699D"/>
    <w:rsid w:val="005F6C2C"/>
    <w:rsid w:val="005F6E40"/>
    <w:rsid w:val="005F6EFA"/>
    <w:rsid w:val="005F7011"/>
    <w:rsid w:val="005F70F0"/>
    <w:rsid w:val="005F71A9"/>
    <w:rsid w:val="005F72F4"/>
    <w:rsid w:val="005F741B"/>
    <w:rsid w:val="005F74FA"/>
    <w:rsid w:val="005F7602"/>
    <w:rsid w:val="005F7682"/>
    <w:rsid w:val="005F7CBF"/>
    <w:rsid w:val="005F7E87"/>
    <w:rsid w:val="005F7E9E"/>
    <w:rsid w:val="005F7ED5"/>
    <w:rsid w:val="00600076"/>
    <w:rsid w:val="00600132"/>
    <w:rsid w:val="006002C0"/>
    <w:rsid w:val="00600305"/>
    <w:rsid w:val="00600574"/>
    <w:rsid w:val="00600644"/>
    <w:rsid w:val="00600AC3"/>
    <w:rsid w:val="00600BA5"/>
    <w:rsid w:val="00600BE4"/>
    <w:rsid w:val="00600D25"/>
    <w:rsid w:val="006011AF"/>
    <w:rsid w:val="00601496"/>
    <w:rsid w:val="006016F4"/>
    <w:rsid w:val="006018A3"/>
    <w:rsid w:val="00601B94"/>
    <w:rsid w:val="00601C8E"/>
    <w:rsid w:val="00601D67"/>
    <w:rsid w:val="00602023"/>
    <w:rsid w:val="00602032"/>
    <w:rsid w:val="00602117"/>
    <w:rsid w:val="006022CD"/>
    <w:rsid w:val="00602768"/>
    <w:rsid w:val="00602B23"/>
    <w:rsid w:val="00602C9A"/>
    <w:rsid w:val="00602E2A"/>
    <w:rsid w:val="00602EDC"/>
    <w:rsid w:val="00602F1C"/>
    <w:rsid w:val="0060305E"/>
    <w:rsid w:val="00603072"/>
    <w:rsid w:val="00603113"/>
    <w:rsid w:val="006032B0"/>
    <w:rsid w:val="006034D6"/>
    <w:rsid w:val="0060376B"/>
    <w:rsid w:val="00603963"/>
    <w:rsid w:val="00603A39"/>
    <w:rsid w:val="00603F0A"/>
    <w:rsid w:val="006043FC"/>
    <w:rsid w:val="006046C4"/>
    <w:rsid w:val="00604734"/>
    <w:rsid w:val="00604770"/>
    <w:rsid w:val="00604AD6"/>
    <w:rsid w:val="00604D09"/>
    <w:rsid w:val="00604EDD"/>
    <w:rsid w:val="00604FBF"/>
    <w:rsid w:val="0060537C"/>
    <w:rsid w:val="0060559C"/>
    <w:rsid w:val="006055A9"/>
    <w:rsid w:val="00605641"/>
    <w:rsid w:val="00605732"/>
    <w:rsid w:val="006057E4"/>
    <w:rsid w:val="00605DB1"/>
    <w:rsid w:val="00605ECA"/>
    <w:rsid w:val="00606291"/>
    <w:rsid w:val="006062CD"/>
    <w:rsid w:val="006064E1"/>
    <w:rsid w:val="006068A4"/>
    <w:rsid w:val="006069C7"/>
    <w:rsid w:val="00606A66"/>
    <w:rsid w:val="00606B46"/>
    <w:rsid w:val="00606E3F"/>
    <w:rsid w:val="0060721E"/>
    <w:rsid w:val="006072FB"/>
    <w:rsid w:val="00607457"/>
    <w:rsid w:val="0060748A"/>
    <w:rsid w:val="00607514"/>
    <w:rsid w:val="0060766C"/>
    <w:rsid w:val="00607676"/>
    <w:rsid w:val="006076E4"/>
    <w:rsid w:val="00607948"/>
    <w:rsid w:val="006079E8"/>
    <w:rsid w:val="00607B0C"/>
    <w:rsid w:val="00607ECB"/>
    <w:rsid w:val="0061021C"/>
    <w:rsid w:val="00610920"/>
    <w:rsid w:val="00610B2D"/>
    <w:rsid w:val="00610CCC"/>
    <w:rsid w:val="006114E4"/>
    <w:rsid w:val="00611605"/>
    <w:rsid w:val="00611A40"/>
    <w:rsid w:val="00611D26"/>
    <w:rsid w:val="00611EA5"/>
    <w:rsid w:val="00611FCD"/>
    <w:rsid w:val="0061202C"/>
    <w:rsid w:val="006122B0"/>
    <w:rsid w:val="00612417"/>
    <w:rsid w:val="006124AA"/>
    <w:rsid w:val="0061269E"/>
    <w:rsid w:val="006127AE"/>
    <w:rsid w:val="006129A2"/>
    <w:rsid w:val="00612A29"/>
    <w:rsid w:val="00612D5C"/>
    <w:rsid w:val="00612F5F"/>
    <w:rsid w:val="006130A8"/>
    <w:rsid w:val="006131F6"/>
    <w:rsid w:val="00613258"/>
    <w:rsid w:val="00613310"/>
    <w:rsid w:val="006133E4"/>
    <w:rsid w:val="0061362E"/>
    <w:rsid w:val="00613A1D"/>
    <w:rsid w:val="00613EB1"/>
    <w:rsid w:val="00613ED8"/>
    <w:rsid w:val="006140D2"/>
    <w:rsid w:val="0061413F"/>
    <w:rsid w:val="00614486"/>
    <w:rsid w:val="00614664"/>
    <w:rsid w:val="0061466C"/>
    <w:rsid w:val="0061495C"/>
    <w:rsid w:val="00614BB6"/>
    <w:rsid w:val="00614C1A"/>
    <w:rsid w:val="00614C57"/>
    <w:rsid w:val="006157B1"/>
    <w:rsid w:val="00615B17"/>
    <w:rsid w:val="00615E7C"/>
    <w:rsid w:val="00615FA2"/>
    <w:rsid w:val="00616057"/>
    <w:rsid w:val="0061636D"/>
    <w:rsid w:val="00616373"/>
    <w:rsid w:val="006168DF"/>
    <w:rsid w:val="0061698F"/>
    <w:rsid w:val="00616A4C"/>
    <w:rsid w:val="00616B70"/>
    <w:rsid w:val="006174C4"/>
    <w:rsid w:val="00617613"/>
    <w:rsid w:val="0061776F"/>
    <w:rsid w:val="00617B36"/>
    <w:rsid w:val="00620093"/>
    <w:rsid w:val="006202D7"/>
    <w:rsid w:val="006203E2"/>
    <w:rsid w:val="00620414"/>
    <w:rsid w:val="0062047E"/>
    <w:rsid w:val="0062051B"/>
    <w:rsid w:val="006206D0"/>
    <w:rsid w:val="006207AE"/>
    <w:rsid w:val="00620976"/>
    <w:rsid w:val="00620AAA"/>
    <w:rsid w:val="00620D10"/>
    <w:rsid w:val="00620E82"/>
    <w:rsid w:val="00620EC4"/>
    <w:rsid w:val="0062105C"/>
    <w:rsid w:val="00621521"/>
    <w:rsid w:val="00621625"/>
    <w:rsid w:val="0062171D"/>
    <w:rsid w:val="0062174B"/>
    <w:rsid w:val="006217B5"/>
    <w:rsid w:val="00621899"/>
    <w:rsid w:val="00621B0B"/>
    <w:rsid w:val="00621E23"/>
    <w:rsid w:val="00621F7F"/>
    <w:rsid w:val="00621F9B"/>
    <w:rsid w:val="0062200A"/>
    <w:rsid w:val="00622120"/>
    <w:rsid w:val="00622343"/>
    <w:rsid w:val="0062264A"/>
    <w:rsid w:val="006229EB"/>
    <w:rsid w:val="00622B52"/>
    <w:rsid w:val="00622BC5"/>
    <w:rsid w:val="00622F60"/>
    <w:rsid w:val="00623114"/>
    <w:rsid w:val="00623180"/>
    <w:rsid w:val="0062330E"/>
    <w:rsid w:val="00623327"/>
    <w:rsid w:val="0062335C"/>
    <w:rsid w:val="006233C1"/>
    <w:rsid w:val="006234BB"/>
    <w:rsid w:val="006236F1"/>
    <w:rsid w:val="00623B86"/>
    <w:rsid w:val="00623E9D"/>
    <w:rsid w:val="00624010"/>
    <w:rsid w:val="006242E3"/>
    <w:rsid w:val="006242F5"/>
    <w:rsid w:val="006247DF"/>
    <w:rsid w:val="00624804"/>
    <w:rsid w:val="00624919"/>
    <w:rsid w:val="006249AF"/>
    <w:rsid w:val="00624A21"/>
    <w:rsid w:val="00624AAA"/>
    <w:rsid w:val="00624BC5"/>
    <w:rsid w:val="0062528A"/>
    <w:rsid w:val="006252D0"/>
    <w:rsid w:val="00625701"/>
    <w:rsid w:val="006259FA"/>
    <w:rsid w:val="00625AFD"/>
    <w:rsid w:val="00625E11"/>
    <w:rsid w:val="00626043"/>
    <w:rsid w:val="0062606A"/>
    <w:rsid w:val="006264C7"/>
    <w:rsid w:val="00626513"/>
    <w:rsid w:val="00626622"/>
    <w:rsid w:val="00626664"/>
    <w:rsid w:val="00626959"/>
    <w:rsid w:val="006269EF"/>
    <w:rsid w:val="006269F6"/>
    <w:rsid w:val="00626DBE"/>
    <w:rsid w:val="0062711B"/>
    <w:rsid w:val="006274B7"/>
    <w:rsid w:val="0062759C"/>
    <w:rsid w:val="006275B6"/>
    <w:rsid w:val="0062791B"/>
    <w:rsid w:val="00627D8F"/>
    <w:rsid w:val="00627E72"/>
    <w:rsid w:val="00627EA6"/>
    <w:rsid w:val="00630146"/>
    <w:rsid w:val="0063019B"/>
    <w:rsid w:val="00630254"/>
    <w:rsid w:val="00630272"/>
    <w:rsid w:val="006302E5"/>
    <w:rsid w:val="00630341"/>
    <w:rsid w:val="006307CB"/>
    <w:rsid w:val="00630865"/>
    <w:rsid w:val="006309C3"/>
    <w:rsid w:val="00630B19"/>
    <w:rsid w:val="00630BC2"/>
    <w:rsid w:val="00630BFE"/>
    <w:rsid w:val="00630C59"/>
    <w:rsid w:val="00630D89"/>
    <w:rsid w:val="00630FE0"/>
    <w:rsid w:val="00631034"/>
    <w:rsid w:val="00631229"/>
    <w:rsid w:val="00631401"/>
    <w:rsid w:val="00631426"/>
    <w:rsid w:val="006314B3"/>
    <w:rsid w:val="006315D7"/>
    <w:rsid w:val="006317F0"/>
    <w:rsid w:val="006318C2"/>
    <w:rsid w:val="00631A0C"/>
    <w:rsid w:val="00631A74"/>
    <w:rsid w:val="00631C70"/>
    <w:rsid w:val="00631D94"/>
    <w:rsid w:val="00631EB7"/>
    <w:rsid w:val="00631F57"/>
    <w:rsid w:val="00631F8E"/>
    <w:rsid w:val="00631FC4"/>
    <w:rsid w:val="006322A4"/>
    <w:rsid w:val="006322FC"/>
    <w:rsid w:val="006323A0"/>
    <w:rsid w:val="006325B9"/>
    <w:rsid w:val="0063276B"/>
    <w:rsid w:val="006327B3"/>
    <w:rsid w:val="00632A0D"/>
    <w:rsid w:val="00632A99"/>
    <w:rsid w:val="00632DC9"/>
    <w:rsid w:val="00632FB8"/>
    <w:rsid w:val="006330FD"/>
    <w:rsid w:val="0063330C"/>
    <w:rsid w:val="006333DF"/>
    <w:rsid w:val="006334E6"/>
    <w:rsid w:val="00633542"/>
    <w:rsid w:val="00633BAA"/>
    <w:rsid w:val="00633C1F"/>
    <w:rsid w:val="00633D22"/>
    <w:rsid w:val="00634723"/>
    <w:rsid w:val="00634764"/>
    <w:rsid w:val="006347EB"/>
    <w:rsid w:val="00634AFC"/>
    <w:rsid w:val="00634B07"/>
    <w:rsid w:val="00635428"/>
    <w:rsid w:val="00635674"/>
    <w:rsid w:val="00635835"/>
    <w:rsid w:val="00635C0A"/>
    <w:rsid w:val="00635F69"/>
    <w:rsid w:val="00636142"/>
    <w:rsid w:val="006362B2"/>
    <w:rsid w:val="00636440"/>
    <w:rsid w:val="0063675D"/>
    <w:rsid w:val="00636942"/>
    <w:rsid w:val="006369C7"/>
    <w:rsid w:val="00636A13"/>
    <w:rsid w:val="00636A1E"/>
    <w:rsid w:val="00636AB1"/>
    <w:rsid w:val="00636BC1"/>
    <w:rsid w:val="00636BE3"/>
    <w:rsid w:val="00636C82"/>
    <w:rsid w:val="00637207"/>
    <w:rsid w:val="00637418"/>
    <w:rsid w:val="006374C1"/>
    <w:rsid w:val="00637514"/>
    <w:rsid w:val="0063757B"/>
    <w:rsid w:val="00637605"/>
    <w:rsid w:val="00637668"/>
    <w:rsid w:val="0063771C"/>
    <w:rsid w:val="00637955"/>
    <w:rsid w:val="00637A0E"/>
    <w:rsid w:val="00637B2E"/>
    <w:rsid w:val="00637D07"/>
    <w:rsid w:val="006401B7"/>
    <w:rsid w:val="00640575"/>
    <w:rsid w:val="006405B9"/>
    <w:rsid w:val="006407B6"/>
    <w:rsid w:val="00640A73"/>
    <w:rsid w:val="00640E8D"/>
    <w:rsid w:val="00640FC0"/>
    <w:rsid w:val="00641130"/>
    <w:rsid w:val="00641284"/>
    <w:rsid w:val="006412BA"/>
    <w:rsid w:val="00641492"/>
    <w:rsid w:val="006414CC"/>
    <w:rsid w:val="00641A10"/>
    <w:rsid w:val="00641C0E"/>
    <w:rsid w:val="00641C6D"/>
    <w:rsid w:val="00641D8F"/>
    <w:rsid w:val="00641DD1"/>
    <w:rsid w:val="00641FC0"/>
    <w:rsid w:val="0064202D"/>
    <w:rsid w:val="006420BA"/>
    <w:rsid w:val="00642245"/>
    <w:rsid w:val="0064224A"/>
    <w:rsid w:val="00642444"/>
    <w:rsid w:val="00642449"/>
    <w:rsid w:val="00642485"/>
    <w:rsid w:val="00642617"/>
    <w:rsid w:val="00642879"/>
    <w:rsid w:val="00642917"/>
    <w:rsid w:val="00642BC9"/>
    <w:rsid w:val="00642C23"/>
    <w:rsid w:val="00642F96"/>
    <w:rsid w:val="0064310B"/>
    <w:rsid w:val="006431D1"/>
    <w:rsid w:val="006432F7"/>
    <w:rsid w:val="006436AA"/>
    <w:rsid w:val="0064372A"/>
    <w:rsid w:val="00643912"/>
    <w:rsid w:val="006439D8"/>
    <w:rsid w:val="00643B65"/>
    <w:rsid w:val="00643BF9"/>
    <w:rsid w:val="00643C71"/>
    <w:rsid w:val="00643D5E"/>
    <w:rsid w:val="00643EB1"/>
    <w:rsid w:val="006441F5"/>
    <w:rsid w:val="00644393"/>
    <w:rsid w:val="0064443C"/>
    <w:rsid w:val="006444C4"/>
    <w:rsid w:val="0064478B"/>
    <w:rsid w:val="006448CC"/>
    <w:rsid w:val="00644CBB"/>
    <w:rsid w:val="00644D6E"/>
    <w:rsid w:val="00644EBD"/>
    <w:rsid w:val="00645218"/>
    <w:rsid w:val="0064573F"/>
    <w:rsid w:val="00645AE4"/>
    <w:rsid w:val="006463DB"/>
    <w:rsid w:val="0064644A"/>
    <w:rsid w:val="006464DA"/>
    <w:rsid w:val="006465F8"/>
    <w:rsid w:val="0064695D"/>
    <w:rsid w:val="00646A70"/>
    <w:rsid w:val="00646C62"/>
    <w:rsid w:val="00646DDB"/>
    <w:rsid w:val="00646DFA"/>
    <w:rsid w:val="00646E0D"/>
    <w:rsid w:val="00646F0D"/>
    <w:rsid w:val="00646F40"/>
    <w:rsid w:val="0064725E"/>
    <w:rsid w:val="0064736E"/>
    <w:rsid w:val="006473D3"/>
    <w:rsid w:val="00647402"/>
    <w:rsid w:val="00647B99"/>
    <w:rsid w:val="00647D06"/>
    <w:rsid w:val="00647E7B"/>
    <w:rsid w:val="00647ED1"/>
    <w:rsid w:val="00650002"/>
    <w:rsid w:val="006500B8"/>
    <w:rsid w:val="006502FC"/>
    <w:rsid w:val="00650441"/>
    <w:rsid w:val="00650683"/>
    <w:rsid w:val="00650A9A"/>
    <w:rsid w:val="00650D13"/>
    <w:rsid w:val="00650D42"/>
    <w:rsid w:val="00650F31"/>
    <w:rsid w:val="00650F5C"/>
    <w:rsid w:val="00651076"/>
    <w:rsid w:val="00651223"/>
    <w:rsid w:val="0065133D"/>
    <w:rsid w:val="00651373"/>
    <w:rsid w:val="00651490"/>
    <w:rsid w:val="006514DB"/>
    <w:rsid w:val="00651918"/>
    <w:rsid w:val="00651A5C"/>
    <w:rsid w:val="00651D5F"/>
    <w:rsid w:val="00651D6E"/>
    <w:rsid w:val="00651E7E"/>
    <w:rsid w:val="00652258"/>
    <w:rsid w:val="006523E8"/>
    <w:rsid w:val="006525C5"/>
    <w:rsid w:val="006527C8"/>
    <w:rsid w:val="006528E9"/>
    <w:rsid w:val="00652BB4"/>
    <w:rsid w:val="00652FC4"/>
    <w:rsid w:val="00653144"/>
    <w:rsid w:val="0065319F"/>
    <w:rsid w:val="00653437"/>
    <w:rsid w:val="006534F4"/>
    <w:rsid w:val="006536C4"/>
    <w:rsid w:val="00653901"/>
    <w:rsid w:val="00653C98"/>
    <w:rsid w:val="00653D89"/>
    <w:rsid w:val="00653F43"/>
    <w:rsid w:val="00654077"/>
    <w:rsid w:val="006540F9"/>
    <w:rsid w:val="0065420C"/>
    <w:rsid w:val="006545F9"/>
    <w:rsid w:val="006548E9"/>
    <w:rsid w:val="00654916"/>
    <w:rsid w:val="00654BFE"/>
    <w:rsid w:val="00654F6E"/>
    <w:rsid w:val="00655003"/>
    <w:rsid w:val="00655022"/>
    <w:rsid w:val="00655198"/>
    <w:rsid w:val="0065569D"/>
    <w:rsid w:val="006556CF"/>
    <w:rsid w:val="0065577D"/>
    <w:rsid w:val="006557DC"/>
    <w:rsid w:val="006559E7"/>
    <w:rsid w:val="00655F67"/>
    <w:rsid w:val="00656011"/>
    <w:rsid w:val="006563B4"/>
    <w:rsid w:val="006567CE"/>
    <w:rsid w:val="00656ACD"/>
    <w:rsid w:val="006574DF"/>
    <w:rsid w:val="006575D0"/>
    <w:rsid w:val="006579FD"/>
    <w:rsid w:val="00657D0D"/>
    <w:rsid w:val="00657E2A"/>
    <w:rsid w:val="00657EF2"/>
    <w:rsid w:val="00657FFC"/>
    <w:rsid w:val="006605A7"/>
    <w:rsid w:val="00660807"/>
    <w:rsid w:val="0066093C"/>
    <w:rsid w:val="00660947"/>
    <w:rsid w:val="00660A11"/>
    <w:rsid w:val="00660A2B"/>
    <w:rsid w:val="00660B0B"/>
    <w:rsid w:val="00660C01"/>
    <w:rsid w:val="00660C30"/>
    <w:rsid w:val="00660C46"/>
    <w:rsid w:val="00660E35"/>
    <w:rsid w:val="00660EF8"/>
    <w:rsid w:val="00661191"/>
    <w:rsid w:val="0066119E"/>
    <w:rsid w:val="006612D1"/>
    <w:rsid w:val="0066138A"/>
    <w:rsid w:val="0066157A"/>
    <w:rsid w:val="006615FC"/>
    <w:rsid w:val="0066162F"/>
    <w:rsid w:val="006618D4"/>
    <w:rsid w:val="006619A4"/>
    <w:rsid w:val="006621EF"/>
    <w:rsid w:val="0066247E"/>
    <w:rsid w:val="00662533"/>
    <w:rsid w:val="00662727"/>
    <w:rsid w:val="00662898"/>
    <w:rsid w:val="00662A95"/>
    <w:rsid w:val="00662E68"/>
    <w:rsid w:val="00662EB7"/>
    <w:rsid w:val="00662EE5"/>
    <w:rsid w:val="00662F77"/>
    <w:rsid w:val="006630CB"/>
    <w:rsid w:val="0066327C"/>
    <w:rsid w:val="0066354E"/>
    <w:rsid w:val="006635CB"/>
    <w:rsid w:val="00663955"/>
    <w:rsid w:val="00663B3C"/>
    <w:rsid w:val="00663BD1"/>
    <w:rsid w:val="00663FA2"/>
    <w:rsid w:val="00663FAD"/>
    <w:rsid w:val="0066401C"/>
    <w:rsid w:val="00664192"/>
    <w:rsid w:val="006642CA"/>
    <w:rsid w:val="006644F2"/>
    <w:rsid w:val="006645FE"/>
    <w:rsid w:val="0066462C"/>
    <w:rsid w:val="00664CA5"/>
    <w:rsid w:val="00665170"/>
    <w:rsid w:val="006654E8"/>
    <w:rsid w:val="00665743"/>
    <w:rsid w:val="00665803"/>
    <w:rsid w:val="006659C6"/>
    <w:rsid w:val="00665A65"/>
    <w:rsid w:val="00665B53"/>
    <w:rsid w:val="00665C03"/>
    <w:rsid w:val="00665C67"/>
    <w:rsid w:val="00665EC5"/>
    <w:rsid w:val="00666097"/>
    <w:rsid w:val="00666355"/>
    <w:rsid w:val="00666528"/>
    <w:rsid w:val="0066659E"/>
    <w:rsid w:val="00666938"/>
    <w:rsid w:val="00666962"/>
    <w:rsid w:val="00666AAF"/>
    <w:rsid w:val="00666BFE"/>
    <w:rsid w:val="00666C37"/>
    <w:rsid w:val="00666EA7"/>
    <w:rsid w:val="00667066"/>
    <w:rsid w:val="00667222"/>
    <w:rsid w:val="00667266"/>
    <w:rsid w:val="00667330"/>
    <w:rsid w:val="0066733B"/>
    <w:rsid w:val="00667385"/>
    <w:rsid w:val="0066741D"/>
    <w:rsid w:val="00667475"/>
    <w:rsid w:val="006676E0"/>
    <w:rsid w:val="00667730"/>
    <w:rsid w:val="00667846"/>
    <w:rsid w:val="006679B8"/>
    <w:rsid w:val="006679EB"/>
    <w:rsid w:val="00667AC1"/>
    <w:rsid w:val="00667BC5"/>
    <w:rsid w:val="00667C2B"/>
    <w:rsid w:val="00667D0D"/>
    <w:rsid w:val="0067003B"/>
    <w:rsid w:val="00670088"/>
    <w:rsid w:val="00670209"/>
    <w:rsid w:val="006702F1"/>
    <w:rsid w:val="00670413"/>
    <w:rsid w:val="00670456"/>
    <w:rsid w:val="00670815"/>
    <w:rsid w:val="0067085A"/>
    <w:rsid w:val="006708B6"/>
    <w:rsid w:val="00670B0F"/>
    <w:rsid w:val="00670C2C"/>
    <w:rsid w:val="00670DCD"/>
    <w:rsid w:val="00670E7B"/>
    <w:rsid w:val="00671152"/>
    <w:rsid w:val="00671194"/>
    <w:rsid w:val="006713DA"/>
    <w:rsid w:val="00671824"/>
    <w:rsid w:val="00671A0D"/>
    <w:rsid w:val="00671AEA"/>
    <w:rsid w:val="00671C19"/>
    <w:rsid w:val="006722AE"/>
    <w:rsid w:val="006723AC"/>
    <w:rsid w:val="006724BA"/>
    <w:rsid w:val="00672639"/>
    <w:rsid w:val="0067267B"/>
    <w:rsid w:val="0067288A"/>
    <w:rsid w:val="00672D2B"/>
    <w:rsid w:val="00672D84"/>
    <w:rsid w:val="00672FEE"/>
    <w:rsid w:val="00673024"/>
    <w:rsid w:val="00673288"/>
    <w:rsid w:val="006733C6"/>
    <w:rsid w:val="00673687"/>
    <w:rsid w:val="006739BF"/>
    <w:rsid w:val="00673BA1"/>
    <w:rsid w:val="00673BE3"/>
    <w:rsid w:val="00673E19"/>
    <w:rsid w:val="00674596"/>
    <w:rsid w:val="006747E7"/>
    <w:rsid w:val="00674916"/>
    <w:rsid w:val="00674BD5"/>
    <w:rsid w:val="00674DAE"/>
    <w:rsid w:val="00674F95"/>
    <w:rsid w:val="00675379"/>
    <w:rsid w:val="0067561D"/>
    <w:rsid w:val="00675628"/>
    <w:rsid w:val="00675B79"/>
    <w:rsid w:val="00675C31"/>
    <w:rsid w:val="00675F30"/>
    <w:rsid w:val="00676065"/>
    <w:rsid w:val="006761C4"/>
    <w:rsid w:val="006762A2"/>
    <w:rsid w:val="006762B9"/>
    <w:rsid w:val="006762FC"/>
    <w:rsid w:val="006763C0"/>
    <w:rsid w:val="006768CA"/>
    <w:rsid w:val="006768CC"/>
    <w:rsid w:val="0067693D"/>
    <w:rsid w:val="006769FE"/>
    <w:rsid w:val="00676C29"/>
    <w:rsid w:val="00676E97"/>
    <w:rsid w:val="00676FD4"/>
    <w:rsid w:val="00677018"/>
    <w:rsid w:val="00677178"/>
    <w:rsid w:val="0067737E"/>
    <w:rsid w:val="0067759C"/>
    <w:rsid w:val="00677761"/>
    <w:rsid w:val="00677785"/>
    <w:rsid w:val="00677CCA"/>
    <w:rsid w:val="00677DE9"/>
    <w:rsid w:val="00677F5C"/>
    <w:rsid w:val="006801B4"/>
    <w:rsid w:val="006801DA"/>
    <w:rsid w:val="006804A9"/>
    <w:rsid w:val="00680703"/>
    <w:rsid w:val="00680808"/>
    <w:rsid w:val="00680829"/>
    <w:rsid w:val="00680ABD"/>
    <w:rsid w:val="00680C81"/>
    <w:rsid w:val="00680DE6"/>
    <w:rsid w:val="0068106E"/>
    <w:rsid w:val="0068117C"/>
    <w:rsid w:val="00681216"/>
    <w:rsid w:val="006812F1"/>
    <w:rsid w:val="00681476"/>
    <w:rsid w:val="006814A7"/>
    <w:rsid w:val="006814B2"/>
    <w:rsid w:val="0068161A"/>
    <w:rsid w:val="00681630"/>
    <w:rsid w:val="006819FC"/>
    <w:rsid w:val="00681C86"/>
    <w:rsid w:val="00681E57"/>
    <w:rsid w:val="0068228A"/>
    <w:rsid w:val="0068237F"/>
    <w:rsid w:val="0068240B"/>
    <w:rsid w:val="00682C75"/>
    <w:rsid w:val="00683044"/>
    <w:rsid w:val="00683238"/>
    <w:rsid w:val="0068325D"/>
    <w:rsid w:val="00683471"/>
    <w:rsid w:val="006834FA"/>
    <w:rsid w:val="006835A5"/>
    <w:rsid w:val="0068374C"/>
    <w:rsid w:val="006837AB"/>
    <w:rsid w:val="006839F5"/>
    <w:rsid w:val="00683C9D"/>
    <w:rsid w:val="0068454A"/>
    <w:rsid w:val="00684ACD"/>
    <w:rsid w:val="00684B8F"/>
    <w:rsid w:val="006853DA"/>
    <w:rsid w:val="00685632"/>
    <w:rsid w:val="00685A09"/>
    <w:rsid w:val="00685DB2"/>
    <w:rsid w:val="00685E50"/>
    <w:rsid w:val="00685EE4"/>
    <w:rsid w:val="00685F1A"/>
    <w:rsid w:val="00685F3C"/>
    <w:rsid w:val="00685F5D"/>
    <w:rsid w:val="006862E8"/>
    <w:rsid w:val="00686668"/>
    <w:rsid w:val="0068688C"/>
    <w:rsid w:val="00686A1D"/>
    <w:rsid w:val="00686B66"/>
    <w:rsid w:val="00686DAF"/>
    <w:rsid w:val="00686E91"/>
    <w:rsid w:val="00687145"/>
    <w:rsid w:val="006873E0"/>
    <w:rsid w:val="0068752A"/>
    <w:rsid w:val="006875FB"/>
    <w:rsid w:val="0068768A"/>
    <w:rsid w:val="00687AFD"/>
    <w:rsid w:val="00687C7A"/>
    <w:rsid w:val="00687D9F"/>
    <w:rsid w:val="006901A5"/>
    <w:rsid w:val="006902AC"/>
    <w:rsid w:val="0069030C"/>
    <w:rsid w:val="0069032C"/>
    <w:rsid w:val="00690509"/>
    <w:rsid w:val="006906AD"/>
    <w:rsid w:val="00690722"/>
    <w:rsid w:val="0069072C"/>
    <w:rsid w:val="00690740"/>
    <w:rsid w:val="00690C47"/>
    <w:rsid w:val="00690D91"/>
    <w:rsid w:val="00691377"/>
    <w:rsid w:val="00691490"/>
    <w:rsid w:val="0069155C"/>
    <w:rsid w:val="006917AE"/>
    <w:rsid w:val="006917FA"/>
    <w:rsid w:val="00691B47"/>
    <w:rsid w:val="00691B6D"/>
    <w:rsid w:val="00691C82"/>
    <w:rsid w:val="00691DEA"/>
    <w:rsid w:val="00691F17"/>
    <w:rsid w:val="006923E6"/>
    <w:rsid w:val="0069243E"/>
    <w:rsid w:val="00692510"/>
    <w:rsid w:val="006926AB"/>
    <w:rsid w:val="006926D0"/>
    <w:rsid w:val="006926D4"/>
    <w:rsid w:val="006929B9"/>
    <w:rsid w:val="006929F5"/>
    <w:rsid w:val="00692B5F"/>
    <w:rsid w:val="00692FB1"/>
    <w:rsid w:val="00693341"/>
    <w:rsid w:val="00693424"/>
    <w:rsid w:val="006934BC"/>
    <w:rsid w:val="0069386D"/>
    <w:rsid w:val="006939B2"/>
    <w:rsid w:val="00693C4A"/>
    <w:rsid w:val="00693D53"/>
    <w:rsid w:val="00694047"/>
    <w:rsid w:val="00694568"/>
    <w:rsid w:val="00694572"/>
    <w:rsid w:val="00694B17"/>
    <w:rsid w:val="00694D58"/>
    <w:rsid w:val="00694D81"/>
    <w:rsid w:val="00694E13"/>
    <w:rsid w:val="00694F94"/>
    <w:rsid w:val="0069513D"/>
    <w:rsid w:val="006953D2"/>
    <w:rsid w:val="0069563A"/>
    <w:rsid w:val="006956D1"/>
    <w:rsid w:val="0069579C"/>
    <w:rsid w:val="006957BC"/>
    <w:rsid w:val="00695910"/>
    <w:rsid w:val="00695947"/>
    <w:rsid w:val="006959CA"/>
    <w:rsid w:val="00695ACD"/>
    <w:rsid w:val="00695B6F"/>
    <w:rsid w:val="00695BA3"/>
    <w:rsid w:val="00695C6A"/>
    <w:rsid w:val="00695DB7"/>
    <w:rsid w:val="00695E83"/>
    <w:rsid w:val="00696822"/>
    <w:rsid w:val="00696C09"/>
    <w:rsid w:val="00696C0D"/>
    <w:rsid w:val="00696CF7"/>
    <w:rsid w:val="0069714B"/>
    <w:rsid w:val="0069729C"/>
    <w:rsid w:val="00697517"/>
    <w:rsid w:val="0069769A"/>
    <w:rsid w:val="006977F0"/>
    <w:rsid w:val="006979DB"/>
    <w:rsid w:val="00697E29"/>
    <w:rsid w:val="00697F7C"/>
    <w:rsid w:val="006A007C"/>
    <w:rsid w:val="006A01B6"/>
    <w:rsid w:val="006A0343"/>
    <w:rsid w:val="006A0563"/>
    <w:rsid w:val="006A05C5"/>
    <w:rsid w:val="006A05E1"/>
    <w:rsid w:val="006A06F9"/>
    <w:rsid w:val="006A0713"/>
    <w:rsid w:val="006A0896"/>
    <w:rsid w:val="006A0D1A"/>
    <w:rsid w:val="006A121A"/>
    <w:rsid w:val="006A15AB"/>
    <w:rsid w:val="006A1BDA"/>
    <w:rsid w:val="006A1D19"/>
    <w:rsid w:val="006A1FFE"/>
    <w:rsid w:val="006A203D"/>
    <w:rsid w:val="006A20EF"/>
    <w:rsid w:val="006A233A"/>
    <w:rsid w:val="006A244D"/>
    <w:rsid w:val="006A2721"/>
    <w:rsid w:val="006A292C"/>
    <w:rsid w:val="006A31E7"/>
    <w:rsid w:val="006A36D1"/>
    <w:rsid w:val="006A3AB6"/>
    <w:rsid w:val="006A3AF3"/>
    <w:rsid w:val="006A3E5A"/>
    <w:rsid w:val="006A401F"/>
    <w:rsid w:val="006A40CC"/>
    <w:rsid w:val="006A4128"/>
    <w:rsid w:val="006A4185"/>
    <w:rsid w:val="006A42B7"/>
    <w:rsid w:val="006A440E"/>
    <w:rsid w:val="006A4510"/>
    <w:rsid w:val="006A4732"/>
    <w:rsid w:val="006A4736"/>
    <w:rsid w:val="006A474E"/>
    <w:rsid w:val="006A492C"/>
    <w:rsid w:val="006A4ECD"/>
    <w:rsid w:val="006A50D4"/>
    <w:rsid w:val="006A50FD"/>
    <w:rsid w:val="006A560E"/>
    <w:rsid w:val="006A56AF"/>
    <w:rsid w:val="006A572F"/>
    <w:rsid w:val="006A59DB"/>
    <w:rsid w:val="006A619C"/>
    <w:rsid w:val="006A62BD"/>
    <w:rsid w:val="006A638B"/>
    <w:rsid w:val="006A66D1"/>
    <w:rsid w:val="006A6958"/>
    <w:rsid w:val="006A6973"/>
    <w:rsid w:val="006A69FA"/>
    <w:rsid w:val="006A6AAB"/>
    <w:rsid w:val="006A6AAF"/>
    <w:rsid w:val="006A6ADC"/>
    <w:rsid w:val="006A6BAC"/>
    <w:rsid w:val="006A6D0B"/>
    <w:rsid w:val="006A6EC2"/>
    <w:rsid w:val="006A738E"/>
    <w:rsid w:val="006A73F4"/>
    <w:rsid w:val="006A7461"/>
    <w:rsid w:val="006A76D8"/>
    <w:rsid w:val="006A79D6"/>
    <w:rsid w:val="006A7A5F"/>
    <w:rsid w:val="006A7D87"/>
    <w:rsid w:val="006A7E11"/>
    <w:rsid w:val="006A7E37"/>
    <w:rsid w:val="006B006E"/>
    <w:rsid w:val="006B01E0"/>
    <w:rsid w:val="006B0671"/>
    <w:rsid w:val="006B0674"/>
    <w:rsid w:val="006B06A9"/>
    <w:rsid w:val="006B1003"/>
    <w:rsid w:val="006B1334"/>
    <w:rsid w:val="006B1449"/>
    <w:rsid w:val="006B179D"/>
    <w:rsid w:val="006B1815"/>
    <w:rsid w:val="006B1A58"/>
    <w:rsid w:val="006B1ACC"/>
    <w:rsid w:val="006B1C2B"/>
    <w:rsid w:val="006B1C4E"/>
    <w:rsid w:val="006B1E1A"/>
    <w:rsid w:val="006B1E6E"/>
    <w:rsid w:val="006B1F37"/>
    <w:rsid w:val="006B1FAF"/>
    <w:rsid w:val="006B23E0"/>
    <w:rsid w:val="006B24F7"/>
    <w:rsid w:val="006B260E"/>
    <w:rsid w:val="006B261E"/>
    <w:rsid w:val="006B29B7"/>
    <w:rsid w:val="006B29C5"/>
    <w:rsid w:val="006B2DC8"/>
    <w:rsid w:val="006B3054"/>
    <w:rsid w:val="006B36B9"/>
    <w:rsid w:val="006B37B0"/>
    <w:rsid w:val="006B3809"/>
    <w:rsid w:val="006B398D"/>
    <w:rsid w:val="006B3B6C"/>
    <w:rsid w:val="006B3D55"/>
    <w:rsid w:val="006B3F75"/>
    <w:rsid w:val="006B4499"/>
    <w:rsid w:val="006B48A6"/>
    <w:rsid w:val="006B49A8"/>
    <w:rsid w:val="006B4CAE"/>
    <w:rsid w:val="006B4E36"/>
    <w:rsid w:val="006B4FD1"/>
    <w:rsid w:val="006B53C2"/>
    <w:rsid w:val="006B5575"/>
    <w:rsid w:val="006B5619"/>
    <w:rsid w:val="006B5624"/>
    <w:rsid w:val="006B58D8"/>
    <w:rsid w:val="006B5A24"/>
    <w:rsid w:val="006B5DEA"/>
    <w:rsid w:val="006B6020"/>
    <w:rsid w:val="006B6074"/>
    <w:rsid w:val="006B61BE"/>
    <w:rsid w:val="006B624F"/>
    <w:rsid w:val="006B627F"/>
    <w:rsid w:val="006B63E5"/>
    <w:rsid w:val="006B666A"/>
    <w:rsid w:val="006B69B8"/>
    <w:rsid w:val="006B6A84"/>
    <w:rsid w:val="006B6AEC"/>
    <w:rsid w:val="006B6BDF"/>
    <w:rsid w:val="006B6CF2"/>
    <w:rsid w:val="006B6D19"/>
    <w:rsid w:val="006B6D74"/>
    <w:rsid w:val="006B728E"/>
    <w:rsid w:val="006B7548"/>
    <w:rsid w:val="006B7AB6"/>
    <w:rsid w:val="006B7B20"/>
    <w:rsid w:val="006B7CB2"/>
    <w:rsid w:val="006B7DFB"/>
    <w:rsid w:val="006B7FA1"/>
    <w:rsid w:val="006C0012"/>
    <w:rsid w:val="006C008C"/>
    <w:rsid w:val="006C0294"/>
    <w:rsid w:val="006C0346"/>
    <w:rsid w:val="006C0487"/>
    <w:rsid w:val="006C05BC"/>
    <w:rsid w:val="006C06CE"/>
    <w:rsid w:val="006C075E"/>
    <w:rsid w:val="006C0A79"/>
    <w:rsid w:val="006C0B14"/>
    <w:rsid w:val="006C0B2D"/>
    <w:rsid w:val="006C0C5B"/>
    <w:rsid w:val="006C0CC4"/>
    <w:rsid w:val="006C1241"/>
    <w:rsid w:val="006C128B"/>
    <w:rsid w:val="006C1325"/>
    <w:rsid w:val="006C15D6"/>
    <w:rsid w:val="006C1619"/>
    <w:rsid w:val="006C1723"/>
    <w:rsid w:val="006C17C0"/>
    <w:rsid w:val="006C181C"/>
    <w:rsid w:val="006C1989"/>
    <w:rsid w:val="006C1BE9"/>
    <w:rsid w:val="006C2063"/>
    <w:rsid w:val="006C23A8"/>
    <w:rsid w:val="006C24B5"/>
    <w:rsid w:val="006C267A"/>
    <w:rsid w:val="006C280A"/>
    <w:rsid w:val="006C2986"/>
    <w:rsid w:val="006C2A0D"/>
    <w:rsid w:val="006C2AF2"/>
    <w:rsid w:val="006C2D2F"/>
    <w:rsid w:val="006C32F8"/>
    <w:rsid w:val="006C335A"/>
    <w:rsid w:val="006C363F"/>
    <w:rsid w:val="006C3ACC"/>
    <w:rsid w:val="006C3D37"/>
    <w:rsid w:val="006C3ED5"/>
    <w:rsid w:val="006C42C2"/>
    <w:rsid w:val="006C44AB"/>
    <w:rsid w:val="006C44F0"/>
    <w:rsid w:val="006C453E"/>
    <w:rsid w:val="006C4872"/>
    <w:rsid w:val="006C4980"/>
    <w:rsid w:val="006C4C23"/>
    <w:rsid w:val="006C4E50"/>
    <w:rsid w:val="006C4E9A"/>
    <w:rsid w:val="006C512C"/>
    <w:rsid w:val="006C52A4"/>
    <w:rsid w:val="006C55E2"/>
    <w:rsid w:val="006C5614"/>
    <w:rsid w:val="006C57DE"/>
    <w:rsid w:val="006C58ED"/>
    <w:rsid w:val="006C5E1A"/>
    <w:rsid w:val="006C632A"/>
    <w:rsid w:val="006C6376"/>
    <w:rsid w:val="006C63FC"/>
    <w:rsid w:val="006C670C"/>
    <w:rsid w:val="006C674C"/>
    <w:rsid w:val="006C67F9"/>
    <w:rsid w:val="006C6A18"/>
    <w:rsid w:val="006C6B97"/>
    <w:rsid w:val="006C6C08"/>
    <w:rsid w:val="006C6C46"/>
    <w:rsid w:val="006C6CFA"/>
    <w:rsid w:val="006C6DB8"/>
    <w:rsid w:val="006C724E"/>
    <w:rsid w:val="006C7340"/>
    <w:rsid w:val="006C74E6"/>
    <w:rsid w:val="006C79CE"/>
    <w:rsid w:val="006C7DF9"/>
    <w:rsid w:val="006D0352"/>
    <w:rsid w:val="006D0A56"/>
    <w:rsid w:val="006D0C43"/>
    <w:rsid w:val="006D0E75"/>
    <w:rsid w:val="006D0F2A"/>
    <w:rsid w:val="006D0FE9"/>
    <w:rsid w:val="006D1130"/>
    <w:rsid w:val="006D15BE"/>
    <w:rsid w:val="006D1725"/>
    <w:rsid w:val="006D191A"/>
    <w:rsid w:val="006D1935"/>
    <w:rsid w:val="006D19C7"/>
    <w:rsid w:val="006D19FF"/>
    <w:rsid w:val="006D1D65"/>
    <w:rsid w:val="006D1E43"/>
    <w:rsid w:val="006D20DB"/>
    <w:rsid w:val="006D21DA"/>
    <w:rsid w:val="006D2615"/>
    <w:rsid w:val="006D2631"/>
    <w:rsid w:val="006D29B4"/>
    <w:rsid w:val="006D2A8E"/>
    <w:rsid w:val="006D2B4E"/>
    <w:rsid w:val="006D2EF2"/>
    <w:rsid w:val="006D3042"/>
    <w:rsid w:val="006D30DF"/>
    <w:rsid w:val="006D342A"/>
    <w:rsid w:val="006D34DF"/>
    <w:rsid w:val="006D38A7"/>
    <w:rsid w:val="006D3A97"/>
    <w:rsid w:val="006D3B16"/>
    <w:rsid w:val="006D3B23"/>
    <w:rsid w:val="006D3BF5"/>
    <w:rsid w:val="006D3CA6"/>
    <w:rsid w:val="006D42C5"/>
    <w:rsid w:val="006D455A"/>
    <w:rsid w:val="006D4588"/>
    <w:rsid w:val="006D476E"/>
    <w:rsid w:val="006D4A83"/>
    <w:rsid w:val="006D4DD2"/>
    <w:rsid w:val="006D4E72"/>
    <w:rsid w:val="006D4E86"/>
    <w:rsid w:val="006D5150"/>
    <w:rsid w:val="006D5889"/>
    <w:rsid w:val="006D5DE2"/>
    <w:rsid w:val="006D5EB1"/>
    <w:rsid w:val="006D6063"/>
    <w:rsid w:val="006D60F1"/>
    <w:rsid w:val="006D6246"/>
    <w:rsid w:val="006D6267"/>
    <w:rsid w:val="006D62A6"/>
    <w:rsid w:val="006D659B"/>
    <w:rsid w:val="006D688A"/>
    <w:rsid w:val="006D68CD"/>
    <w:rsid w:val="006D697D"/>
    <w:rsid w:val="006D6AEF"/>
    <w:rsid w:val="006D6C35"/>
    <w:rsid w:val="006D6C36"/>
    <w:rsid w:val="006D6E74"/>
    <w:rsid w:val="006D6FC2"/>
    <w:rsid w:val="006D6FC3"/>
    <w:rsid w:val="006D7070"/>
    <w:rsid w:val="006D71CE"/>
    <w:rsid w:val="006D720A"/>
    <w:rsid w:val="006D72C2"/>
    <w:rsid w:val="006D74CC"/>
    <w:rsid w:val="006D74EF"/>
    <w:rsid w:val="006D760C"/>
    <w:rsid w:val="006D7914"/>
    <w:rsid w:val="006D7B05"/>
    <w:rsid w:val="006D7C8A"/>
    <w:rsid w:val="006D7E46"/>
    <w:rsid w:val="006D7FDE"/>
    <w:rsid w:val="006E0388"/>
    <w:rsid w:val="006E03F6"/>
    <w:rsid w:val="006E0413"/>
    <w:rsid w:val="006E056A"/>
    <w:rsid w:val="006E05F2"/>
    <w:rsid w:val="006E080B"/>
    <w:rsid w:val="006E0ABA"/>
    <w:rsid w:val="006E0AFE"/>
    <w:rsid w:val="006E0BE7"/>
    <w:rsid w:val="006E0C33"/>
    <w:rsid w:val="006E0CD0"/>
    <w:rsid w:val="006E0D88"/>
    <w:rsid w:val="006E0DDD"/>
    <w:rsid w:val="006E0E66"/>
    <w:rsid w:val="006E0F8E"/>
    <w:rsid w:val="006E10FC"/>
    <w:rsid w:val="006E1228"/>
    <w:rsid w:val="006E1563"/>
    <w:rsid w:val="006E157D"/>
    <w:rsid w:val="006E159A"/>
    <w:rsid w:val="006E15FC"/>
    <w:rsid w:val="006E16B5"/>
    <w:rsid w:val="006E16F8"/>
    <w:rsid w:val="006E17C5"/>
    <w:rsid w:val="006E1957"/>
    <w:rsid w:val="006E1B9A"/>
    <w:rsid w:val="006E1F38"/>
    <w:rsid w:val="006E202F"/>
    <w:rsid w:val="006E209F"/>
    <w:rsid w:val="006E217E"/>
    <w:rsid w:val="006E233C"/>
    <w:rsid w:val="006E24AB"/>
    <w:rsid w:val="006E2649"/>
    <w:rsid w:val="006E27AC"/>
    <w:rsid w:val="006E2B6F"/>
    <w:rsid w:val="006E3029"/>
    <w:rsid w:val="006E316F"/>
    <w:rsid w:val="006E32BB"/>
    <w:rsid w:val="006E3340"/>
    <w:rsid w:val="006E33DD"/>
    <w:rsid w:val="006E361A"/>
    <w:rsid w:val="006E39A4"/>
    <w:rsid w:val="006E3A24"/>
    <w:rsid w:val="006E3D1B"/>
    <w:rsid w:val="006E3D46"/>
    <w:rsid w:val="006E3F65"/>
    <w:rsid w:val="006E42A7"/>
    <w:rsid w:val="006E456D"/>
    <w:rsid w:val="006E45E5"/>
    <w:rsid w:val="006E474D"/>
    <w:rsid w:val="006E4C0A"/>
    <w:rsid w:val="006E4C39"/>
    <w:rsid w:val="006E4D1E"/>
    <w:rsid w:val="006E4D65"/>
    <w:rsid w:val="006E4F8F"/>
    <w:rsid w:val="006E5092"/>
    <w:rsid w:val="006E55C2"/>
    <w:rsid w:val="006E55F8"/>
    <w:rsid w:val="006E592C"/>
    <w:rsid w:val="006E5CB6"/>
    <w:rsid w:val="006E5ECA"/>
    <w:rsid w:val="006E61F1"/>
    <w:rsid w:val="006E650E"/>
    <w:rsid w:val="006E6590"/>
    <w:rsid w:val="006E65C9"/>
    <w:rsid w:val="006E65D7"/>
    <w:rsid w:val="006E6602"/>
    <w:rsid w:val="006E665D"/>
    <w:rsid w:val="006E6877"/>
    <w:rsid w:val="006E697D"/>
    <w:rsid w:val="006E6AA9"/>
    <w:rsid w:val="006E6C24"/>
    <w:rsid w:val="006E6C36"/>
    <w:rsid w:val="006E7119"/>
    <w:rsid w:val="006E73A5"/>
    <w:rsid w:val="006E7684"/>
    <w:rsid w:val="006E7802"/>
    <w:rsid w:val="006E78AF"/>
    <w:rsid w:val="006E7C40"/>
    <w:rsid w:val="006F003B"/>
    <w:rsid w:val="006F00E8"/>
    <w:rsid w:val="006F0106"/>
    <w:rsid w:val="006F0193"/>
    <w:rsid w:val="006F0427"/>
    <w:rsid w:val="006F075E"/>
    <w:rsid w:val="006F087C"/>
    <w:rsid w:val="006F0AB6"/>
    <w:rsid w:val="006F0CF8"/>
    <w:rsid w:val="006F0D0B"/>
    <w:rsid w:val="006F0E75"/>
    <w:rsid w:val="006F1055"/>
    <w:rsid w:val="006F1345"/>
    <w:rsid w:val="006F185B"/>
    <w:rsid w:val="006F1866"/>
    <w:rsid w:val="006F186C"/>
    <w:rsid w:val="006F1933"/>
    <w:rsid w:val="006F199F"/>
    <w:rsid w:val="006F1BB3"/>
    <w:rsid w:val="006F1C77"/>
    <w:rsid w:val="006F1D00"/>
    <w:rsid w:val="006F1D24"/>
    <w:rsid w:val="006F220D"/>
    <w:rsid w:val="006F276D"/>
    <w:rsid w:val="006F2962"/>
    <w:rsid w:val="006F296E"/>
    <w:rsid w:val="006F2A88"/>
    <w:rsid w:val="006F2DB7"/>
    <w:rsid w:val="006F2EB4"/>
    <w:rsid w:val="006F3826"/>
    <w:rsid w:val="006F38DB"/>
    <w:rsid w:val="006F3AAE"/>
    <w:rsid w:val="006F3CB4"/>
    <w:rsid w:val="006F3FE5"/>
    <w:rsid w:val="006F4111"/>
    <w:rsid w:val="006F417F"/>
    <w:rsid w:val="006F431D"/>
    <w:rsid w:val="006F436F"/>
    <w:rsid w:val="006F449A"/>
    <w:rsid w:val="006F4576"/>
    <w:rsid w:val="006F464B"/>
    <w:rsid w:val="006F4A1B"/>
    <w:rsid w:val="006F4BBD"/>
    <w:rsid w:val="006F4D37"/>
    <w:rsid w:val="006F506C"/>
    <w:rsid w:val="006F5283"/>
    <w:rsid w:val="006F542F"/>
    <w:rsid w:val="006F55DB"/>
    <w:rsid w:val="006F57CB"/>
    <w:rsid w:val="006F5823"/>
    <w:rsid w:val="006F5B06"/>
    <w:rsid w:val="006F5BFA"/>
    <w:rsid w:val="006F5EAC"/>
    <w:rsid w:val="006F5ED8"/>
    <w:rsid w:val="006F5F73"/>
    <w:rsid w:val="006F6549"/>
    <w:rsid w:val="006F68B9"/>
    <w:rsid w:val="006F69AA"/>
    <w:rsid w:val="006F6A8C"/>
    <w:rsid w:val="006F6BA8"/>
    <w:rsid w:val="006F6BDA"/>
    <w:rsid w:val="006F6CD0"/>
    <w:rsid w:val="006F6EFC"/>
    <w:rsid w:val="006F725F"/>
    <w:rsid w:val="006F7365"/>
    <w:rsid w:val="006F7423"/>
    <w:rsid w:val="006F7586"/>
    <w:rsid w:val="006F772D"/>
    <w:rsid w:val="006F78B8"/>
    <w:rsid w:val="006F7B25"/>
    <w:rsid w:val="006F7F88"/>
    <w:rsid w:val="007001F0"/>
    <w:rsid w:val="00700261"/>
    <w:rsid w:val="007003B6"/>
    <w:rsid w:val="00700474"/>
    <w:rsid w:val="00700477"/>
    <w:rsid w:val="007004F7"/>
    <w:rsid w:val="00700514"/>
    <w:rsid w:val="00700567"/>
    <w:rsid w:val="00700788"/>
    <w:rsid w:val="007007DB"/>
    <w:rsid w:val="0070094E"/>
    <w:rsid w:val="00700B3A"/>
    <w:rsid w:val="00700E2A"/>
    <w:rsid w:val="00700F49"/>
    <w:rsid w:val="00700F53"/>
    <w:rsid w:val="00701098"/>
    <w:rsid w:val="00701108"/>
    <w:rsid w:val="007012FE"/>
    <w:rsid w:val="007013AD"/>
    <w:rsid w:val="00701675"/>
    <w:rsid w:val="0070179D"/>
    <w:rsid w:val="007017A6"/>
    <w:rsid w:val="00701852"/>
    <w:rsid w:val="00702107"/>
    <w:rsid w:val="007025C2"/>
    <w:rsid w:val="007025F4"/>
    <w:rsid w:val="007026F3"/>
    <w:rsid w:val="007028AC"/>
    <w:rsid w:val="00702926"/>
    <w:rsid w:val="00702B46"/>
    <w:rsid w:val="0070331E"/>
    <w:rsid w:val="007037AA"/>
    <w:rsid w:val="00703821"/>
    <w:rsid w:val="00703A67"/>
    <w:rsid w:val="00703B32"/>
    <w:rsid w:val="00703C88"/>
    <w:rsid w:val="00703D1C"/>
    <w:rsid w:val="00703FA5"/>
    <w:rsid w:val="00704004"/>
    <w:rsid w:val="00704036"/>
    <w:rsid w:val="007040DA"/>
    <w:rsid w:val="00704330"/>
    <w:rsid w:val="0070435F"/>
    <w:rsid w:val="00704407"/>
    <w:rsid w:val="007049F8"/>
    <w:rsid w:val="00704A5A"/>
    <w:rsid w:val="00704D75"/>
    <w:rsid w:val="00704FDF"/>
    <w:rsid w:val="007052A4"/>
    <w:rsid w:val="0070538F"/>
    <w:rsid w:val="00705549"/>
    <w:rsid w:val="007059BB"/>
    <w:rsid w:val="00705A2C"/>
    <w:rsid w:val="00705AC9"/>
    <w:rsid w:val="00705B8F"/>
    <w:rsid w:val="00705C10"/>
    <w:rsid w:val="00705C3F"/>
    <w:rsid w:val="00705C65"/>
    <w:rsid w:val="00705E8D"/>
    <w:rsid w:val="00705F1B"/>
    <w:rsid w:val="00706423"/>
    <w:rsid w:val="00706577"/>
    <w:rsid w:val="007067B8"/>
    <w:rsid w:val="007067DF"/>
    <w:rsid w:val="00706A2A"/>
    <w:rsid w:val="00706CBE"/>
    <w:rsid w:val="00706D56"/>
    <w:rsid w:val="00706DDB"/>
    <w:rsid w:val="007074C8"/>
    <w:rsid w:val="00707507"/>
    <w:rsid w:val="00707731"/>
    <w:rsid w:val="007077E2"/>
    <w:rsid w:val="00707A6D"/>
    <w:rsid w:val="00707AA6"/>
    <w:rsid w:val="00707B6A"/>
    <w:rsid w:val="00707CFC"/>
    <w:rsid w:val="00707D64"/>
    <w:rsid w:val="0071004F"/>
    <w:rsid w:val="0071039F"/>
    <w:rsid w:val="0071052C"/>
    <w:rsid w:val="0071053D"/>
    <w:rsid w:val="00710731"/>
    <w:rsid w:val="00710DF6"/>
    <w:rsid w:val="00710E55"/>
    <w:rsid w:val="00711167"/>
    <w:rsid w:val="0071144C"/>
    <w:rsid w:val="0071164F"/>
    <w:rsid w:val="007117E0"/>
    <w:rsid w:val="0071185C"/>
    <w:rsid w:val="00711DE3"/>
    <w:rsid w:val="00712139"/>
    <w:rsid w:val="007123E6"/>
    <w:rsid w:val="00712646"/>
    <w:rsid w:val="0071286D"/>
    <w:rsid w:val="00712958"/>
    <w:rsid w:val="00712B26"/>
    <w:rsid w:val="00712C92"/>
    <w:rsid w:val="00712D21"/>
    <w:rsid w:val="00712ECA"/>
    <w:rsid w:val="00712EDE"/>
    <w:rsid w:val="0071356C"/>
    <w:rsid w:val="00713704"/>
    <w:rsid w:val="007137A2"/>
    <w:rsid w:val="00713962"/>
    <w:rsid w:val="0071398F"/>
    <w:rsid w:val="00713D24"/>
    <w:rsid w:val="00713DC1"/>
    <w:rsid w:val="00713DEE"/>
    <w:rsid w:val="007141CD"/>
    <w:rsid w:val="0071423F"/>
    <w:rsid w:val="007142B6"/>
    <w:rsid w:val="0071467E"/>
    <w:rsid w:val="0071472E"/>
    <w:rsid w:val="0071472F"/>
    <w:rsid w:val="00714A05"/>
    <w:rsid w:val="00714C73"/>
    <w:rsid w:val="00714FC5"/>
    <w:rsid w:val="00714FD9"/>
    <w:rsid w:val="007150EC"/>
    <w:rsid w:val="0071512F"/>
    <w:rsid w:val="0071519E"/>
    <w:rsid w:val="00715230"/>
    <w:rsid w:val="00715374"/>
    <w:rsid w:val="00715426"/>
    <w:rsid w:val="0071542B"/>
    <w:rsid w:val="0071545C"/>
    <w:rsid w:val="007155A2"/>
    <w:rsid w:val="007155F3"/>
    <w:rsid w:val="0071568F"/>
    <w:rsid w:val="007158BE"/>
    <w:rsid w:val="007159F6"/>
    <w:rsid w:val="00715B58"/>
    <w:rsid w:val="00715D9F"/>
    <w:rsid w:val="007160C7"/>
    <w:rsid w:val="007163C0"/>
    <w:rsid w:val="007165AC"/>
    <w:rsid w:val="00716709"/>
    <w:rsid w:val="00716724"/>
    <w:rsid w:val="00716A0C"/>
    <w:rsid w:val="00716A79"/>
    <w:rsid w:val="00716F81"/>
    <w:rsid w:val="007173E4"/>
    <w:rsid w:val="00717492"/>
    <w:rsid w:val="00717662"/>
    <w:rsid w:val="00717B54"/>
    <w:rsid w:val="00717C56"/>
    <w:rsid w:val="00717FD4"/>
    <w:rsid w:val="00720033"/>
    <w:rsid w:val="0072003A"/>
    <w:rsid w:val="0072008E"/>
    <w:rsid w:val="007200B6"/>
    <w:rsid w:val="007203CC"/>
    <w:rsid w:val="0072048E"/>
    <w:rsid w:val="0072076D"/>
    <w:rsid w:val="007207C8"/>
    <w:rsid w:val="007207E9"/>
    <w:rsid w:val="00720C4C"/>
    <w:rsid w:val="00720E64"/>
    <w:rsid w:val="00720EED"/>
    <w:rsid w:val="00720F2B"/>
    <w:rsid w:val="0072110E"/>
    <w:rsid w:val="0072118B"/>
    <w:rsid w:val="007212AB"/>
    <w:rsid w:val="007212F3"/>
    <w:rsid w:val="00721725"/>
    <w:rsid w:val="00721779"/>
    <w:rsid w:val="00721C43"/>
    <w:rsid w:val="00721C65"/>
    <w:rsid w:val="0072231C"/>
    <w:rsid w:val="0072236A"/>
    <w:rsid w:val="00722838"/>
    <w:rsid w:val="00722864"/>
    <w:rsid w:val="00722BB4"/>
    <w:rsid w:val="00722BBD"/>
    <w:rsid w:val="00723202"/>
    <w:rsid w:val="0072323C"/>
    <w:rsid w:val="007237EB"/>
    <w:rsid w:val="0072380C"/>
    <w:rsid w:val="007239F9"/>
    <w:rsid w:val="00723A0F"/>
    <w:rsid w:val="00723A31"/>
    <w:rsid w:val="00723AC2"/>
    <w:rsid w:val="00723B97"/>
    <w:rsid w:val="00723BD9"/>
    <w:rsid w:val="00723EE2"/>
    <w:rsid w:val="00723F71"/>
    <w:rsid w:val="00723F81"/>
    <w:rsid w:val="00723FB9"/>
    <w:rsid w:val="00724035"/>
    <w:rsid w:val="00724057"/>
    <w:rsid w:val="00724176"/>
    <w:rsid w:val="007243E5"/>
    <w:rsid w:val="007246A6"/>
    <w:rsid w:val="007247C4"/>
    <w:rsid w:val="00724851"/>
    <w:rsid w:val="00724892"/>
    <w:rsid w:val="00724988"/>
    <w:rsid w:val="00724A43"/>
    <w:rsid w:val="00724AF1"/>
    <w:rsid w:val="00724B26"/>
    <w:rsid w:val="00724C3A"/>
    <w:rsid w:val="00724EFD"/>
    <w:rsid w:val="007252FC"/>
    <w:rsid w:val="007253BD"/>
    <w:rsid w:val="00725452"/>
    <w:rsid w:val="00725531"/>
    <w:rsid w:val="00725A67"/>
    <w:rsid w:val="00725AC0"/>
    <w:rsid w:val="00725B37"/>
    <w:rsid w:val="00725B57"/>
    <w:rsid w:val="00725D05"/>
    <w:rsid w:val="00725FA5"/>
    <w:rsid w:val="0072605A"/>
    <w:rsid w:val="00726173"/>
    <w:rsid w:val="007261B7"/>
    <w:rsid w:val="00726646"/>
    <w:rsid w:val="00726A09"/>
    <w:rsid w:val="00726ACE"/>
    <w:rsid w:val="00726B6E"/>
    <w:rsid w:val="00726F74"/>
    <w:rsid w:val="00727520"/>
    <w:rsid w:val="00727552"/>
    <w:rsid w:val="007279B8"/>
    <w:rsid w:val="007279FC"/>
    <w:rsid w:val="00727AE6"/>
    <w:rsid w:val="00727BEE"/>
    <w:rsid w:val="00727DD8"/>
    <w:rsid w:val="0073000A"/>
    <w:rsid w:val="007300F6"/>
    <w:rsid w:val="0073016A"/>
    <w:rsid w:val="007301A7"/>
    <w:rsid w:val="007307C9"/>
    <w:rsid w:val="00730A14"/>
    <w:rsid w:val="00730BB1"/>
    <w:rsid w:val="00730D35"/>
    <w:rsid w:val="00730DFE"/>
    <w:rsid w:val="00730F0E"/>
    <w:rsid w:val="00730FCE"/>
    <w:rsid w:val="007312F7"/>
    <w:rsid w:val="007313C9"/>
    <w:rsid w:val="00731485"/>
    <w:rsid w:val="007315B1"/>
    <w:rsid w:val="00731615"/>
    <w:rsid w:val="007316A1"/>
    <w:rsid w:val="00731A45"/>
    <w:rsid w:val="00731A7C"/>
    <w:rsid w:val="00731BFC"/>
    <w:rsid w:val="00731C3C"/>
    <w:rsid w:val="00731D06"/>
    <w:rsid w:val="00731D9B"/>
    <w:rsid w:val="00731EF3"/>
    <w:rsid w:val="00732414"/>
    <w:rsid w:val="007325A8"/>
    <w:rsid w:val="007327A2"/>
    <w:rsid w:val="00732C13"/>
    <w:rsid w:val="00732C39"/>
    <w:rsid w:val="00732DFF"/>
    <w:rsid w:val="00732E65"/>
    <w:rsid w:val="00732FE9"/>
    <w:rsid w:val="00733064"/>
    <w:rsid w:val="007330A1"/>
    <w:rsid w:val="00733669"/>
    <w:rsid w:val="00733947"/>
    <w:rsid w:val="00733B74"/>
    <w:rsid w:val="00733CA9"/>
    <w:rsid w:val="00733E95"/>
    <w:rsid w:val="00733F91"/>
    <w:rsid w:val="00734062"/>
    <w:rsid w:val="007340FE"/>
    <w:rsid w:val="00734121"/>
    <w:rsid w:val="0073414A"/>
    <w:rsid w:val="007343BA"/>
    <w:rsid w:val="0073465A"/>
    <w:rsid w:val="007348C3"/>
    <w:rsid w:val="00734A6B"/>
    <w:rsid w:val="00734B38"/>
    <w:rsid w:val="00734B51"/>
    <w:rsid w:val="00734CDA"/>
    <w:rsid w:val="00734EE0"/>
    <w:rsid w:val="00735030"/>
    <w:rsid w:val="00735455"/>
    <w:rsid w:val="00735530"/>
    <w:rsid w:val="0073572B"/>
    <w:rsid w:val="00735A94"/>
    <w:rsid w:val="00735E0B"/>
    <w:rsid w:val="00735EA0"/>
    <w:rsid w:val="00735F71"/>
    <w:rsid w:val="0073627D"/>
    <w:rsid w:val="007367D4"/>
    <w:rsid w:val="00736826"/>
    <w:rsid w:val="00736AD8"/>
    <w:rsid w:val="00736AEB"/>
    <w:rsid w:val="00736B5D"/>
    <w:rsid w:val="00736C50"/>
    <w:rsid w:val="00736FFC"/>
    <w:rsid w:val="007370C5"/>
    <w:rsid w:val="007370CD"/>
    <w:rsid w:val="00737278"/>
    <w:rsid w:val="007372F9"/>
    <w:rsid w:val="00737565"/>
    <w:rsid w:val="0073763E"/>
    <w:rsid w:val="007378F8"/>
    <w:rsid w:val="00737906"/>
    <w:rsid w:val="0073796C"/>
    <w:rsid w:val="00737C15"/>
    <w:rsid w:val="00737C2E"/>
    <w:rsid w:val="00737F72"/>
    <w:rsid w:val="00737FFA"/>
    <w:rsid w:val="00740101"/>
    <w:rsid w:val="007401AA"/>
    <w:rsid w:val="007401F8"/>
    <w:rsid w:val="00740308"/>
    <w:rsid w:val="007405E1"/>
    <w:rsid w:val="007406E9"/>
    <w:rsid w:val="0074088B"/>
    <w:rsid w:val="00740A2B"/>
    <w:rsid w:val="00740A8B"/>
    <w:rsid w:val="00740F1F"/>
    <w:rsid w:val="00740F28"/>
    <w:rsid w:val="00741013"/>
    <w:rsid w:val="007419EE"/>
    <w:rsid w:val="00741A5E"/>
    <w:rsid w:val="00741CCC"/>
    <w:rsid w:val="00742141"/>
    <w:rsid w:val="0074221D"/>
    <w:rsid w:val="0074224C"/>
    <w:rsid w:val="00742252"/>
    <w:rsid w:val="0074263F"/>
    <w:rsid w:val="007426B7"/>
    <w:rsid w:val="007426EA"/>
    <w:rsid w:val="0074285E"/>
    <w:rsid w:val="00742A86"/>
    <w:rsid w:val="00742ADE"/>
    <w:rsid w:val="00742C46"/>
    <w:rsid w:val="00742DC3"/>
    <w:rsid w:val="00742F4B"/>
    <w:rsid w:val="00743096"/>
    <w:rsid w:val="0074311A"/>
    <w:rsid w:val="0074312E"/>
    <w:rsid w:val="00743165"/>
    <w:rsid w:val="00743186"/>
    <w:rsid w:val="007431DE"/>
    <w:rsid w:val="00743216"/>
    <w:rsid w:val="007432B8"/>
    <w:rsid w:val="00743308"/>
    <w:rsid w:val="00743757"/>
    <w:rsid w:val="00743989"/>
    <w:rsid w:val="00743A5C"/>
    <w:rsid w:val="00743ADF"/>
    <w:rsid w:val="00743B72"/>
    <w:rsid w:val="00743C3F"/>
    <w:rsid w:val="00743C79"/>
    <w:rsid w:val="00743F37"/>
    <w:rsid w:val="00744040"/>
    <w:rsid w:val="00744091"/>
    <w:rsid w:val="00744295"/>
    <w:rsid w:val="007442B6"/>
    <w:rsid w:val="007443F7"/>
    <w:rsid w:val="00744430"/>
    <w:rsid w:val="0074495E"/>
    <w:rsid w:val="00744B85"/>
    <w:rsid w:val="00744E0F"/>
    <w:rsid w:val="00745083"/>
    <w:rsid w:val="007451F9"/>
    <w:rsid w:val="00745AA2"/>
    <w:rsid w:val="00745BE5"/>
    <w:rsid w:val="00745D3B"/>
    <w:rsid w:val="00745DA3"/>
    <w:rsid w:val="00745DE8"/>
    <w:rsid w:val="00746050"/>
    <w:rsid w:val="0074616B"/>
    <w:rsid w:val="007461B4"/>
    <w:rsid w:val="007462B2"/>
    <w:rsid w:val="007462DA"/>
    <w:rsid w:val="007463BF"/>
    <w:rsid w:val="007465E4"/>
    <w:rsid w:val="00746830"/>
    <w:rsid w:val="0074692D"/>
    <w:rsid w:val="00746985"/>
    <w:rsid w:val="00746BBE"/>
    <w:rsid w:val="00746CFB"/>
    <w:rsid w:val="00746FCE"/>
    <w:rsid w:val="00747030"/>
    <w:rsid w:val="007473E7"/>
    <w:rsid w:val="00747411"/>
    <w:rsid w:val="007479EB"/>
    <w:rsid w:val="00747B3F"/>
    <w:rsid w:val="00747CF9"/>
    <w:rsid w:val="00747F2A"/>
    <w:rsid w:val="007500D3"/>
    <w:rsid w:val="0075028F"/>
    <w:rsid w:val="007502D4"/>
    <w:rsid w:val="00750376"/>
    <w:rsid w:val="00750408"/>
    <w:rsid w:val="00750915"/>
    <w:rsid w:val="00750B42"/>
    <w:rsid w:val="00750DB3"/>
    <w:rsid w:val="00750E44"/>
    <w:rsid w:val="00750EC3"/>
    <w:rsid w:val="00751199"/>
    <w:rsid w:val="00751311"/>
    <w:rsid w:val="007515BE"/>
    <w:rsid w:val="0075161A"/>
    <w:rsid w:val="00751695"/>
    <w:rsid w:val="00751BEF"/>
    <w:rsid w:val="00751F9F"/>
    <w:rsid w:val="00752031"/>
    <w:rsid w:val="007521BC"/>
    <w:rsid w:val="007522FD"/>
    <w:rsid w:val="0075237B"/>
    <w:rsid w:val="00752532"/>
    <w:rsid w:val="00752757"/>
    <w:rsid w:val="00752C38"/>
    <w:rsid w:val="00752E6D"/>
    <w:rsid w:val="00752EC9"/>
    <w:rsid w:val="00752FEA"/>
    <w:rsid w:val="007530B3"/>
    <w:rsid w:val="007532EF"/>
    <w:rsid w:val="00753453"/>
    <w:rsid w:val="00753646"/>
    <w:rsid w:val="007539A9"/>
    <w:rsid w:val="00753A77"/>
    <w:rsid w:val="00753AC1"/>
    <w:rsid w:val="00753B72"/>
    <w:rsid w:val="00753BBC"/>
    <w:rsid w:val="00754347"/>
    <w:rsid w:val="00754769"/>
    <w:rsid w:val="007548A7"/>
    <w:rsid w:val="00754DC4"/>
    <w:rsid w:val="00754FD0"/>
    <w:rsid w:val="007550BB"/>
    <w:rsid w:val="00755113"/>
    <w:rsid w:val="00755308"/>
    <w:rsid w:val="0075532E"/>
    <w:rsid w:val="007554A0"/>
    <w:rsid w:val="007555D0"/>
    <w:rsid w:val="00755974"/>
    <w:rsid w:val="00755A68"/>
    <w:rsid w:val="00755A73"/>
    <w:rsid w:val="00755B23"/>
    <w:rsid w:val="00755DF3"/>
    <w:rsid w:val="007560A0"/>
    <w:rsid w:val="00756493"/>
    <w:rsid w:val="007566F3"/>
    <w:rsid w:val="00756774"/>
    <w:rsid w:val="00756828"/>
    <w:rsid w:val="00756C43"/>
    <w:rsid w:val="00756C78"/>
    <w:rsid w:val="00756DD9"/>
    <w:rsid w:val="00756DEC"/>
    <w:rsid w:val="0075719C"/>
    <w:rsid w:val="007571DF"/>
    <w:rsid w:val="00757564"/>
    <w:rsid w:val="00757659"/>
    <w:rsid w:val="007577CB"/>
    <w:rsid w:val="00757AF7"/>
    <w:rsid w:val="00760008"/>
    <w:rsid w:val="007600FB"/>
    <w:rsid w:val="00760258"/>
    <w:rsid w:val="007602C9"/>
    <w:rsid w:val="00760816"/>
    <w:rsid w:val="00760B3E"/>
    <w:rsid w:val="00760C0D"/>
    <w:rsid w:val="00760FB1"/>
    <w:rsid w:val="0076128B"/>
    <w:rsid w:val="007612CA"/>
    <w:rsid w:val="00761924"/>
    <w:rsid w:val="00761A15"/>
    <w:rsid w:val="00761A4D"/>
    <w:rsid w:val="00761ADD"/>
    <w:rsid w:val="00761DFA"/>
    <w:rsid w:val="00761E2D"/>
    <w:rsid w:val="00761EA7"/>
    <w:rsid w:val="00762346"/>
    <w:rsid w:val="007623CF"/>
    <w:rsid w:val="0076249C"/>
    <w:rsid w:val="00762547"/>
    <w:rsid w:val="007628B8"/>
    <w:rsid w:val="00762B1E"/>
    <w:rsid w:val="00762B2A"/>
    <w:rsid w:val="00762D3A"/>
    <w:rsid w:val="00762D8E"/>
    <w:rsid w:val="00762DDF"/>
    <w:rsid w:val="00762F77"/>
    <w:rsid w:val="007632B8"/>
    <w:rsid w:val="007634BF"/>
    <w:rsid w:val="00763623"/>
    <w:rsid w:val="007636DA"/>
    <w:rsid w:val="0076395A"/>
    <w:rsid w:val="00763999"/>
    <w:rsid w:val="00763A7E"/>
    <w:rsid w:val="00764095"/>
    <w:rsid w:val="00764200"/>
    <w:rsid w:val="00764235"/>
    <w:rsid w:val="00764241"/>
    <w:rsid w:val="007643DD"/>
    <w:rsid w:val="007648C5"/>
    <w:rsid w:val="00764BAB"/>
    <w:rsid w:val="00764BF4"/>
    <w:rsid w:val="00764CD3"/>
    <w:rsid w:val="00764D59"/>
    <w:rsid w:val="00764DA1"/>
    <w:rsid w:val="00764E09"/>
    <w:rsid w:val="00764E22"/>
    <w:rsid w:val="00764F8F"/>
    <w:rsid w:val="007651ED"/>
    <w:rsid w:val="007651FA"/>
    <w:rsid w:val="0076543B"/>
    <w:rsid w:val="00765567"/>
    <w:rsid w:val="007655FE"/>
    <w:rsid w:val="00765A17"/>
    <w:rsid w:val="00765C2F"/>
    <w:rsid w:val="00765C6A"/>
    <w:rsid w:val="00765E51"/>
    <w:rsid w:val="007660A3"/>
    <w:rsid w:val="00766142"/>
    <w:rsid w:val="007661D1"/>
    <w:rsid w:val="007662BE"/>
    <w:rsid w:val="00766480"/>
    <w:rsid w:val="007664C0"/>
    <w:rsid w:val="00766703"/>
    <w:rsid w:val="00766763"/>
    <w:rsid w:val="0076680D"/>
    <w:rsid w:val="00766AD4"/>
    <w:rsid w:val="00766F8B"/>
    <w:rsid w:val="00767563"/>
    <w:rsid w:val="007677FF"/>
    <w:rsid w:val="00767818"/>
    <w:rsid w:val="00767B17"/>
    <w:rsid w:val="00767C00"/>
    <w:rsid w:val="00767C58"/>
    <w:rsid w:val="00767CCF"/>
    <w:rsid w:val="0077016F"/>
    <w:rsid w:val="00770319"/>
    <w:rsid w:val="007705C5"/>
    <w:rsid w:val="00770725"/>
    <w:rsid w:val="0077084B"/>
    <w:rsid w:val="007708BE"/>
    <w:rsid w:val="00770927"/>
    <w:rsid w:val="00770AC4"/>
    <w:rsid w:val="00770BC7"/>
    <w:rsid w:val="00770CBA"/>
    <w:rsid w:val="00770F07"/>
    <w:rsid w:val="00770FA9"/>
    <w:rsid w:val="007712FD"/>
    <w:rsid w:val="0077179C"/>
    <w:rsid w:val="007719A2"/>
    <w:rsid w:val="00771A53"/>
    <w:rsid w:val="00771AAB"/>
    <w:rsid w:val="00771CDE"/>
    <w:rsid w:val="00772046"/>
    <w:rsid w:val="007723D6"/>
    <w:rsid w:val="0077248E"/>
    <w:rsid w:val="007728B1"/>
    <w:rsid w:val="007729F5"/>
    <w:rsid w:val="00772A24"/>
    <w:rsid w:val="00772A52"/>
    <w:rsid w:val="00772F8D"/>
    <w:rsid w:val="007730B5"/>
    <w:rsid w:val="007733C7"/>
    <w:rsid w:val="007736AB"/>
    <w:rsid w:val="007738C3"/>
    <w:rsid w:val="00773A62"/>
    <w:rsid w:val="00773AE0"/>
    <w:rsid w:val="00773C34"/>
    <w:rsid w:val="00773E05"/>
    <w:rsid w:val="00773F38"/>
    <w:rsid w:val="007742C6"/>
    <w:rsid w:val="0077433D"/>
    <w:rsid w:val="0077449C"/>
    <w:rsid w:val="007744B2"/>
    <w:rsid w:val="0077455A"/>
    <w:rsid w:val="0077459A"/>
    <w:rsid w:val="007745FD"/>
    <w:rsid w:val="007748DD"/>
    <w:rsid w:val="007749EF"/>
    <w:rsid w:val="00775263"/>
    <w:rsid w:val="007755D1"/>
    <w:rsid w:val="00775605"/>
    <w:rsid w:val="0077569F"/>
    <w:rsid w:val="007757AC"/>
    <w:rsid w:val="00775A80"/>
    <w:rsid w:val="00775B18"/>
    <w:rsid w:val="00775DAC"/>
    <w:rsid w:val="00775F18"/>
    <w:rsid w:val="00775FAC"/>
    <w:rsid w:val="007760FC"/>
    <w:rsid w:val="007762A0"/>
    <w:rsid w:val="007764D9"/>
    <w:rsid w:val="00776581"/>
    <w:rsid w:val="0077684E"/>
    <w:rsid w:val="00776A7F"/>
    <w:rsid w:val="00776F56"/>
    <w:rsid w:val="00777025"/>
    <w:rsid w:val="0077709D"/>
    <w:rsid w:val="007772F6"/>
    <w:rsid w:val="00777313"/>
    <w:rsid w:val="00777521"/>
    <w:rsid w:val="00777532"/>
    <w:rsid w:val="00777B42"/>
    <w:rsid w:val="00780169"/>
    <w:rsid w:val="0078019A"/>
    <w:rsid w:val="0078023B"/>
    <w:rsid w:val="00780322"/>
    <w:rsid w:val="00780548"/>
    <w:rsid w:val="007805E1"/>
    <w:rsid w:val="00780A17"/>
    <w:rsid w:val="00780A86"/>
    <w:rsid w:val="00780DC2"/>
    <w:rsid w:val="00780E2D"/>
    <w:rsid w:val="00780EDD"/>
    <w:rsid w:val="00781160"/>
    <w:rsid w:val="0078131D"/>
    <w:rsid w:val="007813C8"/>
    <w:rsid w:val="00781582"/>
    <w:rsid w:val="00781860"/>
    <w:rsid w:val="00781942"/>
    <w:rsid w:val="00781AEB"/>
    <w:rsid w:val="00781CF8"/>
    <w:rsid w:val="00781DDE"/>
    <w:rsid w:val="00782139"/>
    <w:rsid w:val="007824B9"/>
    <w:rsid w:val="0078268E"/>
    <w:rsid w:val="0078291C"/>
    <w:rsid w:val="0078296E"/>
    <w:rsid w:val="00782B9E"/>
    <w:rsid w:val="00782C55"/>
    <w:rsid w:val="00782DA3"/>
    <w:rsid w:val="00782F60"/>
    <w:rsid w:val="00782FD8"/>
    <w:rsid w:val="00783091"/>
    <w:rsid w:val="007831A8"/>
    <w:rsid w:val="00783211"/>
    <w:rsid w:val="00783302"/>
    <w:rsid w:val="0078339C"/>
    <w:rsid w:val="00783429"/>
    <w:rsid w:val="00783ACD"/>
    <w:rsid w:val="00783BC4"/>
    <w:rsid w:val="00783BD9"/>
    <w:rsid w:val="00783D62"/>
    <w:rsid w:val="00783E57"/>
    <w:rsid w:val="00783F10"/>
    <w:rsid w:val="00784065"/>
    <w:rsid w:val="00784123"/>
    <w:rsid w:val="00784241"/>
    <w:rsid w:val="00784282"/>
    <w:rsid w:val="00784308"/>
    <w:rsid w:val="00784408"/>
    <w:rsid w:val="00784541"/>
    <w:rsid w:val="00784788"/>
    <w:rsid w:val="00784C5A"/>
    <w:rsid w:val="00784CBE"/>
    <w:rsid w:val="00784CD4"/>
    <w:rsid w:val="00784E3B"/>
    <w:rsid w:val="00784F26"/>
    <w:rsid w:val="00784F60"/>
    <w:rsid w:val="0078509D"/>
    <w:rsid w:val="00785759"/>
    <w:rsid w:val="00785B54"/>
    <w:rsid w:val="007860AA"/>
    <w:rsid w:val="007867C5"/>
    <w:rsid w:val="00786805"/>
    <w:rsid w:val="007869C7"/>
    <w:rsid w:val="00786BFE"/>
    <w:rsid w:val="00786D45"/>
    <w:rsid w:val="00786F79"/>
    <w:rsid w:val="00787357"/>
    <w:rsid w:val="007873C1"/>
    <w:rsid w:val="007873C3"/>
    <w:rsid w:val="007873E3"/>
    <w:rsid w:val="0078751C"/>
    <w:rsid w:val="007877A9"/>
    <w:rsid w:val="00787886"/>
    <w:rsid w:val="00787BBF"/>
    <w:rsid w:val="00787BD0"/>
    <w:rsid w:val="00787E5B"/>
    <w:rsid w:val="00790089"/>
    <w:rsid w:val="00790124"/>
    <w:rsid w:val="007901A4"/>
    <w:rsid w:val="007901B0"/>
    <w:rsid w:val="0079038E"/>
    <w:rsid w:val="00790664"/>
    <w:rsid w:val="0079084B"/>
    <w:rsid w:val="0079092E"/>
    <w:rsid w:val="0079098E"/>
    <w:rsid w:val="00790A77"/>
    <w:rsid w:val="00790AE0"/>
    <w:rsid w:val="00790CC5"/>
    <w:rsid w:val="00790CEA"/>
    <w:rsid w:val="00790E54"/>
    <w:rsid w:val="00790EDE"/>
    <w:rsid w:val="00790FCA"/>
    <w:rsid w:val="00791637"/>
    <w:rsid w:val="007917BA"/>
    <w:rsid w:val="00791B18"/>
    <w:rsid w:val="00791C41"/>
    <w:rsid w:val="00791CCB"/>
    <w:rsid w:val="00791D9E"/>
    <w:rsid w:val="00791E00"/>
    <w:rsid w:val="0079278D"/>
    <w:rsid w:val="00792EBE"/>
    <w:rsid w:val="00793015"/>
    <w:rsid w:val="00793436"/>
    <w:rsid w:val="00793493"/>
    <w:rsid w:val="0079367E"/>
    <w:rsid w:val="0079376A"/>
    <w:rsid w:val="007939D8"/>
    <w:rsid w:val="00793CAB"/>
    <w:rsid w:val="00793CD1"/>
    <w:rsid w:val="00793CE3"/>
    <w:rsid w:val="00793F4C"/>
    <w:rsid w:val="00794010"/>
    <w:rsid w:val="0079405E"/>
    <w:rsid w:val="00794785"/>
    <w:rsid w:val="007948BF"/>
    <w:rsid w:val="00794928"/>
    <w:rsid w:val="007949E2"/>
    <w:rsid w:val="00794A1C"/>
    <w:rsid w:val="00794AB9"/>
    <w:rsid w:val="00794B55"/>
    <w:rsid w:val="00794CC0"/>
    <w:rsid w:val="00794E05"/>
    <w:rsid w:val="0079504B"/>
    <w:rsid w:val="00795104"/>
    <w:rsid w:val="007955F7"/>
    <w:rsid w:val="0079571B"/>
    <w:rsid w:val="007957DE"/>
    <w:rsid w:val="007958CE"/>
    <w:rsid w:val="00795905"/>
    <w:rsid w:val="007959D6"/>
    <w:rsid w:val="00795A58"/>
    <w:rsid w:val="00795EE5"/>
    <w:rsid w:val="00795F87"/>
    <w:rsid w:val="007961C9"/>
    <w:rsid w:val="00796337"/>
    <w:rsid w:val="00796383"/>
    <w:rsid w:val="007964B2"/>
    <w:rsid w:val="007964DB"/>
    <w:rsid w:val="007967B9"/>
    <w:rsid w:val="007967D0"/>
    <w:rsid w:val="00796858"/>
    <w:rsid w:val="00796AB3"/>
    <w:rsid w:val="00796B09"/>
    <w:rsid w:val="00796BEB"/>
    <w:rsid w:val="00796E3D"/>
    <w:rsid w:val="0079766C"/>
    <w:rsid w:val="007976C5"/>
    <w:rsid w:val="00797773"/>
    <w:rsid w:val="00797A33"/>
    <w:rsid w:val="00797C4B"/>
    <w:rsid w:val="00797DF7"/>
    <w:rsid w:val="007A019B"/>
    <w:rsid w:val="007A0367"/>
    <w:rsid w:val="007A04BC"/>
    <w:rsid w:val="007A0599"/>
    <w:rsid w:val="007A082D"/>
    <w:rsid w:val="007A08DE"/>
    <w:rsid w:val="007A0D87"/>
    <w:rsid w:val="007A0DC0"/>
    <w:rsid w:val="007A0FD5"/>
    <w:rsid w:val="007A155E"/>
    <w:rsid w:val="007A157D"/>
    <w:rsid w:val="007A163F"/>
    <w:rsid w:val="007A167F"/>
    <w:rsid w:val="007A1933"/>
    <w:rsid w:val="007A193C"/>
    <w:rsid w:val="007A1E12"/>
    <w:rsid w:val="007A1EE0"/>
    <w:rsid w:val="007A1EE3"/>
    <w:rsid w:val="007A20DD"/>
    <w:rsid w:val="007A2243"/>
    <w:rsid w:val="007A234F"/>
    <w:rsid w:val="007A23D1"/>
    <w:rsid w:val="007A2429"/>
    <w:rsid w:val="007A2455"/>
    <w:rsid w:val="007A2457"/>
    <w:rsid w:val="007A2483"/>
    <w:rsid w:val="007A2630"/>
    <w:rsid w:val="007A27A0"/>
    <w:rsid w:val="007A2943"/>
    <w:rsid w:val="007A2C36"/>
    <w:rsid w:val="007A2C72"/>
    <w:rsid w:val="007A2D17"/>
    <w:rsid w:val="007A2ECA"/>
    <w:rsid w:val="007A3003"/>
    <w:rsid w:val="007A3986"/>
    <w:rsid w:val="007A3A19"/>
    <w:rsid w:val="007A3AC9"/>
    <w:rsid w:val="007A3ACB"/>
    <w:rsid w:val="007A3DE6"/>
    <w:rsid w:val="007A3F2B"/>
    <w:rsid w:val="007A447C"/>
    <w:rsid w:val="007A46FC"/>
    <w:rsid w:val="007A4A11"/>
    <w:rsid w:val="007A4B02"/>
    <w:rsid w:val="007A4CD7"/>
    <w:rsid w:val="007A4D57"/>
    <w:rsid w:val="007A4E6D"/>
    <w:rsid w:val="007A4EA8"/>
    <w:rsid w:val="007A4EE0"/>
    <w:rsid w:val="007A509A"/>
    <w:rsid w:val="007A5387"/>
    <w:rsid w:val="007A53D1"/>
    <w:rsid w:val="007A54A3"/>
    <w:rsid w:val="007A55CA"/>
    <w:rsid w:val="007A5B79"/>
    <w:rsid w:val="007A5BC9"/>
    <w:rsid w:val="007A5C27"/>
    <w:rsid w:val="007A5C5C"/>
    <w:rsid w:val="007A5F13"/>
    <w:rsid w:val="007A5F25"/>
    <w:rsid w:val="007A610C"/>
    <w:rsid w:val="007A613F"/>
    <w:rsid w:val="007A61BA"/>
    <w:rsid w:val="007A6266"/>
    <w:rsid w:val="007A6383"/>
    <w:rsid w:val="007A6583"/>
    <w:rsid w:val="007A66DD"/>
    <w:rsid w:val="007A677F"/>
    <w:rsid w:val="007A6B54"/>
    <w:rsid w:val="007A6C2B"/>
    <w:rsid w:val="007A70AB"/>
    <w:rsid w:val="007A70C1"/>
    <w:rsid w:val="007A7128"/>
    <w:rsid w:val="007A736E"/>
    <w:rsid w:val="007A743B"/>
    <w:rsid w:val="007A74E1"/>
    <w:rsid w:val="007A7BB8"/>
    <w:rsid w:val="007A7DF6"/>
    <w:rsid w:val="007A7ED7"/>
    <w:rsid w:val="007A7EF0"/>
    <w:rsid w:val="007B0082"/>
    <w:rsid w:val="007B023C"/>
    <w:rsid w:val="007B0350"/>
    <w:rsid w:val="007B0371"/>
    <w:rsid w:val="007B0434"/>
    <w:rsid w:val="007B0564"/>
    <w:rsid w:val="007B05F1"/>
    <w:rsid w:val="007B07F9"/>
    <w:rsid w:val="007B081C"/>
    <w:rsid w:val="007B1053"/>
    <w:rsid w:val="007B1284"/>
    <w:rsid w:val="007B14CF"/>
    <w:rsid w:val="007B1B00"/>
    <w:rsid w:val="007B1F40"/>
    <w:rsid w:val="007B20E8"/>
    <w:rsid w:val="007B2795"/>
    <w:rsid w:val="007B28C6"/>
    <w:rsid w:val="007B29A5"/>
    <w:rsid w:val="007B2C41"/>
    <w:rsid w:val="007B2CD9"/>
    <w:rsid w:val="007B2D32"/>
    <w:rsid w:val="007B2E4F"/>
    <w:rsid w:val="007B2E5A"/>
    <w:rsid w:val="007B2FE5"/>
    <w:rsid w:val="007B3324"/>
    <w:rsid w:val="007B3391"/>
    <w:rsid w:val="007B3654"/>
    <w:rsid w:val="007B38A0"/>
    <w:rsid w:val="007B39B8"/>
    <w:rsid w:val="007B3A95"/>
    <w:rsid w:val="007B3E21"/>
    <w:rsid w:val="007B3E31"/>
    <w:rsid w:val="007B3FE3"/>
    <w:rsid w:val="007B40B6"/>
    <w:rsid w:val="007B4898"/>
    <w:rsid w:val="007B4C20"/>
    <w:rsid w:val="007B4D58"/>
    <w:rsid w:val="007B500A"/>
    <w:rsid w:val="007B5149"/>
    <w:rsid w:val="007B523E"/>
    <w:rsid w:val="007B53B6"/>
    <w:rsid w:val="007B590C"/>
    <w:rsid w:val="007B598C"/>
    <w:rsid w:val="007B5D06"/>
    <w:rsid w:val="007B5DBD"/>
    <w:rsid w:val="007B623F"/>
    <w:rsid w:val="007B6302"/>
    <w:rsid w:val="007B6428"/>
    <w:rsid w:val="007B6601"/>
    <w:rsid w:val="007B6623"/>
    <w:rsid w:val="007B6739"/>
    <w:rsid w:val="007B6853"/>
    <w:rsid w:val="007B68D6"/>
    <w:rsid w:val="007B6B07"/>
    <w:rsid w:val="007B6B90"/>
    <w:rsid w:val="007B6BEF"/>
    <w:rsid w:val="007B6C3E"/>
    <w:rsid w:val="007B6D96"/>
    <w:rsid w:val="007B6DF1"/>
    <w:rsid w:val="007B6E3C"/>
    <w:rsid w:val="007B6E50"/>
    <w:rsid w:val="007B73E4"/>
    <w:rsid w:val="007B7A3A"/>
    <w:rsid w:val="007B7AE6"/>
    <w:rsid w:val="007C04B1"/>
    <w:rsid w:val="007C0B09"/>
    <w:rsid w:val="007C0DC3"/>
    <w:rsid w:val="007C1117"/>
    <w:rsid w:val="007C1443"/>
    <w:rsid w:val="007C156D"/>
    <w:rsid w:val="007C1981"/>
    <w:rsid w:val="007C1ADC"/>
    <w:rsid w:val="007C1EBE"/>
    <w:rsid w:val="007C1FEA"/>
    <w:rsid w:val="007C2113"/>
    <w:rsid w:val="007C212C"/>
    <w:rsid w:val="007C235B"/>
    <w:rsid w:val="007C2A17"/>
    <w:rsid w:val="007C2DC6"/>
    <w:rsid w:val="007C2E5B"/>
    <w:rsid w:val="007C3636"/>
    <w:rsid w:val="007C3937"/>
    <w:rsid w:val="007C3C52"/>
    <w:rsid w:val="007C3C9E"/>
    <w:rsid w:val="007C3CF7"/>
    <w:rsid w:val="007C3E4E"/>
    <w:rsid w:val="007C3E51"/>
    <w:rsid w:val="007C3F32"/>
    <w:rsid w:val="007C3FBD"/>
    <w:rsid w:val="007C4052"/>
    <w:rsid w:val="007C40FE"/>
    <w:rsid w:val="007C41F3"/>
    <w:rsid w:val="007C4266"/>
    <w:rsid w:val="007C4628"/>
    <w:rsid w:val="007C4654"/>
    <w:rsid w:val="007C4864"/>
    <w:rsid w:val="007C49D2"/>
    <w:rsid w:val="007C4D9C"/>
    <w:rsid w:val="007C4DFD"/>
    <w:rsid w:val="007C50A8"/>
    <w:rsid w:val="007C51A4"/>
    <w:rsid w:val="007C51FA"/>
    <w:rsid w:val="007C5514"/>
    <w:rsid w:val="007C55C2"/>
    <w:rsid w:val="007C59E7"/>
    <w:rsid w:val="007C5B04"/>
    <w:rsid w:val="007C5D1D"/>
    <w:rsid w:val="007C5DE1"/>
    <w:rsid w:val="007C5F5F"/>
    <w:rsid w:val="007C6407"/>
    <w:rsid w:val="007C6835"/>
    <w:rsid w:val="007C688F"/>
    <w:rsid w:val="007C68D6"/>
    <w:rsid w:val="007C7402"/>
    <w:rsid w:val="007C7907"/>
    <w:rsid w:val="007C796E"/>
    <w:rsid w:val="007C7B60"/>
    <w:rsid w:val="007C7CD2"/>
    <w:rsid w:val="007C7CE3"/>
    <w:rsid w:val="007C7D88"/>
    <w:rsid w:val="007C7E38"/>
    <w:rsid w:val="007C7E6D"/>
    <w:rsid w:val="007C7E94"/>
    <w:rsid w:val="007D02F6"/>
    <w:rsid w:val="007D06D8"/>
    <w:rsid w:val="007D08BF"/>
    <w:rsid w:val="007D0955"/>
    <w:rsid w:val="007D0EAF"/>
    <w:rsid w:val="007D0F65"/>
    <w:rsid w:val="007D0F9D"/>
    <w:rsid w:val="007D134E"/>
    <w:rsid w:val="007D1532"/>
    <w:rsid w:val="007D18E0"/>
    <w:rsid w:val="007D1947"/>
    <w:rsid w:val="007D1A2C"/>
    <w:rsid w:val="007D1E0D"/>
    <w:rsid w:val="007D2029"/>
    <w:rsid w:val="007D209A"/>
    <w:rsid w:val="007D211F"/>
    <w:rsid w:val="007D240B"/>
    <w:rsid w:val="007D2442"/>
    <w:rsid w:val="007D255D"/>
    <w:rsid w:val="007D2B49"/>
    <w:rsid w:val="007D2BE7"/>
    <w:rsid w:val="007D2BEE"/>
    <w:rsid w:val="007D2E2E"/>
    <w:rsid w:val="007D2F09"/>
    <w:rsid w:val="007D2F96"/>
    <w:rsid w:val="007D3065"/>
    <w:rsid w:val="007D32FD"/>
    <w:rsid w:val="007D33B5"/>
    <w:rsid w:val="007D362D"/>
    <w:rsid w:val="007D38E5"/>
    <w:rsid w:val="007D3997"/>
    <w:rsid w:val="007D39AA"/>
    <w:rsid w:val="007D3B4D"/>
    <w:rsid w:val="007D3C15"/>
    <w:rsid w:val="007D3D3F"/>
    <w:rsid w:val="007D3D62"/>
    <w:rsid w:val="007D4083"/>
    <w:rsid w:val="007D4245"/>
    <w:rsid w:val="007D4293"/>
    <w:rsid w:val="007D480B"/>
    <w:rsid w:val="007D4867"/>
    <w:rsid w:val="007D48A9"/>
    <w:rsid w:val="007D492B"/>
    <w:rsid w:val="007D4983"/>
    <w:rsid w:val="007D4B5C"/>
    <w:rsid w:val="007D4FF0"/>
    <w:rsid w:val="007D5206"/>
    <w:rsid w:val="007D5212"/>
    <w:rsid w:val="007D52F2"/>
    <w:rsid w:val="007D55D6"/>
    <w:rsid w:val="007D5742"/>
    <w:rsid w:val="007D57F1"/>
    <w:rsid w:val="007D59E9"/>
    <w:rsid w:val="007D6076"/>
    <w:rsid w:val="007D61CD"/>
    <w:rsid w:val="007D67D4"/>
    <w:rsid w:val="007D67D5"/>
    <w:rsid w:val="007D6A25"/>
    <w:rsid w:val="007D6ADF"/>
    <w:rsid w:val="007D6EB6"/>
    <w:rsid w:val="007D7001"/>
    <w:rsid w:val="007D726F"/>
    <w:rsid w:val="007D76B6"/>
    <w:rsid w:val="007D7717"/>
    <w:rsid w:val="007D7A89"/>
    <w:rsid w:val="007D7B16"/>
    <w:rsid w:val="007D7C51"/>
    <w:rsid w:val="007D7D39"/>
    <w:rsid w:val="007E0381"/>
    <w:rsid w:val="007E048F"/>
    <w:rsid w:val="007E0603"/>
    <w:rsid w:val="007E0645"/>
    <w:rsid w:val="007E08A1"/>
    <w:rsid w:val="007E0939"/>
    <w:rsid w:val="007E0E0B"/>
    <w:rsid w:val="007E0E50"/>
    <w:rsid w:val="007E1191"/>
    <w:rsid w:val="007E13A3"/>
    <w:rsid w:val="007E1435"/>
    <w:rsid w:val="007E14CF"/>
    <w:rsid w:val="007E1531"/>
    <w:rsid w:val="007E15CA"/>
    <w:rsid w:val="007E167C"/>
    <w:rsid w:val="007E16CF"/>
    <w:rsid w:val="007E1BEF"/>
    <w:rsid w:val="007E1C1C"/>
    <w:rsid w:val="007E1F90"/>
    <w:rsid w:val="007E2293"/>
    <w:rsid w:val="007E22C9"/>
    <w:rsid w:val="007E23F1"/>
    <w:rsid w:val="007E26C8"/>
    <w:rsid w:val="007E29B6"/>
    <w:rsid w:val="007E2B75"/>
    <w:rsid w:val="007E2B9B"/>
    <w:rsid w:val="007E2E03"/>
    <w:rsid w:val="007E2F04"/>
    <w:rsid w:val="007E2F42"/>
    <w:rsid w:val="007E332A"/>
    <w:rsid w:val="007E35AB"/>
    <w:rsid w:val="007E3767"/>
    <w:rsid w:val="007E3D0C"/>
    <w:rsid w:val="007E4740"/>
    <w:rsid w:val="007E4760"/>
    <w:rsid w:val="007E4853"/>
    <w:rsid w:val="007E4AAA"/>
    <w:rsid w:val="007E4E73"/>
    <w:rsid w:val="007E4F14"/>
    <w:rsid w:val="007E5284"/>
    <w:rsid w:val="007E53A0"/>
    <w:rsid w:val="007E5E24"/>
    <w:rsid w:val="007E5F1A"/>
    <w:rsid w:val="007E60DE"/>
    <w:rsid w:val="007E6261"/>
    <w:rsid w:val="007E63F7"/>
    <w:rsid w:val="007E69B0"/>
    <w:rsid w:val="007E6A2A"/>
    <w:rsid w:val="007E6D4F"/>
    <w:rsid w:val="007E6DCC"/>
    <w:rsid w:val="007E6DD5"/>
    <w:rsid w:val="007E6F84"/>
    <w:rsid w:val="007E72DD"/>
    <w:rsid w:val="007E747A"/>
    <w:rsid w:val="007E750A"/>
    <w:rsid w:val="007E761A"/>
    <w:rsid w:val="007E7AD7"/>
    <w:rsid w:val="007E7DF4"/>
    <w:rsid w:val="007E7ED3"/>
    <w:rsid w:val="007E7EE2"/>
    <w:rsid w:val="007E7F95"/>
    <w:rsid w:val="007F02BA"/>
    <w:rsid w:val="007F075E"/>
    <w:rsid w:val="007F07AE"/>
    <w:rsid w:val="007F08B3"/>
    <w:rsid w:val="007F09FA"/>
    <w:rsid w:val="007F0C35"/>
    <w:rsid w:val="007F0C6A"/>
    <w:rsid w:val="007F0FD6"/>
    <w:rsid w:val="007F109E"/>
    <w:rsid w:val="007F1320"/>
    <w:rsid w:val="007F16CB"/>
    <w:rsid w:val="007F1709"/>
    <w:rsid w:val="007F1864"/>
    <w:rsid w:val="007F199C"/>
    <w:rsid w:val="007F1AF1"/>
    <w:rsid w:val="007F1B3D"/>
    <w:rsid w:val="007F1B44"/>
    <w:rsid w:val="007F1BB4"/>
    <w:rsid w:val="007F22F9"/>
    <w:rsid w:val="007F2509"/>
    <w:rsid w:val="007F255E"/>
    <w:rsid w:val="007F2637"/>
    <w:rsid w:val="007F26A3"/>
    <w:rsid w:val="007F2B0C"/>
    <w:rsid w:val="007F2EDF"/>
    <w:rsid w:val="007F31AB"/>
    <w:rsid w:val="007F32AE"/>
    <w:rsid w:val="007F33C2"/>
    <w:rsid w:val="007F34BD"/>
    <w:rsid w:val="007F3802"/>
    <w:rsid w:val="007F3AD1"/>
    <w:rsid w:val="007F3C5D"/>
    <w:rsid w:val="007F3D8E"/>
    <w:rsid w:val="007F3EB7"/>
    <w:rsid w:val="007F3F48"/>
    <w:rsid w:val="007F4162"/>
    <w:rsid w:val="007F457B"/>
    <w:rsid w:val="007F4A41"/>
    <w:rsid w:val="007F4AC6"/>
    <w:rsid w:val="007F4B3B"/>
    <w:rsid w:val="007F4B5E"/>
    <w:rsid w:val="007F4E0E"/>
    <w:rsid w:val="007F4E9D"/>
    <w:rsid w:val="007F5150"/>
    <w:rsid w:val="007F51F7"/>
    <w:rsid w:val="007F5834"/>
    <w:rsid w:val="007F5C0C"/>
    <w:rsid w:val="007F5D71"/>
    <w:rsid w:val="007F5FAB"/>
    <w:rsid w:val="007F615C"/>
    <w:rsid w:val="007F67A8"/>
    <w:rsid w:val="007F6B9A"/>
    <w:rsid w:val="007F6EFD"/>
    <w:rsid w:val="007F6F15"/>
    <w:rsid w:val="007F7080"/>
    <w:rsid w:val="007F70A1"/>
    <w:rsid w:val="007F72CE"/>
    <w:rsid w:val="007F74F9"/>
    <w:rsid w:val="007F7528"/>
    <w:rsid w:val="0080016C"/>
    <w:rsid w:val="008001CE"/>
    <w:rsid w:val="00800249"/>
    <w:rsid w:val="00800280"/>
    <w:rsid w:val="00800904"/>
    <w:rsid w:val="00800919"/>
    <w:rsid w:val="00800A8E"/>
    <w:rsid w:val="00800C4E"/>
    <w:rsid w:val="00800D8E"/>
    <w:rsid w:val="00800DEE"/>
    <w:rsid w:val="00800E4F"/>
    <w:rsid w:val="0080104C"/>
    <w:rsid w:val="008014CF"/>
    <w:rsid w:val="00801630"/>
    <w:rsid w:val="00801836"/>
    <w:rsid w:val="00801A51"/>
    <w:rsid w:val="00802339"/>
    <w:rsid w:val="008026A4"/>
    <w:rsid w:val="00802830"/>
    <w:rsid w:val="008029A1"/>
    <w:rsid w:val="00802B8B"/>
    <w:rsid w:val="0080325D"/>
    <w:rsid w:val="0080334E"/>
    <w:rsid w:val="008038CC"/>
    <w:rsid w:val="008039CC"/>
    <w:rsid w:val="00803B2B"/>
    <w:rsid w:val="00803CC7"/>
    <w:rsid w:val="00803D9B"/>
    <w:rsid w:val="00803E48"/>
    <w:rsid w:val="00804306"/>
    <w:rsid w:val="0080435F"/>
    <w:rsid w:val="008044AF"/>
    <w:rsid w:val="008044C1"/>
    <w:rsid w:val="008044FA"/>
    <w:rsid w:val="008047E4"/>
    <w:rsid w:val="00804B9A"/>
    <w:rsid w:val="00804BBD"/>
    <w:rsid w:val="00804C23"/>
    <w:rsid w:val="00804D33"/>
    <w:rsid w:val="00804F05"/>
    <w:rsid w:val="008052FD"/>
    <w:rsid w:val="00805538"/>
    <w:rsid w:val="00805763"/>
    <w:rsid w:val="00805C03"/>
    <w:rsid w:val="00805D99"/>
    <w:rsid w:val="0080611C"/>
    <w:rsid w:val="008061FF"/>
    <w:rsid w:val="0080631D"/>
    <w:rsid w:val="0080668A"/>
    <w:rsid w:val="00806957"/>
    <w:rsid w:val="008069EC"/>
    <w:rsid w:val="00806C4A"/>
    <w:rsid w:val="00806DDE"/>
    <w:rsid w:val="00807183"/>
    <w:rsid w:val="0080721C"/>
    <w:rsid w:val="008073FA"/>
    <w:rsid w:val="00807499"/>
    <w:rsid w:val="00807525"/>
    <w:rsid w:val="008075F7"/>
    <w:rsid w:val="008077D5"/>
    <w:rsid w:val="00807869"/>
    <w:rsid w:val="008078BF"/>
    <w:rsid w:val="00807A30"/>
    <w:rsid w:val="00807AD1"/>
    <w:rsid w:val="00807C9A"/>
    <w:rsid w:val="00807CCE"/>
    <w:rsid w:val="00807CF5"/>
    <w:rsid w:val="00807DFC"/>
    <w:rsid w:val="0081011F"/>
    <w:rsid w:val="00810315"/>
    <w:rsid w:val="008104D7"/>
    <w:rsid w:val="008105FC"/>
    <w:rsid w:val="0081080D"/>
    <w:rsid w:val="00810866"/>
    <w:rsid w:val="008108B4"/>
    <w:rsid w:val="00810B04"/>
    <w:rsid w:val="00810DA6"/>
    <w:rsid w:val="00810E17"/>
    <w:rsid w:val="00810E1B"/>
    <w:rsid w:val="00810EC1"/>
    <w:rsid w:val="00810F98"/>
    <w:rsid w:val="00811002"/>
    <w:rsid w:val="00811055"/>
    <w:rsid w:val="008110A2"/>
    <w:rsid w:val="008114DE"/>
    <w:rsid w:val="008117DB"/>
    <w:rsid w:val="00811871"/>
    <w:rsid w:val="00811896"/>
    <w:rsid w:val="00811A93"/>
    <w:rsid w:val="00811B29"/>
    <w:rsid w:val="00811B91"/>
    <w:rsid w:val="00812051"/>
    <w:rsid w:val="0081214D"/>
    <w:rsid w:val="0081276C"/>
    <w:rsid w:val="008127FA"/>
    <w:rsid w:val="00812D05"/>
    <w:rsid w:val="00812E97"/>
    <w:rsid w:val="00813005"/>
    <w:rsid w:val="008133C1"/>
    <w:rsid w:val="008135FE"/>
    <w:rsid w:val="00813756"/>
    <w:rsid w:val="008137B4"/>
    <w:rsid w:val="00813BE7"/>
    <w:rsid w:val="00813C24"/>
    <w:rsid w:val="00813F08"/>
    <w:rsid w:val="00813F36"/>
    <w:rsid w:val="008142FD"/>
    <w:rsid w:val="0081462B"/>
    <w:rsid w:val="00814660"/>
    <w:rsid w:val="0081475E"/>
    <w:rsid w:val="00814A73"/>
    <w:rsid w:val="00814C38"/>
    <w:rsid w:val="00815213"/>
    <w:rsid w:val="008152B7"/>
    <w:rsid w:val="008154CD"/>
    <w:rsid w:val="008154D9"/>
    <w:rsid w:val="008154E9"/>
    <w:rsid w:val="008155CA"/>
    <w:rsid w:val="0081562A"/>
    <w:rsid w:val="00815C5E"/>
    <w:rsid w:val="00815DFC"/>
    <w:rsid w:val="00816086"/>
    <w:rsid w:val="00816367"/>
    <w:rsid w:val="008164D1"/>
    <w:rsid w:val="0081651B"/>
    <w:rsid w:val="00816528"/>
    <w:rsid w:val="00816541"/>
    <w:rsid w:val="0081683B"/>
    <w:rsid w:val="00816A26"/>
    <w:rsid w:val="00816BFB"/>
    <w:rsid w:val="00816C22"/>
    <w:rsid w:val="00816E17"/>
    <w:rsid w:val="0081721F"/>
    <w:rsid w:val="008172C2"/>
    <w:rsid w:val="0081733D"/>
    <w:rsid w:val="0081746B"/>
    <w:rsid w:val="00817D68"/>
    <w:rsid w:val="00817D77"/>
    <w:rsid w:val="00817EEC"/>
    <w:rsid w:val="00820163"/>
    <w:rsid w:val="00820288"/>
    <w:rsid w:val="008206CD"/>
    <w:rsid w:val="00820AB3"/>
    <w:rsid w:val="00821209"/>
    <w:rsid w:val="00821281"/>
    <w:rsid w:val="00821348"/>
    <w:rsid w:val="00821370"/>
    <w:rsid w:val="008214FC"/>
    <w:rsid w:val="0082174C"/>
    <w:rsid w:val="00821753"/>
    <w:rsid w:val="008218B4"/>
    <w:rsid w:val="008219D5"/>
    <w:rsid w:val="00821B21"/>
    <w:rsid w:val="00821BF7"/>
    <w:rsid w:val="00821C3B"/>
    <w:rsid w:val="00821CA9"/>
    <w:rsid w:val="00821CFD"/>
    <w:rsid w:val="00822412"/>
    <w:rsid w:val="008226A5"/>
    <w:rsid w:val="00822A9E"/>
    <w:rsid w:val="00822C21"/>
    <w:rsid w:val="00822C7F"/>
    <w:rsid w:val="00822E76"/>
    <w:rsid w:val="0082327A"/>
    <w:rsid w:val="008233DC"/>
    <w:rsid w:val="008233EA"/>
    <w:rsid w:val="0082343C"/>
    <w:rsid w:val="00823473"/>
    <w:rsid w:val="00823672"/>
    <w:rsid w:val="00823849"/>
    <w:rsid w:val="00823979"/>
    <w:rsid w:val="00823B04"/>
    <w:rsid w:val="00823BC5"/>
    <w:rsid w:val="00823C8B"/>
    <w:rsid w:val="00823CBE"/>
    <w:rsid w:val="00823CE7"/>
    <w:rsid w:val="00823E22"/>
    <w:rsid w:val="008247AE"/>
    <w:rsid w:val="008247BC"/>
    <w:rsid w:val="008247F4"/>
    <w:rsid w:val="00824892"/>
    <w:rsid w:val="00824C43"/>
    <w:rsid w:val="00824CC9"/>
    <w:rsid w:val="0082521D"/>
    <w:rsid w:val="00825508"/>
    <w:rsid w:val="0082553A"/>
    <w:rsid w:val="008255BB"/>
    <w:rsid w:val="008256BC"/>
    <w:rsid w:val="00825DF2"/>
    <w:rsid w:val="00825E12"/>
    <w:rsid w:val="00825EBE"/>
    <w:rsid w:val="0082602B"/>
    <w:rsid w:val="00826092"/>
    <w:rsid w:val="008260AB"/>
    <w:rsid w:val="008263C1"/>
    <w:rsid w:val="008263E1"/>
    <w:rsid w:val="00826907"/>
    <w:rsid w:val="00826C10"/>
    <w:rsid w:val="00826CB3"/>
    <w:rsid w:val="00826EB9"/>
    <w:rsid w:val="0082700E"/>
    <w:rsid w:val="008270A9"/>
    <w:rsid w:val="00827320"/>
    <w:rsid w:val="00827366"/>
    <w:rsid w:val="008273DE"/>
    <w:rsid w:val="008274CC"/>
    <w:rsid w:val="00827F5D"/>
    <w:rsid w:val="008300DC"/>
    <w:rsid w:val="00830300"/>
    <w:rsid w:val="008304AD"/>
    <w:rsid w:val="00830623"/>
    <w:rsid w:val="0083090B"/>
    <w:rsid w:val="00830A8F"/>
    <w:rsid w:val="00830C2B"/>
    <w:rsid w:val="0083123C"/>
    <w:rsid w:val="008312B0"/>
    <w:rsid w:val="008313E5"/>
    <w:rsid w:val="00831774"/>
    <w:rsid w:val="0083183F"/>
    <w:rsid w:val="00831A3C"/>
    <w:rsid w:val="00831B3D"/>
    <w:rsid w:val="00831BD9"/>
    <w:rsid w:val="00831D99"/>
    <w:rsid w:val="00831FA9"/>
    <w:rsid w:val="008323B0"/>
    <w:rsid w:val="008324E0"/>
    <w:rsid w:val="008326FC"/>
    <w:rsid w:val="00832890"/>
    <w:rsid w:val="0083290A"/>
    <w:rsid w:val="00832F7A"/>
    <w:rsid w:val="00833677"/>
    <w:rsid w:val="008337A3"/>
    <w:rsid w:val="0083395D"/>
    <w:rsid w:val="008343AF"/>
    <w:rsid w:val="00834EE2"/>
    <w:rsid w:val="00834F3A"/>
    <w:rsid w:val="0083530C"/>
    <w:rsid w:val="00835420"/>
    <w:rsid w:val="00835645"/>
    <w:rsid w:val="0083566F"/>
    <w:rsid w:val="00835753"/>
    <w:rsid w:val="00835A5F"/>
    <w:rsid w:val="00835B7E"/>
    <w:rsid w:val="00835BE3"/>
    <w:rsid w:val="00835ECD"/>
    <w:rsid w:val="00835F94"/>
    <w:rsid w:val="00836851"/>
    <w:rsid w:val="00836A60"/>
    <w:rsid w:val="00836CC0"/>
    <w:rsid w:val="00836CCD"/>
    <w:rsid w:val="008371DF"/>
    <w:rsid w:val="00837357"/>
    <w:rsid w:val="00837811"/>
    <w:rsid w:val="00837AA8"/>
    <w:rsid w:val="00837AC1"/>
    <w:rsid w:val="00837AD4"/>
    <w:rsid w:val="00837C10"/>
    <w:rsid w:val="00837C21"/>
    <w:rsid w:val="00837CFE"/>
    <w:rsid w:val="00837E80"/>
    <w:rsid w:val="00837E91"/>
    <w:rsid w:val="00837E9E"/>
    <w:rsid w:val="0084047A"/>
    <w:rsid w:val="0084089A"/>
    <w:rsid w:val="00840E81"/>
    <w:rsid w:val="00840FB1"/>
    <w:rsid w:val="008410E4"/>
    <w:rsid w:val="008411A0"/>
    <w:rsid w:val="0084158E"/>
    <w:rsid w:val="008417C2"/>
    <w:rsid w:val="00841801"/>
    <w:rsid w:val="00841877"/>
    <w:rsid w:val="008418D2"/>
    <w:rsid w:val="00841959"/>
    <w:rsid w:val="00841B0F"/>
    <w:rsid w:val="00841B5F"/>
    <w:rsid w:val="00841B7A"/>
    <w:rsid w:val="00841DC3"/>
    <w:rsid w:val="00841F2E"/>
    <w:rsid w:val="00842042"/>
    <w:rsid w:val="0084226B"/>
    <w:rsid w:val="00842291"/>
    <w:rsid w:val="008424D2"/>
    <w:rsid w:val="0084260F"/>
    <w:rsid w:val="00842611"/>
    <w:rsid w:val="00842988"/>
    <w:rsid w:val="00842EB4"/>
    <w:rsid w:val="00843072"/>
    <w:rsid w:val="00843248"/>
    <w:rsid w:val="008433FD"/>
    <w:rsid w:val="008434E0"/>
    <w:rsid w:val="00843564"/>
    <w:rsid w:val="008436DB"/>
    <w:rsid w:val="00843C1B"/>
    <w:rsid w:val="00843FB9"/>
    <w:rsid w:val="0084415C"/>
    <w:rsid w:val="00844376"/>
    <w:rsid w:val="00844428"/>
    <w:rsid w:val="0084476C"/>
    <w:rsid w:val="00844A39"/>
    <w:rsid w:val="0084509D"/>
    <w:rsid w:val="0084534E"/>
    <w:rsid w:val="00845604"/>
    <w:rsid w:val="00845C18"/>
    <w:rsid w:val="00845D51"/>
    <w:rsid w:val="00845D5A"/>
    <w:rsid w:val="008462D7"/>
    <w:rsid w:val="00846875"/>
    <w:rsid w:val="00846B32"/>
    <w:rsid w:val="00846CE9"/>
    <w:rsid w:val="00846DE3"/>
    <w:rsid w:val="00846F8E"/>
    <w:rsid w:val="0084700E"/>
    <w:rsid w:val="00847025"/>
    <w:rsid w:val="0084703D"/>
    <w:rsid w:val="008471E4"/>
    <w:rsid w:val="0084720A"/>
    <w:rsid w:val="008472A7"/>
    <w:rsid w:val="00847526"/>
    <w:rsid w:val="00847A58"/>
    <w:rsid w:val="00847A69"/>
    <w:rsid w:val="00847C9C"/>
    <w:rsid w:val="00847F1F"/>
    <w:rsid w:val="00850021"/>
    <w:rsid w:val="0085003E"/>
    <w:rsid w:val="00850077"/>
    <w:rsid w:val="008502F7"/>
    <w:rsid w:val="00850481"/>
    <w:rsid w:val="008505CA"/>
    <w:rsid w:val="0085060B"/>
    <w:rsid w:val="00850648"/>
    <w:rsid w:val="00850861"/>
    <w:rsid w:val="00850862"/>
    <w:rsid w:val="00850AFA"/>
    <w:rsid w:val="00850B2A"/>
    <w:rsid w:val="00850C99"/>
    <w:rsid w:val="00850F7D"/>
    <w:rsid w:val="0085108B"/>
    <w:rsid w:val="008512C9"/>
    <w:rsid w:val="0085136E"/>
    <w:rsid w:val="00851455"/>
    <w:rsid w:val="00851468"/>
    <w:rsid w:val="008516AE"/>
    <w:rsid w:val="00851706"/>
    <w:rsid w:val="00851A1D"/>
    <w:rsid w:val="00851A88"/>
    <w:rsid w:val="00851D4F"/>
    <w:rsid w:val="008527C5"/>
    <w:rsid w:val="00852842"/>
    <w:rsid w:val="0085291D"/>
    <w:rsid w:val="00852A85"/>
    <w:rsid w:val="00852EA6"/>
    <w:rsid w:val="00852F47"/>
    <w:rsid w:val="00852F5D"/>
    <w:rsid w:val="0085329A"/>
    <w:rsid w:val="00853515"/>
    <w:rsid w:val="008536A0"/>
    <w:rsid w:val="0085385B"/>
    <w:rsid w:val="008539BA"/>
    <w:rsid w:val="00853A25"/>
    <w:rsid w:val="00853A4A"/>
    <w:rsid w:val="00853B4B"/>
    <w:rsid w:val="00853C8C"/>
    <w:rsid w:val="00853D1D"/>
    <w:rsid w:val="00853D2C"/>
    <w:rsid w:val="00853DCF"/>
    <w:rsid w:val="00853E7E"/>
    <w:rsid w:val="00853F87"/>
    <w:rsid w:val="00853F94"/>
    <w:rsid w:val="008540C6"/>
    <w:rsid w:val="0085416E"/>
    <w:rsid w:val="008541C5"/>
    <w:rsid w:val="008542C8"/>
    <w:rsid w:val="00854341"/>
    <w:rsid w:val="0085449C"/>
    <w:rsid w:val="008546DC"/>
    <w:rsid w:val="008549BD"/>
    <w:rsid w:val="00854E63"/>
    <w:rsid w:val="00854F87"/>
    <w:rsid w:val="00855043"/>
    <w:rsid w:val="008550B8"/>
    <w:rsid w:val="00855168"/>
    <w:rsid w:val="0085557F"/>
    <w:rsid w:val="0085561F"/>
    <w:rsid w:val="0085562A"/>
    <w:rsid w:val="008558C7"/>
    <w:rsid w:val="0085590A"/>
    <w:rsid w:val="00855B2B"/>
    <w:rsid w:val="00855C17"/>
    <w:rsid w:val="00855E10"/>
    <w:rsid w:val="00856039"/>
    <w:rsid w:val="00856261"/>
    <w:rsid w:val="00856445"/>
    <w:rsid w:val="008564A8"/>
    <w:rsid w:val="00856753"/>
    <w:rsid w:val="008568E5"/>
    <w:rsid w:val="00856A89"/>
    <w:rsid w:val="0085742E"/>
    <w:rsid w:val="00857749"/>
    <w:rsid w:val="00857882"/>
    <w:rsid w:val="00857889"/>
    <w:rsid w:val="0085793E"/>
    <w:rsid w:val="00857AF5"/>
    <w:rsid w:val="008600D4"/>
    <w:rsid w:val="00860211"/>
    <w:rsid w:val="00860418"/>
    <w:rsid w:val="008604D4"/>
    <w:rsid w:val="00860614"/>
    <w:rsid w:val="0086081D"/>
    <w:rsid w:val="00860AE9"/>
    <w:rsid w:val="00860BD7"/>
    <w:rsid w:val="00860E03"/>
    <w:rsid w:val="008611C9"/>
    <w:rsid w:val="008613B8"/>
    <w:rsid w:val="008618B4"/>
    <w:rsid w:val="008618FA"/>
    <w:rsid w:val="00861B50"/>
    <w:rsid w:val="00861B6C"/>
    <w:rsid w:val="00861C42"/>
    <w:rsid w:val="00861C46"/>
    <w:rsid w:val="00861C4F"/>
    <w:rsid w:val="00861D04"/>
    <w:rsid w:val="00861D84"/>
    <w:rsid w:val="008622FF"/>
    <w:rsid w:val="00862479"/>
    <w:rsid w:val="008625A1"/>
    <w:rsid w:val="008626CC"/>
    <w:rsid w:val="008627F4"/>
    <w:rsid w:val="008628E9"/>
    <w:rsid w:val="00862AC5"/>
    <w:rsid w:val="00862B0F"/>
    <w:rsid w:val="00862B1B"/>
    <w:rsid w:val="00862C8A"/>
    <w:rsid w:val="00862CB3"/>
    <w:rsid w:val="00862F19"/>
    <w:rsid w:val="008633A2"/>
    <w:rsid w:val="008634F7"/>
    <w:rsid w:val="008638CC"/>
    <w:rsid w:val="00863BBD"/>
    <w:rsid w:val="00863C9D"/>
    <w:rsid w:val="008645B9"/>
    <w:rsid w:val="00864762"/>
    <w:rsid w:val="008647B1"/>
    <w:rsid w:val="00864C3E"/>
    <w:rsid w:val="00864D1E"/>
    <w:rsid w:val="00864E70"/>
    <w:rsid w:val="00865414"/>
    <w:rsid w:val="00865B0D"/>
    <w:rsid w:val="00865DF5"/>
    <w:rsid w:val="00865F05"/>
    <w:rsid w:val="00865F0C"/>
    <w:rsid w:val="008661B5"/>
    <w:rsid w:val="00866591"/>
    <w:rsid w:val="008665B6"/>
    <w:rsid w:val="00866736"/>
    <w:rsid w:val="008668DC"/>
    <w:rsid w:val="008669AD"/>
    <w:rsid w:val="00866A89"/>
    <w:rsid w:val="00866B7A"/>
    <w:rsid w:val="00866BFD"/>
    <w:rsid w:val="00866D1C"/>
    <w:rsid w:val="00866DC7"/>
    <w:rsid w:val="00866F8D"/>
    <w:rsid w:val="008674D3"/>
    <w:rsid w:val="00867712"/>
    <w:rsid w:val="00867B19"/>
    <w:rsid w:val="00867D83"/>
    <w:rsid w:val="00867E81"/>
    <w:rsid w:val="00870274"/>
    <w:rsid w:val="0087029B"/>
    <w:rsid w:val="008703F6"/>
    <w:rsid w:val="00870639"/>
    <w:rsid w:val="008707D3"/>
    <w:rsid w:val="00870A44"/>
    <w:rsid w:val="00870A5B"/>
    <w:rsid w:val="00870AAE"/>
    <w:rsid w:val="00870C9E"/>
    <w:rsid w:val="00870DD2"/>
    <w:rsid w:val="0087125E"/>
    <w:rsid w:val="0087146D"/>
    <w:rsid w:val="00871528"/>
    <w:rsid w:val="008716E0"/>
    <w:rsid w:val="0087189E"/>
    <w:rsid w:val="00871A32"/>
    <w:rsid w:val="00871D4E"/>
    <w:rsid w:val="00871D7D"/>
    <w:rsid w:val="00871EC7"/>
    <w:rsid w:val="00871F01"/>
    <w:rsid w:val="00871FF7"/>
    <w:rsid w:val="008720C0"/>
    <w:rsid w:val="008720F1"/>
    <w:rsid w:val="008727CF"/>
    <w:rsid w:val="008727D4"/>
    <w:rsid w:val="00872B25"/>
    <w:rsid w:val="00872CD4"/>
    <w:rsid w:val="00872CD5"/>
    <w:rsid w:val="00872F5A"/>
    <w:rsid w:val="00872FD8"/>
    <w:rsid w:val="0087300A"/>
    <w:rsid w:val="0087306A"/>
    <w:rsid w:val="0087348E"/>
    <w:rsid w:val="008735D9"/>
    <w:rsid w:val="0087363C"/>
    <w:rsid w:val="0087385F"/>
    <w:rsid w:val="0087393E"/>
    <w:rsid w:val="00873AF2"/>
    <w:rsid w:val="00873B8E"/>
    <w:rsid w:val="00873E87"/>
    <w:rsid w:val="00874044"/>
    <w:rsid w:val="0087444B"/>
    <w:rsid w:val="008745D8"/>
    <w:rsid w:val="00874CC2"/>
    <w:rsid w:val="00874E0E"/>
    <w:rsid w:val="00874F7B"/>
    <w:rsid w:val="00875025"/>
    <w:rsid w:val="008753BC"/>
    <w:rsid w:val="00875BA4"/>
    <w:rsid w:val="00875BA5"/>
    <w:rsid w:val="00875D85"/>
    <w:rsid w:val="00875ED9"/>
    <w:rsid w:val="00875EEA"/>
    <w:rsid w:val="00875FAB"/>
    <w:rsid w:val="0087642E"/>
    <w:rsid w:val="00876560"/>
    <w:rsid w:val="0087662B"/>
    <w:rsid w:val="00876676"/>
    <w:rsid w:val="0087694D"/>
    <w:rsid w:val="00876A5F"/>
    <w:rsid w:val="00876C5A"/>
    <w:rsid w:val="00876C89"/>
    <w:rsid w:val="00876D44"/>
    <w:rsid w:val="00876F45"/>
    <w:rsid w:val="00876F7C"/>
    <w:rsid w:val="00877072"/>
    <w:rsid w:val="00877145"/>
    <w:rsid w:val="00877240"/>
    <w:rsid w:val="00877441"/>
    <w:rsid w:val="00877604"/>
    <w:rsid w:val="00877672"/>
    <w:rsid w:val="00877BA3"/>
    <w:rsid w:val="00877E6F"/>
    <w:rsid w:val="00877FAC"/>
    <w:rsid w:val="00880053"/>
    <w:rsid w:val="00880195"/>
    <w:rsid w:val="008802CD"/>
    <w:rsid w:val="008804DA"/>
    <w:rsid w:val="00880527"/>
    <w:rsid w:val="008806CA"/>
    <w:rsid w:val="008807C5"/>
    <w:rsid w:val="00880D8B"/>
    <w:rsid w:val="0088111C"/>
    <w:rsid w:val="00881261"/>
    <w:rsid w:val="00881275"/>
    <w:rsid w:val="008814B9"/>
    <w:rsid w:val="00881536"/>
    <w:rsid w:val="00881C0F"/>
    <w:rsid w:val="00881F98"/>
    <w:rsid w:val="008823A4"/>
    <w:rsid w:val="00882694"/>
    <w:rsid w:val="00882BF9"/>
    <w:rsid w:val="00882CDE"/>
    <w:rsid w:val="00883153"/>
    <w:rsid w:val="00883189"/>
    <w:rsid w:val="00883329"/>
    <w:rsid w:val="00883766"/>
    <w:rsid w:val="0088381F"/>
    <w:rsid w:val="008838B6"/>
    <w:rsid w:val="0088398D"/>
    <w:rsid w:val="00883AAF"/>
    <w:rsid w:val="00883AC7"/>
    <w:rsid w:val="00883B36"/>
    <w:rsid w:val="00883C40"/>
    <w:rsid w:val="00883C8D"/>
    <w:rsid w:val="00883C9E"/>
    <w:rsid w:val="00883CB5"/>
    <w:rsid w:val="00883D39"/>
    <w:rsid w:val="00883F45"/>
    <w:rsid w:val="00883FF3"/>
    <w:rsid w:val="00884021"/>
    <w:rsid w:val="00884045"/>
    <w:rsid w:val="00884627"/>
    <w:rsid w:val="00884699"/>
    <w:rsid w:val="0088470D"/>
    <w:rsid w:val="008848E2"/>
    <w:rsid w:val="00884B90"/>
    <w:rsid w:val="00884B98"/>
    <w:rsid w:val="00884F12"/>
    <w:rsid w:val="008850C2"/>
    <w:rsid w:val="008850EF"/>
    <w:rsid w:val="008851ED"/>
    <w:rsid w:val="00885409"/>
    <w:rsid w:val="00885448"/>
    <w:rsid w:val="00885633"/>
    <w:rsid w:val="00885811"/>
    <w:rsid w:val="00885D46"/>
    <w:rsid w:val="00885D73"/>
    <w:rsid w:val="00885EB7"/>
    <w:rsid w:val="00885F02"/>
    <w:rsid w:val="008861C6"/>
    <w:rsid w:val="0088631A"/>
    <w:rsid w:val="00886533"/>
    <w:rsid w:val="00886C65"/>
    <w:rsid w:val="00886EFB"/>
    <w:rsid w:val="00886F3E"/>
    <w:rsid w:val="00886F5F"/>
    <w:rsid w:val="00886F8F"/>
    <w:rsid w:val="00887092"/>
    <w:rsid w:val="008871A1"/>
    <w:rsid w:val="0088749F"/>
    <w:rsid w:val="0088755B"/>
    <w:rsid w:val="00887563"/>
    <w:rsid w:val="00887725"/>
    <w:rsid w:val="00887849"/>
    <w:rsid w:val="008878C7"/>
    <w:rsid w:val="00887A73"/>
    <w:rsid w:val="00887ABA"/>
    <w:rsid w:val="00887AD4"/>
    <w:rsid w:val="00887C8C"/>
    <w:rsid w:val="00887E69"/>
    <w:rsid w:val="00887F78"/>
    <w:rsid w:val="008900C0"/>
    <w:rsid w:val="008900F3"/>
    <w:rsid w:val="00890728"/>
    <w:rsid w:val="00890780"/>
    <w:rsid w:val="00890812"/>
    <w:rsid w:val="00890A87"/>
    <w:rsid w:val="00890FAB"/>
    <w:rsid w:val="0089125B"/>
    <w:rsid w:val="008912F8"/>
    <w:rsid w:val="0089130C"/>
    <w:rsid w:val="00891B95"/>
    <w:rsid w:val="00891CB4"/>
    <w:rsid w:val="00891CBC"/>
    <w:rsid w:val="008923EF"/>
    <w:rsid w:val="00892554"/>
    <w:rsid w:val="008927ED"/>
    <w:rsid w:val="0089297A"/>
    <w:rsid w:val="00892A3A"/>
    <w:rsid w:val="00892A8C"/>
    <w:rsid w:val="00892DD0"/>
    <w:rsid w:val="00892DDB"/>
    <w:rsid w:val="00893391"/>
    <w:rsid w:val="008933EB"/>
    <w:rsid w:val="00893435"/>
    <w:rsid w:val="00893470"/>
    <w:rsid w:val="0089394D"/>
    <w:rsid w:val="008939F8"/>
    <w:rsid w:val="00893B56"/>
    <w:rsid w:val="00893BD4"/>
    <w:rsid w:val="00893C94"/>
    <w:rsid w:val="00893E6C"/>
    <w:rsid w:val="00893E73"/>
    <w:rsid w:val="00893F26"/>
    <w:rsid w:val="008945E2"/>
    <w:rsid w:val="0089478D"/>
    <w:rsid w:val="008947F8"/>
    <w:rsid w:val="0089491C"/>
    <w:rsid w:val="00894BC7"/>
    <w:rsid w:val="00894DF2"/>
    <w:rsid w:val="00895094"/>
    <w:rsid w:val="00895161"/>
    <w:rsid w:val="008952ED"/>
    <w:rsid w:val="008955B1"/>
    <w:rsid w:val="00895B87"/>
    <w:rsid w:val="00895BD8"/>
    <w:rsid w:val="00896127"/>
    <w:rsid w:val="00896206"/>
    <w:rsid w:val="008968C2"/>
    <w:rsid w:val="00896964"/>
    <w:rsid w:val="00896BFE"/>
    <w:rsid w:val="00896C9E"/>
    <w:rsid w:val="00896D12"/>
    <w:rsid w:val="008972B0"/>
    <w:rsid w:val="0089762D"/>
    <w:rsid w:val="008978F0"/>
    <w:rsid w:val="008979A2"/>
    <w:rsid w:val="00897CD7"/>
    <w:rsid w:val="008A0463"/>
    <w:rsid w:val="008A069D"/>
    <w:rsid w:val="008A0767"/>
    <w:rsid w:val="008A0B3C"/>
    <w:rsid w:val="008A0F40"/>
    <w:rsid w:val="008A198E"/>
    <w:rsid w:val="008A1BAB"/>
    <w:rsid w:val="008A1CC1"/>
    <w:rsid w:val="008A1E23"/>
    <w:rsid w:val="008A237E"/>
    <w:rsid w:val="008A2407"/>
    <w:rsid w:val="008A242B"/>
    <w:rsid w:val="008A2730"/>
    <w:rsid w:val="008A282E"/>
    <w:rsid w:val="008A29FD"/>
    <w:rsid w:val="008A2CBB"/>
    <w:rsid w:val="008A2ED4"/>
    <w:rsid w:val="008A32E7"/>
    <w:rsid w:val="008A3803"/>
    <w:rsid w:val="008A38E3"/>
    <w:rsid w:val="008A3A28"/>
    <w:rsid w:val="008A3B2C"/>
    <w:rsid w:val="008A3B51"/>
    <w:rsid w:val="008A3EB1"/>
    <w:rsid w:val="008A3F2A"/>
    <w:rsid w:val="008A41CE"/>
    <w:rsid w:val="008A41DF"/>
    <w:rsid w:val="008A4796"/>
    <w:rsid w:val="008A4A77"/>
    <w:rsid w:val="008A4B7E"/>
    <w:rsid w:val="008A4D9A"/>
    <w:rsid w:val="008A52CC"/>
    <w:rsid w:val="008A5398"/>
    <w:rsid w:val="008A5582"/>
    <w:rsid w:val="008A5883"/>
    <w:rsid w:val="008A5A2E"/>
    <w:rsid w:val="008A5A78"/>
    <w:rsid w:val="008A5EC5"/>
    <w:rsid w:val="008A5ED2"/>
    <w:rsid w:val="008A5F93"/>
    <w:rsid w:val="008A6082"/>
    <w:rsid w:val="008A60B6"/>
    <w:rsid w:val="008A613D"/>
    <w:rsid w:val="008A632B"/>
    <w:rsid w:val="008A6594"/>
    <w:rsid w:val="008A66CE"/>
    <w:rsid w:val="008A6703"/>
    <w:rsid w:val="008A678E"/>
    <w:rsid w:val="008A6819"/>
    <w:rsid w:val="008A6B15"/>
    <w:rsid w:val="008A6E91"/>
    <w:rsid w:val="008A7036"/>
    <w:rsid w:val="008A7407"/>
    <w:rsid w:val="008A7410"/>
    <w:rsid w:val="008A7567"/>
    <w:rsid w:val="008A75EE"/>
    <w:rsid w:val="008A7819"/>
    <w:rsid w:val="008A7B89"/>
    <w:rsid w:val="008A7BBE"/>
    <w:rsid w:val="008A7C7B"/>
    <w:rsid w:val="008A7FFD"/>
    <w:rsid w:val="008B004D"/>
    <w:rsid w:val="008B01DA"/>
    <w:rsid w:val="008B022A"/>
    <w:rsid w:val="008B023D"/>
    <w:rsid w:val="008B028C"/>
    <w:rsid w:val="008B03AC"/>
    <w:rsid w:val="008B0513"/>
    <w:rsid w:val="008B0577"/>
    <w:rsid w:val="008B05CE"/>
    <w:rsid w:val="008B0635"/>
    <w:rsid w:val="008B0A4C"/>
    <w:rsid w:val="008B0CCF"/>
    <w:rsid w:val="008B0F4C"/>
    <w:rsid w:val="008B10BE"/>
    <w:rsid w:val="008B137D"/>
    <w:rsid w:val="008B13EF"/>
    <w:rsid w:val="008B13FC"/>
    <w:rsid w:val="008B14D1"/>
    <w:rsid w:val="008B1A78"/>
    <w:rsid w:val="008B1A8E"/>
    <w:rsid w:val="008B1EDA"/>
    <w:rsid w:val="008B1EE7"/>
    <w:rsid w:val="008B2119"/>
    <w:rsid w:val="008B21FD"/>
    <w:rsid w:val="008B221B"/>
    <w:rsid w:val="008B239A"/>
    <w:rsid w:val="008B23D6"/>
    <w:rsid w:val="008B2473"/>
    <w:rsid w:val="008B2563"/>
    <w:rsid w:val="008B2566"/>
    <w:rsid w:val="008B25D3"/>
    <w:rsid w:val="008B268E"/>
    <w:rsid w:val="008B2708"/>
    <w:rsid w:val="008B2A93"/>
    <w:rsid w:val="008B2B7A"/>
    <w:rsid w:val="008B2C53"/>
    <w:rsid w:val="008B2F50"/>
    <w:rsid w:val="008B3075"/>
    <w:rsid w:val="008B3113"/>
    <w:rsid w:val="008B350D"/>
    <w:rsid w:val="008B3586"/>
    <w:rsid w:val="008B3CD3"/>
    <w:rsid w:val="008B3EB4"/>
    <w:rsid w:val="008B3EE8"/>
    <w:rsid w:val="008B400F"/>
    <w:rsid w:val="008B4139"/>
    <w:rsid w:val="008B41F0"/>
    <w:rsid w:val="008B42B2"/>
    <w:rsid w:val="008B44EB"/>
    <w:rsid w:val="008B4527"/>
    <w:rsid w:val="008B4566"/>
    <w:rsid w:val="008B482A"/>
    <w:rsid w:val="008B49B0"/>
    <w:rsid w:val="008B4A8E"/>
    <w:rsid w:val="008B4C05"/>
    <w:rsid w:val="008B4C73"/>
    <w:rsid w:val="008B4DD3"/>
    <w:rsid w:val="008B4E26"/>
    <w:rsid w:val="008B4E67"/>
    <w:rsid w:val="008B5270"/>
    <w:rsid w:val="008B5336"/>
    <w:rsid w:val="008B5785"/>
    <w:rsid w:val="008B59C0"/>
    <w:rsid w:val="008B5AB2"/>
    <w:rsid w:val="008B5FFB"/>
    <w:rsid w:val="008B6197"/>
    <w:rsid w:val="008B6220"/>
    <w:rsid w:val="008B63E5"/>
    <w:rsid w:val="008B640F"/>
    <w:rsid w:val="008B645E"/>
    <w:rsid w:val="008B675D"/>
    <w:rsid w:val="008B6A03"/>
    <w:rsid w:val="008B6A3E"/>
    <w:rsid w:val="008B6AAE"/>
    <w:rsid w:val="008B6B85"/>
    <w:rsid w:val="008B7090"/>
    <w:rsid w:val="008B71F9"/>
    <w:rsid w:val="008B7214"/>
    <w:rsid w:val="008B7283"/>
    <w:rsid w:val="008B7442"/>
    <w:rsid w:val="008B755E"/>
    <w:rsid w:val="008B7576"/>
    <w:rsid w:val="008B7587"/>
    <w:rsid w:val="008B7ADB"/>
    <w:rsid w:val="008B7E1A"/>
    <w:rsid w:val="008B7F6F"/>
    <w:rsid w:val="008B7F91"/>
    <w:rsid w:val="008C0075"/>
    <w:rsid w:val="008C009C"/>
    <w:rsid w:val="008C00FA"/>
    <w:rsid w:val="008C052B"/>
    <w:rsid w:val="008C058F"/>
    <w:rsid w:val="008C08C8"/>
    <w:rsid w:val="008C08EE"/>
    <w:rsid w:val="008C0967"/>
    <w:rsid w:val="008C0A33"/>
    <w:rsid w:val="008C0D2D"/>
    <w:rsid w:val="008C0F44"/>
    <w:rsid w:val="008C0FA4"/>
    <w:rsid w:val="008C10B0"/>
    <w:rsid w:val="008C12BF"/>
    <w:rsid w:val="008C12C1"/>
    <w:rsid w:val="008C1352"/>
    <w:rsid w:val="008C13FF"/>
    <w:rsid w:val="008C160F"/>
    <w:rsid w:val="008C18B0"/>
    <w:rsid w:val="008C1B14"/>
    <w:rsid w:val="008C20AA"/>
    <w:rsid w:val="008C226E"/>
    <w:rsid w:val="008C228E"/>
    <w:rsid w:val="008C2431"/>
    <w:rsid w:val="008C245A"/>
    <w:rsid w:val="008C25BB"/>
    <w:rsid w:val="008C2847"/>
    <w:rsid w:val="008C29A0"/>
    <w:rsid w:val="008C2ADD"/>
    <w:rsid w:val="008C2C38"/>
    <w:rsid w:val="008C2D87"/>
    <w:rsid w:val="008C2E0B"/>
    <w:rsid w:val="008C30E5"/>
    <w:rsid w:val="008C3214"/>
    <w:rsid w:val="008C3AB7"/>
    <w:rsid w:val="008C3C01"/>
    <w:rsid w:val="008C3F40"/>
    <w:rsid w:val="008C3F63"/>
    <w:rsid w:val="008C3FB4"/>
    <w:rsid w:val="008C448F"/>
    <w:rsid w:val="008C48F3"/>
    <w:rsid w:val="008C4953"/>
    <w:rsid w:val="008C4AD1"/>
    <w:rsid w:val="008C4B33"/>
    <w:rsid w:val="008C4C4E"/>
    <w:rsid w:val="008C4E7A"/>
    <w:rsid w:val="008C4FA1"/>
    <w:rsid w:val="008C50A1"/>
    <w:rsid w:val="008C5429"/>
    <w:rsid w:val="008C5754"/>
    <w:rsid w:val="008C5959"/>
    <w:rsid w:val="008C5960"/>
    <w:rsid w:val="008C5A5A"/>
    <w:rsid w:val="008C5B95"/>
    <w:rsid w:val="008C5FC0"/>
    <w:rsid w:val="008C6104"/>
    <w:rsid w:val="008C6220"/>
    <w:rsid w:val="008C6275"/>
    <w:rsid w:val="008C6423"/>
    <w:rsid w:val="008C6473"/>
    <w:rsid w:val="008C65A7"/>
    <w:rsid w:val="008C6918"/>
    <w:rsid w:val="008C6947"/>
    <w:rsid w:val="008C6953"/>
    <w:rsid w:val="008C7170"/>
    <w:rsid w:val="008C7190"/>
    <w:rsid w:val="008C7259"/>
    <w:rsid w:val="008C72F9"/>
    <w:rsid w:val="008C76FD"/>
    <w:rsid w:val="008C7767"/>
    <w:rsid w:val="008C7B20"/>
    <w:rsid w:val="008C7B2B"/>
    <w:rsid w:val="008C7C1A"/>
    <w:rsid w:val="008C7D23"/>
    <w:rsid w:val="008D00D3"/>
    <w:rsid w:val="008D026A"/>
    <w:rsid w:val="008D07E6"/>
    <w:rsid w:val="008D0C7A"/>
    <w:rsid w:val="008D0D59"/>
    <w:rsid w:val="008D0DEB"/>
    <w:rsid w:val="008D0F99"/>
    <w:rsid w:val="008D1172"/>
    <w:rsid w:val="008D11C8"/>
    <w:rsid w:val="008D11DF"/>
    <w:rsid w:val="008D1358"/>
    <w:rsid w:val="008D1AA5"/>
    <w:rsid w:val="008D1B24"/>
    <w:rsid w:val="008D1B57"/>
    <w:rsid w:val="008D1B8D"/>
    <w:rsid w:val="008D1BF7"/>
    <w:rsid w:val="008D1C7B"/>
    <w:rsid w:val="008D1DAE"/>
    <w:rsid w:val="008D1F24"/>
    <w:rsid w:val="008D208D"/>
    <w:rsid w:val="008D216F"/>
    <w:rsid w:val="008D242A"/>
    <w:rsid w:val="008D2845"/>
    <w:rsid w:val="008D2A8B"/>
    <w:rsid w:val="008D2CC8"/>
    <w:rsid w:val="008D2E4C"/>
    <w:rsid w:val="008D2F10"/>
    <w:rsid w:val="008D33F2"/>
    <w:rsid w:val="008D3421"/>
    <w:rsid w:val="008D365B"/>
    <w:rsid w:val="008D373D"/>
    <w:rsid w:val="008D3761"/>
    <w:rsid w:val="008D37EB"/>
    <w:rsid w:val="008D3907"/>
    <w:rsid w:val="008D3E2A"/>
    <w:rsid w:val="008D4060"/>
    <w:rsid w:val="008D41A9"/>
    <w:rsid w:val="008D41EF"/>
    <w:rsid w:val="008D431C"/>
    <w:rsid w:val="008D434C"/>
    <w:rsid w:val="008D45B9"/>
    <w:rsid w:val="008D45DB"/>
    <w:rsid w:val="008D4972"/>
    <w:rsid w:val="008D4C14"/>
    <w:rsid w:val="008D4C2C"/>
    <w:rsid w:val="008D4D0E"/>
    <w:rsid w:val="008D5435"/>
    <w:rsid w:val="008D57EE"/>
    <w:rsid w:val="008D590C"/>
    <w:rsid w:val="008D5A3E"/>
    <w:rsid w:val="008D5AF8"/>
    <w:rsid w:val="008D5B1F"/>
    <w:rsid w:val="008D5D7C"/>
    <w:rsid w:val="008D5D9C"/>
    <w:rsid w:val="008D5E11"/>
    <w:rsid w:val="008D5F81"/>
    <w:rsid w:val="008D6146"/>
    <w:rsid w:val="008D621A"/>
    <w:rsid w:val="008D6760"/>
    <w:rsid w:val="008D68F4"/>
    <w:rsid w:val="008D694B"/>
    <w:rsid w:val="008D6A14"/>
    <w:rsid w:val="008D6D26"/>
    <w:rsid w:val="008D6F8B"/>
    <w:rsid w:val="008D6FAF"/>
    <w:rsid w:val="008D70BC"/>
    <w:rsid w:val="008D74A9"/>
    <w:rsid w:val="008D74B5"/>
    <w:rsid w:val="008D7582"/>
    <w:rsid w:val="008D7609"/>
    <w:rsid w:val="008D765C"/>
    <w:rsid w:val="008D7A32"/>
    <w:rsid w:val="008D7B67"/>
    <w:rsid w:val="008D7BAB"/>
    <w:rsid w:val="008D7D28"/>
    <w:rsid w:val="008E06D4"/>
    <w:rsid w:val="008E07AB"/>
    <w:rsid w:val="008E07E6"/>
    <w:rsid w:val="008E0855"/>
    <w:rsid w:val="008E099B"/>
    <w:rsid w:val="008E0A61"/>
    <w:rsid w:val="008E0FBB"/>
    <w:rsid w:val="008E1624"/>
    <w:rsid w:val="008E180F"/>
    <w:rsid w:val="008E1970"/>
    <w:rsid w:val="008E1A99"/>
    <w:rsid w:val="008E1D36"/>
    <w:rsid w:val="008E1E77"/>
    <w:rsid w:val="008E1EC8"/>
    <w:rsid w:val="008E1F5F"/>
    <w:rsid w:val="008E1FA7"/>
    <w:rsid w:val="008E207F"/>
    <w:rsid w:val="008E20F0"/>
    <w:rsid w:val="008E20FC"/>
    <w:rsid w:val="008E218C"/>
    <w:rsid w:val="008E28A5"/>
    <w:rsid w:val="008E298E"/>
    <w:rsid w:val="008E29D3"/>
    <w:rsid w:val="008E2DEF"/>
    <w:rsid w:val="008E2EA9"/>
    <w:rsid w:val="008E2F78"/>
    <w:rsid w:val="008E2FB9"/>
    <w:rsid w:val="008E308B"/>
    <w:rsid w:val="008E3292"/>
    <w:rsid w:val="008E3B5B"/>
    <w:rsid w:val="008E3C89"/>
    <w:rsid w:val="008E3CA1"/>
    <w:rsid w:val="008E3CEB"/>
    <w:rsid w:val="008E3CF9"/>
    <w:rsid w:val="008E3D68"/>
    <w:rsid w:val="008E4046"/>
    <w:rsid w:val="008E41CA"/>
    <w:rsid w:val="008E4234"/>
    <w:rsid w:val="008E4366"/>
    <w:rsid w:val="008E43BE"/>
    <w:rsid w:val="008E4482"/>
    <w:rsid w:val="008E4484"/>
    <w:rsid w:val="008E44B7"/>
    <w:rsid w:val="008E4606"/>
    <w:rsid w:val="008E46E1"/>
    <w:rsid w:val="008E4DFB"/>
    <w:rsid w:val="008E4F5F"/>
    <w:rsid w:val="008E5011"/>
    <w:rsid w:val="008E5217"/>
    <w:rsid w:val="008E565E"/>
    <w:rsid w:val="008E5841"/>
    <w:rsid w:val="008E5ACF"/>
    <w:rsid w:val="008E5C0B"/>
    <w:rsid w:val="008E5EE3"/>
    <w:rsid w:val="008E5EFF"/>
    <w:rsid w:val="008E63F7"/>
    <w:rsid w:val="008E645E"/>
    <w:rsid w:val="008E6638"/>
    <w:rsid w:val="008E6698"/>
    <w:rsid w:val="008E66F0"/>
    <w:rsid w:val="008E69A1"/>
    <w:rsid w:val="008E6A88"/>
    <w:rsid w:val="008E6ACE"/>
    <w:rsid w:val="008E6AF8"/>
    <w:rsid w:val="008E6DA9"/>
    <w:rsid w:val="008E7242"/>
    <w:rsid w:val="008E7545"/>
    <w:rsid w:val="008F0102"/>
    <w:rsid w:val="008F01F5"/>
    <w:rsid w:val="008F0795"/>
    <w:rsid w:val="008F07C6"/>
    <w:rsid w:val="008F084E"/>
    <w:rsid w:val="008F08B0"/>
    <w:rsid w:val="008F0F1F"/>
    <w:rsid w:val="008F0FEA"/>
    <w:rsid w:val="008F115D"/>
    <w:rsid w:val="008F13B1"/>
    <w:rsid w:val="008F13F7"/>
    <w:rsid w:val="008F1714"/>
    <w:rsid w:val="008F179C"/>
    <w:rsid w:val="008F1957"/>
    <w:rsid w:val="008F19F6"/>
    <w:rsid w:val="008F1D28"/>
    <w:rsid w:val="008F2218"/>
    <w:rsid w:val="008F22A6"/>
    <w:rsid w:val="008F2342"/>
    <w:rsid w:val="008F23EF"/>
    <w:rsid w:val="008F245D"/>
    <w:rsid w:val="008F24D9"/>
    <w:rsid w:val="008F2700"/>
    <w:rsid w:val="008F2982"/>
    <w:rsid w:val="008F298A"/>
    <w:rsid w:val="008F2A75"/>
    <w:rsid w:val="008F2DCE"/>
    <w:rsid w:val="008F2F30"/>
    <w:rsid w:val="008F325C"/>
    <w:rsid w:val="008F334F"/>
    <w:rsid w:val="008F3798"/>
    <w:rsid w:val="008F3A24"/>
    <w:rsid w:val="008F3CB2"/>
    <w:rsid w:val="008F3DCB"/>
    <w:rsid w:val="008F40F9"/>
    <w:rsid w:val="008F475C"/>
    <w:rsid w:val="008F47BE"/>
    <w:rsid w:val="008F5119"/>
    <w:rsid w:val="008F550E"/>
    <w:rsid w:val="008F5678"/>
    <w:rsid w:val="008F56A7"/>
    <w:rsid w:val="008F5825"/>
    <w:rsid w:val="008F5AD7"/>
    <w:rsid w:val="008F5B65"/>
    <w:rsid w:val="008F5CF6"/>
    <w:rsid w:val="008F5D9F"/>
    <w:rsid w:val="008F5F0F"/>
    <w:rsid w:val="008F61C7"/>
    <w:rsid w:val="008F64C6"/>
    <w:rsid w:val="008F697A"/>
    <w:rsid w:val="008F699D"/>
    <w:rsid w:val="008F6B55"/>
    <w:rsid w:val="008F6CDD"/>
    <w:rsid w:val="008F6E56"/>
    <w:rsid w:val="008F7059"/>
    <w:rsid w:val="008F750F"/>
    <w:rsid w:val="008F7770"/>
    <w:rsid w:val="008F7837"/>
    <w:rsid w:val="008F7A2F"/>
    <w:rsid w:val="008F7DFD"/>
    <w:rsid w:val="008F7E2C"/>
    <w:rsid w:val="008F7E8E"/>
    <w:rsid w:val="008F7F68"/>
    <w:rsid w:val="0090019F"/>
    <w:rsid w:val="009004F3"/>
    <w:rsid w:val="009005AD"/>
    <w:rsid w:val="00900AF3"/>
    <w:rsid w:val="00900EE6"/>
    <w:rsid w:val="00900F5F"/>
    <w:rsid w:val="009010CB"/>
    <w:rsid w:val="00901228"/>
    <w:rsid w:val="00901374"/>
    <w:rsid w:val="009015BB"/>
    <w:rsid w:val="00901672"/>
    <w:rsid w:val="009016B6"/>
    <w:rsid w:val="0090176E"/>
    <w:rsid w:val="009017F2"/>
    <w:rsid w:val="0090185D"/>
    <w:rsid w:val="00901889"/>
    <w:rsid w:val="0090195E"/>
    <w:rsid w:val="00901D37"/>
    <w:rsid w:val="0090232B"/>
    <w:rsid w:val="0090278F"/>
    <w:rsid w:val="00902A3A"/>
    <w:rsid w:val="00902C42"/>
    <w:rsid w:val="00902CDE"/>
    <w:rsid w:val="00902DF7"/>
    <w:rsid w:val="00902E0D"/>
    <w:rsid w:val="00902FD3"/>
    <w:rsid w:val="00903008"/>
    <w:rsid w:val="0090319F"/>
    <w:rsid w:val="009031A3"/>
    <w:rsid w:val="009034BD"/>
    <w:rsid w:val="009035C5"/>
    <w:rsid w:val="009036E9"/>
    <w:rsid w:val="00903911"/>
    <w:rsid w:val="00903A2F"/>
    <w:rsid w:val="00903B3E"/>
    <w:rsid w:val="00903D9D"/>
    <w:rsid w:val="00903EFE"/>
    <w:rsid w:val="0090404C"/>
    <w:rsid w:val="009043BA"/>
    <w:rsid w:val="009044EA"/>
    <w:rsid w:val="0090463B"/>
    <w:rsid w:val="009046D4"/>
    <w:rsid w:val="00904925"/>
    <w:rsid w:val="00904AF3"/>
    <w:rsid w:val="00904DCE"/>
    <w:rsid w:val="0090517C"/>
    <w:rsid w:val="0090539C"/>
    <w:rsid w:val="009053FA"/>
    <w:rsid w:val="009057AC"/>
    <w:rsid w:val="00905823"/>
    <w:rsid w:val="00905A08"/>
    <w:rsid w:val="00905BC2"/>
    <w:rsid w:val="00905C79"/>
    <w:rsid w:val="00905E5C"/>
    <w:rsid w:val="00905EAF"/>
    <w:rsid w:val="00905FC6"/>
    <w:rsid w:val="00906996"/>
    <w:rsid w:val="009069A3"/>
    <w:rsid w:val="00906D3B"/>
    <w:rsid w:val="00906E61"/>
    <w:rsid w:val="00907066"/>
    <w:rsid w:val="0090717F"/>
    <w:rsid w:val="009075C0"/>
    <w:rsid w:val="00907B53"/>
    <w:rsid w:val="00907DC8"/>
    <w:rsid w:val="00910070"/>
    <w:rsid w:val="00910091"/>
    <w:rsid w:val="0091013C"/>
    <w:rsid w:val="00910647"/>
    <w:rsid w:val="0091081D"/>
    <w:rsid w:val="00910933"/>
    <w:rsid w:val="00910B75"/>
    <w:rsid w:val="00910CD7"/>
    <w:rsid w:val="00910D1F"/>
    <w:rsid w:val="00910D9D"/>
    <w:rsid w:val="00910E48"/>
    <w:rsid w:val="00910EB3"/>
    <w:rsid w:val="00910ECD"/>
    <w:rsid w:val="00910F42"/>
    <w:rsid w:val="009114CB"/>
    <w:rsid w:val="009115D8"/>
    <w:rsid w:val="0091173A"/>
    <w:rsid w:val="009118CD"/>
    <w:rsid w:val="00911944"/>
    <w:rsid w:val="009119E4"/>
    <w:rsid w:val="00911B5B"/>
    <w:rsid w:val="00911C67"/>
    <w:rsid w:val="00911DB0"/>
    <w:rsid w:val="00911E9A"/>
    <w:rsid w:val="00911F43"/>
    <w:rsid w:val="009121A7"/>
    <w:rsid w:val="00912218"/>
    <w:rsid w:val="009125E8"/>
    <w:rsid w:val="0091271A"/>
    <w:rsid w:val="0091285C"/>
    <w:rsid w:val="00912C4A"/>
    <w:rsid w:val="00913077"/>
    <w:rsid w:val="00913340"/>
    <w:rsid w:val="0091334E"/>
    <w:rsid w:val="0091366F"/>
    <w:rsid w:val="009137E6"/>
    <w:rsid w:val="009138AF"/>
    <w:rsid w:val="00913AB1"/>
    <w:rsid w:val="00913F2E"/>
    <w:rsid w:val="00913FB0"/>
    <w:rsid w:val="00914434"/>
    <w:rsid w:val="00914541"/>
    <w:rsid w:val="00914ADC"/>
    <w:rsid w:val="00914B9E"/>
    <w:rsid w:val="00914C92"/>
    <w:rsid w:val="00914CBD"/>
    <w:rsid w:val="00914CD6"/>
    <w:rsid w:val="00914E6A"/>
    <w:rsid w:val="00915A84"/>
    <w:rsid w:val="00915CA8"/>
    <w:rsid w:val="0091609D"/>
    <w:rsid w:val="009160C5"/>
    <w:rsid w:val="0091610E"/>
    <w:rsid w:val="00916383"/>
    <w:rsid w:val="0091667B"/>
    <w:rsid w:val="00916843"/>
    <w:rsid w:val="009168CA"/>
    <w:rsid w:val="00916F01"/>
    <w:rsid w:val="009170C8"/>
    <w:rsid w:val="00917156"/>
    <w:rsid w:val="0091717B"/>
    <w:rsid w:val="00917314"/>
    <w:rsid w:val="009173D9"/>
    <w:rsid w:val="009174B1"/>
    <w:rsid w:val="00917578"/>
    <w:rsid w:val="00917B1B"/>
    <w:rsid w:val="00917B3C"/>
    <w:rsid w:val="00917BA2"/>
    <w:rsid w:val="00917D31"/>
    <w:rsid w:val="00917D3D"/>
    <w:rsid w:val="009200D9"/>
    <w:rsid w:val="00920228"/>
    <w:rsid w:val="00920250"/>
    <w:rsid w:val="009202D0"/>
    <w:rsid w:val="00920345"/>
    <w:rsid w:val="00920483"/>
    <w:rsid w:val="009204DB"/>
    <w:rsid w:val="009206E2"/>
    <w:rsid w:val="00920777"/>
    <w:rsid w:val="009209FB"/>
    <w:rsid w:val="00920C09"/>
    <w:rsid w:val="00920C44"/>
    <w:rsid w:val="00920D67"/>
    <w:rsid w:val="00920DE8"/>
    <w:rsid w:val="00920FC6"/>
    <w:rsid w:val="00921443"/>
    <w:rsid w:val="00921476"/>
    <w:rsid w:val="00921624"/>
    <w:rsid w:val="00921859"/>
    <w:rsid w:val="0092189C"/>
    <w:rsid w:val="0092192C"/>
    <w:rsid w:val="00921973"/>
    <w:rsid w:val="009219DC"/>
    <w:rsid w:val="00921C31"/>
    <w:rsid w:val="00921EE4"/>
    <w:rsid w:val="00921F38"/>
    <w:rsid w:val="00921F7A"/>
    <w:rsid w:val="00922054"/>
    <w:rsid w:val="009225AB"/>
    <w:rsid w:val="0092263B"/>
    <w:rsid w:val="009226DE"/>
    <w:rsid w:val="009227DC"/>
    <w:rsid w:val="009228FA"/>
    <w:rsid w:val="00922A06"/>
    <w:rsid w:val="00922A94"/>
    <w:rsid w:val="00922AA6"/>
    <w:rsid w:val="00922BE5"/>
    <w:rsid w:val="00922C9F"/>
    <w:rsid w:val="00923034"/>
    <w:rsid w:val="009231DA"/>
    <w:rsid w:val="00923234"/>
    <w:rsid w:val="00923842"/>
    <w:rsid w:val="009238E8"/>
    <w:rsid w:val="009239EC"/>
    <w:rsid w:val="00923C11"/>
    <w:rsid w:val="00923CEE"/>
    <w:rsid w:val="00923DA7"/>
    <w:rsid w:val="009245BA"/>
    <w:rsid w:val="009245BB"/>
    <w:rsid w:val="00924790"/>
    <w:rsid w:val="00924837"/>
    <w:rsid w:val="00924A63"/>
    <w:rsid w:val="00924C62"/>
    <w:rsid w:val="00924CB4"/>
    <w:rsid w:val="00924CE3"/>
    <w:rsid w:val="00924E2B"/>
    <w:rsid w:val="009250FE"/>
    <w:rsid w:val="009251DE"/>
    <w:rsid w:val="00925307"/>
    <w:rsid w:val="0092537D"/>
    <w:rsid w:val="009254B5"/>
    <w:rsid w:val="00925646"/>
    <w:rsid w:val="00925803"/>
    <w:rsid w:val="00925897"/>
    <w:rsid w:val="00925A28"/>
    <w:rsid w:val="00925ABA"/>
    <w:rsid w:val="00925AFA"/>
    <w:rsid w:val="00925C79"/>
    <w:rsid w:val="00925CBD"/>
    <w:rsid w:val="00925DEE"/>
    <w:rsid w:val="00925E0C"/>
    <w:rsid w:val="00926339"/>
    <w:rsid w:val="0092642B"/>
    <w:rsid w:val="00926670"/>
    <w:rsid w:val="00926964"/>
    <w:rsid w:val="0092697A"/>
    <w:rsid w:val="00926A92"/>
    <w:rsid w:val="00926C6C"/>
    <w:rsid w:val="00926D57"/>
    <w:rsid w:val="00926F9E"/>
    <w:rsid w:val="0092726F"/>
    <w:rsid w:val="00927294"/>
    <w:rsid w:val="009273E6"/>
    <w:rsid w:val="009276BC"/>
    <w:rsid w:val="009278D9"/>
    <w:rsid w:val="00927A66"/>
    <w:rsid w:val="00927A88"/>
    <w:rsid w:val="00927C90"/>
    <w:rsid w:val="00927D1E"/>
    <w:rsid w:val="009306F9"/>
    <w:rsid w:val="009309B4"/>
    <w:rsid w:val="00930A9B"/>
    <w:rsid w:val="00930B8B"/>
    <w:rsid w:val="00930C4E"/>
    <w:rsid w:val="00930D43"/>
    <w:rsid w:val="00930FF5"/>
    <w:rsid w:val="009311EF"/>
    <w:rsid w:val="0093136E"/>
    <w:rsid w:val="00931419"/>
    <w:rsid w:val="0093179A"/>
    <w:rsid w:val="0093198C"/>
    <w:rsid w:val="00931E5D"/>
    <w:rsid w:val="0093253B"/>
    <w:rsid w:val="009328E3"/>
    <w:rsid w:val="00932B27"/>
    <w:rsid w:val="00932B6D"/>
    <w:rsid w:val="00932D38"/>
    <w:rsid w:val="00932D76"/>
    <w:rsid w:val="00932EB3"/>
    <w:rsid w:val="00932F41"/>
    <w:rsid w:val="00933004"/>
    <w:rsid w:val="00933215"/>
    <w:rsid w:val="009335E9"/>
    <w:rsid w:val="009336BB"/>
    <w:rsid w:val="0093377F"/>
    <w:rsid w:val="00933B9E"/>
    <w:rsid w:val="00933C22"/>
    <w:rsid w:val="00933E42"/>
    <w:rsid w:val="00933FFF"/>
    <w:rsid w:val="0093407C"/>
    <w:rsid w:val="0093422D"/>
    <w:rsid w:val="00934323"/>
    <w:rsid w:val="00934905"/>
    <w:rsid w:val="00934C78"/>
    <w:rsid w:val="00934DA5"/>
    <w:rsid w:val="009351A3"/>
    <w:rsid w:val="009351ED"/>
    <w:rsid w:val="009354F5"/>
    <w:rsid w:val="009356B9"/>
    <w:rsid w:val="009356C9"/>
    <w:rsid w:val="009356E1"/>
    <w:rsid w:val="00935768"/>
    <w:rsid w:val="00935863"/>
    <w:rsid w:val="00935D6F"/>
    <w:rsid w:val="00936111"/>
    <w:rsid w:val="0093626D"/>
    <w:rsid w:val="00936680"/>
    <w:rsid w:val="009368BB"/>
    <w:rsid w:val="00936C6B"/>
    <w:rsid w:val="00936D9E"/>
    <w:rsid w:val="00936F91"/>
    <w:rsid w:val="00937052"/>
    <w:rsid w:val="009373B9"/>
    <w:rsid w:val="0093746C"/>
    <w:rsid w:val="00937B39"/>
    <w:rsid w:val="009400EF"/>
    <w:rsid w:val="009401D0"/>
    <w:rsid w:val="00940263"/>
    <w:rsid w:val="009403C7"/>
    <w:rsid w:val="00940474"/>
    <w:rsid w:val="009404F9"/>
    <w:rsid w:val="009408EC"/>
    <w:rsid w:val="00940AEC"/>
    <w:rsid w:val="00940B98"/>
    <w:rsid w:val="00940BB6"/>
    <w:rsid w:val="00940BF4"/>
    <w:rsid w:val="00940C98"/>
    <w:rsid w:val="00940E8E"/>
    <w:rsid w:val="00941040"/>
    <w:rsid w:val="0094119E"/>
    <w:rsid w:val="009414F8"/>
    <w:rsid w:val="00941540"/>
    <w:rsid w:val="00941581"/>
    <w:rsid w:val="00941795"/>
    <w:rsid w:val="00941BB2"/>
    <w:rsid w:val="00942284"/>
    <w:rsid w:val="009425D3"/>
    <w:rsid w:val="009426FB"/>
    <w:rsid w:val="009427D6"/>
    <w:rsid w:val="00942A0D"/>
    <w:rsid w:val="00943170"/>
    <w:rsid w:val="009431E8"/>
    <w:rsid w:val="00943325"/>
    <w:rsid w:val="009435FB"/>
    <w:rsid w:val="009436D4"/>
    <w:rsid w:val="0094371D"/>
    <w:rsid w:val="00943A66"/>
    <w:rsid w:val="00944482"/>
    <w:rsid w:val="0094449E"/>
    <w:rsid w:val="00944710"/>
    <w:rsid w:val="009447AE"/>
    <w:rsid w:val="00944A5E"/>
    <w:rsid w:val="00944AC7"/>
    <w:rsid w:val="00944B82"/>
    <w:rsid w:val="00944CDC"/>
    <w:rsid w:val="00944F17"/>
    <w:rsid w:val="00944FBB"/>
    <w:rsid w:val="00945102"/>
    <w:rsid w:val="00945400"/>
    <w:rsid w:val="0094548A"/>
    <w:rsid w:val="009454E9"/>
    <w:rsid w:val="009456A6"/>
    <w:rsid w:val="00945790"/>
    <w:rsid w:val="00945824"/>
    <w:rsid w:val="00945B60"/>
    <w:rsid w:val="00945E6A"/>
    <w:rsid w:val="00945F83"/>
    <w:rsid w:val="00946254"/>
    <w:rsid w:val="009463F8"/>
    <w:rsid w:val="0094649D"/>
    <w:rsid w:val="009465DB"/>
    <w:rsid w:val="009465FF"/>
    <w:rsid w:val="00946666"/>
    <w:rsid w:val="009468A6"/>
    <w:rsid w:val="009469D8"/>
    <w:rsid w:val="00946AA1"/>
    <w:rsid w:val="00946BDB"/>
    <w:rsid w:val="00946CCD"/>
    <w:rsid w:val="00946DF8"/>
    <w:rsid w:val="00947531"/>
    <w:rsid w:val="0094774C"/>
    <w:rsid w:val="00947C7A"/>
    <w:rsid w:val="00950054"/>
    <w:rsid w:val="009500EF"/>
    <w:rsid w:val="009503F9"/>
    <w:rsid w:val="0095068D"/>
    <w:rsid w:val="00950706"/>
    <w:rsid w:val="009508D2"/>
    <w:rsid w:val="00950AAC"/>
    <w:rsid w:val="00950AB4"/>
    <w:rsid w:val="00951531"/>
    <w:rsid w:val="00951758"/>
    <w:rsid w:val="009517B8"/>
    <w:rsid w:val="009519F3"/>
    <w:rsid w:val="00951A27"/>
    <w:rsid w:val="00951D82"/>
    <w:rsid w:val="00951DE6"/>
    <w:rsid w:val="00952277"/>
    <w:rsid w:val="0095251F"/>
    <w:rsid w:val="009525DB"/>
    <w:rsid w:val="00952604"/>
    <w:rsid w:val="00952779"/>
    <w:rsid w:val="00952801"/>
    <w:rsid w:val="00952846"/>
    <w:rsid w:val="00952860"/>
    <w:rsid w:val="0095293C"/>
    <w:rsid w:val="00952AF8"/>
    <w:rsid w:val="00952BCC"/>
    <w:rsid w:val="00952DF4"/>
    <w:rsid w:val="00952F68"/>
    <w:rsid w:val="00952FDE"/>
    <w:rsid w:val="00952FF7"/>
    <w:rsid w:val="009533F0"/>
    <w:rsid w:val="0095370F"/>
    <w:rsid w:val="00953740"/>
    <w:rsid w:val="009538E8"/>
    <w:rsid w:val="00953904"/>
    <w:rsid w:val="00953A28"/>
    <w:rsid w:val="00953C20"/>
    <w:rsid w:val="00953EB0"/>
    <w:rsid w:val="009540A7"/>
    <w:rsid w:val="00954128"/>
    <w:rsid w:val="009547A7"/>
    <w:rsid w:val="00954DB9"/>
    <w:rsid w:val="00954F12"/>
    <w:rsid w:val="0095502C"/>
    <w:rsid w:val="009552E8"/>
    <w:rsid w:val="00955C13"/>
    <w:rsid w:val="00955DA2"/>
    <w:rsid w:val="00955EE1"/>
    <w:rsid w:val="00956060"/>
    <w:rsid w:val="009561D9"/>
    <w:rsid w:val="0095632F"/>
    <w:rsid w:val="0095634D"/>
    <w:rsid w:val="00956636"/>
    <w:rsid w:val="00956C12"/>
    <w:rsid w:val="00956DAB"/>
    <w:rsid w:val="009576B3"/>
    <w:rsid w:val="00957747"/>
    <w:rsid w:val="009578F0"/>
    <w:rsid w:val="00957AE1"/>
    <w:rsid w:val="00957C00"/>
    <w:rsid w:val="00957C4E"/>
    <w:rsid w:val="00957CB5"/>
    <w:rsid w:val="00957FBA"/>
    <w:rsid w:val="009606E9"/>
    <w:rsid w:val="0096076A"/>
    <w:rsid w:val="00960981"/>
    <w:rsid w:val="009609D0"/>
    <w:rsid w:val="00960C9C"/>
    <w:rsid w:val="00960E19"/>
    <w:rsid w:val="00960E79"/>
    <w:rsid w:val="00960E85"/>
    <w:rsid w:val="00960EF2"/>
    <w:rsid w:val="00960F82"/>
    <w:rsid w:val="009610BE"/>
    <w:rsid w:val="0096114D"/>
    <w:rsid w:val="00961307"/>
    <w:rsid w:val="0096138C"/>
    <w:rsid w:val="009614A4"/>
    <w:rsid w:val="009615D5"/>
    <w:rsid w:val="0096191D"/>
    <w:rsid w:val="00961935"/>
    <w:rsid w:val="00961B26"/>
    <w:rsid w:val="00961E94"/>
    <w:rsid w:val="0096204D"/>
    <w:rsid w:val="009620AB"/>
    <w:rsid w:val="009623CA"/>
    <w:rsid w:val="0096292A"/>
    <w:rsid w:val="00962995"/>
    <w:rsid w:val="0096299A"/>
    <w:rsid w:val="00962B1A"/>
    <w:rsid w:val="00962B51"/>
    <w:rsid w:val="009632EE"/>
    <w:rsid w:val="009634DD"/>
    <w:rsid w:val="00963547"/>
    <w:rsid w:val="009636E9"/>
    <w:rsid w:val="00963710"/>
    <w:rsid w:val="009637A9"/>
    <w:rsid w:val="00963872"/>
    <w:rsid w:val="00963C5A"/>
    <w:rsid w:val="00963F36"/>
    <w:rsid w:val="00964197"/>
    <w:rsid w:val="00964293"/>
    <w:rsid w:val="00964A43"/>
    <w:rsid w:val="00964B95"/>
    <w:rsid w:val="00964C01"/>
    <w:rsid w:val="00964C61"/>
    <w:rsid w:val="00964C79"/>
    <w:rsid w:val="00964CEF"/>
    <w:rsid w:val="00964DC8"/>
    <w:rsid w:val="00964F8C"/>
    <w:rsid w:val="0096555E"/>
    <w:rsid w:val="00965705"/>
    <w:rsid w:val="0096572F"/>
    <w:rsid w:val="00965818"/>
    <w:rsid w:val="00965B06"/>
    <w:rsid w:val="00965E07"/>
    <w:rsid w:val="00965F96"/>
    <w:rsid w:val="0096609A"/>
    <w:rsid w:val="00966189"/>
    <w:rsid w:val="009667B2"/>
    <w:rsid w:val="00966A2D"/>
    <w:rsid w:val="00966D41"/>
    <w:rsid w:val="0096713B"/>
    <w:rsid w:val="0096720F"/>
    <w:rsid w:val="00967210"/>
    <w:rsid w:val="009672D3"/>
    <w:rsid w:val="00967513"/>
    <w:rsid w:val="00967A58"/>
    <w:rsid w:val="00967D01"/>
    <w:rsid w:val="00967D0F"/>
    <w:rsid w:val="00967E67"/>
    <w:rsid w:val="00967ECC"/>
    <w:rsid w:val="009706BF"/>
    <w:rsid w:val="00970862"/>
    <w:rsid w:val="0097086F"/>
    <w:rsid w:val="00970C01"/>
    <w:rsid w:val="00970E59"/>
    <w:rsid w:val="00970F06"/>
    <w:rsid w:val="00971237"/>
    <w:rsid w:val="00971511"/>
    <w:rsid w:val="0097185C"/>
    <w:rsid w:val="0097190C"/>
    <w:rsid w:val="00971BF5"/>
    <w:rsid w:val="00971D15"/>
    <w:rsid w:val="00971E50"/>
    <w:rsid w:val="00971E6D"/>
    <w:rsid w:val="00971F85"/>
    <w:rsid w:val="0097201A"/>
    <w:rsid w:val="0097201E"/>
    <w:rsid w:val="0097202F"/>
    <w:rsid w:val="00972063"/>
    <w:rsid w:val="009721D3"/>
    <w:rsid w:val="00972291"/>
    <w:rsid w:val="009723F2"/>
    <w:rsid w:val="009725D1"/>
    <w:rsid w:val="009726E4"/>
    <w:rsid w:val="0097285B"/>
    <w:rsid w:val="00972AB4"/>
    <w:rsid w:val="00972D36"/>
    <w:rsid w:val="00972EBB"/>
    <w:rsid w:val="00973416"/>
    <w:rsid w:val="0097347E"/>
    <w:rsid w:val="009736C3"/>
    <w:rsid w:val="0097397D"/>
    <w:rsid w:val="00973C21"/>
    <w:rsid w:val="00973C4C"/>
    <w:rsid w:val="00973C88"/>
    <w:rsid w:val="009745EE"/>
    <w:rsid w:val="0097476F"/>
    <w:rsid w:val="0097481B"/>
    <w:rsid w:val="00974CA4"/>
    <w:rsid w:val="00974D42"/>
    <w:rsid w:val="00975051"/>
    <w:rsid w:val="00975348"/>
    <w:rsid w:val="00975395"/>
    <w:rsid w:val="00975409"/>
    <w:rsid w:val="0097555A"/>
    <w:rsid w:val="00975603"/>
    <w:rsid w:val="00975717"/>
    <w:rsid w:val="00975818"/>
    <w:rsid w:val="0097591A"/>
    <w:rsid w:val="009759ED"/>
    <w:rsid w:val="00975ADD"/>
    <w:rsid w:val="00975AE5"/>
    <w:rsid w:val="00975CEC"/>
    <w:rsid w:val="009763C0"/>
    <w:rsid w:val="009767FA"/>
    <w:rsid w:val="00976B62"/>
    <w:rsid w:val="00976C19"/>
    <w:rsid w:val="00976C3A"/>
    <w:rsid w:val="00976EB8"/>
    <w:rsid w:val="00976ED3"/>
    <w:rsid w:val="00976F11"/>
    <w:rsid w:val="00977125"/>
    <w:rsid w:val="00977168"/>
    <w:rsid w:val="009771BA"/>
    <w:rsid w:val="009771CF"/>
    <w:rsid w:val="00977278"/>
    <w:rsid w:val="009772A4"/>
    <w:rsid w:val="009773B7"/>
    <w:rsid w:val="00977668"/>
    <w:rsid w:val="00977C73"/>
    <w:rsid w:val="00977DA2"/>
    <w:rsid w:val="00977DEC"/>
    <w:rsid w:val="00977E80"/>
    <w:rsid w:val="00980202"/>
    <w:rsid w:val="00980522"/>
    <w:rsid w:val="0098057B"/>
    <w:rsid w:val="0098059E"/>
    <w:rsid w:val="009805BA"/>
    <w:rsid w:val="00980649"/>
    <w:rsid w:val="009808AF"/>
    <w:rsid w:val="009809EA"/>
    <w:rsid w:val="00980A46"/>
    <w:rsid w:val="00980AEB"/>
    <w:rsid w:val="00980B8F"/>
    <w:rsid w:val="00980EC9"/>
    <w:rsid w:val="00981009"/>
    <w:rsid w:val="00981129"/>
    <w:rsid w:val="0098138D"/>
    <w:rsid w:val="0098165B"/>
    <w:rsid w:val="00981D34"/>
    <w:rsid w:val="00981DCC"/>
    <w:rsid w:val="009820D0"/>
    <w:rsid w:val="0098229E"/>
    <w:rsid w:val="00982649"/>
    <w:rsid w:val="009827D6"/>
    <w:rsid w:val="009828C1"/>
    <w:rsid w:val="00982AB7"/>
    <w:rsid w:val="00982C2F"/>
    <w:rsid w:val="00982E88"/>
    <w:rsid w:val="00982EDC"/>
    <w:rsid w:val="009836AB"/>
    <w:rsid w:val="009836F3"/>
    <w:rsid w:val="009839ED"/>
    <w:rsid w:val="00983DF4"/>
    <w:rsid w:val="009840B2"/>
    <w:rsid w:val="009841EB"/>
    <w:rsid w:val="0098446D"/>
    <w:rsid w:val="009846CB"/>
    <w:rsid w:val="00984798"/>
    <w:rsid w:val="00984B72"/>
    <w:rsid w:val="00984D78"/>
    <w:rsid w:val="00984DB4"/>
    <w:rsid w:val="0098566D"/>
    <w:rsid w:val="00985747"/>
    <w:rsid w:val="00985935"/>
    <w:rsid w:val="009859F8"/>
    <w:rsid w:val="00985CDA"/>
    <w:rsid w:val="009862F0"/>
    <w:rsid w:val="00986336"/>
    <w:rsid w:val="009864E8"/>
    <w:rsid w:val="00986759"/>
    <w:rsid w:val="009869B0"/>
    <w:rsid w:val="00986A20"/>
    <w:rsid w:val="00986AF5"/>
    <w:rsid w:val="00986B15"/>
    <w:rsid w:val="00986B23"/>
    <w:rsid w:val="00986CFA"/>
    <w:rsid w:val="00986EA5"/>
    <w:rsid w:val="00986F75"/>
    <w:rsid w:val="00987256"/>
    <w:rsid w:val="00987603"/>
    <w:rsid w:val="009878FE"/>
    <w:rsid w:val="00987A5E"/>
    <w:rsid w:val="00987A7F"/>
    <w:rsid w:val="00987A95"/>
    <w:rsid w:val="00987CBD"/>
    <w:rsid w:val="00987D10"/>
    <w:rsid w:val="00987F74"/>
    <w:rsid w:val="0099036B"/>
    <w:rsid w:val="009906E2"/>
    <w:rsid w:val="009907F8"/>
    <w:rsid w:val="00990878"/>
    <w:rsid w:val="00990C0D"/>
    <w:rsid w:val="00990C70"/>
    <w:rsid w:val="00990D73"/>
    <w:rsid w:val="00990E71"/>
    <w:rsid w:val="00990E8F"/>
    <w:rsid w:val="00990F66"/>
    <w:rsid w:val="00990FCD"/>
    <w:rsid w:val="0099113C"/>
    <w:rsid w:val="00991658"/>
    <w:rsid w:val="00991789"/>
    <w:rsid w:val="009917E4"/>
    <w:rsid w:val="00991E1D"/>
    <w:rsid w:val="00991FB8"/>
    <w:rsid w:val="00992244"/>
    <w:rsid w:val="0099238B"/>
    <w:rsid w:val="009923B8"/>
    <w:rsid w:val="009923FA"/>
    <w:rsid w:val="00992428"/>
    <w:rsid w:val="00992735"/>
    <w:rsid w:val="0099276B"/>
    <w:rsid w:val="009927D4"/>
    <w:rsid w:val="00992A60"/>
    <w:rsid w:val="00992B07"/>
    <w:rsid w:val="00992C91"/>
    <w:rsid w:val="00992EC2"/>
    <w:rsid w:val="00992F0E"/>
    <w:rsid w:val="00992F7A"/>
    <w:rsid w:val="0099337F"/>
    <w:rsid w:val="0099356F"/>
    <w:rsid w:val="00993723"/>
    <w:rsid w:val="0099377A"/>
    <w:rsid w:val="009937E3"/>
    <w:rsid w:val="009938EE"/>
    <w:rsid w:val="00993A1C"/>
    <w:rsid w:val="00993A92"/>
    <w:rsid w:val="00993B48"/>
    <w:rsid w:val="00993BEA"/>
    <w:rsid w:val="00993EA0"/>
    <w:rsid w:val="00993F05"/>
    <w:rsid w:val="009940E7"/>
    <w:rsid w:val="00994237"/>
    <w:rsid w:val="00994326"/>
    <w:rsid w:val="0099451B"/>
    <w:rsid w:val="0099488C"/>
    <w:rsid w:val="009948CE"/>
    <w:rsid w:val="00994A61"/>
    <w:rsid w:val="00994DB3"/>
    <w:rsid w:val="00994DD0"/>
    <w:rsid w:val="00994E02"/>
    <w:rsid w:val="00994FD4"/>
    <w:rsid w:val="00995304"/>
    <w:rsid w:val="009955C8"/>
    <w:rsid w:val="00995606"/>
    <w:rsid w:val="009956B6"/>
    <w:rsid w:val="0099573D"/>
    <w:rsid w:val="009958F2"/>
    <w:rsid w:val="0099592B"/>
    <w:rsid w:val="00995CA2"/>
    <w:rsid w:val="00995D76"/>
    <w:rsid w:val="00995DA0"/>
    <w:rsid w:val="00995E4A"/>
    <w:rsid w:val="00995F43"/>
    <w:rsid w:val="00995F58"/>
    <w:rsid w:val="0099605A"/>
    <w:rsid w:val="009962BB"/>
    <w:rsid w:val="009963B2"/>
    <w:rsid w:val="0099643D"/>
    <w:rsid w:val="009969CA"/>
    <w:rsid w:val="0099708C"/>
    <w:rsid w:val="0099709E"/>
    <w:rsid w:val="00997308"/>
    <w:rsid w:val="0099735C"/>
    <w:rsid w:val="00997395"/>
    <w:rsid w:val="00997495"/>
    <w:rsid w:val="0099762E"/>
    <w:rsid w:val="0099780B"/>
    <w:rsid w:val="0099785E"/>
    <w:rsid w:val="00997E5D"/>
    <w:rsid w:val="009A021D"/>
    <w:rsid w:val="009A0512"/>
    <w:rsid w:val="009A0D3B"/>
    <w:rsid w:val="009A0F97"/>
    <w:rsid w:val="009A120B"/>
    <w:rsid w:val="009A133D"/>
    <w:rsid w:val="009A139E"/>
    <w:rsid w:val="009A151C"/>
    <w:rsid w:val="009A1919"/>
    <w:rsid w:val="009A1ADC"/>
    <w:rsid w:val="009A1BF5"/>
    <w:rsid w:val="009A1E5C"/>
    <w:rsid w:val="009A1F26"/>
    <w:rsid w:val="009A2147"/>
    <w:rsid w:val="009A251B"/>
    <w:rsid w:val="009A2618"/>
    <w:rsid w:val="009A2740"/>
    <w:rsid w:val="009A2765"/>
    <w:rsid w:val="009A2841"/>
    <w:rsid w:val="009A288A"/>
    <w:rsid w:val="009A2894"/>
    <w:rsid w:val="009A2AEF"/>
    <w:rsid w:val="009A2B0E"/>
    <w:rsid w:val="009A2BB8"/>
    <w:rsid w:val="009A2DBD"/>
    <w:rsid w:val="009A2DC9"/>
    <w:rsid w:val="009A3288"/>
    <w:rsid w:val="009A3307"/>
    <w:rsid w:val="009A348B"/>
    <w:rsid w:val="009A373A"/>
    <w:rsid w:val="009A3F6E"/>
    <w:rsid w:val="009A4086"/>
    <w:rsid w:val="009A4180"/>
    <w:rsid w:val="009A445C"/>
    <w:rsid w:val="009A496E"/>
    <w:rsid w:val="009A4BFB"/>
    <w:rsid w:val="009A4C5A"/>
    <w:rsid w:val="009A4C6B"/>
    <w:rsid w:val="009A4D1D"/>
    <w:rsid w:val="009A5244"/>
    <w:rsid w:val="009A534F"/>
    <w:rsid w:val="009A5429"/>
    <w:rsid w:val="009A5615"/>
    <w:rsid w:val="009A5677"/>
    <w:rsid w:val="009A585D"/>
    <w:rsid w:val="009A59E9"/>
    <w:rsid w:val="009A5D2A"/>
    <w:rsid w:val="009A5E2B"/>
    <w:rsid w:val="009A60EA"/>
    <w:rsid w:val="009A62D2"/>
    <w:rsid w:val="009A6737"/>
    <w:rsid w:val="009A6B12"/>
    <w:rsid w:val="009A6E3E"/>
    <w:rsid w:val="009A715B"/>
    <w:rsid w:val="009A720E"/>
    <w:rsid w:val="009A72D1"/>
    <w:rsid w:val="009A73D5"/>
    <w:rsid w:val="009A76CA"/>
    <w:rsid w:val="009A7727"/>
    <w:rsid w:val="009A78B4"/>
    <w:rsid w:val="009A7D7B"/>
    <w:rsid w:val="009A7E5E"/>
    <w:rsid w:val="009B0014"/>
    <w:rsid w:val="009B0059"/>
    <w:rsid w:val="009B017F"/>
    <w:rsid w:val="009B03C2"/>
    <w:rsid w:val="009B04AB"/>
    <w:rsid w:val="009B091A"/>
    <w:rsid w:val="009B0A64"/>
    <w:rsid w:val="009B0AD7"/>
    <w:rsid w:val="009B0BE2"/>
    <w:rsid w:val="009B0C7C"/>
    <w:rsid w:val="009B0D21"/>
    <w:rsid w:val="009B1488"/>
    <w:rsid w:val="009B1695"/>
    <w:rsid w:val="009B1905"/>
    <w:rsid w:val="009B2084"/>
    <w:rsid w:val="009B21D9"/>
    <w:rsid w:val="009B24F6"/>
    <w:rsid w:val="009B264A"/>
    <w:rsid w:val="009B2773"/>
    <w:rsid w:val="009B27D5"/>
    <w:rsid w:val="009B2981"/>
    <w:rsid w:val="009B2A33"/>
    <w:rsid w:val="009B2F2F"/>
    <w:rsid w:val="009B33F8"/>
    <w:rsid w:val="009B3411"/>
    <w:rsid w:val="009B36DD"/>
    <w:rsid w:val="009B394B"/>
    <w:rsid w:val="009B3983"/>
    <w:rsid w:val="009B39A1"/>
    <w:rsid w:val="009B3A11"/>
    <w:rsid w:val="009B3F50"/>
    <w:rsid w:val="009B3F9B"/>
    <w:rsid w:val="009B4164"/>
    <w:rsid w:val="009B4231"/>
    <w:rsid w:val="009B4234"/>
    <w:rsid w:val="009B42A4"/>
    <w:rsid w:val="009B4319"/>
    <w:rsid w:val="009B43D2"/>
    <w:rsid w:val="009B4676"/>
    <w:rsid w:val="009B477C"/>
    <w:rsid w:val="009B485A"/>
    <w:rsid w:val="009B4D64"/>
    <w:rsid w:val="009B4DD2"/>
    <w:rsid w:val="009B4E95"/>
    <w:rsid w:val="009B50D4"/>
    <w:rsid w:val="009B511C"/>
    <w:rsid w:val="009B51FB"/>
    <w:rsid w:val="009B53FA"/>
    <w:rsid w:val="009B5488"/>
    <w:rsid w:val="009B55F9"/>
    <w:rsid w:val="009B573E"/>
    <w:rsid w:val="009B5ABB"/>
    <w:rsid w:val="009B5B35"/>
    <w:rsid w:val="009B5EFD"/>
    <w:rsid w:val="009B6031"/>
    <w:rsid w:val="009B63A6"/>
    <w:rsid w:val="009B6B70"/>
    <w:rsid w:val="009B6B99"/>
    <w:rsid w:val="009B6CDC"/>
    <w:rsid w:val="009B6DB4"/>
    <w:rsid w:val="009B6F01"/>
    <w:rsid w:val="009B7077"/>
    <w:rsid w:val="009B720E"/>
    <w:rsid w:val="009B7285"/>
    <w:rsid w:val="009B7610"/>
    <w:rsid w:val="009B7765"/>
    <w:rsid w:val="009B7834"/>
    <w:rsid w:val="009B79E6"/>
    <w:rsid w:val="009B7BA9"/>
    <w:rsid w:val="009B7BF0"/>
    <w:rsid w:val="009B7E93"/>
    <w:rsid w:val="009C004B"/>
    <w:rsid w:val="009C02F4"/>
    <w:rsid w:val="009C0529"/>
    <w:rsid w:val="009C08FE"/>
    <w:rsid w:val="009C0B37"/>
    <w:rsid w:val="009C0E08"/>
    <w:rsid w:val="009C113D"/>
    <w:rsid w:val="009C11C0"/>
    <w:rsid w:val="009C15EC"/>
    <w:rsid w:val="009C15F0"/>
    <w:rsid w:val="009C16A5"/>
    <w:rsid w:val="009C1993"/>
    <w:rsid w:val="009C199B"/>
    <w:rsid w:val="009C1D81"/>
    <w:rsid w:val="009C1D8C"/>
    <w:rsid w:val="009C1FBB"/>
    <w:rsid w:val="009C1FCE"/>
    <w:rsid w:val="009C2579"/>
    <w:rsid w:val="009C25D7"/>
    <w:rsid w:val="009C2819"/>
    <w:rsid w:val="009C2AD3"/>
    <w:rsid w:val="009C2E42"/>
    <w:rsid w:val="009C3097"/>
    <w:rsid w:val="009C32A3"/>
    <w:rsid w:val="009C3486"/>
    <w:rsid w:val="009C3875"/>
    <w:rsid w:val="009C3CF4"/>
    <w:rsid w:val="009C3CFE"/>
    <w:rsid w:val="009C3EA4"/>
    <w:rsid w:val="009C406A"/>
    <w:rsid w:val="009C42EE"/>
    <w:rsid w:val="009C44CD"/>
    <w:rsid w:val="009C45C5"/>
    <w:rsid w:val="009C45EF"/>
    <w:rsid w:val="009C49DA"/>
    <w:rsid w:val="009C4B2A"/>
    <w:rsid w:val="009C4C3A"/>
    <w:rsid w:val="009C4CA4"/>
    <w:rsid w:val="009C504B"/>
    <w:rsid w:val="009C51B7"/>
    <w:rsid w:val="009C51EC"/>
    <w:rsid w:val="009C5292"/>
    <w:rsid w:val="009C5545"/>
    <w:rsid w:val="009C56FA"/>
    <w:rsid w:val="009C576C"/>
    <w:rsid w:val="009C5A5E"/>
    <w:rsid w:val="009C5CBE"/>
    <w:rsid w:val="009C6149"/>
    <w:rsid w:val="009C6159"/>
    <w:rsid w:val="009C61AE"/>
    <w:rsid w:val="009C62AC"/>
    <w:rsid w:val="009C62D6"/>
    <w:rsid w:val="009C63AB"/>
    <w:rsid w:val="009C64C7"/>
    <w:rsid w:val="009C66AE"/>
    <w:rsid w:val="009C671A"/>
    <w:rsid w:val="009C687F"/>
    <w:rsid w:val="009C692B"/>
    <w:rsid w:val="009C6CAF"/>
    <w:rsid w:val="009C6CBB"/>
    <w:rsid w:val="009C6EF6"/>
    <w:rsid w:val="009C6F46"/>
    <w:rsid w:val="009C71EE"/>
    <w:rsid w:val="009C72A1"/>
    <w:rsid w:val="009C72D8"/>
    <w:rsid w:val="009C72E6"/>
    <w:rsid w:val="009C7423"/>
    <w:rsid w:val="009C75A3"/>
    <w:rsid w:val="009C7C37"/>
    <w:rsid w:val="009D0003"/>
    <w:rsid w:val="009D0287"/>
    <w:rsid w:val="009D03DF"/>
    <w:rsid w:val="009D0423"/>
    <w:rsid w:val="009D0542"/>
    <w:rsid w:val="009D06BF"/>
    <w:rsid w:val="009D08D0"/>
    <w:rsid w:val="009D0CCB"/>
    <w:rsid w:val="009D0CFE"/>
    <w:rsid w:val="009D0D6B"/>
    <w:rsid w:val="009D1098"/>
    <w:rsid w:val="009D10F3"/>
    <w:rsid w:val="009D11A5"/>
    <w:rsid w:val="009D132A"/>
    <w:rsid w:val="009D140C"/>
    <w:rsid w:val="009D167B"/>
    <w:rsid w:val="009D1818"/>
    <w:rsid w:val="009D1A49"/>
    <w:rsid w:val="009D1A5E"/>
    <w:rsid w:val="009D1A89"/>
    <w:rsid w:val="009D1B60"/>
    <w:rsid w:val="009D1BD5"/>
    <w:rsid w:val="009D1F03"/>
    <w:rsid w:val="009D1F65"/>
    <w:rsid w:val="009D2101"/>
    <w:rsid w:val="009D21D3"/>
    <w:rsid w:val="009D2297"/>
    <w:rsid w:val="009D2302"/>
    <w:rsid w:val="009D2349"/>
    <w:rsid w:val="009D2A80"/>
    <w:rsid w:val="009D2B5A"/>
    <w:rsid w:val="009D2B8F"/>
    <w:rsid w:val="009D2C18"/>
    <w:rsid w:val="009D2C19"/>
    <w:rsid w:val="009D316B"/>
    <w:rsid w:val="009D3350"/>
    <w:rsid w:val="009D3412"/>
    <w:rsid w:val="009D3A8D"/>
    <w:rsid w:val="009D3B84"/>
    <w:rsid w:val="009D3C33"/>
    <w:rsid w:val="009D3CE6"/>
    <w:rsid w:val="009D3F41"/>
    <w:rsid w:val="009D403B"/>
    <w:rsid w:val="009D459C"/>
    <w:rsid w:val="009D470F"/>
    <w:rsid w:val="009D4A13"/>
    <w:rsid w:val="009D4BC6"/>
    <w:rsid w:val="009D4CB8"/>
    <w:rsid w:val="009D4DB0"/>
    <w:rsid w:val="009D5015"/>
    <w:rsid w:val="009D53F1"/>
    <w:rsid w:val="009D5717"/>
    <w:rsid w:val="009D5827"/>
    <w:rsid w:val="009D5CDC"/>
    <w:rsid w:val="009D5D06"/>
    <w:rsid w:val="009D5D22"/>
    <w:rsid w:val="009D5F7E"/>
    <w:rsid w:val="009D600D"/>
    <w:rsid w:val="009D6740"/>
    <w:rsid w:val="009D69B3"/>
    <w:rsid w:val="009D6CAE"/>
    <w:rsid w:val="009D6CF1"/>
    <w:rsid w:val="009D6CFB"/>
    <w:rsid w:val="009D6F9D"/>
    <w:rsid w:val="009D7188"/>
    <w:rsid w:val="009D73A2"/>
    <w:rsid w:val="009D74E9"/>
    <w:rsid w:val="009D75B6"/>
    <w:rsid w:val="009D75D6"/>
    <w:rsid w:val="009D76DC"/>
    <w:rsid w:val="009D7708"/>
    <w:rsid w:val="009D7DD8"/>
    <w:rsid w:val="009D7EB1"/>
    <w:rsid w:val="009D7EF0"/>
    <w:rsid w:val="009E0166"/>
    <w:rsid w:val="009E027C"/>
    <w:rsid w:val="009E064C"/>
    <w:rsid w:val="009E06B6"/>
    <w:rsid w:val="009E0759"/>
    <w:rsid w:val="009E07FC"/>
    <w:rsid w:val="009E08D7"/>
    <w:rsid w:val="009E0BBC"/>
    <w:rsid w:val="009E0D71"/>
    <w:rsid w:val="009E0DDB"/>
    <w:rsid w:val="009E1097"/>
    <w:rsid w:val="009E1130"/>
    <w:rsid w:val="009E11CA"/>
    <w:rsid w:val="009E12DF"/>
    <w:rsid w:val="009E143A"/>
    <w:rsid w:val="009E154F"/>
    <w:rsid w:val="009E1AC7"/>
    <w:rsid w:val="009E1ACA"/>
    <w:rsid w:val="009E1B56"/>
    <w:rsid w:val="009E1DFD"/>
    <w:rsid w:val="009E1E0B"/>
    <w:rsid w:val="009E1E2C"/>
    <w:rsid w:val="009E2533"/>
    <w:rsid w:val="009E25AA"/>
    <w:rsid w:val="009E267A"/>
    <w:rsid w:val="009E2709"/>
    <w:rsid w:val="009E271E"/>
    <w:rsid w:val="009E28FB"/>
    <w:rsid w:val="009E2928"/>
    <w:rsid w:val="009E302B"/>
    <w:rsid w:val="009E3533"/>
    <w:rsid w:val="009E398D"/>
    <w:rsid w:val="009E39AA"/>
    <w:rsid w:val="009E3AFA"/>
    <w:rsid w:val="009E4A6A"/>
    <w:rsid w:val="009E505E"/>
    <w:rsid w:val="009E51F0"/>
    <w:rsid w:val="009E53B0"/>
    <w:rsid w:val="009E5427"/>
    <w:rsid w:val="009E55B5"/>
    <w:rsid w:val="009E5615"/>
    <w:rsid w:val="009E568E"/>
    <w:rsid w:val="009E56FE"/>
    <w:rsid w:val="009E573F"/>
    <w:rsid w:val="009E5C9C"/>
    <w:rsid w:val="009E5DAC"/>
    <w:rsid w:val="009E5E80"/>
    <w:rsid w:val="009E5E96"/>
    <w:rsid w:val="009E5EDD"/>
    <w:rsid w:val="009E5FEB"/>
    <w:rsid w:val="009E6181"/>
    <w:rsid w:val="009E6204"/>
    <w:rsid w:val="009E634C"/>
    <w:rsid w:val="009E63CD"/>
    <w:rsid w:val="009E6783"/>
    <w:rsid w:val="009E688E"/>
    <w:rsid w:val="009E69D7"/>
    <w:rsid w:val="009E6A7A"/>
    <w:rsid w:val="009E6A9C"/>
    <w:rsid w:val="009E6B2A"/>
    <w:rsid w:val="009E6C6E"/>
    <w:rsid w:val="009E6F1A"/>
    <w:rsid w:val="009E7A72"/>
    <w:rsid w:val="009E7EC0"/>
    <w:rsid w:val="009F0011"/>
    <w:rsid w:val="009F062E"/>
    <w:rsid w:val="009F066D"/>
    <w:rsid w:val="009F06A9"/>
    <w:rsid w:val="009F0D6F"/>
    <w:rsid w:val="009F0FFD"/>
    <w:rsid w:val="009F1428"/>
    <w:rsid w:val="009F152C"/>
    <w:rsid w:val="009F178C"/>
    <w:rsid w:val="009F19FC"/>
    <w:rsid w:val="009F1AAB"/>
    <w:rsid w:val="009F1B6E"/>
    <w:rsid w:val="009F1E22"/>
    <w:rsid w:val="009F2076"/>
    <w:rsid w:val="009F2295"/>
    <w:rsid w:val="009F2467"/>
    <w:rsid w:val="009F297A"/>
    <w:rsid w:val="009F2B85"/>
    <w:rsid w:val="009F302A"/>
    <w:rsid w:val="009F3032"/>
    <w:rsid w:val="009F31A7"/>
    <w:rsid w:val="009F33DC"/>
    <w:rsid w:val="009F38C4"/>
    <w:rsid w:val="009F3920"/>
    <w:rsid w:val="009F3948"/>
    <w:rsid w:val="009F3A1F"/>
    <w:rsid w:val="009F3F7A"/>
    <w:rsid w:val="009F3FE7"/>
    <w:rsid w:val="009F4049"/>
    <w:rsid w:val="009F423F"/>
    <w:rsid w:val="009F4244"/>
    <w:rsid w:val="009F4260"/>
    <w:rsid w:val="009F4304"/>
    <w:rsid w:val="009F44B2"/>
    <w:rsid w:val="009F494F"/>
    <w:rsid w:val="009F4A1C"/>
    <w:rsid w:val="009F4ED4"/>
    <w:rsid w:val="009F4F96"/>
    <w:rsid w:val="009F503C"/>
    <w:rsid w:val="009F50B1"/>
    <w:rsid w:val="009F5151"/>
    <w:rsid w:val="009F515D"/>
    <w:rsid w:val="009F51C0"/>
    <w:rsid w:val="009F5335"/>
    <w:rsid w:val="009F5469"/>
    <w:rsid w:val="009F54C4"/>
    <w:rsid w:val="009F587E"/>
    <w:rsid w:val="009F58AE"/>
    <w:rsid w:val="009F60B3"/>
    <w:rsid w:val="009F6157"/>
    <w:rsid w:val="009F62E7"/>
    <w:rsid w:val="009F64EB"/>
    <w:rsid w:val="009F6691"/>
    <w:rsid w:val="009F6825"/>
    <w:rsid w:val="009F6847"/>
    <w:rsid w:val="009F6B7C"/>
    <w:rsid w:val="009F6DF8"/>
    <w:rsid w:val="009F6E76"/>
    <w:rsid w:val="009F7088"/>
    <w:rsid w:val="009F727D"/>
    <w:rsid w:val="009F736A"/>
    <w:rsid w:val="009F761D"/>
    <w:rsid w:val="009F7866"/>
    <w:rsid w:val="009F7902"/>
    <w:rsid w:val="00A00029"/>
    <w:rsid w:val="00A000E8"/>
    <w:rsid w:val="00A00524"/>
    <w:rsid w:val="00A00581"/>
    <w:rsid w:val="00A0083F"/>
    <w:rsid w:val="00A008A5"/>
    <w:rsid w:val="00A0092F"/>
    <w:rsid w:val="00A00AFF"/>
    <w:rsid w:val="00A00E80"/>
    <w:rsid w:val="00A00E99"/>
    <w:rsid w:val="00A00F3E"/>
    <w:rsid w:val="00A01053"/>
    <w:rsid w:val="00A011A7"/>
    <w:rsid w:val="00A011E9"/>
    <w:rsid w:val="00A011FF"/>
    <w:rsid w:val="00A014CA"/>
    <w:rsid w:val="00A01659"/>
    <w:rsid w:val="00A01677"/>
    <w:rsid w:val="00A01809"/>
    <w:rsid w:val="00A01964"/>
    <w:rsid w:val="00A01AA4"/>
    <w:rsid w:val="00A01AD0"/>
    <w:rsid w:val="00A01B59"/>
    <w:rsid w:val="00A01C10"/>
    <w:rsid w:val="00A01DC9"/>
    <w:rsid w:val="00A01E33"/>
    <w:rsid w:val="00A02405"/>
    <w:rsid w:val="00A024C9"/>
    <w:rsid w:val="00A02805"/>
    <w:rsid w:val="00A02874"/>
    <w:rsid w:val="00A02B56"/>
    <w:rsid w:val="00A02C0C"/>
    <w:rsid w:val="00A02EE1"/>
    <w:rsid w:val="00A02F96"/>
    <w:rsid w:val="00A035AA"/>
    <w:rsid w:val="00A03D06"/>
    <w:rsid w:val="00A042A2"/>
    <w:rsid w:val="00A0438C"/>
    <w:rsid w:val="00A04A3E"/>
    <w:rsid w:val="00A04C50"/>
    <w:rsid w:val="00A04CFA"/>
    <w:rsid w:val="00A05026"/>
    <w:rsid w:val="00A0511E"/>
    <w:rsid w:val="00A052ED"/>
    <w:rsid w:val="00A05371"/>
    <w:rsid w:val="00A054C9"/>
    <w:rsid w:val="00A05AC6"/>
    <w:rsid w:val="00A060B4"/>
    <w:rsid w:val="00A060EB"/>
    <w:rsid w:val="00A0636B"/>
    <w:rsid w:val="00A06CF7"/>
    <w:rsid w:val="00A06D47"/>
    <w:rsid w:val="00A06D88"/>
    <w:rsid w:val="00A06E6F"/>
    <w:rsid w:val="00A070DD"/>
    <w:rsid w:val="00A07365"/>
    <w:rsid w:val="00A07514"/>
    <w:rsid w:val="00A07558"/>
    <w:rsid w:val="00A0789A"/>
    <w:rsid w:val="00A078AB"/>
    <w:rsid w:val="00A102D1"/>
    <w:rsid w:val="00A1031F"/>
    <w:rsid w:val="00A108F7"/>
    <w:rsid w:val="00A10914"/>
    <w:rsid w:val="00A10A9E"/>
    <w:rsid w:val="00A10CD3"/>
    <w:rsid w:val="00A10D24"/>
    <w:rsid w:val="00A10F73"/>
    <w:rsid w:val="00A113F3"/>
    <w:rsid w:val="00A115BF"/>
    <w:rsid w:val="00A11863"/>
    <w:rsid w:val="00A118FA"/>
    <w:rsid w:val="00A11A14"/>
    <w:rsid w:val="00A11A26"/>
    <w:rsid w:val="00A11A61"/>
    <w:rsid w:val="00A11AD2"/>
    <w:rsid w:val="00A11B95"/>
    <w:rsid w:val="00A11C1E"/>
    <w:rsid w:val="00A11E32"/>
    <w:rsid w:val="00A11F12"/>
    <w:rsid w:val="00A11FD6"/>
    <w:rsid w:val="00A12425"/>
    <w:rsid w:val="00A12641"/>
    <w:rsid w:val="00A126A9"/>
    <w:rsid w:val="00A1279B"/>
    <w:rsid w:val="00A12815"/>
    <w:rsid w:val="00A128F8"/>
    <w:rsid w:val="00A12AB9"/>
    <w:rsid w:val="00A12F49"/>
    <w:rsid w:val="00A12FA4"/>
    <w:rsid w:val="00A130CE"/>
    <w:rsid w:val="00A131A5"/>
    <w:rsid w:val="00A132A9"/>
    <w:rsid w:val="00A132EA"/>
    <w:rsid w:val="00A132F6"/>
    <w:rsid w:val="00A1361A"/>
    <w:rsid w:val="00A13CC8"/>
    <w:rsid w:val="00A14112"/>
    <w:rsid w:val="00A14113"/>
    <w:rsid w:val="00A14120"/>
    <w:rsid w:val="00A1416C"/>
    <w:rsid w:val="00A1424A"/>
    <w:rsid w:val="00A1427A"/>
    <w:rsid w:val="00A145E0"/>
    <w:rsid w:val="00A14693"/>
    <w:rsid w:val="00A14870"/>
    <w:rsid w:val="00A1488E"/>
    <w:rsid w:val="00A14906"/>
    <w:rsid w:val="00A1495D"/>
    <w:rsid w:val="00A149BE"/>
    <w:rsid w:val="00A14AB7"/>
    <w:rsid w:val="00A14CFA"/>
    <w:rsid w:val="00A14D1C"/>
    <w:rsid w:val="00A14DF4"/>
    <w:rsid w:val="00A14FC0"/>
    <w:rsid w:val="00A14FF6"/>
    <w:rsid w:val="00A15341"/>
    <w:rsid w:val="00A155F1"/>
    <w:rsid w:val="00A15748"/>
    <w:rsid w:val="00A15789"/>
    <w:rsid w:val="00A158D0"/>
    <w:rsid w:val="00A15A0C"/>
    <w:rsid w:val="00A15BD6"/>
    <w:rsid w:val="00A15D2E"/>
    <w:rsid w:val="00A15D94"/>
    <w:rsid w:val="00A15E30"/>
    <w:rsid w:val="00A15F56"/>
    <w:rsid w:val="00A15FD3"/>
    <w:rsid w:val="00A16AFB"/>
    <w:rsid w:val="00A16B6B"/>
    <w:rsid w:val="00A16BD2"/>
    <w:rsid w:val="00A170A8"/>
    <w:rsid w:val="00A17670"/>
    <w:rsid w:val="00A17926"/>
    <w:rsid w:val="00A17D36"/>
    <w:rsid w:val="00A17D8D"/>
    <w:rsid w:val="00A17D96"/>
    <w:rsid w:val="00A17EB7"/>
    <w:rsid w:val="00A17FEF"/>
    <w:rsid w:val="00A20035"/>
    <w:rsid w:val="00A2035D"/>
    <w:rsid w:val="00A203F0"/>
    <w:rsid w:val="00A20477"/>
    <w:rsid w:val="00A2059D"/>
    <w:rsid w:val="00A206E4"/>
    <w:rsid w:val="00A20702"/>
    <w:rsid w:val="00A20703"/>
    <w:rsid w:val="00A2080F"/>
    <w:rsid w:val="00A20A0B"/>
    <w:rsid w:val="00A20A0C"/>
    <w:rsid w:val="00A20A26"/>
    <w:rsid w:val="00A20AC2"/>
    <w:rsid w:val="00A21031"/>
    <w:rsid w:val="00A212E5"/>
    <w:rsid w:val="00A21376"/>
    <w:rsid w:val="00A2150A"/>
    <w:rsid w:val="00A2180C"/>
    <w:rsid w:val="00A21940"/>
    <w:rsid w:val="00A219A3"/>
    <w:rsid w:val="00A21B27"/>
    <w:rsid w:val="00A21CAE"/>
    <w:rsid w:val="00A21E42"/>
    <w:rsid w:val="00A21E7F"/>
    <w:rsid w:val="00A2236B"/>
    <w:rsid w:val="00A22866"/>
    <w:rsid w:val="00A22DDE"/>
    <w:rsid w:val="00A23076"/>
    <w:rsid w:val="00A238DC"/>
    <w:rsid w:val="00A239B8"/>
    <w:rsid w:val="00A23CA3"/>
    <w:rsid w:val="00A23D26"/>
    <w:rsid w:val="00A23E58"/>
    <w:rsid w:val="00A23E66"/>
    <w:rsid w:val="00A2429F"/>
    <w:rsid w:val="00A2433D"/>
    <w:rsid w:val="00A2433E"/>
    <w:rsid w:val="00A24445"/>
    <w:rsid w:val="00A24549"/>
    <w:rsid w:val="00A2467C"/>
    <w:rsid w:val="00A24820"/>
    <w:rsid w:val="00A2491F"/>
    <w:rsid w:val="00A24C6C"/>
    <w:rsid w:val="00A24E28"/>
    <w:rsid w:val="00A24F20"/>
    <w:rsid w:val="00A24FE5"/>
    <w:rsid w:val="00A25135"/>
    <w:rsid w:val="00A25204"/>
    <w:rsid w:val="00A25242"/>
    <w:rsid w:val="00A252ED"/>
    <w:rsid w:val="00A256F5"/>
    <w:rsid w:val="00A2590B"/>
    <w:rsid w:val="00A25C40"/>
    <w:rsid w:val="00A25DAE"/>
    <w:rsid w:val="00A25F76"/>
    <w:rsid w:val="00A25FE5"/>
    <w:rsid w:val="00A2612C"/>
    <w:rsid w:val="00A2628B"/>
    <w:rsid w:val="00A2656A"/>
    <w:rsid w:val="00A26617"/>
    <w:rsid w:val="00A266AD"/>
    <w:rsid w:val="00A26739"/>
    <w:rsid w:val="00A267BC"/>
    <w:rsid w:val="00A268AF"/>
    <w:rsid w:val="00A269EB"/>
    <w:rsid w:val="00A26B67"/>
    <w:rsid w:val="00A26C30"/>
    <w:rsid w:val="00A26D05"/>
    <w:rsid w:val="00A270AB"/>
    <w:rsid w:val="00A2723B"/>
    <w:rsid w:val="00A273B8"/>
    <w:rsid w:val="00A278A8"/>
    <w:rsid w:val="00A27C55"/>
    <w:rsid w:val="00A27D07"/>
    <w:rsid w:val="00A27E3F"/>
    <w:rsid w:val="00A27EE4"/>
    <w:rsid w:val="00A300BA"/>
    <w:rsid w:val="00A30141"/>
    <w:rsid w:val="00A30292"/>
    <w:rsid w:val="00A302D6"/>
    <w:rsid w:val="00A303FC"/>
    <w:rsid w:val="00A30493"/>
    <w:rsid w:val="00A305DD"/>
    <w:rsid w:val="00A30B0B"/>
    <w:rsid w:val="00A30C76"/>
    <w:rsid w:val="00A30CDF"/>
    <w:rsid w:val="00A30DB6"/>
    <w:rsid w:val="00A31059"/>
    <w:rsid w:val="00A31572"/>
    <w:rsid w:val="00A317A5"/>
    <w:rsid w:val="00A3190D"/>
    <w:rsid w:val="00A319E6"/>
    <w:rsid w:val="00A31B12"/>
    <w:rsid w:val="00A31BBD"/>
    <w:rsid w:val="00A31C94"/>
    <w:rsid w:val="00A31CB4"/>
    <w:rsid w:val="00A31D41"/>
    <w:rsid w:val="00A3208A"/>
    <w:rsid w:val="00A3231E"/>
    <w:rsid w:val="00A325BC"/>
    <w:rsid w:val="00A3267E"/>
    <w:rsid w:val="00A3268D"/>
    <w:rsid w:val="00A3288C"/>
    <w:rsid w:val="00A3291E"/>
    <w:rsid w:val="00A32A41"/>
    <w:rsid w:val="00A32E3A"/>
    <w:rsid w:val="00A32EEF"/>
    <w:rsid w:val="00A334A2"/>
    <w:rsid w:val="00A3368C"/>
    <w:rsid w:val="00A33866"/>
    <w:rsid w:val="00A339E7"/>
    <w:rsid w:val="00A340AA"/>
    <w:rsid w:val="00A341B5"/>
    <w:rsid w:val="00A343EF"/>
    <w:rsid w:val="00A3445C"/>
    <w:rsid w:val="00A3463A"/>
    <w:rsid w:val="00A347D1"/>
    <w:rsid w:val="00A34A2A"/>
    <w:rsid w:val="00A34A69"/>
    <w:rsid w:val="00A34B79"/>
    <w:rsid w:val="00A34F3B"/>
    <w:rsid w:val="00A34FE4"/>
    <w:rsid w:val="00A353E5"/>
    <w:rsid w:val="00A35417"/>
    <w:rsid w:val="00A35486"/>
    <w:rsid w:val="00A35697"/>
    <w:rsid w:val="00A358FF"/>
    <w:rsid w:val="00A35B60"/>
    <w:rsid w:val="00A35B78"/>
    <w:rsid w:val="00A35FA3"/>
    <w:rsid w:val="00A36280"/>
    <w:rsid w:val="00A36296"/>
    <w:rsid w:val="00A3642D"/>
    <w:rsid w:val="00A364E1"/>
    <w:rsid w:val="00A36633"/>
    <w:rsid w:val="00A3698C"/>
    <w:rsid w:val="00A369BB"/>
    <w:rsid w:val="00A36CFA"/>
    <w:rsid w:val="00A36D4D"/>
    <w:rsid w:val="00A36E5C"/>
    <w:rsid w:val="00A373C2"/>
    <w:rsid w:val="00A3758E"/>
    <w:rsid w:val="00A375F3"/>
    <w:rsid w:val="00A37608"/>
    <w:rsid w:val="00A37636"/>
    <w:rsid w:val="00A37707"/>
    <w:rsid w:val="00A37A89"/>
    <w:rsid w:val="00A37E45"/>
    <w:rsid w:val="00A40110"/>
    <w:rsid w:val="00A40405"/>
    <w:rsid w:val="00A40430"/>
    <w:rsid w:val="00A404E3"/>
    <w:rsid w:val="00A40558"/>
    <w:rsid w:val="00A40AB2"/>
    <w:rsid w:val="00A40AED"/>
    <w:rsid w:val="00A40B5C"/>
    <w:rsid w:val="00A40BE8"/>
    <w:rsid w:val="00A40C65"/>
    <w:rsid w:val="00A40DFC"/>
    <w:rsid w:val="00A41273"/>
    <w:rsid w:val="00A415E6"/>
    <w:rsid w:val="00A41676"/>
    <w:rsid w:val="00A4189F"/>
    <w:rsid w:val="00A41AB4"/>
    <w:rsid w:val="00A41D6D"/>
    <w:rsid w:val="00A41EFA"/>
    <w:rsid w:val="00A4243C"/>
    <w:rsid w:val="00A42485"/>
    <w:rsid w:val="00A42623"/>
    <w:rsid w:val="00A4285A"/>
    <w:rsid w:val="00A429E7"/>
    <w:rsid w:val="00A42A55"/>
    <w:rsid w:val="00A42F86"/>
    <w:rsid w:val="00A430CA"/>
    <w:rsid w:val="00A430F4"/>
    <w:rsid w:val="00A431DF"/>
    <w:rsid w:val="00A43234"/>
    <w:rsid w:val="00A435CC"/>
    <w:rsid w:val="00A4374F"/>
    <w:rsid w:val="00A43848"/>
    <w:rsid w:val="00A4389E"/>
    <w:rsid w:val="00A43AF2"/>
    <w:rsid w:val="00A43C50"/>
    <w:rsid w:val="00A43C6F"/>
    <w:rsid w:val="00A43D46"/>
    <w:rsid w:val="00A43ED8"/>
    <w:rsid w:val="00A44370"/>
    <w:rsid w:val="00A443B8"/>
    <w:rsid w:val="00A44732"/>
    <w:rsid w:val="00A44789"/>
    <w:rsid w:val="00A44897"/>
    <w:rsid w:val="00A449CD"/>
    <w:rsid w:val="00A44B68"/>
    <w:rsid w:val="00A452EA"/>
    <w:rsid w:val="00A453E8"/>
    <w:rsid w:val="00A45516"/>
    <w:rsid w:val="00A45549"/>
    <w:rsid w:val="00A45848"/>
    <w:rsid w:val="00A45B3C"/>
    <w:rsid w:val="00A45C14"/>
    <w:rsid w:val="00A45CA8"/>
    <w:rsid w:val="00A45CE0"/>
    <w:rsid w:val="00A46144"/>
    <w:rsid w:val="00A4616A"/>
    <w:rsid w:val="00A46623"/>
    <w:rsid w:val="00A46754"/>
    <w:rsid w:val="00A46E9B"/>
    <w:rsid w:val="00A46EDD"/>
    <w:rsid w:val="00A47495"/>
    <w:rsid w:val="00A474D3"/>
    <w:rsid w:val="00A47686"/>
    <w:rsid w:val="00A476AE"/>
    <w:rsid w:val="00A47A11"/>
    <w:rsid w:val="00A47B20"/>
    <w:rsid w:val="00A47B50"/>
    <w:rsid w:val="00A5018B"/>
    <w:rsid w:val="00A50442"/>
    <w:rsid w:val="00A5083B"/>
    <w:rsid w:val="00A50851"/>
    <w:rsid w:val="00A50B6E"/>
    <w:rsid w:val="00A50BEE"/>
    <w:rsid w:val="00A50C46"/>
    <w:rsid w:val="00A50F5C"/>
    <w:rsid w:val="00A50FC2"/>
    <w:rsid w:val="00A514E9"/>
    <w:rsid w:val="00A5162C"/>
    <w:rsid w:val="00A51DA9"/>
    <w:rsid w:val="00A521D5"/>
    <w:rsid w:val="00A5270C"/>
    <w:rsid w:val="00A5270F"/>
    <w:rsid w:val="00A528B6"/>
    <w:rsid w:val="00A528F3"/>
    <w:rsid w:val="00A52972"/>
    <w:rsid w:val="00A52B47"/>
    <w:rsid w:val="00A52C60"/>
    <w:rsid w:val="00A52C70"/>
    <w:rsid w:val="00A52EEF"/>
    <w:rsid w:val="00A52F72"/>
    <w:rsid w:val="00A53061"/>
    <w:rsid w:val="00A530F1"/>
    <w:rsid w:val="00A530FD"/>
    <w:rsid w:val="00A53276"/>
    <w:rsid w:val="00A5356F"/>
    <w:rsid w:val="00A53B53"/>
    <w:rsid w:val="00A53D3C"/>
    <w:rsid w:val="00A54038"/>
    <w:rsid w:val="00A542F5"/>
    <w:rsid w:val="00A54414"/>
    <w:rsid w:val="00A5443B"/>
    <w:rsid w:val="00A545D5"/>
    <w:rsid w:val="00A546C5"/>
    <w:rsid w:val="00A54B2F"/>
    <w:rsid w:val="00A54C74"/>
    <w:rsid w:val="00A54D26"/>
    <w:rsid w:val="00A54D4F"/>
    <w:rsid w:val="00A54E86"/>
    <w:rsid w:val="00A551E5"/>
    <w:rsid w:val="00A55260"/>
    <w:rsid w:val="00A555C5"/>
    <w:rsid w:val="00A55839"/>
    <w:rsid w:val="00A55B14"/>
    <w:rsid w:val="00A55DD1"/>
    <w:rsid w:val="00A55F56"/>
    <w:rsid w:val="00A55FEF"/>
    <w:rsid w:val="00A56309"/>
    <w:rsid w:val="00A5662D"/>
    <w:rsid w:val="00A566A4"/>
    <w:rsid w:val="00A56A6B"/>
    <w:rsid w:val="00A56CDE"/>
    <w:rsid w:val="00A56DB5"/>
    <w:rsid w:val="00A57032"/>
    <w:rsid w:val="00A57352"/>
    <w:rsid w:val="00A57481"/>
    <w:rsid w:val="00A574EC"/>
    <w:rsid w:val="00A577F4"/>
    <w:rsid w:val="00A57873"/>
    <w:rsid w:val="00A579B9"/>
    <w:rsid w:val="00A57D07"/>
    <w:rsid w:val="00A57EA7"/>
    <w:rsid w:val="00A57F60"/>
    <w:rsid w:val="00A57FF2"/>
    <w:rsid w:val="00A6002A"/>
    <w:rsid w:val="00A6005D"/>
    <w:rsid w:val="00A602E2"/>
    <w:rsid w:val="00A603E3"/>
    <w:rsid w:val="00A604CB"/>
    <w:rsid w:val="00A606DD"/>
    <w:rsid w:val="00A60707"/>
    <w:rsid w:val="00A608BC"/>
    <w:rsid w:val="00A608F4"/>
    <w:rsid w:val="00A60920"/>
    <w:rsid w:val="00A60AB1"/>
    <w:rsid w:val="00A60ACC"/>
    <w:rsid w:val="00A60D21"/>
    <w:rsid w:val="00A60FAF"/>
    <w:rsid w:val="00A610FF"/>
    <w:rsid w:val="00A6134C"/>
    <w:rsid w:val="00A61ACE"/>
    <w:rsid w:val="00A61D2A"/>
    <w:rsid w:val="00A61E85"/>
    <w:rsid w:val="00A6211A"/>
    <w:rsid w:val="00A621A1"/>
    <w:rsid w:val="00A6223A"/>
    <w:rsid w:val="00A623EF"/>
    <w:rsid w:val="00A62684"/>
    <w:rsid w:val="00A62695"/>
    <w:rsid w:val="00A627CD"/>
    <w:rsid w:val="00A6281D"/>
    <w:rsid w:val="00A628D9"/>
    <w:rsid w:val="00A62ACB"/>
    <w:rsid w:val="00A633A4"/>
    <w:rsid w:val="00A6374D"/>
    <w:rsid w:val="00A637DE"/>
    <w:rsid w:val="00A638C5"/>
    <w:rsid w:val="00A638FA"/>
    <w:rsid w:val="00A63900"/>
    <w:rsid w:val="00A63A44"/>
    <w:rsid w:val="00A63CEF"/>
    <w:rsid w:val="00A63F08"/>
    <w:rsid w:val="00A64055"/>
    <w:rsid w:val="00A64171"/>
    <w:rsid w:val="00A6455B"/>
    <w:rsid w:val="00A64582"/>
    <w:rsid w:val="00A64805"/>
    <w:rsid w:val="00A648EF"/>
    <w:rsid w:val="00A64924"/>
    <w:rsid w:val="00A6493F"/>
    <w:rsid w:val="00A6499E"/>
    <w:rsid w:val="00A64A40"/>
    <w:rsid w:val="00A64CA7"/>
    <w:rsid w:val="00A64DC9"/>
    <w:rsid w:val="00A65026"/>
    <w:rsid w:val="00A65065"/>
    <w:rsid w:val="00A6508E"/>
    <w:rsid w:val="00A651C2"/>
    <w:rsid w:val="00A65237"/>
    <w:rsid w:val="00A65329"/>
    <w:rsid w:val="00A6550C"/>
    <w:rsid w:val="00A6590E"/>
    <w:rsid w:val="00A65CCC"/>
    <w:rsid w:val="00A660E4"/>
    <w:rsid w:val="00A66596"/>
    <w:rsid w:val="00A666C2"/>
    <w:rsid w:val="00A666FC"/>
    <w:rsid w:val="00A66B88"/>
    <w:rsid w:val="00A66CB2"/>
    <w:rsid w:val="00A66DDD"/>
    <w:rsid w:val="00A67120"/>
    <w:rsid w:val="00A6739E"/>
    <w:rsid w:val="00A676A8"/>
    <w:rsid w:val="00A67883"/>
    <w:rsid w:val="00A67886"/>
    <w:rsid w:val="00A678A4"/>
    <w:rsid w:val="00A6790D"/>
    <w:rsid w:val="00A67C35"/>
    <w:rsid w:val="00A70367"/>
    <w:rsid w:val="00A7040A"/>
    <w:rsid w:val="00A704FC"/>
    <w:rsid w:val="00A70505"/>
    <w:rsid w:val="00A70812"/>
    <w:rsid w:val="00A7096A"/>
    <w:rsid w:val="00A709A7"/>
    <w:rsid w:val="00A709FA"/>
    <w:rsid w:val="00A70CD7"/>
    <w:rsid w:val="00A71159"/>
    <w:rsid w:val="00A71190"/>
    <w:rsid w:val="00A711B4"/>
    <w:rsid w:val="00A712E1"/>
    <w:rsid w:val="00A7132A"/>
    <w:rsid w:val="00A71903"/>
    <w:rsid w:val="00A7199F"/>
    <w:rsid w:val="00A71A1F"/>
    <w:rsid w:val="00A71C5E"/>
    <w:rsid w:val="00A71C7A"/>
    <w:rsid w:val="00A71D29"/>
    <w:rsid w:val="00A71E77"/>
    <w:rsid w:val="00A71ECA"/>
    <w:rsid w:val="00A71F32"/>
    <w:rsid w:val="00A72194"/>
    <w:rsid w:val="00A72306"/>
    <w:rsid w:val="00A725D9"/>
    <w:rsid w:val="00A72707"/>
    <w:rsid w:val="00A72774"/>
    <w:rsid w:val="00A729D0"/>
    <w:rsid w:val="00A72B08"/>
    <w:rsid w:val="00A72E25"/>
    <w:rsid w:val="00A731B0"/>
    <w:rsid w:val="00A734A2"/>
    <w:rsid w:val="00A736EA"/>
    <w:rsid w:val="00A739BB"/>
    <w:rsid w:val="00A73CF3"/>
    <w:rsid w:val="00A73D67"/>
    <w:rsid w:val="00A73E81"/>
    <w:rsid w:val="00A73F47"/>
    <w:rsid w:val="00A7409A"/>
    <w:rsid w:val="00A740D0"/>
    <w:rsid w:val="00A7414D"/>
    <w:rsid w:val="00A74165"/>
    <w:rsid w:val="00A744AA"/>
    <w:rsid w:val="00A7452B"/>
    <w:rsid w:val="00A74567"/>
    <w:rsid w:val="00A746CD"/>
    <w:rsid w:val="00A746E1"/>
    <w:rsid w:val="00A755A4"/>
    <w:rsid w:val="00A7563F"/>
    <w:rsid w:val="00A757BF"/>
    <w:rsid w:val="00A7581D"/>
    <w:rsid w:val="00A75A91"/>
    <w:rsid w:val="00A75AC9"/>
    <w:rsid w:val="00A75B1C"/>
    <w:rsid w:val="00A75C5A"/>
    <w:rsid w:val="00A75E2B"/>
    <w:rsid w:val="00A75EEF"/>
    <w:rsid w:val="00A76016"/>
    <w:rsid w:val="00A76147"/>
    <w:rsid w:val="00A76517"/>
    <w:rsid w:val="00A7663F"/>
    <w:rsid w:val="00A7683C"/>
    <w:rsid w:val="00A76A18"/>
    <w:rsid w:val="00A76A95"/>
    <w:rsid w:val="00A76C12"/>
    <w:rsid w:val="00A76C51"/>
    <w:rsid w:val="00A77035"/>
    <w:rsid w:val="00A77136"/>
    <w:rsid w:val="00A77267"/>
    <w:rsid w:val="00A773C6"/>
    <w:rsid w:val="00A775FD"/>
    <w:rsid w:val="00A77784"/>
    <w:rsid w:val="00A77807"/>
    <w:rsid w:val="00A77993"/>
    <w:rsid w:val="00A80272"/>
    <w:rsid w:val="00A804D4"/>
    <w:rsid w:val="00A805DE"/>
    <w:rsid w:val="00A80976"/>
    <w:rsid w:val="00A809FD"/>
    <w:rsid w:val="00A80D5E"/>
    <w:rsid w:val="00A80D6F"/>
    <w:rsid w:val="00A81355"/>
    <w:rsid w:val="00A8147F"/>
    <w:rsid w:val="00A81590"/>
    <w:rsid w:val="00A81693"/>
    <w:rsid w:val="00A81825"/>
    <w:rsid w:val="00A819B1"/>
    <w:rsid w:val="00A81C5F"/>
    <w:rsid w:val="00A81CA7"/>
    <w:rsid w:val="00A81D0F"/>
    <w:rsid w:val="00A81D8F"/>
    <w:rsid w:val="00A821D9"/>
    <w:rsid w:val="00A822DB"/>
    <w:rsid w:val="00A8269C"/>
    <w:rsid w:val="00A82719"/>
    <w:rsid w:val="00A8277E"/>
    <w:rsid w:val="00A827BD"/>
    <w:rsid w:val="00A82A0F"/>
    <w:rsid w:val="00A82AB3"/>
    <w:rsid w:val="00A82B11"/>
    <w:rsid w:val="00A82B43"/>
    <w:rsid w:val="00A82B66"/>
    <w:rsid w:val="00A82C21"/>
    <w:rsid w:val="00A82E19"/>
    <w:rsid w:val="00A82F1D"/>
    <w:rsid w:val="00A8303C"/>
    <w:rsid w:val="00A83679"/>
    <w:rsid w:val="00A83CF5"/>
    <w:rsid w:val="00A83EC4"/>
    <w:rsid w:val="00A83F88"/>
    <w:rsid w:val="00A83FA8"/>
    <w:rsid w:val="00A84195"/>
    <w:rsid w:val="00A8434F"/>
    <w:rsid w:val="00A844EF"/>
    <w:rsid w:val="00A84596"/>
    <w:rsid w:val="00A84BC7"/>
    <w:rsid w:val="00A84EC1"/>
    <w:rsid w:val="00A84FFD"/>
    <w:rsid w:val="00A850F9"/>
    <w:rsid w:val="00A85172"/>
    <w:rsid w:val="00A8528E"/>
    <w:rsid w:val="00A852C6"/>
    <w:rsid w:val="00A85325"/>
    <w:rsid w:val="00A85384"/>
    <w:rsid w:val="00A855B7"/>
    <w:rsid w:val="00A858A9"/>
    <w:rsid w:val="00A85A79"/>
    <w:rsid w:val="00A85B24"/>
    <w:rsid w:val="00A85D22"/>
    <w:rsid w:val="00A85DB8"/>
    <w:rsid w:val="00A85DDA"/>
    <w:rsid w:val="00A85E33"/>
    <w:rsid w:val="00A860B6"/>
    <w:rsid w:val="00A86101"/>
    <w:rsid w:val="00A8630B"/>
    <w:rsid w:val="00A866B8"/>
    <w:rsid w:val="00A8680E"/>
    <w:rsid w:val="00A8689B"/>
    <w:rsid w:val="00A86D27"/>
    <w:rsid w:val="00A86E37"/>
    <w:rsid w:val="00A86E9D"/>
    <w:rsid w:val="00A87072"/>
    <w:rsid w:val="00A87211"/>
    <w:rsid w:val="00A873B0"/>
    <w:rsid w:val="00A87469"/>
    <w:rsid w:val="00A874FE"/>
    <w:rsid w:val="00A8778B"/>
    <w:rsid w:val="00A8779A"/>
    <w:rsid w:val="00A878E5"/>
    <w:rsid w:val="00A87AF8"/>
    <w:rsid w:val="00A87B7D"/>
    <w:rsid w:val="00A87D56"/>
    <w:rsid w:val="00A9014B"/>
    <w:rsid w:val="00A90794"/>
    <w:rsid w:val="00A90795"/>
    <w:rsid w:val="00A90DEA"/>
    <w:rsid w:val="00A90E6B"/>
    <w:rsid w:val="00A90E85"/>
    <w:rsid w:val="00A90FA1"/>
    <w:rsid w:val="00A90FA4"/>
    <w:rsid w:val="00A91174"/>
    <w:rsid w:val="00A9174A"/>
    <w:rsid w:val="00A91A1C"/>
    <w:rsid w:val="00A91ACD"/>
    <w:rsid w:val="00A91EDF"/>
    <w:rsid w:val="00A91FF9"/>
    <w:rsid w:val="00A92347"/>
    <w:rsid w:val="00A92407"/>
    <w:rsid w:val="00A9253B"/>
    <w:rsid w:val="00A925F3"/>
    <w:rsid w:val="00A92AFF"/>
    <w:rsid w:val="00A92BD1"/>
    <w:rsid w:val="00A92DAC"/>
    <w:rsid w:val="00A92DF9"/>
    <w:rsid w:val="00A92EF0"/>
    <w:rsid w:val="00A93101"/>
    <w:rsid w:val="00A931F2"/>
    <w:rsid w:val="00A932B8"/>
    <w:rsid w:val="00A9336E"/>
    <w:rsid w:val="00A9338F"/>
    <w:rsid w:val="00A935BD"/>
    <w:rsid w:val="00A937D7"/>
    <w:rsid w:val="00A93C9B"/>
    <w:rsid w:val="00A93D0E"/>
    <w:rsid w:val="00A93F0B"/>
    <w:rsid w:val="00A93F4F"/>
    <w:rsid w:val="00A940DF"/>
    <w:rsid w:val="00A9421F"/>
    <w:rsid w:val="00A94354"/>
    <w:rsid w:val="00A94843"/>
    <w:rsid w:val="00A94BD7"/>
    <w:rsid w:val="00A94DED"/>
    <w:rsid w:val="00A94EA5"/>
    <w:rsid w:val="00A94F39"/>
    <w:rsid w:val="00A950FC"/>
    <w:rsid w:val="00A95198"/>
    <w:rsid w:val="00A95399"/>
    <w:rsid w:val="00A95740"/>
    <w:rsid w:val="00A95962"/>
    <w:rsid w:val="00A95A4A"/>
    <w:rsid w:val="00A95C7A"/>
    <w:rsid w:val="00A95CA5"/>
    <w:rsid w:val="00A95E7D"/>
    <w:rsid w:val="00A95F57"/>
    <w:rsid w:val="00A961B5"/>
    <w:rsid w:val="00A96605"/>
    <w:rsid w:val="00A96A05"/>
    <w:rsid w:val="00A96BAE"/>
    <w:rsid w:val="00A96C2C"/>
    <w:rsid w:val="00A96E7E"/>
    <w:rsid w:val="00A96F1A"/>
    <w:rsid w:val="00A97116"/>
    <w:rsid w:val="00A9715D"/>
    <w:rsid w:val="00A971CA"/>
    <w:rsid w:val="00A974D5"/>
    <w:rsid w:val="00A97532"/>
    <w:rsid w:val="00A97536"/>
    <w:rsid w:val="00A97551"/>
    <w:rsid w:val="00A97581"/>
    <w:rsid w:val="00A9766F"/>
    <w:rsid w:val="00A9768F"/>
    <w:rsid w:val="00A977C6"/>
    <w:rsid w:val="00A97857"/>
    <w:rsid w:val="00A97E78"/>
    <w:rsid w:val="00A97FF2"/>
    <w:rsid w:val="00AA003E"/>
    <w:rsid w:val="00AA007C"/>
    <w:rsid w:val="00AA00EC"/>
    <w:rsid w:val="00AA03E9"/>
    <w:rsid w:val="00AA0746"/>
    <w:rsid w:val="00AA089A"/>
    <w:rsid w:val="00AA09A4"/>
    <w:rsid w:val="00AA0A27"/>
    <w:rsid w:val="00AA0AA9"/>
    <w:rsid w:val="00AA125A"/>
    <w:rsid w:val="00AA1285"/>
    <w:rsid w:val="00AA1692"/>
    <w:rsid w:val="00AA1718"/>
    <w:rsid w:val="00AA17CC"/>
    <w:rsid w:val="00AA1937"/>
    <w:rsid w:val="00AA1A34"/>
    <w:rsid w:val="00AA1AE8"/>
    <w:rsid w:val="00AA1C95"/>
    <w:rsid w:val="00AA2140"/>
    <w:rsid w:val="00AA2597"/>
    <w:rsid w:val="00AA25A4"/>
    <w:rsid w:val="00AA2836"/>
    <w:rsid w:val="00AA2A28"/>
    <w:rsid w:val="00AA2BE3"/>
    <w:rsid w:val="00AA30CD"/>
    <w:rsid w:val="00AA312C"/>
    <w:rsid w:val="00AA31DF"/>
    <w:rsid w:val="00AA3263"/>
    <w:rsid w:val="00AA3367"/>
    <w:rsid w:val="00AA36C0"/>
    <w:rsid w:val="00AA3863"/>
    <w:rsid w:val="00AA3896"/>
    <w:rsid w:val="00AA3909"/>
    <w:rsid w:val="00AA3C9A"/>
    <w:rsid w:val="00AA3E77"/>
    <w:rsid w:val="00AA3F07"/>
    <w:rsid w:val="00AA4003"/>
    <w:rsid w:val="00AA44DF"/>
    <w:rsid w:val="00AA47D6"/>
    <w:rsid w:val="00AA480C"/>
    <w:rsid w:val="00AA4D54"/>
    <w:rsid w:val="00AA4E39"/>
    <w:rsid w:val="00AA4E8D"/>
    <w:rsid w:val="00AA54CD"/>
    <w:rsid w:val="00AA5555"/>
    <w:rsid w:val="00AA5760"/>
    <w:rsid w:val="00AA5B08"/>
    <w:rsid w:val="00AA5C8A"/>
    <w:rsid w:val="00AA5CD0"/>
    <w:rsid w:val="00AA5EDA"/>
    <w:rsid w:val="00AA6193"/>
    <w:rsid w:val="00AA6619"/>
    <w:rsid w:val="00AA6802"/>
    <w:rsid w:val="00AA6883"/>
    <w:rsid w:val="00AA6A4A"/>
    <w:rsid w:val="00AA6BDE"/>
    <w:rsid w:val="00AA6F9F"/>
    <w:rsid w:val="00AA7001"/>
    <w:rsid w:val="00AA7011"/>
    <w:rsid w:val="00AA72DA"/>
    <w:rsid w:val="00AA78FA"/>
    <w:rsid w:val="00AA7944"/>
    <w:rsid w:val="00AA79B1"/>
    <w:rsid w:val="00AA7B1B"/>
    <w:rsid w:val="00AA7BC6"/>
    <w:rsid w:val="00AB01F4"/>
    <w:rsid w:val="00AB02E6"/>
    <w:rsid w:val="00AB05B1"/>
    <w:rsid w:val="00AB0645"/>
    <w:rsid w:val="00AB080A"/>
    <w:rsid w:val="00AB0869"/>
    <w:rsid w:val="00AB0990"/>
    <w:rsid w:val="00AB0A9D"/>
    <w:rsid w:val="00AB0B8A"/>
    <w:rsid w:val="00AB0B8D"/>
    <w:rsid w:val="00AB1678"/>
    <w:rsid w:val="00AB16D4"/>
    <w:rsid w:val="00AB17A8"/>
    <w:rsid w:val="00AB1967"/>
    <w:rsid w:val="00AB1BB4"/>
    <w:rsid w:val="00AB1FCB"/>
    <w:rsid w:val="00AB26B5"/>
    <w:rsid w:val="00AB2E6E"/>
    <w:rsid w:val="00AB2EC7"/>
    <w:rsid w:val="00AB2FA7"/>
    <w:rsid w:val="00AB303F"/>
    <w:rsid w:val="00AB3097"/>
    <w:rsid w:val="00AB3197"/>
    <w:rsid w:val="00AB31EB"/>
    <w:rsid w:val="00AB32D3"/>
    <w:rsid w:val="00AB338F"/>
    <w:rsid w:val="00AB348C"/>
    <w:rsid w:val="00AB34BD"/>
    <w:rsid w:val="00AB3566"/>
    <w:rsid w:val="00AB38F7"/>
    <w:rsid w:val="00AB3957"/>
    <w:rsid w:val="00AB3A06"/>
    <w:rsid w:val="00AB3AAE"/>
    <w:rsid w:val="00AB3B39"/>
    <w:rsid w:val="00AB3B93"/>
    <w:rsid w:val="00AB3D53"/>
    <w:rsid w:val="00AB3DD7"/>
    <w:rsid w:val="00AB3E6E"/>
    <w:rsid w:val="00AB4283"/>
    <w:rsid w:val="00AB462E"/>
    <w:rsid w:val="00AB4A81"/>
    <w:rsid w:val="00AB4B02"/>
    <w:rsid w:val="00AB4DB8"/>
    <w:rsid w:val="00AB4F5F"/>
    <w:rsid w:val="00AB514D"/>
    <w:rsid w:val="00AB5462"/>
    <w:rsid w:val="00AB5793"/>
    <w:rsid w:val="00AB595D"/>
    <w:rsid w:val="00AB5A1A"/>
    <w:rsid w:val="00AB5AAE"/>
    <w:rsid w:val="00AB5ADA"/>
    <w:rsid w:val="00AB5BEE"/>
    <w:rsid w:val="00AB5C18"/>
    <w:rsid w:val="00AB5CD2"/>
    <w:rsid w:val="00AB5CDF"/>
    <w:rsid w:val="00AB5F84"/>
    <w:rsid w:val="00AB6251"/>
    <w:rsid w:val="00AB62EC"/>
    <w:rsid w:val="00AB6356"/>
    <w:rsid w:val="00AB638F"/>
    <w:rsid w:val="00AB659A"/>
    <w:rsid w:val="00AB66B6"/>
    <w:rsid w:val="00AB673C"/>
    <w:rsid w:val="00AB6741"/>
    <w:rsid w:val="00AB69CE"/>
    <w:rsid w:val="00AB6B08"/>
    <w:rsid w:val="00AB6B2B"/>
    <w:rsid w:val="00AB72AD"/>
    <w:rsid w:val="00AB7706"/>
    <w:rsid w:val="00AB7D2E"/>
    <w:rsid w:val="00AB7EDD"/>
    <w:rsid w:val="00AB7F23"/>
    <w:rsid w:val="00AB7FE5"/>
    <w:rsid w:val="00AC0448"/>
    <w:rsid w:val="00AC0457"/>
    <w:rsid w:val="00AC0486"/>
    <w:rsid w:val="00AC052C"/>
    <w:rsid w:val="00AC072A"/>
    <w:rsid w:val="00AC09EC"/>
    <w:rsid w:val="00AC0AA6"/>
    <w:rsid w:val="00AC0C6C"/>
    <w:rsid w:val="00AC0D49"/>
    <w:rsid w:val="00AC0EF1"/>
    <w:rsid w:val="00AC1040"/>
    <w:rsid w:val="00AC10E8"/>
    <w:rsid w:val="00AC1124"/>
    <w:rsid w:val="00AC1244"/>
    <w:rsid w:val="00AC1419"/>
    <w:rsid w:val="00AC144B"/>
    <w:rsid w:val="00AC1463"/>
    <w:rsid w:val="00AC14ED"/>
    <w:rsid w:val="00AC15F8"/>
    <w:rsid w:val="00AC162C"/>
    <w:rsid w:val="00AC1634"/>
    <w:rsid w:val="00AC165B"/>
    <w:rsid w:val="00AC182D"/>
    <w:rsid w:val="00AC1871"/>
    <w:rsid w:val="00AC18CE"/>
    <w:rsid w:val="00AC1B93"/>
    <w:rsid w:val="00AC20DF"/>
    <w:rsid w:val="00AC20E6"/>
    <w:rsid w:val="00AC210F"/>
    <w:rsid w:val="00AC23F5"/>
    <w:rsid w:val="00AC2748"/>
    <w:rsid w:val="00AC2CC1"/>
    <w:rsid w:val="00AC2D3F"/>
    <w:rsid w:val="00AC2DD6"/>
    <w:rsid w:val="00AC2E89"/>
    <w:rsid w:val="00AC2F2D"/>
    <w:rsid w:val="00AC31D1"/>
    <w:rsid w:val="00AC33F1"/>
    <w:rsid w:val="00AC3717"/>
    <w:rsid w:val="00AC3906"/>
    <w:rsid w:val="00AC39D0"/>
    <w:rsid w:val="00AC3A68"/>
    <w:rsid w:val="00AC3B16"/>
    <w:rsid w:val="00AC3FBF"/>
    <w:rsid w:val="00AC424F"/>
    <w:rsid w:val="00AC45E1"/>
    <w:rsid w:val="00AC4656"/>
    <w:rsid w:val="00AC4C08"/>
    <w:rsid w:val="00AC511C"/>
    <w:rsid w:val="00AC5357"/>
    <w:rsid w:val="00AC566A"/>
    <w:rsid w:val="00AC5DDE"/>
    <w:rsid w:val="00AC5F08"/>
    <w:rsid w:val="00AC614A"/>
    <w:rsid w:val="00AC62F8"/>
    <w:rsid w:val="00AC64A3"/>
    <w:rsid w:val="00AC652D"/>
    <w:rsid w:val="00AC6845"/>
    <w:rsid w:val="00AC6A5A"/>
    <w:rsid w:val="00AC6A9B"/>
    <w:rsid w:val="00AC6CA4"/>
    <w:rsid w:val="00AC6F2E"/>
    <w:rsid w:val="00AC7115"/>
    <w:rsid w:val="00AC736F"/>
    <w:rsid w:val="00AC756F"/>
    <w:rsid w:val="00AC7694"/>
    <w:rsid w:val="00AC7D08"/>
    <w:rsid w:val="00AC7DAA"/>
    <w:rsid w:val="00AD0099"/>
    <w:rsid w:val="00AD0135"/>
    <w:rsid w:val="00AD06E3"/>
    <w:rsid w:val="00AD0AF2"/>
    <w:rsid w:val="00AD0D6E"/>
    <w:rsid w:val="00AD0F8B"/>
    <w:rsid w:val="00AD1124"/>
    <w:rsid w:val="00AD1174"/>
    <w:rsid w:val="00AD176A"/>
    <w:rsid w:val="00AD1808"/>
    <w:rsid w:val="00AD19BD"/>
    <w:rsid w:val="00AD1AFF"/>
    <w:rsid w:val="00AD209C"/>
    <w:rsid w:val="00AD235D"/>
    <w:rsid w:val="00AD2668"/>
    <w:rsid w:val="00AD293E"/>
    <w:rsid w:val="00AD2D43"/>
    <w:rsid w:val="00AD33FE"/>
    <w:rsid w:val="00AD34AA"/>
    <w:rsid w:val="00AD351F"/>
    <w:rsid w:val="00AD35EE"/>
    <w:rsid w:val="00AD36DC"/>
    <w:rsid w:val="00AD3B62"/>
    <w:rsid w:val="00AD3BD1"/>
    <w:rsid w:val="00AD3C9F"/>
    <w:rsid w:val="00AD3D64"/>
    <w:rsid w:val="00AD3DDE"/>
    <w:rsid w:val="00AD3E2E"/>
    <w:rsid w:val="00AD3F65"/>
    <w:rsid w:val="00AD3F83"/>
    <w:rsid w:val="00AD3F85"/>
    <w:rsid w:val="00AD3FF3"/>
    <w:rsid w:val="00AD411D"/>
    <w:rsid w:val="00AD416B"/>
    <w:rsid w:val="00AD4193"/>
    <w:rsid w:val="00AD41EE"/>
    <w:rsid w:val="00AD42D2"/>
    <w:rsid w:val="00AD4420"/>
    <w:rsid w:val="00AD450E"/>
    <w:rsid w:val="00AD47EF"/>
    <w:rsid w:val="00AD486A"/>
    <w:rsid w:val="00AD4CA9"/>
    <w:rsid w:val="00AD4DDC"/>
    <w:rsid w:val="00AD4E56"/>
    <w:rsid w:val="00AD50EA"/>
    <w:rsid w:val="00AD50FB"/>
    <w:rsid w:val="00AD5813"/>
    <w:rsid w:val="00AD59EB"/>
    <w:rsid w:val="00AD5A0B"/>
    <w:rsid w:val="00AD5A3D"/>
    <w:rsid w:val="00AD5AE7"/>
    <w:rsid w:val="00AD5BCC"/>
    <w:rsid w:val="00AD5BFF"/>
    <w:rsid w:val="00AD5C59"/>
    <w:rsid w:val="00AD5DD1"/>
    <w:rsid w:val="00AD600F"/>
    <w:rsid w:val="00AD63B1"/>
    <w:rsid w:val="00AD65A4"/>
    <w:rsid w:val="00AD678D"/>
    <w:rsid w:val="00AD67CF"/>
    <w:rsid w:val="00AD6BDF"/>
    <w:rsid w:val="00AD70DA"/>
    <w:rsid w:val="00AD73C9"/>
    <w:rsid w:val="00AD75BF"/>
    <w:rsid w:val="00AD764F"/>
    <w:rsid w:val="00AD76E3"/>
    <w:rsid w:val="00AD77CA"/>
    <w:rsid w:val="00AD78E8"/>
    <w:rsid w:val="00AD7A28"/>
    <w:rsid w:val="00AD7CE7"/>
    <w:rsid w:val="00AD7F1E"/>
    <w:rsid w:val="00AD7F21"/>
    <w:rsid w:val="00AD7F73"/>
    <w:rsid w:val="00AE0298"/>
    <w:rsid w:val="00AE038C"/>
    <w:rsid w:val="00AE047F"/>
    <w:rsid w:val="00AE075D"/>
    <w:rsid w:val="00AE08B3"/>
    <w:rsid w:val="00AE0918"/>
    <w:rsid w:val="00AE0B6E"/>
    <w:rsid w:val="00AE0C70"/>
    <w:rsid w:val="00AE0D0A"/>
    <w:rsid w:val="00AE0F81"/>
    <w:rsid w:val="00AE1330"/>
    <w:rsid w:val="00AE138C"/>
    <w:rsid w:val="00AE1634"/>
    <w:rsid w:val="00AE16FE"/>
    <w:rsid w:val="00AE1733"/>
    <w:rsid w:val="00AE17BC"/>
    <w:rsid w:val="00AE17FC"/>
    <w:rsid w:val="00AE1A0B"/>
    <w:rsid w:val="00AE1FE4"/>
    <w:rsid w:val="00AE262B"/>
    <w:rsid w:val="00AE27F4"/>
    <w:rsid w:val="00AE27F9"/>
    <w:rsid w:val="00AE2C2B"/>
    <w:rsid w:val="00AE3058"/>
    <w:rsid w:val="00AE3310"/>
    <w:rsid w:val="00AE354F"/>
    <w:rsid w:val="00AE37A1"/>
    <w:rsid w:val="00AE3956"/>
    <w:rsid w:val="00AE3A4F"/>
    <w:rsid w:val="00AE3D5E"/>
    <w:rsid w:val="00AE3D85"/>
    <w:rsid w:val="00AE41EF"/>
    <w:rsid w:val="00AE4703"/>
    <w:rsid w:val="00AE4BF3"/>
    <w:rsid w:val="00AE4FE2"/>
    <w:rsid w:val="00AE516D"/>
    <w:rsid w:val="00AE517E"/>
    <w:rsid w:val="00AE5246"/>
    <w:rsid w:val="00AE5292"/>
    <w:rsid w:val="00AE52B4"/>
    <w:rsid w:val="00AE56A2"/>
    <w:rsid w:val="00AE56C7"/>
    <w:rsid w:val="00AE586E"/>
    <w:rsid w:val="00AE58C5"/>
    <w:rsid w:val="00AE5993"/>
    <w:rsid w:val="00AE5B55"/>
    <w:rsid w:val="00AE5BF8"/>
    <w:rsid w:val="00AE5F51"/>
    <w:rsid w:val="00AE6070"/>
    <w:rsid w:val="00AE6119"/>
    <w:rsid w:val="00AE6127"/>
    <w:rsid w:val="00AE619F"/>
    <w:rsid w:val="00AE6957"/>
    <w:rsid w:val="00AE6AF4"/>
    <w:rsid w:val="00AE6B4D"/>
    <w:rsid w:val="00AE6BCD"/>
    <w:rsid w:val="00AE6D3E"/>
    <w:rsid w:val="00AE6DAC"/>
    <w:rsid w:val="00AE6E3C"/>
    <w:rsid w:val="00AE6E84"/>
    <w:rsid w:val="00AE6EFE"/>
    <w:rsid w:val="00AE6F29"/>
    <w:rsid w:val="00AE704C"/>
    <w:rsid w:val="00AE728F"/>
    <w:rsid w:val="00AE741F"/>
    <w:rsid w:val="00AE7533"/>
    <w:rsid w:val="00AE7709"/>
    <w:rsid w:val="00AE77E1"/>
    <w:rsid w:val="00AE78B0"/>
    <w:rsid w:val="00AE79B5"/>
    <w:rsid w:val="00AE79C3"/>
    <w:rsid w:val="00AE7A57"/>
    <w:rsid w:val="00AE7BC9"/>
    <w:rsid w:val="00AE7D10"/>
    <w:rsid w:val="00AE7EB8"/>
    <w:rsid w:val="00AE7ECA"/>
    <w:rsid w:val="00AF00FB"/>
    <w:rsid w:val="00AF0122"/>
    <w:rsid w:val="00AF0225"/>
    <w:rsid w:val="00AF039B"/>
    <w:rsid w:val="00AF0476"/>
    <w:rsid w:val="00AF0497"/>
    <w:rsid w:val="00AF0508"/>
    <w:rsid w:val="00AF0606"/>
    <w:rsid w:val="00AF067A"/>
    <w:rsid w:val="00AF06CD"/>
    <w:rsid w:val="00AF0924"/>
    <w:rsid w:val="00AF0B8F"/>
    <w:rsid w:val="00AF0C0E"/>
    <w:rsid w:val="00AF0F53"/>
    <w:rsid w:val="00AF15AF"/>
    <w:rsid w:val="00AF1672"/>
    <w:rsid w:val="00AF1CF7"/>
    <w:rsid w:val="00AF1EB2"/>
    <w:rsid w:val="00AF2164"/>
    <w:rsid w:val="00AF2325"/>
    <w:rsid w:val="00AF23C9"/>
    <w:rsid w:val="00AF2572"/>
    <w:rsid w:val="00AF276D"/>
    <w:rsid w:val="00AF284F"/>
    <w:rsid w:val="00AF2F95"/>
    <w:rsid w:val="00AF303A"/>
    <w:rsid w:val="00AF32EB"/>
    <w:rsid w:val="00AF333E"/>
    <w:rsid w:val="00AF37FA"/>
    <w:rsid w:val="00AF38BE"/>
    <w:rsid w:val="00AF3928"/>
    <w:rsid w:val="00AF3B06"/>
    <w:rsid w:val="00AF3C4D"/>
    <w:rsid w:val="00AF3D18"/>
    <w:rsid w:val="00AF40A0"/>
    <w:rsid w:val="00AF44F8"/>
    <w:rsid w:val="00AF4514"/>
    <w:rsid w:val="00AF46C4"/>
    <w:rsid w:val="00AF46C7"/>
    <w:rsid w:val="00AF4717"/>
    <w:rsid w:val="00AF4956"/>
    <w:rsid w:val="00AF53A4"/>
    <w:rsid w:val="00AF56D7"/>
    <w:rsid w:val="00AF5798"/>
    <w:rsid w:val="00AF5959"/>
    <w:rsid w:val="00AF5C7C"/>
    <w:rsid w:val="00AF5CC9"/>
    <w:rsid w:val="00AF5EC5"/>
    <w:rsid w:val="00AF66DE"/>
    <w:rsid w:val="00AF6A8A"/>
    <w:rsid w:val="00AF6B26"/>
    <w:rsid w:val="00AF6BDB"/>
    <w:rsid w:val="00AF6DB3"/>
    <w:rsid w:val="00AF6DD6"/>
    <w:rsid w:val="00AF6F80"/>
    <w:rsid w:val="00AF70CB"/>
    <w:rsid w:val="00AF7535"/>
    <w:rsid w:val="00AF799C"/>
    <w:rsid w:val="00B00000"/>
    <w:rsid w:val="00B00959"/>
    <w:rsid w:val="00B00971"/>
    <w:rsid w:val="00B00B19"/>
    <w:rsid w:val="00B00D80"/>
    <w:rsid w:val="00B00F03"/>
    <w:rsid w:val="00B012CC"/>
    <w:rsid w:val="00B01732"/>
    <w:rsid w:val="00B0177D"/>
    <w:rsid w:val="00B01887"/>
    <w:rsid w:val="00B01E07"/>
    <w:rsid w:val="00B0237B"/>
    <w:rsid w:val="00B02557"/>
    <w:rsid w:val="00B02BFB"/>
    <w:rsid w:val="00B030F8"/>
    <w:rsid w:val="00B03106"/>
    <w:rsid w:val="00B03253"/>
    <w:rsid w:val="00B0332F"/>
    <w:rsid w:val="00B03895"/>
    <w:rsid w:val="00B03904"/>
    <w:rsid w:val="00B03A5D"/>
    <w:rsid w:val="00B03AC9"/>
    <w:rsid w:val="00B03B4C"/>
    <w:rsid w:val="00B03B56"/>
    <w:rsid w:val="00B03B9A"/>
    <w:rsid w:val="00B03FF9"/>
    <w:rsid w:val="00B04158"/>
    <w:rsid w:val="00B04301"/>
    <w:rsid w:val="00B0432B"/>
    <w:rsid w:val="00B0432D"/>
    <w:rsid w:val="00B0458D"/>
    <w:rsid w:val="00B04625"/>
    <w:rsid w:val="00B04AE0"/>
    <w:rsid w:val="00B04C69"/>
    <w:rsid w:val="00B04EC8"/>
    <w:rsid w:val="00B05414"/>
    <w:rsid w:val="00B054CD"/>
    <w:rsid w:val="00B0562B"/>
    <w:rsid w:val="00B05783"/>
    <w:rsid w:val="00B0580C"/>
    <w:rsid w:val="00B058D1"/>
    <w:rsid w:val="00B059E5"/>
    <w:rsid w:val="00B05CA0"/>
    <w:rsid w:val="00B05CE8"/>
    <w:rsid w:val="00B0601D"/>
    <w:rsid w:val="00B061B2"/>
    <w:rsid w:val="00B063D3"/>
    <w:rsid w:val="00B06D28"/>
    <w:rsid w:val="00B06D9A"/>
    <w:rsid w:val="00B06DB4"/>
    <w:rsid w:val="00B06EB7"/>
    <w:rsid w:val="00B070B0"/>
    <w:rsid w:val="00B070CE"/>
    <w:rsid w:val="00B073F0"/>
    <w:rsid w:val="00B07756"/>
    <w:rsid w:val="00B07799"/>
    <w:rsid w:val="00B07D77"/>
    <w:rsid w:val="00B1041B"/>
    <w:rsid w:val="00B10616"/>
    <w:rsid w:val="00B10651"/>
    <w:rsid w:val="00B10737"/>
    <w:rsid w:val="00B110A1"/>
    <w:rsid w:val="00B111CE"/>
    <w:rsid w:val="00B11204"/>
    <w:rsid w:val="00B1128E"/>
    <w:rsid w:val="00B112A0"/>
    <w:rsid w:val="00B11476"/>
    <w:rsid w:val="00B114BC"/>
    <w:rsid w:val="00B1153A"/>
    <w:rsid w:val="00B1169E"/>
    <w:rsid w:val="00B119E6"/>
    <w:rsid w:val="00B11A60"/>
    <w:rsid w:val="00B11A88"/>
    <w:rsid w:val="00B11CB2"/>
    <w:rsid w:val="00B11DB8"/>
    <w:rsid w:val="00B1246F"/>
    <w:rsid w:val="00B12729"/>
    <w:rsid w:val="00B12B30"/>
    <w:rsid w:val="00B12DED"/>
    <w:rsid w:val="00B131F1"/>
    <w:rsid w:val="00B13222"/>
    <w:rsid w:val="00B1388B"/>
    <w:rsid w:val="00B138BE"/>
    <w:rsid w:val="00B13AB7"/>
    <w:rsid w:val="00B13BCC"/>
    <w:rsid w:val="00B13D36"/>
    <w:rsid w:val="00B13DDF"/>
    <w:rsid w:val="00B14018"/>
    <w:rsid w:val="00B1410B"/>
    <w:rsid w:val="00B143D6"/>
    <w:rsid w:val="00B14457"/>
    <w:rsid w:val="00B14596"/>
    <w:rsid w:val="00B147F7"/>
    <w:rsid w:val="00B14EA4"/>
    <w:rsid w:val="00B1504B"/>
    <w:rsid w:val="00B150C9"/>
    <w:rsid w:val="00B154E4"/>
    <w:rsid w:val="00B1571F"/>
    <w:rsid w:val="00B15897"/>
    <w:rsid w:val="00B159C1"/>
    <w:rsid w:val="00B15A26"/>
    <w:rsid w:val="00B15B78"/>
    <w:rsid w:val="00B15D1D"/>
    <w:rsid w:val="00B162EC"/>
    <w:rsid w:val="00B164F7"/>
    <w:rsid w:val="00B1659A"/>
    <w:rsid w:val="00B16620"/>
    <w:rsid w:val="00B167B4"/>
    <w:rsid w:val="00B16888"/>
    <w:rsid w:val="00B169BE"/>
    <w:rsid w:val="00B16B67"/>
    <w:rsid w:val="00B16CF9"/>
    <w:rsid w:val="00B16F3F"/>
    <w:rsid w:val="00B170A1"/>
    <w:rsid w:val="00B170CF"/>
    <w:rsid w:val="00B171E9"/>
    <w:rsid w:val="00B17370"/>
    <w:rsid w:val="00B17465"/>
    <w:rsid w:val="00B17555"/>
    <w:rsid w:val="00B175FE"/>
    <w:rsid w:val="00B177C0"/>
    <w:rsid w:val="00B1791F"/>
    <w:rsid w:val="00B17C2C"/>
    <w:rsid w:val="00B17C49"/>
    <w:rsid w:val="00B17D83"/>
    <w:rsid w:val="00B17E55"/>
    <w:rsid w:val="00B17E99"/>
    <w:rsid w:val="00B203E8"/>
    <w:rsid w:val="00B203F9"/>
    <w:rsid w:val="00B2087F"/>
    <w:rsid w:val="00B20B60"/>
    <w:rsid w:val="00B20D55"/>
    <w:rsid w:val="00B21494"/>
    <w:rsid w:val="00B21CF0"/>
    <w:rsid w:val="00B21D08"/>
    <w:rsid w:val="00B21D2C"/>
    <w:rsid w:val="00B22269"/>
    <w:rsid w:val="00B222C8"/>
    <w:rsid w:val="00B2243C"/>
    <w:rsid w:val="00B225FE"/>
    <w:rsid w:val="00B226F2"/>
    <w:rsid w:val="00B2274E"/>
    <w:rsid w:val="00B227C5"/>
    <w:rsid w:val="00B22801"/>
    <w:rsid w:val="00B22829"/>
    <w:rsid w:val="00B229AF"/>
    <w:rsid w:val="00B22AC3"/>
    <w:rsid w:val="00B22C26"/>
    <w:rsid w:val="00B22FC1"/>
    <w:rsid w:val="00B230D5"/>
    <w:rsid w:val="00B23827"/>
    <w:rsid w:val="00B23932"/>
    <w:rsid w:val="00B23B32"/>
    <w:rsid w:val="00B23C66"/>
    <w:rsid w:val="00B23D98"/>
    <w:rsid w:val="00B23DCC"/>
    <w:rsid w:val="00B23F89"/>
    <w:rsid w:val="00B2413F"/>
    <w:rsid w:val="00B2421B"/>
    <w:rsid w:val="00B246A8"/>
    <w:rsid w:val="00B24B3B"/>
    <w:rsid w:val="00B24C0A"/>
    <w:rsid w:val="00B24C8B"/>
    <w:rsid w:val="00B24DED"/>
    <w:rsid w:val="00B24E0C"/>
    <w:rsid w:val="00B24EB8"/>
    <w:rsid w:val="00B24EE1"/>
    <w:rsid w:val="00B253C9"/>
    <w:rsid w:val="00B257ED"/>
    <w:rsid w:val="00B258F6"/>
    <w:rsid w:val="00B25950"/>
    <w:rsid w:val="00B25A65"/>
    <w:rsid w:val="00B25B7D"/>
    <w:rsid w:val="00B25D02"/>
    <w:rsid w:val="00B25DA4"/>
    <w:rsid w:val="00B262F8"/>
    <w:rsid w:val="00B2660F"/>
    <w:rsid w:val="00B2681A"/>
    <w:rsid w:val="00B268AA"/>
    <w:rsid w:val="00B26ADC"/>
    <w:rsid w:val="00B26C56"/>
    <w:rsid w:val="00B26E6B"/>
    <w:rsid w:val="00B27011"/>
    <w:rsid w:val="00B27180"/>
    <w:rsid w:val="00B27219"/>
    <w:rsid w:val="00B27349"/>
    <w:rsid w:val="00B27586"/>
    <w:rsid w:val="00B2775D"/>
    <w:rsid w:val="00B279A8"/>
    <w:rsid w:val="00B27C91"/>
    <w:rsid w:val="00B27E12"/>
    <w:rsid w:val="00B30180"/>
    <w:rsid w:val="00B30817"/>
    <w:rsid w:val="00B3086D"/>
    <w:rsid w:val="00B308F0"/>
    <w:rsid w:val="00B30920"/>
    <w:rsid w:val="00B30A5C"/>
    <w:rsid w:val="00B30AFC"/>
    <w:rsid w:val="00B30C8B"/>
    <w:rsid w:val="00B30CFB"/>
    <w:rsid w:val="00B30E52"/>
    <w:rsid w:val="00B31025"/>
    <w:rsid w:val="00B31204"/>
    <w:rsid w:val="00B314AB"/>
    <w:rsid w:val="00B31566"/>
    <w:rsid w:val="00B31581"/>
    <w:rsid w:val="00B31982"/>
    <w:rsid w:val="00B319BB"/>
    <w:rsid w:val="00B31A2B"/>
    <w:rsid w:val="00B31A5C"/>
    <w:rsid w:val="00B31FDF"/>
    <w:rsid w:val="00B3227B"/>
    <w:rsid w:val="00B322F9"/>
    <w:rsid w:val="00B3235B"/>
    <w:rsid w:val="00B3261B"/>
    <w:rsid w:val="00B3269A"/>
    <w:rsid w:val="00B32BB0"/>
    <w:rsid w:val="00B33185"/>
    <w:rsid w:val="00B33196"/>
    <w:rsid w:val="00B331B4"/>
    <w:rsid w:val="00B3334F"/>
    <w:rsid w:val="00B333C6"/>
    <w:rsid w:val="00B34035"/>
    <w:rsid w:val="00B341E3"/>
    <w:rsid w:val="00B3449D"/>
    <w:rsid w:val="00B34511"/>
    <w:rsid w:val="00B34768"/>
    <w:rsid w:val="00B34929"/>
    <w:rsid w:val="00B34B78"/>
    <w:rsid w:val="00B34BD6"/>
    <w:rsid w:val="00B34D6A"/>
    <w:rsid w:val="00B34F23"/>
    <w:rsid w:val="00B34F3A"/>
    <w:rsid w:val="00B35083"/>
    <w:rsid w:val="00B35799"/>
    <w:rsid w:val="00B357D5"/>
    <w:rsid w:val="00B357EA"/>
    <w:rsid w:val="00B35A02"/>
    <w:rsid w:val="00B35C09"/>
    <w:rsid w:val="00B35FBF"/>
    <w:rsid w:val="00B36604"/>
    <w:rsid w:val="00B36817"/>
    <w:rsid w:val="00B36A04"/>
    <w:rsid w:val="00B36D32"/>
    <w:rsid w:val="00B3722B"/>
    <w:rsid w:val="00B37332"/>
    <w:rsid w:val="00B3733A"/>
    <w:rsid w:val="00B373A4"/>
    <w:rsid w:val="00B373B1"/>
    <w:rsid w:val="00B3763C"/>
    <w:rsid w:val="00B37640"/>
    <w:rsid w:val="00B37769"/>
    <w:rsid w:val="00B378BB"/>
    <w:rsid w:val="00B37A70"/>
    <w:rsid w:val="00B37C5E"/>
    <w:rsid w:val="00B4009E"/>
    <w:rsid w:val="00B4013A"/>
    <w:rsid w:val="00B4031E"/>
    <w:rsid w:val="00B403E5"/>
    <w:rsid w:val="00B407C0"/>
    <w:rsid w:val="00B4099A"/>
    <w:rsid w:val="00B409D6"/>
    <w:rsid w:val="00B40A31"/>
    <w:rsid w:val="00B40A47"/>
    <w:rsid w:val="00B40A7F"/>
    <w:rsid w:val="00B40BAA"/>
    <w:rsid w:val="00B40F4F"/>
    <w:rsid w:val="00B412AB"/>
    <w:rsid w:val="00B416B0"/>
    <w:rsid w:val="00B41960"/>
    <w:rsid w:val="00B4198D"/>
    <w:rsid w:val="00B41992"/>
    <w:rsid w:val="00B41A10"/>
    <w:rsid w:val="00B41B42"/>
    <w:rsid w:val="00B41D4E"/>
    <w:rsid w:val="00B42000"/>
    <w:rsid w:val="00B420CA"/>
    <w:rsid w:val="00B42163"/>
    <w:rsid w:val="00B42231"/>
    <w:rsid w:val="00B42562"/>
    <w:rsid w:val="00B4264F"/>
    <w:rsid w:val="00B42975"/>
    <w:rsid w:val="00B42ADD"/>
    <w:rsid w:val="00B4319D"/>
    <w:rsid w:val="00B442D5"/>
    <w:rsid w:val="00B44310"/>
    <w:rsid w:val="00B443C7"/>
    <w:rsid w:val="00B44697"/>
    <w:rsid w:val="00B446B0"/>
    <w:rsid w:val="00B446CA"/>
    <w:rsid w:val="00B447CE"/>
    <w:rsid w:val="00B447D6"/>
    <w:rsid w:val="00B4488D"/>
    <w:rsid w:val="00B449E8"/>
    <w:rsid w:val="00B44A4E"/>
    <w:rsid w:val="00B44AAD"/>
    <w:rsid w:val="00B44D2A"/>
    <w:rsid w:val="00B44F0C"/>
    <w:rsid w:val="00B45037"/>
    <w:rsid w:val="00B4536F"/>
    <w:rsid w:val="00B453FF"/>
    <w:rsid w:val="00B45BB7"/>
    <w:rsid w:val="00B45F88"/>
    <w:rsid w:val="00B4604D"/>
    <w:rsid w:val="00B46080"/>
    <w:rsid w:val="00B461B6"/>
    <w:rsid w:val="00B463FF"/>
    <w:rsid w:val="00B464EF"/>
    <w:rsid w:val="00B4662E"/>
    <w:rsid w:val="00B466E4"/>
    <w:rsid w:val="00B4682D"/>
    <w:rsid w:val="00B46989"/>
    <w:rsid w:val="00B46A77"/>
    <w:rsid w:val="00B46CAE"/>
    <w:rsid w:val="00B46EF0"/>
    <w:rsid w:val="00B47049"/>
    <w:rsid w:val="00B47289"/>
    <w:rsid w:val="00B47A9B"/>
    <w:rsid w:val="00B47E82"/>
    <w:rsid w:val="00B47EAF"/>
    <w:rsid w:val="00B47EF4"/>
    <w:rsid w:val="00B47F59"/>
    <w:rsid w:val="00B5005D"/>
    <w:rsid w:val="00B501AD"/>
    <w:rsid w:val="00B502E7"/>
    <w:rsid w:val="00B50454"/>
    <w:rsid w:val="00B5048E"/>
    <w:rsid w:val="00B504D4"/>
    <w:rsid w:val="00B50566"/>
    <w:rsid w:val="00B505FD"/>
    <w:rsid w:val="00B50711"/>
    <w:rsid w:val="00B50AB8"/>
    <w:rsid w:val="00B50C6A"/>
    <w:rsid w:val="00B50C8A"/>
    <w:rsid w:val="00B5149E"/>
    <w:rsid w:val="00B517F8"/>
    <w:rsid w:val="00B5183F"/>
    <w:rsid w:val="00B51979"/>
    <w:rsid w:val="00B51A65"/>
    <w:rsid w:val="00B51A6A"/>
    <w:rsid w:val="00B51B3D"/>
    <w:rsid w:val="00B51DBB"/>
    <w:rsid w:val="00B51FF2"/>
    <w:rsid w:val="00B521D0"/>
    <w:rsid w:val="00B5233E"/>
    <w:rsid w:val="00B52520"/>
    <w:rsid w:val="00B52684"/>
    <w:rsid w:val="00B528F3"/>
    <w:rsid w:val="00B52A02"/>
    <w:rsid w:val="00B52F7E"/>
    <w:rsid w:val="00B53165"/>
    <w:rsid w:val="00B533FB"/>
    <w:rsid w:val="00B53566"/>
    <w:rsid w:val="00B5362D"/>
    <w:rsid w:val="00B536F5"/>
    <w:rsid w:val="00B53E40"/>
    <w:rsid w:val="00B53F1C"/>
    <w:rsid w:val="00B53FAF"/>
    <w:rsid w:val="00B53FD0"/>
    <w:rsid w:val="00B5401E"/>
    <w:rsid w:val="00B541B5"/>
    <w:rsid w:val="00B542EB"/>
    <w:rsid w:val="00B54313"/>
    <w:rsid w:val="00B54566"/>
    <w:rsid w:val="00B546C4"/>
    <w:rsid w:val="00B54BCB"/>
    <w:rsid w:val="00B54DCD"/>
    <w:rsid w:val="00B54F7C"/>
    <w:rsid w:val="00B54FAA"/>
    <w:rsid w:val="00B5509A"/>
    <w:rsid w:val="00B550D8"/>
    <w:rsid w:val="00B55162"/>
    <w:rsid w:val="00B553D1"/>
    <w:rsid w:val="00B55433"/>
    <w:rsid w:val="00B55894"/>
    <w:rsid w:val="00B558F6"/>
    <w:rsid w:val="00B55B8F"/>
    <w:rsid w:val="00B55D61"/>
    <w:rsid w:val="00B55F8D"/>
    <w:rsid w:val="00B5600E"/>
    <w:rsid w:val="00B56297"/>
    <w:rsid w:val="00B5651D"/>
    <w:rsid w:val="00B56796"/>
    <w:rsid w:val="00B56AF7"/>
    <w:rsid w:val="00B56B9B"/>
    <w:rsid w:val="00B56B9D"/>
    <w:rsid w:val="00B56F47"/>
    <w:rsid w:val="00B57039"/>
    <w:rsid w:val="00B574D6"/>
    <w:rsid w:val="00B574DA"/>
    <w:rsid w:val="00B57A5C"/>
    <w:rsid w:val="00B57DA4"/>
    <w:rsid w:val="00B57DFA"/>
    <w:rsid w:val="00B60168"/>
    <w:rsid w:val="00B60531"/>
    <w:rsid w:val="00B605F5"/>
    <w:rsid w:val="00B606D8"/>
    <w:rsid w:val="00B60720"/>
    <w:rsid w:val="00B609CF"/>
    <w:rsid w:val="00B60B94"/>
    <w:rsid w:val="00B60D77"/>
    <w:rsid w:val="00B6133F"/>
    <w:rsid w:val="00B6140D"/>
    <w:rsid w:val="00B614FB"/>
    <w:rsid w:val="00B615B0"/>
    <w:rsid w:val="00B6161C"/>
    <w:rsid w:val="00B61741"/>
    <w:rsid w:val="00B61C14"/>
    <w:rsid w:val="00B61E60"/>
    <w:rsid w:val="00B61EEC"/>
    <w:rsid w:val="00B62057"/>
    <w:rsid w:val="00B620EB"/>
    <w:rsid w:val="00B62742"/>
    <w:rsid w:val="00B6277A"/>
    <w:rsid w:val="00B627DF"/>
    <w:rsid w:val="00B6288A"/>
    <w:rsid w:val="00B62A1E"/>
    <w:rsid w:val="00B62A55"/>
    <w:rsid w:val="00B62B23"/>
    <w:rsid w:val="00B62C60"/>
    <w:rsid w:val="00B62DF4"/>
    <w:rsid w:val="00B62DFA"/>
    <w:rsid w:val="00B632AA"/>
    <w:rsid w:val="00B63385"/>
    <w:rsid w:val="00B635F8"/>
    <w:rsid w:val="00B6387E"/>
    <w:rsid w:val="00B6391C"/>
    <w:rsid w:val="00B639A5"/>
    <w:rsid w:val="00B63AB7"/>
    <w:rsid w:val="00B63C37"/>
    <w:rsid w:val="00B63CBC"/>
    <w:rsid w:val="00B63E94"/>
    <w:rsid w:val="00B63F7D"/>
    <w:rsid w:val="00B64064"/>
    <w:rsid w:val="00B6437B"/>
    <w:rsid w:val="00B64439"/>
    <w:rsid w:val="00B64479"/>
    <w:rsid w:val="00B644CF"/>
    <w:rsid w:val="00B645A6"/>
    <w:rsid w:val="00B64BC8"/>
    <w:rsid w:val="00B64D0E"/>
    <w:rsid w:val="00B654E9"/>
    <w:rsid w:val="00B65616"/>
    <w:rsid w:val="00B656C5"/>
    <w:rsid w:val="00B656FE"/>
    <w:rsid w:val="00B66018"/>
    <w:rsid w:val="00B66127"/>
    <w:rsid w:val="00B6616E"/>
    <w:rsid w:val="00B663DD"/>
    <w:rsid w:val="00B6647A"/>
    <w:rsid w:val="00B66778"/>
    <w:rsid w:val="00B6687A"/>
    <w:rsid w:val="00B66C15"/>
    <w:rsid w:val="00B66F68"/>
    <w:rsid w:val="00B67187"/>
    <w:rsid w:val="00B6733A"/>
    <w:rsid w:val="00B6766B"/>
    <w:rsid w:val="00B67681"/>
    <w:rsid w:val="00B67741"/>
    <w:rsid w:val="00B6789A"/>
    <w:rsid w:val="00B67A47"/>
    <w:rsid w:val="00B67B72"/>
    <w:rsid w:val="00B67FAD"/>
    <w:rsid w:val="00B7022A"/>
    <w:rsid w:val="00B7048E"/>
    <w:rsid w:val="00B705FC"/>
    <w:rsid w:val="00B70771"/>
    <w:rsid w:val="00B709B3"/>
    <w:rsid w:val="00B71188"/>
    <w:rsid w:val="00B71267"/>
    <w:rsid w:val="00B714AC"/>
    <w:rsid w:val="00B7153E"/>
    <w:rsid w:val="00B71628"/>
    <w:rsid w:val="00B716A9"/>
    <w:rsid w:val="00B71770"/>
    <w:rsid w:val="00B71881"/>
    <w:rsid w:val="00B71BFD"/>
    <w:rsid w:val="00B7217B"/>
    <w:rsid w:val="00B721D9"/>
    <w:rsid w:val="00B7226F"/>
    <w:rsid w:val="00B72639"/>
    <w:rsid w:val="00B72767"/>
    <w:rsid w:val="00B7282B"/>
    <w:rsid w:val="00B72948"/>
    <w:rsid w:val="00B72C26"/>
    <w:rsid w:val="00B72E2A"/>
    <w:rsid w:val="00B72F6D"/>
    <w:rsid w:val="00B72FA9"/>
    <w:rsid w:val="00B73062"/>
    <w:rsid w:val="00B7372C"/>
    <w:rsid w:val="00B738DB"/>
    <w:rsid w:val="00B73B96"/>
    <w:rsid w:val="00B73D9B"/>
    <w:rsid w:val="00B740DB"/>
    <w:rsid w:val="00B742AD"/>
    <w:rsid w:val="00B74331"/>
    <w:rsid w:val="00B7438F"/>
    <w:rsid w:val="00B74605"/>
    <w:rsid w:val="00B746F9"/>
    <w:rsid w:val="00B74776"/>
    <w:rsid w:val="00B7488D"/>
    <w:rsid w:val="00B74A78"/>
    <w:rsid w:val="00B74F28"/>
    <w:rsid w:val="00B751F2"/>
    <w:rsid w:val="00B75329"/>
    <w:rsid w:val="00B7537D"/>
    <w:rsid w:val="00B75580"/>
    <w:rsid w:val="00B75AFF"/>
    <w:rsid w:val="00B75BBA"/>
    <w:rsid w:val="00B7646E"/>
    <w:rsid w:val="00B7690D"/>
    <w:rsid w:val="00B76B95"/>
    <w:rsid w:val="00B76C80"/>
    <w:rsid w:val="00B76D2C"/>
    <w:rsid w:val="00B76FF0"/>
    <w:rsid w:val="00B76FF8"/>
    <w:rsid w:val="00B77025"/>
    <w:rsid w:val="00B7716C"/>
    <w:rsid w:val="00B772BB"/>
    <w:rsid w:val="00B7745A"/>
    <w:rsid w:val="00B77540"/>
    <w:rsid w:val="00B776C1"/>
    <w:rsid w:val="00B7785F"/>
    <w:rsid w:val="00B77930"/>
    <w:rsid w:val="00B77ABE"/>
    <w:rsid w:val="00B77B91"/>
    <w:rsid w:val="00B77D2C"/>
    <w:rsid w:val="00B77F3D"/>
    <w:rsid w:val="00B8005D"/>
    <w:rsid w:val="00B80091"/>
    <w:rsid w:val="00B800B1"/>
    <w:rsid w:val="00B806E9"/>
    <w:rsid w:val="00B806FD"/>
    <w:rsid w:val="00B80A15"/>
    <w:rsid w:val="00B80A20"/>
    <w:rsid w:val="00B80D12"/>
    <w:rsid w:val="00B80DB4"/>
    <w:rsid w:val="00B8104D"/>
    <w:rsid w:val="00B81080"/>
    <w:rsid w:val="00B810AC"/>
    <w:rsid w:val="00B81153"/>
    <w:rsid w:val="00B8127D"/>
    <w:rsid w:val="00B81361"/>
    <w:rsid w:val="00B8160D"/>
    <w:rsid w:val="00B816E8"/>
    <w:rsid w:val="00B819DA"/>
    <w:rsid w:val="00B81AED"/>
    <w:rsid w:val="00B81DB6"/>
    <w:rsid w:val="00B81F79"/>
    <w:rsid w:val="00B81FBD"/>
    <w:rsid w:val="00B8224B"/>
    <w:rsid w:val="00B8252D"/>
    <w:rsid w:val="00B8275D"/>
    <w:rsid w:val="00B8278C"/>
    <w:rsid w:val="00B827B3"/>
    <w:rsid w:val="00B827BF"/>
    <w:rsid w:val="00B82949"/>
    <w:rsid w:val="00B8298E"/>
    <w:rsid w:val="00B82A42"/>
    <w:rsid w:val="00B82D59"/>
    <w:rsid w:val="00B82DCD"/>
    <w:rsid w:val="00B831ED"/>
    <w:rsid w:val="00B83334"/>
    <w:rsid w:val="00B83433"/>
    <w:rsid w:val="00B8349C"/>
    <w:rsid w:val="00B834D2"/>
    <w:rsid w:val="00B8357B"/>
    <w:rsid w:val="00B83696"/>
    <w:rsid w:val="00B83CAA"/>
    <w:rsid w:val="00B83D84"/>
    <w:rsid w:val="00B840CD"/>
    <w:rsid w:val="00B842F9"/>
    <w:rsid w:val="00B844A4"/>
    <w:rsid w:val="00B844AA"/>
    <w:rsid w:val="00B8453F"/>
    <w:rsid w:val="00B845D5"/>
    <w:rsid w:val="00B84609"/>
    <w:rsid w:val="00B84936"/>
    <w:rsid w:val="00B84AFC"/>
    <w:rsid w:val="00B84C82"/>
    <w:rsid w:val="00B84CBA"/>
    <w:rsid w:val="00B85140"/>
    <w:rsid w:val="00B851D1"/>
    <w:rsid w:val="00B85228"/>
    <w:rsid w:val="00B85ABC"/>
    <w:rsid w:val="00B85E49"/>
    <w:rsid w:val="00B8616B"/>
    <w:rsid w:val="00B863F0"/>
    <w:rsid w:val="00B864C4"/>
    <w:rsid w:val="00B8659E"/>
    <w:rsid w:val="00B865D1"/>
    <w:rsid w:val="00B866B2"/>
    <w:rsid w:val="00B866CA"/>
    <w:rsid w:val="00B86739"/>
    <w:rsid w:val="00B869D6"/>
    <w:rsid w:val="00B86AA1"/>
    <w:rsid w:val="00B86C24"/>
    <w:rsid w:val="00B86EC0"/>
    <w:rsid w:val="00B86F6F"/>
    <w:rsid w:val="00B87270"/>
    <w:rsid w:val="00B87385"/>
    <w:rsid w:val="00B879A4"/>
    <w:rsid w:val="00B879AB"/>
    <w:rsid w:val="00B87DBE"/>
    <w:rsid w:val="00B87EEE"/>
    <w:rsid w:val="00B87EF2"/>
    <w:rsid w:val="00B900E9"/>
    <w:rsid w:val="00B9012D"/>
    <w:rsid w:val="00B90535"/>
    <w:rsid w:val="00B90566"/>
    <w:rsid w:val="00B905E0"/>
    <w:rsid w:val="00B90619"/>
    <w:rsid w:val="00B908C8"/>
    <w:rsid w:val="00B908E0"/>
    <w:rsid w:val="00B90987"/>
    <w:rsid w:val="00B909A7"/>
    <w:rsid w:val="00B90B29"/>
    <w:rsid w:val="00B90E70"/>
    <w:rsid w:val="00B90F66"/>
    <w:rsid w:val="00B90FC6"/>
    <w:rsid w:val="00B912AA"/>
    <w:rsid w:val="00B91520"/>
    <w:rsid w:val="00B915F5"/>
    <w:rsid w:val="00B91607"/>
    <w:rsid w:val="00B916D6"/>
    <w:rsid w:val="00B918BD"/>
    <w:rsid w:val="00B91916"/>
    <w:rsid w:val="00B919E1"/>
    <w:rsid w:val="00B91A7A"/>
    <w:rsid w:val="00B91AE0"/>
    <w:rsid w:val="00B91BCC"/>
    <w:rsid w:val="00B91E81"/>
    <w:rsid w:val="00B91FAF"/>
    <w:rsid w:val="00B9203D"/>
    <w:rsid w:val="00B92130"/>
    <w:rsid w:val="00B9226D"/>
    <w:rsid w:val="00B9240F"/>
    <w:rsid w:val="00B9269C"/>
    <w:rsid w:val="00B92828"/>
    <w:rsid w:val="00B9292D"/>
    <w:rsid w:val="00B92A1F"/>
    <w:rsid w:val="00B92B74"/>
    <w:rsid w:val="00B92E06"/>
    <w:rsid w:val="00B92E14"/>
    <w:rsid w:val="00B92F25"/>
    <w:rsid w:val="00B92F4B"/>
    <w:rsid w:val="00B92FDC"/>
    <w:rsid w:val="00B9305E"/>
    <w:rsid w:val="00B9313C"/>
    <w:rsid w:val="00B93340"/>
    <w:rsid w:val="00B93405"/>
    <w:rsid w:val="00B93600"/>
    <w:rsid w:val="00B93637"/>
    <w:rsid w:val="00B93767"/>
    <w:rsid w:val="00B9388F"/>
    <w:rsid w:val="00B93B72"/>
    <w:rsid w:val="00B93F6C"/>
    <w:rsid w:val="00B94007"/>
    <w:rsid w:val="00B945FA"/>
    <w:rsid w:val="00B948DA"/>
    <w:rsid w:val="00B94CD2"/>
    <w:rsid w:val="00B95341"/>
    <w:rsid w:val="00B9536A"/>
    <w:rsid w:val="00B953FA"/>
    <w:rsid w:val="00B958E5"/>
    <w:rsid w:val="00B95AB0"/>
    <w:rsid w:val="00B95C70"/>
    <w:rsid w:val="00B95D79"/>
    <w:rsid w:val="00B95DBF"/>
    <w:rsid w:val="00B95E24"/>
    <w:rsid w:val="00B96224"/>
    <w:rsid w:val="00B9626C"/>
    <w:rsid w:val="00B962F3"/>
    <w:rsid w:val="00B96418"/>
    <w:rsid w:val="00B9649D"/>
    <w:rsid w:val="00B96C70"/>
    <w:rsid w:val="00B96D23"/>
    <w:rsid w:val="00B96D4F"/>
    <w:rsid w:val="00B96D54"/>
    <w:rsid w:val="00B96ED9"/>
    <w:rsid w:val="00B97104"/>
    <w:rsid w:val="00B977B6"/>
    <w:rsid w:val="00B97934"/>
    <w:rsid w:val="00B97A1F"/>
    <w:rsid w:val="00B97A26"/>
    <w:rsid w:val="00B97A7A"/>
    <w:rsid w:val="00B97D6A"/>
    <w:rsid w:val="00B97D76"/>
    <w:rsid w:val="00B97FA4"/>
    <w:rsid w:val="00BA01F4"/>
    <w:rsid w:val="00BA0325"/>
    <w:rsid w:val="00BA03BD"/>
    <w:rsid w:val="00BA04CC"/>
    <w:rsid w:val="00BA0564"/>
    <w:rsid w:val="00BA070E"/>
    <w:rsid w:val="00BA083E"/>
    <w:rsid w:val="00BA08F2"/>
    <w:rsid w:val="00BA0A5E"/>
    <w:rsid w:val="00BA0BB1"/>
    <w:rsid w:val="00BA0D70"/>
    <w:rsid w:val="00BA0E24"/>
    <w:rsid w:val="00BA1112"/>
    <w:rsid w:val="00BA12C3"/>
    <w:rsid w:val="00BA1432"/>
    <w:rsid w:val="00BA15B9"/>
    <w:rsid w:val="00BA1913"/>
    <w:rsid w:val="00BA198C"/>
    <w:rsid w:val="00BA1AD6"/>
    <w:rsid w:val="00BA1C33"/>
    <w:rsid w:val="00BA1DA0"/>
    <w:rsid w:val="00BA1DF1"/>
    <w:rsid w:val="00BA1F19"/>
    <w:rsid w:val="00BA1FBE"/>
    <w:rsid w:val="00BA20CC"/>
    <w:rsid w:val="00BA20E6"/>
    <w:rsid w:val="00BA23F6"/>
    <w:rsid w:val="00BA242D"/>
    <w:rsid w:val="00BA246A"/>
    <w:rsid w:val="00BA27FC"/>
    <w:rsid w:val="00BA3271"/>
    <w:rsid w:val="00BA3A40"/>
    <w:rsid w:val="00BA3FED"/>
    <w:rsid w:val="00BA401F"/>
    <w:rsid w:val="00BA424C"/>
    <w:rsid w:val="00BA43C9"/>
    <w:rsid w:val="00BA48DE"/>
    <w:rsid w:val="00BA4931"/>
    <w:rsid w:val="00BA4950"/>
    <w:rsid w:val="00BA4A43"/>
    <w:rsid w:val="00BA4AC6"/>
    <w:rsid w:val="00BA4CD6"/>
    <w:rsid w:val="00BA4CFB"/>
    <w:rsid w:val="00BA4D1B"/>
    <w:rsid w:val="00BA5729"/>
    <w:rsid w:val="00BA578E"/>
    <w:rsid w:val="00BA5CD2"/>
    <w:rsid w:val="00BA5CF4"/>
    <w:rsid w:val="00BA5DA3"/>
    <w:rsid w:val="00BA5E0C"/>
    <w:rsid w:val="00BA5EA4"/>
    <w:rsid w:val="00BA5F47"/>
    <w:rsid w:val="00BA602A"/>
    <w:rsid w:val="00BA615C"/>
    <w:rsid w:val="00BA62AC"/>
    <w:rsid w:val="00BA639F"/>
    <w:rsid w:val="00BA650B"/>
    <w:rsid w:val="00BA6B0A"/>
    <w:rsid w:val="00BA6C68"/>
    <w:rsid w:val="00BA7008"/>
    <w:rsid w:val="00BA7068"/>
    <w:rsid w:val="00BA71B4"/>
    <w:rsid w:val="00BA7218"/>
    <w:rsid w:val="00BA72BD"/>
    <w:rsid w:val="00BA73E5"/>
    <w:rsid w:val="00BA73F4"/>
    <w:rsid w:val="00BA78BA"/>
    <w:rsid w:val="00BA7AB7"/>
    <w:rsid w:val="00BA7E56"/>
    <w:rsid w:val="00BB00AA"/>
    <w:rsid w:val="00BB00FE"/>
    <w:rsid w:val="00BB046D"/>
    <w:rsid w:val="00BB04FF"/>
    <w:rsid w:val="00BB0673"/>
    <w:rsid w:val="00BB09BC"/>
    <w:rsid w:val="00BB0A06"/>
    <w:rsid w:val="00BB0B5D"/>
    <w:rsid w:val="00BB0C8E"/>
    <w:rsid w:val="00BB0F4D"/>
    <w:rsid w:val="00BB1071"/>
    <w:rsid w:val="00BB108B"/>
    <w:rsid w:val="00BB110B"/>
    <w:rsid w:val="00BB136B"/>
    <w:rsid w:val="00BB15F4"/>
    <w:rsid w:val="00BB1694"/>
    <w:rsid w:val="00BB1907"/>
    <w:rsid w:val="00BB19A9"/>
    <w:rsid w:val="00BB1B4D"/>
    <w:rsid w:val="00BB2156"/>
    <w:rsid w:val="00BB2193"/>
    <w:rsid w:val="00BB2283"/>
    <w:rsid w:val="00BB22CB"/>
    <w:rsid w:val="00BB239D"/>
    <w:rsid w:val="00BB24FC"/>
    <w:rsid w:val="00BB2559"/>
    <w:rsid w:val="00BB27C6"/>
    <w:rsid w:val="00BB2812"/>
    <w:rsid w:val="00BB2883"/>
    <w:rsid w:val="00BB29BF"/>
    <w:rsid w:val="00BB2B37"/>
    <w:rsid w:val="00BB2CC6"/>
    <w:rsid w:val="00BB30FF"/>
    <w:rsid w:val="00BB3306"/>
    <w:rsid w:val="00BB33C2"/>
    <w:rsid w:val="00BB3442"/>
    <w:rsid w:val="00BB38EA"/>
    <w:rsid w:val="00BB39E4"/>
    <w:rsid w:val="00BB3C76"/>
    <w:rsid w:val="00BB3EB4"/>
    <w:rsid w:val="00BB4212"/>
    <w:rsid w:val="00BB4403"/>
    <w:rsid w:val="00BB46BF"/>
    <w:rsid w:val="00BB4858"/>
    <w:rsid w:val="00BB4A8C"/>
    <w:rsid w:val="00BB4CCF"/>
    <w:rsid w:val="00BB4E88"/>
    <w:rsid w:val="00BB4E8F"/>
    <w:rsid w:val="00BB4ECF"/>
    <w:rsid w:val="00BB4F1C"/>
    <w:rsid w:val="00BB4F35"/>
    <w:rsid w:val="00BB553A"/>
    <w:rsid w:val="00BB5576"/>
    <w:rsid w:val="00BB55B4"/>
    <w:rsid w:val="00BB581B"/>
    <w:rsid w:val="00BB5830"/>
    <w:rsid w:val="00BB58F8"/>
    <w:rsid w:val="00BB5B64"/>
    <w:rsid w:val="00BB5EB3"/>
    <w:rsid w:val="00BB5F9B"/>
    <w:rsid w:val="00BB5FB1"/>
    <w:rsid w:val="00BB6302"/>
    <w:rsid w:val="00BB633D"/>
    <w:rsid w:val="00BB65E7"/>
    <w:rsid w:val="00BB663F"/>
    <w:rsid w:val="00BB6664"/>
    <w:rsid w:val="00BB66CA"/>
    <w:rsid w:val="00BB6794"/>
    <w:rsid w:val="00BB69E6"/>
    <w:rsid w:val="00BB6A9F"/>
    <w:rsid w:val="00BB6BCA"/>
    <w:rsid w:val="00BB6D89"/>
    <w:rsid w:val="00BB6EA6"/>
    <w:rsid w:val="00BB6F54"/>
    <w:rsid w:val="00BB7114"/>
    <w:rsid w:val="00BB748D"/>
    <w:rsid w:val="00BB7652"/>
    <w:rsid w:val="00BB770C"/>
    <w:rsid w:val="00BB7DAA"/>
    <w:rsid w:val="00BB7EEF"/>
    <w:rsid w:val="00BB7F93"/>
    <w:rsid w:val="00BC0005"/>
    <w:rsid w:val="00BC001B"/>
    <w:rsid w:val="00BC003D"/>
    <w:rsid w:val="00BC02EA"/>
    <w:rsid w:val="00BC0561"/>
    <w:rsid w:val="00BC0766"/>
    <w:rsid w:val="00BC082A"/>
    <w:rsid w:val="00BC0B24"/>
    <w:rsid w:val="00BC0DBD"/>
    <w:rsid w:val="00BC0E3E"/>
    <w:rsid w:val="00BC0EBB"/>
    <w:rsid w:val="00BC0EF4"/>
    <w:rsid w:val="00BC0FF3"/>
    <w:rsid w:val="00BC13D1"/>
    <w:rsid w:val="00BC1472"/>
    <w:rsid w:val="00BC1862"/>
    <w:rsid w:val="00BC18D1"/>
    <w:rsid w:val="00BC1A6E"/>
    <w:rsid w:val="00BC1ACB"/>
    <w:rsid w:val="00BC1B76"/>
    <w:rsid w:val="00BC1CE1"/>
    <w:rsid w:val="00BC1D2F"/>
    <w:rsid w:val="00BC1D41"/>
    <w:rsid w:val="00BC1E0E"/>
    <w:rsid w:val="00BC1E78"/>
    <w:rsid w:val="00BC1FCB"/>
    <w:rsid w:val="00BC208F"/>
    <w:rsid w:val="00BC216C"/>
    <w:rsid w:val="00BC2977"/>
    <w:rsid w:val="00BC2A15"/>
    <w:rsid w:val="00BC2A64"/>
    <w:rsid w:val="00BC2BD8"/>
    <w:rsid w:val="00BC2BF1"/>
    <w:rsid w:val="00BC2C0F"/>
    <w:rsid w:val="00BC3245"/>
    <w:rsid w:val="00BC35F0"/>
    <w:rsid w:val="00BC367B"/>
    <w:rsid w:val="00BC3A29"/>
    <w:rsid w:val="00BC3A4D"/>
    <w:rsid w:val="00BC3A90"/>
    <w:rsid w:val="00BC3B85"/>
    <w:rsid w:val="00BC3B88"/>
    <w:rsid w:val="00BC3C25"/>
    <w:rsid w:val="00BC3E8D"/>
    <w:rsid w:val="00BC41B4"/>
    <w:rsid w:val="00BC44C8"/>
    <w:rsid w:val="00BC452B"/>
    <w:rsid w:val="00BC47FA"/>
    <w:rsid w:val="00BC48C2"/>
    <w:rsid w:val="00BC504D"/>
    <w:rsid w:val="00BC5061"/>
    <w:rsid w:val="00BC50AA"/>
    <w:rsid w:val="00BC5372"/>
    <w:rsid w:val="00BC541E"/>
    <w:rsid w:val="00BC5447"/>
    <w:rsid w:val="00BC5724"/>
    <w:rsid w:val="00BC582C"/>
    <w:rsid w:val="00BC588E"/>
    <w:rsid w:val="00BC5AF5"/>
    <w:rsid w:val="00BC5B89"/>
    <w:rsid w:val="00BC5EB0"/>
    <w:rsid w:val="00BC6135"/>
    <w:rsid w:val="00BC61AA"/>
    <w:rsid w:val="00BC6262"/>
    <w:rsid w:val="00BC6628"/>
    <w:rsid w:val="00BC66A1"/>
    <w:rsid w:val="00BC66A9"/>
    <w:rsid w:val="00BC67DF"/>
    <w:rsid w:val="00BC6C1B"/>
    <w:rsid w:val="00BC703D"/>
    <w:rsid w:val="00BC721C"/>
    <w:rsid w:val="00BC7362"/>
    <w:rsid w:val="00BC75DF"/>
    <w:rsid w:val="00BC7825"/>
    <w:rsid w:val="00BC7915"/>
    <w:rsid w:val="00BC79A7"/>
    <w:rsid w:val="00BC7A40"/>
    <w:rsid w:val="00BC7AE1"/>
    <w:rsid w:val="00BC7E8F"/>
    <w:rsid w:val="00BC7EA1"/>
    <w:rsid w:val="00BC7EC1"/>
    <w:rsid w:val="00BD0237"/>
    <w:rsid w:val="00BD031C"/>
    <w:rsid w:val="00BD03EE"/>
    <w:rsid w:val="00BD08EC"/>
    <w:rsid w:val="00BD0992"/>
    <w:rsid w:val="00BD0A98"/>
    <w:rsid w:val="00BD0ADB"/>
    <w:rsid w:val="00BD0B34"/>
    <w:rsid w:val="00BD0D90"/>
    <w:rsid w:val="00BD0E5B"/>
    <w:rsid w:val="00BD0FFE"/>
    <w:rsid w:val="00BD123F"/>
    <w:rsid w:val="00BD133D"/>
    <w:rsid w:val="00BD1389"/>
    <w:rsid w:val="00BD1500"/>
    <w:rsid w:val="00BD1589"/>
    <w:rsid w:val="00BD1792"/>
    <w:rsid w:val="00BD1A29"/>
    <w:rsid w:val="00BD1ABB"/>
    <w:rsid w:val="00BD1AC4"/>
    <w:rsid w:val="00BD1B2D"/>
    <w:rsid w:val="00BD1C3D"/>
    <w:rsid w:val="00BD2742"/>
    <w:rsid w:val="00BD2766"/>
    <w:rsid w:val="00BD2926"/>
    <w:rsid w:val="00BD299E"/>
    <w:rsid w:val="00BD2A5C"/>
    <w:rsid w:val="00BD2A66"/>
    <w:rsid w:val="00BD2AE5"/>
    <w:rsid w:val="00BD2C5F"/>
    <w:rsid w:val="00BD2D35"/>
    <w:rsid w:val="00BD2E77"/>
    <w:rsid w:val="00BD30CC"/>
    <w:rsid w:val="00BD32B6"/>
    <w:rsid w:val="00BD34DB"/>
    <w:rsid w:val="00BD3819"/>
    <w:rsid w:val="00BD3855"/>
    <w:rsid w:val="00BD3919"/>
    <w:rsid w:val="00BD3B4D"/>
    <w:rsid w:val="00BD3EAD"/>
    <w:rsid w:val="00BD3EC2"/>
    <w:rsid w:val="00BD412C"/>
    <w:rsid w:val="00BD41B0"/>
    <w:rsid w:val="00BD4327"/>
    <w:rsid w:val="00BD44B6"/>
    <w:rsid w:val="00BD4632"/>
    <w:rsid w:val="00BD480C"/>
    <w:rsid w:val="00BD4B10"/>
    <w:rsid w:val="00BD4C67"/>
    <w:rsid w:val="00BD4CC2"/>
    <w:rsid w:val="00BD4CED"/>
    <w:rsid w:val="00BD4EE8"/>
    <w:rsid w:val="00BD4F99"/>
    <w:rsid w:val="00BD5101"/>
    <w:rsid w:val="00BD51F2"/>
    <w:rsid w:val="00BD5375"/>
    <w:rsid w:val="00BD5397"/>
    <w:rsid w:val="00BD53A6"/>
    <w:rsid w:val="00BD589C"/>
    <w:rsid w:val="00BD5C3F"/>
    <w:rsid w:val="00BD5CEA"/>
    <w:rsid w:val="00BD5E45"/>
    <w:rsid w:val="00BD5FDF"/>
    <w:rsid w:val="00BD64AF"/>
    <w:rsid w:val="00BD651E"/>
    <w:rsid w:val="00BD6552"/>
    <w:rsid w:val="00BD65DA"/>
    <w:rsid w:val="00BD66D6"/>
    <w:rsid w:val="00BD68EA"/>
    <w:rsid w:val="00BD6CD9"/>
    <w:rsid w:val="00BD6D6D"/>
    <w:rsid w:val="00BD7023"/>
    <w:rsid w:val="00BD720C"/>
    <w:rsid w:val="00BD7317"/>
    <w:rsid w:val="00BD732A"/>
    <w:rsid w:val="00BD7F8E"/>
    <w:rsid w:val="00BE02B3"/>
    <w:rsid w:val="00BE050B"/>
    <w:rsid w:val="00BE0590"/>
    <w:rsid w:val="00BE080D"/>
    <w:rsid w:val="00BE0AB8"/>
    <w:rsid w:val="00BE0E8B"/>
    <w:rsid w:val="00BE0FB8"/>
    <w:rsid w:val="00BE13D8"/>
    <w:rsid w:val="00BE14A0"/>
    <w:rsid w:val="00BE1545"/>
    <w:rsid w:val="00BE1866"/>
    <w:rsid w:val="00BE19F0"/>
    <w:rsid w:val="00BE1D5A"/>
    <w:rsid w:val="00BE1E31"/>
    <w:rsid w:val="00BE1F26"/>
    <w:rsid w:val="00BE21BC"/>
    <w:rsid w:val="00BE2249"/>
    <w:rsid w:val="00BE248C"/>
    <w:rsid w:val="00BE2593"/>
    <w:rsid w:val="00BE26BD"/>
    <w:rsid w:val="00BE26D7"/>
    <w:rsid w:val="00BE27F3"/>
    <w:rsid w:val="00BE2CD1"/>
    <w:rsid w:val="00BE3237"/>
    <w:rsid w:val="00BE3451"/>
    <w:rsid w:val="00BE3506"/>
    <w:rsid w:val="00BE3990"/>
    <w:rsid w:val="00BE3AE6"/>
    <w:rsid w:val="00BE3CA2"/>
    <w:rsid w:val="00BE3E18"/>
    <w:rsid w:val="00BE3FAB"/>
    <w:rsid w:val="00BE4A40"/>
    <w:rsid w:val="00BE4B1D"/>
    <w:rsid w:val="00BE53DF"/>
    <w:rsid w:val="00BE54C7"/>
    <w:rsid w:val="00BE54CF"/>
    <w:rsid w:val="00BE5604"/>
    <w:rsid w:val="00BE5642"/>
    <w:rsid w:val="00BE5713"/>
    <w:rsid w:val="00BE5749"/>
    <w:rsid w:val="00BE58BD"/>
    <w:rsid w:val="00BE5911"/>
    <w:rsid w:val="00BE5B3A"/>
    <w:rsid w:val="00BE5BC0"/>
    <w:rsid w:val="00BE5D30"/>
    <w:rsid w:val="00BE5FB5"/>
    <w:rsid w:val="00BE601E"/>
    <w:rsid w:val="00BE6056"/>
    <w:rsid w:val="00BE61E0"/>
    <w:rsid w:val="00BE6434"/>
    <w:rsid w:val="00BE65A9"/>
    <w:rsid w:val="00BE66CD"/>
    <w:rsid w:val="00BE6749"/>
    <w:rsid w:val="00BE6796"/>
    <w:rsid w:val="00BE680A"/>
    <w:rsid w:val="00BE698C"/>
    <w:rsid w:val="00BE69C2"/>
    <w:rsid w:val="00BE6B3F"/>
    <w:rsid w:val="00BE6C29"/>
    <w:rsid w:val="00BE6EFA"/>
    <w:rsid w:val="00BE6F03"/>
    <w:rsid w:val="00BE6F11"/>
    <w:rsid w:val="00BE70B9"/>
    <w:rsid w:val="00BE7245"/>
    <w:rsid w:val="00BE72C3"/>
    <w:rsid w:val="00BE72D3"/>
    <w:rsid w:val="00BE7360"/>
    <w:rsid w:val="00BE7568"/>
    <w:rsid w:val="00BE7683"/>
    <w:rsid w:val="00BE76AE"/>
    <w:rsid w:val="00BE7A58"/>
    <w:rsid w:val="00BE7A98"/>
    <w:rsid w:val="00BE7AED"/>
    <w:rsid w:val="00BE7B51"/>
    <w:rsid w:val="00BE7B9F"/>
    <w:rsid w:val="00BE7D34"/>
    <w:rsid w:val="00BE7D35"/>
    <w:rsid w:val="00BE7E45"/>
    <w:rsid w:val="00BE7F2B"/>
    <w:rsid w:val="00BF02C3"/>
    <w:rsid w:val="00BF05DE"/>
    <w:rsid w:val="00BF0784"/>
    <w:rsid w:val="00BF0A9D"/>
    <w:rsid w:val="00BF0DAE"/>
    <w:rsid w:val="00BF0F34"/>
    <w:rsid w:val="00BF10B7"/>
    <w:rsid w:val="00BF114E"/>
    <w:rsid w:val="00BF1401"/>
    <w:rsid w:val="00BF1480"/>
    <w:rsid w:val="00BF1651"/>
    <w:rsid w:val="00BF1A35"/>
    <w:rsid w:val="00BF1BD7"/>
    <w:rsid w:val="00BF1CA3"/>
    <w:rsid w:val="00BF1D73"/>
    <w:rsid w:val="00BF2036"/>
    <w:rsid w:val="00BF225C"/>
    <w:rsid w:val="00BF26BE"/>
    <w:rsid w:val="00BF26C3"/>
    <w:rsid w:val="00BF2803"/>
    <w:rsid w:val="00BF2D63"/>
    <w:rsid w:val="00BF33AD"/>
    <w:rsid w:val="00BF344D"/>
    <w:rsid w:val="00BF34E7"/>
    <w:rsid w:val="00BF3777"/>
    <w:rsid w:val="00BF3914"/>
    <w:rsid w:val="00BF3A01"/>
    <w:rsid w:val="00BF3AA1"/>
    <w:rsid w:val="00BF3BF6"/>
    <w:rsid w:val="00BF3EC6"/>
    <w:rsid w:val="00BF48F4"/>
    <w:rsid w:val="00BF497A"/>
    <w:rsid w:val="00BF4B98"/>
    <w:rsid w:val="00BF4DE8"/>
    <w:rsid w:val="00BF4FE8"/>
    <w:rsid w:val="00BF5088"/>
    <w:rsid w:val="00BF521E"/>
    <w:rsid w:val="00BF5268"/>
    <w:rsid w:val="00BF5342"/>
    <w:rsid w:val="00BF538E"/>
    <w:rsid w:val="00BF54EE"/>
    <w:rsid w:val="00BF5702"/>
    <w:rsid w:val="00BF579F"/>
    <w:rsid w:val="00BF581D"/>
    <w:rsid w:val="00BF592D"/>
    <w:rsid w:val="00BF5A3F"/>
    <w:rsid w:val="00BF5EF0"/>
    <w:rsid w:val="00BF607A"/>
    <w:rsid w:val="00BF63C4"/>
    <w:rsid w:val="00BF659C"/>
    <w:rsid w:val="00BF660A"/>
    <w:rsid w:val="00BF6662"/>
    <w:rsid w:val="00BF67EF"/>
    <w:rsid w:val="00BF68A0"/>
    <w:rsid w:val="00BF68D9"/>
    <w:rsid w:val="00BF6AB5"/>
    <w:rsid w:val="00BF6B12"/>
    <w:rsid w:val="00BF6B85"/>
    <w:rsid w:val="00BF721B"/>
    <w:rsid w:val="00BF727A"/>
    <w:rsid w:val="00BF73F0"/>
    <w:rsid w:val="00BF744E"/>
    <w:rsid w:val="00BF7528"/>
    <w:rsid w:val="00BF7780"/>
    <w:rsid w:val="00BF7813"/>
    <w:rsid w:val="00BF7845"/>
    <w:rsid w:val="00BF7865"/>
    <w:rsid w:val="00BF7BF2"/>
    <w:rsid w:val="00BF7C8B"/>
    <w:rsid w:val="00C0000C"/>
    <w:rsid w:val="00C0079C"/>
    <w:rsid w:val="00C0083C"/>
    <w:rsid w:val="00C009F0"/>
    <w:rsid w:val="00C010A8"/>
    <w:rsid w:val="00C0141D"/>
    <w:rsid w:val="00C014DE"/>
    <w:rsid w:val="00C0152B"/>
    <w:rsid w:val="00C0164A"/>
    <w:rsid w:val="00C01798"/>
    <w:rsid w:val="00C017BF"/>
    <w:rsid w:val="00C019FC"/>
    <w:rsid w:val="00C01B0B"/>
    <w:rsid w:val="00C01E7D"/>
    <w:rsid w:val="00C01EBD"/>
    <w:rsid w:val="00C01F1E"/>
    <w:rsid w:val="00C02001"/>
    <w:rsid w:val="00C0202B"/>
    <w:rsid w:val="00C02049"/>
    <w:rsid w:val="00C021BB"/>
    <w:rsid w:val="00C021EB"/>
    <w:rsid w:val="00C02299"/>
    <w:rsid w:val="00C0240F"/>
    <w:rsid w:val="00C0277E"/>
    <w:rsid w:val="00C029EA"/>
    <w:rsid w:val="00C02A20"/>
    <w:rsid w:val="00C02B39"/>
    <w:rsid w:val="00C02B4F"/>
    <w:rsid w:val="00C02DE3"/>
    <w:rsid w:val="00C02ECB"/>
    <w:rsid w:val="00C02FE1"/>
    <w:rsid w:val="00C03012"/>
    <w:rsid w:val="00C03286"/>
    <w:rsid w:val="00C03526"/>
    <w:rsid w:val="00C036E8"/>
    <w:rsid w:val="00C0371A"/>
    <w:rsid w:val="00C0373D"/>
    <w:rsid w:val="00C03DA6"/>
    <w:rsid w:val="00C03EA6"/>
    <w:rsid w:val="00C043A9"/>
    <w:rsid w:val="00C0450D"/>
    <w:rsid w:val="00C0457A"/>
    <w:rsid w:val="00C04615"/>
    <w:rsid w:val="00C0469C"/>
    <w:rsid w:val="00C04834"/>
    <w:rsid w:val="00C049E2"/>
    <w:rsid w:val="00C04B79"/>
    <w:rsid w:val="00C04C83"/>
    <w:rsid w:val="00C04CF5"/>
    <w:rsid w:val="00C04CFA"/>
    <w:rsid w:val="00C04E20"/>
    <w:rsid w:val="00C04E95"/>
    <w:rsid w:val="00C05191"/>
    <w:rsid w:val="00C051D9"/>
    <w:rsid w:val="00C0525D"/>
    <w:rsid w:val="00C05451"/>
    <w:rsid w:val="00C0555E"/>
    <w:rsid w:val="00C0558B"/>
    <w:rsid w:val="00C05613"/>
    <w:rsid w:val="00C05699"/>
    <w:rsid w:val="00C057EE"/>
    <w:rsid w:val="00C058D4"/>
    <w:rsid w:val="00C05A1B"/>
    <w:rsid w:val="00C05B9C"/>
    <w:rsid w:val="00C05BE5"/>
    <w:rsid w:val="00C05C4E"/>
    <w:rsid w:val="00C05CB8"/>
    <w:rsid w:val="00C05E55"/>
    <w:rsid w:val="00C0606C"/>
    <w:rsid w:val="00C063D9"/>
    <w:rsid w:val="00C06408"/>
    <w:rsid w:val="00C06416"/>
    <w:rsid w:val="00C064A7"/>
    <w:rsid w:val="00C06508"/>
    <w:rsid w:val="00C06676"/>
    <w:rsid w:val="00C066D3"/>
    <w:rsid w:val="00C06CFA"/>
    <w:rsid w:val="00C06F4D"/>
    <w:rsid w:val="00C0719D"/>
    <w:rsid w:val="00C074E0"/>
    <w:rsid w:val="00C076D3"/>
    <w:rsid w:val="00C0792A"/>
    <w:rsid w:val="00C07B21"/>
    <w:rsid w:val="00C07C03"/>
    <w:rsid w:val="00C07C0E"/>
    <w:rsid w:val="00C07DD9"/>
    <w:rsid w:val="00C07F1C"/>
    <w:rsid w:val="00C1008D"/>
    <w:rsid w:val="00C10462"/>
    <w:rsid w:val="00C106BA"/>
    <w:rsid w:val="00C10792"/>
    <w:rsid w:val="00C108D4"/>
    <w:rsid w:val="00C1092E"/>
    <w:rsid w:val="00C10B90"/>
    <w:rsid w:val="00C10C7E"/>
    <w:rsid w:val="00C10DC1"/>
    <w:rsid w:val="00C112DF"/>
    <w:rsid w:val="00C1166D"/>
    <w:rsid w:val="00C1195F"/>
    <w:rsid w:val="00C119A8"/>
    <w:rsid w:val="00C119EF"/>
    <w:rsid w:val="00C11AAC"/>
    <w:rsid w:val="00C11D8F"/>
    <w:rsid w:val="00C11E99"/>
    <w:rsid w:val="00C11EE1"/>
    <w:rsid w:val="00C123F5"/>
    <w:rsid w:val="00C12574"/>
    <w:rsid w:val="00C125F2"/>
    <w:rsid w:val="00C12713"/>
    <w:rsid w:val="00C12A56"/>
    <w:rsid w:val="00C12BF3"/>
    <w:rsid w:val="00C12C47"/>
    <w:rsid w:val="00C12C7C"/>
    <w:rsid w:val="00C12DE2"/>
    <w:rsid w:val="00C12E59"/>
    <w:rsid w:val="00C12E7E"/>
    <w:rsid w:val="00C12E82"/>
    <w:rsid w:val="00C12FEB"/>
    <w:rsid w:val="00C13236"/>
    <w:rsid w:val="00C136F8"/>
    <w:rsid w:val="00C138B0"/>
    <w:rsid w:val="00C138F3"/>
    <w:rsid w:val="00C13935"/>
    <w:rsid w:val="00C13C45"/>
    <w:rsid w:val="00C13CAC"/>
    <w:rsid w:val="00C13F6C"/>
    <w:rsid w:val="00C13F9E"/>
    <w:rsid w:val="00C143A3"/>
    <w:rsid w:val="00C14479"/>
    <w:rsid w:val="00C144BD"/>
    <w:rsid w:val="00C145AF"/>
    <w:rsid w:val="00C14A4D"/>
    <w:rsid w:val="00C14AE3"/>
    <w:rsid w:val="00C14B86"/>
    <w:rsid w:val="00C14C67"/>
    <w:rsid w:val="00C14E0D"/>
    <w:rsid w:val="00C14FE6"/>
    <w:rsid w:val="00C14FF4"/>
    <w:rsid w:val="00C150F4"/>
    <w:rsid w:val="00C15354"/>
    <w:rsid w:val="00C153EC"/>
    <w:rsid w:val="00C1563D"/>
    <w:rsid w:val="00C157A3"/>
    <w:rsid w:val="00C15828"/>
    <w:rsid w:val="00C15B14"/>
    <w:rsid w:val="00C15D1E"/>
    <w:rsid w:val="00C15F1E"/>
    <w:rsid w:val="00C16276"/>
    <w:rsid w:val="00C1649C"/>
    <w:rsid w:val="00C16745"/>
    <w:rsid w:val="00C16A2E"/>
    <w:rsid w:val="00C16AAA"/>
    <w:rsid w:val="00C16CBF"/>
    <w:rsid w:val="00C176E9"/>
    <w:rsid w:val="00C178E6"/>
    <w:rsid w:val="00C179EB"/>
    <w:rsid w:val="00C17A74"/>
    <w:rsid w:val="00C17EA5"/>
    <w:rsid w:val="00C17FC3"/>
    <w:rsid w:val="00C2012B"/>
    <w:rsid w:val="00C203E8"/>
    <w:rsid w:val="00C206A9"/>
    <w:rsid w:val="00C20742"/>
    <w:rsid w:val="00C20794"/>
    <w:rsid w:val="00C2081E"/>
    <w:rsid w:val="00C20C68"/>
    <w:rsid w:val="00C20D4D"/>
    <w:rsid w:val="00C2107D"/>
    <w:rsid w:val="00C2123D"/>
    <w:rsid w:val="00C2156B"/>
    <w:rsid w:val="00C21875"/>
    <w:rsid w:val="00C21BBD"/>
    <w:rsid w:val="00C21EB2"/>
    <w:rsid w:val="00C22008"/>
    <w:rsid w:val="00C220E4"/>
    <w:rsid w:val="00C224D9"/>
    <w:rsid w:val="00C22617"/>
    <w:rsid w:val="00C22636"/>
    <w:rsid w:val="00C22689"/>
    <w:rsid w:val="00C2269F"/>
    <w:rsid w:val="00C2272E"/>
    <w:rsid w:val="00C22858"/>
    <w:rsid w:val="00C229AA"/>
    <w:rsid w:val="00C22D3C"/>
    <w:rsid w:val="00C22E1B"/>
    <w:rsid w:val="00C22E2A"/>
    <w:rsid w:val="00C23572"/>
    <w:rsid w:val="00C236CF"/>
    <w:rsid w:val="00C23A73"/>
    <w:rsid w:val="00C23C0D"/>
    <w:rsid w:val="00C23CB8"/>
    <w:rsid w:val="00C23DDF"/>
    <w:rsid w:val="00C23EE3"/>
    <w:rsid w:val="00C240AF"/>
    <w:rsid w:val="00C24417"/>
    <w:rsid w:val="00C245B1"/>
    <w:rsid w:val="00C24672"/>
    <w:rsid w:val="00C246EA"/>
    <w:rsid w:val="00C247C0"/>
    <w:rsid w:val="00C248A8"/>
    <w:rsid w:val="00C24FF6"/>
    <w:rsid w:val="00C250CC"/>
    <w:rsid w:val="00C253D2"/>
    <w:rsid w:val="00C25A2D"/>
    <w:rsid w:val="00C25EFB"/>
    <w:rsid w:val="00C26018"/>
    <w:rsid w:val="00C267F3"/>
    <w:rsid w:val="00C2684E"/>
    <w:rsid w:val="00C26B1C"/>
    <w:rsid w:val="00C26BBA"/>
    <w:rsid w:val="00C26BE9"/>
    <w:rsid w:val="00C26D6D"/>
    <w:rsid w:val="00C26E34"/>
    <w:rsid w:val="00C27301"/>
    <w:rsid w:val="00C27591"/>
    <w:rsid w:val="00C27629"/>
    <w:rsid w:val="00C27709"/>
    <w:rsid w:val="00C2770E"/>
    <w:rsid w:val="00C27940"/>
    <w:rsid w:val="00C27991"/>
    <w:rsid w:val="00C27E1F"/>
    <w:rsid w:val="00C301EE"/>
    <w:rsid w:val="00C30210"/>
    <w:rsid w:val="00C302AB"/>
    <w:rsid w:val="00C3036C"/>
    <w:rsid w:val="00C3060C"/>
    <w:rsid w:val="00C308C7"/>
    <w:rsid w:val="00C309F2"/>
    <w:rsid w:val="00C30A20"/>
    <w:rsid w:val="00C30AE7"/>
    <w:rsid w:val="00C30BE3"/>
    <w:rsid w:val="00C30C25"/>
    <w:rsid w:val="00C30D7D"/>
    <w:rsid w:val="00C30DE6"/>
    <w:rsid w:val="00C31173"/>
    <w:rsid w:val="00C312DF"/>
    <w:rsid w:val="00C31501"/>
    <w:rsid w:val="00C315AB"/>
    <w:rsid w:val="00C316DD"/>
    <w:rsid w:val="00C31CD6"/>
    <w:rsid w:val="00C31DE7"/>
    <w:rsid w:val="00C31E10"/>
    <w:rsid w:val="00C3208F"/>
    <w:rsid w:val="00C320B7"/>
    <w:rsid w:val="00C32243"/>
    <w:rsid w:val="00C322D1"/>
    <w:rsid w:val="00C3252A"/>
    <w:rsid w:val="00C325BB"/>
    <w:rsid w:val="00C3278C"/>
    <w:rsid w:val="00C32B4B"/>
    <w:rsid w:val="00C32D32"/>
    <w:rsid w:val="00C32D73"/>
    <w:rsid w:val="00C32E4D"/>
    <w:rsid w:val="00C32EBE"/>
    <w:rsid w:val="00C330BF"/>
    <w:rsid w:val="00C330E2"/>
    <w:rsid w:val="00C33C65"/>
    <w:rsid w:val="00C33CAC"/>
    <w:rsid w:val="00C33D2E"/>
    <w:rsid w:val="00C34157"/>
    <w:rsid w:val="00C34406"/>
    <w:rsid w:val="00C34540"/>
    <w:rsid w:val="00C3457D"/>
    <w:rsid w:val="00C3459C"/>
    <w:rsid w:val="00C3494C"/>
    <w:rsid w:val="00C34ADF"/>
    <w:rsid w:val="00C34B1A"/>
    <w:rsid w:val="00C34B49"/>
    <w:rsid w:val="00C34BC4"/>
    <w:rsid w:val="00C35312"/>
    <w:rsid w:val="00C35562"/>
    <w:rsid w:val="00C3571B"/>
    <w:rsid w:val="00C35744"/>
    <w:rsid w:val="00C35A5F"/>
    <w:rsid w:val="00C35AA4"/>
    <w:rsid w:val="00C35B2C"/>
    <w:rsid w:val="00C35D8E"/>
    <w:rsid w:val="00C35E70"/>
    <w:rsid w:val="00C360CA"/>
    <w:rsid w:val="00C36143"/>
    <w:rsid w:val="00C361B3"/>
    <w:rsid w:val="00C361FF"/>
    <w:rsid w:val="00C36550"/>
    <w:rsid w:val="00C367C7"/>
    <w:rsid w:val="00C367EC"/>
    <w:rsid w:val="00C3691E"/>
    <w:rsid w:val="00C36963"/>
    <w:rsid w:val="00C369A6"/>
    <w:rsid w:val="00C369AA"/>
    <w:rsid w:val="00C36A9A"/>
    <w:rsid w:val="00C36AD2"/>
    <w:rsid w:val="00C36B32"/>
    <w:rsid w:val="00C36CE4"/>
    <w:rsid w:val="00C36E60"/>
    <w:rsid w:val="00C37096"/>
    <w:rsid w:val="00C3709C"/>
    <w:rsid w:val="00C370AD"/>
    <w:rsid w:val="00C3715C"/>
    <w:rsid w:val="00C37397"/>
    <w:rsid w:val="00C3743B"/>
    <w:rsid w:val="00C374D6"/>
    <w:rsid w:val="00C37618"/>
    <w:rsid w:val="00C37689"/>
    <w:rsid w:val="00C37861"/>
    <w:rsid w:val="00C37D11"/>
    <w:rsid w:val="00C37D38"/>
    <w:rsid w:val="00C37FED"/>
    <w:rsid w:val="00C406A2"/>
    <w:rsid w:val="00C40A33"/>
    <w:rsid w:val="00C40AA1"/>
    <w:rsid w:val="00C40B04"/>
    <w:rsid w:val="00C40B8D"/>
    <w:rsid w:val="00C40C5C"/>
    <w:rsid w:val="00C40E4D"/>
    <w:rsid w:val="00C40E78"/>
    <w:rsid w:val="00C412CD"/>
    <w:rsid w:val="00C41407"/>
    <w:rsid w:val="00C41557"/>
    <w:rsid w:val="00C4187A"/>
    <w:rsid w:val="00C41A77"/>
    <w:rsid w:val="00C41F9B"/>
    <w:rsid w:val="00C429B4"/>
    <w:rsid w:val="00C42A62"/>
    <w:rsid w:val="00C42B80"/>
    <w:rsid w:val="00C430C6"/>
    <w:rsid w:val="00C43ADE"/>
    <w:rsid w:val="00C445BE"/>
    <w:rsid w:val="00C44609"/>
    <w:rsid w:val="00C44C6E"/>
    <w:rsid w:val="00C45349"/>
    <w:rsid w:val="00C453A1"/>
    <w:rsid w:val="00C45685"/>
    <w:rsid w:val="00C45914"/>
    <w:rsid w:val="00C459BA"/>
    <w:rsid w:val="00C45A3D"/>
    <w:rsid w:val="00C45A88"/>
    <w:rsid w:val="00C45C64"/>
    <w:rsid w:val="00C45C88"/>
    <w:rsid w:val="00C45F13"/>
    <w:rsid w:val="00C45FDB"/>
    <w:rsid w:val="00C46284"/>
    <w:rsid w:val="00C462A6"/>
    <w:rsid w:val="00C4632B"/>
    <w:rsid w:val="00C4658C"/>
    <w:rsid w:val="00C467C3"/>
    <w:rsid w:val="00C468B8"/>
    <w:rsid w:val="00C46D4F"/>
    <w:rsid w:val="00C470B9"/>
    <w:rsid w:val="00C47118"/>
    <w:rsid w:val="00C473FF"/>
    <w:rsid w:val="00C47432"/>
    <w:rsid w:val="00C4764A"/>
    <w:rsid w:val="00C47885"/>
    <w:rsid w:val="00C47A6F"/>
    <w:rsid w:val="00C47D7C"/>
    <w:rsid w:val="00C47F39"/>
    <w:rsid w:val="00C50321"/>
    <w:rsid w:val="00C510DD"/>
    <w:rsid w:val="00C511E3"/>
    <w:rsid w:val="00C517F3"/>
    <w:rsid w:val="00C51E31"/>
    <w:rsid w:val="00C51E7E"/>
    <w:rsid w:val="00C52399"/>
    <w:rsid w:val="00C5258C"/>
    <w:rsid w:val="00C525DD"/>
    <w:rsid w:val="00C52734"/>
    <w:rsid w:val="00C5277F"/>
    <w:rsid w:val="00C527E5"/>
    <w:rsid w:val="00C52A62"/>
    <w:rsid w:val="00C52A68"/>
    <w:rsid w:val="00C52ABC"/>
    <w:rsid w:val="00C52B20"/>
    <w:rsid w:val="00C52D1E"/>
    <w:rsid w:val="00C52E02"/>
    <w:rsid w:val="00C52E6C"/>
    <w:rsid w:val="00C52E79"/>
    <w:rsid w:val="00C534AD"/>
    <w:rsid w:val="00C53669"/>
    <w:rsid w:val="00C536D8"/>
    <w:rsid w:val="00C5370C"/>
    <w:rsid w:val="00C53937"/>
    <w:rsid w:val="00C53BD5"/>
    <w:rsid w:val="00C53D31"/>
    <w:rsid w:val="00C53D90"/>
    <w:rsid w:val="00C53DD8"/>
    <w:rsid w:val="00C53ECF"/>
    <w:rsid w:val="00C544E0"/>
    <w:rsid w:val="00C546BE"/>
    <w:rsid w:val="00C54A10"/>
    <w:rsid w:val="00C54A77"/>
    <w:rsid w:val="00C54BA8"/>
    <w:rsid w:val="00C54D16"/>
    <w:rsid w:val="00C54FE5"/>
    <w:rsid w:val="00C5503F"/>
    <w:rsid w:val="00C550DB"/>
    <w:rsid w:val="00C55153"/>
    <w:rsid w:val="00C551B9"/>
    <w:rsid w:val="00C551FE"/>
    <w:rsid w:val="00C55335"/>
    <w:rsid w:val="00C55368"/>
    <w:rsid w:val="00C553AD"/>
    <w:rsid w:val="00C554B9"/>
    <w:rsid w:val="00C556A1"/>
    <w:rsid w:val="00C5572A"/>
    <w:rsid w:val="00C55863"/>
    <w:rsid w:val="00C5586A"/>
    <w:rsid w:val="00C55CBF"/>
    <w:rsid w:val="00C55CE9"/>
    <w:rsid w:val="00C55D12"/>
    <w:rsid w:val="00C55D65"/>
    <w:rsid w:val="00C55DBC"/>
    <w:rsid w:val="00C55E8F"/>
    <w:rsid w:val="00C55EC4"/>
    <w:rsid w:val="00C561BB"/>
    <w:rsid w:val="00C56708"/>
    <w:rsid w:val="00C56779"/>
    <w:rsid w:val="00C5683B"/>
    <w:rsid w:val="00C56842"/>
    <w:rsid w:val="00C56861"/>
    <w:rsid w:val="00C568F7"/>
    <w:rsid w:val="00C56901"/>
    <w:rsid w:val="00C56E1F"/>
    <w:rsid w:val="00C5707C"/>
    <w:rsid w:val="00C572B3"/>
    <w:rsid w:val="00C57632"/>
    <w:rsid w:val="00C576D9"/>
    <w:rsid w:val="00C5776B"/>
    <w:rsid w:val="00C5797D"/>
    <w:rsid w:val="00C57BE1"/>
    <w:rsid w:val="00C57F1F"/>
    <w:rsid w:val="00C60013"/>
    <w:rsid w:val="00C60015"/>
    <w:rsid w:val="00C60042"/>
    <w:rsid w:val="00C6091C"/>
    <w:rsid w:val="00C60E2E"/>
    <w:rsid w:val="00C610D2"/>
    <w:rsid w:val="00C61270"/>
    <w:rsid w:val="00C6144E"/>
    <w:rsid w:val="00C618C7"/>
    <w:rsid w:val="00C61CEA"/>
    <w:rsid w:val="00C61F29"/>
    <w:rsid w:val="00C61FD1"/>
    <w:rsid w:val="00C62015"/>
    <w:rsid w:val="00C62710"/>
    <w:rsid w:val="00C6283E"/>
    <w:rsid w:val="00C62C6C"/>
    <w:rsid w:val="00C63336"/>
    <w:rsid w:val="00C63370"/>
    <w:rsid w:val="00C636BA"/>
    <w:rsid w:val="00C638E0"/>
    <w:rsid w:val="00C63D71"/>
    <w:rsid w:val="00C63DEE"/>
    <w:rsid w:val="00C63E2B"/>
    <w:rsid w:val="00C63EE7"/>
    <w:rsid w:val="00C63F9C"/>
    <w:rsid w:val="00C64232"/>
    <w:rsid w:val="00C6452E"/>
    <w:rsid w:val="00C645FE"/>
    <w:rsid w:val="00C64994"/>
    <w:rsid w:val="00C64E9E"/>
    <w:rsid w:val="00C65012"/>
    <w:rsid w:val="00C653A3"/>
    <w:rsid w:val="00C6549F"/>
    <w:rsid w:val="00C65635"/>
    <w:rsid w:val="00C6572B"/>
    <w:rsid w:val="00C65838"/>
    <w:rsid w:val="00C65A2C"/>
    <w:rsid w:val="00C65BFD"/>
    <w:rsid w:val="00C65E23"/>
    <w:rsid w:val="00C65EA3"/>
    <w:rsid w:val="00C65FCA"/>
    <w:rsid w:val="00C6609F"/>
    <w:rsid w:val="00C6633B"/>
    <w:rsid w:val="00C667C4"/>
    <w:rsid w:val="00C6681D"/>
    <w:rsid w:val="00C66B29"/>
    <w:rsid w:val="00C6703C"/>
    <w:rsid w:val="00C6742F"/>
    <w:rsid w:val="00C676EE"/>
    <w:rsid w:val="00C67874"/>
    <w:rsid w:val="00C678F6"/>
    <w:rsid w:val="00C67E1C"/>
    <w:rsid w:val="00C67E40"/>
    <w:rsid w:val="00C67F10"/>
    <w:rsid w:val="00C70100"/>
    <w:rsid w:val="00C702E2"/>
    <w:rsid w:val="00C70519"/>
    <w:rsid w:val="00C70599"/>
    <w:rsid w:val="00C705D0"/>
    <w:rsid w:val="00C7067C"/>
    <w:rsid w:val="00C707A1"/>
    <w:rsid w:val="00C707B4"/>
    <w:rsid w:val="00C70B23"/>
    <w:rsid w:val="00C70CDD"/>
    <w:rsid w:val="00C7115C"/>
    <w:rsid w:val="00C71227"/>
    <w:rsid w:val="00C7147D"/>
    <w:rsid w:val="00C715D6"/>
    <w:rsid w:val="00C71727"/>
    <w:rsid w:val="00C71909"/>
    <w:rsid w:val="00C71B91"/>
    <w:rsid w:val="00C71D14"/>
    <w:rsid w:val="00C7207A"/>
    <w:rsid w:val="00C72281"/>
    <w:rsid w:val="00C7237B"/>
    <w:rsid w:val="00C72411"/>
    <w:rsid w:val="00C724EB"/>
    <w:rsid w:val="00C7261F"/>
    <w:rsid w:val="00C72633"/>
    <w:rsid w:val="00C726D6"/>
    <w:rsid w:val="00C72701"/>
    <w:rsid w:val="00C72A16"/>
    <w:rsid w:val="00C72B96"/>
    <w:rsid w:val="00C72D09"/>
    <w:rsid w:val="00C72D36"/>
    <w:rsid w:val="00C72D74"/>
    <w:rsid w:val="00C72EA2"/>
    <w:rsid w:val="00C72EBD"/>
    <w:rsid w:val="00C72F03"/>
    <w:rsid w:val="00C7322E"/>
    <w:rsid w:val="00C73443"/>
    <w:rsid w:val="00C7349A"/>
    <w:rsid w:val="00C73553"/>
    <w:rsid w:val="00C73633"/>
    <w:rsid w:val="00C736EA"/>
    <w:rsid w:val="00C73803"/>
    <w:rsid w:val="00C73918"/>
    <w:rsid w:val="00C73965"/>
    <w:rsid w:val="00C739FE"/>
    <w:rsid w:val="00C73CEC"/>
    <w:rsid w:val="00C73DCD"/>
    <w:rsid w:val="00C73EA6"/>
    <w:rsid w:val="00C745C6"/>
    <w:rsid w:val="00C74CEC"/>
    <w:rsid w:val="00C74EBE"/>
    <w:rsid w:val="00C751DF"/>
    <w:rsid w:val="00C753CF"/>
    <w:rsid w:val="00C75657"/>
    <w:rsid w:val="00C75782"/>
    <w:rsid w:val="00C759F3"/>
    <w:rsid w:val="00C75A9D"/>
    <w:rsid w:val="00C75AA9"/>
    <w:rsid w:val="00C75CE8"/>
    <w:rsid w:val="00C7614A"/>
    <w:rsid w:val="00C761D5"/>
    <w:rsid w:val="00C764D9"/>
    <w:rsid w:val="00C76646"/>
    <w:rsid w:val="00C766E7"/>
    <w:rsid w:val="00C7671C"/>
    <w:rsid w:val="00C76A54"/>
    <w:rsid w:val="00C76F18"/>
    <w:rsid w:val="00C77034"/>
    <w:rsid w:val="00C7764B"/>
    <w:rsid w:val="00C7765D"/>
    <w:rsid w:val="00C77763"/>
    <w:rsid w:val="00C77AA1"/>
    <w:rsid w:val="00C77CA0"/>
    <w:rsid w:val="00C77EAA"/>
    <w:rsid w:val="00C80530"/>
    <w:rsid w:val="00C8053D"/>
    <w:rsid w:val="00C805B9"/>
    <w:rsid w:val="00C80612"/>
    <w:rsid w:val="00C80766"/>
    <w:rsid w:val="00C80A18"/>
    <w:rsid w:val="00C80A98"/>
    <w:rsid w:val="00C80DE5"/>
    <w:rsid w:val="00C8116B"/>
    <w:rsid w:val="00C813CD"/>
    <w:rsid w:val="00C81487"/>
    <w:rsid w:val="00C81CC0"/>
    <w:rsid w:val="00C81E70"/>
    <w:rsid w:val="00C8207F"/>
    <w:rsid w:val="00C8272D"/>
    <w:rsid w:val="00C82922"/>
    <w:rsid w:val="00C82968"/>
    <w:rsid w:val="00C82CCB"/>
    <w:rsid w:val="00C83280"/>
    <w:rsid w:val="00C834C2"/>
    <w:rsid w:val="00C83513"/>
    <w:rsid w:val="00C835F4"/>
    <w:rsid w:val="00C83711"/>
    <w:rsid w:val="00C83789"/>
    <w:rsid w:val="00C8396A"/>
    <w:rsid w:val="00C83CA0"/>
    <w:rsid w:val="00C83D6B"/>
    <w:rsid w:val="00C83F3E"/>
    <w:rsid w:val="00C8426B"/>
    <w:rsid w:val="00C8428C"/>
    <w:rsid w:val="00C842BB"/>
    <w:rsid w:val="00C843A0"/>
    <w:rsid w:val="00C84687"/>
    <w:rsid w:val="00C8473C"/>
    <w:rsid w:val="00C8492E"/>
    <w:rsid w:val="00C849BA"/>
    <w:rsid w:val="00C84AE4"/>
    <w:rsid w:val="00C84D53"/>
    <w:rsid w:val="00C850A4"/>
    <w:rsid w:val="00C85283"/>
    <w:rsid w:val="00C85287"/>
    <w:rsid w:val="00C85567"/>
    <w:rsid w:val="00C85753"/>
    <w:rsid w:val="00C85814"/>
    <w:rsid w:val="00C85816"/>
    <w:rsid w:val="00C85A0A"/>
    <w:rsid w:val="00C85B6A"/>
    <w:rsid w:val="00C85BD4"/>
    <w:rsid w:val="00C85D43"/>
    <w:rsid w:val="00C85F9E"/>
    <w:rsid w:val="00C85FD2"/>
    <w:rsid w:val="00C85FD9"/>
    <w:rsid w:val="00C8602D"/>
    <w:rsid w:val="00C8609E"/>
    <w:rsid w:val="00C860A9"/>
    <w:rsid w:val="00C86277"/>
    <w:rsid w:val="00C862C8"/>
    <w:rsid w:val="00C863DC"/>
    <w:rsid w:val="00C8665D"/>
    <w:rsid w:val="00C8675E"/>
    <w:rsid w:val="00C86873"/>
    <w:rsid w:val="00C86BAA"/>
    <w:rsid w:val="00C86BFF"/>
    <w:rsid w:val="00C87057"/>
    <w:rsid w:val="00C87269"/>
    <w:rsid w:val="00C8731E"/>
    <w:rsid w:val="00C87522"/>
    <w:rsid w:val="00C8768C"/>
    <w:rsid w:val="00C8771A"/>
    <w:rsid w:val="00C87792"/>
    <w:rsid w:val="00C87819"/>
    <w:rsid w:val="00C87CFC"/>
    <w:rsid w:val="00C900CA"/>
    <w:rsid w:val="00C902DA"/>
    <w:rsid w:val="00C9057C"/>
    <w:rsid w:val="00C90C3F"/>
    <w:rsid w:val="00C90CE6"/>
    <w:rsid w:val="00C90F22"/>
    <w:rsid w:val="00C90F28"/>
    <w:rsid w:val="00C90FEE"/>
    <w:rsid w:val="00C91004"/>
    <w:rsid w:val="00C9112C"/>
    <w:rsid w:val="00C9116D"/>
    <w:rsid w:val="00C911DB"/>
    <w:rsid w:val="00C9186A"/>
    <w:rsid w:val="00C91A57"/>
    <w:rsid w:val="00C91B20"/>
    <w:rsid w:val="00C91C40"/>
    <w:rsid w:val="00C91EFF"/>
    <w:rsid w:val="00C92143"/>
    <w:rsid w:val="00C921CC"/>
    <w:rsid w:val="00C923BD"/>
    <w:rsid w:val="00C92928"/>
    <w:rsid w:val="00C929FE"/>
    <w:rsid w:val="00C92AB4"/>
    <w:rsid w:val="00C92B19"/>
    <w:rsid w:val="00C92E1B"/>
    <w:rsid w:val="00C93049"/>
    <w:rsid w:val="00C93472"/>
    <w:rsid w:val="00C934C9"/>
    <w:rsid w:val="00C93744"/>
    <w:rsid w:val="00C939B2"/>
    <w:rsid w:val="00C93E06"/>
    <w:rsid w:val="00C93F31"/>
    <w:rsid w:val="00C943BE"/>
    <w:rsid w:val="00C946A2"/>
    <w:rsid w:val="00C947DE"/>
    <w:rsid w:val="00C948A8"/>
    <w:rsid w:val="00C94C5C"/>
    <w:rsid w:val="00C94C94"/>
    <w:rsid w:val="00C94EC8"/>
    <w:rsid w:val="00C94F2B"/>
    <w:rsid w:val="00C95115"/>
    <w:rsid w:val="00C9563E"/>
    <w:rsid w:val="00C95736"/>
    <w:rsid w:val="00C95A4F"/>
    <w:rsid w:val="00C95CAF"/>
    <w:rsid w:val="00C95DEE"/>
    <w:rsid w:val="00C95FD6"/>
    <w:rsid w:val="00C960C8"/>
    <w:rsid w:val="00C962B9"/>
    <w:rsid w:val="00C96474"/>
    <w:rsid w:val="00C9651E"/>
    <w:rsid w:val="00C9653C"/>
    <w:rsid w:val="00C9680C"/>
    <w:rsid w:val="00C96948"/>
    <w:rsid w:val="00C96B52"/>
    <w:rsid w:val="00C96BD7"/>
    <w:rsid w:val="00C96D40"/>
    <w:rsid w:val="00C96DB6"/>
    <w:rsid w:val="00C96FA7"/>
    <w:rsid w:val="00C971CD"/>
    <w:rsid w:val="00C97211"/>
    <w:rsid w:val="00C97279"/>
    <w:rsid w:val="00C97323"/>
    <w:rsid w:val="00C9742A"/>
    <w:rsid w:val="00C978E0"/>
    <w:rsid w:val="00C97AF1"/>
    <w:rsid w:val="00C97C2A"/>
    <w:rsid w:val="00C97FC4"/>
    <w:rsid w:val="00CA03BA"/>
    <w:rsid w:val="00CA043C"/>
    <w:rsid w:val="00CA057D"/>
    <w:rsid w:val="00CA0A26"/>
    <w:rsid w:val="00CA0A48"/>
    <w:rsid w:val="00CA0BEF"/>
    <w:rsid w:val="00CA0D2F"/>
    <w:rsid w:val="00CA0E21"/>
    <w:rsid w:val="00CA0EF4"/>
    <w:rsid w:val="00CA1363"/>
    <w:rsid w:val="00CA13E0"/>
    <w:rsid w:val="00CA1414"/>
    <w:rsid w:val="00CA1505"/>
    <w:rsid w:val="00CA16B4"/>
    <w:rsid w:val="00CA17E9"/>
    <w:rsid w:val="00CA1851"/>
    <w:rsid w:val="00CA189C"/>
    <w:rsid w:val="00CA18FF"/>
    <w:rsid w:val="00CA1C56"/>
    <w:rsid w:val="00CA1FE9"/>
    <w:rsid w:val="00CA22DA"/>
    <w:rsid w:val="00CA2A3F"/>
    <w:rsid w:val="00CA2B16"/>
    <w:rsid w:val="00CA2ED6"/>
    <w:rsid w:val="00CA2FC0"/>
    <w:rsid w:val="00CA3041"/>
    <w:rsid w:val="00CA309B"/>
    <w:rsid w:val="00CA310A"/>
    <w:rsid w:val="00CA32F1"/>
    <w:rsid w:val="00CA33D5"/>
    <w:rsid w:val="00CA3589"/>
    <w:rsid w:val="00CA367F"/>
    <w:rsid w:val="00CA3796"/>
    <w:rsid w:val="00CA3CE3"/>
    <w:rsid w:val="00CA3D63"/>
    <w:rsid w:val="00CA4312"/>
    <w:rsid w:val="00CA4338"/>
    <w:rsid w:val="00CA4534"/>
    <w:rsid w:val="00CA49D0"/>
    <w:rsid w:val="00CA4B1F"/>
    <w:rsid w:val="00CA4BFB"/>
    <w:rsid w:val="00CA4E3D"/>
    <w:rsid w:val="00CA4E51"/>
    <w:rsid w:val="00CA514E"/>
    <w:rsid w:val="00CA51B8"/>
    <w:rsid w:val="00CA5654"/>
    <w:rsid w:val="00CA5663"/>
    <w:rsid w:val="00CA5698"/>
    <w:rsid w:val="00CA5789"/>
    <w:rsid w:val="00CA5A06"/>
    <w:rsid w:val="00CA5B29"/>
    <w:rsid w:val="00CA5C3F"/>
    <w:rsid w:val="00CA5CC9"/>
    <w:rsid w:val="00CA5CCF"/>
    <w:rsid w:val="00CA5DFD"/>
    <w:rsid w:val="00CA62A4"/>
    <w:rsid w:val="00CA62FD"/>
    <w:rsid w:val="00CA6740"/>
    <w:rsid w:val="00CA692E"/>
    <w:rsid w:val="00CA6C1F"/>
    <w:rsid w:val="00CA6E0A"/>
    <w:rsid w:val="00CA6EC9"/>
    <w:rsid w:val="00CA7115"/>
    <w:rsid w:val="00CA71A5"/>
    <w:rsid w:val="00CA7288"/>
    <w:rsid w:val="00CA72B1"/>
    <w:rsid w:val="00CA7420"/>
    <w:rsid w:val="00CA749E"/>
    <w:rsid w:val="00CA788C"/>
    <w:rsid w:val="00CA7B4B"/>
    <w:rsid w:val="00CA7CDC"/>
    <w:rsid w:val="00CA7D9B"/>
    <w:rsid w:val="00CA7F93"/>
    <w:rsid w:val="00CB0135"/>
    <w:rsid w:val="00CB0198"/>
    <w:rsid w:val="00CB02C7"/>
    <w:rsid w:val="00CB04A5"/>
    <w:rsid w:val="00CB07F8"/>
    <w:rsid w:val="00CB089C"/>
    <w:rsid w:val="00CB097B"/>
    <w:rsid w:val="00CB09E4"/>
    <w:rsid w:val="00CB0A99"/>
    <w:rsid w:val="00CB0C7B"/>
    <w:rsid w:val="00CB0C84"/>
    <w:rsid w:val="00CB1291"/>
    <w:rsid w:val="00CB15FD"/>
    <w:rsid w:val="00CB174A"/>
    <w:rsid w:val="00CB18DC"/>
    <w:rsid w:val="00CB1948"/>
    <w:rsid w:val="00CB20F0"/>
    <w:rsid w:val="00CB261E"/>
    <w:rsid w:val="00CB2954"/>
    <w:rsid w:val="00CB2A91"/>
    <w:rsid w:val="00CB2B45"/>
    <w:rsid w:val="00CB2CE6"/>
    <w:rsid w:val="00CB2D0A"/>
    <w:rsid w:val="00CB2D15"/>
    <w:rsid w:val="00CB2D3B"/>
    <w:rsid w:val="00CB3051"/>
    <w:rsid w:val="00CB328E"/>
    <w:rsid w:val="00CB3678"/>
    <w:rsid w:val="00CB367E"/>
    <w:rsid w:val="00CB375A"/>
    <w:rsid w:val="00CB3788"/>
    <w:rsid w:val="00CB37D8"/>
    <w:rsid w:val="00CB3AD8"/>
    <w:rsid w:val="00CB3EB0"/>
    <w:rsid w:val="00CB41B7"/>
    <w:rsid w:val="00CB42FC"/>
    <w:rsid w:val="00CB43D6"/>
    <w:rsid w:val="00CB4435"/>
    <w:rsid w:val="00CB4473"/>
    <w:rsid w:val="00CB45A5"/>
    <w:rsid w:val="00CB45FC"/>
    <w:rsid w:val="00CB4653"/>
    <w:rsid w:val="00CB470B"/>
    <w:rsid w:val="00CB4741"/>
    <w:rsid w:val="00CB47FD"/>
    <w:rsid w:val="00CB4897"/>
    <w:rsid w:val="00CB48B8"/>
    <w:rsid w:val="00CB4939"/>
    <w:rsid w:val="00CB5364"/>
    <w:rsid w:val="00CB548D"/>
    <w:rsid w:val="00CB551A"/>
    <w:rsid w:val="00CB565E"/>
    <w:rsid w:val="00CB5661"/>
    <w:rsid w:val="00CB5A2F"/>
    <w:rsid w:val="00CB5AFE"/>
    <w:rsid w:val="00CB5B23"/>
    <w:rsid w:val="00CB5CA0"/>
    <w:rsid w:val="00CB5E12"/>
    <w:rsid w:val="00CB6036"/>
    <w:rsid w:val="00CB6416"/>
    <w:rsid w:val="00CB65C6"/>
    <w:rsid w:val="00CB6778"/>
    <w:rsid w:val="00CB69AA"/>
    <w:rsid w:val="00CB6A8E"/>
    <w:rsid w:val="00CB6B3A"/>
    <w:rsid w:val="00CB6FEF"/>
    <w:rsid w:val="00CB71D2"/>
    <w:rsid w:val="00CB738A"/>
    <w:rsid w:val="00CB758D"/>
    <w:rsid w:val="00CB7A89"/>
    <w:rsid w:val="00CB7E6B"/>
    <w:rsid w:val="00CC002D"/>
    <w:rsid w:val="00CC03A6"/>
    <w:rsid w:val="00CC0565"/>
    <w:rsid w:val="00CC07C1"/>
    <w:rsid w:val="00CC07C7"/>
    <w:rsid w:val="00CC07CB"/>
    <w:rsid w:val="00CC08D3"/>
    <w:rsid w:val="00CC0908"/>
    <w:rsid w:val="00CC0EB8"/>
    <w:rsid w:val="00CC102B"/>
    <w:rsid w:val="00CC11C7"/>
    <w:rsid w:val="00CC11D8"/>
    <w:rsid w:val="00CC1212"/>
    <w:rsid w:val="00CC1293"/>
    <w:rsid w:val="00CC144A"/>
    <w:rsid w:val="00CC15FC"/>
    <w:rsid w:val="00CC176E"/>
    <w:rsid w:val="00CC18DD"/>
    <w:rsid w:val="00CC1DBF"/>
    <w:rsid w:val="00CC1DCC"/>
    <w:rsid w:val="00CC1E69"/>
    <w:rsid w:val="00CC1EC6"/>
    <w:rsid w:val="00CC1EF8"/>
    <w:rsid w:val="00CC212F"/>
    <w:rsid w:val="00CC2382"/>
    <w:rsid w:val="00CC250B"/>
    <w:rsid w:val="00CC259B"/>
    <w:rsid w:val="00CC2701"/>
    <w:rsid w:val="00CC293A"/>
    <w:rsid w:val="00CC2A27"/>
    <w:rsid w:val="00CC2DC0"/>
    <w:rsid w:val="00CC2E12"/>
    <w:rsid w:val="00CC2E8A"/>
    <w:rsid w:val="00CC3237"/>
    <w:rsid w:val="00CC32E7"/>
    <w:rsid w:val="00CC35A9"/>
    <w:rsid w:val="00CC35C9"/>
    <w:rsid w:val="00CC36DC"/>
    <w:rsid w:val="00CC378C"/>
    <w:rsid w:val="00CC39FD"/>
    <w:rsid w:val="00CC3B57"/>
    <w:rsid w:val="00CC3CF5"/>
    <w:rsid w:val="00CC4179"/>
    <w:rsid w:val="00CC429D"/>
    <w:rsid w:val="00CC43EA"/>
    <w:rsid w:val="00CC4426"/>
    <w:rsid w:val="00CC48EF"/>
    <w:rsid w:val="00CC4D07"/>
    <w:rsid w:val="00CC4EBB"/>
    <w:rsid w:val="00CC4F40"/>
    <w:rsid w:val="00CC5215"/>
    <w:rsid w:val="00CC52AC"/>
    <w:rsid w:val="00CC53FF"/>
    <w:rsid w:val="00CC540C"/>
    <w:rsid w:val="00CC5883"/>
    <w:rsid w:val="00CC5A11"/>
    <w:rsid w:val="00CC5CA1"/>
    <w:rsid w:val="00CC5CDE"/>
    <w:rsid w:val="00CC5E9D"/>
    <w:rsid w:val="00CC6025"/>
    <w:rsid w:val="00CC607F"/>
    <w:rsid w:val="00CC620D"/>
    <w:rsid w:val="00CC64AC"/>
    <w:rsid w:val="00CC64D4"/>
    <w:rsid w:val="00CC6763"/>
    <w:rsid w:val="00CC699C"/>
    <w:rsid w:val="00CC6CEB"/>
    <w:rsid w:val="00CC71CB"/>
    <w:rsid w:val="00CC734D"/>
    <w:rsid w:val="00CC74FD"/>
    <w:rsid w:val="00CC7542"/>
    <w:rsid w:val="00CC769A"/>
    <w:rsid w:val="00CC780A"/>
    <w:rsid w:val="00CC7813"/>
    <w:rsid w:val="00CC7ACA"/>
    <w:rsid w:val="00CC7D29"/>
    <w:rsid w:val="00CC7E8B"/>
    <w:rsid w:val="00CD001A"/>
    <w:rsid w:val="00CD009E"/>
    <w:rsid w:val="00CD00A8"/>
    <w:rsid w:val="00CD02DC"/>
    <w:rsid w:val="00CD0351"/>
    <w:rsid w:val="00CD0989"/>
    <w:rsid w:val="00CD0AEA"/>
    <w:rsid w:val="00CD0F55"/>
    <w:rsid w:val="00CD1082"/>
    <w:rsid w:val="00CD10A8"/>
    <w:rsid w:val="00CD12CC"/>
    <w:rsid w:val="00CD12DC"/>
    <w:rsid w:val="00CD15FC"/>
    <w:rsid w:val="00CD173C"/>
    <w:rsid w:val="00CD17D5"/>
    <w:rsid w:val="00CD1B9A"/>
    <w:rsid w:val="00CD1E7D"/>
    <w:rsid w:val="00CD21EC"/>
    <w:rsid w:val="00CD222E"/>
    <w:rsid w:val="00CD227E"/>
    <w:rsid w:val="00CD229A"/>
    <w:rsid w:val="00CD23E0"/>
    <w:rsid w:val="00CD24AA"/>
    <w:rsid w:val="00CD263E"/>
    <w:rsid w:val="00CD293B"/>
    <w:rsid w:val="00CD2A25"/>
    <w:rsid w:val="00CD2A7E"/>
    <w:rsid w:val="00CD2B90"/>
    <w:rsid w:val="00CD2C2F"/>
    <w:rsid w:val="00CD2D28"/>
    <w:rsid w:val="00CD301F"/>
    <w:rsid w:val="00CD31DE"/>
    <w:rsid w:val="00CD32E2"/>
    <w:rsid w:val="00CD32F1"/>
    <w:rsid w:val="00CD3392"/>
    <w:rsid w:val="00CD34ED"/>
    <w:rsid w:val="00CD3612"/>
    <w:rsid w:val="00CD3689"/>
    <w:rsid w:val="00CD3813"/>
    <w:rsid w:val="00CD3A83"/>
    <w:rsid w:val="00CD3AAD"/>
    <w:rsid w:val="00CD3BD5"/>
    <w:rsid w:val="00CD3D33"/>
    <w:rsid w:val="00CD410F"/>
    <w:rsid w:val="00CD445C"/>
    <w:rsid w:val="00CD446D"/>
    <w:rsid w:val="00CD4587"/>
    <w:rsid w:val="00CD47D4"/>
    <w:rsid w:val="00CD48AB"/>
    <w:rsid w:val="00CD490A"/>
    <w:rsid w:val="00CD4999"/>
    <w:rsid w:val="00CD49D7"/>
    <w:rsid w:val="00CD4BDC"/>
    <w:rsid w:val="00CD4C3D"/>
    <w:rsid w:val="00CD4E0A"/>
    <w:rsid w:val="00CD4F56"/>
    <w:rsid w:val="00CD4F66"/>
    <w:rsid w:val="00CD51DD"/>
    <w:rsid w:val="00CD52BE"/>
    <w:rsid w:val="00CD52E7"/>
    <w:rsid w:val="00CD5421"/>
    <w:rsid w:val="00CD5520"/>
    <w:rsid w:val="00CD5713"/>
    <w:rsid w:val="00CD5908"/>
    <w:rsid w:val="00CD5B99"/>
    <w:rsid w:val="00CD5C88"/>
    <w:rsid w:val="00CD620A"/>
    <w:rsid w:val="00CD69E7"/>
    <w:rsid w:val="00CD6A76"/>
    <w:rsid w:val="00CD6D39"/>
    <w:rsid w:val="00CD6EAC"/>
    <w:rsid w:val="00CD6F01"/>
    <w:rsid w:val="00CD73DB"/>
    <w:rsid w:val="00CD7575"/>
    <w:rsid w:val="00CD767C"/>
    <w:rsid w:val="00CD7F16"/>
    <w:rsid w:val="00CE0296"/>
    <w:rsid w:val="00CE0318"/>
    <w:rsid w:val="00CE03FE"/>
    <w:rsid w:val="00CE099E"/>
    <w:rsid w:val="00CE0B02"/>
    <w:rsid w:val="00CE0C3C"/>
    <w:rsid w:val="00CE0DED"/>
    <w:rsid w:val="00CE0FA8"/>
    <w:rsid w:val="00CE1767"/>
    <w:rsid w:val="00CE17EF"/>
    <w:rsid w:val="00CE1B9A"/>
    <w:rsid w:val="00CE1D2D"/>
    <w:rsid w:val="00CE1F90"/>
    <w:rsid w:val="00CE2209"/>
    <w:rsid w:val="00CE222E"/>
    <w:rsid w:val="00CE2560"/>
    <w:rsid w:val="00CE26B4"/>
    <w:rsid w:val="00CE278A"/>
    <w:rsid w:val="00CE2C72"/>
    <w:rsid w:val="00CE2C9E"/>
    <w:rsid w:val="00CE2EA7"/>
    <w:rsid w:val="00CE339D"/>
    <w:rsid w:val="00CE347A"/>
    <w:rsid w:val="00CE34D3"/>
    <w:rsid w:val="00CE352F"/>
    <w:rsid w:val="00CE36FE"/>
    <w:rsid w:val="00CE37A0"/>
    <w:rsid w:val="00CE38FD"/>
    <w:rsid w:val="00CE3BA8"/>
    <w:rsid w:val="00CE40C0"/>
    <w:rsid w:val="00CE4281"/>
    <w:rsid w:val="00CE4747"/>
    <w:rsid w:val="00CE4793"/>
    <w:rsid w:val="00CE4A80"/>
    <w:rsid w:val="00CE4B35"/>
    <w:rsid w:val="00CE4FB1"/>
    <w:rsid w:val="00CE4FDC"/>
    <w:rsid w:val="00CE5425"/>
    <w:rsid w:val="00CE569B"/>
    <w:rsid w:val="00CE56E7"/>
    <w:rsid w:val="00CE5824"/>
    <w:rsid w:val="00CE5903"/>
    <w:rsid w:val="00CE592A"/>
    <w:rsid w:val="00CE5A11"/>
    <w:rsid w:val="00CE5C36"/>
    <w:rsid w:val="00CE5DCB"/>
    <w:rsid w:val="00CE5F5A"/>
    <w:rsid w:val="00CE600E"/>
    <w:rsid w:val="00CE6110"/>
    <w:rsid w:val="00CE61C7"/>
    <w:rsid w:val="00CE622E"/>
    <w:rsid w:val="00CE62E7"/>
    <w:rsid w:val="00CE637B"/>
    <w:rsid w:val="00CE641D"/>
    <w:rsid w:val="00CE6542"/>
    <w:rsid w:val="00CE6D34"/>
    <w:rsid w:val="00CE7012"/>
    <w:rsid w:val="00CE71C9"/>
    <w:rsid w:val="00CE7314"/>
    <w:rsid w:val="00CE73F2"/>
    <w:rsid w:val="00CE75A1"/>
    <w:rsid w:val="00CE75F1"/>
    <w:rsid w:val="00CE7770"/>
    <w:rsid w:val="00CE7776"/>
    <w:rsid w:val="00CE7853"/>
    <w:rsid w:val="00CE7A7D"/>
    <w:rsid w:val="00CE7B20"/>
    <w:rsid w:val="00CF020F"/>
    <w:rsid w:val="00CF0422"/>
    <w:rsid w:val="00CF04D1"/>
    <w:rsid w:val="00CF088D"/>
    <w:rsid w:val="00CF0C9C"/>
    <w:rsid w:val="00CF130A"/>
    <w:rsid w:val="00CF13AF"/>
    <w:rsid w:val="00CF1441"/>
    <w:rsid w:val="00CF1B11"/>
    <w:rsid w:val="00CF1BDA"/>
    <w:rsid w:val="00CF1D86"/>
    <w:rsid w:val="00CF2564"/>
    <w:rsid w:val="00CF2AE6"/>
    <w:rsid w:val="00CF304C"/>
    <w:rsid w:val="00CF393C"/>
    <w:rsid w:val="00CF3C43"/>
    <w:rsid w:val="00CF3C57"/>
    <w:rsid w:val="00CF404F"/>
    <w:rsid w:val="00CF414C"/>
    <w:rsid w:val="00CF4219"/>
    <w:rsid w:val="00CF44C8"/>
    <w:rsid w:val="00CF4656"/>
    <w:rsid w:val="00CF4FA6"/>
    <w:rsid w:val="00CF5018"/>
    <w:rsid w:val="00CF5257"/>
    <w:rsid w:val="00CF52CF"/>
    <w:rsid w:val="00CF53CD"/>
    <w:rsid w:val="00CF5502"/>
    <w:rsid w:val="00CF55E0"/>
    <w:rsid w:val="00CF56F9"/>
    <w:rsid w:val="00CF5739"/>
    <w:rsid w:val="00CF5772"/>
    <w:rsid w:val="00CF59FB"/>
    <w:rsid w:val="00CF5DBF"/>
    <w:rsid w:val="00CF5EEA"/>
    <w:rsid w:val="00CF60CE"/>
    <w:rsid w:val="00CF62E7"/>
    <w:rsid w:val="00CF635E"/>
    <w:rsid w:val="00CF63C0"/>
    <w:rsid w:val="00CF660A"/>
    <w:rsid w:val="00CF669A"/>
    <w:rsid w:val="00CF66A1"/>
    <w:rsid w:val="00CF7036"/>
    <w:rsid w:val="00CF7137"/>
    <w:rsid w:val="00CF74E3"/>
    <w:rsid w:val="00CF76C2"/>
    <w:rsid w:val="00CF7AFF"/>
    <w:rsid w:val="00CF7BC9"/>
    <w:rsid w:val="00CF7CDC"/>
    <w:rsid w:val="00CF7E65"/>
    <w:rsid w:val="00D0041B"/>
    <w:rsid w:val="00D00C21"/>
    <w:rsid w:val="00D00FD7"/>
    <w:rsid w:val="00D012CB"/>
    <w:rsid w:val="00D0137F"/>
    <w:rsid w:val="00D01726"/>
    <w:rsid w:val="00D01B3A"/>
    <w:rsid w:val="00D01BC3"/>
    <w:rsid w:val="00D02470"/>
    <w:rsid w:val="00D0249C"/>
    <w:rsid w:val="00D024E0"/>
    <w:rsid w:val="00D0252E"/>
    <w:rsid w:val="00D026AB"/>
    <w:rsid w:val="00D027E7"/>
    <w:rsid w:val="00D02865"/>
    <w:rsid w:val="00D02BD1"/>
    <w:rsid w:val="00D02C48"/>
    <w:rsid w:val="00D02E63"/>
    <w:rsid w:val="00D02E8D"/>
    <w:rsid w:val="00D02FBF"/>
    <w:rsid w:val="00D03384"/>
    <w:rsid w:val="00D036AA"/>
    <w:rsid w:val="00D037CD"/>
    <w:rsid w:val="00D03C34"/>
    <w:rsid w:val="00D03E4B"/>
    <w:rsid w:val="00D03F84"/>
    <w:rsid w:val="00D044A7"/>
    <w:rsid w:val="00D04958"/>
    <w:rsid w:val="00D04C5A"/>
    <w:rsid w:val="00D04D28"/>
    <w:rsid w:val="00D04E55"/>
    <w:rsid w:val="00D04EA9"/>
    <w:rsid w:val="00D050DA"/>
    <w:rsid w:val="00D054F5"/>
    <w:rsid w:val="00D05C42"/>
    <w:rsid w:val="00D05C71"/>
    <w:rsid w:val="00D05CC7"/>
    <w:rsid w:val="00D05FFF"/>
    <w:rsid w:val="00D06236"/>
    <w:rsid w:val="00D063FC"/>
    <w:rsid w:val="00D0652C"/>
    <w:rsid w:val="00D06785"/>
    <w:rsid w:val="00D067B2"/>
    <w:rsid w:val="00D06A3B"/>
    <w:rsid w:val="00D06C03"/>
    <w:rsid w:val="00D06ED5"/>
    <w:rsid w:val="00D06EED"/>
    <w:rsid w:val="00D0734A"/>
    <w:rsid w:val="00D0734B"/>
    <w:rsid w:val="00D073A2"/>
    <w:rsid w:val="00D0763B"/>
    <w:rsid w:val="00D07EB3"/>
    <w:rsid w:val="00D1008B"/>
    <w:rsid w:val="00D10096"/>
    <w:rsid w:val="00D10632"/>
    <w:rsid w:val="00D106A0"/>
    <w:rsid w:val="00D10784"/>
    <w:rsid w:val="00D10D36"/>
    <w:rsid w:val="00D10D3B"/>
    <w:rsid w:val="00D10DD2"/>
    <w:rsid w:val="00D10EEB"/>
    <w:rsid w:val="00D10FBC"/>
    <w:rsid w:val="00D111D2"/>
    <w:rsid w:val="00D11B4C"/>
    <w:rsid w:val="00D11BA8"/>
    <w:rsid w:val="00D11D3E"/>
    <w:rsid w:val="00D11EA1"/>
    <w:rsid w:val="00D11F1D"/>
    <w:rsid w:val="00D11F7B"/>
    <w:rsid w:val="00D11FA9"/>
    <w:rsid w:val="00D1217D"/>
    <w:rsid w:val="00D1223A"/>
    <w:rsid w:val="00D1226C"/>
    <w:rsid w:val="00D123EE"/>
    <w:rsid w:val="00D12403"/>
    <w:rsid w:val="00D1250A"/>
    <w:rsid w:val="00D125E1"/>
    <w:rsid w:val="00D1262D"/>
    <w:rsid w:val="00D1276C"/>
    <w:rsid w:val="00D127D3"/>
    <w:rsid w:val="00D12999"/>
    <w:rsid w:val="00D12D74"/>
    <w:rsid w:val="00D12F06"/>
    <w:rsid w:val="00D12F2B"/>
    <w:rsid w:val="00D12FB8"/>
    <w:rsid w:val="00D12FFF"/>
    <w:rsid w:val="00D1331E"/>
    <w:rsid w:val="00D1340B"/>
    <w:rsid w:val="00D1349E"/>
    <w:rsid w:val="00D134A3"/>
    <w:rsid w:val="00D13852"/>
    <w:rsid w:val="00D13863"/>
    <w:rsid w:val="00D13BD5"/>
    <w:rsid w:val="00D13D5B"/>
    <w:rsid w:val="00D13FC6"/>
    <w:rsid w:val="00D14453"/>
    <w:rsid w:val="00D14564"/>
    <w:rsid w:val="00D14879"/>
    <w:rsid w:val="00D14B41"/>
    <w:rsid w:val="00D14B54"/>
    <w:rsid w:val="00D14CF3"/>
    <w:rsid w:val="00D14E2E"/>
    <w:rsid w:val="00D1520A"/>
    <w:rsid w:val="00D1542D"/>
    <w:rsid w:val="00D15649"/>
    <w:rsid w:val="00D1577A"/>
    <w:rsid w:val="00D15D43"/>
    <w:rsid w:val="00D15E36"/>
    <w:rsid w:val="00D1615C"/>
    <w:rsid w:val="00D1617C"/>
    <w:rsid w:val="00D16892"/>
    <w:rsid w:val="00D16980"/>
    <w:rsid w:val="00D16A8A"/>
    <w:rsid w:val="00D16B4C"/>
    <w:rsid w:val="00D16D96"/>
    <w:rsid w:val="00D16DEF"/>
    <w:rsid w:val="00D16E9B"/>
    <w:rsid w:val="00D16F3C"/>
    <w:rsid w:val="00D170A4"/>
    <w:rsid w:val="00D1765E"/>
    <w:rsid w:val="00D17F1B"/>
    <w:rsid w:val="00D200DF"/>
    <w:rsid w:val="00D201F4"/>
    <w:rsid w:val="00D2024B"/>
    <w:rsid w:val="00D205E9"/>
    <w:rsid w:val="00D2088D"/>
    <w:rsid w:val="00D20B6B"/>
    <w:rsid w:val="00D20DEF"/>
    <w:rsid w:val="00D20F98"/>
    <w:rsid w:val="00D2119C"/>
    <w:rsid w:val="00D21543"/>
    <w:rsid w:val="00D21602"/>
    <w:rsid w:val="00D2162E"/>
    <w:rsid w:val="00D216B9"/>
    <w:rsid w:val="00D2196D"/>
    <w:rsid w:val="00D219EC"/>
    <w:rsid w:val="00D21B2C"/>
    <w:rsid w:val="00D21F98"/>
    <w:rsid w:val="00D220D9"/>
    <w:rsid w:val="00D22194"/>
    <w:rsid w:val="00D2266D"/>
    <w:rsid w:val="00D22A83"/>
    <w:rsid w:val="00D22C26"/>
    <w:rsid w:val="00D22CD3"/>
    <w:rsid w:val="00D2301F"/>
    <w:rsid w:val="00D23286"/>
    <w:rsid w:val="00D23416"/>
    <w:rsid w:val="00D236C2"/>
    <w:rsid w:val="00D238CB"/>
    <w:rsid w:val="00D238D9"/>
    <w:rsid w:val="00D238FA"/>
    <w:rsid w:val="00D2391D"/>
    <w:rsid w:val="00D23C54"/>
    <w:rsid w:val="00D23CF1"/>
    <w:rsid w:val="00D23F9C"/>
    <w:rsid w:val="00D24196"/>
    <w:rsid w:val="00D241E2"/>
    <w:rsid w:val="00D24201"/>
    <w:rsid w:val="00D24784"/>
    <w:rsid w:val="00D248A2"/>
    <w:rsid w:val="00D248DB"/>
    <w:rsid w:val="00D24B79"/>
    <w:rsid w:val="00D24BAD"/>
    <w:rsid w:val="00D24BD6"/>
    <w:rsid w:val="00D24CF9"/>
    <w:rsid w:val="00D24D0A"/>
    <w:rsid w:val="00D24EB2"/>
    <w:rsid w:val="00D24EFC"/>
    <w:rsid w:val="00D24FCB"/>
    <w:rsid w:val="00D25258"/>
    <w:rsid w:val="00D25343"/>
    <w:rsid w:val="00D25B49"/>
    <w:rsid w:val="00D25C74"/>
    <w:rsid w:val="00D26391"/>
    <w:rsid w:val="00D26472"/>
    <w:rsid w:val="00D264F3"/>
    <w:rsid w:val="00D26746"/>
    <w:rsid w:val="00D26752"/>
    <w:rsid w:val="00D26ABB"/>
    <w:rsid w:val="00D26AF0"/>
    <w:rsid w:val="00D26BBE"/>
    <w:rsid w:val="00D26CEA"/>
    <w:rsid w:val="00D26D28"/>
    <w:rsid w:val="00D27362"/>
    <w:rsid w:val="00D27423"/>
    <w:rsid w:val="00D27428"/>
    <w:rsid w:val="00D274B4"/>
    <w:rsid w:val="00D278A2"/>
    <w:rsid w:val="00D2796E"/>
    <w:rsid w:val="00D279E0"/>
    <w:rsid w:val="00D27D25"/>
    <w:rsid w:val="00D27D58"/>
    <w:rsid w:val="00D27FC8"/>
    <w:rsid w:val="00D3013A"/>
    <w:rsid w:val="00D30348"/>
    <w:rsid w:val="00D3057A"/>
    <w:rsid w:val="00D305D6"/>
    <w:rsid w:val="00D306CB"/>
    <w:rsid w:val="00D307D3"/>
    <w:rsid w:val="00D30AD4"/>
    <w:rsid w:val="00D30BCC"/>
    <w:rsid w:val="00D30DCD"/>
    <w:rsid w:val="00D3130C"/>
    <w:rsid w:val="00D3136C"/>
    <w:rsid w:val="00D3153D"/>
    <w:rsid w:val="00D316E5"/>
    <w:rsid w:val="00D31A9A"/>
    <w:rsid w:val="00D31B26"/>
    <w:rsid w:val="00D31BE0"/>
    <w:rsid w:val="00D32202"/>
    <w:rsid w:val="00D323F7"/>
    <w:rsid w:val="00D32609"/>
    <w:rsid w:val="00D326E7"/>
    <w:rsid w:val="00D328D7"/>
    <w:rsid w:val="00D3316C"/>
    <w:rsid w:val="00D332B5"/>
    <w:rsid w:val="00D33541"/>
    <w:rsid w:val="00D33841"/>
    <w:rsid w:val="00D339C0"/>
    <w:rsid w:val="00D33A04"/>
    <w:rsid w:val="00D33C4A"/>
    <w:rsid w:val="00D33C96"/>
    <w:rsid w:val="00D341CB"/>
    <w:rsid w:val="00D342A1"/>
    <w:rsid w:val="00D3431B"/>
    <w:rsid w:val="00D34F66"/>
    <w:rsid w:val="00D35333"/>
    <w:rsid w:val="00D353FB"/>
    <w:rsid w:val="00D35417"/>
    <w:rsid w:val="00D358EF"/>
    <w:rsid w:val="00D358F3"/>
    <w:rsid w:val="00D358FB"/>
    <w:rsid w:val="00D3595F"/>
    <w:rsid w:val="00D35963"/>
    <w:rsid w:val="00D3596D"/>
    <w:rsid w:val="00D35D1E"/>
    <w:rsid w:val="00D35D53"/>
    <w:rsid w:val="00D35D72"/>
    <w:rsid w:val="00D35D9C"/>
    <w:rsid w:val="00D35E78"/>
    <w:rsid w:val="00D3648B"/>
    <w:rsid w:val="00D36624"/>
    <w:rsid w:val="00D36DF4"/>
    <w:rsid w:val="00D36E5C"/>
    <w:rsid w:val="00D36F82"/>
    <w:rsid w:val="00D3727B"/>
    <w:rsid w:val="00D373F2"/>
    <w:rsid w:val="00D376B7"/>
    <w:rsid w:val="00D3793B"/>
    <w:rsid w:val="00D379A6"/>
    <w:rsid w:val="00D37A0F"/>
    <w:rsid w:val="00D37EC3"/>
    <w:rsid w:val="00D37FF0"/>
    <w:rsid w:val="00D40246"/>
    <w:rsid w:val="00D403B4"/>
    <w:rsid w:val="00D403BF"/>
    <w:rsid w:val="00D40B51"/>
    <w:rsid w:val="00D40CD6"/>
    <w:rsid w:val="00D40E05"/>
    <w:rsid w:val="00D41072"/>
    <w:rsid w:val="00D4108F"/>
    <w:rsid w:val="00D410DF"/>
    <w:rsid w:val="00D410E6"/>
    <w:rsid w:val="00D413F9"/>
    <w:rsid w:val="00D4168F"/>
    <w:rsid w:val="00D41691"/>
    <w:rsid w:val="00D418E0"/>
    <w:rsid w:val="00D4194B"/>
    <w:rsid w:val="00D419E2"/>
    <w:rsid w:val="00D419F8"/>
    <w:rsid w:val="00D41B77"/>
    <w:rsid w:val="00D41DC9"/>
    <w:rsid w:val="00D4205D"/>
    <w:rsid w:val="00D420B7"/>
    <w:rsid w:val="00D4252D"/>
    <w:rsid w:val="00D42685"/>
    <w:rsid w:val="00D42902"/>
    <w:rsid w:val="00D4299C"/>
    <w:rsid w:val="00D42A22"/>
    <w:rsid w:val="00D42AE4"/>
    <w:rsid w:val="00D42B1F"/>
    <w:rsid w:val="00D42FC8"/>
    <w:rsid w:val="00D4327C"/>
    <w:rsid w:val="00D4342E"/>
    <w:rsid w:val="00D4355D"/>
    <w:rsid w:val="00D436D6"/>
    <w:rsid w:val="00D43839"/>
    <w:rsid w:val="00D438E6"/>
    <w:rsid w:val="00D43BF1"/>
    <w:rsid w:val="00D43E54"/>
    <w:rsid w:val="00D44042"/>
    <w:rsid w:val="00D4422A"/>
    <w:rsid w:val="00D442EF"/>
    <w:rsid w:val="00D444EA"/>
    <w:rsid w:val="00D4475F"/>
    <w:rsid w:val="00D447CB"/>
    <w:rsid w:val="00D44D18"/>
    <w:rsid w:val="00D4510A"/>
    <w:rsid w:val="00D4514A"/>
    <w:rsid w:val="00D4528E"/>
    <w:rsid w:val="00D45333"/>
    <w:rsid w:val="00D454C9"/>
    <w:rsid w:val="00D45567"/>
    <w:rsid w:val="00D45949"/>
    <w:rsid w:val="00D45979"/>
    <w:rsid w:val="00D45A6D"/>
    <w:rsid w:val="00D45A7A"/>
    <w:rsid w:val="00D45A89"/>
    <w:rsid w:val="00D45AED"/>
    <w:rsid w:val="00D45EC8"/>
    <w:rsid w:val="00D464F3"/>
    <w:rsid w:val="00D4661C"/>
    <w:rsid w:val="00D466C6"/>
    <w:rsid w:val="00D46875"/>
    <w:rsid w:val="00D46AF0"/>
    <w:rsid w:val="00D46C04"/>
    <w:rsid w:val="00D46C89"/>
    <w:rsid w:val="00D47101"/>
    <w:rsid w:val="00D47755"/>
    <w:rsid w:val="00D478F3"/>
    <w:rsid w:val="00D4791C"/>
    <w:rsid w:val="00D479F7"/>
    <w:rsid w:val="00D47B6E"/>
    <w:rsid w:val="00D47D59"/>
    <w:rsid w:val="00D47DCD"/>
    <w:rsid w:val="00D47EF5"/>
    <w:rsid w:val="00D47F5F"/>
    <w:rsid w:val="00D5044A"/>
    <w:rsid w:val="00D50805"/>
    <w:rsid w:val="00D50820"/>
    <w:rsid w:val="00D509E9"/>
    <w:rsid w:val="00D50E0F"/>
    <w:rsid w:val="00D50E2C"/>
    <w:rsid w:val="00D50F79"/>
    <w:rsid w:val="00D510E8"/>
    <w:rsid w:val="00D512E5"/>
    <w:rsid w:val="00D513FC"/>
    <w:rsid w:val="00D51E5C"/>
    <w:rsid w:val="00D5201B"/>
    <w:rsid w:val="00D520B1"/>
    <w:rsid w:val="00D52174"/>
    <w:rsid w:val="00D522C6"/>
    <w:rsid w:val="00D522EC"/>
    <w:rsid w:val="00D5240E"/>
    <w:rsid w:val="00D52643"/>
    <w:rsid w:val="00D5269C"/>
    <w:rsid w:val="00D52B21"/>
    <w:rsid w:val="00D52EC1"/>
    <w:rsid w:val="00D5311C"/>
    <w:rsid w:val="00D533C3"/>
    <w:rsid w:val="00D534A9"/>
    <w:rsid w:val="00D53605"/>
    <w:rsid w:val="00D536B9"/>
    <w:rsid w:val="00D53823"/>
    <w:rsid w:val="00D5393A"/>
    <w:rsid w:val="00D5396A"/>
    <w:rsid w:val="00D53D08"/>
    <w:rsid w:val="00D53E7F"/>
    <w:rsid w:val="00D53F02"/>
    <w:rsid w:val="00D54169"/>
    <w:rsid w:val="00D54291"/>
    <w:rsid w:val="00D54426"/>
    <w:rsid w:val="00D54501"/>
    <w:rsid w:val="00D5456A"/>
    <w:rsid w:val="00D546DE"/>
    <w:rsid w:val="00D547D9"/>
    <w:rsid w:val="00D5487B"/>
    <w:rsid w:val="00D5487E"/>
    <w:rsid w:val="00D5494B"/>
    <w:rsid w:val="00D54AE0"/>
    <w:rsid w:val="00D54C19"/>
    <w:rsid w:val="00D54E32"/>
    <w:rsid w:val="00D54F8B"/>
    <w:rsid w:val="00D5505C"/>
    <w:rsid w:val="00D55215"/>
    <w:rsid w:val="00D5527B"/>
    <w:rsid w:val="00D55285"/>
    <w:rsid w:val="00D554A8"/>
    <w:rsid w:val="00D55619"/>
    <w:rsid w:val="00D5577E"/>
    <w:rsid w:val="00D559C0"/>
    <w:rsid w:val="00D55A7D"/>
    <w:rsid w:val="00D55AB5"/>
    <w:rsid w:val="00D55AD0"/>
    <w:rsid w:val="00D55D5A"/>
    <w:rsid w:val="00D55DAA"/>
    <w:rsid w:val="00D55EC2"/>
    <w:rsid w:val="00D56104"/>
    <w:rsid w:val="00D562E4"/>
    <w:rsid w:val="00D5632D"/>
    <w:rsid w:val="00D56668"/>
    <w:rsid w:val="00D56DC8"/>
    <w:rsid w:val="00D571C2"/>
    <w:rsid w:val="00D5731B"/>
    <w:rsid w:val="00D5731F"/>
    <w:rsid w:val="00D577B2"/>
    <w:rsid w:val="00D578AC"/>
    <w:rsid w:val="00D578E5"/>
    <w:rsid w:val="00D57902"/>
    <w:rsid w:val="00D57A22"/>
    <w:rsid w:val="00D57A51"/>
    <w:rsid w:val="00D57A98"/>
    <w:rsid w:val="00D57B48"/>
    <w:rsid w:val="00D57B6B"/>
    <w:rsid w:val="00D57C50"/>
    <w:rsid w:val="00D57F71"/>
    <w:rsid w:val="00D600EF"/>
    <w:rsid w:val="00D6015F"/>
    <w:rsid w:val="00D60214"/>
    <w:rsid w:val="00D60260"/>
    <w:rsid w:val="00D60680"/>
    <w:rsid w:val="00D6083B"/>
    <w:rsid w:val="00D6086C"/>
    <w:rsid w:val="00D60B11"/>
    <w:rsid w:val="00D60CBF"/>
    <w:rsid w:val="00D60CD3"/>
    <w:rsid w:val="00D610E6"/>
    <w:rsid w:val="00D61134"/>
    <w:rsid w:val="00D61600"/>
    <w:rsid w:val="00D61614"/>
    <w:rsid w:val="00D6171D"/>
    <w:rsid w:val="00D61821"/>
    <w:rsid w:val="00D6184A"/>
    <w:rsid w:val="00D6186E"/>
    <w:rsid w:val="00D61BAC"/>
    <w:rsid w:val="00D61C06"/>
    <w:rsid w:val="00D61CF1"/>
    <w:rsid w:val="00D622A7"/>
    <w:rsid w:val="00D623C7"/>
    <w:rsid w:val="00D624A2"/>
    <w:rsid w:val="00D6266A"/>
    <w:rsid w:val="00D62689"/>
    <w:rsid w:val="00D627DA"/>
    <w:rsid w:val="00D62858"/>
    <w:rsid w:val="00D629F4"/>
    <w:rsid w:val="00D62AD0"/>
    <w:rsid w:val="00D62B65"/>
    <w:rsid w:val="00D62BF2"/>
    <w:rsid w:val="00D62E02"/>
    <w:rsid w:val="00D63089"/>
    <w:rsid w:val="00D6318E"/>
    <w:rsid w:val="00D631D4"/>
    <w:rsid w:val="00D6331E"/>
    <w:rsid w:val="00D63324"/>
    <w:rsid w:val="00D63329"/>
    <w:rsid w:val="00D6377C"/>
    <w:rsid w:val="00D637E1"/>
    <w:rsid w:val="00D6381C"/>
    <w:rsid w:val="00D63902"/>
    <w:rsid w:val="00D63925"/>
    <w:rsid w:val="00D63AA5"/>
    <w:rsid w:val="00D63C09"/>
    <w:rsid w:val="00D63C7D"/>
    <w:rsid w:val="00D63DB7"/>
    <w:rsid w:val="00D63E54"/>
    <w:rsid w:val="00D63E7D"/>
    <w:rsid w:val="00D6403E"/>
    <w:rsid w:val="00D64142"/>
    <w:rsid w:val="00D645EC"/>
    <w:rsid w:val="00D646A9"/>
    <w:rsid w:val="00D646F4"/>
    <w:rsid w:val="00D647B8"/>
    <w:rsid w:val="00D648B8"/>
    <w:rsid w:val="00D6530A"/>
    <w:rsid w:val="00D653FD"/>
    <w:rsid w:val="00D654C2"/>
    <w:rsid w:val="00D65554"/>
    <w:rsid w:val="00D655FD"/>
    <w:rsid w:val="00D6564E"/>
    <w:rsid w:val="00D657AA"/>
    <w:rsid w:val="00D65A30"/>
    <w:rsid w:val="00D65AC0"/>
    <w:rsid w:val="00D65C5D"/>
    <w:rsid w:val="00D65CD5"/>
    <w:rsid w:val="00D65D22"/>
    <w:rsid w:val="00D65DBB"/>
    <w:rsid w:val="00D65E0A"/>
    <w:rsid w:val="00D65F79"/>
    <w:rsid w:val="00D66259"/>
    <w:rsid w:val="00D662F5"/>
    <w:rsid w:val="00D66EE3"/>
    <w:rsid w:val="00D67254"/>
    <w:rsid w:val="00D67324"/>
    <w:rsid w:val="00D673EA"/>
    <w:rsid w:val="00D67939"/>
    <w:rsid w:val="00D679A2"/>
    <w:rsid w:val="00D67D9D"/>
    <w:rsid w:val="00D67E6A"/>
    <w:rsid w:val="00D70254"/>
    <w:rsid w:val="00D70287"/>
    <w:rsid w:val="00D70507"/>
    <w:rsid w:val="00D7059D"/>
    <w:rsid w:val="00D70A11"/>
    <w:rsid w:val="00D70C62"/>
    <w:rsid w:val="00D70E26"/>
    <w:rsid w:val="00D70EC0"/>
    <w:rsid w:val="00D70F94"/>
    <w:rsid w:val="00D7116A"/>
    <w:rsid w:val="00D713E9"/>
    <w:rsid w:val="00D71417"/>
    <w:rsid w:val="00D714F6"/>
    <w:rsid w:val="00D7152E"/>
    <w:rsid w:val="00D718D0"/>
    <w:rsid w:val="00D71BB0"/>
    <w:rsid w:val="00D71C4C"/>
    <w:rsid w:val="00D71D10"/>
    <w:rsid w:val="00D71F28"/>
    <w:rsid w:val="00D72069"/>
    <w:rsid w:val="00D720C6"/>
    <w:rsid w:val="00D720E8"/>
    <w:rsid w:val="00D72112"/>
    <w:rsid w:val="00D722D1"/>
    <w:rsid w:val="00D724CE"/>
    <w:rsid w:val="00D72561"/>
    <w:rsid w:val="00D725A3"/>
    <w:rsid w:val="00D725D7"/>
    <w:rsid w:val="00D727AF"/>
    <w:rsid w:val="00D72B7F"/>
    <w:rsid w:val="00D72BDE"/>
    <w:rsid w:val="00D73015"/>
    <w:rsid w:val="00D7308C"/>
    <w:rsid w:val="00D731D6"/>
    <w:rsid w:val="00D734B5"/>
    <w:rsid w:val="00D735DF"/>
    <w:rsid w:val="00D7389C"/>
    <w:rsid w:val="00D73912"/>
    <w:rsid w:val="00D73A25"/>
    <w:rsid w:val="00D73CB6"/>
    <w:rsid w:val="00D74331"/>
    <w:rsid w:val="00D743C3"/>
    <w:rsid w:val="00D743DC"/>
    <w:rsid w:val="00D74528"/>
    <w:rsid w:val="00D7464A"/>
    <w:rsid w:val="00D74719"/>
    <w:rsid w:val="00D74780"/>
    <w:rsid w:val="00D7495F"/>
    <w:rsid w:val="00D74A16"/>
    <w:rsid w:val="00D74D77"/>
    <w:rsid w:val="00D74DE1"/>
    <w:rsid w:val="00D74DF5"/>
    <w:rsid w:val="00D74E6A"/>
    <w:rsid w:val="00D750F8"/>
    <w:rsid w:val="00D75177"/>
    <w:rsid w:val="00D7528F"/>
    <w:rsid w:val="00D752E8"/>
    <w:rsid w:val="00D75304"/>
    <w:rsid w:val="00D75566"/>
    <w:rsid w:val="00D7567A"/>
    <w:rsid w:val="00D75ABA"/>
    <w:rsid w:val="00D75C4A"/>
    <w:rsid w:val="00D75CFB"/>
    <w:rsid w:val="00D75D63"/>
    <w:rsid w:val="00D75E1A"/>
    <w:rsid w:val="00D75F48"/>
    <w:rsid w:val="00D75F99"/>
    <w:rsid w:val="00D75FF0"/>
    <w:rsid w:val="00D76103"/>
    <w:rsid w:val="00D762C0"/>
    <w:rsid w:val="00D7635C"/>
    <w:rsid w:val="00D76689"/>
    <w:rsid w:val="00D76702"/>
    <w:rsid w:val="00D7687B"/>
    <w:rsid w:val="00D769FC"/>
    <w:rsid w:val="00D76A0A"/>
    <w:rsid w:val="00D76B19"/>
    <w:rsid w:val="00D76B1B"/>
    <w:rsid w:val="00D77194"/>
    <w:rsid w:val="00D771AA"/>
    <w:rsid w:val="00D7724A"/>
    <w:rsid w:val="00D7764C"/>
    <w:rsid w:val="00D776DA"/>
    <w:rsid w:val="00D77781"/>
    <w:rsid w:val="00D777CF"/>
    <w:rsid w:val="00D77D28"/>
    <w:rsid w:val="00D77EF4"/>
    <w:rsid w:val="00D77EF6"/>
    <w:rsid w:val="00D801B7"/>
    <w:rsid w:val="00D80432"/>
    <w:rsid w:val="00D8056F"/>
    <w:rsid w:val="00D80697"/>
    <w:rsid w:val="00D806E4"/>
    <w:rsid w:val="00D807BB"/>
    <w:rsid w:val="00D8081D"/>
    <w:rsid w:val="00D80B51"/>
    <w:rsid w:val="00D80C62"/>
    <w:rsid w:val="00D80C86"/>
    <w:rsid w:val="00D80D5E"/>
    <w:rsid w:val="00D80DA2"/>
    <w:rsid w:val="00D80E22"/>
    <w:rsid w:val="00D81231"/>
    <w:rsid w:val="00D8183C"/>
    <w:rsid w:val="00D818A4"/>
    <w:rsid w:val="00D8242C"/>
    <w:rsid w:val="00D827D1"/>
    <w:rsid w:val="00D827F2"/>
    <w:rsid w:val="00D828A6"/>
    <w:rsid w:val="00D832B9"/>
    <w:rsid w:val="00D83398"/>
    <w:rsid w:val="00D83410"/>
    <w:rsid w:val="00D83424"/>
    <w:rsid w:val="00D8348E"/>
    <w:rsid w:val="00D83660"/>
    <w:rsid w:val="00D836EF"/>
    <w:rsid w:val="00D8389F"/>
    <w:rsid w:val="00D8398B"/>
    <w:rsid w:val="00D839EE"/>
    <w:rsid w:val="00D841A8"/>
    <w:rsid w:val="00D8469F"/>
    <w:rsid w:val="00D846E7"/>
    <w:rsid w:val="00D8485A"/>
    <w:rsid w:val="00D84AB7"/>
    <w:rsid w:val="00D84CF0"/>
    <w:rsid w:val="00D84D6A"/>
    <w:rsid w:val="00D84DD6"/>
    <w:rsid w:val="00D8533B"/>
    <w:rsid w:val="00D855CF"/>
    <w:rsid w:val="00D85876"/>
    <w:rsid w:val="00D85942"/>
    <w:rsid w:val="00D85CB6"/>
    <w:rsid w:val="00D8615E"/>
    <w:rsid w:val="00D86217"/>
    <w:rsid w:val="00D86240"/>
    <w:rsid w:val="00D8627B"/>
    <w:rsid w:val="00D8653D"/>
    <w:rsid w:val="00D86588"/>
    <w:rsid w:val="00D86907"/>
    <w:rsid w:val="00D86A8A"/>
    <w:rsid w:val="00D86D0D"/>
    <w:rsid w:val="00D86D62"/>
    <w:rsid w:val="00D86EC6"/>
    <w:rsid w:val="00D86FFA"/>
    <w:rsid w:val="00D870D2"/>
    <w:rsid w:val="00D87219"/>
    <w:rsid w:val="00D8736B"/>
    <w:rsid w:val="00D87463"/>
    <w:rsid w:val="00D879FB"/>
    <w:rsid w:val="00D87BB6"/>
    <w:rsid w:val="00D87CC8"/>
    <w:rsid w:val="00D87CCC"/>
    <w:rsid w:val="00D87DEA"/>
    <w:rsid w:val="00D87F46"/>
    <w:rsid w:val="00D900B9"/>
    <w:rsid w:val="00D901A8"/>
    <w:rsid w:val="00D902C3"/>
    <w:rsid w:val="00D902D3"/>
    <w:rsid w:val="00D90655"/>
    <w:rsid w:val="00D909AE"/>
    <w:rsid w:val="00D909F9"/>
    <w:rsid w:val="00D90B84"/>
    <w:rsid w:val="00D90EF8"/>
    <w:rsid w:val="00D91045"/>
    <w:rsid w:val="00D91610"/>
    <w:rsid w:val="00D916CC"/>
    <w:rsid w:val="00D916ED"/>
    <w:rsid w:val="00D91761"/>
    <w:rsid w:val="00D919CF"/>
    <w:rsid w:val="00D91BA7"/>
    <w:rsid w:val="00D92426"/>
    <w:rsid w:val="00D9298C"/>
    <w:rsid w:val="00D92A04"/>
    <w:rsid w:val="00D92A91"/>
    <w:rsid w:val="00D92B12"/>
    <w:rsid w:val="00D92BEF"/>
    <w:rsid w:val="00D92CCF"/>
    <w:rsid w:val="00D92F56"/>
    <w:rsid w:val="00D931E2"/>
    <w:rsid w:val="00D93719"/>
    <w:rsid w:val="00D939FD"/>
    <w:rsid w:val="00D93A3A"/>
    <w:rsid w:val="00D93B11"/>
    <w:rsid w:val="00D93B53"/>
    <w:rsid w:val="00D93C24"/>
    <w:rsid w:val="00D94234"/>
    <w:rsid w:val="00D94689"/>
    <w:rsid w:val="00D948A7"/>
    <w:rsid w:val="00D94B94"/>
    <w:rsid w:val="00D94DE7"/>
    <w:rsid w:val="00D950A6"/>
    <w:rsid w:val="00D952DD"/>
    <w:rsid w:val="00D95787"/>
    <w:rsid w:val="00D9585A"/>
    <w:rsid w:val="00D958DF"/>
    <w:rsid w:val="00D9591B"/>
    <w:rsid w:val="00D959AF"/>
    <w:rsid w:val="00D95B05"/>
    <w:rsid w:val="00D95C5C"/>
    <w:rsid w:val="00D95CDE"/>
    <w:rsid w:val="00D95E0F"/>
    <w:rsid w:val="00D96183"/>
    <w:rsid w:val="00D961EC"/>
    <w:rsid w:val="00D96346"/>
    <w:rsid w:val="00D96872"/>
    <w:rsid w:val="00D968CE"/>
    <w:rsid w:val="00D96A13"/>
    <w:rsid w:val="00D96B03"/>
    <w:rsid w:val="00D96BCE"/>
    <w:rsid w:val="00D96DD6"/>
    <w:rsid w:val="00D96E60"/>
    <w:rsid w:val="00D96E8B"/>
    <w:rsid w:val="00D96F24"/>
    <w:rsid w:val="00D96FAF"/>
    <w:rsid w:val="00D9704D"/>
    <w:rsid w:val="00D97066"/>
    <w:rsid w:val="00D97163"/>
    <w:rsid w:val="00D9729F"/>
    <w:rsid w:val="00D97654"/>
    <w:rsid w:val="00D97766"/>
    <w:rsid w:val="00D97C0A"/>
    <w:rsid w:val="00D97DAA"/>
    <w:rsid w:val="00D97EB4"/>
    <w:rsid w:val="00DA0078"/>
    <w:rsid w:val="00DA018D"/>
    <w:rsid w:val="00DA0259"/>
    <w:rsid w:val="00DA10E1"/>
    <w:rsid w:val="00DA12B1"/>
    <w:rsid w:val="00DA1766"/>
    <w:rsid w:val="00DA19D4"/>
    <w:rsid w:val="00DA1A57"/>
    <w:rsid w:val="00DA1DB2"/>
    <w:rsid w:val="00DA1F46"/>
    <w:rsid w:val="00DA2835"/>
    <w:rsid w:val="00DA2B9E"/>
    <w:rsid w:val="00DA2D8E"/>
    <w:rsid w:val="00DA2E17"/>
    <w:rsid w:val="00DA2E2C"/>
    <w:rsid w:val="00DA304D"/>
    <w:rsid w:val="00DA3065"/>
    <w:rsid w:val="00DA3095"/>
    <w:rsid w:val="00DA34D6"/>
    <w:rsid w:val="00DA38D5"/>
    <w:rsid w:val="00DA3994"/>
    <w:rsid w:val="00DA3FD4"/>
    <w:rsid w:val="00DA4506"/>
    <w:rsid w:val="00DA4620"/>
    <w:rsid w:val="00DA4784"/>
    <w:rsid w:val="00DA49A0"/>
    <w:rsid w:val="00DA4B10"/>
    <w:rsid w:val="00DA4D04"/>
    <w:rsid w:val="00DA4E8A"/>
    <w:rsid w:val="00DA517E"/>
    <w:rsid w:val="00DA52B8"/>
    <w:rsid w:val="00DA53BC"/>
    <w:rsid w:val="00DA53CC"/>
    <w:rsid w:val="00DA5593"/>
    <w:rsid w:val="00DA55FB"/>
    <w:rsid w:val="00DA58FB"/>
    <w:rsid w:val="00DA59BE"/>
    <w:rsid w:val="00DA5A6E"/>
    <w:rsid w:val="00DA5D0E"/>
    <w:rsid w:val="00DA5D33"/>
    <w:rsid w:val="00DA5E8D"/>
    <w:rsid w:val="00DA6059"/>
    <w:rsid w:val="00DA609E"/>
    <w:rsid w:val="00DA63E9"/>
    <w:rsid w:val="00DA651E"/>
    <w:rsid w:val="00DA68E1"/>
    <w:rsid w:val="00DA6ADA"/>
    <w:rsid w:val="00DA70A3"/>
    <w:rsid w:val="00DA70D5"/>
    <w:rsid w:val="00DA7130"/>
    <w:rsid w:val="00DA714C"/>
    <w:rsid w:val="00DA73E4"/>
    <w:rsid w:val="00DA74BE"/>
    <w:rsid w:val="00DA7500"/>
    <w:rsid w:val="00DA7617"/>
    <w:rsid w:val="00DA77FD"/>
    <w:rsid w:val="00DA79B1"/>
    <w:rsid w:val="00DA7BD2"/>
    <w:rsid w:val="00DA7C9F"/>
    <w:rsid w:val="00DA7D3D"/>
    <w:rsid w:val="00DB0609"/>
    <w:rsid w:val="00DB0CA8"/>
    <w:rsid w:val="00DB0CDD"/>
    <w:rsid w:val="00DB0D8F"/>
    <w:rsid w:val="00DB1192"/>
    <w:rsid w:val="00DB12C2"/>
    <w:rsid w:val="00DB13ED"/>
    <w:rsid w:val="00DB13F3"/>
    <w:rsid w:val="00DB1666"/>
    <w:rsid w:val="00DB1B8E"/>
    <w:rsid w:val="00DB1C7C"/>
    <w:rsid w:val="00DB1CF8"/>
    <w:rsid w:val="00DB1D67"/>
    <w:rsid w:val="00DB1D97"/>
    <w:rsid w:val="00DB1F48"/>
    <w:rsid w:val="00DB21EB"/>
    <w:rsid w:val="00DB2247"/>
    <w:rsid w:val="00DB243C"/>
    <w:rsid w:val="00DB25EC"/>
    <w:rsid w:val="00DB2686"/>
    <w:rsid w:val="00DB28EB"/>
    <w:rsid w:val="00DB341E"/>
    <w:rsid w:val="00DB34E0"/>
    <w:rsid w:val="00DB3623"/>
    <w:rsid w:val="00DB367D"/>
    <w:rsid w:val="00DB399C"/>
    <w:rsid w:val="00DB3C3F"/>
    <w:rsid w:val="00DB41C2"/>
    <w:rsid w:val="00DB4261"/>
    <w:rsid w:val="00DB472B"/>
    <w:rsid w:val="00DB47E8"/>
    <w:rsid w:val="00DB492D"/>
    <w:rsid w:val="00DB4A09"/>
    <w:rsid w:val="00DB4A66"/>
    <w:rsid w:val="00DB4B98"/>
    <w:rsid w:val="00DB4CA1"/>
    <w:rsid w:val="00DB4D07"/>
    <w:rsid w:val="00DB4DBA"/>
    <w:rsid w:val="00DB4FB9"/>
    <w:rsid w:val="00DB50FA"/>
    <w:rsid w:val="00DB5136"/>
    <w:rsid w:val="00DB539D"/>
    <w:rsid w:val="00DB5467"/>
    <w:rsid w:val="00DB54B6"/>
    <w:rsid w:val="00DB5501"/>
    <w:rsid w:val="00DB55C5"/>
    <w:rsid w:val="00DB59E2"/>
    <w:rsid w:val="00DB612C"/>
    <w:rsid w:val="00DB618A"/>
    <w:rsid w:val="00DB6477"/>
    <w:rsid w:val="00DB660D"/>
    <w:rsid w:val="00DB66F8"/>
    <w:rsid w:val="00DB675B"/>
    <w:rsid w:val="00DB6885"/>
    <w:rsid w:val="00DB6D76"/>
    <w:rsid w:val="00DB7116"/>
    <w:rsid w:val="00DB7125"/>
    <w:rsid w:val="00DB71A1"/>
    <w:rsid w:val="00DB745A"/>
    <w:rsid w:val="00DB7597"/>
    <w:rsid w:val="00DB765A"/>
    <w:rsid w:val="00DB77DD"/>
    <w:rsid w:val="00DB790E"/>
    <w:rsid w:val="00DB7B22"/>
    <w:rsid w:val="00DB7C45"/>
    <w:rsid w:val="00DC0172"/>
    <w:rsid w:val="00DC01C3"/>
    <w:rsid w:val="00DC0277"/>
    <w:rsid w:val="00DC0328"/>
    <w:rsid w:val="00DC0370"/>
    <w:rsid w:val="00DC066C"/>
    <w:rsid w:val="00DC095B"/>
    <w:rsid w:val="00DC09A2"/>
    <w:rsid w:val="00DC0B32"/>
    <w:rsid w:val="00DC11E0"/>
    <w:rsid w:val="00DC130E"/>
    <w:rsid w:val="00DC13BF"/>
    <w:rsid w:val="00DC145A"/>
    <w:rsid w:val="00DC1562"/>
    <w:rsid w:val="00DC16F9"/>
    <w:rsid w:val="00DC1732"/>
    <w:rsid w:val="00DC18BA"/>
    <w:rsid w:val="00DC18C8"/>
    <w:rsid w:val="00DC1BED"/>
    <w:rsid w:val="00DC1BEF"/>
    <w:rsid w:val="00DC1C98"/>
    <w:rsid w:val="00DC1D33"/>
    <w:rsid w:val="00DC1DF2"/>
    <w:rsid w:val="00DC1E2C"/>
    <w:rsid w:val="00DC1E68"/>
    <w:rsid w:val="00DC1E82"/>
    <w:rsid w:val="00DC1EBD"/>
    <w:rsid w:val="00DC1EE3"/>
    <w:rsid w:val="00DC21BA"/>
    <w:rsid w:val="00DC234C"/>
    <w:rsid w:val="00DC25ED"/>
    <w:rsid w:val="00DC25F3"/>
    <w:rsid w:val="00DC274C"/>
    <w:rsid w:val="00DC2E0D"/>
    <w:rsid w:val="00DC2EA5"/>
    <w:rsid w:val="00DC3261"/>
    <w:rsid w:val="00DC3406"/>
    <w:rsid w:val="00DC3536"/>
    <w:rsid w:val="00DC38A7"/>
    <w:rsid w:val="00DC3AE7"/>
    <w:rsid w:val="00DC400F"/>
    <w:rsid w:val="00DC4088"/>
    <w:rsid w:val="00DC4174"/>
    <w:rsid w:val="00DC4572"/>
    <w:rsid w:val="00DC49D5"/>
    <w:rsid w:val="00DC4AFB"/>
    <w:rsid w:val="00DC4BE5"/>
    <w:rsid w:val="00DC4C10"/>
    <w:rsid w:val="00DC4CA1"/>
    <w:rsid w:val="00DC4F15"/>
    <w:rsid w:val="00DC4F38"/>
    <w:rsid w:val="00DC4F9B"/>
    <w:rsid w:val="00DC500E"/>
    <w:rsid w:val="00DC53E8"/>
    <w:rsid w:val="00DC54CE"/>
    <w:rsid w:val="00DC5651"/>
    <w:rsid w:val="00DC5BF7"/>
    <w:rsid w:val="00DC5C3B"/>
    <w:rsid w:val="00DC5D7B"/>
    <w:rsid w:val="00DC5ED1"/>
    <w:rsid w:val="00DC6038"/>
    <w:rsid w:val="00DC6083"/>
    <w:rsid w:val="00DC618E"/>
    <w:rsid w:val="00DC665F"/>
    <w:rsid w:val="00DC681A"/>
    <w:rsid w:val="00DC6A1B"/>
    <w:rsid w:val="00DC6B57"/>
    <w:rsid w:val="00DC6CC8"/>
    <w:rsid w:val="00DC6D51"/>
    <w:rsid w:val="00DC6DBC"/>
    <w:rsid w:val="00DC6F41"/>
    <w:rsid w:val="00DC7238"/>
    <w:rsid w:val="00DC7489"/>
    <w:rsid w:val="00DC7553"/>
    <w:rsid w:val="00DC766F"/>
    <w:rsid w:val="00DC76B5"/>
    <w:rsid w:val="00DC7888"/>
    <w:rsid w:val="00DC78B7"/>
    <w:rsid w:val="00DC7921"/>
    <w:rsid w:val="00DC7B36"/>
    <w:rsid w:val="00DC7B4A"/>
    <w:rsid w:val="00DC7E9A"/>
    <w:rsid w:val="00DC7F66"/>
    <w:rsid w:val="00DD01BE"/>
    <w:rsid w:val="00DD06CB"/>
    <w:rsid w:val="00DD0954"/>
    <w:rsid w:val="00DD0A00"/>
    <w:rsid w:val="00DD1009"/>
    <w:rsid w:val="00DD1146"/>
    <w:rsid w:val="00DD1378"/>
    <w:rsid w:val="00DD140A"/>
    <w:rsid w:val="00DD1506"/>
    <w:rsid w:val="00DD157D"/>
    <w:rsid w:val="00DD1973"/>
    <w:rsid w:val="00DD1B0D"/>
    <w:rsid w:val="00DD1B30"/>
    <w:rsid w:val="00DD1CF4"/>
    <w:rsid w:val="00DD1ECF"/>
    <w:rsid w:val="00DD1FDF"/>
    <w:rsid w:val="00DD2007"/>
    <w:rsid w:val="00DD2405"/>
    <w:rsid w:val="00DD242E"/>
    <w:rsid w:val="00DD2574"/>
    <w:rsid w:val="00DD25D2"/>
    <w:rsid w:val="00DD2608"/>
    <w:rsid w:val="00DD2791"/>
    <w:rsid w:val="00DD27DA"/>
    <w:rsid w:val="00DD2925"/>
    <w:rsid w:val="00DD2B15"/>
    <w:rsid w:val="00DD2B95"/>
    <w:rsid w:val="00DD2DA0"/>
    <w:rsid w:val="00DD2E3D"/>
    <w:rsid w:val="00DD2F9A"/>
    <w:rsid w:val="00DD3334"/>
    <w:rsid w:val="00DD36AA"/>
    <w:rsid w:val="00DD37A4"/>
    <w:rsid w:val="00DD37C0"/>
    <w:rsid w:val="00DD39AA"/>
    <w:rsid w:val="00DD3D7B"/>
    <w:rsid w:val="00DD40A6"/>
    <w:rsid w:val="00DD40C0"/>
    <w:rsid w:val="00DD4281"/>
    <w:rsid w:val="00DD4321"/>
    <w:rsid w:val="00DD4406"/>
    <w:rsid w:val="00DD449F"/>
    <w:rsid w:val="00DD44EF"/>
    <w:rsid w:val="00DD453C"/>
    <w:rsid w:val="00DD46FA"/>
    <w:rsid w:val="00DD47EE"/>
    <w:rsid w:val="00DD4815"/>
    <w:rsid w:val="00DD4E56"/>
    <w:rsid w:val="00DD501C"/>
    <w:rsid w:val="00DD501E"/>
    <w:rsid w:val="00DD50FA"/>
    <w:rsid w:val="00DD5262"/>
    <w:rsid w:val="00DD52A7"/>
    <w:rsid w:val="00DD531D"/>
    <w:rsid w:val="00DD56B9"/>
    <w:rsid w:val="00DD588A"/>
    <w:rsid w:val="00DD5955"/>
    <w:rsid w:val="00DD59A4"/>
    <w:rsid w:val="00DD5A0C"/>
    <w:rsid w:val="00DD5BA4"/>
    <w:rsid w:val="00DD5BB8"/>
    <w:rsid w:val="00DD5D7A"/>
    <w:rsid w:val="00DD5D9E"/>
    <w:rsid w:val="00DD6558"/>
    <w:rsid w:val="00DD6731"/>
    <w:rsid w:val="00DD6A2A"/>
    <w:rsid w:val="00DD6CFF"/>
    <w:rsid w:val="00DD735E"/>
    <w:rsid w:val="00DD7362"/>
    <w:rsid w:val="00DD739E"/>
    <w:rsid w:val="00DD74C3"/>
    <w:rsid w:val="00DD7674"/>
    <w:rsid w:val="00DD782E"/>
    <w:rsid w:val="00DD7873"/>
    <w:rsid w:val="00DD7968"/>
    <w:rsid w:val="00DD7995"/>
    <w:rsid w:val="00DD7A1C"/>
    <w:rsid w:val="00DD7CDE"/>
    <w:rsid w:val="00DD7E87"/>
    <w:rsid w:val="00DD7F13"/>
    <w:rsid w:val="00DD7F56"/>
    <w:rsid w:val="00DE00CF"/>
    <w:rsid w:val="00DE017C"/>
    <w:rsid w:val="00DE0183"/>
    <w:rsid w:val="00DE03B8"/>
    <w:rsid w:val="00DE06F3"/>
    <w:rsid w:val="00DE07E8"/>
    <w:rsid w:val="00DE0B69"/>
    <w:rsid w:val="00DE0DF4"/>
    <w:rsid w:val="00DE0E10"/>
    <w:rsid w:val="00DE0E7E"/>
    <w:rsid w:val="00DE10A1"/>
    <w:rsid w:val="00DE10E3"/>
    <w:rsid w:val="00DE10F5"/>
    <w:rsid w:val="00DE1692"/>
    <w:rsid w:val="00DE18EC"/>
    <w:rsid w:val="00DE1C22"/>
    <w:rsid w:val="00DE23FF"/>
    <w:rsid w:val="00DE249D"/>
    <w:rsid w:val="00DE2804"/>
    <w:rsid w:val="00DE2AC1"/>
    <w:rsid w:val="00DE2CEF"/>
    <w:rsid w:val="00DE2D73"/>
    <w:rsid w:val="00DE2F65"/>
    <w:rsid w:val="00DE31EA"/>
    <w:rsid w:val="00DE3265"/>
    <w:rsid w:val="00DE35D3"/>
    <w:rsid w:val="00DE36D4"/>
    <w:rsid w:val="00DE38E4"/>
    <w:rsid w:val="00DE3A0B"/>
    <w:rsid w:val="00DE3F06"/>
    <w:rsid w:val="00DE4552"/>
    <w:rsid w:val="00DE4720"/>
    <w:rsid w:val="00DE48A4"/>
    <w:rsid w:val="00DE4B9F"/>
    <w:rsid w:val="00DE4C0C"/>
    <w:rsid w:val="00DE4EA3"/>
    <w:rsid w:val="00DE502D"/>
    <w:rsid w:val="00DE5388"/>
    <w:rsid w:val="00DE55FC"/>
    <w:rsid w:val="00DE57C4"/>
    <w:rsid w:val="00DE5B92"/>
    <w:rsid w:val="00DE6392"/>
    <w:rsid w:val="00DE6674"/>
    <w:rsid w:val="00DE6796"/>
    <w:rsid w:val="00DE6844"/>
    <w:rsid w:val="00DE68C9"/>
    <w:rsid w:val="00DE6D82"/>
    <w:rsid w:val="00DE6D9D"/>
    <w:rsid w:val="00DE6E69"/>
    <w:rsid w:val="00DE6EEB"/>
    <w:rsid w:val="00DE6EED"/>
    <w:rsid w:val="00DE6EF2"/>
    <w:rsid w:val="00DE7847"/>
    <w:rsid w:val="00DE784C"/>
    <w:rsid w:val="00DE7880"/>
    <w:rsid w:val="00DE7A26"/>
    <w:rsid w:val="00DE7D39"/>
    <w:rsid w:val="00DE7FA1"/>
    <w:rsid w:val="00DF05C8"/>
    <w:rsid w:val="00DF0768"/>
    <w:rsid w:val="00DF0C29"/>
    <w:rsid w:val="00DF0C96"/>
    <w:rsid w:val="00DF0FD9"/>
    <w:rsid w:val="00DF15B0"/>
    <w:rsid w:val="00DF1795"/>
    <w:rsid w:val="00DF1A59"/>
    <w:rsid w:val="00DF1AED"/>
    <w:rsid w:val="00DF1CEE"/>
    <w:rsid w:val="00DF1EBE"/>
    <w:rsid w:val="00DF20F4"/>
    <w:rsid w:val="00DF21FA"/>
    <w:rsid w:val="00DF22CC"/>
    <w:rsid w:val="00DF23A5"/>
    <w:rsid w:val="00DF24EA"/>
    <w:rsid w:val="00DF26BA"/>
    <w:rsid w:val="00DF26DF"/>
    <w:rsid w:val="00DF27A3"/>
    <w:rsid w:val="00DF2A16"/>
    <w:rsid w:val="00DF2CF9"/>
    <w:rsid w:val="00DF2D55"/>
    <w:rsid w:val="00DF2D95"/>
    <w:rsid w:val="00DF2E20"/>
    <w:rsid w:val="00DF2E3C"/>
    <w:rsid w:val="00DF32AA"/>
    <w:rsid w:val="00DF334B"/>
    <w:rsid w:val="00DF3BA0"/>
    <w:rsid w:val="00DF3E29"/>
    <w:rsid w:val="00DF3ED6"/>
    <w:rsid w:val="00DF4065"/>
    <w:rsid w:val="00DF40E0"/>
    <w:rsid w:val="00DF4192"/>
    <w:rsid w:val="00DF41CC"/>
    <w:rsid w:val="00DF430A"/>
    <w:rsid w:val="00DF45C8"/>
    <w:rsid w:val="00DF4B52"/>
    <w:rsid w:val="00DF4C6D"/>
    <w:rsid w:val="00DF4E1B"/>
    <w:rsid w:val="00DF5018"/>
    <w:rsid w:val="00DF52B2"/>
    <w:rsid w:val="00DF53CC"/>
    <w:rsid w:val="00DF53D0"/>
    <w:rsid w:val="00DF5519"/>
    <w:rsid w:val="00DF554B"/>
    <w:rsid w:val="00DF58A8"/>
    <w:rsid w:val="00DF5B46"/>
    <w:rsid w:val="00DF5BD7"/>
    <w:rsid w:val="00DF64CA"/>
    <w:rsid w:val="00DF659E"/>
    <w:rsid w:val="00DF6C9D"/>
    <w:rsid w:val="00DF6E5D"/>
    <w:rsid w:val="00DF70EF"/>
    <w:rsid w:val="00DF7250"/>
    <w:rsid w:val="00DF72CD"/>
    <w:rsid w:val="00DF743C"/>
    <w:rsid w:val="00DF7459"/>
    <w:rsid w:val="00DF7655"/>
    <w:rsid w:val="00DF781F"/>
    <w:rsid w:val="00DF798D"/>
    <w:rsid w:val="00DF7ACD"/>
    <w:rsid w:val="00DF7D3A"/>
    <w:rsid w:val="00E000F4"/>
    <w:rsid w:val="00E001E5"/>
    <w:rsid w:val="00E0084F"/>
    <w:rsid w:val="00E00A8A"/>
    <w:rsid w:val="00E00ACA"/>
    <w:rsid w:val="00E00D0C"/>
    <w:rsid w:val="00E012CA"/>
    <w:rsid w:val="00E0154E"/>
    <w:rsid w:val="00E0159F"/>
    <w:rsid w:val="00E01872"/>
    <w:rsid w:val="00E0196E"/>
    <w:rsid w:val="00E01BB2"/>
    <w:rsid w:val="00E01BB4"/>
    <w:rsid w:val="00E01E5C"/>
    <w:rsid w:val="00E01E79"/>
    <w:rsid w:val="00E01F32"/>
    <w:rsid w:val="00E01F98"/>
    <w:rsid w:val="00E020BD"/>
    <w:rsid w:val="00E02160"/>
    <w:rsid w:val="00E0222D"/>
    <w:rsid w:val="00E0240A"/>
    <w:rsid w:val="00E02440"/>
    <w:rsid w:val="00E02457"/>
    <w:rsid w:val="00E024F8"/>
    <w:rsid w:val="00E0251E"/>
    <w:rsid w:val="00E025BE"/>
    <w:rsid w:val="00E0270E"/>
    <w:rsid w:val="00E027C8"/>
    <w:rsid w:val="00E02CFC"/>
    <w:rsid w:val="00E02F7C"/>
    <w:rsid w:val="00E02FDB"/>
    <w:rsid w:val="00E03026"/>
    <w:rsid w:val="00E03260"/>
    <w:rsid w:val="00E035FD"/>
    <w:rsid w:val="00E038B9"/>
    <w:rsid w:val="00E03977"/>
    <w:rsid w:val="00E03F34"/>
    <w:rsid w:val="00E045C3"/>
    <w:rsid w:val="00E048FF"/>
    <w:rsid w:val="00E04AB7"/>
    <w:rsid w:val="00E05064"/>
    <w:rsid w:val="00E050EF"/>
    <w:rsid w:val="00E05400"/>
    <w:rsid w:val="00E0556C"/>
    <w:rsid w:val="00E05789"/>
    <w:rsid w:val="00E05A4D"/>
    <w:rsid w:val="00E05AC4"/>
    <w:rsid w:val="00E05E9E"/>
    <w:rsid w:val="00E06073"/>
    <w:rsid w:val="00E06096"/>
    <w:rsid w:val="00E060E3"/>
    <w:rsid w:val="00E06333"/>
    <w:rsid w:val="00E06402"/>
    <w:rsid w:val="00E064D9"/>
    <w:rsid w:val="00E06708"/>
    <w:rsid w:val="00E06B00"/>
    <w:rsid w:val="00E06F85"/>
    <w:rsid w:val="00E07354"/>
    <w:rsid w:val="00E074FB"/>
    <w:rsid w:val="00E076FC"/>
    <w:rsid w:val="00E07897"/>
    <w:rsid w:val="00E07ACC"/>
    <w:rsid w:val="00E07B1B"/>
    <w:rsid w:val="00E07C91"/>
    <w:rsid w:val="00E07D0C"/>
    <w:rsid w:val="00E1056D"/>
    <w:rsid w:val="00E10788"/>
    <w:rsid w:val="00E109C4"/>
    <w:rsid w:val="00E10C6A"/>
    <w:rsid w:val="00E10D28"/>
    <w:rsid w:val="00E10F98"/>
    <w:rsid w:val="00E110A4"/>
    <w:rsid w:val="00E111DB"/>
    <w:rsid w:val="00E11213"/>
    <w:rsid w:val="00E115D7"/>
    <w:rsid w:val="00E11835"/>
    <w:rsid w:val="00E11877"/>
    <w:rsid w:val="00E11A77"/>
    <w:rsid w:val="00E11D5A"/>
    <w:rsid w:val="00E11D68"/>
    <w:rsid w:val="00E120C9"/>
    <w:rsid w:val="00E122E3"/>
    <w:rsid w:val="00E12390"/>
    <w:rsid w:val="00E126C4"/>
    <w:rsid w:val="00E126D5"/>
    <w:rsid w:val="00E12851"/>
    <w:rsid w:val="00E12AD7"/>
    <w:rsid w:val="00E12CB5"/>
    <w:rsid w:val="00E12E55"/>
    <w:rsid w:val="00E13046"/>
    <w:rsid w:val="00E131E8"/>
    <w:rsid w:val="00E135F8"/>
    <w:rsid w:val="00E138D8"/>
    <w:rsid w:val="00E13A86"/>
    <w:rsid w:val="00E13C9E"/>
    <w:rsid w:val="00E13DFD"/>
    <w:rsid w:val="00E13E06"/>
    <w:rsid w:val="00E140C2"/>
    <w:rsid w:val="00E14237"/>
    <w:rsid w:val="00E1428C"/>
    <w:rsid w:val="00E14756"/>
    <w:rsid w:val="00E14C91"/>
    <w:rsid w:val="00E14F41"/>
    <w:rsid w:val="00E1562D"/>
    <w:rsid w:val="00E1598D"/>
    <w:rsid w:val="00E159AC"/>
    <w:rsid w:val="00E16030"/>
    <w:rsid w:val="00E163CF"/>
    <w:rsid w:val="00E16862"/>
    <w:rsid w:val="00E16868"/>
    <w:rsid w:val="00E16869"/>
    <w:rsid w:val="00E16D8A"/>
    <w:rsid w:val="00E16E34"/>
    <w:rsid w:val="00E16EEE"/>
    <w:rsid w:val="00E173C1"/>
    <w:rsid w:val="00E174E6"/>
    <w:rsid w:val="00E17990"/>
    <w:rsid w:val="00E17C3D"/>
    <w:rsid w:val="00E17E53"/>
    <w:rsid w:val="00E20089"/>
    <w:rsid w:val="00E20238"/>
    <w:rsid w:val="00E20394"/>
    <w:rsid w:val="00E20439"/>
    <w:rsid w:val="00E2048E"/>
    <w:rsid w:val="00E20650"/>
    <w:rsid w:val="00E206C6"/>
    <w:rsid w:val="00E20D0A"/>
    <w:rsid w:val="00E210A3"/>
    <w:rsid w:val="00E211FB"/>
    <w:rsid w:val="00E21467"/>
    <w:rsid w:val="00E2162E"/>
    <w:rsid w:val="00E219AB"/>
    <w:rsid w:val="00E21BB5"/>
    <w:rsid w:val="00E21D2F"/>
    <w:rsid w:val="00E21DA1"/>
    <w:rsid w:val="00E22052"/>
    <w:rsid w:val="00E222A0"/>
    <w:rsid w:val="00E222FD"/>
    <w:rsid w:val="00E225C4"/>
    <w:rsid w:val="00E22624"/>
    <w:rsid w:val="00E22FEC"/>
    <w:rsid w:val="00E2326C"/>
    <w:rsid w:val="00E233C7"/>
    <w:rsid w:val="00E23528"/>
    <w:rsid w:val="00E23723"/>
    <w:rsid w:val="00E23918"/>
    <w:rsid w:val="00E23940"/>
    <w:rsid w:val="00E23B7A"/>
    <w:rsid w:val="00E23ED8"/>
    <w:rsid w:val="00E2408E"/>
    <w:rsid w:val="00E2427C"/>
    <w:rsid w:val="00E24295"/>
    <w:rsid w:val="00E242D5"/>
    <w:rsid w:val="00E242EA"/>
    <w:rsid w:val="00E24406"/>
    <w:rsid w:val="00E24649"/>
    <w:rsid w:val="00E24836"/>
    <w:rsid w:val="00E24BDE"/>
    <w:rsid w:val="00E24D87"/>
    <w:rsid w:val="00E24E19"/>
    <w:rsid w:val="00E25005"/>
    <w:rsid w:val="00E252D9"/>
    <w:rsid w:val="00E2562D"/>
    <w:rsid w:val="00E256DE"/>
    <w:rsid w:val="00E2572A"/>
    <w:rsid w:val="00E2581A"/>
    <w:rsid w:val="00E258B3"/>
    <w:rsid w:val="00E2597F"/>
    <w:rsid w:val="00E25B2A"/>
    <w:rsid w:val="00E25CF9"/>
    <w:rsid w:val="00E25E67"/>
    <w:rsid w:val="00E26530"/>
    <w:rsid w:val="00E26562"/>
    <w:rsid w:val="00E265CF"/>
    <w:rsid w:val="00E266AB"/>
    <w:rsid w:val="00E2672B"/>
    <w:rsid w:val="00E26748"/>
    <w:rsid w:val="00E26CA9"/>
    <w:rsid w:val="00E270D0"/>
    <w:rsid w:val="00E2718A"/>
    <w:rsid w:val="00E271A7"/>
    <w:rsid w:val="00E27289"/>
    <w:rsid w:val="00E27383"/>
    <w:rsid w:val="00E276B7"/>
    <w:rsid w:val="00E277D4"/>
    <w:rsid w:val="00E27B37"/>
    <w:rsid w:val="00E27BE4"/>
    <w:rsid w:val="00E27D57"/>
    <w:rsid w:val="00E27DF1"/>
    <w:rsid w:val="00E27F45"/>
    <w:rsid w:val="00E27FD1"/>
    <w:rsid w:val="00E3018C"/>
    <w:rsid w:val="00E3071A"/>
    <w:rsid w:val="00E307DD"/>
    <w:rsid w:val="00E3084D"/>
    <w:rsid w:val="00E30867"/>
    <w:rsid w:val="00E30890"/>
    <w:rsid w:val="00E309DB"/>
    <w:rsid w:val="00E30A35"/>
    <w:rsid w:val="00E30B56"/>
    <w:rsid w:val="00E30CCD"/>
    <w:rsid w:val="00E30D14"/>
    <w:rsid w:val="00E30F5C"/>
    <w:rsid w:val="00E312F5"/>
    <w:rsid w:val="00E31342"/>
    <w:rsid w:val="00E315F7"/>
    <w:rsid w:val="00E31665"/>
    <w:rsid w:val="00E318F4"/>
    <w:rsid w:val="00E318F9"/>
    <w:rsid w:val="00E3198C"/>
    <w:rsid w:val="00E31995"/>
    <w:rsid w:val="00E319AE"/>
    <w:rsid w:val="00E31DAA"/>
    <w:rsid w:val="00E326A7"/>
    <w:rsid w:val="00E3275F"/>
    <w:rsid w:val="00E3279C"/>
    <w:rsid w:val="00E327B0"/>
    <w:rsid w:val="00E327F0"/>
    <w:rsid w:val="00E32B0C"/>
    <w:rsid w:val="00E32BBD"/>
    <w:rsid w:val="00E32C82"/>
    <w:rsid w:val="00E32CB2"/>
    <w:rsid w:val="00E32EC7"/>
    <w:rsid w:val="00E33065"/>
    <w:rsid w:val="00E330D5"/>
    <w:rsid w:val="00E33237"/>
    <w:rsid w:val="00E333F7"/>
    <w:rsid w:val="00E33484"/>
    <w:rsid w:val="00E335F7"/>
    <w:rsid w:val="00E3367F"/>
    <w:rsid w:val="00E33745"/>
    <w:rsid w:val="00E3409A"/>
    <w:rsid w:val="00E34475"/>
    <w:rsid w:val="00E3448C"/>
    <w:rsid w:val="00E347A5"/>
    <w:rsid w:val="00E34DFA"/>
    <w:rsid w:val="00E34F03"/>
    <w:rsid w:val="00E3516E"/>
    <w:rsid w:val="00E35233"/>
    <w:rsid w:val="00E353C2"/>
    <w:rsid w:val="00E3571D"/>
    <w:rsid w:val="00E3578F"/>
    <w:rsid w:val="00E35BB4"/>
    <w:rsid w:val="00E35C74"/>
    <w:rsid w:val="00E35D78"/>
    <w:rsid w:val="00E36081"/>
    <w:rsid w:val="00E36137"/>
    <w:rsid w:val="00E3630E"/>
    <w:rsid w:val="00E363D7"/>
    <w:rsid w:val="00E36682"/>
    <w:rsid w:val="00E36870"/>
    <w:rsid w:val="00E36894"/>
    <w:rsid w:val="00E37049"/>
    <w:rsid w:val="00E372B6"/>
    <w:rsid w:val="00E3754A"/>
    <w:rsid w:val="00E3754C"/>
    <w:rsid w:val="00E37B1A"/>
    <w:rsid w:val="00E37B6D"/>
    <w:rsid w:val="00E37D0A"/>
    <w:rsid w:val="00E37E04"/>
    <w:rsid w:val="00E37FD7"/>
    <w:rsid w:val="00E4006C"/>
    <w:rsid w:val="00E400DC"/>
    <w:rsid w:val="00E4011E"/>
    <w:rsid w:val="00E40299"/>
    <w:rsid w:val="00E405E9"/>
    <w:rsid w:val="00E40774"/>
    <w:rsid w:val="00E40B32"/>
    <w:rsid w:val="00E4118D"/>
    <w:rsid w:val="00E41208"/>
    <w:rsid w:val="00E4139D"/>
    <w:rsid w:val="00E4147A"/>
    <w:rsid w:val="00E414F4"/>
    <w:rsid w:val="00E41658"/>
    <w:rsid w:val="00E41B4A"/>
    <w:rsid w:val="00E41BF4"/>
    <w:rsid w:val="00E42457"/>
    <w:rsid w:val="00E424EE"/>
    <w:rsid w:val="00E428B1"/>
    <w:rsid w:val="00E42971"/>
    <w:rsid w:val="00E42CF4"/>
    <w:rsid w:val="00E42E09"/>
    <w:rsid w:val="00E430C6"/>
    <w:rsid w:val="00E43475"/>
    <w:rsid w:val="00E43524"/>
    <w:rsid w:val="00E4362C"/>
    <w:rsid w:val="00E43637"/>
    <w:rsid w:val="00E43686"/>
    <w:rsid w:val="00E436CB"/>
    <w:rsid w:val="00E43729"/>
    <w:rsid w:val="00E4376E"/>
    <w:rsid w:val="00E437BD"/>
    <w:rsid w:val="00E43819"/>
    <w:rsid w:val="00E43A01"/>
    <w:rsid w:val="00E43BE1"/>
    <w:rsid w:val="00E43D20"/>
    <w:rsid w:val="00E44270"/>
    <w:rsid w:val="00E44540"/>
    <w:rsid w:val="00E447EA"/>
    <w:rsid w:val="00E44869"/>
    <w:rsid w:val="00E448D9"/>
    <w:rsid w:val="00E44986"/>
    <w:rsid w:val="00E449A7"/>
    <w:rsid w:val="00E44A19"/>
    <w:rsid w:val="00E44BB5"/>
    <w:rsid w:val="00E44E46"/>
    <w:rsid w:val="00E44F01"/>
    <w:rsid w:val="00E45189"/>
    <w:rsid w:val="00E453DF"/>
    <w:rsid w:val="00E45505"/>
    <w:rsid w:val="00E45678"/>
    <w:rsid w:val="00E4567D"/>
    <w:rsid w:val="00E4568E"/>
    <w:rsid w:val="00E458D8"/>
    <w:rsid w:val="00E45C9E"/>
    <w:rsid w:val="00E46075"/>
    <w:rsid w:val="00E4608C"/>
    <w:rsid w:val="00E46445"/>
    <w:rsid w:val="00E46553"/>
    <w:rsid w:val="00E46758"/>
    <w:rsid w:val="00E467F7"/>
    <w:rsid w:val="00E4690E"/>
    <w:rsid w:val="00E469A5"/>
    <w:rsid w:val="00E46E0C"/>
    <w:rsid w:val="00E46E74"/>
    <w:rsid w:val="00E46E7C"/>
    <w:rsid w:val="00E471F8"/>
    <w:rsid w:val="00E47207"/>
    <w:rsid w:val="00E47333"/>
    <w:rsid w:val="00E47428"/>
    <w:rsid w:val="00E476FC"/>
    <w:rsid w:val="00E477EB"/>
    <w:rsid w:val="00E478A5"/>
    <w:rsid w:val="00E47A6C"/>
    <w:rsid w:val="00E47A88"/>
    <w:rsid w:val="00E47C75"/>
    <w:rsid w:val="00E47C90"/>
    <w:rsid w:val="00E47D82"/>
    <w:rsid w:val="00E47FB4"/>
    <w:rsid w:val="00E50193"/>
    <w:rsid w:val="00E50376"/>
    <w:rsid w:val="00E50450"/>
    <w:rsid w:val="00E50554"/>
    <w:rsid w:val="00E506A1"/>
    <w:rsid w:val="00E50709"/>
    <w:rsid w:val="00E5076B"/>
    <w:rsid w:val="00E507C5"/>
    <w:rsid w:val="00E507CF"/>
    <w:rsid w:val="00E50BE6"/>
    <w:rsid w:val="00E50D06"/>
    <w:rsid w:val="00E50E90"/>
    <w:rsid w:val="00E50EBF"/>
    <w:rsid w:val="00E51329"/>
    <w:rsid w:val="00E513C9"/>
    <w:rsid w:val="00E515B5"/>
    <w:rsid w:val="00E51875"/>
    <w:rsid w:val="00E519CC"/>
    <w:rsid w:val="00E51BA9"/>
    <w:rsid w:val="00E522A2"/>
    <w:rsid w:val="00E5233A"/>
    <w:rsid w:val="00E523AF"/>
    <w:rsid w:val="00E52688"/>
    <w:rsid w:val="00E526B9"/>
    <w:rsid w:val="00E5274D"/>
    <w:rsid w:val="00E5285C"/>
    <w:rsid w:val="00E52A96"/>
    <w:rsid w:val="00E52A9C"/>
    <w:rsid w:val="00E52B79"/>
    <w:rsid w:val="00E52B8B"/>
    <w:rsid w:val="00E52CAC"/>
    <w:rsid w:val="00E52F5A"/>
    <w:rsid w:val="00E52FC4"/>
    <w:rsid w:val="00E53067"/>
    <w:rsid w:val="00E5332F"/>
    <w:rsid w:val="00E533A1"/>
    <w:rsid w:val="00E5341E"/>
    <w:rsid w:val="00E5358C"/>
    <w:rsid w:val="00E53624"/>
    <w:rsid w:val="00E536AF"/>
    <w:rsid w:val="00E538FA"/>
    <w:rsid w:val="00E53BDB"/>
    <w:rsid w:val="00E53C8C"/>
    <w:rsid w:val="00E53E1A"/>
    <w:rsid w:val="00E53E9C"/>
    <w:rsid w:val="00E54308"/>
    <w:rsid w:val="00E54498"/>
    <w:rsid w:val="00E5456F"/>
    <w:rsid w:val="00E5468D"/>
    <w:rsid w:val="00E546B4"/>
    <w:rsid w:val="00E54756"/>
    <w:rsid w:val="00E54A9B"/>
    <w:rsid w:val="00E54E0A"/>
    <w:rsid w:val="00E55056"/>
    <w:rsid w:val="00E55079"/>
    <w:rsid w:val="00E556E9"/>
    <w:rsid w:val="00E557A0"/>
    <w:rsid w:val="00E557B2"/>
    <w:rsid w:val="00E5589A"/>
    <w:rsid w:val="00E55AA5"/>
    <w:rsid w:val="00E562E2"/>
    <w:rsid w:val="00E564EC"/>
    <w:rsid w:val="00E5659C"/>
    <w:rsid w:val="00E56839"/>
    <w:rsid w:val="00E568D0"/>
    <w:rsid w:val="00E56965"/>
    <w:rsid w:val="00E56C80"/>
    <w:rsid w:val="00E56D16"/>
    <w:rsid w:val="00E570A5"/>
    <w:rsid w:val="00E57172"/>
    <w:rsid w:val="00E5730B"/>
    <w:rsid w:val="00E5774E"/>
    <w:rsid w:val="00E577A4"/>
    <w:rsid w:val="00E57914"/>
    <w:rsid w:val="00E579CB"/>
    <w:rsid w:val="00E57A50"/>
    <w:rsid w:val="00E57B75"/>
    <w:rsid w:val="00E57CEE"/>
    <w:rsid w:val="00E57D8C"/>
    <w:rsid w:val="00E57E19"/>
    <w:rsid w:val="00E57FE1"/>
    <w:rsid w:val="00E6004D"/>
    <w:rsid w:val="00E60417"/>
    <w:rsid w:val="00E6053D"/>
    <w:rsid w:val="00E60810"/>
    <w:rsid w:val="00E6088E"/>
    <w:rsid w:val="00E60942"/>
    <w:rsid w:val="00E60C7D"/>
    <w:rsid w:val="00E60F5A"/>
    <w:rsid w:val="00E60F8F"/>
    <w:rsid w:val="00E611E1"/>
    <w:rsid w:val="00E6138E"/>
    <w:rsid w:val="00E61419"/>
    <w:rsid w:val="00E61658"/>
    <w:rsid w:val="00E6182F"/>
    <w:rsid w:val="00E61DC9"/>
    <w:rsid w:val="00E62006"/>
    <w:rsid w:val="00E62015"/>
    <w:rsid w:val="00E62336"/>
    <w:rsid w:val="00E6236B"/>
    <w:rsid w:val="00E624C5"/>
    <w:rsid w:val="00E6257B"/>
    <w:rsid w:val="00E625B8"/>
    <w:rsid w:val="00E626ED"/>
    <w:rsid w:val="00E62885"/>
    <w:rsid w:val="00E62B42"/>
    <w:rsid w:val="00E62BF9"/>
    <w:rsid w:val="00E62D79"/>
    <w:rsid w:val="00E62DC7"/>
    <w:rsid w:val="00E6312E"/>
    <w:rsid w:val="00E634C5"/>
    <w:rsid w:val="00E63512"/>
    <w:rsid w:val="00E63827"/>
    <w:rsid w:val="00E639BB"/>
    <w:rsid w:val="00E63A7A"/>
    <w:rsid w:val="00E63BBD"/>
    <w:rsid w:val="00E63F9C"/>
    <w:rsid w:val="00E6403D"/>
    <w:rsid w:val="00E640F5"/>
    <w:rsid w:val="00E641E4"/>
    <w:rsid w:val="00E6435F"/>
    <w:rsid w:val="00E64413"/>
    <w:rsid w:val="00E644DA"/>
    <w:rsid w:val="00E64634"/>
    <w:rsid w:val="00E64A4A"/>
    <w:rsid w:val="00E64C1F"/>
    <w:rsid w:val="00E64D54"/>
    <w:rsid w:val="00E64FEE"/>
    <w:rsid w:val="00E65220"/>
    <w:rsid w:val="00E6537E"/>
    <w:rsid w:val="00E65702"/>
    <w:rsid w:val="00E65E3D"/>
    <w:rsid w:val="00E65EF6"/>
    <w:rsid w:val="00E65EFA"/>
    <w:rsid w:val="00E65EFE"/>
    <w:rsid w:val="00E65FFE"/>
    <w:rsid w:val="00E66064"/>
    <w:rsid w:val="00E66293"/>
    <w:rsid w:val="00E66479"/>
    <w:rsid w:val="00E667E3"/>
    <w:rsid w:val="00E669C1"/>
    <w:rsid w:val="00E66E5F"/>
    <w:rsid w:val="00E670A6"/>
    <w:rsid w:val="00E673CC"/>
    <w:rsid w:val="00E673DD"/>
    <w:rsid w:val="00E674AE"/>
    <w:rsid w:val="00E67716"/>
    <w:rsid w:val="00E67893"/>
    <w:rsid w:val="00E67AD0"/>
    <w:rsid w:val="00E67C1F"/>
    <w:rsid w:val="00E67CF6"/>
    <w:rsid w:val="00E67D1E"/>
    <w:rsid w:val="00E70276"/>
    <w:rsid w:val="00E703A4"/>
    <w:rsid w:val="00E705CB"/>
    <w:rsid w:val="00E705F0"/>
    <w:rsid w:val="00E70C77"/>
    <w:rsid w:val="00E70CB0"/>
    <w:rsid w:val="00E70DFF"/>
    <w:rsid w:val="00E70E63"/>
    <w:rsid w:val="00E70EE5"/>
    <w:rsid w:val="00E70F0A"/>
    <w:rsid w:val="00E70F7B"/>
    <w:rsid w:val="00E71350"/>
    <w:rsid w:val="00E71561"/>
    <w:rsid w:val="00E716A0"/>
    <w:rsid w:val="00E7171C"/>
    <w:rsid w:val="00E7185C"/>
    <w:rsid w:val="00E71873"/>
    <w:rsid w:val="00E71A42"/>
    <w:rsid w:val="00E71B5E"/>
    <w:rsid w:val="00E71E58"/>
    <w:rsid w:val="00E71F09"/>
    <w:rsid w:val="00E72209"/>
    <w:rsid w:val="00E728FE"/>
    <w:rsid w:val="00E72F88"/>
    <w:rsid w:val="00E7334E"/>
    <w:rsid w:val="00E73637"/>
    <w:rsid w:val="00E7366C"/>
    <w:rsid w:val="00E738C6"/>
    <w:rsid w:val="00E739D4"/>
    <w:rsid w:val="00E73A47"/>
    <w:rsid w:val="00E73BA1"/>
    <w:rsid w:val="00E73C20"/>
    <w:rsid w:val="00E73EC9"/>
    <w:rsid w:val="00E740BE"/>
    <w:rsid w:val="00E741AD"/>
    <w:rsid w:val="00E7426C"/>
    <w:rsid w:val="00E74287"/>
    <w:rsid w:val="00E743DB"/>
    <w:rsid w:val="00E744A0"/>
    <w:rsid w:val="00E74679"/>
    <w:rsid w:val="00E74B7C"/>
    <w:rsid w:val="00E74DB2"/>
    <w:rsid w:val="00E74DCD"/>
    <w:rsid w:val="00E74F94"/>
    <w:rsid w:val="00E7514D"/>
    <w:rsid w:val="00E751CF"/>
    <w:rsid w:val="00E75387"/>
    <w:rsid w:val="00E754BC"/>
    <w:rsid w:val="00E75872"/>
    <w:rsid w:val="00E7596F"/>
    <w:rsid w:val="00E75ADC"/>
    <w:rsid w:val="00E75D06"/>
    <w:rsid w:val="00E75D9B"/>
    <w:rsid w:val="00E7608A"/>
    <w:rsid w:val="00E7667C"/>
    <w:rsid w:val="00E768CF"/>
    <w:rsid w:val="00E769E0"/>
    <w:rsid w:val="00E76A29"/>
    <w:rsid w:val="00E77248"/>
    <w:rsid w:val="00E77435"/>
    <w:rsid w:val="00E774EA"/>
    <w:rsid w:val="00E77521"/>
    <w:rsid w:val="00E77601"/>
    <w:rsid w:val="00E776BC"/>
    <w:rsid w:val="00E777D8"/>
    <w:rsid w:val="00E77821"/>
    <w:rsid w:val="00E77A94"/>
    <w:rsid w:val="00E77AF5"/>
    <w:rsid w:val="00E77D78"/>
    <w:rsid w:val="00E803F4"/>
    <w:rsid w:val="00E80409"/>
    <w:rsid w:val="00E805F0"/>
    <w:rsid w:val="00E80C1B"/>
    <w:rsid w:val="00E80D88"/>
    <w:rsid w:val="00E80EA1"/>
    <w:rsid w:val="00E80F72"/>
    <w:rsid w:val="00E81012"/>
    <w:rsid w:val="00E81056"/>
    <w:rsid w:val="00E810B2"/>
    <w:rsid w:val="00E8118B"/>
    <w:rsid w:val="00E81272"/>
    <w:rsid w:val="00E814FD"/>
    <w:rsid w:val="00E81877"/>
    <w:rsid w:val="00E81D81"/>
    <w:rsid w:val="00E81DD5"/>
    <w:rsid w:val="00E81EAC"/>
    <w:rsid w:val="00E821B9"/>
    <w:rsid w:val="00E8232B"/>
    <w:rsid w:val="00E823BD"/>
    <w:rsid w:val="00E82453"/>
    <w:rsid w:val="00E8246D"/>
    <w:rsid w:val="00E8254F"/>
    <w:rsid w:val="00E828A3"/>
    <w:rsid w:val="00E82CEB"/>
    <w:rsid w:val="00E82D51"/>
    <w:rsid w:val="00E82DDF"/>
    <w:rsid w:val="00E83116"/>
    <w:rsid w:val="00E832B5"/>
    <w:rsid w:val="00E83482"/>
    <w:rsid w:val="00E83672"/>
    <w:rsid w:val="00E836B5"/>
    <w:rsid w:val="00E838DC"/>
    <w:rsid w:val="00E83C69"/>
    <w:rsid w:val="00E83D41"/>
    <w:rsid w:val="00E83EEB"/>
    <w:rsid w:val="00E83F82"/>
    <w:rsid w:val="00E83FF0"/>
    <w:rsid w:val="00E84004"/>
    <w:rsid w:val="00E841A5"/>
    <w:rsid w:val="00E8431B"/>
    <w:rsid w:val="00E8439A"/>
    <w:rsid w:val="00E8492C"/>
    <w:rsid w:val="00E84B4C"/>
    <w:rsid w:val="00E84C10"/>
    <w:rsid w:val="00E84CF5"/>
    <w:rsid w:val="00E84D2B"/>
    <w:rsid w:val="00E8506A"/>
    <w:rsid w:val="00E850A9"/>
    <w:rsid w:val="00E85376"/>
    <w:rsid w:val="00E853FC"/>
    <w:rsid w:val="00E85A25"/>
    <w:rsid w:val="00E85ABB"/>
    <w:rsid w:val="00E85C65"/>
    <w:rsid w:val="00E85E24"/>
    <w:rsid w:val="00E86246"/>
    <w:rsid w:val="00E86506"/>
    <w:rsid w:val="00E867C7"/>
    <w:rsid w:val="00E869B1"/>
    <w:rsid w:val="00E86B25"/>
    <w:rsid w:val="00E86C3F"/>
    <w:rsid w:val="00E86DF7"/>
    <w:rsid w:val="00E86ED9"/>
    <w:rsid w:val="00E86EE5"/>
    <w:rsid w:val="00E871C7"/>
    <w:rsid w:val="00E87246"/>
    <w:rsid w:val="00E87571"/>
    <w:rsid w:val="00E87686"/>
    <w:rsid w:val="00E87A54"/>
    <w:rsid w:val="00E87B02"/>
    <w:rsid w:val="00E87BC3"/>
    <w:rsid w:val="00E87D9B"/>
    <w:rsid w:val="00E90073"/>
    <w:rsid w:val="00E903DC"/>
    <w:rsid w:val="00E90611"/>
    <w:rsid w:val="00E90CB1"/>
    <w:rsid w:val="00E90E8B"/>
    <w:rsid w:val="00E90ECC"/>
    <w:rsid w:val="00E90FA8"/>
    <w:rsid w:val="00E90FB4"/>
    <w:rsid w:val="00E9104C"/>
    <w:rsid w:val="00E910A5"/>
    <w:rsid w:val="00E917E9"/>
    <w:rsid w:val="00E9181C"/>
    <w:rsid w:val="00E9191F"/>
    <w:rsid w:val="00E91E6C"/>
    <w:rsid w:val="00E92168"/>
    <w:rsid w:val="00E922A6"/>
    <w:rsid w:val="00E924DA"/>
    <w:rsid w:val="00E92550"/>
    <w:rsid w:val="00E92597"/>
    <w:rsid w:val="00E928FA"/>
    <w:rsid w:val="00E92922"/>
    <w:rsid w:val="00E92F0A"/>
    <w:rsid w:val="00E9303F"/>
    <w:rsid w:val="00E93050"/>
    <w:rsid w:val="00E930BF"/>
    <w:rsid w:val="00E93586"/>
    <w:rsid w:val="00E9383F"/>
    <w:rsid w:val="00E93848"/>
    <w:rsid w:val="00E93881"/>
    <w:rsid w:val="00E939BA"/>
    <w:rsid w:val="00E939E2"/>
    <w:rsid w:val="00E93A3F"/>
    <w:rsid w:val="00E93AEA"/>
    <w:rsid w:val="00E93E62"/>
    <w:rsid w:val="00E94035"/>
    <w:rsid w:val="00E940E2"/>
    <w:rsid w:val="00E943EC"/>
    <w:rsid w:val="00E9461A"/>
    <w:rsid w:val="00E946F8"/>
    <w:rsid w:val="00E94726"/>
    <w:rsid w:val="00E94786"/>
    <w:rsid w:val="00E94861"/>
    <w:rsid w:val="00E949DB"/>
    <w:rsid w:val="00E94AF7"/>
    <w:rsid w:val="00E95513"/>
    <w:rsid w:val="00E95556"/>
    <w:rsid w:val="00E956C4"/>
    <w:rsid w:val="00E95B1C"/>
    <w:rsid w:val="00E95BA3"/>
    <w:rsid w:val="00E95CF4"/>
    <w:rsid w:val="00E95E85"/>
    <w:rsid w:val="00E962AA"/>
    <w:rsid w:val="00E964AA"/>
    <w:rsid w:val="00E96896"/>
    <w:rsid w:val="00E968F5"/>
    <w:rsid w:val="00E9692F"/>
    <w:rsid w:val="00E96949"/>
    <w:rsid w:val="00E96B09"/>
    <w:rsid w:val="00E96FCA"/>
    <w:rsid w:val="00E9700B"/>
    <w:rsid w:val="00E9702D"/>
    <w:rsid w:val="00E970F0"/>
    <w:rsid w:val="00E972FC"/>
    <w:rsid w:val="00E97449"/>
    <w:rsid w:val="00E978A4"/>
    <w:rsid w:val="00E97D2A"/>
    <w:rsid w:val="00E97D7E"/>
    <w:rsid w:val="00E97E3E"/>
    <w:rsid w:val="00E97F57"/>
    <w:rsid w:val="00EA0023"/>
    <w:rsid w:val="00EA0150"/>
    <w:rsid w:val="00EA033D"/>
    <w:rsid w:val="00EA0370"/>
    <w:rsid w:val="00EA04A3"/>
    <w:rsid w:val="00EA05C8"/>
    <w:rsid w:val="00EA0BCD"/>
    <w:rsid w:val="00EA0CC9"/>
    <w:rsid w:val="00EA0E29"/>
    <w:rsid w:val="00EA0E9D"/>
    <w:rsid w:val="00EA10A1"/>
    <w:rsid w:val="00EA14F4"/>
    <w:rsid w:val="00EA17C0"/>
    <w:rsid w:val="00EA1A59"/>
    <w:rsid w:val="00EA1CF1"/>
    <w:rsid w:val="00EA1D0F"/>
    <w:rsid w:val="00EA1DB6"/>
    <w:rsid w:val="00EA1FC5"/>
    <w:rsid w:val="00EA219F"/>
    <w:rsid w:val="00EA22C2"/>
    <w:rsid w:val="00EA23E6"/>
    <w:rsid w:val="00EA25D3"/>
    <w:rsid w:val="00EA2618"/>
    <w:rsid w:val="00EA2665"/>
    <w:rsid w:val="00EA2893"/>
    <w:rsid w:val="00EA2A3E"/>
    <w:rsid w:val="00EA2B7F"/>
    <w:rsid w:val="00EA2F8C"/>
    <w:rsid w:val="00EA3110"/>
    <w:rsid w:val="00EA32C4"/>
    <w:rsid w:val="00EA342F"/>
    <w:rsid w:val="00EA3570"/>
    <w:rsid w:val="00EA3D1F"/>
    <w:rsid w:val="00EA40E5"/>
    <w:rsid w:val="00EA45BC"/>
    <w:rsid w:val="00EA4706"/>
    <w:rsid w:val="00EA48BB"/>
    <w:rsid w:val="00EA4D16"/>
    <w:rsid w:val="00EA4D25"/>
    <w:rsid w:val="00EA4D2D"/>
    <w:rsid w:val="00EA5086"/>
    <w:rsid w:val="00EA520F"/>
    <w:rsid w:val="00EA5376"/>
    <w:rsid w:val="00EA53E7"/>
    <w:rsid w:val="00EA54AB"/>
    <w:rsid w:val="00EA558C"/>
    <w:rsid w:val="00EA57D1"/>
    <w:rsid w:val="00EA590C"/>
    <w:rsid w:val="00EA59CC"/>
    <w:rsid w:val="00EA5D9E"/>
    <w:rsid w:val="00EA5F56"/>
    <w:rsid w:val="00EA5F76"/>
    <w:rsid w:val="00EA5FC8"/>
    <w:rsid w:val="00EA66B2"/>
    <w:rsid w:val="00EA67F5"/>
    <w:rsid w:val="00EA6D06"/>
    <w:rsid w:val="00EA736E"/>
    <w:rsid w:val="00EA7648"/>
    <w:rsid w:val="00EA7934"/>
    <w:rsid w:val="00EA7F07"/>
    <w:rsid w:val="00EA7FC3"/>
    <w:rsid w:val="00EB0190"/>
    <w:rsid w:val="00EB02A1"/>
    <w:rsid w:val="00EB0500"/>
    <w:rsid w:val="00EB07BC"/>
    <w:rsid w:val="00EB0A07"/>
    <w:rsid w:val="00EB0BD6"/>
    <w:rsid w:val="00EB0DFC"/>
    <w:rsid w:val="00EB13BB"/>
    <w:rsid w:val="00EB161C"/>
    <w:rsid w:val="00EB1636"/>
    <w:rsid w:val="00EB204E"/>
    <w:rsid w:val="00EB21B0"/>
    <w:rsid w:val="00EB21F8"/>
    <w:rsid w:val="00EB2513"/>
    <w:rsid w:val="00EB2751"/>
    <w:rsid w:val="00EB27A3"/>
    <w:rsid w:val="00EB27BF"/>
    <w:rsid w:val="00EB293F"/>
    <w:rsid w:val="00EB2A28"/>
    <w:rsid w:val="00EB2DF9"/>
    <w:rsid w:val="00EB2E7B"/>
    <w:rsid w:val="00EB2FD8"/>
    <w:rsid w:val="00EB3060"/>
    <w:rsid w:val="00EB318A"/>
    <w:rsid w:val="00EB319E"/>
    <w:rsid w:val="00EB31EE"/>
    <w:rsid w:val="00EB343C"/>
    <w:rsid w:val="00EB35C2"/>
    <w:rsid w:val="00EB397E"/>
    <w:rsid w:val="00EB3CD0"/>
    <w:rsid w:val="00EB3E24"/>
    <w:rsid w:val="00EB3E45"/>
    <w:rsid w:val="00EB3EE3"/>
    <w:rsid w:val="00EB3F9F"/>
    <w:rsid w:val="00EB4075"/>
    <w:rsid w:val="00EB41BE"/>
    <w:rsid w:val="00EB4365"/>
    <w:rsid w:val="00EB4559"/>
    <w:rsid w:val="00EB4670"/>
    <w:rsid w:val="00EB46A4"/>
    <w:rsid w:val="00EB4851"/>
    <w:rsid w:val="00EB4B88"/>
    <w:rsid w:val="00EB4C17"/>
    <w:rsid w:val="00EB4E8D"/>
    <w:rsid w:val="00EB500F"/>
    <w:rsid w:val="00EB5079"/>
    <w:rsid w:val="00EB5142"/>
    <w:rsid w:val="00EB5298"/>
    <w:rsid w:val="00EB5319"/>
    <w:rsid w:val="00EB531D"/>
    <w:rsid w:val="00EB5364"/>
    <w:rsid w:val="00EB55EA"/>
    <w:rsid w:val="00EB571A"/>
    <w:rsid w:val="00EB5763"/>
    <w:rsid w:val="00EB58A0"/>
    <w:rsid w:val="00EB5BD5"/>
    <w:rsid w:val="00EB5EAC"/>
    <w:rsid w:val="00EB61A0"/>
    <w:rsid w:val="00EB63FA"/>
    <w:rsid w:val="00EB6872"/>
    <w:rsid w:val="00EB6CFB"/>
    <w:rsid w:val="00EB6D6E"/>
    <w:rsid w:val="00EB6D94"/>
    <w:rsid w:val="00EB7226"/>
    <w:rsid w:val="00EB74C1"/>
    <w:rsid w:val="00EB75B8"/>
    <w:rsid w:val="00EB770C"/>
    <w:rsid w:val="00EB7891"/>
    <w:rsid w:val="00EB7A91"/>
    <w:rsid w:val="00EB7B29"/>
    <w:rsid w:val="00EB7C3D"/>
    <w:rsid w:val="00EB7D39"/>
    <w:rsid w:val="00EB7DF2"/>
    <w:rsid w:val="00EB7E37"/>
    <w:rsid w:val="00EC002D"/>
    <w:rsid w:val="00EC00C7"/>
    <w:rsid w:val="00EC01E9"/>
    <w:rsid w:val="00EC0525"/>
    <w:rsid w:val="00EC066F"/>
    <w:rsid w:val="00EC06A4"/>
    <w:rsid w:val="00EC077E"/>
    <w:rsid w:val="00EC0801"/>
    <w:rsid w:val="00EC1046"/>
    <w:rsid w:val="00EC10C6"/>
    <w:rsid w:val="00EC10E0"/>
    <w:rsid w:val="00EC1172"/>
    <w:rsid w:val="00EC1494"/>
    <w:rsid w:val="00EC1572"/>
    <w:rsid w:val="00EC158A"/>
    <w:rsid w:val="00EC1743"/>
    <w:rsid w:val="00EC17D1"/>
    <w:rsid w:val="00EC1993"/>
    <w:rsid w:val="00EC19AE"/>
    <w:rsid w:val="00EC2123"/>
    <w:rsid w:val="00EC2364"/>
    <w:rsid w:val="00EC25F1"/>
    <w:rsid w:val="00EC266E"/>
    <w:rsid w:val="00EC29CF"/>
    <w:rsid w:val="00EC2C48"/>
    <w:rsid w:val="00EC306F"/>
    <w:rsid w:val="00EC3331"/>
    <w:rsid w:val="00EC335F"/>
    <w:rsid w:val="00EC34D1"/>
    <w:rsid w:val="00EC3558"/>
    <w:rsid w:val="00EC3844"/>
    <w:rsid w:val="00EC3950"/>
    <w:rsid w:val="00EC39E7"/>
    <w:rsid w:val="00EC3C0B"/>
    <w:rsid w:val="00EC3D70"/>
    <w:rsid w:val="00EC4425"/>
    <w:rsid w:val="00EC458F"/>
    <w:rsid w:val="00EC48C1"/>
    <w:rsid w:val="00EC4C8A"/>
    <w:rsid w:val="00EC4D4A"/>
    <w:rsid w:val="00EC4F39"/>
    <w:rsid w:val="00EC4FD7"/>
    <w:rsid w:val="00EC5014"/>
    <w:rsid w:val="00EC519A"/>
    <w:rsid w:val="00EC5250"/>
    <w:rsid w:val="00EC53D5"/>
    <w:rsid w:val="00EC555F"/>
    <w:rsid w:val="00EC5909"/>
    <w:rsid w:val="00EC5959"/>
    <w:rsid w:val="00EC5C1D"/>
    <w:rsid w:val="00EC6082"/>
    <w:rsid w:val="00EC6156"/>
    <w:rsid w:val="00EC63F4"/>
    <w:rsid w:val="00EC6502"/>
    <w:rsid w:val="00EC655B"/>
    <w:rsid w:val="00EC67F3"/>
    <w:rsid w:val="00EC696F"/>
    <w:rsid w:val="00EC6B90"/>
    <w:rsid w:val="00EC6BF8"/>
    <w:rsid w:val="00EC6C3E"/>
    <w:rsid w:val="00EC6DE6"/>
    <w:rsid w:val="00EC6F7B"/>
    <w:rsid w:val="00EC7099"/>
    <w:rsid w:val="00EC730A"/>
    <w:rsid w:val="00EC7380"/>
    <w:rsid w:val="00EC770C"/>
    <w:rsid w:val="00EC7AC9"/>
    <w:rsid w:val="00EC7B42"/>
    <w:rsid w:val="00EC7C29"/>
    <w:rsid w:val="00EC7D83"/>
    <w:rsid w:val="00EC7DBC"/>
    <w:rsid w:val="00EC7ECF"/>
    <w:rsid w:val="00ED009A"/>
    <w:rsid w:val="00ED00D7"/>
    <w:rsid w:val="00ED0189"/>
    <w:rsid w:val="00ED01C6"/>
    <w:rsid w:val="00ED0202"/>
    <w:rsid w:val="00ED041A"/>
    <w:rsid w:val="00ED04F6"/>
    <w:rsid w:val="00ED05A7"/>
    <w:rsid w:val="00ED0B8A"/>
    <w:rsid w:val="00ED0D0D"/>
    <w:rsid w:val="00ED0DB7"/>
    <w:rsid w:val="00ED0E59"/>
    <w:rsid w:val="00ED0F72"/>
    <w:rsid w:val="00ED1050"/>
    <w:rsid w:val="00ED10F0"/>
    <w:rsid w:val="00ED11FD"/>
    <w:rsid w:val="00ED12FF"/>
    <w:rsid w:val="00ED15F6"/>
    <w:rsid w:val="00ED1687"/>
    <w:rsid w:val="00ED16CF"/>
    <w:rsid w:val="00ED187E"/>
    <w:rsid w:val="00ED19A1"/>
    <w:rsid w:val="00ED2146"/>
    <w:rsid w:val="00ED21DF"/>
    <w:rsid w:val="00ED2759"/>
    <w:rsid w:val="00ED2DCB"/>
    <w:rsid w:val="00ED3131"/>
    <w:rsid w:val="00ED34D6"/>
    <w:rsid w:val="00ED3555"/>
    <w:rsid w:val="00ED3658"/>
    <w:rsid w:val="00ED36CB"/>
    <w:rsid w:val="00ED386C"/>
    <w:rsid w:val="00ED388D"/>
    <w:rsid w:val="00ED3ECF"/>
    <w:rsid w:val="00ED3F2C"/>
    <w:rsid w:val="00ED444C"/>
    <w:rsid w:val="00ED46BE"/>
    <w:rsid w:val="00ED4813"/>
    <w:rsid w:val="00ED4861"/>
    <w:rsid w:val="00ED48C7"/>
    <w:rsid w:val="00ED4AD4"/>
    <w:rsid w:val="00ED4E49"/>
    <w:rsid w:val="00ED5054"/>
    <w:rsid w:val="00ED512C"/>
    <w:rsid w:val="00ED5152"/>
    <w:rsid w:val="00ED527B"/>
    <w:rsid w:val="00ED531F"/>
    <w:rsid w:val="00ED5489"/>
    <w:rsid w:val="00ED5619"/>
    <w:rsid w:val="00ED58A4"/>
    <w:rsid w:val="00ED5955"/>
    <w:rsid w:val="00ED5C2E"/>
    <w:rsid w:val="00ED6057"/>
    <w:rsid w:val="00ED6102"/>
    <w:rsid w:val="00ED612A"/>
    <w:rsid w:val="00ED64C8"/>
    <w:rsid w:val="00ED66D4"/>
    <w:rsid w:val="00ED67AC"/>
    <w:rsid w:val="00ED67D5"/>
    <w:rsid w:val="00ED68E4"/>
    <w:rsid w:val="00ED6A48"/>
    <w:rsid w:val="00ED6E81"/>
    <w:rsid w:val="00ED7019"/>
    <w:rsid w:val="00ED7599"/>
    <w:rsid w:val="00ED7626"/>
    <w:rsid w:val="00ED7B25"/>
    <w:rsid w:val="00ED7B82"/>
    <w:rsid w:val="00ED7E8F"/>
    <w:rsid w:val="00ED7ED4"/>
    <w:rsid w:val="00EE0203"/>
    <w:rsid w:val="00EE021A"/>
    <w:rsid w:val="00EE02AA"/>
    <w:rsid w:val="00EE03D2"/>
    <w:rsid w:val="00EE08D8"/>
    <w:rsid w:val="00EE0949"/>
    <w:rsid w:val="00EE09CC"/>
    <w:rsid w:val="00EE0A9A"/>
    <w:rsid w:val="00EE0BFC"/>
    <w:rsid w:val="00EE0C0F"/>
    <w:rsid w:val="00EE0C91"/>
    <w:rsid w:val="00EE0DE3"/>
    <w:rsid w:val="00EE0EE6"/>
    <w:rsid w:val="00EE0FB2"/>
    <w:rsid w:val="00EE124F"/>
    <w:rsid w:val="00EE1498"/>
    <w:rsid w:val="00EE18CA"/>
    <w:rsid w:val="00EE1AB9"/>
    <w:rsid w:val="00EE1D80"/>
    <w:rsid w:val="00EE1E3E"/>
    <w:rsid w:val="00EE2314"/>
    <w:rsid w:val="00EE244C"/>
    <w:rsid w:val="00EE244E"/>
    <w:rsid w:val="00EE25AA"/>
    <w:rsid w:val="00EE25CE"/>
    <w:rsid w:val="00EE2991"/>
    <w:rsid w:val="00EE2A50"/>
    <w:rsid w:val="00EE2D64"/>
    <w:rsid w:val="00EE2F25"/>
    <w:rsid w:val="00EE31C3"/>
    <w:rsid w:val="00EE32C3"/>
    <w:rsid w:val="00EE3484"/>
    <w:rsid w:val="00EE3797"/>
    <w:rsid w:val="00EE380A"/>
    <w:rsid w:val="00EE3994"/>
    <w:rsid w:val="00EE3B63"/>
    <w:rsid w:val="00EE3B76"/>
    <w:rsid w:val="00EE3C77"/>
    <w:rsid w:val="00EE3C8B"/>
    <w:rsid w:val="00EE3F3E"/>
    <w:rsid w:val="00EE41F2"/>
    <w:rsid w:val="00EE452B"/>
    <w:rsid w:val="00EE47E3"/>
    <w:rsid w:val="00EE4A17"/>
    <w:rsid w:val="00EE4A2C"/>
    <w:rsid w:val="00EE4C46"/>
    <w:rsid w:val="00EE4CA5"/>
    <w:rsid w:val="00EE4E37"/>
    <w:rsid w:val="00EE52B7"/>
    <w:rsid w:val="00EE534C"/>
    <w:rsid w:val="00EE5677"/>
    <w:rsid w:val="00EE5806"/>
    <w:rsid w:val="00EE5B34"/>
    <w:rsid w:val="00EE5BAF"/>
    <w:rsid w:val="00EE6104"/>
    <w:rsid w:val="00EE6500"/>
    <w:rsid w:val="00EE6898"/>
    <w:rsid w:val="00EE6984"/>
    <w:rsid w:val="00EE69A4"/>
    <w:rsid w:val="00EE6C8E"/>
    <w:rsid w:val="00EE71D1"/>
    <w:rsid w:val="00EE7277"/>
    <w:rsid w:val="00EE7804"/>
    <w:rsid w:val="00EE78C0"/>
    <w:rsid w:val="00EE7A4F"/>
    <w:rsid w:val="00EE7C07"/>
    <w:rsid w:val="00EE7D09"/>
    <w:rsid w:val="00EE7D7C"/>
    <w:rsid w:val="00EE7DE0"/>
    <w:rsid w:val="00EE7EE6"/>
    <w:rsid w:val="00EF04DF"/>
    <w:rsid w:val="00EF0539"/>
    <w:rsid w:val="00EF0559"/>
    <w:rsid w:val="00EF086C"/>
    <w:rsid w:val="00EF0B24"/>
    <w:rsid w:val="00EF0EC5"/>
    <w:rsid w:val="00EF1008"/>
    <w:rsid w:val="00EF1105"/>
    <w:rsid w:val="00EF1176"/>
    <w:rsid w:val="00EF1230"/>
    <w:rsid w:val="00EF12C8"/>
    <w:rsid w:val="00EF134A"/>
    <w:rsid w:val="00EF1626"/>
    <w:rsid w:val="00EF162A"/>
    <w:rsid w:val="00EF16D4"/>
    <w:rsid w:val="00EF1B04"/>
    <w:rsid w:val="00EF1B14"/>
    <w:rsid w:val="00EF1C39"/>
    <w:rsid w:val="00EF1C9B"/>
    <w:rsid w:val="00EF2956"/>
    <w:rsid w:val="00EF2EEA"/>
    <w:rsid w:val="00EF2FF5"/>
    <w:rsid w:val="00EF32EF"/>
    <w:rsid w:val="00EF3821"/>
    <w:rsid w:val="00EF3AFF"/>
    <w:rsid w:val="00EF3C24"/>
    <w:rsid w:val="00EF3F75"/>
    <w:rsid w:val="00EF3FAA"/>
    <w:rsid w:val="00EF409D"/>
    <w:rsid w:val="00EF4185"/>
    <w:rsid w:val="00EF421E"/>
    <w:rsid w:val="00EF4329"/>
    <w:rsid w:val="00EF4708"/>
    <w:rsid w:val="00EF4717"/>
    <w:rsid w:val="00EF4A02"/>
    <w:rsid w:val="00EF4CD2"/>
    <w:rsid w:val="00EF4E7D"/>
    <w:rsid w:val="00EF4FE3"/>
    <w:rsid w:val="00EF5016"/>
    <w:rsid w:val="00EF51F9"/>
    <w:rsid w:val="00EF5211"/>
    <w:rsid w:val="00EF548C"/>
    <w:rsid w:val="00EF565C"/>
    <w:rsid w:val="00EF58B7"/>
    <w:rsid w:val="00EF5AD7"/>
    <w:rsid w:val="00EF5BE3"/>
    <w:rsid w:val="00EF5C38"/>
    <w:rsid w:val="00EF61A4"/>
    <w:rsid w:val="00EF63E3"/>
    <w:rsid w:val="00EF6455"/>
    <w:rsid w:val="00EF68A7"/>
    <w:rsid w:val="00EF6ABC"/>
    <w:rsid w:val="00EF6BFE"/>
    <w:rsid w:val="00EF6D90"/>
    <w:rsid w:val="00EF6D9B"/>
    <w:rsid w:val="00EF72FD"/>
    <w:rsid w:val="00EF7330"/>
    <w:rsid w:val="00EF74DD"/>
    <w:rsid w:val="00EF7525"/>
    <w:rsid w:val="00EF7561"/>
    <w:rsid w:val="00EF7703"/>
    <w:rsid w:val="00EF77B9"/>
    <w:rsid w:val="00EF7BEC"/>
    <w:rsid w:val="00EF7D5D"/>
    <w:rsid w:val="00EF7EB1"/>
    <w:rsid w:val="00F001AC"/>
    <w:rsid w:val="00F0045B"/>
    <w:rsid w:val="00F0058E"/>
    <w:rsid w:val="00F00730"/>
    <w:rsid w:val="00F007FE"/>
    <w:rsid w:val="00F0089D"/>
    <w:rsid w:val="00F00956"/>
    <w:rsid w:val="00F0099B"/>
    <w:rsid w:val="00F00CB6"/>
    <w:rsid w:val="00F00CBB"/>
    <w:rsid w:val="00F011F7"/>
    <w:rsid w:val="00F01261"/>
    <w:rsid w:val="00F01351"/>
    <w:rsid w:val="00F01402"/>
    <w:rsid w:val="00F01406"/>
    <w:rsid w:val="00F014AF"/>
    <w:rsid w:val="00F016D4"/>
    <w:rsid w:val="00F019E0"/>
    <w:rsid w:val="00F019EA"/>
    <w:rsid w:val="00F01A6E"/>
    <w:rsid w:val="00F01BAB"/>
    <w:rsid w:val="00F01C04"/>
    <w:rsid w:val="00F020E4"/>
    <w:rsid w:val="00F02245"/>
    <w:rsid w:val="00F025AA"/>
    <w:rsid w:val="00F026AE"/>
    <w:rsid w:val="00F02AA1"/>
    <w:rsid w:val="00F02AB2"/>
    <w:rsid w:val="00F02B09"/>
    <w:rsid w:val="00F0318A"/>
    <w:rsid w:val="00F031B7"/>
    <w:rsid w:val="00F031C4"/>
    <w:rsid w:val="00F03216"/>
    <w:rsid w:val="00F033CD"/>
    <w:rsid w:val="00F0365D"/>
    <w:rsid w:val="00F0374B"/>
    <w:rsid w:val="00F03857"/>
    <w:rsid w:val="00F03A2D"/>
    <w:rsid w:val="00F03B04"/>
    <w:rsid w:val="00F03B46"/>
    <w:rsid w:val="00F03CEB"/>
    <w:rsid w:val="00F03F20"/>
    <w:rsid w:val="00F040AE"/>
    <w:rsid w:val="00F0427C"/>
    <w:rsid w:val="00F0439A"/>
    <w:rsid w:val="00F04461"/>
    <w:rsid w:val="00F04703"/>
    <w:rsid w:val="00F049DD"/>
    <w:rsid w:val="00F04B5B"/>
    <w:rsid w:val="00F04CE1"/>
    <w:rsid w:val="00F0507E"/>
    <w:rsid w:val="00F050A7"/>
    <w:rsid w:val="00F05190"/>
    <w:rsid w:val="00F054D8"/>
    <w:rsid w:val="00F0559B"/>
    <w:rsid w:val="00F0561B"/>
    <w:rsid w:val="00F05755"/>
    <w:rsid w:val="00F05789"/>
    <w:rsid w:val="00F05BA9"/>
    <w:rsid w:val="00F06199"/>
    <w:rsid w:val="00F06919"/>
    <w:rsid w:val="00F06A73"/>
    <w:rsid w:val="00F06B95"/>
    <w:rsid w:val="00F06C2C"/>
    <w:rsid w:val="00F06DA4"/>
    <w:rsid w:val="00F073F1"/>
    <w:rsid w:val="00F07D4F"/>
    <w:rsid w:val="00F07DC2"/>
    <w:rsid w:val="00F07F24"/>
    <w:rsid w:val="00F07F33"/>
    <w:rsid w:val="00F10609"/>
    <w:rsid w:val="00F10634"/>
    <w:rsid w:val="00F1090C"/>
    <w:rsid w:val="00F10AE7"/>
    <w:rsid w:val="00F1100F"/>
    <w:rsid w:val="00F11146"/>
    <w:rsid w:val="00F1124B"/>
    <w:rsid w:val="00F112E7"/>
    <w:rsid w:val="00F11529"/>
    <w:rsid w:val="00F11641"/>
    <w:rsid w:val="00F11664"/>
    <w:rsid w:val="00F118D2"/>
    <w:rsid w:val="00F11A2B"/>
    <w:rsid w:val="00F11AA0"/>
    <w:rsid w:val="00F11C1D"/>
    <w:rsid w:val="00F11DB5"/>
    <w:rsid w:val="00F11EA8"/>
    <w:rsid w:val="00F120BE"/>
    <w:rsid w:val="00F12108"/>
    <w:rsid w:val="00F12232"/>
    <w:rsid w:val="00F1251D"/>
    <w:rsid w:val="00F12573"/>
    <w:rsid w:val="00F1269E"/>
    <w:rsid w:val="00F1271F"/>
    <w:rsid w:val="00F1282A"/>
    <w:rsid w:val="00F128EA"/>
    <w:rsid w:val="00F129B9"/>
    <w:rsid w:val="00F12AD0"/>
    <w:rsid w:val="00F12D67"/>
    <w:rsid w:val="00F12FEA"/>
    <w:rsid w:val="00F1326D"/>
    <w:rsid w:val="00F136C1"/>
    <w:rsid w:val="00F13765"/>
    <w:rsid w:val="00F13806"/>
    <w:rsid w:val="00F139DC"/>
    <w:rsid w:val="00F13E1C"/>
    <w:rsid w:val="00F14006"/>
    <w:rsid w:val="00F1400E"/>
    <w:rsid w:val="00F140AD"/>
    <w:rsid w:val="00F1429C"/>
    <w:rsid w:val="00F142D6"/>
    <w:rsid w:val="00F14B2E"/>
    <w:rsid w:val="00F14B4F"/>
    <w:rsid w:val="00F14FEB"/>
    <w:rsid w:val="00F151EF"/>
    <w:rsid w:val="00F15316"/>
    <w:rsid w:val="00F1533D"/>
    <w:rsid w:val="00F154A2"/>
    <w:rsid w:val="00F1558F"/>
    <w:rsid w:val="00F1573F"/>
    <w:rsid w:val="00F15786"/>
    <w:rsid w:val="00F15861"/>
    <w:rsid w:val="00F15ABA"/>
    <w:rsid w:val="00F15B02"/>
    <w:rsid w:val="00F15BFB"/>
    <w:rsid w:val="00F15C51"/>
    <w:rsid w:val="00F15C99"/>
    <w:rsid w:val="00F15E38"/>
    <w:rsid w:val="00F15FE6"/>
    <w:rsid w:val="00F1615C"/>
    <w:rsid w:val="00F16225"/>
    <w:rsid w:val="00F163F1"/>
    <w:rsid w:val="00F1648F"/>
    <w:rsid w:val="00F16504"/>
    <w:rsid w:val="00F166E0"/>
    <w:rsid w:val="00F168B5"/>
    <w:rsid w:val="00F16B81"/>
    <w:rsid w:val="00F16D7D"/>
    <w:rsid w:val="00F16D83"/>
    <w:rsid w:val="00F170C4"/>
    <w:rsid w:val="00F170FA"/>
    <w:rsid w:val="00F17208"/>
    <w:rsid w:val="00F17223"/>
    <w:rsid w:val="00F17459"/>
    <w:rsid w:val="00F176A5"/>
    <w:rsid w:val="00F17AB4"/>
    <w:rsid w:val="00F17DD5"/>
    <w:rsid w:val="00F17DD9"/>
    <w:rsid w:val="00F20577"/>
    <w:rsid w:val="00F205EC"/>
    <w:rsid w:val="00F20B8E"/>
    <w:rsid w:val="00F20D0A"/>
    <w:rsid w:val="00F20E19"/>
    <w:rsid w:val="00F213A2"/>
    <w:rsid w:val="00F214D2"/>
    <w:rsid w:val="00F218CD"/>
    <w:rsid w:val="00F21AD9"/>
    <w:rsid w:val="00F21B36"/>
    <w:rsid w:val="00F21EDD"/>
    <w:rsid w:val="00F22402"/>
    <w:rsid w:val="00F22431"/>
    <w:rsid w:val="00F22A1B"/>
    <w:rsid w:val="00F22A4F"/>
    <w:rsid w:val="00F22BA1"/>
    <w:rsid w:val="00F22D0B"/>
    <w:rsid w:val="00F230B6"/>
    <w:rsid w:val="00F23224"/>
    <w:rsid w:val="00F234A1"/>
    <w:rsid w:val="00F234F2"/>
    <w:rsid w:val="00F23753"/>
    <w:rsid w:val="00F237F4"/>
    <w:rsid w:val="00F2398D"/>
    <w:rsid w:val="00F23B3F"/>
    <w:rsid w:val="00F23EB1"/>
    <w:rsid w:val="00F2425B"/>
    <w:rsid w:val="00F242C5"/>
    <w:rsid w:val="00F245D5"/>
    <w:rsid w:val="00F24667"/>
    <w:rsid w:val="00F2478B"/>
    <w:rsid w:val="00F249AD"/>
    <w:rsid w:val="00F24A05"/>
    <w:rsid w:val="00F24E55"/>
    <w:rsid w:val="00F24EF4"/>
    <w:rsid w:val="00F25063"/>
    <w:rsid w:val="00F250A4"/>
    <w:rsid w:val="00F25172"/>
    <w:rsid w:val="00F251F3"/>
    <w:rsid w:val="00F2536A"/>
    <w:rsid w:val="00F2537F"/>
    <w:rsid w:val="00F26066"/>
    <w:rsid w:val="00F26125"/>
    <w:rsid w:val="00F261FB"/>
    <w:rsid w:val="00F2622B"/>
    <w:rsid w:val="00F262C1"/>
    <w:rsid w:val="00F2650D"/>
    <w:rsid w:val="00F26A49"/>
    <w:rsid w:val="00F26CF1"/>
    <w:rsid w:val="00F26FC4"/>
    <w:rsid w:val="00F272AD"/>
    <w:rsid w:val="00F2785A"/>
    <w:rsid w:val="00F279DD"/>
    <w:rsid w:val="00F27A21"/>
    <w:rsid w:val="00F27D20"/>
    <w:rsid w:val="00F27DCE"/>
    <w:rsid w:val="00F300C2"/>
    <w:rsid w:val="00F30378"/>
    <w:rsid w:val="00F307F2"/>
    <w:rsid w:val="00F308EE"/>
    <w:rsid w:val="00F30BC5"/>
    <w:rsid w:val="00F30BEF"/>
    <w:rsid w:val="00F310B4"/>
    <w:rsid w:val="00F31185"/>
    <w:rsid w:val="00F3124C"/>
    <w:rsid w:val="00F31511"/>
    <w:rsid w:val="00F317F5"/>
    <w:rsid w:val="00F31B00"/>
    <w:rsid w:val="00F31B12"/>
    <w:rsid w:val="00F31BA5"/>
    <w:rsid w:val="00F31CE6"/>
    <w:rsid w:val="00F31EE4"/>
    <w:rsid w:val="00F32644"/>
    <w:rsid w:val="00F32981"/>
    <w:rsid w:val="00F32A9F"/>
    <w:rsid w:val="00F32D78"/>
    <w:rsid w:val="00F3322C"/>
    <w:rsid w:val="00F332A7"/>
    <w:rsid w:val="00F33455"/>
    <w:rsid w:val="00F3347C"/>
    <w:rsid w:val="00F334B5"/>
    <w:rsid w:val="00F33659"/>
    <w:rsid w:val="00F33822"/>
    <w:rsid w:val="00F33C9E"/>
    <w:rsid w:val="00F3425B"/>
    <w:rsid w:val="00F3474F"/>
    <w:rsid w:val="00F34A4B"/>
    <w:rsid w:val="00F34BD2"/>
    <w:rsid w:val="00F34C8C"/>
    <w:rsid w:val="00F34EAC"/>
    <w:rsid w:val="00F34EE3"/>
    <w:rsid w:val="00F3511E"/>
    <w:rsid w:val="00F35155"/>
    <w:rsid w:val="00F352F9"/>
    <w:rsid w:val="00F353BF"/>
    <w:rsid w:val="00F356B2"/>
    <w:rsid w:val="00F3575A"/>
    <w:rsid w:val="00F35BDB"/>
    <w:rsid w:val="00F35E57"/>
    <w:rsid w:val="00F3609A"/>
    <w:rsid w:val="00F363BA"/>
    <w:rsid w:val="00F36520"/>
    <w:rsid w:val="00F3653E"/>
    <w:rsid w:val="00F3654E"/>
    <w:rsid w:val="00F36AED"/>
    <w:rsid w:val="00F36E70"/>
    <w:rsid w:val="00F37085"/>
    <w:rsid w:val="00F37181"/>
    <w:rsid w:val="00F372F6"/>
    <w:rsid w:val="00F373F7"/>
    <w:rsid w:val="00F37425"/>
    <w:rsid w:val="00F3742D"/>
    <w:rsid w:val="00F374C7"/>
    <w:rsid w:val="00F37823"/>
    <w:rsid w:val="00F37ABA"/>
    <w:rsid w:val="00F37C40"/>
    <w:rsid w:val="00F37CA7"/>
    <w:rsid w:val="00F37CB0"/>
    <w:rsid w:val="00F37CC0"/>
    <w:rsid w:val="00F37D4B"/>
    <w:rsid w:val="00F37E74"/>
    <w:rsid w:val="00F37FF9"/>
    <w:rsid w:val="00F4016F"/>
    <w:rsid w:val="00F402AB"/>
    <w:rsid w:val="00F4056B"/>
    <w:rsid w:val="00F40647"/>
    <w:rsid w:val="00F4082D"/>
    <w:rsid w:val="00F40928"/>
    <w:rsid w:val="00F40929"/>
    <w:rsid w:val="00F40952"/>
    <w:rsid w:val="00F409DA"/>
    <w:rsid w:val="00F40B2B"/>
    <w:rsid w:val="00F40BF9"/>
    <w:rsid w:val="00F410E5"/>
    <w:rsid w:val="00F41355"/>
    <w:rsid w:val="00F41396"/>
    <w:rsid w:val="00F41424"/>
    <w:rsid w:val="00F4152C"/>
    <w:rsid w:val="00F4162F"/>
    <w:rsid w:val="00F418AE"/>
    <w:rsid w:val="00F41A44"/>
    <w:rsid w:val="00F41D85"/>
    <w:rsid w:val="00F41EBB"/>
    <w:rsid w:val="00F4238B"/>
    <w:rsid w:val="00F4244C"/>
    <w:rsid w:val="00F425CB"/>
    <w:rsid w:val="00F425E4"/>
    <w:rsid w:val="00F42755"/>
    <w:rsid w:val="00F429BA"/>
    <w:rsid w:val="00F42A8E"/>
    <w:rsid w:val="00F42B99"/>
    <w:rsid w:val="00F42B9E"/>
    <w:rsid w:val="00F42D65"/>
    <w:rsid w:val="00F42F41"/>
    <w:rsid w:val="00F42F6E"/>
    <w:rsid w:val="00F430AE"/>
    <w:rsid w:val="00F432F0"/>
    <w:rsid w:val="00F4356D"/>
    <w:rsid w:val="00F43581"/>
    <w:rsid w:val="00F435F9"/>
    <w:rsid w:val="00F43650"/>
    <w:rsid w:val="00F43A56"/>
    <w:rsid w:val="00F43B87"/>
    <w:rsid w:val="00F44172"/>
    <w:rsid w:val="00F44214"/>
    <w:rsid w:val="00F44521"/>
    <w:rsid w:val="00F445DC"/>
    <w:rsid w:val="00F445FB"/>
    <w:rsid w:val="00F44788"/>
    <w:rsid w:val="00F44818"/>
    <w:rsid w:val="00F44C27"/>
    <w:rsid w:val="00F44CD6"/>
    <w:rsid w:val="00F44D4F"/>
    <w:rsid w:val="00F4528E"/>
    <w:rsid w:val="00F452C3"/>
    <w:rsid w:val="00F454A8"/>
    <w:rsid w:val="00F454C0"/>
    <w:rsid w:val="00F460E8"/>
    <w:rsid w:val="00F461BD"/>
    <w:rsid w:val="00F46492"/>
    <w:rsid w:val="00F465A7"/>
    <w:rsid w:val="00F46651"/>
    <w:rsid w:val="00F466C9"/>
    <w:rsid w:val="00F467C3"/>
    <w:rsid w:val="00F467EF"/>
    <w:rsid w:val="00F4694D"/>
    <w:rsid w:val="00F46A68"/>
    <w:rsid w:val="00F46AD7"/>
    <w:rsid w:val="00F46D23"/>
    <w:rsid w:val="00F46E73"/>
    <w:rsid w:val="00F46E8D"/>
    <w:rsid w:val="00F46EE7"/>
    <w:rsid w:val="00F46EF9"/>
    <w:rsid w:val="00F47018"/>
    <w:rsid w:val="00F474D3"/>
    <w:rsid w:val="00F47C76"/>
    <w:rsid w:val="00F47DA7"/>
    <w:rsid w:val="00F47EE0"/>
    <w:rsid w:val="00F47F65"/>
    <w:rsid w:val="00F500DE"/>
    <w:rsid w:val="00F50264"/>
    <w:rsid w:val="00F50293"/>
    <w:rsid w:val="00F50CB4"/>
    <w:rsid w:val="00F50D1E"/>
    <w:rsid w:val="00F5116C"/>
    <w:rsid w:val="00F513CD"/>
    <w:rsid w:val="00F515D2"/>
    <w:rsid w:val="00F51915"/>
    <w:rsid w:val="00F51B80"/>
    <w:rsid w:val="00F51B96"/>
    <w:rsid w:val="00F524C4"/>
    <w:rsid w:val="00F52537"/>
    <w:rsid w:val="00F5286F"/>
    <w:rsid w:val="00F528A3"/>
    <w:rsid w:val="00F52A68"/>
    <w:rsid w:val="00F52BE5"/>
    <w:rsid w:val="00F52F59"/>
    <w:rsid w:val="00F530A7"/>
    <w:rsid w:val="00F531C0"/>
    <w:rsid w:val="00F53294"/>
    <w:rsid w:val="00F532DD"/>
    <w:rsid w:val="00F533FC"/>
    <w:rsid w:val="00F534D1"/>
    <w:rsid w:val="00F536B0"/>
    <w:rsid w:val="00F5386A"/>
    <w:rsid w:val="00F538B2"/>
    <w:rsid w:val="00F538B7"/>
    <w:rsid w:val="00F53988"/>
    <w:rsid w:val="00F53A0D"/>
    <w:rsid w:val="00F53E43"/>
    <w:rsid w:val="00F540E7"/>
    <w:rsid w:val="00F54168"/>
    <w:rsid w:val="00F5424B"/>
    <w:rsid w:val="00F54349"/>
    <w:rsid w:val="00F5443E"/>
    <w:rsid w:val="00F54537"/>
    <w:rsid w:val="00F5466A"/>
    <w:rsid w:val="00F547FD"/>
    <w:rsid w:val="00F54983"/>
    <w:rsid w:val="00F54D92"/>
    <w:rsid w:val="00F54DA5"/>
    <w:rsid w:val="00F54FD4"/>
    <w:rsid w:val="00F550DB"/>
    <w:rsid w:val="00F550ED"/>
    <w:rsid w:val="00F55639"/>
    <w:rsid w:val="00F5586B"/>
    <w:rsid w:val="00F558DD"/>
    <w:rsid w:val="00F55A55"/>
    <w:rsid w:val="00F55B31"/>
    <w:rsid w:val="00F561B8"/>
    <w:rsid w:val="00F562FB"/>
    <w:rsid w:val="00F5638C"/>
    <w:rsid w:val="00F563D9"/>
    <w:rsid w:val="00F56612"/>
    <w:rsid w:val="00F56875"/>
    <w:rsid w:val="00F56902"/>
    <w:rsid w:val="00F56990"/>
    <w:rsid w:val="00F569A9"/>
    <w:rsid w:val="00F56BB3"/>
    <w:rsid w:val="00F56E0C"/>
    <w:rsid w:val="00F57039"/>
    <w:rsid w:val="00F5709C"/>
    <w:rsid w:val="00F572F8"/>
    <w:rsid w:val="00F57348"/>
    <w:rsid w:val="00F57583"/>
    <w:rsid w:val="00F57CD5"/>
    <w:rsid w:val="00F57E89"/>
    <w:rsid w:val="00F60209"/>
    <w:rsid w:val="00F60475"/>
    <w:rsid w:val="00F607BC"/>
    <w:rsid w:val="00F60920"/>
    <w:rsid w:val="00F60CDF"/>
    <w:rsid w:val="00F60D10"/>
    <w:rsid w:val="00F60D79"/>
    <w:rsid w:val="00F61186"/>
    <w:rsid w:val="00F611F2"/>
    <w:rsid w:val="00F614F4"/>
    <w:rsid w:val="00F6150B"/>
    <w:rsid w:val="00F61533"/>
    <w:rsid w:val="00F615A6"/>
    <w:rsid w:val="00F61691"/>
    <w:rsid w:val="00F616B3"/>
    <w:rsid w:val="00F6175B"/>
    <w:rsid w:val="00F61AF7"/>
    <w:rsid w:val="00F61BCF"/>
    <w:rsid w:val="00F61F1B"/>
    <w:rsid w:val="00F61F54"/>
    <w:rsid w:val="00F62076"/>
    <w:rsid w:val="00F621D8"/>
    <w:rsid w:val="00F62531"/>
    <w:rsid w:val="00F62698"/>
    <w:rsid w:val="00F6270C"/>
    <w:rsid w:val="00F62774"/>
    <w:rsid w:val="00F628DA"/>
    <w:rsid w:val="00F628E7"/>
    <w:rsid w:val="00F6295F"/>
    <w:rsid w:val="00F6298B"/>
    <w:rsid w:val="00F62B80"/>
    <w:rsid w:val="00F62C25"/>
    <w:rsid w:val="00F62EBC"/>
    <w:rsid w:val="00F63108"/>
    <w:rsid w:val="00F633F1"/>
    <w:rsid w:val="00F6349F"/>
    <w:rsid w:val="00F635F9"/>
    <w:rsid w:val="00F6369D"/>
    <w:rsid w:val="00F646A3"/>
    <w:rsid w:val="00F646A8"/>
    <w:rsid w:val="00F647C1"/>
    <w:rsid w:val="00F6499E"/>
    <w:rsid w:val="00F64A27"/>
    <w:rsid w:val="00F64B0B"/>
    <w:rsid w:val="00F64B9B"/>
    <w:rsid w:val="00F64C06"/>
    <w:rsid w:val="00F64CF3"/>
    <w:rsid w:val="00F650EF"/>
    <w:rsid w:val="00F65153"/>
    <w:rsid w:val="00F65177"/>
    <w:rsid w:val="00F6519C"/>
    <w:rsid w:val="00F653EF"/>
    <w:rsid w:val="00F6560E"/>
    <w:rsid w:val="00F658B8"/>
    <w:rsid w:val="00F65921"/>
    <w:rsid w:val="00F65C3F"/>
    <w:rsid w:val="00F65C4F"/>
    <w:rsid w:val="00F65DB0"/>
    <w:rsid w:val="00F65F2F"/>
    <w:rsid w:val="00F66038"/>
    <w:rsid w:val="00F660F6"/>
    <w:rsid w:val="00F661AC"/>
    <w:rsid w:val="00F66ED4"/>
    <w:rsid w:val="00F66FB8"/>
    <w:rsid w:val="00F67256"/>
    <w:rsid w:val="00F674DB"/>
    <w:rsid w:val="00F67590"/>
    <w:rsid w:val="00F6772B"/>
    <w:rsid w:val="00F67A31"/>
    <w:rsid w:val="00F67D86"/>
    <w:rsid w:val="00F67E1F"/>
    <w:rsid w:val="00F67EDB"/>
    <w:rsid w:val="00F702E8"/>
    <w:rsid w:val="00F70785"/>
    <w:rsid w:val="00F7090E"/>
    <w:rsid w:val="00F70D58"/>
    <w:rsid w:val="00F70EF1"/>
    <w:rsid w:val="00F70FAD"/>
    <w:rsid w:val="00F711AF"/>
    <w:rsid w:val="00F711B2"/>
    <w:rsid w:val="00F7120C"/>
    <w:rsid w:val="00F712EE"/>
    <w:rsid w:val="00F71383"/>
    <w:rsid w:val="00F714A8"/>
    <w:rsid w:val="00F716BF"/>
    <w:rsid w:val="00F7170C"/>
    <w:rsid w:val="00F71753"/>
    <w:rsid w:val="00F72086"/>
    <w:rsid w:val="00F721FA"/>
    <w:rsid w:val="00F7226B"/>
    <w:rsid w:val="00F7257C"/>
    <w:rsid w:val="00F728DC"/>
    <w:rsid w:val="00F72A45"/>
    <w:rsid w:val="00F72C7E"/>
    <w:rsid w:val="00F72E31"/>
    <w:rsid w:val="00F73078"/>
    <w:rsid w:val="00F73194"/>
    <w:rsid w:val="00F7324A"/>
    <w:rsid w:val="00F7342F"/>
    <w:rsid w:val="00F73720"/>
    <w:rsid w:val="00F737C0"/>
    <w:rsid w:val="00F7384E"/>
    <w:rsid w:val="00F738A5"/>
    <w:rsid w:val="00F73A9B"/>
    <w:rsid w:val="00F73FBA"/>
    <w:rsid w:val="00F743D0"/>
    <w:rsid w:val="00F7448A"/>
    <w:rsid w:val="00F7473A"/>
    <w:rsid w:val="00F747BE"/>
    <w:rsid w:val="00F749BA"/>
    <w:rsid w:val="00F74EFA"/>
    <w:rsid w:val="00F74FD2"/>
    <w:rsid w:val="00F754A0"/>
    <w:rsid w:val="00F7577D"/>
    <w:rsid w:val="00F757D2"/>
    <w:rsid w:val="00F759C3"/>
    <w:rsid w:val="00F75DBB"/>
    <w:rsid w:val="00F76182"/>
    <w:rsid w:val="00F762BC"/>
    <w:rsid w:val="00F7665A"/>
    <w:rsid w:val="00F76928"/>
    <w:rsid w:val="00F76AAF"/>
    <w:rsid w:val="00F76E93"/>
    <w:rsid w:val="00F76F8A"/>
    <w:rsid w:val="00F773CE"/>
    <w:rsid w:val="00F77499"/>
    <w:rsid w:val="00F7756C"/>
    <w:rsid w:val="00F779C4"/>
    <w:rsid w:val="00F77A6C"/>
    <w:rsid w:val="00F77B43"/>
    <w:rsid w:val="00F77BBF"/>
    <w:rsid w:val="00F77BE1"/>
    <w:rsid w:val="00F77D85"/>
    <w:rsid w:val="00F77ED3"/>
    <w:rsid w:val="00F80287"/>
    <w:rsid w:val="00F802E1"/>
    <w:rsid w:val="00F80343"/>
    <w:rsid w:val="00F80500"/>
    <w:rsid w:val="00F80728"/>
    <w:rsid w:val="00F807B3"/>
    <w:rsid w:val="00F80922"/>
    <w:rsid w:val="00F80933"/>
    <w:rsid w:val="00F811D4"/>
    <w:rsid w:val="00F811DC"/>
    <w:rsid w:val="00F811DF"/>
    <w:rsid w:val="00F814C5"/>
    <w:rsid w:val="00F816C7"/>
    <w:rsid w:val="00F818F5"/>
    <w:rsid w:val="00F819E8"/>
    <w:rsid w:val="00F81C01"/>
    <w:rsid w:val="00F81C7D"/>
    <w:rsid w:val="00F81DE1"/>
    <w:rsid w:val="00F81E1A"/>
    <w:rsid w:val="00F82160"/>
    <w:rsid w:val="00F822D8"/>
    <w:rsid w:val="00F826F3"/>
    <w:rsid w:val="00F82788"/>
    <w:rsid w:val="00F82807"/>
    <w:rsid w:val="00F82DFD"/>
    <w:rsid w:val="00F82E66"/>
    <w:rsid w:val="00F82EE8"/>
    <w:rsid w:val="00F83620"/>
    <w:rsid w:val="00F83767"/>
    <w:rsid w:val="00F837A5"/>
    <w:rsid w:val="00F840F6"/>
    <w:rsid w:val="00F841AC"/>
    <w:rsid w:val="00F84229"/>
    <w:rsid w:val="00F843A8"/>
    <w:rsid w:val="00F8467A"/>
    <w:rsid w:val="00F848E2"/>
    <w:rsid w:val="00F84A13"/>
    <w:rsid w:val="00F84A8C"/>
    <w:rsid w:val="00F84CF8"/>
    <w:rsid w:val="00F84D63"/>
    <w:rsid w:val="00F84DE9"/>
    <w:rsid w:val="00F8539A"/>
    <w:rsid w:val="00F85514"/>
    <w:rsid w:val="00F8574D"/>
    <w:rsid w:val="00F85C2A"/>
    <w:rsid w:val="00F85DC9"/>
    <w:rsid w:val="00F85F1E"/>
    <w:rsid w:val="00F85FED"/>
    <w:rsid w:val="00F860AE"/>
    <w:rsid w:val="00F861F4"/>
    <w:rsid w:val="00F862B1"/>
    <w:rsid w:val="00F8636E"/>
    <w:rsid w:val="00F86837"/>
    <w:rsid w:val="00F86973"/>
    <w:rsid w:val="00F86A60"/>
    <w:rsid w:val="00F86AD2"/>
    <w:rsid w:val="00F86C85"/>
    <w:rsid w:val="00F87590"/>
    <w:rsid w:val="00F875DF"/>
    <w:rsid w:val="00F875E0"/>
    <w:rsid w:val="00F87722"/>
    <w:rsid w:val="00F877D1"/>
    <w:rsid w:val="00F878B7"/>
    <w:rsid w:val="00F878BA"/>
    <w:rsid w:val="00F8796B"/>
    <w:rsid w:val="00F87B05"/>
    <w:rsid w:val="00F87ED9"/>
    <w:rsid w:val="00F9094D"/>
    <w:rsid w:val="00F90952"/>
    <w:rsid w:val="00F90B92"/>
    <w:rsid w:val="00F9127C"/>
    <w:rsid w:val="00F91315"/>
    <w:rsid w:val="00F914FA"/>
    <w:rsid w:val="00F9159D"/>
    <w:rsid w:val="00F917D3"/>
    <w:rsid w:val="00F918F5"/>
    <w:rsid w:val="00F91A25"/>
    <w:rsid w:val="00F91F72"/>
    <w:rsid w:val="00F923AD"/>
    <w:rsid w:val="00F92A28"/>
    <w:rsid w:val="00F92B4C"/>
    <w:rsid w:val="00F92CDA"/>
    <w:rsid w:val="00F92E24"/>
    <w:rsid w:val="00F930E2"/>
    <w:rsid w:val="00F934CB"/>
    <w:rsid w:val="00F93541"/>
    <w:rsid w:val="00F9354E"/>
    <w:rsid w:val="00F936A7"/>
    <w:rsid w:val="00F9389D"/>
    <w:rsid w:val="00F939D0"/>
    <w:rsid w:val="00F93C7F"/>
    <w:rsid w:val="00F9407F"/>
    <w:rsid w:val="00F9410B"/>
    <w:rsid w:val="00F94214"/>
    <w:rsid w:val="00F943B5"/>
    <w:rsid w:val="00F9455B"/>
    <w:rsid w:val="00F94563"/>
    <w:rsid w:val="00F94D15"/>
    <w:rsid w:val="00F94D54"/>
    <w:rsid w:val="00F94D7B"/>
    <w:rsid w:val="00F94DD9"/>
    <w:rsid w:val="00F95443"/>
    <w:rsid w:val="00F95532"/>
    <w:rsid w:val="00F95639"/>
    <w:rsid w:val="00F95A22"/>
    <w:rsid w:val="00F95C46"/>
    <w:rsid w:val="00F95E84"/>
    <w:rsid w:val="00F9644F"/>
    <w:rsid w:val="00F96A5B"/>
    <w:rsid w:val="00F96B70"/>
    <w:rsid w:val="00F96E12"/>
    <w:rsid w:val="00F96FD4"/>
    <w:rsid w:val="00F9707B"/>
    <w:rsid w:val="00F971C5"/>
    <w:rsid w:val="00F97256"/>
    <w:rsid w:val="00F97765"/>
    <w:rsid w:val="00F9787F"/>
    <w:rsid w:val="00F97953"/>
    <w:rsid w:val="00F97AE2"/>
    <w:rsid w:val="00F97C3B"/>
    <w:rsid w:val="00F97C47"/>
    <w:rsid w:val="00F97F05"/>
    <w:rsid w:val="00FA04E5"/>
    <w:rsid w:val="00FA09A0"/>
    <w:rsid w:val="00FA09FA"/>
    <w:rsid w:val="00FA0CFA"/>
    <w:rsid w:val="00FA10C2"/>
    <w:rsid w:val="00FA127F"/>
    <w:rsid w:val="00FA13FA"/>
    <w:rsid w:val="00FA1423"/>
    <w:rsid w:val="00FA16E6"/>
    <w:rsid w:val="00FA181C"/>
    <w:rsid w:val="00FA1B4D"/>
    <w:rsid w:val="00FA1BDF"/>
    <w:rsid w:val="00FA1E10"/>
    <w:rsid w:val="00FA1FB6"/>
    <w:rsid w:val="00FA214F"/>
    <w:rsid w:val="00FA2254"/>
    <w:rsid w:val="00FA2333"/>
    <w:rsid w:val="00FA272F"/>
    <w:rsid w:val="00FA277C"/>
    <w:rsid w:val="00FA3090"/>
    <w:rsid w:val="00FA30B6"/>
    <w:rsid w:val="00FA3264"/>
    <w:rsid w:val="00FA329E"/>
    <w:rsid w:val="00FA3306"/>
    <w:rsid w:val="00FA386C"/>
    <w:rsid w:val="00FA388F"/>
    <w:rsid w:val="00FA39DD"/>
    <w:rsid w:val="00FA3CB5"/>
    <w:rsid w:val="00FA3CDB"/>
    <w:rsid w:val="00FA4239"/>
    <w:rsid w:val="00FA4306"/>
    <w:rsid w:val="00FA43DB"/>
    <w:rsid w:val="00FA445F"/>
    <w:rsid w:val="00FA45D1"/>
    <w:rsid w:val="00FA465A"/>
    <w:rsid w:val="00FA46F9"/>
    <w:rsid w:val="00FA4B87"/>
    <w:rsid w:val="00FA4BAB"/>
    <w:rsid w:val="00FA4E8D"/>
    <w:rsid w:val="00FA4FE2"/>
    <w:rsid w:val="00FA53E3"/>
    <w:rsid w:val="00FA554C"/>
    <w:rsid w:val="00FA580D"/>
    <w:rsid w:val="00FA5D4E"/>
    <w:rsid w:val="00FA5F08"/>
    <w:rsid w:val="00FA5F91"/>
    <w:rsid w:val="00FA6163"/>
    <w:rsid w:val="00FA633B"/>
    <w:rsid w:val="00FA659E"/>
    <w:rsid w:val="00FA664D"/>
    <w:rsid w:val="00FA6688"/>
    <w:rsid w:val="00FA6A53"/>
    <w:rsid w:val="00FA6AE5"/>
    <w:rsid w:val="00FA6CFB"/>
    <w:rsid w:val="00FA6EF1"/>
    <w:rsid w:val="00FA7247"/>
    <w:rsid w:val="00FA7516"/>
    <w:rsid w:val="00FA7871"/>
    <w:rsid w:val="00FA7AD4"/>
    <w:rsid w:val="00FA7BB8"/>
    <w:rsid w:val="00FA7CB1"/>
    <w:rsid w:val="00FA7DEF"/>
    <w:rsid w:val="00FB03B6"/>
    <w:rsid w:val="00FB063B"/>
    <w:rsid w:val="00FB063E"/>
    <w:rsid w:val="00FB0749"/>
    <w:rsid w:val="00FB0A44"/>
    <w:rsid w:val="00FB0A96"/>
    <w:rsid w:val="00FB0C75"/>
    <w:rsid w:val="00FB0DD7"/>
    <w:rsid w:val="00FB0EBF"/>
    <w:rsid w:val="00FB103E"/>
    <w:rsid w:val="00FB11AF"/>
    <w:rsid w:val="00FB11E9"/>
    <w:rsid w:val="00FB128D"/>
    <w:rsid w:val="00FB14ED"/>
    <w:rsid w:val="00FB1A20"/>
    <w:rsid w:val="00FB1BBE"/>
    <w:rsid w:val="00FB1C91"/>
    <w:rsid w:val="00FB1C98"/>
    <w:rsid w:val="00FB1CB3"/>
    <w:rsid w:val="00FB1E07"/>
    <w:rsid w:val="00FB21AF"/>
    <w:rsid w:val="00FB2262"/>
    <w:rsid w:val="00FB2290"/>
    <w:rsid w:val="00FB231B"/>
    <w:rsid w:val="00FB23DB"/>
    <w:rsid w:val="00FB2423"/>
    <w:rsid w:val="00FB24A7"/>
    <w:rsid w:val="00FB24FE"/>
    <w:rsid w:val="00FB2665"/>
    <w:rsid w:val="00FB29E0"/>
    <w:rsid w:val="00FB2ADA"/>
    <w:rsid w:val="00FB2DA9"/>
    <w:rsid w:val="00FB2F46"/>
    <w:rsid w:val="00FB330B"/>
    <w:rsid w:val="00FB35F4"/>
    <w:rsid w:val="00FB36A0"/>
    <w:rsid w:val="00FB3B9C"/>
    <w:rsid w:val="00FB3D89"/>
    <w:rsid w:val="00FB4243"/>
    <w:rsid w:val="00FB44CA"/>
    <w:rsid w:val="00FB5189"/>
    <w:rsid w:val="00FB5361"/>
    <w:rsid w:val="00FB53E3"/>
    <w:rsid w:val="00FB5403"/>
    <w:rsid w:val="00FB5550"/>
    <w:rsid w:val="00FB55F0"/>
    <w:rsid w:val="00FB566A"/>
    <w:rsid w:val="00FB56C5"/>
    <w:rsid w:val="00FB5E41"/>
    <w:rsid w:val="00FB6021"/>
    <w:rsid w:val="00FB61C4"/>
    <w:rsid w:val="00FB637D"/>
    <w:rsid w:val="00FB65ED"/>
    <w:rsid w:val="00FB6830"/>
    <w:rsid w:val="00FB6A1A"/>
    <w:rsid w:val="00FB6B14"/>
    <w:rsid w:val="00FB6BAE"/>
    <w:rsid w:val="00FB6D47"/>
    <w:rsid w:val="00FB6DA8"/>
    <w:rsid w:val="00FB6E73"/>
    <w:rsid w:val="00FB6EAD"/>
    <w:rsid w:val="00FB6EFB"/>
    <w:rsid w:val="00FB708B"/>
    <w:rsid w:val="00FB7116"/>
    <w:rsid w:val="00FB711A"/>
    <w:rsid w:val="00FB7486"/>
    <w:rsid w:val="00FB752B"/>
    <w:rsid w:val="00FB757D"/>
    <w:rsid w:val="00FB7588"/>
    <w:rsid w:val="00FB767D"/>
    <w:rsid w:val="00FB7816"/>
    <w:rsid w:val="00FB7A2B"/>
    <w:rsid w:val="00FB7D83"/>
    <w:rsid w:val="00FC051D"/>
    <w:rsid w:val="00FC05D7"/>
    <w:rsid w:val="00FC0B40"/>
    <w:rsid w:val="00FC0C08"/>
    <w:rsid w:val="00FC0D68"/>
    <w:rsid w:val="00FC0E38"/>
    <w:rsid w:val="00FC12B0"/>
    <w:rsid w:val="00FC16BF"/>
    <w:rsid w:val="00FC1858"/>
    <w:rsid w:val="00FC1900"/>
    <w:rsid w:val="00FC1937"/>
    <w:rsid w:val="00FC1A78"/>
    <w:rsid w:val="00FC1C90"/>
    <w:rsid w:val="00FC1CC8"/>
    <w:rsid w:val="00FC1F5E"/>
    <w:rsid w:val="00FC1F95"/>
    <w:rsid w:val="00FC20E9"/>
    <w:rsid w:val="00FC217D"/>
    <w:rsid w:val="00FC2435"/>
    <w:rsid w:val="00FC24A6"/>
    <w:rsid w:val="00FC2701"/>
    <w:rsid w:val="00FC2ECF"/>
    <w:rsid w:val="00FC2EF9"/>
    <w:rsid w:val="00FC332F"/>
    <w:rsid w:val="00FC33FF"/>
    <w:rsid w:val="00FC3488"/>
    <w:rsid w:val="00FC3617"/>
    <w:rsid w:val="00FC3661"/>
    <w:rsid w:val="00FC3A39"/>
    <w:rsid w:val="00FC3AEC"/>
    <w:rsid w:val="00FC3FBC"/>
    <w:rsid w:val="00FC4A36"/>
    <w:rsid w:val="00FC4AFD"/>
    <w:rsid w:val="00FC4BBC"/>
    <w:rsid w:val="00FC4C0C"/>
    <w:rsid w:val="00FC512C"/>
    <w:rsid w:val="00FC5197"/>
    <w:rsid w:val="00FC5321"/>
    <w:rsid w:val="00FC5585"/>
    <w:rsid w:val="00FC5633"/>
    <w:rsid w:val="00FC5A77"/>
    <w:rsid w:val="00FC5D16"/>
    <w:rsid w:val="00FC619D"/>
    <w:rsid w:val="00FC61C8"/>
    <w:rsid w:val="00FC6416"/>
    <w:rsid w:val="00FC644A"/>
    <w:rsid w:val="00FC6461"/>
    <w:rsid w:val="00FC678F"/>
    <w:rsid w:val="00FC67BC"/>
    <w:rsid w:val="00FC6833"/>
    <w:rsid w:val="00FC69BA"/>
    <w:rsid w:val="00FC6AE6"/>
    <w:rsid w:val="00FC6D71"/>
    <w:rsid w:val="00FC6ECE"/>
    <w:rsid w:val="00FC70A1"/>
    <w:rsid w:val="00FC7163"/>
    <w:rsid w:val="00FC7844"/>
    <w:rsid w:val="00FC7D4D"/>
    <w:rsid w:val="00FC7E53"/>
    <w:rsid w:val="00FD02D5"/>
    <w:rsid w:val="00FD043B"/>
    <w:rsid w:val="00FD0983"/>
    <w:rsid w:val="00FD0C03"/>
    <w:rsid w:val="00FD0E27"/>
    <w:rsid w:val="00FD0E2F"/>
    <w:rsid w:val="00FD0EF6"/>
    <w:rsid w:val="00FD1024"/>
    <w:rsid w:val="00FD10C2"/>
    <w:rsid w:val="00FD1104"/>
    <w:rsid w:val="00FD1300"/>
    <w:rsid w:val="00FD1458"/>
    <w:rsid w:val="00FD157C"/>
    <w:rsid w:val="00FD179D"/>
    <w:rsid w:val="00FD1945"/>
    <w:rsid w:val="00FD1AD0"/>
    <w:rsid w:val="00FD1CF7"/>
    <w:rsid w:val="00FD1D2F"/>
    <w:rsid w:val="00FD1EB5"/>
    <w:rsid w:val="00FD22E2"/>
    <w:rsid w:val="00FD236F"/>
    <w:rsid w:val="00FD28F3"/>
    <w:rsid w:val="00FD294E"/>
    <w:rsid w:val="00FD2FA9"/>
    <w:rsid w:val="00FD31AA"/>
    <w:rsid w:val="00FD3958"/>
    <w:rsid w:val="00FD39F1"/>
    <w:rsid w:val="00FD435A"/>
    <w:rsid w:val="00FD45B8"/>
    <w:rsid w:val="00FD4643"/>
    <w:rsid w:val="00FD47B7"/>
    <w:rsid w:val="00FD4E0F"/>
    <w:rsid w:val="00FD4FA0"/>
    <w:rsid w:val="00FD4FDD"/>
    <w:rsid w:val="00FD5006"/>
    <w:rsid w:val="00FD51EA"/>
    <w:rsid w:val="00FD5672"/>
    <w:rsid w:val="00FD56D4"/>
    <w:rsid w:val="00FD5982"/>
    <w:rsid w:val="00FD59F8"/>
    <w:rsid w:val="00FD5B63"/>
    <w:rsid w:val="00FD5B91"/>
    <w:rsid w:val="00FD5BD3"/>
    <w:rsid w:val="00FD5D9B"/>
    <w:rsid w:val="00FD649F"/>
    <w:rsid w:val="00FD660F"/>
    <w:rsid w:val="00FD699B"/>
    <w:rsid w:val="00FD6A78"/>
    <w:rsid w:val="00FD6C8A"/>
    <w:rsid w:val="00FD7033"/>
    <w:rsid w:val="00FD737E"/>
    <w:rsid w:val="00FD743B"/>
    <w:rsid w:val="00FD75A6"/>
    <w:rsid w:val="00FD7650"/>
    <w:rsid w:val="00FD7805"/>
    <w:rsid w:val="00FD7864"/>
    <w:rsid w:val="00FD7B88"/>
    <w:rsid w:val="00FD7C8B"/>
    <w:rsid w:val="00FD7DCF"/>
    <w:rsid w:val="00FD7F14"/>
    <w:rsid w:val="00FD7FDF"/>
    <w:rsid w:val="00FE00AA"/>
    <w:rsid w:val="00FE03E4"/>
    <w:rsid w:val="00FE04AB"/>
    <w:rsid w:val="00FE055F"/>
    <w:rsid w:val="00FE0863"/>
    <w:rsid w:val="00FE0A0C"/>
    <w:rsid w:val="00FE0D8A"/>
    <w:rsid w:val="00FE0F06"/>
    <w:rsid w:val="00FE0FCF"/>
    <w:rsid w:val="00FE0FDD"/>
    <w:rsid w:val="00FE0FE5"/>
    <w:rsid w:val="00FE119D"/>
    <w:rsid w:val="00FE1429"/>
    <w:rsid w:val="00FE14FA"/>
    <w:rsid w:val="00FE151A"/>
    <w:rsid w:val="00FE160A"/>
    <w:rsid w:val="00FE162E"/>
    <w:rsid w:val="00FE184D"/>
    <w:rsid w:val="00FE184E"/>
    <w:rsid w:val="00FE187B"/>
    <w:rsid w:val="00FE1904"/>
    <w:rsid w:val="00FE19E4"/>
    <w:rsid w:val="00FE1D57"/>
    <w:rsid w:val="00FE20A2"/>
    <w:rsid w:val="00FE2201"/>
    <w:rsid w:val="00FE2392"/>
    <w:rsid w:val="00FE26C1"/>
    <w:rsid w:val="00FE2842"/>
    <w:rsid w:val="00FE2F7A"/>
    <w:rsid w:val="00FE30B6"/>
    <w:rsid w:val="00FE3109"/>
    <w:rsid w:val="00FE3D93"/>
    <w:rsid w:val="00FE3E5C"/>
    <w:rsid w:val="00FE3EA0"/>
    <w:rsid w:val="00FE414C"/>
    <w:rsid w:val="00FE4246"/>
    <w:rsid w:val="00FE43B0"/>
    <w:rsid w:val="00FE4415"/>
    <w:rsid w:val="00FE4486"/>
    <w:rsid w:val="00FE4653"/>
    <w:rsid w:val="00FE4832"/>
    <w:rsid w:val="00FE488D"/>
    <w:rsid w:val="00FE495D"/>
    <w:rsid w:val="00FE4A38"/>
    <w:rsid w:val="00FE4B29"/>
    <w:rsid w:val="00FE4E49"/>
    <w:rsid w:val="00FE4FFA"/>
    <w:rsid w:val="00FE522F"/>
    <w:rsid w:val="00FE57ED"/>
    <w:rsid w:val="00FE5980"/>
    <w:rsid w:val="00FE5C69"/>
    <w:rsid w:val="00FE609C"/>
    <w:rsid w:val="00FE6230"/>
    <w:rsid w:val="00FE6468"/>
    <w:rsid w:val="00FE6646"/>
    <w:rsid w:val="00FE669B"/>
    <w:rsid w:val="00FE714D"/>
    <w:rsid w:val="00FE7352"/>
    <w:rsid w:val="00FE7D6A"/>
    <w:rsid w:val="00FF018D"/>
    <w:rsid w:val="00FF01B0"/>
    <w:rsid w:val="00FF029E"/>
    <w:rsid w:val="00FF034B"/>
    <w:rsid w:val="00FF03B0"/>
    <w:rsid w:val="00FF0403"/>
    <w:rsid w:val="00FF05A6"/>
    <w:rsid w:val="00FF0655"/>
    <w:rsid w:val="00FF0961"/>
    <w:rsid w:val="00FF09F9"/>
    <w:rsid w:val="00FF0C30"/>
    <w:rsid w:val="00FF1007"/>
    <w:rsid w:val="00FF122C"/>
    <w:rsid w:val="00FF13B9"/>
    <w:rsid w:val="00FF1660"/>
    <w:rsid w:val="00FF1842"/>
    <w:rsid w:val="00FF196B"/>
    <w:rsid w:val="00FF1C8A"/>
    <w:rsid w:val="00FF21D2"/>
    <w:rsid w:val="00FF229A"/>
    <w:rsid w:val="00FF2408"/>
    <w:rsid w:val="00FF25E2"/>
    <w:rsid w:val="00FF2B84"/>
    <w:rsid w:val="00FF313B"/>
    <w:rsid w:val="00FF31A1"/>
    <w:rsid w:val="00FF34C8"/>
    <w:rsid w:val="00FF36BD"/>
    <w:rsid w:val="00FF381C"/>
    <w:rsid w:val="00FF3A8F"/>
    <w:rsid w:val="00FF3B13"/>
    <w:rsid w:val="00FF3B76"/>
    <w:rsid w:val="00FF3CCA"/>
    <w:rsid w:val="00FF4083"/>
    <w:rsid w:val="00FF41EC"/>
    <w:rsid w:val="00FF433B"/>
    <w:rsid w:val="00FF43EE"/>
    <w:rsid w:val="00FF45ED"/>
    <w:rsid w:val="00FF48E6"/>
    <w:rsid w:val="00FF4ACE"/>
    <w:rsid w:val="00FF4AD0"/>
    <w:rsid w:val="00FF4B29"/>
    <w:rsid w:val="00FF4B4F"/>
    <w:rsid w:val="00FF4D99"/>
    <w:rsid w:val="00FF4DA1"/>
    <w:rsid w:val="00FF5225"/>
    <w:rsid w:val="00FF5450"/>
    <w:rsid w:val="00FF547C"/>
    <w:rsid w:val="00FF5C14"/>
    <w:rsid w:val="00FF5FA3"/>
    <w:rsid w:val="00FF5FF1"/>
    <w:rsid w:val="00FF6005"/>
    <w:rsid w:val="00FF613D"/>
    <w:rsid w:val="00FF6189"/>
    <w:rsid w:val="00FF677B"/>
    <w:rsid w:val="00FF6916"/>
    <w:rsid w:val="00FF6982"/>
    <w:rsid w:val="00FF6A2B"/>
    <w:rsid w:val="00FF6C1C"/>
    <w:rsid w:val="00FF6C35"/>
    <w:rsid w:val="00FF6F85"/>
    <w:rsid w:val="00FF7060"/>
    <w:rsid w:val="00FF7636"/>
    <w:rsid w:val="00FF765F"/>
    <w:rsid w:val="00FF7989"/>
    <w:rsid w:val="00FF7D03"/>
    <w:rsid w:val="0126390F"/>
    <w:rsid w:val="0245394C"/>
    <w:rsid w:val="02B7624C"/>
    <w:rsid w:val="047E6362"/>
    <w:rsid w:val="04957B11"/>
    <w:rsid w:val="05893E59"/>
    <w:rsid w:val="06FE5156"/>
    <w:rsid w:val="08607386"/>
    <w:rsid w:val="09254843"/>
    <w:rsid w:val="09440A55"/>
    <w:rsid w:val="09FC2D6E"/>
    <w:rsid w:val="0A2A6B00"/>
    <w:rsid w:val="0AB83A31"/>
    <w:rsid w:val="0B024724"/>
    <w:rsid w:val="0B260E13"/>
    <w:rsid w:val="0B660C1A"/>
    <w:rsid w:val="0B807BA9"/>
    <w:rsid w:val="0C106CFA"/>
    <w:rsid w:val="0C4447AD"/>
    <w:rsid w:val="0CEE4F60"/>
    <w:rsid w:val="0D760D6E"/>
    <w:rsid w:val="0EF63D7C"/>
    <w:rsid w:val="11290C5D"/>
    <w:rsid w:val="11B322D4"/>
    <w:rsid w:val="12282CC2"/>
    <w:rsid w:val="1265494D"/>
    <w:rsid w:val="12906A37"/>
    <w:rsid w:val="129931B2"/>
    <w:rsid w:val="12D161A9"/>
    <w:rsid w:val="141C0605"/>
    <w:rsid w:val="14787422"/>
    <w:rsid w:val="14951E1C"/>
    <w:rsid w:val="16054AC2"/>
    <w:rsid w:val="166F711D"/>
    <w:rsid w:val="17A1742A"/>
    <w:rsid w:val="17F93E0B"/>
    <w:rsid w:val="189D442B"/>
    <w:rsid w:val="193C7053"/>
    <w:rsid w:val="196653C3"/>
    <w:rsid w:val="198D78AF"/>
    <w:rsid w:val="1A424E6B"/>
    <w:rsid w:val="1B804E3C"/>
    <w:rsid w:val="1BA270B8"/>
    <w:rsid w:val="1BF65BDF"/>
    <w:rsid w:val="1C455CA5"/>
    <w:rsid w:val="1D2C69D2"/>
    <w:rsid w:val="1E541DAC"/>
    <w:rsid w:val="1E8B305B"/>
    <w:rsid w:val="1EA41452"/>
    <w:rsid w:val="1EB076B1"/>
    <w:rsid w:val="1F2B2A3C"/>
    <w:rsid w:val="1F345233"/>
    <w:rsid w:val="201B48D5"/>
    <w:rsid w:val="20344CB4"/>
    <w:rsid w:val="206C46C2"/>
    <w:rsid w:val="20C12C76"/>
    <w:rsid w:val="2122535A"/>
    <w:rsid w:val="22071633"/>
    <w:rsid w:val="22101BA0"/>
    <w:rsid w:val="221E2F5C"/>
    <w:rsid w:val="221F26E7"/>
    <w:rsid w:val="22246549"/>
    <w:rsid w:val="239E00B4"/>
    <w:rsid w:val="251E74A4"/>
    <w:rsid w:val="25342168"/>
    <w:rsid w:val="259F3945"/>
    <w:rsid w:val="26FB1998"/>
    <w:rsid w:val="27746F46"/>
    <w:rsid w:val="27843CE5"/>
    <w:rsid w:val="28484C1C"/>
    <w:rsid w:val="291D3B0B"/>
    <w:rsid w:val="29FC7C3D"/>
    <w:rsid w:val="2A2B55D0"/>
    <w:rsid w:val="2B044ED5"/>
    <w:rsid w:val="2BDC2A82"/>
    <w:rsid w:val="2C622E1D"/>
    <w:rsid w:val="2C806A49"/>
    <w:rsid w:val="2D1F644A"/>
    <w:rsid w:val="2ED00509"/>
    <w:rsid w:val="2F7923AF"/>
    <w:rsid w:val="2F972DDE"/>
    <w:rsid w:val="2FE0029D"/>
    <w:rsid w:val="31715BE1"/>
    <w:rsid w:val="32C55E22"/>
    <w:rsid w:val="32EB653A"/>
    <w:rsid w:val="32F21029"/>
    <w:rsid w:val="341D7D55"/>
    <w:rsid w:val="349E0A67"/>
    <w:rsid w:val="37817C3B"/>
    <w:rsid w:val="38455ACD"/>
    <w:rsid w:val="38AF001E"/>
    <w:rsid w:val="3A6C2DED"/>
    <w:rsid w:val="3BCB6780"/>
    <w:rsid w:val="3BE43B8F"/>
    <w:rsid w:val="3C440547"/>
    <w:rsid w:val="3CF47595"/>
    <w:rsid w:val="3E116096"/>
    <w:rsid w:val="3EB92D70"/>
    <w:rsid w:val="3FF5F3AE"/>
    <w:rsid w:val="40F30643"/>
    <w:rsid w:val="41410D49"/>
    <w:rsid w:val="42CA112A"/>
    <w:rsid w:val="42CD0A98"/>
    <w:rsid w:val="431A0C09"/>
    <w:rsid w:val="43391936"/>
    <w:rsid w:val="434E2331"/>
    <w:rsid w:val="43EA17D3"/>
    <w:rsid w:val="45352BD8"/>
    <w:rsid w:val="46BB79ED"/>
    <w:rsid w:val="480E2158"/>
    <w:rsid w:val="480F463E"/>
    <w:rsid w:val="48BA11FA"/>
    <w:rsid w:val="48F26D51"/>
    <w:rsid w:val="491D2643"/>
    <w:rsid w:val="498126DD"/>
    <w:rsid w:val="49DF5591"/>
    <w:rsid w:val="4AA9462F"/>
    <w:rsid w:val="4AF44ADB"/>
    <w:rsid w:val="4B327186"/>
    <w:rsid w:val="4B65373A"/>
    <w:rsid w:val="4BF52F0E"/>
    <w:rsid w:val="4D00163A"/>
    <w:rsid w:val="4D553C64"/>
    <w:rsid w:val="4DF53E72"/>
    <w:rsid w:val="4E3A61F3"/>
    <w:rsid w:val="4F0F5BE3"/>
    <w:rsid w:val="4FB96296"/>
    <w:rsid w:val="4FF0236A"/>
    <w:rsid w:val="509045F6"/>
    <w:rsid w:val="52422029"/>
    <w:rsid w:val="526A6404"/>
    <w:rsid w:val="52700154"/>
    <w:rsid w:val="52E573F3"/>
    <w:rsid w:val="535215FB"/>
    <w:rsid w:val="53F0017E"/>
    <w:rsid w:val="54BE283D"/>
    <w:rsid w:val="55040901"/>
    <w:rsid w:val="564061DB"/>
    <w:rsid w:val="56DF05DE"/>
    <w:rsid w:val="57012864"/>
    <w:rsid w:val="578515EA"/>
    <w:rsid w:val="57CA4E3E"/>
    <w:rsid w:val="57FC6189"/>
    <w:rsid w:val="58A21430"/>
    <w:rsid w:val="58BE7486"/>
    <w:rsid w:val="58E862D4"/>
    <w:rsid w:val="59432E3B"/>
    <w:rsid w:val="5A6821AE"/>
    <w:rsid w:val="5A683255"/>
    <w:rsid w:val="5B377B37"/>
    <w:rsid w:val="5BBE6121"/>
    <w:rsid w:val="5DD134F8"/>
    <w:rsid w:val="5EA2331A"/>
    <w:rsid w:val="5F073306"/>
    <w:rsid w:val="5F5F73B9"/>
    <w:rsid w:val="5FE1582B"/>
    <w:rsid w:val="5FFC4413"/>
    <w:rsid w:val="60BC04C4"/>
    <w:rsid w:val="61C14B37"/>
    <w:rsid w:val="61E03546"/>
    <w:rsid w:val="61F141BD"/>
    <w:rsid w:val="61F84B6F"/>
    <w:rsid w:val="62A262EA"/>
    <w:rsid w:val="64FD4EB5"/>
    <w:rsid w:val="65A610A9"/>
    <w:rsid w:val="65BB2AF6"/>
    <w:rsid w:val="65EB3645"/>
    <w:rsid w:val="661301F3"/>
    <w:rsid w:val="6613261D"/>
    <w:rsid w:val="662D40B3"/>
    <w:rsid w:val="66734968"/>
    <w:rsid w:val="681100B0"/>
    <w:rsid w:val="6838144E"/>
    <w:rsid w:val="68AA7398"/>
    <w:rsid w:val="68BC0BE4"/>
    <w:rsid w:val="69812BC6"/>
    <w:rsid w:val="69AC0140"/>
    <w:rsid w:val="6AA870DA"/>
    <w:rsid w:val="6B001234"/>
    <w:rsid w:val="6C7E630D"/>
    <w:rsid w:val="6C830396"/>
    <w:rsid w:val="6C8C5DD9"/>
    <w:rsid w:val="6CCD7863"/>
    <w:rsid w:val="6D0B7908"/>
    <w:rsid w:val="6EAF1A4A"/>
    <w:rsid w:val="6F33787F"/>
    <w:rsid w:val="6FD91A58"/>
    <w:rsid w:val="704A2112"/>
    <w:rsid w:val="705000E9"/>
    <w:rsid w:val="705E3C86"/>
    <w:rsid w:val="70727F05"/>
    <w:rsid w:val="7078562E"/>
    <w:rsid w:val="7112486E"/>
    <w:rsid w:val="71536BC2"/>
    <w:rsid w:val="735450CC"/>
    <w:rsid w:val="742C597A"/>
    <w:rsid w:val="74337932"/>
    <w:rsid w:val="743E7665"/>
    <w:rsid w:val="746D6A96"/>
    <w:rsid w:val="774853A3"/>
    <w:rsid w:val="7824496C"/>
    <w:rsid w:val="786077DD"/>
    <w:rsid w:val="79175F6B"/>
    <w:rsid w:val="7AA049E3"/>
    <w:rsid w:val="7BBE58AD"/>
    <w:rsid w:val="7C4D4D0C"/>
    <w:rsid w:val="7CE7227B"/>
    <w:rsid w:val="7CED40D9"/>
    <w:rsid w:val="7D437988"/>
    <w:rsid w:val="7D465A18"/>
    <w:rsid w:val="7EAA3325"/>
    <w:rsid w:val="7ECB618F"/>
    <w:rsid w:val="7ED04C1E"/>
    <w:rsid w:val="7FD56B9A"/>
    <w:rsid w:val="DF7AD8D6"/>
    <w:rsid w:val="EF61D7B2"/>
    <w:rsid w:val="F3EFEC6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qFormat="1" w:unhideWhenUsed="0" w:uiPriority="99" w:semiHidden="0" w:name="index 1"/>
    <w:lsdException w:unhideWhenUsed="0" w:uiPriority="0" w:semiHidden="0" w:name="index 2"/>
    <w:lsdException w:unhideWhenUsed="0" w:uiPriority="0" w:semiHidden="0" w:name="index 3"/>
    <w:lsdException w:qFormat="1" w:unhideWhenUsed="0" w:uiPriority="0" w:semiHidden="0" w:name="index 4"/>
    <w:lsdException w:qFormat="1" w:unhideWhenUsed="0" w:uiPriority="99"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nhideWhenUsed="0" w:uiPriority="0" w:semiHidden="0" w:name="caption"/>
    <w:lsdException w:qFormat="1"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qFormat="1" w:uiPriority="99" w:semiHidden="0" w:name="toa heading"/>
    <w:lsdException w:qFormat="1" w:unhideWhenUsed="0" w:uiPriority="99" w:semiHidden="0" w:name="List"/>
    <w:lsdException w:unhideWhenUsed="0" w:uiPriority="0" w:semiHidden="0" w:name="List Bullet"/>
    <w:lsdException w:unhideWhenUsed="0" w:uiPriority="0" w:semiHidden="0" w:name="List Number"/>
    <w:lsdException w:qFormat="1"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qFormat="1" w:unhideWhenUsed="0" w:uiPriority="0" w:semiHidden="0" w:name="Salutation"/>
    <w:lsdException w:qFormat="1" w:unhideWhenUsed="0" w:uiPriority="0" w:semiHidden="0" w:name="Date"/>
    <w:lsdException w:qFormat="1" w:uiPriority="0" w:semiHidden="0" w:name="Body Text First Indent"/>
    <w:lsdException w:qFormat="1" w:unhideWhenUsed="0" w:uiPriority="0" w:semiHidden="0" w:name="Body Text First Indent 2"/>
    <w:lsdException w:qFormat="1" w:unhideWhenUsed="0" w:uiPriority="0" w:semiHidden="0" w:name="Note Heading"/>
    <w:lsdException w:qFormat="1" w:unhideWhenUsed="0" w:uiPriority="99" w:semiHidden="0" w:name="Body Text 2"/>
    <w:lsdException w:qFormat="1" w:unhideWhenUsed="0" w:uiPriority="99" w:semiHidden="0" w:name="Body Text 3"/>
    <w:lsdException w:qFormat="1" w:unhideWhenUsed="0" w:uiPriority="99" w:semiHidden="0" w:name="Body Text Indent 2"/>
    <w:lsdException w:qFormat="1" w:unhideWhenUsed="0" w:uiPriority="99" w:semiHidden="0" w:name="Body Text Indent 3"/>
    <w:lsdException w:qFormat="1" w:unhideWhenUsed="0" w:uiPriority="99" w:semiHidden="0" w:name="Block Text"/>
    <w:lsdException w:qFormat="1" w:unhideWhenUsed="0" w:uiPriority="0" w:semiHidden="0" w:name="Hyperlink"/>
    <w:lsdException w:qFormat="1" w:unhideWhenUsed="0" w:uiPriority="99" w:semiHidden="0"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99" w:semiHidden="0"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qFormat="1"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99" w:semiHidden="0" w:name="Table Grid"/>
    <w:lsdException w:uiPriority="0" w:name="Table Theme"/>
    <w:lsdException w:qFormat="1" w:unhideWhenUsed="0" w:uiPriority="1"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qFormat="1" w:unhideWhenUsed="0" w:uiPriority="0"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66"/>
    <w:qFormat/>
    <w:uiPriority w:val="0"/>
    <w:pPr>
      <w:keepNext/>
      <w:keepLines/>
      <w:autoSpaceDE w:val="0"/>
      <w:autoSpaceDN w:val="0"/>
      <w:adjustRightInd w:val="0"/>
      <w:spacing w:before="240" w:after="120" w:line="300" w:lineRule="auto"/>
      <w:jc w:val="center"/>
      <w:outlineLvl w:val="0"/>
    </w:pPr>
    <w:rPr>
      <w:rFonts w:ascii="宋体"/>
      <w:b/>
      <w:kern w:val="44"/>
      <w:sz w:val="32"/>
      <w:szCs w:val="20"/>
    </w:rPr>
  </w:style>
  <w:style w:type="paragraph" w:styleId="3">
    <w:name w:val="heading 2"/>
    <w:basedOn w:val="1"/>
    <w:next w:val="1"/>
    <w:link w:val="67"/>
    <w:qFormat/>
    <w:uiPriority w:val="0"/>
    <w:pPr>
      <w:keepNext/>
      <w:keepLines/>
      <w:autoSpaceDE w:val="0"/>
      <w:autoSpaceDN w:val="0"/>
      <w:adjustRightInd w:val="0"/>
      <w:spacing w:before="120" w:line="300" w:lineRule="auto"/>
      <w:jc w:val="center"/>
      <w:outlineLvl w:val="1"/>
    </w:pPr>
    <w:rPr>
      <w:rFonts w:ascii="Arial" w:hAnsi="Arial" w:eastAsia="黑体"/>
      <w:b/>
      <w:kern w:val="0"/>
      <w:sz w:val="30"/>
      <w:szCs w:val="20"/>
    </w:rPr>
  </w:style>
  <w:style w:type="paragraph" w:styleId="4">
    <w:name w:val="heading 3"/>
    <w:basedOn w:val="1"/>
    <w:next w:val="1"/>
    <w:link w:val="68"/>
    <w:qFormat/>
    <w:uiPriority w:val="0"/>
    <w:pPr>
      <w:keepNext/>
      <w:keepLines/>
      <w:autoSpaceDE w:val="0"/>
      <w:autoSpaceDN w:val="0"/>
      <w:adjustRightInd w:val="0"/>
      <w:spacing w:before="360" w:after="120"/>
      <w:jc w:val="left"/>
      <w:outlineLvl w:val="2"/>
    </w:pPr>
    <w:rPr>
      <w:rFonts w:ascii="宋体"/>
      <w:b/>
      <w:kern w:val="0"/>
      <w:sz w:val="24"/>
      <w:szCs w:val="20"/>
      <w:u w:val="single"/>
    </w:rPr>
  </w:style>
  <w:style w:type="paragraph" w:styleId="5">
    <w:name w:val="heading 4"/>
    <w:basedOn w:val="1"/>
    <w:next w:val="1"/>
    <w:link w:val="70"/>
    <w:qFormat/>
    <w:uiPriority w:val="0"/>
    <w:pPr>
      <w:keepNext/>
      <w:keepLines/>
      <w:adjustRightInd w:val="0"/>
      <w:spacing w:before="280" w:after="290" w:line="376" w:lineRule="atLeast"/>
      <w:textAlignment w:val="baseline"/>
      <w:outlineLvl w:val="3"/>
    </w:pPr>
    <w:rPr>
      <w:rFonts w:ascii="Arial" w:hAnsi="Arial" w:eastAsia="黑体"/>
      <w:b/>
      <w:kern w:val="0"/>
      <w:sz w:val="28"/>
      <w:szCs w:val="20"/>
    </w:rPr>
  </w:style>
  <w:style w:type="paragraph" w:styleId="6">
    <w:name w:val="heading 5"/>
    <w:basedOn w:val="1"/>
    <w:next w:val="1"/>
    <w:link w:val="71"/>
    <w:autoRedefine/>
    <w:qFormat/>
    <w:uiPriority w:val="0"/>
    <w:pPr>
      <w:keepNext/>
      <w:keepLines/>
      <w:adjustRightInd w:val="0"/>
      <w:spacing w:before="280" w:after="290" w:line="376" w:lineRule="atLeast"/>
      <w:textAlignment w:val="baseline"/>
      <w:outlineLvl w:val="4"/>
    </w:pPr>
    <w:rPr>
      <w:b/>
      <w:kern w:val="0"/>
      <w:sz w:val="28"/>
      <w:szCs w:val="20"/>
    </w:rPr>
  </w:style>
  <w:style w:type="paragraph" w:styleId="7">
    <w:name w:val="heading 6"/>
    <w:basedOn w:val="1"/>
    <w:next w:val="1"/>
    <w:link w:val="72"/>
    <w:autoRedefine/>
    <w:qFormat/>
    <w:uiPriority w:val="0"/>
    <w:pPr>
      <w:keepNext/>
      <w:keepLines/>
      <w:adjustRightInd w:val="0"/>
      <w:spacing w:before="240" w:after="64" w:line="320" w:lineRule="atLeast"/>
      <w:textAlignment w:val="baseline"/>
      <w:outlineLvl w:val="5"/>
    </w:pPr>
    <w:rPr>
      <w:rFonts w:ascii="Arial" w:hAnsi="Arial" w:eastAsia="黑体"/>
      <w:b/>
      <w:kern w:val="0"/>
      <w:sz w:val="24"/>
      <w:szCs w:val="20"/>
    </w:rPr>
  </w:style>
  <w:style w:type="paragraph" w:styleId="8">
    <w:name w:val="heading 7"/>
    <w:basedOn w:val="1"/>
    <w:next w:val="1"/>
    <w:link w:val="73"/>
    <w:autoRedefine/>
    <w:qFormat/>
    <w:uiPriority w:val="0"/>
    <w:pPr>
      <w:keepNext/>
      <w:keepLines/>
      <w:adjustRightInd w:val="0"/>
      <w:spacing w:before="240" w:after="64" w:line="320" w:lineRule="atLeast"/>
      <w:textAlignment w:val="baseline"/>
      <w:outlineLvl w:val="6"/>
    </w:pPr>
    <w:rPr>
      <w:b/>
      <w:kern w:val="0"/>
      <w:sz w:val="24"/>
      <w:szCs w:val="20"/>
    </w:rPr>
  </w:style>
  <w:style w:type="paragraph" w:styleId="9">
    <w:name w:val="heading 8"/>
    <w:basedOn w:val="1"/>
    <w:next w:val="1"/>
    <w:link w:val="74"/>
    <w:qFormat/>
    <w:uiPriority w:val="0"/>
    <w:pPr>
      <w:keepNext/>
      <w:keepLines/>
      <w:adjustRightInd w:val="0"/>
      <w:spacing w:before="240" w:after="64" w:line="320" w:lineRule="atLeast"/>
      <w:textAlignment w:val="baseline"/>
      <w:outlineLvl w:val="7"/>
    </w:pPr>
    <w:rPr>
      <w:rFonts w:ascii="Arial" w:hAnsi="Arial" w:eastAsia="黑体"/>
      <w:kern w:val="0"/>
      <w:sz w:val="24"/>
      <w:szCs w:val="20"/>
    </w:rPr>
  </w:style>
  <w:style w:type="paragraph" w:styleId="10">
    <w:name w:val="heading 9"/>
    <w:basedOn w:val="1"/>
    <w:next w:val="1"/>
    <w:link w:val="75"/>
    <w:qFormat/>
    <w:uiPriority w:val="0"/>
    <w:pPr>
      <w:keepNext/>
      <w:keepLines/>
      <w:adjustRightInd w:val="0"/>
      <w:spacing w:before="240" w:after="64" w:line="320" w:lineRule="atLeast"/>
      <w:textAlignment w:val="baseline"/>
      <w:outlineLvl w:val="8"/>
    </w:pPr>
    <w:rPr>
      <w:rFonts w:ascii="Arial" w:hAnsi="Arial" w:eastAsia="黑体"/>
      <w:kern w:val="0"/>
      <w:szCs w:val="20"/>
    </w:rPr>
  </w:style>
  <w:style w:type="character" w:default="1" w:styleId="56">
    <w:name w:val="Default Paragraph Font"/>
    <w:semiHidden/>
    <w:unhideWhenUsed/>
    <w:qFormat/>
    <w:uiPriority w:val="1"/>
  </w:style>
  <w:style w:type="table" w:default="1" w:styleId="53">
    <w:name w:val="Normal Table"/>
    <w:semiHidden/>
    <w:unhideWhenUsed/>
    <w:qFormat/>
    <w:uiPriority w:val="99"/>
    <w:tblPr>
      <w:tblCellMar>
        <w:top w:w="0" w:type="dxa"/>
        <w:left w:w="108" w:type="dxa"/>
        <w:bottom w:w="0" w:type="dxa"/>
        <w:right w:w="108" w:type="dxa"/>
      </w:tblCellMar>
    </w:tblPr>
  </w:style>
  <w:style w:type="paragraph" w:styleId="11">
    <w:name w:val="toc 7"/>
    <w:basedOn w:val="1"/>
    <w:next w:val="1"/>
    <w:autoRedefine/>
    <w:qFormat/>
    <w:uiPriority w:val="0"/>
    <w:pPr>
      <w:ind w:left="2520" w:leftChars="1200"/>
    </w:pPr>
  </w:style>
  <w:style w:type="paragraph" w:styleId="12">
    <w:name w:val="Note Heading"/>
    <w:basedOn w:val="13"/>
    <w:next w:val="13"/>
    <w:link w:val="676"/>
    <w:qFormat/>
    <w:uiPriority w:val="0"/>
    <w:rPr>
      <w:rFonts w:ascii="..ì." w:hAnsi="Times New Roman" w:eastAsia="..ì." w:cs="Times New Roman"/>
      <w:color w:val="auto"/>
      <w:szCs w:val="20"/>
    </w:rPr>
  </w:style>
  <w:style w:type="paragraph" w:customStyle="1" w:styleId="13">
    <w:name w:val="Default"/>
    <w:autoRedefine/>
    <w:qFormat/>
    <w:uiPriority w:val="0"/>
    <w:pPr>
      <w:widowControl w:val="0"/>
      <w:autoSpaceDE w:val="0"/>
      <w:autoSpaceDN w:val="0"/>
      <w:adjustRightInd w:val="0"/>
    </w:pPr>
    <w:rPr>
      <w:rFonts w:ascii="Symbol" w:hAnsi="Symbol" w:eastAsia="宋体" w:cs="Symbol"/>
      <w:color w:val="000000"/>
      <w:sz w:val="24"/>
      <w:szCs w:val="24"/>
      <w:lang w:val="en-US" w:eastAsia="zh-CN" w:bidi="ar-SA"/>
    </w:rPr>
  </w:style>
  <w:style w:type="paragraph" w:styleId="14">
    <w:name w:val="Normal Indent"/>
    <w:basedOn w:val="1"/>
    <w:link w:val="69"/>
    <w:autoRedefine/>
    <w:qFormat/>
    <w:uiPriority w:val="0"/>
    <w:pPr>
      <w:autoSpaceDE w:val="0"/>
      <w:autoSpaceDN w:val="0"/>
      <w:adjustRightInd w:val="0"/>
      <w:ind w:firstLine="420"/>
      <w:jc w:val="left"/>
    </w:pPr>
    <w:rPr>
      <w:rFonts w:ascii="宋体"/>
      <w:sz w:val="24"/>
    </w:rPr>
  </w:style>
  <w:style w:type="paragraph" w:styleId="15">
    <w:name w:val="caption"/>
    <w:basedOn w:val="1"/>
    <w:next w:val="1"/>
    <w:autoRedefine/>
    <w:qFormat/>
    <w:uiPriority w:val="0"/>
    <w:pPr>
      <w:spacing w:line="480" w:lineRule="auto"/>
    </w:pPr>
    <w:rPr>
      <w:rFonts w:ascii="华文中宋" w:hAnsi="华文中宋" w:eastAsia="华文中宋"/>
      <w:sz w:val="36"/>
      <w:szCs w:val="20"/>
    </w:rPr>
  </w:style>
  <w:style w:type="paragraph" w:styleId="16">
    <w:name w:val="index 5"/>
    <w:basedOn w:val="1"/>
    <w:next w:val="1"/>
    <w:qFormat/>
    <w:uiPriority w:val="99"/>
    <w:pPr>
      <w:ind w:left="800" w:leftChars="800"/>
    </w:pPr>
  </w:style>
  <w:style w:type="paragraph" w:styleId="17">
    <w:name w:val="Document Map"/>
    <w:basedOn w:val="1"/>
    <w:link w:val="76"/>
    <w:autoRedefine/>
    <w:qFormat/>
    <w:uiPriority w:val="0"/>
    <w:pPr>
      <w:shd w:val="clear" w:color="auto" w:fill="000080"/>
    </w:pPr>
  </w:style>
  <w:style w:type="paragraph" w:styleId="18">
    <w:name w:val="toa heading"/>
    <w:basedOn w:val="1"/>
    <w:next w:val="1"/>
    <w:unhideWhenUsed/>
    <w:qFormat/>
    <w:uiPriority w:val="99"/>
    <w:pPr>
      <w:spacing w:before="120"/>
    </w:pPr>
    <w:rPr>
      <w:rFonts w:ascii="Cambria" w:hAnsi="Cambria"/>
      <w:sz w:val="24"/>
    </w:rPr>
  </w:style>
  <w:style w:type="paragraph" w:styleId="19">
    <w:name w:val="annotation text"/>
    <w:basedOn w:val="1"/>
    <w:link w:val="77"/>
    <w:qFormat/>
    <w:uiPriority w:val="0"/>
    <w:pPr>
      <w:jc w:val="left"/>
    </w:pPr>
  </w:style>
  <w:style w:type="paragraph" w:styleId="20">
    <w:name w:val="Salutation"/>
    <w:basedOn w:val="13"/>
    <w:next w:val="13"/>
    <w:link w:val="675"/>
    <w:qFormat/>
    <w:uiPriority w:val="0"/>
    <w:rPr>
      <w:rFonts w:ascii="..ì." w:hAnsi="Times New Roman" w:eastAsia="..ì." w:cs="Times New Roman"/>
      <w:color w:val="auto"/>
      <w:szCs w:val="20"/>
    </w:rPr>
  </w:style>
  <w:style w:type="paragraph" w:styleId="21">
    <w:name w:val="Body Text 3"/>
    <w:basedOn w:val="1"/>
    <w:link w:val="78"/>
    <w:autoRedefine/>
    <w:qFormat/>
    <w:uiPriority w:val="99"/>
    <w:pPr>
      <w:spacing w:after="120"/>
    </w:pPr>
    <w:rPr>
      <w:sz w:val="16"/>
      <w:szCs w:val="16"/>
    </w:rPr>
  </w:style>
  <w:style w:type="paragraph" w:styleId="22">
    <w:name w:val="Body Text"/>
    <w:basedOn w:val="1"/>
    <w:link w:val="79"/>
    <w:autoRedefine/>
    <w:qFormat/>
    <w:uiPriority w:val="0"/>
    <w:pPr>
      <w:tabs>
        <w:tab w:val="left" w:pos="567"/>
      </w:tabs>
      <w:spacing w:before="120" w:line="22" w:lineRule="atLeast"/>
    </w:pPr>
    <w:rPr>
      <w:rFonts w:ascii="宋体" w:hAnsi="宋体"/>
      <w:sz w:val="24"/>
    </w:rPr>
  </w:style>
  <w:style w:type="paragraph" w:styleId="23">
    <w:name w:val="Body Text Indent"/>
    <w:basedOn w:val="1"/>
    <w:link w:val="80"/>
    <w:qFormat/>
    <w:uiPriority w:val="99"/>
    <w:pPr>
      <w:spacing w:line="360" w:lineRule="auto"/>
      <w:ind w:firstLine="570"/>
    </w:pPr>
    <w:rPr>
      <w:sz w:val="24"/>
    </w:rPr>
  </w:style>
  <w:style w:type="paragraph" w:styleId="24">
    <w:name w:val="List 2"/>
    <w:basedOn w:val="1"/>
    <w:qFormat/>
    <w:uiPriority w:val="0"/>
    <w:pPr>
      <w:ind w:left="100" w:leftChars="200" w:hanging="200" w:hangingChars="200"/>
    </w:pPr>
  </w:style>
  <w:style w:type="paragraph" w:styleId="25">
    <w:name w:val="Block Text"/>
    <w:basedOn w:val="1"/>
    <w:autoRedefine/>
    <w:qFormat/>
    <w:uiPriority w:val="99"/>
    <w:pPr>
      <w:widowControl/>
      <w:ind w:left="480" w:right="-341" w:firstLine="513"/>
    </w:pPr>
    <w:rPr>
      <w:kern w:val="0"/>
      <w:sz w:val="24"/>
      <w:szCs w:val="20"/>
    </w:rPr>
  </w:style>
  <w:style w:type="paragraph" w:styleId="26">
    <w:name w:val="index 4"/>
    <w:basedOn w:val="1"/>
    <w:next w:val="1"/>
    <w:qFormat/>
    <w:uiPriority w:val="0"/>
    <w:pPr>
      <w:ind w:left="600" w:leftChars="600"/>
    </w:pPr>
  </w:style>
  <w:style w:type="paragraph" w:styleId="27">
    <w:name w:val="toc 5"/>
    <w:basedOn w:val="1"/>
    <w:next w:val="1"/>
    <w:qFormat/>
    <w:uiPriority w:val="0"/>
    <w:pPr>
      <w:ind w:left="1680" w:leftChars="800"/>
    </w:pPr>
  </w:style>
  <w:style w:type="paragraph" w:styleId="28">
    <w:name w:val="toc 3"/>
    <w:basedOn w:val="1"/>
    <w:next w:val="1"/>
    <w:autoRedefine/>
    <w:qFormat/>
    <w:uiPriority w:val="0"/>
    <w:pPr>
      <w:ind w:left="840" w:leftChars="400"/>
    </w:pPr>
  </w:style>
  <w:style w:type="paragraph" w:styleId="29">
    <w:name w:val="Plain Text"/>
    <w:basedOn w:val="1"/>
    <w:link w:val="81"/>
    <w:autoRedefine/>
    <w:qFormat/>
    <w:uiPriority w:val="99"/>
    <w:rPr>
      <w:rFonts w:hint="eastAsia" w:ascii="宋体" w:hAnsi="Courier New"/>
      <w:szCs w:val="20"/>
    </w:rPr>
  </w:style>
  <w:style w:type="paragraph" w:styleId="30">
    <w:name w:val="toc 8"/>
    <w:basedOn w:val="1"/>
    <w:next w:val="1"/>
    <w:qFormat/>
    <w:uiPriority w:val="0"/>
    <w:pPr>
      <w:ind w:left="2940" w:leftChars="1400"/>
    </w:pPr>
  </w:style>
  <w:style w:type="paragraph" w:styleId="31">
    <w:name w:val="Date"/>
    <w:basedOn w:val="1"/>
    <w:next w:val="1"/>
    <w:link w:val="82"/>
    <w:autoRedefine/>
    <w:qFormat/>
    <w:uiPriority w:val="0"/>
    <w:pPr>
      <w:ind w:left="100" w:leftChars="2500"/>
    </w:pPr>
    <w:rPr>
      <w:rFonts w:ascii="仿宋_GB2312" w:hAnsi="宋体" w:eastAsia="仿宋_GB2312"/>
      <w:color w:val="000000"/>
      <w:sz w:val="24"/>
    </w:rPr>
  </w:style>
  <w:style w:type="paragraph" w:styleId="32">
    <w:name w:val="Body Text Indent 2"/>
    <w:basedOn w:val="1"/>
    <w:link w:val="83"/>
    <w:autoRedefine/>
    <w:qFormat/>
    <w:uiPriority w:val="99"/>
    <w:pPr>
      <w:ind w:firstLine="480" w:firstLineChars="200"/>
    </w:pPr>
    <w:rPr>
      <w:rFonts w:ascii="仿宋_GB2312" w:eastAsia="仿宋_GB2312"/>
      <w:sz w:val="24"/>
    </w:rPr>
  </w:style>
  <w:style w:type="paragraph" w:styleId="33">
    <w:name w:val="Balloon Text"/>
    <w:basedOn w:val="1"/>
    <w:link w:val="84"/>
    <w:autoRedefine/>
    <w:qFormat/>
    <w:uiPriority w:val="0"/>
    <w:rPr>
      <w:sz w:val="18"/>
      <w:szCs w:val="18"/>
    </w:rPr>
  </w:style>
  <w:style w:type="paragraph" w:styleId="34">
    <w:name w:val="footer"/>
    <w:basedOn w:val="1"/>
    <w:link w:val="85"/>
    <w:autoRedefine/>
    <w:qFormat/>
    <w:uiPriority w:val="99"/>
    <w:pPr>
      <w:tabs>
        <w:tab w:val="center" w:pos="4153"/>
        <w:tab w:val="right" w:pos="8306"/>
      </w:tabs>
      <w:autoSpaceDE w:val="0"/>
      <w:autoSpaceDN w:val="0"/>
      <w:adjustRightInd w:val="0"/>
      <w:snapToGrid w:val="0"/>
      <w:jc w:val="left"/>
    </w:pPr>
    <w:rPr>
      <w:rFonts w:ascii="宋体"/>
      <w:kern w:val="0"/>
      <w:sz w:val="18"/>
      <w:szCs w:val="20"/>
    </w:rPr>
  </w:style>
  <w:style w:type="paragraph" w:styleId="35">
    <w:name w:val="header"/>
    <w:basedOn w:val="1"/>
    <w:link w:val="86"/>
    <w:autoRedefine/>
    <w:qFormat/>
    <w:uiPriority w:val="0"/>
    <w:pPr>
      <w:pBdr>
        <w:bottom w:val="single" w:color="auto" w:sz="6" w:space="1"/>
      </w:pBdr>
      <w:tabs>
        <w:tab w:val="center" w:pos="4153"/>
        <w:tab w:val="right" w:pos="8306"/>
      </w:tabs>
      <w:snapToGrid w:val="0"/>
      <w:jc w:val="center"/>
    </w:pPr>
    <w:rPr>
      <w:sz w:val="18"/>
      <w:szCs w:val="18"/>
    </w:rPr>
  </w:style>
  <w:style w:type="paragraph" w:styleId="36">
    <w:name w:val="toc 1"/>
    <w:basedOn w:val="1"/>
    <w:next w:val="1"/>
    <w:autoRedefine/>
    <w:qFormat/>
    <w:uiPriority w:val="0"/>
    <w:pPr>
      <w:tabs>
        <w:tab w:val="left" w:pos="1050"/>
        <w:tab w:val="right" w:leader="dot" w:pos="8937"/>
      </w:tabs>
      <w:spacing w:line="300" w:lineRule="auto"/>
    </w:pPr>
    <w:rPr>
      <w:rFonts w:ascii="宋体" w:hAnsi="宋体"/>
      <w:b/>
      <w:sz w:val="24"/>
    </w:rPr>
  </w:style>
  <w:style w:type="paragraph" w:styleId="37">
    <w:name w:val="toc 4"/>
    <w:basedOn w:val="1"/>
    <w:next w:val="1"/>
    <w:autoRedefine/>
    <w:qFormat/>
    <w:uiPriority w:val="0"/>
    <w:pPr>
      <w:ind w:left="1260" w:leftChars="600"/>
    </w:pPr>
  </w:style>
  <w:style w:type="paragraph" w:styleId="38">
    <w:name w:val="Subtitle"/>
    <w:basedOn w:val="1"/>
    <w:next w:val="1"/>
    <w:link w:val="275"/>
    <w:autoRedefine/>
    <w:qFormat/>
    <w:uiPriority w:val="0"/>
    <w:pPr>
      <w:spacing w:before="240" w:after="60" w:line="312" w:lineRule="auto"/>
      <w:jc w:val="center"/>
      <w:outlineLvl w:val="1"/>
    </w:pPr>
    <w:rPr>
      <w:rFonts w:ascii="Cambria" w:hAnsi="Cambria"/>
      <w:b/>
      <w:bCs/>
      <w:kern w:val="28"/>
      <w:sz w:val="32"/>
      <w:szCs w:val="32"/>
    </w:rPr>
  </w:style>
  <w:style w:type="paragraph" w:styleId="39">
    <w:name w:val="List"/>
    <w:basedOn w:val="1"/>
    <w:qFormat/>
    <w:uiPriority w:val="99"/>
    <w:pPr>
      <w:adjustRightInd w:val="0"/>
      <w:spacing w:line="360" w:lineRule="atLeast"/>
      <w:ind w:left="420" w:hanging="420"/>
      <w:jc w:val="left"/>
    </w:pPr>
    <w:rPr>
      <w:rFonts w:hint="eastAsia" w:ascii="宋体"/>
      <w:kern w:val="0"/>
      <w:sz w:val="24"/>
      <w:szCs w:val="20"/>
    </w:rPr>
  </w:style>
  <w:style w:type="paragraph" w:styleId="40">
    <w:name w:val="toc 6"/>
    <w:basedOn w:val="1"/>
    <w:next w:val="1"/>
    <w:qFormat/>
    <w:uiPriority w:val="0"/>
    <w:pPr>
      <w:ind w:left="2100" w:leftChars="1000"/>
    </w:pPr>
  </w:style>
  <w:style w:type="paragraph" w:styleId="41">
    <w:name w:val="Body Text Indent 3"/>
    <w:basedOn w:val="1"/>
    <w:link w:val="87"/>
    <w:qFormat/>
    <w:uiPriority w:val="99"/>
    <w:pPr>
      <w:autoSpaceDE w:val="0"/>
      <w:autoSpaceDN w:val="0"/>
      <w:adjustRightInd w:val="0"/>
      <w:spacing w:before="120" w:line="22" w:lineRule="atLeast"/>
      <w:ind w:left="720" w:firstLine="480"/>
      <w:jc w:val="left"/>
    </w:pPr>
    <w:rPr>
      <w:rFonts w:ascii="宋体"/>
      <w:kern w:val="0"/>
      <w:sz w:val="24"/>
      <w:szCs w:val="20"/>
    </w:rPr>
  </w:style>
  <w:style w:type="paragraph" w:styleId="42">
    <w:name w:val="table of figures"/>
    <w:basedOn w:val="1"/>
    <w:next w:val="1"/>
    <w:autoRedefine/>
    <w:qFormat/>
    <w:uiPriority w:val="0"/>
    <w:pPr>
      <w:framePr w:hSpace="180" w:wrap="around" w:vAnchor="text" w:hAnchor="page" w:x="1685" w:y="405"/>
      <w:suppressOverlap/>
      <w:ind w:left="-25" w:leftChars="-12" w:firstLine="40" w:firstLineChars="19"/>
    </w:pPr>
  </w:style>
  <w:style w:type="paragraph" w:styleId="43">
    <w:name w:val="toc 2"/>
    <w:basedOn w:val="1"/>
    <w:next w:val="1"/>
    <w:qFormat/>
    <w:uiPriority w:val="0"/>
    <w:pPr>
      <w:tabs>
        <w:tab w:val="right" w:leader="dot" w:pos="8937"/>
      </w:tabs>
      <w:spacing w:line="312" w:lineRule="auto"/>
      <w:ind w:left="420" w:leftChars="200"/>
    </w:pPr>
  </w:style>
  <w:style w:type="paragraph" w:styleId="44">
    <w:name w:val="toc 9"/>
    <w:basedOn w:val="1"/>
    <w:next w:val="1"/>
    <w:autoRedefine/>
    <w:qFormat/>
    <w:uiPriority w:val="0"/>
    <w:pPr>
      <w:ind w:left="3360" w:leftChars="1600"/>
    </w:pPr>
  </w:style>
  <w:style w:type="paragraph" w:styleId="45">
    <w:name w:val="Body Text 2"/>
    <w:basedOn w:val="1"/>
    <w:link w:val="652"/>
    <w:qFormat/>
    <w:uiPriority w:val="99"/>
    <w:pPr>
      <w:spacing w:line="360" w:lineRule="auto"/>
      <w:ind w:right="26"/>
    </w:pPr>
    <w:rPr>
      <w:rFonts w:ascii="宋体"/>
      <w:szCs w:val="20"/>
    </w:rPr>
  </w:style>
  <w:style w:type="paragraph" w:styleId="46">
    <w:name w:val="HTML Preformatted"/>
    <w:basedOn w:val="1"/>
    <w:link w:val="88"/>
    <w:autoRedefine/>
    <w:qFormat/>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cs="宋体"/>
      <w:kern w:val="0"/>
      <w:sz w:val="24"/>
    </w:rPr>
  </w:style>
  <w:style w:type="paragraph" w:styleId="47">
    <w:name w:val="Normal (Web)"/>
    <w:basedOn w:val="1"/>
    <w:autoRedefine/>
    <w:unhideWhenUsed/>
    <w:qFormat/>
    <w:uiPriority w:val="0"/>
    <w:pPr>
      <w:widowControl/>
      <w:spacing w:before="100" w:beforeAutospacing="1" w:after="100" w:afterAutospacing="1"/>
      <w:jc w:val="left"/>
    </w:pPr>
    <w:rPr>
      <w:rFonts w:ascii="宋体" w:hAnsi="宋体" w:cs="宋体"/>
      <w:kern w:val="0"/>
      <w:sz w:val="24"/>
    </w:rPr>
  </w:style>
  <w:style w:type="paragraph" w:styleId="48">
    <w:name w:val="index 1"/>
    <w:basedOn w:val="1"/>
    <w:next w:val="1"/>
    <w:autoRedefine/>
    <w:qFormat/>
    <w:uiPriority w:val="99"/>
    <w:rPr>
      <w:szCs w:val="20"/>
    </w:rPr>
  </w:style>
  <w:style w:type="paragraph" w:styleId="49">
    <w:name w:val="Title"/>
    <w:basedOn w:val="1"/>
    <w:link w:val="89"/>
    <w:qFormat/>
    <w:uiPriority w:val="0"/>
    <w:pPr>
      <w:jc w:val="center"/>
      <w:outlineLvl w:val="0"/>
    </w:pPr>
    <w:rPr>
      <w:b/>
      <w:sz w:val="32"/>
      <w:szCs w:val="20"/>
    </w:rPr>
  </w:style>
  <w:style w:type="paragraph" w:styleId="50">
    <w:name w:val="annotation subject"/>
    <w:basedOn w:val="19"/>
    <w:next w:val="19"/>
    <w:link w:val="90"/>
    <w:autoRedefine/>
    <w:qFormat/>
    <w:uiPriority w:val="0"/>
    <w:rPr>
      <w:b/>
      <w:bCs/>
    </w:rPr>
  </w:style>
  <w:style w:type="paragraph" w:styleId="51">
    <w:name w:val="Body Text First Indent"/>
    <w:basedOn w:val="22"/>
    <w:link w:val="312"/>
    <w:unhideWhenUsed/>
    <w:qFormat/>
    <w:uiPriority w:val="0"/>
    <w:pPr>
      <w:tabs>
        <w:tab w:val="clear" w:pos="567"/>
      </w:tabs>
      <w:spacing w:before="0" w:after="120" w:line="240" w:lineRule="auto"/>
      <w:ind w:firstLine="420" w:firstLineChars="100"/>
    </w:pPr>
    <w:rPr>
      <w:rFonts w:ascii="Times New Roman" w:hAnsi="Times New Roman"/>
      <w:sz w:val="21"/>
    </w:rPr>
  </w:style>
  <w:style w:type="paragraph" w:styleId="52">
    <w:name w:val="Body Text First Indent 2"/>
    <w:basedOn w:val="23"/>
    <w:link w:val="92"/>
    <w:autoRedefine/>
    <w:qFormat/>
    <w:uiPriority w:val="0"/>
    <w:pPr>
      <w:tabs>
        <w:tab w:val="left" w:pos="5580"/>
      </w:tabs>
      <w:spacing w:after="120"/>
      <w:ind w:firstLine="0"/>
      <w:jc w:val="center"/>
    </w:pPr>
    <w:rPr>
      <w:rFonts w:ascii="宋体" w:hAnsi="宋体" w:cs="宋体"/>
      <w:b/>
      <w:kern w:val="0"/>
      <w:sz w:val="52"/>
      <w:szCs w:val="52"/>
    </w:rPr>
  </w:style>
  <w:style w:type="table" w:styleId="54">
    <w:name w:val="Table Grid"/>
    <w:basedOn w:val="53"/>
    <w:qFormat/>
    <w:uiPriority w:val="9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55">
    <w:name w:val="Medium Grid 1 Accent 2"/>
    <w:basedOn w:val="53"/>
    <w:qFormat/>
    <w:uiPriority w:val="0"/>
    <w:rPr>
      <w:kern w:val="2"/>
      <w:sz w:val="21"/>
      <w:szCs w:val="24"/>
    </w:rPr>
    <w:tblPr>
      <w:tblBorders>
        <w:top w:val="single" w:color="CF7B79" w:sz="8" w:space="0"/>
        <w:left w:val="single" w:color="CF7B79" w:sz="8" w:space="0"/>
        <w:bottom w:val="single" w:color="CF7B79" w:sz="8" w:space="0"/>
        <w:right w:val="single" w:color="CF7B79" w:sz="8" w:space="0"/>
        <w:insideH w:val="single" w:color="CF7B79" w:sz="8" w:space="0"/>
        <w:insideV w:val="single" w:color="CF7B79" w:sz="8" w:space="0"/>
      </w:tblBorders>
    </w:tblPr>
    <w:tcPr>
      <w:shd w:val="clear" w:color="auto" w:fill="EFD3D2"/>
    </w:tcPr>
    <w:tblStylePr w:type="firstRow">
      <w:rPr>
        <w:b/>
        <w:bCs/>
      </w:rPr>
    </w:tblStylePr>
    <w:tblStylePr w:type="lastRow">
      <w:rPr>
        <w:b/>
        <w:bCs/>
      </w:rPr>
      <w:tblPr/>
      <w:tcPr>
        <w:tcBorders>
          <w:top w:val="single" w:color="CF7B79" w:sz="18" w:space="0"/>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character" w:styleId="57">
    <w:name w:val="Strong"/>
    <w:qFormat/>
    <w:uiPriority w:val="0"/>
    <w:rPr>
      <w:b/>
      <w:bCs/>
    </w:rPr>
  </w:style>
  <w:style w:type="character" w:styleId="58">
    <w:name w:val="page number"/>
    <w:qFormat/>
    <w:uiPriority w:val="0"/>
  </w:style>
  <w:style w:type="character" w:styleId="59">
    <w:name w:val="FollowedHyperlink"/>
    <w:autoRedefine/>
    <w:qFormat/>
    <w:uiPriority w:val="99"/>
    <w:rPr>
      <w:color w:val="800080"/>
      <w:u w:val="single"/>
    </w:rPr>
  </w:style>
  <w:style w:type="character" w:styleId="60">
    <w:name w:val="Emphasis"/>
    <w:autoRedefine/>
    <w:qFormat/>
    <w:uiPriority w:val="0"/>
    <w:rPr>
      <w:color w:val="CC0033"/>
    </w:rPr>
  </w:style>
  <w:style w:type="character" w:styleId="61">
    <w:name w:val="Hyperlink"/>
    <w:autoRedefine/>
    <w:qFormat/>
    <w:uiPriority w:val="0"/>
    <w:rPr>
      <w:color w:val="0000FF"/>
      <w:u w:val="single"/>
    </w:rPr>
  </w:style>
  <w:style w:type="character" w:styleId="62">
    <w:name w:val="annotation reference"/>
    <w:autoRedefine/>
    <w:qFormat/>
    <w:uiPriority w:val="0"/>
    <w:rPr>
      <w:sz w:val="21"/>
      <w:szCs w:val="21"/>
    </w:rPr>
  </w:style>
  <w:style w:type="character" w:styleId="63">
    <w:name w:val="HTML Cite"/>
    <w:autoRedefine/>
    <w:qFormat/>
    <w:uiPriority w:val="0"/>
    <w:rPr>
      <w:i/>
      <w:iCs/>
    </w:rPr>
  </w:style>
  <w:style w:type="paragraph" w:customStyle="1" w:styleId="64">
    <w:name w:val="公文"/>
    <w:qFormat/>
    <w:uiPriority w:val="0"/>
    <w:pPr>
      <w:kinsoku w:val="0"/>
      <w:autoSpaceDE w:val="0"/>
      <w:autoSpaceDN w:val="0"/>
      <w:adjustRightInd w:val="0"/>
      <w:snapToGrid w:val="0"/>
      <w:spacing w:line="560" w:lineRule="exact"/>
      <w:ind w:firstLine="200" w:firstLineChars="200"/>
      <w:textAlignment w:val="baseline"/>
    </w:pPr>
    <w:rPr>
      <w:rFonts w:ascii="Calibri" w:hAnsi="Calibri" w:eastAsia="仿宋_GB2312" w:cs="黑体"/>
      <w:snapToGrid w:val="0"/>
      <w:color w:val="000000"/>
      <w:sz w:val="32"/>
      <w:szCs w:val="22"/>
      <w:lang w:val="en-US" w:eastAsia="zh-CN" w:bidi="ar-SA"/>
    </w:rPr>
  </w:style>
  <w:style w:type="paragraph" w:customStyle="1" w:styleId="65">
    <w:name w:val="正文1"/>
    <w:basedOn w:val="1"/>
    <w:next w:val="1"/>
    <w:qFormat/>
    <w:uiPriority w:val="0"/>
    <w:pPr>
      <w:widowControl/>
      <w:adjustRightInd w:val="0"/>
      <w:snapToGrid w:val="0"/>
      <w:spacing w:line="360" w:lineRule="auto"/>
      <w:ind w:firstLine="560" w:firstLineChars="200"/>
    </w:pPr>
    <w:rPr>
      <w:rFonts w:ascii="宋体" w:hAnsi="宋体" w:cs="Arial" w:eastAsiaTheme="minorEastAsia"/>
      <w:color w:val="000000"/>
      <w:sz w:val="28"/>
      <w:szCs w:val="28"/>
    </w:rPr>
  </w:style>
  <w:style w:type="character" w:customStyle="1" w:styleId="66">
    <w:name w:val="标题 1 字符"/>
    <w:link w:val="2"/>
    <w:autoRedefine/>
    <w:qFormat/>
    <w:uiPriority w:val="0"/>
    <w:rPr>
      <w:rFonts w:ascii="宋体"/>
      <w:b/>
      <w:kern w:val="44"/>
      <w:sz w:val="32"/>
    </w:rPr>
  </w:style>
  <w:style w:type="character" w:customStyle="1" w:styleId="67">
    <w:name w:val="标题 2 字符"/>
    <w:link w:val="3"/>
    <w:autoRedefine/>
    <w:qFormat/>
    <w:uiPriority w:val="0"/>
    <w:rPr>
      <w:rFonts w:ascii="Arial" w:hAnsi="Arial" w:eastAsia="黑体"/>
      <w:b/>
      <w:sz w:val="30"/>
      <w:lang w:val="en-US" w:eastAsia="zh-CN" w:bidi="ar-SA"/>
    </w:rPr>
  </w:style>
  <w:style w:type="character" w:customStyle="1" w:styleId="68">
    <w:name w:val="标题 3 字符"/>
    <w:link w:val="4"/>
    <w:autoRedefine/>
    <w:qFormat/>
    <w:uiPriority w:val="0"/>
    <w:rPr>
      <w:rFonts w:ascii="宋体" w:eastAsia="宋体"/>
      <w:b/>
      <w:sz w:val="24"/>
      <w:u w:val="single"/>
      <w:lang w:val="en-US" w:eastAsia="zh-CN" w:bidi="ar-SA"/>
    </w:rPr>
  </w:style>
  <w:style w:type="character" w:customStyle="1" w:styleId="69">
    <w:name w:val="正文缩进 字符"/>
    <w:link w:val="14"/>
    <w:autoRedefine/>
    <w:qFormat/>
    <w:uiPriority w:val="0"/>
    <w:rPr>
      <w:rFonts w:ascii="宋体" w:eastAsia="宋体"/>
      <w:kern w:val="2"/>
      <w:sz w:val="24"/>
      <w:szCs w:val="24"/>
      <w:lang w:val="en-US" w:eastAsia="zh-CN" w:bidi="ar-SA"/>
    </w:rPr>
  </w:style>
  <w:style w:type="character" w:customStyle="1" w:styleId="70">
    <w:name w:val="标题 4 字符"/>
    <w:link w:val="5"/>
    <w:autoRedefine/>
    <w:qFormat/>
    <w:uiPriority w:val="0"/>
    <w:rPr>
      <w:rFonts w:ascii="Arial" w:hAnsi="Arial" w:eastAsia="黑体"/>
      <w:b/>
      <w:sz w:val="28"/>
    </w:rPr>
  </w:style>
  <w:style w:type="character" w:customStyle="1" w:styleId="71">
    <w:name w:val="标题 5 字符"/>
    <w:link w:val="6"/>
    <w:autoRedefine/>
    <w:qFormat/>
    <w:uiPriority w:val="0"/>
    <w:rPr>
      <w:b/>
      <w:sz w:val="28"/>
    </w:rPr>
  </w:style>
  <w:style w:type="character" w:customStyle="1" w:styleId="72">
    <w:name w:val="标题 6 字符"/>
    <w:link w:val="7"/>
    <w:autoRedefine/>
    <w:qFormat/>
    <w:uiPriority w:val="0"/>
    <w:rPr>
      <w:rFonts w:ascii="Arial" w:hAnsi="Arial" w:eastAsia="黑体"/>
      <w:b/>
      <w:sz w:val="24"/>
    </w:rPr>
  </w:style>
  <w:style w:type="character" w:customStyle="1" w:styleId="73">
    <w:name w:val="标题 7 字符"/>
    <w:link w:val="8"/>
    <w:autoRedefine/>
    <w:qFormat/>
    <w:uiPriority w:val="0"/>
    <w:rPr>
      <w:b/>
      <w:sz w:val="24"/>
    </w:rPr>
  </w:style>
  <w:style w:type="character" w:customStyle="1" w:styleId="74">
    <w:name w:val="标题 8 字符"/>
    <w:link w:val="9"/>
    <w:autoRedefine/>
    <w:qFormat/>
    <w:uiPriority w:val="0"/>
    <w:rPr>
      <w:rFonts w:ascii="Arial" w:hAnsi="Arial" w:eastAsia="黑体"/>
      <w:sz w:val="24"/>
    </w:rPr>
  </w:style>
  <w:style w:type="character" w:customStyle="1" w:styleId="75">
    <w:name w:val="标题 9 字符"/>
    <w:link w:val="10"/>
    <w:autoRedefine/>
    <w:qFormat/>
    <w:uiPriority w:val="0"/>
    <w:rPr>
      <w:rFonts w:ascii="Arial" w:hAnsi="Arial" w:eastAsia="黑体"/>
      <w:sz w:val="21"/>
    </w:rPr>
  </w:style>
  <w:style w:type="character" w:customStyle="1" w:styleId="76">
    <w:name w:val="文档结构图 字符"/>
    <w:link w:val="17"/>
    <w:autoRedefine/>
    <w:qFormat/>
    <w:uiPriority w:val="0"/>
    <w:rPr>
      <w:kern w:val="2"/>
      <w:sz w:val="21"/>
      <w:szCs w:val="24"/>
      <w:shd w:val="clear" w:color="auto" w:fill="000080"/>
    </w:rPr>
  </w:style>
  <w:style w:type="character" w:customStyle="1" w:styleId="77">
    <w:name w:val="批注文字 字符1"/>
    <w:link w:val="19"/>
    <w:autoRedefine/>
    <w:qFormat/>
    <w:uiPriority w:val="99"/>
    <w:rPr>
      <w:kern w:val="2"/>
      <w:sz w:val="21"/>
      <w:szCs w:val="24"/>
    </w:rPr>
  </w:style>
  <w:style w:type="character" w:customStyle="1" w:styleId="78">
    <w:name w:val="正文文本 3 字符"/>
    <w:link w:val="21"/>
    <w:autoRedefine/>
    <w:qFormat/>
    <w:uiPriority w:val="99"/>
    <w:rPr>
      <w:kern w:val="2"/>
      <w:sz w:val="16"/>
      <w:szCs w:val="16"/>
    </w:rPr>
  </w:style>
  <w:style w:type="character" w:customStyle="1" w:styleId="79">
    <w:name w:val="正文文本 字符"/>
    <w:link w:val="22"/>
    <w:autoRedefine/>
    <w:qFormat/>
    <w:uiPriority w:val="0"/>
    <w:rPr>
      <w:rFonts w:ascii="宋体" w:hAnsi="宋体"/>
      <w:kern w:val="2"/>
      <w:sz w:val="24"/>
      <w:szCs w:val="24"/>
    </w:rPr>
  </w:style>
  <w:style w:type="character" w:customStyle="1" w:styleId="80">
    <w:name w:val="正文文本缩进 字符"/>
    <w:link w:val="23"/>
    <w:autoRedefine/>
    <w:qFormat/>
    <w:uiPriority w:val="0"/>
    <w:rPr>
      <w:rFonts w:eastAsia="宋体"/>
      <w:kern w:val="2"/>
      <w:sz w:val="24"/>
      <w:szCs w:val="24"/>
      <w:lang w:val="en-US" w:eastAsia="zh-CN" w:bidi="ar-SA"/>
    </w:rPr>
  </w:style>
  <w:style w:type="character" w:customStyle="1" w:styleId="81">
    <w:name w:val="纯文本 字符2"/>
    <w:link w:val="29"/>
    <w:autoRedefine/>
    <w:qFormat/>
    <w:uiPriority w:val="0"/>
    <w:rPr>
      <w:rFonts w:hint="eastAsia" w:ascii="宋体" w:hAnsi="Courier New" w:eastAsia="宋体" w:cs="宋体"/>
      <w:kern w:val="2"/>
      <w:sz w:val="21"/>
    </w:rPr>
  </w:style>
  <w:style w:type="character" w:customStyle="1" w:styleId="82">
    <w:name w:val="日期 字符"/>
    <w:link w:val="31"/>
    <w:autoRedefine/>
    <w:qFormat/>
    <w:uiPriority w:val="0"/>
    <w:rPr>
      <w:rFonts w:ascii="仿宋_GB2312" w:hAnsi="宋体" w:eastAsia="仿宋_GB2312"/>
      <w:color w:val="000000"/>
      <w:kern w:val="2"/>
      <w:sz w:val="24"/>
      <w:szCs w:val="24"/>
    </w:rPr>
  </w:style>
  <w:style w:type="character" w:customStyle="1" w:styleId="83">
    <w:name w:val="正文文本缩进 2 字符"/>
    <w:link w:val="32"/>
    <w:autoRedefine/>
    <w:qFormat/>
    <w:uiPriority w:val="99"/>
    <w:rPr>
      <w:rFonts w:ascii="仿宋_GB2312" w:eastAsia="仿宋_GB2312"/>
      <w:kern w:val="2"/>
      <w:sz w:val="24"/>
      <w:szCs w:val="24"/>
    </w:rPr>
  </w:style>
  <w:style w:type="character" w:customStyle="1" w:styleId="84">
    <w:name w:val="批注框文本 字符"/>
    <w:link w:val="33"/>
    <w:autoRedefine/>
    <w:qFormat/>
    <w:uiPriority w:val="0"/>
    <w:rPr>
      <w:kern w:val="2"/>
      <w:sz w:val="18"/>
      <w:szCs w:val="18"/>
    </w:rPr>
  </w:style>
  <w:style w:type="character" w:customStyle="1" w:styleId="85">
    <w:name w:val="页脚 字符"/>
    <w:link w:val="34"/>
    <w:autoRedefine/>
    <w:qFormat/>
    <w:uiPriority w:val="99"/>
    <w:rPr>
      <w:rFonts w:ascii="宋体" w:eastAsia="宋体"/>
      <w:sz w:val="18"/>
      <w:lang w:val="en-US" w:eastAsia="zh-CN" w:bidi="ar-SA"/>
    </w:rPr>
  </w:style>
  <w:style w:type="character" w:customStyle="1" w:styleId="86">
    <w:name w:val="页眉 字符"/>
    <w:link w:val="35"/>
    <w:autoRedefine/>
    <w:qFormat/>
    <w:uiPriority w:val="0"/>
    <w:rPr>
      <w:rFonts w:eastAsia="宋体"/>
      <w:kern w:val="2"/>
      <w:sz w:val="18"/>
      <w:szCs w:val="18"/>
      <w:lang w:val="en-US" w:eastAsia="zh-CN" w:bidi="ar-SA"/>
    </w:rPr>
  </w:style>
  <w:style w:type="character" w:customStyle="1" w:styleId="87">
    <w:name w:val="正文文本缩进 3 字符"/>
    <w:link w:val="41"/>
    <w:autoRedefine/>
    <w:qFormat/>
    <w:uiPriority w:val="99"/>
    <w:rPr>
      <w:rFonts w:ascii="宋体"/>
      <w:sz w:val="24"/>
    </w:rPr>
  </w:style>
  <w:style w:type="character" w:customStyle="1" w:styleId="88">
    <w:name w:val="HTML 预设格式 字符"/>
    <w:link w:val="46"/>
    <w:autoRedefine/>
    <w:qFormat/>
    <w:uiPriority w:val="0"/>
    <w:rPr>
      <w:rFonts w:ascii="宋体" w:hAnsi="宋体" w:cs="宋体"/>
      <w:sz w:val="24"/>
      <w:szCs w:val="24"/>
    </w:rPr>
  </w:style>
  <w:style w:type="character" w:customStyle="1" w:styleId="89">
    <w:name w:val="标题 字符"/>
    <w:link w:val="49"/>
    <w:autoRedefine/>
    <w:qFormat/>
    <w:uiPriority w:val="0"/>
    <w:rPr>
      <w:b/>
      <w:kern w:val="2"/>
      <w:sz w:val="32"/>
    </w:rPr>
  </w:style>
  <w:style w:type="character" w:customStyle="1" w:styleId="90">
    <w:name w:val="批注主题 字符"/>
    <w:link w:val="50"/>
    <w:autoRedefine/>
    <w:qFormat/>
    <w:uiPriority w:val="0"/>
    <w:rPr>
      <w:rFonts w:ascii="Times New Roman" w:hAnsi="Times New Roman" w:eastAsia="宋体" w:cs="Times New Roman"/>
      <w:b/>
      <w:bCs/>
      <w:kern w:val="2"/>
      <w:sz w:val="21"/>
      <w:szCs w:val="24"/>
      <w:lang w:val="en-US" w:eastAsia="zh-CN" w:bidi="ar-SA"/>
    </w:rPr>
  </w:style>
  <w:style w:type="character" w:customStyle="1" w:styleId="91">
    <w:name w:val="批注文字 字符"/>
    <w:autoRedefine/>
    <w:qFormat/>
    <w:uiPriority w:val="99"/>
    <w:rPr>
      <w:rFonts w:ascii="Times New Roman" w:hAnsi="Times New Roman" w:eastAsia="宋体" w:cs="Times New Roman"/>
      <w:sz w:val="24"/>
      <w:lang w:val="en-US" w:eastAsia="zh-CN" w:bidi="ar-SA"/>
    </w:rPr>
  </w:style>
  <w:style w:type="character" w:customStyle="1" w:styleId="92">
    <w:name w:val="正文文本首行缩进 2 字符"/>
    <w:link w:val="52"/>
    <w:autoRedefine/>
    <w:qFormat/>
    <w:uiPriority w:val="0"/>
    <w:rPr>
      <w:rFonts w:ascii="宋体" w:hAnsi="宋体" w:cs="宋体"/>
      <w:b/>
      <w:sz w:val="52"/>
      <w:szCs w:val="52"/>
    </w:rPr>
  </w:style>
  <w:style w:type="character" w:customStyle="1" w:styleId="93">
    <w:name w:val="c21"/>
    <w:autoRedefine/>
    <w:qFormat/>
    <w:uiPriority w:val="0"/>
    <w:rPr>
      <w:rFonts w:hint="default" w:ascii="ˎ̥" w:hAnsi="ˎ̥"/>
      <w:color w:val="000000"/>
      <w:sz w:val="20"/>
      <w:szCs w:val="20"/>
      <w:u w:val="none"/>
    </w:rPr>
  </w:style>
  <w:style w:type="character" w:customStyle="1" w:styleId="94">
    <w:name w:val="title4"/>
    <w:autoRedefine/>
    <w:qFormat/>
    <w:uiPriority w:val="0"/>
    <w:rPr>
      <w:b/>
      <w:bCs/>
      <w:color w:val="1D87B3"/>
      <w:sz w:val="15"/>
      <w:szCs w:val="15"/>
    </w:rPr>
  </w:style>
  <w:style w:type="character" w:customStyle="1" w:styleId="95">
    <w:name w:val="标题 2 Char Char"/>
    <w:autoRedefine/>
    <w:qFormat/>
    <w:uiPriority w:val="0"/>
    <w:rPr>
      <w:rFonts w:ascii="Arial" w:hAnsi="Arial" w:eastAsia="黑体"/>
      <w:b/>
      <w:bCs/>
      <w:kern w:val="2"/>
      <w:sz w:val="32"/>
      <w:szCs w:val="32"/>
      <w:lang w:val="en-US" w:eastAsia="zh-CN" w:bidi="ar-SA"/>
    </w:rPr>
  </w:style>
  <w:style w:type="character" w:customStyle="1" w:styleId="96">
    <w:name w:val="black1"/>
    <w:autoRedefine/>
    <w:qFormat/>
    <w:uiPriority w:val="0"/>
    <w:rPr>
      <w:color w:val="000000"/>
    </w:rPr>
  </w:style>
  <w:style w:type="character" w:customStyle="1" w:styleId="97">
    <w:name w:val="street-address"/>
    <w:autoRedefine/>
    <w:qFormat/>
    <w:uiPriority w:val="0"/>
  </w:style>
  <w:style w:type="character" w:customStyle="1" w:styleId="98">
    <w:name w:val="locality"/>
    <w:autoRedefine/>
    <w:qFormat/>
    <w:uiPriority w:val="0"/>
  </w:style>
  <w:style w:type="character" w:customStyle="1" w:styleId="99">
    <w:name w:val="正文文本缩进 Char1"/>
    <w:link w:val="100"/>
    <w:autoRedefine/>
    <w:qFormat/>
    <w:uiPriority w:val="0"/>
    <w:rPr>
      <w:rFonts w:ascii="宋体" w:hAnsi="宋体" w:eastAsia="宋体"/>
      <w:sz w:val="24"/>
      <w:szCs w:val="24"/>
      <w:lang w:bidi="ar-SA"/>
    </w:rPr>
  </w:style>
  <w:style w:type="paragraph" w:customStyle="1" w:styleId="100">
    <w:name w:val="正文文本缩进1"/>
    <w:basedOn w:val="1"/>
    <w:link w:val="99"/>
    <w:autoRedefine/>
    <w:qFormat/>
    <w:uiPriority w:val="0"/>
    <w:pPr>
      <w:spacing w:line="480" w:lineRule="exact"/>
      <w:ind w:firstLine="480" w:firstLineChars="200"/>
    </w:pPr>
    <w:rPr>
      <w:rFonts w:ascii="宋体" w:hAnsi="宋体"/>
      <w:kern w:val="0"/>
      <w:sz w:val="24"/>
    </w:rPr>
  </w:style>
  <w:style w:type="character" w:customStyle="1" w:styleId="101">
    <w:name w:val="Char Char11"/>
    <w:autoRedefine/>
    <w:qFormat/>
    <w:uiPriority w:val="99"/>
    <w:rPr>
      <w:rFonts w:ascii="宋体" w:eastAsia="宋体"/>
      <w:b/>
      <w:sz w:val="24"/>
      <w:u w:val="single"/>
      <w:lang w:val="en-US" w:eastAsia="zh-CN" w:bidi="ar-SA"/>
    </w:rPr>
  </w:style>
  <w:style w:type="character" w:customStyle="1" w:styleId="102">
    <w:name w:val="txt"/>
    <w:autoRedefine/>
    <w:qFormat/>
    <w:uiPriority w:val="0"/>
  </w:style>
  <w:style w:type="character" w:customStyle="1" w:styleId="103">
    <w:name w:val="正文缩进 Char Char"/>
    <w:link w:val="104"/>
    <w:autoRedefine/>
    <w:qFormat/>
    <w:uiPriority w:val="0"/>
    <w:rPr>
      <w:rFonts w:ascii="宋体" w:eastAsia="宋体"/>
      <w:snapToGrid w:val="0"/>
      <w:color w:val="000000"/>
      <w:kern w:val="28"/>
      <w:sz w:val="28"/>
      <w:lang w:bidi="ar-SA"/>
    </w:rPr>
  </w:style>
  <w:style w:type="paragraph" w:customStyle="1" w:styleId="104">
    <w:name w:val="正文缩进1"/>
    <w:basedOn w:val="1"/>
    <w:link w:val="103"/>
    <w:autoRedefine/>
    <w:qFormat/>
    <w:uiPriority w:val="0"/>
    <w:pPr>
      <w:widowControl/>
      <w:adjustRightInd w:val="0"/>
      <w:snapToGrid w:val="0"/>
      <w:spacing w:line="480" w:lineRule="exact"/>
      <w:ind w:firstLine="567"/>
    </w:pPr>
    <w:rPr>
      <w:rFonts w:ascii="宋体"/>
      <w:snapToGrid w:val="0"/>
      <w:color w:val="000000"/>
      <w:kern w:val="28"/>
      <w:sz w:val="28"/>
      <w:szCs w:val="20"/>
    </w:rPr>
  </w:style>
  <w:style w:type="character" w:customStyle="1" w:styleId="105">
    <w:name w:val="普通文字1 Char1"/>
    <w:autoRedefine/>
    <w:qFormat/>
    <w:uiPriority w:val="0"/>
    <w:rPr>
      <w:rFonts w:ascii="宋体" w:hAnsi="Courier New" w:eastAsia="宋体"/>
      <w:kern w:val="2"/>
      <w:sz w:val="21"/>
      <w:lang w:val="en-US" w:eastAsia="zh-CN" w:bidi="ar-SA"/>
    </w:rPr>
  </w:style>
  <w:style w:type="character" w:customStyle="1" w:styleId="106">
    <w:name w:val="chanpin1"/>
    <w:autoRedefine/>
    <w:qFormat/>
    <w:uiPriority w:val="0"/>
    <w:rPr>
      <w:rFonts w:hint="default" w:ascii="ˎ̥" w:hAnsi="ˎ̥"/>
      <w:color w:val="000000"/>
      <w:sz w:val="20"/>
      <w:szCs w:val="20"/>
      <w:u w:val="none"/>
    </w:rPr>
  </w:style>
  <w:style w:type="character" w:customStyle="1" w:styleId="107">
    <w:name w:val="列出段落 Char1"/>
    <w:link w:val="108"/>
    <w:autoRedefine/>
    <w:qFormat/>
    <w:uiPriority w:val="34"/>
    <w:rPr>
      <w:rFonts w:ascii="Calibri" w:hAnsi="Calibri" w:eastAsia="宋体"/>
      <w:kern w:val="2"/>
      <w:sz w:val="21"/>
      <w:szCs w:val="22"/>
      <w:lang w:val="en-US" w:eastAsia="zh-CN" w:bidi="ar-SA"/>
    </w:rPr>
  </w:style>
  <w:style w:type="paragraph" w:customStyle="1" w:styleId="108">
    <w:name w:val="列出段落1"/>
    <w:basedOn w:val="1"/>
    <w:link w:val="107"/>
    <w:autoRedefine/>
    <w:qFormat/>
    <w:uiPriority w:val="0"/>
    <w:pPr>
      <w:ind w:firstLine="420" w:firstLineChars="200"/>
    </w:pPr>
    <w:rPr>
      <w:rFonts w:ascii="Calibri" w:hAnsi="Calibri"/>
      <w:szCs w:val="22"/>
    </w:rPr>
  </w:style>
  <w:style w:type="character" w:customStyle="1" w:styleId="109">
    <w:name w:val="标题 3 Char Char"/>
    <w:autoRedefine/>
    <w:qFormat/>
    <w:uiPriority w:val="0"/>
    <w:rPr>
      <w:rFonts w:eastAsia="宋体"/>
      <w:b/>
      <w:bCs/>
      <w:kern w:val="2"/>
      <w:sz w:val="32"/>
      <w:szCs w:val="32"/>
      <w:lang w:val="en-US" w:eastAsia="zh-CN" w:bidi="ar-SA"/>
    </w:rPr>
  </w:style>
  <w:style w:type="character" w:customStyle="1" w:styleId="110">
    <w:name w:val="段1 Char"/>
    <w:autoRedefine/>
    <w:qFormat/>
    <w:uiPriority w:val="0"/>
    <w:rPr>
      <w:rFonts w:ascii="宋体" w:eastAsia="宋体"/>
      <w:sz w:val="24"/>
      <w:lang w:val="en-US" w:eastAsia="zh-CN" w:bidi="ar-SA"/>
    </w:rPr>
  </w:style>
  <w:style w:type="character" w:customStyle="1" w:styleId="111">
    <w:name w:val="chanpin拷贝"/>
    <w:autoRedefine/>
    <w:qFormat/>
    <w:uiPriority w:val="0"/>
  </w:style>
  <w:style w:type="character" w:customStyle="1" w:styleId="112">
    <w:name w:val="纯文本 Char1"/>
    <w:autoRedefine/>
    <w:qFormat/>
    <w:uiPriority w:val="99"/>
    <w:rPr>
      <w:rFonts w:ascii="宋体" w:hAnsi="Courier New" w:eastAsia="宋体"/>
      <w:kern w:val="2"/>
      <w:sz w:val="21"/>
      <w:lang w:val="en-US" w:eastAsia="zh-CN" w:bidi="ar-SA"/>
    </w:rPr>
  </w:style>
  <w:style w:type="character" w:customStyle="1" w:styleId="113">
    <w:name w:val="apple-style-span"/>
    <w:autoRedefine/>
    <w:qFormat/>
    <w:uiPriority w:val="0"/>
    <w:rPr>
      <w:rFonts w:cs="Times New Roman"/>
    </w:rPr>
  </w:style>
  <w:style w:type="paragraph" w:customStyle="1" w:styleId="114">
    <w:name w:val="二级条标题"/>
    <w:basedOn w:val="115"/>
    <w:next w:val="1"/>
    <w:link w:val="683"/>
    <w:autoRedefine/>
    <w:qFormat/>
    <w:uiPriority w:val="0"/>
    <w:pPr>
      <w:tabs>
        <w:tab w:val="left" w:pos="360"/>
        <w:tab w:val="left" w:pos="840"/>
      </w:tabs>
      <w:outlineLvl w:val="2"/>
    </w:pPr>
    <w:rPr>
      <w:rFonts w:ascii="宋体" w:eastAsia="宋体"/>
      <w:b w:val="0"/>
    </w:rPr>
  </w:style>
  <w:style w:type="paragraph" w:customStyle="1" w:styleId="115">
    <w:name w:val="一级条标题"/>
    <w:basedOn w:val="116"/>
    <w:next w:val="1"/>
    <w:link w:val="682"/>
    <w:autoRedefine/>
    <w:qFormat/>
    <w:uiPriority w:val="0"/>
    <w:pPr>
      <w:tabs>
        <w:tab w:val="left" w:pos="360"/>
        <w:tab w:val="left" w:pos="840"/>
      </w:tabs>
      <w:ind w:hanging="840"/>
      <w:outlineLvl w:val="1"/>
    </w:pPr>
  </w:style>
  <w:style w:type="paragraph" w:customStyle="1" w:styleId="116">
    <w:name w:val="章标题"/>
    <w:next w:val="1"/>
    <w:link w:val="681"/>
    <w:autoRedefine/>
    <w:qFormat/>
    <w:uiPriority w:val="0"/>
    <w:pPr>
      <w:spacing w:before="156" w:beforeLines="50" w:after="156" w:afterLines="50" w:line="460" w:lineRule="exact"/>
      <w:jc w:val="both"/>
      <w:outlineLvl w:val="0"/>
    </w:pPr>
    <w:rPr>
      <w:rFonts w:ascii="黑体" w:hAnsi="Times New Roman" w:eastAsia="黑体" w:cs="Times New Roman"/>
      <w:b/>
      <w:sz w:val="28"/>
      <w:lang w:val="en-US" w:eastAsia="zh-CN" w:bidi="ar-SA"/>
    </w:rPr>
  </w:style>
  <w:style w:type="paragraph" w:customStyle="1" w:styleId="117">
    <w:name w:val="font7"/>
    <w:basedOn w:val="1"/>
    <w:autoRedefine/>
    <w:qFormat/>
    <w:uiPriority w:val="0"/>
    <w:pPr>
      <w:widowControl/>
      <w:spacing w:before="100" w:beforeAutospacing="1" w:after="100" w:afterAutospacing="1"/>
      <w:jc w:val="left"/>
    </w:pPr>
    <w:rPr>
      <w:rFonts w:eastAsia="Arial Unicode MS"/>
      <w:b/>
      <w:bCs/>
      <w:color w:val="000000"/>
      <w:kern w:val="0"/>
      <w:sz w:val="20"/>
      <w:szCs w:val="20"/>
    </w:rPr>
  </w:style>
  <w:style w:type="paragraph" w:customStyle="1" w:styleId="118">
    <w:name w:val="字元 字元"/>
    <w:basedOn w:val="1"/>
    <w:autoRedefine/>
    <w:qFormat/>
    <w:uiPriority w:val="0"/>
    <w:rPr>
      <w:rFonts w:ascii="Tahoma" w:hAnsi="Tahoma"/>
      <w:sz w:val="24"/>
      <w:szCs w:val="20"/>
    </w:rPr>
  </w:style>
  <w:style w:type="paragraph" w:customStyle="1" w:styleId="119">
    <w:name w:val="Char3 Char Char Char"/>
    <w:basedOn w:val="1"/>
    <w:autoRedefine/>
    <w:qFormat/>
    <w:uiPriority w:val="0"/>
    <w:rPr>
      <w:rFonts w:ascii="Tahoma" w:hAnsi="Tahoma"/>
      <w:sz w:val="24"/>
      <w:szCs w:val="20"/>
    </w:rPr>
  </w:style>
  <w:style w:type="paragraph" w:customStyle="1" w:styleId="120">
    <w:name w:val="font6"/>
    <w:basedOn w:val="1"/>
    <w:autoRedefine/>
    <w:qFormat/>
    <w:uiPriority w:val="0"/>
    <w:pPr>
      <w:widowControl/>
      <w:spacing w:before="100" w:beforeAutospacing="1" w:after="100" w:afterAutospacing="1"/>
      <w:jc w:val="left"/>
    </w:pPr>
    <w:rPr>
      <w:rFonts w:ascii="宋体" w:hAnsi="宋体" w:cs="宋体"/>
      <w:kern w:val="0"/>
      <w:sz w:val="20"/>
      <w:szCs w:val="20"/>
    </w:rPr>
  </w:style>
  <w:style w:type="paragraph" w:customStyle="1" w:styleId="121">
    <w:name w:val="项目编号2"/>
    <w:basedOn w:val="122"/>
    <w:autoRedefine/>
    <w:qFormat/>
    <w:uiPriority w:val="0"/>
  </w:style>
  <w:style w:type="paragraph" w:customStyle="1" w:styleId="122">
    <w:name w:val="项目编号1"/>
    <w:basedOn w:val="1"/>
    <w:autoRedefine/>
    <w:qFormat/>
    <w:uiPriority w:val="0"/>
    <w:pPr>
      <w:spacing w:before="100" w:beforeAutospacing="1" w:after="100" w:afterAutospacing="1" w:line="360" w:lineRule="auto"/>
      <w:ind w:left="420" w:hanging="420"/>
    </w:pPr>
    <w:rPr>
      <w:sz w:val="24"/>
    </w:rPr>
  </w:style>
  <w:style w:type="paragraph" w:customStyle="1" w:styleId="123">
    <w:name w:val="图中文字"/>
    <w:basedOn w:val="1"/>
    <w:autoRedefine/>
    <w:qFormat/>
    <w:uiPriority w:val="0"/>
    <w:pPr>
      <w:adjustRightInd w:val="0"/>
      <w:snapToGrid w:val="0"/>
      <w:spacing w:line="0" w:lineRule="atLeast"/>
      <w:jc w:val="center"/>
    </w:pPr>
    <w:rPr>
      <w:sz w:val="24"/>
      <w:szCs w:val="20"/>
    </w:rPr>
  </w:style>
  <w:style w:type="paragraph" w:customStyle="1" w:styleId="124">
    <w:name w:val="xl46"/>
    <w:basedOn w:val="1"/>
    <w:autoRedefine/>
    <w:qFormat/>
    <w:uiPriority w:val="0"/>
    <w:pPr>
      <w:widowControl/>
      <w:pBdr>
        <w:top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25">
    <w:name w:val="xl25"/>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top"/>
    </w:pPr>
    <w:rPr>
      <w:rFonts w:ascii="Arial Unicode MS" w:hAnsi="Arial Unicode MS" w:eastAsia="Arial Unicode MS" w:cs="Arial Unicode MS"/>
      <w:b/>
      <w:bCs/>
      <w:color w:val="000000"/>
      <w:kern w:val="0"/>
      <w:sz w:val="20"/>
      <w:szCs w:val="20"/>
    </w:rPr>
  </w:style>
  <w:style w:type="paragraph" w:customStyle="1" w:styleId="126">
    <w:name w:val="Char2"/>
    <w:basedOn w:val="1"/>
    <w:autoRedefine/>
    <w:qFormat/>
    <w:uiPriority w:val="0"/>
    <w:rPr>
      <w:rFonts w:ascii="Tahoma" w:hAnsi="Tahoma"/>
      <w:sz w:val="24"/>
      <w:szCs w:val="20"/>
    </w:rPr>
  </w:style>
  <w:style w:type="paragraph" w:customStyle="1" w:styleId="127">
    <w:name w:val="xl35"/>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8">
    <w:name w:val="xl4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29">
    <w:name w:val="xl5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16"/>
      <w:szCs w:val="16"/>
    </w:rPr>
  </w:style>
  <w:style w:type="paragraph" w:customStyle="1" w:styleId="130">
    <w:name w:val="xl43"/>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1">
    <w:name w:val="background1"/>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32">
    <w:name w:val="Char Char Char Char Char Char Char"/>
    <w:basedOn w:val="1"/>
    <w:autoRedefine/>
    <w:qFormat/>
    <w:uiPriority w:val="0"/>
    <w:pPr>
      <w:snapToGrid w:val="0"/>
      <w:spacing w:line="360" w:lineRule="auto"/>
      <w:ind w:firstLine="200" w:firstLineChars="200"/>
    </w:pPr>
    <w:rPr>
      <w:rFonts w:eastAsia="仿宋_GB2312"/>
      <w:sz w:val="24"/>
    </w:rPr>
  </w:style>
  <w:style w:type="paragraph" w:customStyle="1" w:styleId="133">
    <w:name w:val="xl3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16"/>
      <w:szCs w:val="16"/>
    </w:rPr>
  </w:style>
  <w:style w:type="paragraph" w:customStyle="1" w:styleId="134">
    <w:name w:val="xl36"/>
    <w:basedOn w:val="1"/>
    <w:autoRedefine/>
    <w:qFormat/>
    <w:uiPriority w:val="0"/>
    <w:pPr>
      <w:widowControl/>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5">
    <w:name w:val="正文 + 宋体"/>
    <w:basedOn w:val="1"/>
    <w:autoRedefine/>
    <w:qFormat/>
    <w:uiPriority w:val="0"/>
    <w:pPr>
      <w:widowControl/>
      <w:ind w:left="360" w:hanging="360"/>
      <w:jc w:val="left"/>
    </w:pPr>
    <w:rPr>
      <w:rFonts w:ascii="宋体" w:hAnsi="宋体" w:cs="宋体"/>
      <w:b/>
      <w:bCs/>
      <w:color w:val="000000"/>
      <w:kern w:val="0"/>
      <w:sz w:val="18"/>
      <w:szCs w:val="18"/>
    </w:rPr>
  </w:style>
  <w:style w:type="paragraph" w:customStyle="1" w:styleId="136">
    <w:name w:val="正文列项_数字"/>
    <w:basedOn w:val="1"/>
    <w:autoRedefine/>
    <w:qFormat/>
    <w:uiPriority w:val="0"/>
    <w:pPr>
      <w:autoSpaceDE w:val="0"/>
      <w:autoSpaceDN w:val="0"/>
      <w:spacing w:line="460" w:lineRule="exact"/>
      <w:ind w:left="680" w:leftChars="530" w:hanging="150" w:hangingChars="150"/>
      <w:outlineLvl w:val="7"/>
    </w:pPr>
    <w:rPr>
      <w:rFonts w:ascii="宋体"/>
      <w:kern w:val="0"/>
      <w:sz w:val="28"/>
      <w:szCs w:val="20"/>
    </w:rPr>
  </w:style>
  <w:style w:type="paragraph" w:customStyle="1" w:styleId="137">
    <w:name w:val="xl3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38">
    <w:name w:val="xl37"/>
    <w:basedOn w:val="1"/>
    <w:autoRedefine/>
    <w:qFormat/>
    <w:uiPriority w:val="0"/>
    <w:pPr>
      <w:widowControl/>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39">
    <w:name w:val="xl3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color w:val="000000"/>
      <w:kern w:val="0"/>
      <w:sz w:val="20"/>
      <w:szCs w:val="20"/>
    </w:rPr>
  </w:style>
  <w:style w:type="paragraph" w:customStyle="1" w:styleId="140">
    <w:name w:val="font8"/>
    <w:basedOn w:val="1"/>
    <w:autoRedefine/>
    <w:qFormat/>
    <w:uiPriority w:val="0"/>
    <w:pPr>
      <w:widowControl/>
      <w:spacing w:before="100" w:beforeAutospacing="1" w:after="100" w:afterAutospacing="1"/>
      <w:jc w:val="left"/>
    </w:pPr>
    <w:rPr>
      <w:kern w:val="0"/>
      <w:sz w:val="36"/>
      <w:szCs w:val="36"/>
    </w:rPr>
  </w:style>
  <w:style w:type="paragraph" w:customStyle="1" w:styleId="141">
    <w:name w:val="Char"/>
    <w:basedOn w:val="1"/>
    <w:autoRedefine/>
    <w:qFormat/>
    <w:uiPriority w:val="0"/>
    <w:pPr>
      <w:tabs>
        <w:tab w:val="left" w:pos="360"/>
      </w:tabs>
    </w:pPr>
    <w:rPr>
      <w:sz w:val="24"/>
    </w:rPr>
  </w:style>
  <w:style w:type="paragraph" w:customStyle="1" w:styleId="142">
    <w:name w:val="Char Char Char Char Char Char Char Char Char Char Char Char Char Char Char Char"/>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143">
    <w:name w:val="xl45"/>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44">
    <w:name w:val="Char Char1 Char Char Char Char Char Char"/>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145">
    <w:name w:val="Char Char1"/>
    <w:basedOn w:val="17"/>
    <w:autoRedefine/>
    <w:qFormat/>
    <w:uiPriority w:val="0"/>
    <w:rPr>
      <w:rFonts w:ascii="Tahoma" w:hAnsi="Tahoma"/>
      <w:sz w:val="24"/>
    </w:rPr>
  </w:style>
  <w:style w:type="paragraph" w:customStyle="1" w:styleId="146">
    <w:name w:val="xl26"/>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2"/>
      <w:szCs w:val="22"/>
    </w:rPr>
  </w:style>
  <w:style w:type="paragraph" w:customStyle="1" w:styleId="147">
    <w:name w:val="xl3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0"/>
      <w:szCs w:val="20"/>
    </w:rPr>
  </w:style>
  <w:style w:type="paragraph" w:customStyle="1" w:styleId="148">
    <w:name w:val="xl41"/>
    <w:basedOn w:val="1"/>
    <w:autoRedefine/>
    <w:qFormat/>
    <w:uiPriority w:val="0"/>
    <w:pPr>
      <w:widowControl/>
      <w:pBdr>
        <w:top w:val="single" w:color="auto" w:sz="4" w:space="0"/>
        <w:left w:val="single" w:color="auto" w:sz="4" w:space="0"/>
        <w:bottom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49">
    <w:name w:val="样式 宋体 五号 行距: 单倍行距"/>
    <w:basedOn w:val="1"/>
    <w:autoRedefine/>
    <w:qFormat/>
    <w:uiPriority w:val="0"/>
    <w:pPr>
      <w:adjustRightInd w:val="0"/>
      <w:jc w:val="left"/>
      <w:textAlignment w:val="baseline"/>
    </w:pPr>
    <w:rPr>
      <w:rFonts w:ascii="宋体" w:hAnsi="宋体"/>
      <w:kern w:val="0"/>
      <w:szCs w:val="20"/>
    </w:rPr>
  </w:style>
  <w:style w:type="paragraph" w:customStyle="1" w:styleId="150">
    <w:name w:val="Char1 Char Char Char1"/>
    <w:basedOn w:val="1"/>
    <w:autoRedefine/>
    <w:qFormat/>
    <w:uiPriority w:val="0"/>
    <w:rPr>
      <w:rFonts w:ascii="Tahoma" w:hAnsi="Tahoma" w:cs="仿宋_GB2312"/>
      <w:sz w:val="24"/>
      <w:szCs w:val="28"/>
    </w:rPr>
  </w:style>
  <w:style w:type="paragraph" w:customStyle="1" w:styleId="151">
    <w:name w:val="四级条标题"/>
    <w:basedOn w:val="152"/>
    <w:next w:val="1"/>
    <w:autoRedefine/>
    <w:qFormat/>
    <w:uiPriority w:val="0"/>
    <w:pPr>
      <w:tabs>
        <w:tab w:val="left" w:pos="360"/>
        <w:tab w:val="left" w:pos="840"/>
      </w:tabs>
      <w:outlineLvl w:val="4"/>
    </w:pPr>
  </w:style>
  <w:style w:type="paragraph" w:customStyle="1" w:styleId="152">
    <w:name w:val="三级条标题"/>
    <w:basedOn w:val="114"/>
    <w:next w:val="1"/>
    <w:autoRedefine/>
    <w:qFormat/>
    <w:uiPriority w:val="0"/>
    <w:pPr>
      <w:outlineLvl w:val="3"/>
    </w:pPr>
  </w:style>
  <w:style w:type="paragraph" w:customStyle="1" w:styleId="153">
    <w:name w:val="??"/>
    <w:autoRedefine/>
    <w:qFormat/>
    <w:uiPriority w:val="0"/>
    <w:pPr>
      <w:widowControl w:val="0"/>
      <w:overflowPunct w:val="0"/>
      <w:autoSpaceDE w:val="0"/>
      <w:autoSpaceDN w:val="0"/>
      <w:adjustRightInd w:val="0"/>
      <w:jc w:val="both"/>
    </w:pPr>
    <w:rPr>
      <w:rFonts w:ascii="Times New Roman" w:hAnsi="Times New Roman" w:eastAsia="宋体" w:cs="Times New Roman"/>
      <w:kern w:val="2"/>
      <w:sz w:val="21"/>
      <w:lang w:val="en-US" w:eastAsia="en-US" w:bidi="ar-SA"/>
    </w:rPr>
  </w:style>
  <w:style w:type="paragraph" w:customStyle="1" w:styleId="154">
    <w:name w:val="样式 标题 2 + 宋体 五号 行距: 单倍行距"/>
    <w:basedOn w:val="3"/>
    <w:autoRedefine/>
    <w:qFormat/>
    <w:uiPriority w:val="0"/>
    <w:pPr>
      <w:tabs>
        <w:tab w:val="left" w:pos="1188"/>
      </w:tabs>
      <w:autoSpaceDE/>
      <w:autoSpaceDN/>
      <w:spacing w:before="260" w:after="260" w:line="240" w:lineRule="auto"/>
      <w:ind w:left="1188" w:hanging="360"/>
      <w:jc w:val="left"/>
      <w:textAlignment w:val="baseline"/>
    </w:pPr>
    <w:rPr>
      <w:rFonts w:ascii="宋体" w:hAnsi="宋体" w:eastAsia="宋体"/>
      <w:bCs/>
      <w:sz w:val="21"/>
    </w:rPr>
  </w:style>
  <w:style w:type="paragraph" w:customStyle="1" w:styleId="155">
    <w:name w:val="List Paragraph1"/>
    <w:basedOn w:val="1"/>
    <w:autoRedefine/>
    <w:qFormat/>
    <w:uiPriority w:val="0"/>
    <w:pPr>
      <w:ind w:firstLine="420" w:firstLineChars="200"/>
    </w:pPr>
    <w:rPr>
      <w:rFonts w:ascii="Calibri" w:hAnsi="Calibri"/>
      <w:szCs w:val="22"/>
    </w:rPr>
  </w:style>
  <w:style w:type="paragraph" w:customStyle="1" w:styleId="156">
    <w:name w:val="项目符号1"/>
    <w:basedOn w:val="157"/>
    <w:autoRedefine/>
    <w:qFormat/>
    <w:uiPriority w:val="0"/>
    <w:pPr>
      <w:ind w:left="-25" w:firstLine="0"/>
    </w:pPr>
  </w:style>
  <w:style w:type="paragraph" w:customStyle="1" w:styleId="157">
    <w:name w:val="正文文本样式"/>
    <w:basedOn w:val="1"/>
    <w:autoRedefine/>
    <w:qFormat/>
    <w:uiPriority w:val="0"/>
    <w:pPr>
      <w:spacing w:line="360" w:lineRule="auto"/>
      <w:ind w:firstLine="482"/>
    </w:pPr>
    <w:rPr>
      <w:rFonts w:cs="宋体"/>
      <w:sz w:val="24"/>
      <w:szCs w:val="20"/>
    </w:rPr>
  </w:style>
  <w:style w:type="paragraph" w:customStyle="1" w:styleId="158">
    <w:name w:val="xl27"/>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color w:val="000000"/>
      <w:kern w:val="0"/>
      <w:sz w:val="20"/>
      <w:szCs w:val="20"/>
    </w:rPr>
  </w:style>
  <w:style w:type="paragraph" w:customStyle="1" w:styleId="159">
    <w:name w:val="font5"/>
    <w:basedOn w:val="1"/>
    <w:autoRedefine/>
    <w:qFormat/>
    <w:uiPriority w:val="0"/>
    <w:pPr>
      <w:widowControl/>
      <w:spacing w:before="100" w:beforeAutospacing="1" w:after="100" w:afterAutospacing="1"/>
      <w:jc w:val="left"/>
    </w:pPr>
    <w:rPr>
      <w:rFonts w:ascii="宋体" w:hAnsi="宋体" w:cs="宋体"/>
      <w:kern w:val="0"/>
      <w:sz w:val="18"/>
      <w:szCs w:val="18"/>
    </w:rPr>
  </w:style>
  <w:style w:type="paragraph" w:customStyle="1" w:styleId="160">
    <w:name w:val="五级条标题"/>
    <w:basedOn w:val="151"/>
    <w:next w:val="1"/>
    <w:autoRedefine/>
    <w:qFormat/>
    <w:uiPriority w:val="0"/>
    <w:pPr>
      <w:outlineLvl w:val="5"/>
    </w:pPr>
  </w:style>
  <w:style w:type="paragraph" w:customStyle="1" w:styleId="161">
    <w:name w:val="xl4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color w:val="000000"/>
      <w:kern w:val="0"/>
      <w:sz w:val="22"/>
      <w:szCs w:val="22"/>
    </w:rPr>
  </w:style>
  <w:style w:type="paragraph" w:customStyle="1" w:styleId="162">
    <w:name w:val="文档正文"/>
    <w:basedOn w:val="1"/>
    <w:autoRedefine/>
    <w:qFormat/>
    <w:uiPriority w:val="0"/>
    <w:pPr>
      <w:snapToGrid w:val="0"/>
      <w:spacing w:before="120" w:after="120" w:line="180" w:lineRule="auto"/>
    </w:pPr>
    <w:rPr>
      <w:rFonts w:ascii="Arial" w:hAnsi="Arial"/>
      <w:szCs w:val="20"/>
    </w:rPr>
  </w:style>
  <w:style w:type="paragraph" w:customStyle="1" w:styleId="163">
    <w:name w:val="xl3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eastAsia="Arial Unicode MS"/>
      <w:color w:val="000000"/>
      <w:kern w:val="0"/>
      <w:sz w:val="20"/>
      <w:szCs w:val="20"/>
    </w:rPr>
  </w:style>
  <w:style w:type="paragraph" w:customStyle="1" w:styleId="164">
    <w:name w:val="xl42"/>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eastAsia="Arial Unicode MS"/>
      <w:b/>
      <w:bCs/>
      <w:color w:val="000000"/>
      <w:kern w:val="0"/>
      <w:sz w:val="20"/>
      <w:szCs w:val="20"/>
    </w:rPr>
  </w:style>
  <w:style w:type="paragraph" w:customStyle="1" w:styleId="165">
    <w:name w:val="Char Char Char1 Char"/>
    <w:basedOn w:val="1"/>
    <w:autoRedefine/>
    <w:qFormat/>
    <w:uiPriority w:val="0"/>
    <w:rPr>
      <w:rFonts w:ascii="Tahoma" w:hAnsi="Tahoma"/>
      <w:sz w:val="24"/>
      <w:szCs w:val="20"/>
    </w:rPr>
  </w:style>
  <w:style w:type="paragraph" w:customStyle="1" w:styleId="166">
    <w:name w:val="xl44"/>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kern w:val="0"/>
      <w:sz w:val="24"/>
    </w:rPr>
  </w:style>
  <w:style w:type="paragraph" w:customStyle="1" w:styleId="167">
    <w:name w:val="1名"/>
    <w:basedOn w:val="1"/>
    <w:autoRedefine/>
    <w:qFormat/>
    <w:uiPriority w:val="0"/>
    <w:pPr>
      <w:tabs>
        <w:tab w:val="left" w:pos="360"/>
      </w:tabs>
      <w:spacing w:before="120"/>
      <w:ind w:left="360" w:hanging="360"/>
    </w:pPr>
    <w:rPr>
      <w:rFonts w:ascii="宋体"/>
      <w:sz w:val="28"/>
      <w:szCs w:val="20"/>
    </w:rPr>
  </w:style>
  <w:style w:type="paragraph" w:customStyle="1" w:styleId="168">
    <w:name w:val="font9"/>
    <w:basedOn w:val="1"/>
    <w:autoRedefine/>
    <w:qFormat/>
    <w:uiPriority w:val="0"/>
    <w:pPr>
      <w:widowControl/>
      <w:spacing w:before="100" w:beforeAutospacing="1" w:after="100" w:afterAutospacing="1"/>
      <w:jc w:val="left"/>
    </w:pPr>
    <w:rPr>
      <w:rFonts w:hint="eastAsia" w:ascii="宋体" w:hAnsi="宋体" w:cs="Arial Unicode MS"/>
      <w:color w:val="000000"/>
      <w:kern w:val="0"/>
      <w:sz w:val="20"/>
      <w:szCs w:val="20"/>
    </w:rPr>
  </w:style>
  <w:style w:type="paragraph" w:customStyle="1" w:styleId="169">
    <w:name w:val="Char Char Char1 Char1"/>
    <w:basedOn w:val="1"/>
    <w:autoRedefine/>
    <w:qFormat/>
    <w:uiPriority w:val="0"/>
    <w:rPr>
      <w:rFonts w:ascii="Tahoma" w:hAnsi="Tahoma"/>
      <w:sz w:val="24"/>
      <w:szCs w:val="20"/>
    </w:rPr>
  </w:style>
  <w:style w:type="paragraph" w:customStyle="1" w:styleId="170">
    <w:name w:val="Char Char Char Char Char Char Char Char Char Char"/>
    <w:basedOn w:val="1"/>
    <w:autoRedefine/>
    <w:qFormat/>
    <w:uiPriority w:val="0"/>
  </w:style>
  <w:style w:type="paragraph" w:customStyle="1" w:styleId="171">
    <w:name w:val="Char Char1 Char Char Char Char Char Char Char Char"/>
    <w:basedOn w:val="1"/>
    <w:autoRedefine/>
    <w:qFormat/>
    <w:uiPriority w:val="0"/>
    <w:pPr>
      <w:widowControl/>
      <w:spacing w:after="160" w:line="240" w:lineRule="exact"/>
      <w:jc w:val="left"/>
    </w:pPr>
    <w:rPr>
      <w:rFonts w:ascii="Verdana" w:hAnsi="Verdana"/>
      <w:kern w:val="0"/>
      <w:sz w:val="20"/>
      <w:szCs w:val="20"/>
      <w:lang w:eastAsia="en-US"/>
    </w:rPr>
  </w:style>
  <w:style w:type="paragraph" w:customStyle="1" w:styleId="172">
    <w:name w:val="Char1"/>
    <w:basedOn w:val="1"/>
    <w:autoRedefine/>
    <w:qFormat/>
    <w:uiPriority w:val="0"/>
    <w:pPr>
      <w:tabs>
        <w:tab w:val="left" w:pos="360"/>
      </w:tabs>
    </w:pPr>
    <w:rPr>
      <w:sz w:val="24"/>
    </w:rPr>
  </w:style>
  <w:style w:type="paragraph" w:customStyle="1" w:styleId="173">
    <w:name w:val="正文列项_字母"/>
    <w:basedOn w:val="1"/>
    <w:autoRedefine/>
    <w:qFormat/>
    <w:uiPriority w:val="0"/>
    <w:pPr>
      <w:autoSpaceDE w:val="0"/>
      <w:autoSpaceDN w:val="0"/>
      <w:spacing w:line="460" w:lineRule="exact"/>
      <w:ind w:left="480" w:leftChars="300" w:hanging="180" w:hangingChars="180"/>
      <w:outlineLvl w:val="6"/>
    </w:pPr>
    <w:rPr>
      <w:rFonts w:ascii="宋体"/>
      <w:kern w:val="0"/>
      <w:sz w:val="28"/>
      <w:szCs w:val="20"/>
    </w:rPr>
  </w:style>
  <w:style w:type="paragraph" w:customStyle="1" w:styleId="174">
    <w:name w:val="xl2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color w:val="000000"/>
      <w:kern w:val="0"/>
      <w:sz w:val="20"/>
      <w:szCs w:val="20"/>
    </w:rPr>
  </w:style>
  <w:style w:type="paragraph" w:customStyle="1" w:styleId="175">
    <w:name w:val="xl47"/>
    <w:basedOn w:val="1"/>
    <w:autoRedefine/>
    <w:qFormat/>
    <w:uiPriority w:val="0"/>
    <w:pPr>
      <w:widowControl/>
      <w:pBdr>
        <w:top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76">
    <w:name w:val="默认段落字体 Para Char Char Char Char"/>
    <w:basedOn w:val="1"/>
    <w:autoRedefine/>
    <w:qFormat/>
    <w:uiPriority w:val="0"/>
    <w:rPr>
      <w:rFonts w:ascii="Arial" w:hAnsi="Arial" w:cs="Arial"/>
      <w:szCs w:val="21"/>
    </w:rPr>
  </w:style>
  <w:style w:type="paragraph" w:customStyle="1" w:styleId="177">
    <w:name w:val="xl48"/>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22"/>
      <w:szCs w:val="22"/>
    </w:rPr>
  </w:style>
  <w:style w:type="paragraph" w:customStyle="1" w:styleId="178">
    <w:name w:val="xl3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eastAsia="Arial Unicode MS"/>
      <w:color w:val="000000"/>
      <w:kern w:val="0"/>
      <w:sz w:val="20"/>
      <w:szCs w:val="20"/>
    </w:rPr>
  </w:style>
  <w:style w:type="paragraph" w:customStyle="1" w:styleId="179">
    <w:name w:val="xl53"/>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top"/>
    </w:pPr>
    <w:rPr>
      <w:rFonts w:ascii="Arial Unicode MS" w:hAnsi="Arial Unicode MS" w:eastAsia="Arial Unicode MS" w:cs="Arial Unicode MS"/>
      <w:b/>
      <w:bCs/>
      <w:color w:val="000000"/>
      <w:kern w:val="0"/>
      <w:sz w:val="20"/>
      <w:szCs w:val="20"/>
    </w:rPr>
  </w:style>
  <w:style w:type="paragraph" w:customStyle="1" w:styleId="180">
    <w:name w:val="Char Char Char"/>
    <w:basedOn w:val="1"/>
    <w:autoRedefine/>
    <w:qFormat/>
    <w:uiPriority w:val="0"/>
    <w:rPr>
      <w:rFonts w:ascii="Tahoma" w:hAnsi="Tahoma"/>
      <w:sz w:val="24"/>
      <w:szCs w:val="20"/>
    </w:rPr>
  </w:style>
  <w:style w:type="paragraph" w:customStyle="1" w:styleId="181">
    <w:name w:val="xl50"/>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Arial Unicode MS" w:hAnsi="Arial Unicode MS" w:eastAsia="Arial Unicode MS" w:cs="Arial Unicode MS"/>
      <w:b/>
      <w:bCs/>
      <w:color w:val="000000"/>
      <w:kern w:val="0"/>
      <w:sz w:val="32"/>
      <w:szCs w:val="32"/>
    </w:rPr>
  </w:style>
  <w:style w:type="paragraph" w:customStyle="1" w:styleId="182">
    <w:name w:val="缺省文本"/>
    <w:basedOn w:val="1"/>
    <w:autoRedefine/>
    <w:qFormat/>
    <w:uiPriority w:val="0"/>
    <w:pPr>
      <w:autoSpaceDE w:val="0"/>
      <w:autoSpaceDN w:val="0"/>
      <w:adjustRightInd w:val="0"/>
      <w:jc w:val="left"/>
    </w:pPr>
    <w:rPr>
      <w:kern w:val="0"/>
      <w:sz w:val="24"/>
    </w:rPr>
  </w:style>
  <w:style w:type="paragraph" w:customStyle="1" w:styleId="183">
    <w:name w:val="Char Char Char1"/>
    <w:basedOn w:val="1"/>
    <w:autoRedefine/>
    <w:qFormat/>
    <w:uiPriority w:val="0"/>
    <w:rPr>
      <w:rFonts w:ascii="Tahoma" w:hAnsi="Tahoma"/>
      <w:sz w:val="24"/>
      <w:szCs w:val="20"/>
    </w:rPr>
  </w:style>
  <w:style w:type="paragraph" w:customStyle="1" w:styleId="184">
    <w:name w:val="Char Char Char Char Char Char Char1"/>
    <w:basedOn w:val="1"/>
    <w:autoRedefine/>
    <w:qFormat/>
    <w:uiPriority w:val="0"/>
    <w:pPr>
      <w:snapToGrid w:val="0"/>
      <w:spacing w:line="360" w:lineRule="auto"/>
      <w:ind w:firstLine="200" w:firstLineChars="200"/>
    </w:pPr>
    <w:rPr>
      <w:rFonts w:eastAsia="仿宋_GB2312"/>
      <w:sz w:val="24"/>
    </w:rPr>
  </w:style>
  <w:style w:type="paragraph" w:customStyle="1" w:styleId="185">
    <w:name w:val="xl51"/>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textAlignment w:val="top"/>
    </w:pPr>
    <w:rPr>
      <w:rFonts w:ascii="Arial Unicode MS" w:hAnsi="Arial Unicode MS" w:eastAsia="Arial Unicode MS" w:cs="Arial Unicode MS"/>
      <w:b/>
      <w:bCs/>
      <w:color w:val="000000"/>
      <w:kern w:val="0"/>
      <w:sz w:val="20"/>
      <w:szCs w:val="20"/>
    </w:rPr>
  </w:style>
  <w:style w:type="paragraph" w:customStyle="1" w:styleId="186">
    <w:name w:val="样式2"/>
    <w:basedOn w:val="48"/>
    <w:autoRedefine/>
    <w:qFormat/>
    <w:uiPriority w:val="0"/>
    <w:pPr>
      <w:spacing w:line="360" w:lineRule="auto"/>
      <w:jc w:val="center"/>
    </w:pPr>
    <w:rPr>
      <w:sz w:val="24"/>
    </w:rPr>
  </w:style>
  <w:style w:type="paragraph" w:customStyle="1" w:styleId="187">
    <w:name w:val="xl24"/>
    <w:basedOn w:val="1"/>
    <w:autoRedefine/>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Arial Unicode MS" w:hAnsi="Arial Unicode MS" w:eastAsia="Arial Unicode MS" w:cs="Arial Unicode MS"/>
      <w:b/>
      <w:bCs/>
      <w:color w:val="000000"/>
      <w:kern w:val="0"/>
      <w:sz w:val="20"/>
      <w:szCs w:val="20"/>
    </w:rPr>
  </w:style>
  <w:style w:type="paragraph" w:customStyle="1" w:styleId="188">
    <w:name w:val="xl29"/>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0"/>
      <w:szCs w:val="20"/>
    </w:rPr>
  </w:style>
  <w:style w:type="paragraph" w:customStyle="1" w:styleId="189">
    <w:name w:val="正文 + 楷体_GB2312"/>
    <w:basedOn w:val="1"/>
    <w:autoRedefine/>
    <w:qFormat/>
    <w:uiPriority w:val="0"/>
    <w:pPr>
      <w:widowControl/>
      <w:jc w:val="left"/>
    </w:pPr>
    <w:rPr>
      <w:rFonts w:ascii="楷体_GB2312" w:eastAsia="楷体_GB2312" w:cs="Arial"/>
      <w:kern w:val="0"/>
      <w:sz w:val="24"/>
    </w:rPr>
  </w:style>
  <w:style w:type="paragraph" w:customStyle="1" w:styleId="190">
    <w:name w:val="xl34"/>
    <w:basedOn w:val="1"/>
    <w:autoRedefine/>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color w:val="FF6600"/>
      <w:kern w:val="0"/>
      <w:sz w:val="20"/>
      <w:szCs w:val="20"/>
    </w:rPr>
  </w:style>
  <w:style w:type="paragraph" w:customStyle="1" w:styleId="191">
    <w:name w:val="1 Char Char Char Char"/>
    <w:basedOn w:val="1"/>
    <w:autoRedefine/>
    <w:qFormat/>
    <w:uiPriority w:val="0"/>
    <w:rPr>
      <w:rFonts w:ascii="Tahoma" w:hAnsi="Tahoma"/>
      <w:sz w:val="24"/>
      <w:szCs w:val="20"/>
    </w:rPr>
  </w:style>
  <w:style w:type="paragraph" w:customStyle="1" w:styleId="192">
    <w:name w:val="列出段落11"/>
    <w:basedOn w:val="1"/>
    <w:autoRedefine/>
    <w:qFormat/>
    <w:uiPriority w:val="0"/>
    <w:pPr>
      <w:ind w:firstLine="420" w:firstLineChars="200"/>
    </w:pPr>
    <w:rPr>
      <w:rFonts w:ascii="Calibri" w:hAnsi="Calibri"/>
      <w:szCs w:val="22"/>
    </w:rPr>
  </w:style>
  <w:style w:type="paragraph" w:customStyle="1" w:styleId="193">
    <w:name w:val="default"/>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194">
    <w:name w:val="字元 字元1"/>
    <w:basedOn w:val="1"/>
    <w:autoRedefine/>
    <w:qFormat/>
    <w:uiPriority w:val="0"/>
    <w:rPr>
      <w:rFonts w:ascii="Tahoma" w:hAnsi="Tahoma"/>
      <w:sz w:val="24"/>
      <w:szCs w:val="20"/>
    </w:rPr>
  </w:style>
  <w:style w:type="paragraph" w:customStyle="1" w:styleId="195">
    <w:name w:val="_Style 160"/>
    <w:autoRedefine/>
    <w:qFormat/>
    <w:uiPriority w:val="0"/>
    <w:rPr>
      <w:rFonts w:ascii="Times New Roman" w:hAnsi="Times New Roman" w:eastAsia="宋体" w:cs="Times New Roman"/>
      <w:kern w:val="2"/>
      <w:sz w:val="21"/>
      <w:szCs w:val="24"/>
      <w:lang w:val="en-US" w:eastAsia="zh-CN" w:bidi="ar-SA"/>
    </w:rPr>
  </w:style>
  <w:style w:type="paragraph" w:customStyle="1" w:styleId="196">
    <w:name w:val="项目编号3"/>
    <w:basedOn w:val="157"/>
    <w:autoRedefine/>
    <w:qFormat/>
    <w:uiPriority w:val="0"/>
    <w:pPr>
      <w:ind w:left="902" w:hanging="420"/>
    </w:pPr>
  </w:style>
  <w:style w:type="paragraph" w:customStyle="1" w:styleId="197">
    <w:name w:val="Char21"/>
    <w:basedOn w:val="1"/>
    <w:autoRedefine/>
    <w:qFormat/>
    <w:uiPriority w:val="0"/>
    <w:rPr>
      <w:rFonts w:ascii="Tahoma" w:hAnsi="Tahoma"/>
      <w:sz w:val="24"/>
      <w:szCs w:val="20"/>
    </w:rPr>
  </w:style>
  <w:style w:type="paragraph" w:customStyle="1" w:styleId="198">
    <w:name w:val="表格文字"/>
    <w:basedOn w:val="23"/>
    <w:autoRedefine/>
    <w:qFormat/>
    <w:uiPriority w:val="99"/>
    <w:pPr>
      <w:spacing w:before="20" w:after="20" w:line="240" w:lineRule="auto"/>
      <w:ind w:firstLine="0"/>
    </w:pPr>
    <w:rPr>
      <w:rFonts w:ascii="Century Gothic" w:hAnsi="Century Gothic"/>
      <w:sz w:val="20"/>
      <w:szCs w:val="20"/>
    </w:rPr>
  </w:style>
  <w:style w:type="paragraph" w:customStyle="1" w:styleId="199">
    <w:name w:val="Char Char Char Char Char Char Char Char Char Char1"/>
    <w:basedOn w:val="1"/>
    <w:autoRedefine/>
    <w:qFormat/>
    <w:uiPriority w:val="0"/>
    <w:rPr>
      <w:rFonts w:ascii="宋体" w:hAnsi="宋体" w:cs="Courier New"/>
      <w:sz w:val="32"/>
      <w:szCs w:val="32"/>
    </w:rPr>
  </w:style>
  <w:style w:type="paragraph" w:customStyle="1" w:styleId="200">
    <w:name w:val="正文文本样式 加粗"/>
    <w:basedOn w:val="157"/>
    <w:autoRedefine/>
    <w:qFormat/>
    <w:uiPriority w:val="0"/>
    <w:rPr>
      <w:b/>
    </w:rPr>
  </w:style>
  <w:style w:type="paragraph" w:customStyle="1" w:styleId="201">
    <w:name w:val="Char2 Char Char Char Char Char Char"/>
    <w:basedOn w:val="1"/>
    <w:autoRedefine/>
    <w:qFormat/>
    <w:uiPriority w:val="0"/>
    <w:pPr>
      <w:widowControl/>
      <w:spacing w:line="400" w:lineRule="exact"/>
      <w:jc w:val="center"/>
    </w:pPr>
  </w:style>
  <w:style w:type="paragraph" w:customStyle="1" w:styleId="202">
    <w:name w:val="Char Char4"/>
    <w:basedOn w:val="1"/>
    <w:autoRedefine/>
    <w:qFormat/>
    <w:uiPriority w:val="0"/>
    <w:pPr>
      <w:widowControl/>
      <w:spacing w:line="400" w:lineRule="exact"/>
      <w:jc w:val="center"/>
    </w:pPr>
  </w:style>
  <w:style w:type="paragraph" w:customStyle="1" w:styleId="203">
    <w:name w:val="Char3 Char Char Char1"/>
    <w:basedOn w:val="1"/>
    <w:autoRedefine/>
    <w:qFormat/>
    <w:uiPriority w:val="0"/>
    <w:rPr>
      <w:rFonts w:ascii="Tahoma" w:hAnsi="Tahoma"/>
      <w:sz w:val="24"/>
      <w:szCs w:val="20"/>
    </w:rPr>
  </w:style>
  <w:style w:type="paragraph" w:customStyle="1" w:styleId="204">
    <w:name w:val="无间隔1"/>
    <w:link w:val="268"/>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205">
    <w:name w:val="22222222222222"/>
    <w:basedOn w:val="1"/>
    <w:autoRedefine/>
    <w:qFormat/>
    <w:uiPriority w:val="0"/>
    <w:pPr>
      <w:widowControl/>
      <w:adjustRightInd w:val="0"/>
      <w:spacing w:line="360" w:lineRule="auto"/>
      <w:ind w:firstLine="480" w:firstLineChars="200"/>
      <w:jc w:val="left"/>
    </w:pPr>
    <w:rPr>
      <w:color w:val="FF0000"/>
      <w:kern w:val="0"/>
      <w:sz w:val="24"/>
      <w:szCs w:val="20"/>
    </w:rPr>
  </w:style>
  <w:style w:type="character" w:customStyle="1" w:styleId="206">
    <w:name w:val="中等深浅网格 1 - 强调文字颜色 2 Char"/>
    <w:link w:val="207"/>
    <w:autoRedefine/>
    <w:qFormat/>
    <w:uiPriority w:val="0"/>
    <w:rPr>
      <w:kern w:val="2"/>
      <w:sz w:val="21"/>
      <w:szCs w:val="24"/>
      <w:lang w:val="zh-CN" w:eastAsia="zh-CN"/>
    </w:rPr>
  </w:style>
  <w:style w:type="paragraph" w:customStyle="1" w:styleId="207">
    <w:name w:val="1"/>
    <w:link w:val="206"/>
    <w:autoRedefine/>
    <w:qFormat/>
    <w:uiPriority w:val="99"/>
    <w:rPr>
      <w:rFonts w:ascii="Times New Roman" w:hAnsi="Times New Roman" w:eastAsia="宋体" w:cs="Times New Roman"/>
      <w:kern w:val="2"/>
      <w:sz w:val="21"/>
      <w:szCs w:val="24"/>
      <w:lang w:val="zh-CN" w:eastAsia="zh-CN" w:bidi="ar-SA"/>
    </w:rPr>
  </w:style>
  <w:style w:type="paragraph" w:customStyle="1" w:styleId="208">
    <w:name w:val="图文"/>
    <w:basedOn w:val="1"/>
    <w:autoRedefine/>
    <w:qFormat/>
    <w:uiPriority w:val="0"/>
    <w:pPr>
      <w:adjustRightInd w:val="0"/>
      <w:snapToGrid w:val="0"/>
      <w:spacing w:after="50" w:line="360" w:lineRule="auto"/>
    </w:pPr>
    <w:rPr>
      <w:sz w:val="24"/>
    </w:rPr>
  </w:style>
  <w:style w:type="paragraph" w:customStyle="1" w:styleId="209">
    <w:name w:val="xl23"/>
    <w:basedOn w:val="1"/>
    <w:autoRedefine/>
    <w:qFormat/>
    <w:uiPriority w:val="0"/>
    <w:pPr>
      <w:widowControl/>
      <w:spacing w:before="100" w:beforeAutospacing="1" w:after="100" w:afterAutospacing="1" w:line="360" w:lineRule="auto"/>
      <w:textAlignment w:val="top"/>
    </w:pPr>
    <w:rPr>
      <w:kern w:val="0"/>
      <w:sz w:val="24"/>
      <w:szCs w:val="20"/>
    </w:rPr>
  </w:style>
  <w:style w:type="paragraph" w:customStyle="1" w:styleId="210">
    <w:name w:val="正文表格"/>
    <w:basedOn w:val="1"/>
    <w:link w:val="211"/>
    <w:autoRedefine/>
    <w:qFormat/>
    <w:uiPriority w:val="0"/>
    <w:pPr>
      <w:adjustRightInd w:val="0"/>
      <w:snapToGrid w:val="0"/>
      <w:jc w:val="left"/>
    </w:pPr>
    <w:rPr>
      <w:rFonts w:ascii="宋体" w:hAnsi="宋体"/>
      <w:color w:val="000000"/>
      <w:szCs w:val="21"/>
    </w:rPr>
  </w:style>
  <w:style w:type="character" w:customStyle="1" w:styleId="211">
    <w:name w:val="正文表格 Char"/>
    <w:link w:val="210"/>
    <w:autoRedefine/>
    <w:qFormat/>
    <w:uiPriority w:val="0"/>
    <w:rPr>
      <w:rFonts w:ascii="宋体" w:hAnsi="宋体"/>
      <w:color w:val="000000"/>
      <w:kern w:val="2"/>
      <w:sz w:val="21"/>
      <w:szCs w:val="21"/>
    </w:rPr>
  </w:style>
  <w:style w:type="paragraph" w:customStyle="1" w:styleId="212">
    <w:name w:val="正文重点"/>
    <w:basedOn w:val="1"/>
    <w:link w:val="213"/>
    <w:autoRedefine/>
    <w:qFormat/>
    <w:uiPriority w:val="0"/>
    <w:pPr>
      <w:adjustRightInd w:val="0"/>
      <w:spacing w:line="360" w:lineRule="auto"/>
      <w:ind w:firstLine="482" w:firstLineChars="200"/>
      <w:jc w:val="left"/>
      <w:textAlignment w:val="baseline"/>
    </w:pPr>
    <w:rPr>
      <w:b/>
      <w:kern w:val="0"/>
      <w:sz w:val="24"/>
      <w:szCs w:val="20"/>
    </w:rPr>
  </w:style>
  <w:style w:type="character" w:customStyle="1" w:styleId="213">
    <w:name w:val="正文重点 Char"/>
    <w:link w:val="212"/>
    <w:autoRedefine/>
    <w:qFormat/>
    <w:uiPriority w:val="0"/>
    <w:rPr>
      <w:b/>
      <w:sz w:val="24"/>
    </w:rPr>
  </w:style>
  <w:style w:type="paragraph" w:customStyle="1" w:styleId="214">
    <w:name w:val="标题1-附件"/>
    <w:basedOn w:val="2"/>
    <w:autoRedefine/>
    <w:qFormat/>
    <w:uiPriority w:val="0"/>
    <w:pPr>
      <w:jc w:val="left"/>
    </w:pPr>
    <w:rPr>
      <w:sz w:val="24"/>
      <w:szCs w:val="24"/>
    </w:rPr>
  </w:style>
  <w:style w:type="paragraph" w:customStyle="1" w:styleId="215">
    <w:name w:val="正文小标题"/>
    <w:basedOn w:val="1"/>
    <w:next w:val="14"/>
    <w:link w:val="216"/>
    <w:autoRedefine/>
    <w:qFormat/>
    <w:uiPriority w:val="0"/>
    <w:pPr>
      <w:adjustRightInd w:val="0"/>
      <w:snapToGrid w:val="0"/>
      <w:spacing w:before="312" w:beforeLines="100" w:after="312" w:afterLines="100"/>
      <w:ind w:firstLine="482"/>
      <w:jc w:val="left"/>
    </w:pPr>
    <w:rPr>
      <w:rFonts w:ascii="宋体" w:hAnsi="宋体"/>
      <w:b/>
      <w:i/>
      <w:color w:val="FF0000"/>
      <w:sz w:val="24"/>
      <w:szCs w:val="20"/>
    </w:rPr>
  </w:style>
  <w:style w:type="character" w:customStyle="1" w:styleId="216">
    <w:name w:val="正文小标题 Char"/>
    <w:link w:val="215"/>
    <w:autoRedefine/>
    <w:qFormat/>
    <w:uiPriority w:val="0"/>
    <w:rPr>
      <w:rFonts w:ascii="宋体" w:hAnsi="宋体"/>
      <w:b/>
      <w:i/>
      <w:color w:val="FF0000"/>
      <w:kern w:val="2"/>
      <w:sz w:val="24"/>
    </w:rPr>
  </w:style>
  <w:style w:type="paragraph" w:customStyle="1" w:styleId="217">
    <w:name w:val="正文大标题"/>
    <w:basedOn w:val="215"/>
    <w:next w:val="14"/>
    <w:link w:val="218"/>
    <w:autoRedefine/>
    <w:qFormat/>
    <w:uiPriority w:val="0"/>
    <w:pPr>
      <w:jc w:val="center"/>
    </w:pPr>
    <w:rPr>
      <w:i w:val="0"/>
      <w:color w:val="000000"/>
      <w:sz w:val="28"/>
      <w:szCs w:val="21"/>
    </w:rPr>
  </w:style>
  <w:style w:type="character" w:customStyle="1" w:styleId="218">
    <w:name w:val="正文大标题 Char"/>
    <w:link w:val="217"/>
    <w:autoRedefine/>
    <w:qFormat/>
    <w:uiPriority w:val="0"/>
    <w:rPr>
      <w:rFonts w:ascii="宋体" w:hAnsi="宋体"/>
      <w:b/>
      <w:color w:val="000000"/>
      <w:kern w:val="2"/>
      <w:sz w:val="28"/>
      <w:szCs w:val="21"/>
    </w:rPr>
  </w:style>
  <w:style w:type="paragraph" w:customStyle="1" w:styleId="219">
    <w:name w:val="注释"/>
    <w:basedOn w:val="1"/>
    <w:link w:val="220"/>
    <w:autoRedefine/>
    <w:qFormat/>
    <w:uiPriority w:val="0"/>
    <w:pPr>
      <w:adjustRightInd w:val="0"/>
      <w:snapToGrid w:val="0"/>
      <w:ind w:left="420" w:hanging="420" w:hangingChars="200"/>
      <w:jc w:val="left"/>
    </w:pPr>
    <w:rPr>
      <w:rFonts w:ascii="宋体" w:hAnsi="宋体"/>
      <w:szCs w:val="21"/>
    </w:rPr>
  </w:style>
  <w:style w:type="character" w:customStyle="1" w:styleId="220">
    <w:name w:val="注释 Char"/>
    <w:link w:val="219"/>
    <w:autoRedefine/>
    <w:qFormat/>
    <w:uiPriority w:val="0"/>
    <w:rPr>
      <w:rFonts w:ascii="宋体" w:hAnsi="宋体"/>
      <w:kern w:val="2"/>
      <w:sz w:val="21"/>
      <w:szCs w:val="21"/>
    </w:rPr>
  </w:style>
  <w:style w:type="paragraph" w:customStyle="1" w:styleId="221">
    <w:name w:val="正文须知-1级"/>
    <w:basedOn w:val="1"/>
    <w:next w:val="1"/>
    <w:autoRedefine/>
    <w:qFormat/>
    <w:uiPriority w:val="0"/>
    <w:pPr>
      <w:adjustRightInd w:val="0"/>
      <w:snapToGrid w:val="0"/>
      <w:spacing w:line="300" w:lineRule="auto"/>
      <w:ind w:left="680" w:hanging="680"/>
    </w:pPr>
    <w:rPr>
      <w:rFonts w:ascii="宋体" w:hAnsi="Calibri"/>
      <w:sz w:val="24"/>
      <w:szCs w:val="21"/>
    </w:rPr>
  </w:style>
  <w:style w:type="paragraph" w:customStyle="1" w:styleId="222">
    <w:name w:val="正文须知-2级"/>
    <w:basedOn w:val="1"/>
    <w:autoRedefine/>
    <w:qFormat/>
    <w:uiPriority w:val="0"/>
    <w:pPr>
      <w:adjustRightInd w:val="0"/>
      <w:snapToGrid w:val="0"/>
      <w:spacing w:line="300" w:lineRule="auto"/>
      <w:ind w:left="851" w:hanging="851"/>
    </w:pPr>
    <w:rPr>
      <w:rFonts w:ascii="宋体" w:hAnsi="Calibri"/>
      <w:sz w:val="24"/>
      <w:szCs w:val="21"/>
    </w:rPr>
  </w:style>
  <w:style w:type="paragraph" w:customStyle="1" w:styleId="223">
    <w:name w:val="正文须知-3级"/>
    <w:basedOn w:val="1"/>
    <w:autoRedefine/>
    <w:qFormat/>
    <w:uiPriority w:val="0"/>
    <w:pPr>
      <w:adjustRightInd w:val="0"/>
      <w:snapToGrid w:val="0"/>
      <w:spacing w:line="300" w:lineRule="auto"/>
      <w:ind w:left="851" w:hanging="355" w:hangingChars="355"/>
    </w:pPr>
    <w:rPr>
      <w:rFonts w:ascii="宋体" w:hAnsi="Calibri"/>
      <w:sz w:val="24"/>
      <w:szCs w:val="21"/>
    </w:rPr>
  </w:style>
  <w:style w:type="character" w:customStyle="1" w:styleId="224">
    <w:name w:val="纯文本 字符"/>
    <w:autoRedefine/>
    <w:qFormat/>
    <w:uiPriority w:val="99"/>
    <w:rPr>
      <w:rFonts w:ascii="宋体" w:hAnsi="Courier New" w:eastAsia="宋体" w:cs="Times New Roman"/>
      <w:kern w:val="2"/>
      <w:sz w:val="21"/>
      <w:szCs w:val="21"/>
      <w:lang w:val="en-US" w:eastAsia="zh-CN" w:bidi="ar-SA"/>
    </w:rPr>
  </w:style>
  <w:style w:type="paragraph" w:customStyle="1" w:styleId="225">
    <w:name w:val="表格1"/>
    <w:basedOn w:val="1"/>
    <w:autoRedefine/>
    <w:qFormat/>
    <w:uiPriority w:val="0"/>
    <w:pPr>
      <w:ind w:firstLine="480" w:firstLineChars="200"/>
      <w:jc w:val="center"/>
    </w:pPr>
    <w:rPr>
      <w:sz w:val="24"/>
      <w:szCs w:val="20"/>
    </w:rPr>
  </w:style>
  <w:style w:type="character" w:customStyle="1" w:styleId="226">
    <w:name w:val="纯文本 字符1"/>
    <w:autoRedefine/>
    <w:qFormat/>
    <w:uiPriority w:val="99"/>
    <w:rPr>
      <w:rFonts w:ascii="宋体" w:hAnsi="Courier New"/>
    </w:rPr>
  </w:style>
  <w:style w:type="character" w:customStyle="1" w:styleId="227">
    <w:name w:val="bjh-p"/>
    <w:autoRedefine/>
    <w:qFormat/>
    <w:uiPriority w:val="0"/>
  </w:style>
  <w:style w:type="paragraph" w:customStyle="1" w:styleId="228">
    <w:name w:val="无标题条"/>
    <w:next w:val="1"/>
    <w:autoRedefine/>
    <w:qFormat/>
    <w:uiPriority w:val="0"/>
    <w:pPr>
      <w:jc w:val="both"/>
    </w:pPr>
    <w:rPr>
      <w:rFonts w:ascii="Times New Roman" w:hAnsi="Times New Roman" w:eastAsia="宋体" w:cs="Times New Roman"/>
      <w:sz w:val="21"/>
      <w:lang w:val="en-US" w:eastAsia="zh-CN" w:bidi="ar-SA"/>
    </w:rPr>
  </w:style>
  <w:style w:type="character" w:customStyle="1" w:styleId="229">
    <w:name w:val="正文格式 Char"/>
    <w:link w:val="230"/>
    <w:autoRedefine/>
    <w:qFormat/>
    <w:locked/>
    <w:uiPriority w:val="0"/>
    <w:rPr>
      <w:rFonts w:ascii="宋体" w:hAnsi="宋体"/>
      <w:sz w:val="24"/>
      <w:szCs w:val="24"/>
      <w:lang w:val="en-GB"/>
    </w:rPr>
  </w:style>
  <w:style w:type="paragraph" w:customStyle="1" w:styleId="230">
    <w:name w:val="正文格式"/>
    <w:basedOn w:val="1"/>
    <w:link w:val="229"/>
    <w:autoRedefine/>
    <w:qFormat/>
    <w:uiPriority w:val="0"/>
    <w:pPr>
      <w:spacing w:beforeLines="50" w:line="360" w:lineRule="auto"/>
      <w:ind w:firstLine="480" w:firstLineChars="200"/>
    </w:pPr>
    <w:rPr>
      <w:rFonts w:ascii="宋体" w:hAnsi="宋体"/>
      <w:kern w:val="0"/>
      <w:sz w:val="24"/>
      <w:lang w:val="en-GB"/>
    </w:rPr>
  </w:style>
  <w:style w:type="character" w:customStyle="1" w:styleId="231">
    <w:name w:val="标题 3 Char"/>
    <w:autoRedefine/>
    <w:qFormat/>
    <w:uiPriority w:val="0"/>
    <w:rPr>
      <w:rFonts w:ascii="宋体" w:eastAsia="宋体"/>
      <w:b/>
      <w:sz w:val="24"/>
      <w:u w:val="single"/>
      <w:lang w:val="en-US" w:eastAsia="zh-CN" w:bidi="ar-SA"/>
    </w:rPr>
  </w:style>
  <w:style w:type="character" w:customStyle="1" w:styleId="232">
    <w:name w:val="正文缩进 Char"/>
    <w:autoRedefine/>
    <w:qFormat/>
    <w:uiPriority w:val="0"/>
    <w:rPr>
      <w:rFonts w:ascii="宋体" w:eastAsia="宋体"/>
      <w:kern w:val="2"/>
      <w:sz w:val="24"/>
      <w:szCs w:val="24"/>
      <w:lang w:val="en-US" w:eastAsia="zh-CN" w:bidi="ar-SA"/>
    </w:rPr>
  </w:style>
  <w:style w:type="character" w:customStyle="1" w:styleId="233">
    <w:name w:val="Char Char111"/>
    <w:autoRedefine/>
    <w:qFormat/>
    <w:uiPriority w:val="99"/>
    <w:rPr>
      <w:rFonts w:ascii="宋体" w:eastAsia="宋体"/>
      <w:b/>
      <w:sz w:val="24"/>
      <w:u w:val="single"/>
      <w:lang w:val="en-US" w:eastAsia="zh-CN" w:bidi="ar-SA"/>
    </w:rPr>
  </w:style>
  <w:style w:type="character" w:customStyle="1" w:styleId="234">
    <w:name w:val="正文文本缩进 Char"/>
    <w:autoRedefine/>
    <w:qFormat/>
    <w:uiPriority w:val="0"/>
    <w:rPr>
      <w:rFonts w:eastAsia="宋体"/>
      <w:kern w:val="2"/>
      <w:sz w:val="24"/>
      <w:szCs w:val="24"/>
      <w:lang w:val="en-US" w:eastAsia="zh-CN" w:bidi="ar-SA"/>
    </w:rPr>
  </w:style>
  <w:style w:type="character" w:customStyle="1" w:styleId="235">
    <w:name w:val="列出段落 Char"/>
    <w:autoRedefine/>
    <w:qFormat/>
    <w:uiPriority w:val="0"/>
    <w:rPr>
      <w:rFonts w:ascii="Calibri" w:hAnsi="Calibri" w:eastAsia="宋体"/>
      <w:kern w:val="2"/>
      <w:sz w:val="21"/>
      <w:szCs w:val="22"/>
      <w:lang w:val="en-US" w:eastAsia="zh-CN" w:bidi="ar-SA"/>
    </w:rPr>
  </w:style>
  <w:style w:type="character" w:customStyle="1" w:styleId="236">
    <w:name w:val="页眉 Char"/>
    <w:autoRedefine/>
    <w:qFormat/>
    <w:uiPriority w:val="0"/>
    <w:rPr>
      <w:rFonts w:eastAsia="宋体"/>
      <w:kern w:val="2"/>
      <w:sz w:val="18"/>
      <w:szCs w:val="18"/>
      <w:lang w:val="en-US" w:eastAsia="zh-CN" w:bidi="ar-SA"/>
    </w:rPr>
  </w:style>
  <w:style w:type="character" w:customStyle="1" w:styleId="237">
    <w:name w:val="标题 2 Char"/>
    <w:autoRedefine/>
    <w:qFormat/>
    <w:uiPriority w:val="0"/>
    <w:rPr>
      <w:rFonts w:ascii="Arial" w:hAnsi="Arial" w:eastAsia="黑体"/>
      <w:b/>
      <w:sz w:val="30"/>
      <w:lang w:val="en-US" w:eastAsia="zh-CN" w:bidi="ar-SA"/>
    </w:rPr>
  </w:style>
  <w:style w:type="paragraph" w:customStyle="1" w:styleId="238">
    <w:name w:val="字元 字元2"/>
    <w:basedOn w:val="1"/>
    <w:autoRedefine/>
    <w:qFormat/>
    <w:uiPriority w:val="0"/>
    <w:rPr>
      <w:rFonts w:ascii="Tahoma" w:hAnsi="Tahoma"/>
      <w:sz w:val="24"/>
      <w:szCs w:val="20"/>
    </w:rPr>
  </w:style>
  <w:style w:type="paragraph" w:customStyle="1" w:styleId="239">
    <w:name w:val="Char3 Char Char Char2"/>
    <w:basedOn w:val="1"/>
    <w:autoRedefine/>
    <w:qFormat/>
    <w:uiPriority w:val="0"/>
    <w:rPr>
      <w:rFonts w:ascii="Tahoma" w:hAnsi="Tahoma"/>
      <w:sz w:val="24"/>
      <w:szCs w:val="20"/>
    </w:rPr>
  </w:style>
  <w:style w:type="paragraph" w:customStyle="1" w:styleId="240">
    <w:name w:val="正文文本缩进2"/>
    <w:basedOn w:val="1"/>
    <w:autoRedefine/>
    <w:qFormat/>
    <w:uiPriority w:val="0"/>
    <w:pPr>
      <w:spacing w:line="480" w:lineRule="exact"/>
      <w:ind w:firstLine="480" w:firstLineChars="200"/>
    </w:pPr>
    <w:rPr>
      <w:rFonts w:ascii="宋体" w:hAnsi="宋体"/>
      <w:kern w:val="0"/>
      <w:sz w:val="24"/>
      <w:lang w:val="zh-CN"/>
    </w:rPr>
  </w:style>
  <w:style w:type="paragraph" w:customStyle="1" w:styleId="241">
    <w:name w:val="Char3"/>
    <w:basedOn w:val="1"/>
    <w:autoRedefine/>
    <w:qFormat/>
    <w:uiPriority w:val="0"/>
    <w:pPr>
      <w:tabs>
        <w:tab w:val="left" w:pos="360"/>
      </w:tabs>
    </w:pPr>
    <w:rPr>
      <w:sz w:val="24"/>
    </w:rPr>
  </w:style>
  <w:style w:type="paragraph" w:customStyle="1" w:styleId="242">
    <w:name w:val="Char Char Char Char Char Char Char Char Char Char Char Char Char Char Char Char1"/>
    <w:basedOn w:val="1"/>
    <w:autoRedefine/>
    <w:qFormat/>
    <w:uiPriority w:val="0"/>
    <w:pPr>
      <w:widowControl/>
      <w:spacing w:after="160" w:line="240" w:lineRule="exact"/>
      <w:jc w:val="center"/>
    </w:pPr>
    <w:rPr>
      <w:rFonts w:ascii="宋体" w:hAnsi="宋体"/>
      <w:b/>
      <w:kern w:val="0"/>
      <w:sz w:val="30"/>
      <w:szCs w:val="30"/>
      <w:lang w:eastAsia="en-US"/>
    </w:rPr>
  </w:style>
  <w:style w:type="paragraph" w:customStyle="1" w:styleId="243">
    <w:name w:val="Char Char1 Char Char Char Char Char Char1"/>
    <w:basedOn w:val="1"/>
    <w:autoRedefine/>
    <w:qFormat/>
    <w:uiPriority w:val="0"/>
    <w:pPr>
      <w:widowControl/>
      <w:spacing w:after="160" w:line="240" w:lineRule="exact"/>
      <w:jc w:val="left"/>
    </w:pPr>
    <w:rPr>
      <w:rFonts w:ascii="Verdana" w:hAnsi="Verdana" w:eastAsia="仿宋_GB2312"/>
      <w:kern w:val="0"/>
      <w:sz w:val="24"/>
      <w:szCs w:val="20"/>
      <w:lang w:eastAsia="en-US"/>
    </w:rPr>
  </w:style>
  <w:style w:type="paragraph" w:customStyle="1" w:styleId="244">
    <w:name w:val="列出段落2"/>
    <w:basedOn w:val="1"/>
    <w:autoRedefine/>
    <w:qFormat/>
    <w:uiPriority w:val="99"/>
    <w:pPr>
      <w:ind w:firstLine="420" w:firstLineChars="200"/>
    </w:pPr>
    <w:rPr>
      <w:rFonts w:ascii="Calibri" w:hAnsi="Calibri"/>
      <w:szCs w:val="22"/>
    </w:rPr>
  </w:style>
  <w:style w:type="paragraph" w:customStyle="1" w:styleId="245">
    <w:name w:val="Char Char Char1 Char2"/>
    <w:basedOn w:val="1"/>
    <w:autoRedefine/>
    <w:qFormat/>
    <w:uiPriority w:val="0"/>
    <w:rPr>
      <w:rFonts w:ascii="Tahoma" w:hAnsi="Tahoma"/>
      <w:sz w:val="24"/>
      <w:szCs w:val="20"/>
    </w:rPr>
  </w:style>
  <w:style w:type="paragraph" w:customStyle="1" w:styleId="246">
    <w:name w:val="Char Char Char2"/>
    <w:basedOn w:val="1"/>
    <w:autoRedefine/>
    <w:qFormat/>
    <w:uiPriority w:val="0"/>
    <w:rPr>
      <w:rFonts w:ascii="Tahoma" w:hAnsi="Tahoma"/>
      <w:sz w:val="24"/>
      <w:szCs w:val="20"/>
    </w:rPr>
  </w:style>
  <w:style w:type="paragraph" w:customStyle="1" w:styleId="247">
    <w:name w:val="Char Char Char Char Char Char Char2"/>
    <w:basedOn w:val="1"/>
    <w:autoRedefine/>
    <w:qFormat/>
    <w:uiPriority w:val="0"/>
    <w:pPr>
      <w:snapToGrid w:val="0"/>
      <w:spacing w:line="360" w:lineRule="auto"/>
      <w:ind w:firstLine="200" w:firstLineChars="200"/>
    </w:pPr>
    <w:rPr>
      <w:rFonts w:eastAsia="仿宋_GB2312"/>
      <w:sz w:val="24"/>
    </w:rPr>
  </w:style>
  <w:style w:type="paragraph" w:customStyle="1" w:styleId="248">
    <w:name w:val="正文缩进2"/>
    <w:basedOn w:val="1"/>
    <w:autoRedefine/>
    <w:qFormat/>
    <w:uiPriority w:val="0"/>
    <w:pPr>
      <w:widowControl/>
      <w:adjustRightInd w:val="0"/>
      <w:snapToGrid w:val="0"/>
      <w:spacing w:line="480" w:lineRule="exact"/>
      <w:ind w:firstLine="567"/>
    </w:pPr>
    <w:rPr>
      <w:rFonts w:ascii="宋体"/>
      <w:snapToGrid w:val="0"/>
      <w:color w:val="000000"/>
      <w:kern w:val="28"/>
      <w:sz w:val="28"/>
      <w:szCs w:val="20"/>
      <w:lang w:val="zh-CN"/>
    </w:rPr>
  </w:style>
  <w:style w:type="paragraph" w:customStyle="1" w:styleId="249">
    <w:name w:val="修订1"/>
    <w:autoRedefine/>
    <w:qFormat/>
    <w:uiPriority w:val="99"/>
    <w:rPr>
      <w:rFonts w:ascii="Times New Roman" w:hAnsi="Times New Roman" w:eastAsia="宋体" w:cs="Times New Roman"/>
      <w:kern w:val="2"/>
      <w:sz w:val="21"/>
      <w:szCs w:val="24"/>
      <w:lang w:val="en-US" w:eastAsia="zh-CN" w:bidi="ar-SA"/>
    </w:rPr>
  </w:style>
  <w:style w:type="paragraph" w:customStyle="1" w:styleId="250">
    <w:name w:val="Char22"/>
    <w:basedOn w:val="1"/>
    <w:autoRedefine/>
    <w:qFormat/>
    <w:uiPriority w:val="0"/>
    <w:rPr>
      <w:rFonts w:ascii="Tahoma" w:hAnsi="Tahoma"/>
      <w:sz w:val="24"/>
      <w:szCs w:val="20"/>
    </w:rPr>
  </w:style>
  <w:style w:type="paragraph" w:customStyle="1" w:styleId="251">
    <w:name w:val="Char Char Char Char Char Char Char Char Char Char2"/>
    <w:basedOn w:val="1"/>
    <w:autoRedefine/>
    <w:qFormat/>
    <w:uiPriority w:val="0"/>
    <w:rPr>
      <w:rFonts w:ascii="宋体" w:hAnsi="宋体" w:cs="Courier New"/>
      <w:sz w:val="32"/>
      <w:szCs w:val="32"/>
    </w:rPr>
  </w:style>
  <w:style w:type="paragraph" w:customStyle="1" w:styleId="252">
    <w:name w:val="Char2 Char Char Char Char Char Char1"/>
    <w:basedOn w:val="1"/>
    <w:autoRedefine/>
    <w:qFormat/>
    <w:uiPriority w:val="0"/>
    <w:pPr>
      <w:widowControl/>
      <w:spacing w:line="400" w:lineRule="exact"/>
      <w:jc w:val="center"/>
    </w:pPr>
  </w:style>
  <w:style w:type="character" w:customStyle="1" w:styleId="253">
    <w:name w:val="页脚 Char"/>
    <w:autoRedefine/>
    <w:qFormat/>
    <w:uiPriority w:val="99"/>
    <w:rPr>
      <w:rFonts w:ascii="宋体" w:eastAsia="宋体"/>
      <w:sz w:val="18"/>
      <w:lang w:val="en-US" w:eastAsia="zh-CN" w:bidi="ar-SA"/>
    </w:rPr>
  </w:style>
  <w:style w:type="paragraph" w:customStyle="1" w:styleId="254">
    <w:name w:val="Char Char41"/>
    <w:basedOn w:val="1"/>
    <w:autoRedefine/>
    <w:qFormat/>
    <w:uiPriority w:val="0"/>
    <w:pPr>
      <w:widowControl/>
      <w:spacing w:line="400" w:lineRule="exact"/>
      <w:jc w:val="center"/>
    </w:pPr>
  </w:style>
  <w:style w:type="character" w:customStyle="1" w:styleId="255">
    <w:name w:val="批注文字 Char"/>
    <w:autoRedefine/>
    <w:qFormat/>
    <w:uiPriority w:val="0"/>
    <w:rPr>
      <w:kern w:val="2"/>
      <w:sz w:val="21"/>
      <w:szCs w:val="24"/>
    </w:rPr>
  </w:style>
  <w:style w:type="character" w:customStyle="1" w:styleId="256">
    <w:name w:val="标题 Char"/>
    <w:autoRedefine/>
    <w:qFormat/>
    <w:uiPriority w:val="0"/>
    <w:rPr>
      <w:b/>
      <w:kern w:val="2"/>
      <w:sz w:val="32"/>
    </w:rPr>
  </w:style>
  <w:style w:type="paragraph" w:customStyle="1" w:styleId="257">
    <w:name w:val="图例"/>
    <w:basedOn w:val="1"/>
    <w:autoRedefine/>
    <w:qFormat/>
    <w:uiPriority w:val="0"/>
    <w:pPr>
      <w:spacing w:before="120" w:after="120" w:line="360" w:lineRule="auto"/>
      <w:jc w:val="center"/>
    </w:pPr>
    <w:rPr>
      <w:rFonts w:eastAsia="仿宋_GB2312"/>
      <w:b/>
      <w:sz w:val="24"/>
      <w:szCs w:val="20"/>
    </w:rPr>
  </w:style>
  <w:style w:type="paragraph" w:customStyle="1" w:styleId="258">
    <w:name w:val="Table Paragraph"/>
    <w:basedOn w:val="1"/>
    <w:autoRedefine/>
    <w:qFormat/>
    <w:uiPriority w:val="1"/>
    <w:pPr>
      <w:autoSpaceDE w:val="0"/>
      <w:autoSpaceDN w:val="0"/>
      <w:jc w:val="left"/>
    </w:pPr>
    <w:rPr>
      <w:rFonts w:ascii="宋体" w:hAnsi="宋体" w:cs="宋体"/>
      <w:kern w:val="0"/>
      <w:sz w:val="22"/>
      <w:szCs w:val="22"/>
      <w:lang w:eastAsia="en-US"/>
    </w:rPr>
  </w:style>
  <w:style w:type="table" w:customStyle="1" w:styleId="259">
    <w:name w:val="Table Normal"/>
    <w:autoRedefine/>
    <w:semiHidden/>
    <w:qFormat/>
    <w:uiPriority w:val="0"/>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paragraph" w:customStyle="1" w:styleId="260">
    <w:name w:val="WPSOffice手动目录 1"/>
    <w:autoRedefine/>
    <w:qFormat/>
    <w:uiPriority w:val="0"/>
    <w:rPr>
      <w:rFonts w:ascii="Times New Roman" w:hAnsi="Times New Roman" w:eastAsia="宋体" w:cs="Times New Roman"/>
      <w:lang w:val="en-US" w:eastAsia="zh-CN" w:bidi="ar-SA"/>
    </w:rPr>
  </w:style>
  <w:style w:type="paragraph" w:customStyle="1" w:styleId="261">
    <w:name w:val="目录文字"/>
    <w:basedOn w:val="1"/>
    <w:autoRedefine/>
    <w:qFormat/>
    <w:uiPriority w:val="0"/>
    <w:pPr>
      <w:widowControl/>
      <w:spacing w:line="480" w:lineRule="auto"/>
      <w:jc w:val="left"/>
    </w:pPr>
    <w:rPr>
      <w:rFonts w:ascii="宋体" w:hAnsi="宋体"/>
      <w:kern w:val="0"/>
      <w:sz w:val="24"/>
      <w:szCs w:val="20"/>
    </w:rPr>
  </w:style>
  <w:style w:type="paragraph" w:customStyle="1" w:styleId="262">
    <w:name w:val="正文文本1"/>
    <w:basedOn w:val="1"/>
    <w:autoRedefine/>
    <w:qFormat/>
    <w:uiPriority w:val="0"/>
    <w:pPr>
      <w:shd w:val="clear" w:color="auto" w:fill="FFFFFF"/>
      <w:spacing w:line="403" w:lineRule="auto"/>
    </w:pPr>
    <w:rPr>
      <w:rFonts w:ascii="宋体" w:hAnsi="宋体" w:cs="宋体"/>
      <w:lang w:val="zh-CN" w:bidi="zh-CN"/>
    </w:rPr>
  </w:style>
  <w:style w:type="paragraph" w:customStyle="1" w:styleId="263">
    <w:name w:val="正文文本 (7)"/>
    <w:basedOn w:val="1"/>
    <w:autoRedefine/>
    <w:qFormat/>
    <w:uiPriority w:val="0"/>
    <w:pPr>
      <w:shd w:val="clear" w:color="auto" w:fill="FFFFFF"/>
      <w:spacing w:after="360"/>
    </w:pPr>
    <w:rPr>
      <w:rFonts w:ascii="宋体" w:hAnsi="宋体" w:cs="宋体"/>
      <w:b/>
      <w:bCs/>
      <w:sz w:val="32"/>
      <w:szCs w:val="32"/>
      <w:lang w:val="zh-CN" w:bidi="zh-CN"/>
    </w:rPr>
  </w:style>
  <w:style w:type="paragraph" w:customStyle="1" w:styleId="264">
    <w:name w:val="其他"/>
    <w:basedOn w:val="1"/>
    <w:link w:val="629"/>
    <w:qFormat/>
    <w:uiPriority w:val="99"/>
    <w:pPr>
      <w:shd w:val="clear" w:color="auto" w:fill="FFFFFF"/>
      <w:spacing w:line="403" w:lineRule="auto"/>
    </w:pPr>
    <w:rPr>
      <w:rFonts w:ascii="宋体" w:hAnsi="宋体" w:cs="宋体"/>
      <w:lang w:val="zh-CN" w:bidi="zh-CN"/>
    </w:rPr>
  </w:style>
  <w:style w:type="paragraph" w:customStyle="1" w:styleId="265">
    <w:name w:val="正文文本 (3)"/>
    <w:basedOn w:val="1"/>
    <w:autoRedefine/>
    <w:qFormat/>
    <w:uiPriority w:val="0"/>
    <w:pPr>
      <w:shd w:val="clear" w:color="auto" w:fill="FFFFFF"/>
      <w:spacing w:after="180" w:line="466" w:lineRule="exact"/>
      <w:ind w:firstLine="540"/>
    </w:pPr>
    <w:rPr>
      <w:rFonts w:ascii="宋体" w:hAnsi="宋体" w:cs="宋体"/>
      <w:lang w:val="zh-CN" w:bidi="zh-CN"/>
    </w:rPr>
  </w:style>
  <w:style w:type="paragraph" w:customStyle="1" w:styleId="266">
    <w:name w:val="页眉或页脚 (2)"/>
    <w:basedOn w:val="1"/>
    <w:autoRedefine/>
    <w:qFormat/>
    <w:uiPriority w:val="0"/>
    <w:pPr>
      <w:shd w:val="clear" w:color="auto" w:fill="FFFFFF"/>
    </w:pPr>
    <w:rPr>
      <w:rFonts w:eastAsia="Times New Roman"/>
      <w:sz w:val="20"/>
      <w:szCs w:val="20"/>
      <w:lang w:val="zh-CN" w:bidi="zh-CN"/>
    </w:rPr>
  </w:style>
  <w:style w:type="paragraph" w:customStyle="1" w:styleId="267">
    <w:name w:val="页眉或页脚"/>
    <w:basedOn w:val="1"/>
    <w:autoRedefine/>
    <w:qFormat/>
    <w:uiPriority w:val="0"/>
    <w:pPr>
      <w:shd w:val="clear" w:color="auto" w:fill="FFFFFF"/>
    </w:pPr>
    <w:rPr>
      <w:rFonts w:ascii="宋体" w:hAnsi="宋体" w:cs="宋体"/>
      <w:sz w:val="18"/>
      <w:szCs w:val="18"/>
      <w:lang w:val="zh-CN" w:bidi="zh-CN"/>
    </w:rPr>
  </w:style>
  <w:style w:type="character" w:customStyle="1" w:styleId="268">
    <w:name w:val="无间隔 Char"/>
    <w:link w:val="204"/>
    <w:autoRedefine/>
    <w:qFormat/>
    <w:uiPriority w:val="0"/>
    <w:rPr>
      <w:kern w:val="2"/>
      <w:sz w:val="21"/>
      <w:szCs w:val="24"/>
    </w:rPr>
  </w:style>
  <w:style w:type="character" w:customStyle="1" w:styleId="269">
    <w:name w:val="样式 加粗"/>
    <w:autoRedefine/>
    <w:qFormat/>
    <w:uiPriority w:val="0"/>
    <w:rPr>
      <w:rFonts w:eastAsia="宋体"/>
      <w:b/>
      <w:bCs/>
      <w:sz w:val="28"/>
    </w:rPr>
  </w:style>
  <w:style w:type="character" w:customStyle="1" w:styleId="270">
    <w:name w:val="样式 样式 四号 行距: 固定值 20 磅 + 首行缩进:  2.57 字符1 Char Char"/>
    <w:link w:val="271"/>
    <w:autoRedefine/>
    <w:qFormat/>
    <w:uiPriority w:val="0"/>
    <w:rPr>
      <w:rFonts w:cs="宋体"/>
      <w:kern w:val="2"/>
      <w:sz w:val="24"/>
    </w:rPr>
  </w:style>
  <w:style w:type="paragraph" w:customStyle="1" w:styleId="271">
    <w:name w:val="样式 样式 四号 行距: 固定值 20 磅 + 首行缩进:  2.57 字符1"/>
    <w:basedOn w:val="1"/>
    <w:link w:val="270"/>
    <w:autoRedefine/>
    <w:qFormat/>
    <w:uiPriority w:val="0"/>
    <w:pPr>
      <w:spacing w:line="360" w:lineRule="auto"/>
    </w:pPr>
    <w:rPr>
      <w:rFonts w:cs="宋体"/>
      <w:sz w:val="24"/>
      <w:szCs w:val="20"/>
    </w:rPr>
  </w:style>
  <w:style w:type="paragraph" w:customStyle="1" w:styleId="272">
    <w:name w:val="样式 样式 样式 四号 行距: 固定值 20 磅 + 首行缩进:  2.57 字符1 + 首行缩进:  3 字符"/>
    <w:basedOn w:val="271"/>
    <w:autoRedefine/>
    <w:qFormat/>
    <w:uiPriority w:val="0"/>
    <w:pPr>
      <w:ind w:firstLine="720" w:firstLineChars="300"/>
    </w:pPr>
    <w:rPr>
      <w:sz w:val="28"/>
    </w:rPr>
  </w:style>
  <w:style w:type="paragraph" w:customStyle="1" w:styleId="273">
    <w:name w:val="样式 样式 四号 行距: 固定值 20 磅 + 首行缩进:  2.57 字符"/>
    <w:basedOn w:val="1"/>
    <w:autoRedefine/>
    <w:qFormat/>
    <w:uiPriority w:val="0"/>
    <w:pPr>
      <w:ind w:firstLine="720" w:firstLineChars="257"/>
    </w:pPr>
    <w:rPr>
      <w:rFonts w:cs="宋体"/>
      <w:spacing w:val="20"/>
      <w:sz w:val="28"/>
      <w:szCs w:val="28"/>
    </w:rPr>
  </w:style>
  <w:style w:type="paragraph" w:customStyle="1" w:styleId="274">
    <w:name w:val="样式 (中文) 仿宋_GB2312 三号2"/>
    <w:basedOn w:val="1"/>
    <w:autoRedefine/>
    <w:qFormat/>
    <w:uiPriority w:val="0"/>
    <w:pPr>
      <w:ind w:firstLine="640" w:firstLineChars="200"/>
    </w:pPr>
    <w:rPr>
      <w:rFonts w:eastAsia="儷宋 Pro" w:cs="宋体"/>
      <w:sz w:val="32"/>
      <w:szCs w:val="20"/>
    </w:rPr>
  </w:style>
  <w:style w:type="character" w:customStyle="1" w:styleId="275">
    <w:name w:val="副标题 字符"/>
    <w:basedOn w:val="56"/>
    <w:link w:val="38"/>
    <w:autoRedefine/>
    <w:qFormat/>
    <w:uiPriority w:val="0"/>
    <w:rPr>
      <w:rFonts w:ascii="Cambria" w:hAnsi="Cambria"/>
      <w:b/>
      <w:bCs/>
      <w:kern w:val="28"/>
      <w:sz w:val="32"/>
      <w:szCs w:val="32"/>
    </w:rPr>
  </w:style>
  <w:style w:type="character" w:customStyle="1" w:styleId="276">
    <w:name w:val="标题4 Char Char"/>
    <w:link w:val="277"/>
    <w:autoRedefine/>
    <w:qFormat/>
    <w:uiPriority w:val="0"/>
    <w:rPr>
      <w:rFonts w:ascii="Arial" w:hAnsi="Arial"/>
      <w:b/>
      <w:bCs/>
      <w:sz w:val="24"/>
      <w:szCs w:val="32"/>
    </w:rPr>
  </w:style>
  <w:style w:type="paragraph" w:customStyle="1" w:styleId="277">
    <w:name w:val="标题4"/>
    <w:basedOn w:val="3"/>
    <w:next w:val="26"/>
    <w:link w:val="276"/>
    <w:autoRedefine/>
    <w:qFormat/>
    <w:uiPriority w:val="0"/>
    <w:pPr>
      <w:autoSpaceDE/>
      <w:autoSpaceDN/>
      <w:adjustRightInd/>
      <w:spacing w:before="260" w:after="260" w:line="413" w:lineRule="auto"/>
      <w:jc w:val="both"/>
    </w:pPr>
    <w:rPr>
      <w:rFonts w:eastAsia="宋体"/>
      <w:bCs/>
      <w:sz w:val="24"/>
      <w:szCs w:val="32"/>
    </w:rPr>
  </w:style>
  <w:style w:type="character" w:customStyle="1" w:styleId="278">
    <w:name w:val="_Style 63"/>
    <w:autoRedefine/>
    <w:qFormat/>
    <w:uiPriority w:val="0"/>
    <w:rPr>
      <w:b/>
      <w:bCs/>
      <w:smallCaps/>
      <w:spacing w:val="5"/>
    </w:rPr>
  </w:style>
  <w:style w:type="character" w:customStyle="1" w:styleId="279">
    <w:name w:val="_Style 64"/>
    <w:autoRedefine/>
    <w:qFormat/>
    <w:uiPriority w:val="0"/>
    <w:rPr>
      <w:b/>
      <w:bCs/>
      <w:i/>
      <w:iCs/>
      <w:color w:val="4F81BD"/>
    </w:rPr>
  </w:style>
  <w:style w:type="character" w:customStyle="1" w:styleId="280">
    <w:name w:val="标题5 Char Char"/>
    <w:link w:val="281"/>
    <w:autoRedefine/>
    <w:qFormat/>
    <w:uiPriority w:val="0"/>
    <w:rPr>
      <w:rFonts w:ascii="Arial" w:hAnsi="Arial"/>
      <w:b/>
      <w:bCs/>
      <w:sz w:val="24"/>
      <w:szCs w:val="32"/>
    </w:rPr>
  </w:style>
  <w:style w:type="paragraph" w:customStyle="1" w:styleId="281">
    <w:name w:val="标题5"/>
    <w:basedOn w:val="4"/>
    <w:link w:val="280"/>
    <w:autoRedefine/>
    <w:qFormat/>
    <w:uiPriority w:val="0"/>
    <w:pPr>
      <w:autoSpaceDE/>
      <w:autoSpaceDN/>
      <w:adjustRightInd/>
      <w:spacing w:before="260" w:after="260" w:line="413" w:lineRule="auto"/>
      <w:jc w:val="both"/>
    </w:pPr>
    <w:rPr>
      <w:rFonts w:ascii="Arial" w:hAnsi="Arial"/>
      <w:bCs/>
      <w:szCs w:val="32"/>
      <w:u w:val="none"/>
    </w:rPr>
  </w:style>
  <w:style w:type="character" w:customStyle="1" w:styleId="282">
    <w:name w:val="textcontents"/>
    <w:autoRedefine/>
    <w:qFormat/>
    <w:uiPriority w:val="0"/>
    <w:rPr>
      <w:rFonts w:cs="Times New Roman"/>
    </w:rPr>
  </w:style>
  <w:style w:type="character" w:customStyle="1" w:styleId="283">
    <w:name w:val="_Style 68"/>
    <w:autoRedefine/>
    <w:qFormat/>
    <w:uiPriority w:val="0"/>
    <w:rPr>
      <w:i/>
      <w:iCs/>
      <w:color w:val="808080"/>
    </w:rPr>
  </w:style>
  <w:style w:type="character" w:customStyle="1" w:styleId="284">
    <w:name w:val="_Style 69"/>
    <w:autoRedefine/>
    <w:qFormat/>
    <w:uiPriority w:val="0"/>
    <w:rPr>
      <w:smallCaps/>
      <w:color w:val="C0504D"/>
      <w:u w:val="single"/>
    </w:rPr>
  </w:style>
  <w:style w:type="character" w:customStyle="1" w:styleId="285">
    <w:name w:val="日期 Char1"/>
    <w:autoRedefine/>
    <w:qFormat/>
    <w:uiPriority w:val="0"/>
    <w:rPr>
      <w:kern w:val="2"/>
      <w:sz w:val="21"/>
      <w:szCs w:val="22"/>
    </w:rPr>
  </w:style>
  <w:style w:type="character" w:customStyle="1" w:styleId="286">
    <w:name w:val="正文文本 Char1"/>
    <w:autoRedefine/>
    <w:qFormat/>
    <w:uiPriority w:val="0"/>
    <w:rPr>
      <w:kern w:val="2"/>
      <w:sz w:val="21"/>
      <w:szCs w:val="22"/>
    </w:rPr>
  </w:style>
  <w:style w:type="character" w:customStyle="1" w:styleId="287">
    <w:name w:val="批注主题 Char1"/>
    <w:autoRedefine/>
    <w:qFormat/>
    <w:uiPriority w:val="0"/>
    <w:rPr>
      <w:b/>
      <w:bCs/>
      <w:kern w:val="2"/>
      <w:sz w:val="21"/>
      <w:szCs w:val="22"/>
    </w:rPr>
  </w:style>
  <w:style w:type="character" w:customStyle="1" w:styleId="288">
    <w:name w:val="批注文字 Char Char"/>
    <w:autoRedefine/>
    <w:qFormat/>
    <w:uiPriority w:val="0"/>
    <w:rPr>
      <w:rFonts w:ascii="宋体" w:hAnsi="Times New Roman" w:eastAsia="宋体" w:cs="Times New Roman"/>
      <w:sz w:val="28"/>
      <w:szCs w:val="20"/>
    </w:rPr>
  </w:style>
  <w:style w:type="character" w:customStyle="1" w:styleId="289">
    <w:name w:val="引用 Char"/>
    <w:link w:val="290"/>
    <w:autoRedefine/>
    <w:qFormat/>
    <w:uiPriority w:val="0"/>
    <w:rPr>
      <w:i/>
      <w:iCs/>
      <w:color w:val="000000"/>
      <w:kern w:val="2"/>
      <w:sz w:val="21"/>
      <w:szCs w:val="22"/>
    </w:rPr>
  </w:style>
  <w:style w:type="paragraph" w:customStyle="1" w:styleId="290">
    <w:name w:val="引用1"/>
    <w:basedOn w:val="1"/>
    <w:next w:val="1"/>
    <w:link w:val="289"/>
    <w:autoRedefine/>
    <w:qFormat/>
    <w:uiPriority w:val="0"/>
    <w:rPr>
      <w:i/>
      <w:iCs/>
      <w:color w:val="000000"/>
      <w:szCs w:val="22"/>
    </w:rPr>
  </w:style>
  <w:style w:type="character" w:customStyle="1" w:styleId="291">
    <w:name w:val="文档结构图 Char1"/>
    <w:autoRedefine/>
    <w:qFormat/>
    <w:uiPriority w:val="0"/>
    <w:rPr>
      <w:rFonts w:ascii="宋体"/>
      <w:kern w:val="2"/>
      <w:sz w:val="18"/>
      <w:szCs w:val="18"/>
    </w:rPr>
  </w:style>
  <w:style w:type="character" w:customStyle="1" w:styleId="292">
    <w:name w:val="批注框文本 Char1"/>
    <w:autoRedefine/>
    <w:qFormat/>
    <w:uiPriority w:val="0"/>
    <w:rPr>
      <w:kern w:val="2"/>
      <w:sz w:val="18"/>
      <w:szCs w:val="18"/>
    </w:rPr>
  </w:style>
  <w:style w:type="character" w:customStyle="1" w:styleId="293">
    <w:name w:val="明显引用 Char"/>
    <w:link w:val="294"/>
    <w:autoRedefine/>
    <w:qFormat/>
    <w:uiPriority w:val="0"/>
    <w:rPr>
      <w:b/>
      <w:bCs/>
      <w:i/>
      <w:iCs/>
      <w:color w:val="4F81BD"/>
      <w:kern w:val="2"/>
      <w:sz w:val="21"/>
      <w:szCs w:val="22"/>
    </w:rPr>
  </w:style>
  <w:style w:type="paragraph" w:customStyle="1" w:styleId="294">
    <w:name w:val="明显引用1"/>
    <w:basedOn w:val="1"/>
    <w:next w:val="1"/>
    <w:link w:val="293"/>
    <w:autoRedefine/>
    <w:qFormat/>
    <w:uiPriority w:val="0"/>
    <w:pPr>
      <w:pBdr>
        <w:bottom w:val="single" w:color="4F81BD" w:sz="4" w:space="4"/>
      </w:pBdr>
      <w:spacing w:before="200" w:after="280"/>
      <w:ind w:left="936" w:right="936"/>
    </w:pPr>
    <w:rPr>
      <w:b/>
      <w:bCs/>
      <w:i/>
      <w:iCs/>
      <w:color w:val="4F81BD"/>
      <w:szCs w:val="22"/>
    </w:rPr>
  </w:style>
  <w:style w:type="character" w:customStyle="1" w:styleId="295">
    <w:name w:val="_Style 80"/>
    <w:autoRedefine/>
    <w:qFormat/>
    <w:uiPriority w:val="0"/>
    <w:rPr>
      <w:b/>
      <w:bCs/>
      <w:smallCaps/>
      <w:color w:val="C0504D"/>
      <w:spacing w:val="5"/>
      <w:u w:val="single"/>
    </w:rPr>
  </w:style>
  <w:style w:type="paragraph" w:customStyle="1" w:styleId="296">
    <w:name w:val="样式 标题 2 + Times New Roman 四号 非加粗 段前: 5 磅 段后: 0 磅 行距: 固定值 20..."/>
    <w:basedOn w:val="3"/>
    <w:autoRedefine/>
    <w:qFormat/>
    <w:uiPriority w:val="0"/>
    <w:pPr>
      <w:autoSpaceDE/>
      <w:autoSpaceDN/>
      <w:adjustRightInd/>
      <w:spacing w:before="100" w:line="400" w:lineRule="exact"/>
      <w:jc w:val="both"/>
    </w:pPr>
    <w:rPr>
      <w:rFonts w:ascii="Times New Roman" w:hAnsi="Times New Roman" w:cs="宋体"/>
      <w:b w:val="0"/>
      <w:sz w:val="28"/>
    </w:rPr>
  </w:style>
  <w:style w:type="paragraph" w:customStyle="1" w:styleId="297">
    <w:name w:val="列表段落1"/>
    <w:basedOn w:val="1"/>
    <w:autoRedefine/>
    <w:qFormat/>
    <w:uiPriority w:val="0"/>
    <w:pPr>
      <w:ind w:firstLine="420" w:firstLineChars="200"/>
    </w:pPr>
    <w:rPr>
      <w:rFonts w:ascii="Calibri" w:hAnsi="Calibri"/>
      <w:szCs w:val="22"/>
    </w:rPr>
  </w:style>
  <w:style w:type="paragraph" w:customStyle="1" w:styleId="298">
    <w:name w:val="_Style 83"/>
    <w:autoRedefine/>
    <w:qFormat/>
    <w:uiPriority w:val="0"/>
    <w:rPr>
      <w:rFonts w:ascii="Times New Roman" w:hAnsi="Times New Roman" w:eastAsia="宋体" w:cs="Times New Roman"/>
      <w:kern w:val="2"/>
      <w:sz w:val="21"/>
      <w:szCs w:val="24"/>
      <w:lang w:val="en-US" w:eastAsia="zh-CN" w:bidi="ar-SA"/>
    </w:rPr>
  </w:style>
  <w:style w:type="paragraph" w:customStyle="1" w:styleId="299">
    <w:name w:val="样式 标题 3 + (中文) 黑体 小四 非加粗 段前: 7.8 磅 段后: 0 磅 行距: 固定值 20 磅"/>
    <w:basedOn w:val="4"/>
    <w:autoRedefine/>
    <w:qFormat/>
    <w:uiPriority w:val="0"/>
    <w:pPr>
      <w:autoSpaceDE/>
      <w:autoSpaceDN/>
      <w:adjustRightInd/>
      <w:spacing w:before="0" w:after="0" w:line="400" w:lineRule="exact"/>
      <w:jc w:val="both"/>
    </w:pPr>
    <w:rPr>
      <w:rFonts w:ascii="Times New Roman" w:eastAsia="黑体" w:cs="宋体"/>
      <w:b w:val="0"/>
      <w:kern w:val="2"/>
      <w:u w:val="none"/>
    </w:rPr>
  </w:style>
  <w:style w:type="paragraph" w:customStyle="1" w:styleId="300">
    <w:name w:val="_Style 85"/>
    <w:basedOn w:val="2"/>
    <w:next w:val="1"/>
    <w:autoRedefine/>
    <w:qFormat/>
    <w:uiPriority w:val="0"/>
    <w:pPr>
      <w:autoSpaceDE/>
      <w:autoSpaceDN/>
      <w:adjustRightInd/>
      <w:spacing w:before="340" w:after="330" w:line="576" w:lineRule="auto"/>
      <w:jc w:val="both"/>
      <w:outlineLvl w:val="9"/>
    </w:pPr>
    <w:rPr>
      <w:rFonts w:ascii="Calibri" w:hAnsi="Calibri"/>
      <w:bCs/>
      <w:sz w:val="44"/>
      <w:szCs w:val="44"/>
    </w:rPr>
  </w:style>
  <w:style w:type="paragraph" w:customStyle="1" w:styleId="301">
    <w:name w:val="flNote"/>
    <w:basedOn w:val="1"/>
    <w:autoRedefine/>
    <w:qFormat/>
    <w:uiPriority w:val="0"/>
    <w:pPr>
      <w:adjustRightInd w:val="0"/>
      <w:spacing w:before="320" w:after="160" w:line="360" w:lineRule="atLeast"/>
      <w:jc w:val="center"/>
      <w:textAlignment w:val="baseline"/>
    </w:pPr>
    <w:rPr>
      <w:rFonts w:ascii="Arial" w:eastAsia="黑体"/>
      <w:kern w:val="0"/>
      <w:sz w:val="30"/>
      <w:szCs w:val="20"/>
    </w:rPr>
  </w:style>
  <w:style w:type="paragraph" w:customStyle="1" w:styleId="302">
    <w:name w:val="空半行"/>
    <w:basedOn w:val="1"/>
    <w:autoRedefine/>
    <w:qFormat/>
    <w:uiPriority w:val="0"/>
    <w:pPr>
      <w:adjustRightInd w:val="0"/>
      <w:spacing w:line="120" w:lineRule="exact"/>
      <w:textAlignment w:val="baseline"/>
    </w:pPr>
    <w:rPr>
      <w:rFonts w:eastAsia="仿宋_GB2312"/>
      <w:color w:val="FFFFFF"/>
      <w:kern w:val="0"/>
      <w:sz w:val="30"/>
      <w:szCs w:val="20"/>
    </w:rPr>
  </w:style>
  <w:style w:type="paragraph" w:customStyle="1" w:styleId="303">
    <w:name w:val="修订2"/>
    <w:autoRedefine/>
    <w:hidden/>
    <w:semiHidden/>
    <w:qFormat/>
    <w:uiPriority w:val="0"/>
    <w:rPr>
      <w:rFonts w:ascii="Calibri" w:hAnsi="Calibri" w:eastAsia="宋体" w:cs="Times New Roman"/>
      <w:kern w:val="2"/>
      <w:sz w:val="21"/>
      <w:szCs w:val="22"/>
      <w:lang w:val="en-US" w:eastAsia="zh-CN" w:bidi="ar-SA"/>
    </w:rPr>
  </w:style>
  <w:style w:type="paragraph" w:customStyle="1" w:styleId="304">
    <w:name w:val="修订3"/>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305">
    <w:name w:val="修订4"/>
    <w:autoRedefine/>
    <w:hidden/>
    <w:unhideWhenUsed/>
    <w:qFormat/>
    <w:uiPriority w:val="99"/>
    <w:rPr>
      <w:rFonts w:ascii="Times New Roman" w:hAnsi="Times New Roman" w:eastAsia="宋体" w:cs="Times New Roman"/>
      <w:kern w:val="2"/>
      <w:sz w:val="21"/>
      <w:szCs w:val="24"/>
      <w:lang w:val="en-US" w:eastAsia="zh-CN" w:bidi="ar-SA"/>
    </w:rPr>
  </w:style>
  <w:style w:type="paragraph" w:styleId="306">
    <w:name w:val="List Paragraph"/>
    <w:basedOn w:val="1"/>
    <w:autoRedefine/>
    <w:unhideWhenUsed/>
    <w:qFormat/>
    <w:uiPriority w:val="99"/>
    <w:pPr>
      <w:ind w:firstLine="420" w:firstLineChars="200"/>
    </w:pPr>
  </w:style>
  <w:style w:type="paragraph" w:styleId="307">
    <w:name w:val="No Spacing"/>
    <w:autoRedefine/>
    <w:qFormat/>
    <w:uiPriority w:val="1"/>
    <w:pPr>
      <w:widowControl w:val="0"/>
      <w:jc w:val="both"/>
    </w:pPr>
    <w:rPr>
      <w:rFonts w:ascii="Times New Roman" w:hAnsi="Times New Roman" w:eastAsia="宋体" w:cs="Calibri"/>
      <w:kern w:val="2"/>
      <w:sz w:val="21"/>
      <w:szCs w:val="22"/>
      <w:lang w:val="en-US" w:eastAsia="zh-CN" w:bidi="ar-SA"/>
    </w:rPr>
  </w:style>
  <w:style w:type="character" w:customStyle="1" w:styleId="308">
    <w:name w:val="样式 样式 四号 行距: 最小值 25 磅1 + 首行缩进:  2 字符 Char"/>
    <w:basedOn w:val="56"/>
    <w:link w:val="309"/>
    <w:qFormat/>
    <w:uiPriority w:val="0"/>
    <w:rPr>
      <w:rFonts w:cs="宋体"/>
      <w:spacing w:val="-2"/>
      <w:kern w:val="2"/>
      <w:sz w:val="28"/>
    </w:rPr>
  </w:style>
  <w:style w:type="paragraph" w:customStyle="1" w:styleId="309">
    <w:name w:val="样式 样式 四号 行距: 最小值 25 磅1 + 首行缩进:  2 字符"/>
    <w:basedOn w:val="1"/>
    <w:link w:val="308"/>
    <w:qFormat/>
    <w:uiPriority w:val="0"/>
    <w:pPr>
      <w:spacing w:line="500" w:lineRule="atLeast"/>
      <w:ind w:firstLine="552" w:firstLineChars="200"/>
    </w:pPr>
    <w:rPr>
      <w:rFonts w:cs="宋体"/>
      <w:spacing w:val="-2"/>
      <w:sz w:val="28"/>
      <w:szCs w:val="20"/>
    </w:rPr>
  </w:style>
  <w:style w:type="character" w:customStyle="1" w:styleId="310">
    <w:name w:val="样式 样式 样式 样式 四号 行距: 1.5 倍行距 + 首行缩进:  2 字符 + (西文) 宋体 (中文) 仿宋_GB231... Char"/>
    <w:link w:val="311"/>
    <w:qFormat/>
    <w:uiPriority w:val="0"/>
    <w:rPr>
      <w:rFonts w:cs="宋体"/>
      <w:kern w:val="2"/>
      <w:sz w:val="28"/>
      <w:lang w:val="zh-CN"/>
    </w:rPr>
  </w:style>
  <w:style w:type="paragraph" w:customStyle="1" w:styleId="311">
    <w:name w:val="样式 样式 样式 样式 四号 行距: 1.5 倍行距 + 首行缩进:  2 字符 + (西文) 宋体 (中文) 仿宋_GB231..."/>
    <w:basedOn w:val="1"/>
    <w:link w:val="310"/>
    <w:qFormat/>
    <w:uiPriority w:val="0"/>
    <w:pPr>
      <w:spacing w:line="500" w:lineRule="atLeast"/>
      <w:ind w:firstLine="562" w:firstLineChars="200"/>
    </w:pPr>
    <w:rPr>
      <w:rFonts w:cs="宋体"/>
      <w:sz w:val="28"/>
      <w:szCs w:val="20"/>
      <w:lang w:val="zh-CN"/>
    </w:rPr>
  </w:style>
  <w:style w:type="character" w:customStyle="1" w:styleId="312">
    <w:name w:val="正文文本首行缩进 字符"/>
    <w:basedOn w:val="79"/>
    <w:link w:val="51"/>
    <w:qFormat/>
    <w:uiPriority w:val="0"/>
    <w:rPr>
      <w:rFonts w:ascii="宋体" w:hAnsi="宋体"/>
      <w:kern w:val="2"/>
      <w:sz w:val="21"/>
      <w:szCs w:val="24"/>
    </w:rPr>
  </w:style>
  <w:style w:type="character" w:customStyle="1" w:styleId="313">
    <w:name w:val="样式 (符号) Times New Roman 首行缩进:  0.99 厘米 Char"/>
    <w:link w:val="314"/>
    <w:qFormat/>
    <w:uiPriority w:val="0"/>
    <w:rPr>
      <w:rFonts w:cs="宋体"/>
      <w:kern w:val="2"/>
      <w:sz w:val="28"/>
    </w:rPr>
  </w:style>
  <w:style w:type="paragraph" w:customStyle="1" w:styleId="314">
    <w:name w:val="样式 (符号) Times New Roman 首行缩进:  0.99 厘米"/>
    <w:basedOn w:val="1"/>
    <w:link w:val="313"/>
    <w:qFormat/>
    <w:uiPriority w:val="0"/>
    <w:pPr>
      <w:topLinePunct/>
      <w:spacing w:line="500" w:lineRule="atLeast"/>
      <w:ind w:firstLine="561"/>
    </w:pPr>
    <w:rPr>
      <w:rFonts w:cs="宋体"/>
      <w:sz w:val="28"/>
      <w:szCs w:val="20"/>
    </w:rPr>
  </w:style>
  <w:style w:type="character" w:customStyle="1" w:styleId="315">
    <w:name w:val="样式 样式 样式 样式 首行缩进:  2 字符 + 黑色 首行缩进:  2 字符 + 首行缩进:  2 字符 + 首行缩进:  ... Char"/>
    <w:link w:val="316"/>
    <w:qFormat/>
    <w:uiPriority w:val="0"/>
    <w:rPr>
      <w:rFonts w:cs="宋体"/>
      <w:color w:val="000000"/>
      <w:kern w:val="2"/>
      <w:sz w:val="28"/>
    </w:rPr>
  </w:style>
  <w:style w:type="paragraph" w:customStyle="1" w:styleId="316">
    <w:name w:val="样式 样式 样式 样式 首行缩进:  2 字符 + 黑色 首行缩进:  2 字符 + 首行缩进:  2 字符 + 首行缩进:  ..."/>
    <w:basedOn w:val="1"/>
    <w:link w:val="315"/>
    <w:qFormat/>
    <w:uiPriority w:val="0"/>
    <w:pPr>
      <w:spacing w:line="500" w:lineRule="atLeast"/>
      <w:ind w:firstLine="200" w:firstLineChars="200"/>
    </w:pPr>
    <w:rPr>
      <w:rFonts w:cs="宋体"/>
      <w:color w:val="000000"/>
      <w:sz w:val="28"/>
      <w:szCs w:val="20"/>
    </w:rPr>
  </w:style>
  <w:style w:type="character" w:customStyle="1" w:styleId="317">
    <w:name w:val="样式 样式 样式 样式 样式 四号 行距: 最小值 24 磅 + 首行缩进:  2 字符 + 首行缩进:  2 字符 + 黑色 ... Char"/>
    <w:link w:val="318"/>
    <w:qFormat/>
    <w:uiPriority w:val="0"/>
    <w:rPr>
      <w:rFonts w:cs="宋体"/>
      <w:color w:val="000000"/>
      <w:kern w:val="2"/>
      <w:sz w:val="28"/>
    </w:rPr>
  </w:style>
  <w:style w:type="paragraph" w:customStyle="1" w:styleId="318">
    <w:name w:val="样式 样式 样式 样式 样式 四号 行距: 最小值 24 磅 + 首行缩进:  2 字符 + 首行缩进:  2 字符 + 黑色 ..."/>
    <w:basedOn w:val="1"/>
    <w:link w:val="317"/>
    <w:qFormat/>
    <w:uiPriority w:val="0"/>
    <w:pPr>
      <w:spacing w:line="500" w:lineRule="atLeast"/>
      <w:ind w:firstLine="200" w:firstLineChars="200"/>
    </w:pPr>
    <w:rPr>
      <w:rFonts w:cs="宋体"/>
      <w:color w:val="000000"/>
      <w:sz w:val="28"/>
      <w:szCs w:val="20"/>
    </w:rPr>
  </w:style>
  <w:style w:type="character" w:customStyle="1" w:styleId="319">
    <w:name w:val="fontstyle01"/>
    <w:basedOn w:val="56"/>
    <w:qFormat/>
    <w:uiPriority w:val="0"/>
    <w:rPr>
      <w:rFonts w:hint="eastAsia" w:ascii="宋体" w:hAnsi="宋体" w:eastAsia="宋体" w:cs="宋体"/>
      <w:color w:val="000000"/>
      <w:sz w:val="24"/>
      <w:szCs w:val="24"/>
    </w:rPr>
  </w:style>
  <w:style w:type="character" w:customStyle="1" w:styleId="320">
    <w:name w:val="正文 Char"/>
    <w:qFormat/>
    <w:uiPriority w:val="0"/>
    <w:rPr>
      <w:rFonts w:eastAsia="宋体" w:cs="宋体"/>
      <w:kern w:val="2"/>
      <w:sz w:val="28"/>
      <w:lang w:val="en-US" w:eastAsia="zh-CN" w:bidi="ar-SA"/>
    </w:rPr>
  </w:style>
  <w:style w:type="character" w:customStyle="1" w:styleId="321">
    <w:name w:val="样式 四号 首行缩进:  0.99 厘米 行距: 最小值 25 磅3 Char"/>
    <w:link w:val="322"/>
    <w:qFormat/>
    <w:uiPriority w:val="0"/>
    <w:rPr>
      <w:rFonts w:cs="宋体"/>
      <w:kern w:val="2"/>
      <w:sz w:val="28"/>
    </w:rPr>
  </w:style>
  <w:style w:type="paragraph" w:customStyle="1" w:styleId="322">
    <w:name w:val="样式 四号 首行缩进:  0.99 厘米 行距: 最小值 25 磅3"/>
    <w:basedOn w:val="1"/>
    <w:link w:val="321"/>
    <w:qFormat/>
    <w:uiPriority w:val="0"/>
    <w:pPr>
      <w:spacing w:line="500" w:lineRule="atLeast"/>
      <w:ind w:firstLine="561"/>
    </w:pPr>
    <w:rPr>
      <w:rFonts w:cs="宋体"/>
      <w:sz w:val="28"/>
      <w:szCs w:val="20"/>
    </w:rPr>
  </w:style>
  <w:style w:type="character" w:customStyle="1" w:styleId="323">
    <w:name w:val="样式 样式 样式 标题 3 + 首行缩进:  2 字符 + 左侧:  -0.97 厘米 + 四号 Char"/>
    <w:link w:val="324"/>
    <w:qFormat/>
    <w:uiPriority w:val="0"/>
    <w:rPr>
      <w:rFonts w:eastAsia="黑体" w:cs="宋体"/>
      <w:color w:val="000000"/>
      <w:spacing w:val="-2"/>
      <w:sz w:val="28"/>
    </w:rPr>
  </w:style>
  <w:style w:type="paragraph" w:customStyle="1" w:styleId="324">
    <w:name w:val="样式 样式 样式 标题 3 + 首行缩进:  2 字符 + 左侧:  -0.97 厘米 + 四号"/>
    <w:basedOn w:val="1"/>
    <w:link w:val="323"/>
    <w:qFormat/>
    <w:uiPriority w:val="0"/>
    <w:pPr>
      <w:keepNext/>
      <w:keepLines/>
      <w:spacing w:before="60" w:after="60" w:line="500" w:lineRule="atLeast"/>
      <w:outlineLvl w:val="2"/>
    </w:pPr>
    <w:rPr>
      <w:rFonts w:eastAsia="黑体" w:cs="宋体"/>
      <w:color w:val="000000"/>
      <w:spacing w:val="-2"/>
      <w:kern w:val="0"/>
      <w:sz w:val="28"/>
      <w:szCs w:val="20"/>
    </w:rPr>
  </w:style>
  <w:style w:type="character" w:customStyle="1" w:styleId="325">
    <w:name w:val="样式 样式 样式 样式 标题 3 + 首行缩进:  2 字符 + 左侧:  -0.97 厘米 + 四号 + 非加宽量 / 紧缩量 Char"/>
    <w:basedOn w:val="323"/>
    <w:link w:val="326"/>
    <w:qFormat/>
    <w:uiPriority w:val="0"/>
    <w:rPr>
      <w:rFonts w:eastAsia="黑体" w:cs="宋体"/>
      <w:color w:val="000000"/>
      <w:spacing w:val="-2"/>
      <w:sz w:val="28"/>
    </w:rPr>
  </w:style>
  <w:style w:type="paragraph" w:customStyle="1" w:styleId="326">
    <w:name w:val="样式 样式 样式 样式 标题 3 + 首行缩进:  2 字符 + 左侧:  -0.97 厘米 + 四号 + 非加宽量 / 紧缩量"/>
    <w:basedOn w:val="324"/>
    <w:link w:val="325"/>
    <w:qFormat/>
    <w:uiPriority w:val="0"/>
  </w:style>
  <w:style w:type="character" w:customStyle="1" w:styleId="327">
    <w:name w:val="样式 样式 样式 样式 四号 行距: 最小值 24 磅 + 首行缩进:  2 字符 行距: 1.5 倍行距 + (符号) 宋体 ... Char"/>
    <w:link w:val="328"/>
    <w:qFormat/>
    <w:uiPriority w:val="0"/>
    <w:rPr>
      <w:rFonts w:cs="宋体"/>
      <w:color w:val="000000"/>
      <w:kern w:val="2"/>
      <w:sz w:val="28"/>
    </w:rPr>
  </w:style>
  <w:style w:type="paragraph" w:customStyle="1" w:styleId="328">
    <w:name w:val="样式 样式 样式 样式 四号 行距: 最小值 24 磅 + 首行缩进:  2 字符 行距: 1.5 倍行距 + (符号) 宋体 ..."/>
    <w:basedOn w:val="1"/>
    <w:link w:val="327"/>
    <w:qFormat/>
    <w:uiPriority w:val="0"/>
    <w:pPr>
      <w:spacing w:line="500" w:lineRule="atLeast"/>
      <w:ind w:firstLine="200" w:firstLineChars="200"/>
    </w:pPr>
    <w:rPr>
      <w:rFonts w:cs="宋体"/>
      <w:color w:val="000000"/>
      <w:sz w:val="28"/>
      <w:szCs w:val="20"/>
    </w:rPr>
  </w:style>
  <w:style w:type="character" w:customStyle="1" w:styleId="329">
    <w:name w:val="样式 标题 4标题 4 Char Char标题 4 Char Char Char四级标题H4(一)1.11。1h... Char"/>
    <w:link w:val="330"/>
    <w:qFormat/>
    <w:uiPriority w:val="0"/>
    <w:rPr>
      <w:bCs/>
      <w:kern w:val="2"/>
      <w:sz w:val="28"/>
      <w:szCs w:val="28"/>
    </w:rPr>
  </w:style>
  <w:style w:type="paragraph" w:customStyle="1" w:styleId="330">
    <w:name w:val="样式 标题 4标题 4 Char Char标题 4 Char Char Char四级标题H4(一)1.11。1h..."/>
    <w:basedOn w:val="5"/>
    <w:link w:val="329"/>
    <w:qFormat/>
    <w:uiPriority w:val="0"/>
    <w:pPr>
      <w:adjustRightInd/>
      <w:spacing w:before="0" w:after="0" w:line="500" w:lineRule="atLeast"/>
      <w:textAlignment w:val="auto"/>
    </w:pPr>
    <w:rPr>
      <w:rFonts w:ascii="Times New Roman" w:hAnsi="Times New Roman" w:eastAsia="宋体"/>
      <w:b w:val="0"/>
      <w:bCs/>
      <w:kern w:val="2"/>
      <w:szCs w:val="28"/>
    </w:rPr>
  </w:style>
  <w:style w:type="character" w:customStyle="1" w:styleId="331">
    <w:name w:val="样式 标题 1 + 行距: 最小值 25 磅2 Char"/>
    <w:link w:val="332"/>
    <w:qFormat/>
    <w:uiPriority w:val="0"/>
    <w:rPr>
      <w:rFonts w:eastAsia="黑体" w:cs="宋体"/>
      <w:kern w:val="44"/>
      <w:sz w:val="32"/>
    </w:rPr>
  </w:style>
  <w:style w:type="paragraph" w:customStyle="1" w:styleId="332">
    <w:name w:val="样式 标题 1 + 行距: 最小值 25 磅2"/>
    <w:basedOn w:val="2"/>
    <w:link w:val="331"/>
    <w:qFormat/>
    <w:uiPriority w:val="0"/>
    <w:pPr>
      <w:keepNext w:val="0"/>
      <w:keepLines w:val="0"/>
      <w:autoSpaceDE/>
      <w:autoSpaceDN/>
      <w:adjustRightInd/>
      <w:spacing w:after="240" w:line="500" w:lineRule="atLeast"/>
      <w:jc w:val="both"/>
    </w:pPr>
    <w:rPr>
      <w:rFonts w:ascii="Times New Roman" w:eastAsia="黑体" w:cs="宋体"/>
      <w:b w:val="0"/>
    </w:rPr>
  </w:style>
  <w:style w:type="character" w:customStyle="1" w:styleId="333">
    <w:name w:val="样式 样式 样式 (符号) 宋体 小四 行距: 1.5 倍行距 + (符号) Times New Roman 首行缩进:  2 ... Char"/>
    <w:link w:val="334"/>
    <w:qFormat/>
    <w:uiPriority w:val="0"/>
    <w:rPr>
      <w:rFonts w:cs="宋体"/>
      <w:kern w:val="2"/>
      <w:sz w:val="28"/>
    </w:rPr>
  </w:style>
  <w:style w:type="paragraph" w:customStyle="1" w:styleId="334">
    <w:name w:val="样式 样式 样式 (符号) 宋体 小四 行距: 1.5 倍行距 + (符号) Times New Roman 首行缩进:  2 ..."/>
    <w:basedOn w:val="1"/>
    <w:link w:val="333"/>
    <w:qFormat/>
    <w:uiPriority w:val="0"/>
    <w:pPr>
      <w:spacing w:line="500" w:lineRule="atLeast"/>
      <w:ind w:firstLine="560" w:firstLineChars="200"/>
    </w:pPr>
    <w:rPr>
      <w:rFonts w:cs="宋体"/>
      <w:sz w:val="28"/>
      <w:szCs w:val="20"/>
    </w:rPr>
  </w:style>
  <w:style w:type="character" w:customStyle="1" w:styleId="335">
    <w:name w:val="样式 样式 样式 标题 1章 + 右侧:  0.49 厘米 + 行距: 最小值 24 磅 + 黑色 Char Char"/>
    <w:link w:val="336"/>
    <w:qFormat/>
    <w:uiPriority w:val="0"/>
    <w:rPr>
      <w:rFonts w:eastAsia="黑体" w:cs="宋体"/>
      <w:bCs/>
      <w:color w:val="000000"/>
      <w:kern w:val="44"/>
      <w:sz w:val="32"/>
      <w:szCs w:val="44"/>
    </w:rPr>
  </w:style>
  <w:style w:type="paragraph" w:customStyle="1" w:styleId="336">
    <w:name w:val="样式 样式 样式 标题 1章 + 右侧:  0.49 厘米 + 行距: 最小值 24 磅 + 黑色 Char"/>
    <w:basedOn w:val="1"/>
    <w:link w:val="335"/>
    <w:qFormat/>
    <w:uiPriority w:val="0"/>
    <w:pPr>
      <w:keepNext/>
      <w:keepLines/>
      <w:spacing w:before="240" w:after="240" w:line="500" w:lineRule="atLeast"/>
      <w:ind w:right="278"/>
      <w:outlineLvl w:val="0"/>
    </w:pPr>
    <w:rPr>
      <w:rFonts w:eastAsia="黑体" w:cs="宋体"/>
      <w:bCs/>
      <w:color w:val="000000"/>
      <w:kern w:val="44"/>
      <w:sz w:val="32"/>
      <w:szCs w:val="44"/>
    </w:rPr>
  </w:style>
  <w:style w:type="character" w:customStyle="1" w:styleId="337">
    <w:name w:val="样式 四号 首行缩进:  0.93 厘米 行距: 1.5 倍行距 Char"/>
    <w:link w:val="338"/>
    <w:qFormat/>
    <w:uiPriority w:val="0"/>
    <w:rPr>
      <w:rFonts w:cs="宋体"/>
      <w:kern w:val="2"/>
      <w:sz w:val="28"/>
    </w:rPr>
  </w:style>
  <w:style w:type="paragraph" w:customStyle="1" w:styleId="338">
    <w:name w:val="样式 四号 首行缩进:  0.93 厘米 行距: 1.5 倍行距"/>
    <w:basedOn w:val="1"/>
    <w:link w:val="337"/>
    <w:qFormat/>
    <w:uiPriority w:val="0"/>
    <w:pPr>
      <w:spacing w:line="500" w:lineRule="atLeast"/>
      <w:ind w:firstLine="561"/>
    </w:pPr>
    <w:rPr>
      <w:rFonts w:cs="宋体"/>
      <w:sz w:val="28"/>
      <w:szCs w:val="20"/>
    </w:rPr>
  </w:style>
  <w:style w:type="character" w:customStyle="1" w:styleId="339">
    <w:name w:val="样式 四号 首行缩进:  0.99 厘米 行距: 最小值 25 磅1 Char"/>
    <w:link w:val="340"/>
    <w:qFormat/>
    <w:uiPriority w:val="0"/>
    <w:rPr>
      <w:rFonts w:cs="宋体"/>
      <w:kern w:val="2"/>
      <w:sz w:val="28"/>
    </w:rPr>
  </w:style>
  <w:style w:type="paragraph" w:customStyle="1" w:styleId="340">
    <w:name w:val="样式 四号 首行缩进:  0.99 厘米 行距: 最小值 25 磅1"/>
    <w:basedOn w:val="1"/>
    <w:link w:val="339"/>
    <w:qFormat/>
    <w:uiPriority w:val="0"/>
    <w:pPr>
      <w:spacing w:line="500" w:lineRule="atLeast"/>
      <w:ind w:firstLine="561"/>
    </w:pPr>
    <w:rPr>
      <w:rFonts w:cs="宋体"/>
      <w:sz w:val="28"/>
      <w:szCs w:val="20"/>
    </w:rPr>
  </w:style>
  <w:style w:type="character" w:customStyle="1" w:styleId="341">
    <w:name w:val="样式 样式 四号 行距: 最小值 24 磅 + 首行缩进:  2 字符 Char"/>
    <w:link w:val="342"/>
    <w:qFormat/>
    <w:uiPriority w:val="0"/>
    <w:rPr>
      <w:rFonts w:cs="宋体"/>
      <w:kern w:val="2"/>
      <w:sz w:val="28"/>
    </w:rPr>
  </w:style>
  <w:style w:type="paragraph" w:customStyle="1" w:styleId="342">
    <w:name w:val="样式 样式 四号 行距: 最小值 24 磅 + 首行缩进:  2 字符"/>
    <w:basedOn w:val="1"/>
    <w:link w:val="341"/>
    <w:qFormat/>
    <w:uiPriority w:val="0"/>
    <w:pPr>
      <w:spacing w:line="500" w:lineRule="atLeast"/>
      <w:ind w:firstLine="420" w:firstLineChars="200"/>
    </w:pPr>
    <w:rPr>
      <w:rFonts w:cs="宋体"/>
      <w:sz w:val="28"/>
      <w:szCs w:val="20"/>
    </w:rPr>
  </w:style>
  <w:style w:type="character" w:customStyle="1" w:styleId="343">
    <w:name w:val="样式 (西文) Times New Roman 四号 首行缩进:  0.99 厘米 行距: 最小值 25 磅 Char"/>
    <w:link w:val="344"/>
    <w:qFormat/>
    <w:uiPriority w:val="0"/>
    <w:rPr>
      <w:rFonts w:cs="宋体"/>
      <w:kern w:val="2"/>
      <w:sz w:val="28"/>
    </w:rPr>
  </w:style>
  <w:style w:type="paragraph" w:customStyle="1" w:styleId="344">
    <w:name w:val="样式 (西文) Times New Roman 四号 首行缩进:  0.99 厘米 行距: 最小值 25 磅"/>
    <w:basedOn w:val="1"/>
    <w:link w:val="343"/>
    <w:qFormat/>
    <w:uiPriority w:val="0"/>
    <w:pPr>
      <w:spacing w:line="500" w:lineRule="atLeast"/>
      <w:ind w:firstLine="561"/>
    </w:pPr>
    <w:rPr>
      <w:rFonts w:cs="宋体"/>
      <w:sz w:val="28"/>
      <w:szCs w:val="20"/>
    </w:rPr>
  </w:style>
  <w:style w:type="character" w:customStyle="1" w:styleId="345">
    <w:name w:val="样式 小四 行距: 最小值 24 磅1 Char"/>
    <w:link w:val="346"/>
    <w:qFormat/>
    <w:uiPriority w:val="0"/>
    <w:rPr>
      <w:rFonts w:cs="宋体"/>
      <w:kern w:val="2"/>
      <w:sz w:val="24"/>
    </w:rPr>
  </w:style>
  <w:style w:type="paragraph" w:customStyle="1" w:styleId="346">
    <w:name w:val="样式 小四 行距: 最小值 24 磅1"/>
    <w:basedOn w:val="1"/>
    <w:link w:val="345"/>
    <w:qFormat/>
    <w:uiPriority w:val="0"/>
    <w:pPr>
      <w:spacing w:line="480" w:lineRule="atLeast"/>
      <w:ind w:firstLine="480" w:firstLineChars="200"/>
    </w:pPr>
    <w:rPr>
      <w:rFonts w:cs="宋体"/>
      <w:sz w:val="24"/>
      <w:szCs w:val="20"/>
    </w:rPr>
  </w:style>
  <w:style w:type="character" w:customStyle="1" w:styleId="347">
    <w:name w:val="样式 (符号) 宋体 小四 加粗 行距: 固定值 26 磅 Char"/>
    <w:link w:val="348"/>
    <w:qFormat/>
    <w:uiPriority w:val="0"/>
    <w:rPr>
      <w:rFonts w:hAnsi="宋体" w:eastAsia="黑体" w:cs="宋体"/>
      <w:bCs/>
      <w:kern w:val="2"/>
      <w:sz w:val="28"/>
    </w:rPr>
  </w:style>
  <w:style w:type="paragraph" w:customStyle="1" w:styleId="348">
    <w:name w:val="样式 (符号) 宋体 小四 加粗 行距: 固定值 26 磅"/>
    <w:basedOn w:val="1"/>
    <w:link w:val="347"/>
    <w:qFormat/>
    <w:uiPriority w:val="0"/>
    <w:pPr>
      <w:spacing w:before="120" w:after="120"/>
      <w:jc w:val="center"/>
    </w:pPr>
    <w:rPr>
      <w:rFonts w:hAnsi="宋体" w:eastAsia="黑体" w:cs="宋体"/>
      <w:bCs/>
      <w:sz w:val="28"/>
      <w:szCs w:val="20"/>
    </w:rPr>
  </w:style>
  <w:style w:type="character" w:customStyle="1" w:styleId="349">
    <w:name w:val="样式 标题 1龙网标题 1公司标题 1，宋体 小三龙网标题章白鹤滩标题 1白鹤滩1H1Normal + Font... Char"/>
    <w:link w:val="350"/>
    <w:qFormat/>
    <w:uiPriority w:val="0"/>
    <w:rPr>
      <w:rFonts w:eastAsia="黑体" w:cs="宋体"/>
      <w:color w:val="000000"/>
      <w:kern w:val="44"/>
      <w:sz w:val="30"/>
    </w:rPr>
  </w:style>
  <w:style w:type="paragraph" w:customStyle="1" w:styleId="350">
    <w:name w:val="样式 标题 1龙网标题 1公司标题 1，宋体 小三龙网标题章白鹤滩标题 1白鹤滩1H1Normal + Font..."/>
    <w:basedOn w:val="2"/>
    <w:link w:val="349"/>
    <w:qFormat/>
    <w:uiPriority w:val="0"/>
    <w:pPr>
      <w:autoSpaceDE/>
      <w:autoSpaceDN/>
      <w:adjustRightInd/>
      <w:spacing w:before="120" w:line="640" w:lineRule="atLeast"/>
      <w:jc w:val="both"/>
    </w:pPr>
    <w:rPr>
      <w:rFonts w:ascii="Times New Roman" w:eastAsia="黑体" w:cs="宋体"/>
      <w:b w:val="0"/>
      <w:color w:val="000000"/>
      <w:sz w:val="30"/>
    </w:rPr>
  </w:style>
  <w:style w:type="character" w:customStyle="1" w:styleId="351">
    <w:name w:val="样式 黑色 首行缩进:  0.99 厘米 行距: 最小值 25 磅 Char"/>
    <w:link w:val="352"/>
    <w:qFormat/>
    <w:uiPriority w:val="0"/>
    <w:rPr>
      <w:rFonts w:cs="宋体"/>
      <w:color w:val="000000"/>
      <w:kern w:val="2"/>
      <w:sz w:val="28"/>
    </w:rPr>
  </w:style>
  <w:style w:type="paragraph" w:customStyle="1" w:styleId="352">
    <w:name w:val="样式 黑色 首行缩进:  0.99 厘米 行距: 最小值 25 磅"/>
    <w:basedOn w:val="1"/>
    <w:link w:val="351"/>
    <w:qFormat/>
    <w:uiPriority w:val="0"/>
    <w:pPr>
      <w:spacing w:line="500" w:lineRule="atLeast"/>
      <w:ind w:firstLine="561"/>
    </w:pPr>
    <w:rPr>
      <w:rFonts w:cs="宋体"/>
      <w:color w:val="000000"/>
      <w:sz w:val="28"/>
      <w:szCs w:val="20"/>
    </w:rPr>
  </w:style>
  <w:style w:type="character" w:customStyle="1" w:styleId="353">
    <w:name w:val="样式 样式 样式 行距: 最小值 25 磅 + 首行缩进:  2 字符 + (中文) 黑体 黑色 居中 段前: 6 磅 ... Char"/>
    <w:link w:val="354"/>
    <w:qFormat/>
    <w:uiPriority w:val="0"/>
    <w:rPr>
      <w:rFonts w:eastAsia="黑体" w:cs="宋体"/>
      <w:color w:val="000000"/>
      <w:kern w:val="2"/>
      <w:sz w:val="28"/>
    </w:rPr>
  </w:style>
  <w:style w:type="paragraph" w:customStyle="1" w:styleId="354">
    <w:name w:val="样式 样式 样式 行距: 最小值 25 磅 + 首行缩进:  2 字符 + (中文) 黑体 黑色 居中 段前: 6 磅 ..."/>
    <w:basedOn w:val="1"/>
    <w:link w:val="353"/>
    <w:qFormat/>
    <w:uiPriority w:val="0"/>
    <w:pPr>
      <w:spacing w:before="120" w:after="120"/>
      <w:jc w:val="center"/>
    </w:pPr>
    <w:rPr>
      <w:rFonts w:eastAsia="黑体" w:cs="宋体"/>
      <w:color w:val="000000"/>
      <w:sz w:val="28"/>
      <w:szCs w:val="20"/>
    </w:rPr>
  </w:style>
  <w:style w:type="character" w:customStyle="1" w:styleId="355">
    <w:name w:val="样式 样式 五号 居中 首行缩进:  0 厘米 行距: 单倍行距 + (符号) 宋体 Char"/>
    <w:link w:val="356"/>
    <w:qFormat/>
    <w:uiPriority w:val="0"/>
    <w:rPr>
      <w:rFonts w:cs="宋体"/>
      <w:kern w:val="2"/>
      <w:sz w:val="21"/>
    </w:rPr>
  </w:style>
  <w:style w:type="paragraph" w:customStyle="1" w:styleId="356">
    <w:name w:val="样式 样式 五号 居中 首行缩进:  0 厘米 行距: 单倍行距 + (符号) 宋体"/>
    <w:basedOn w:val="1"/>
    <w:link w:val="355"/>
    <w:qFormat/>
    <w:uiPriority w:val="0"/>
    <w:pPr>
      <w:jc w:val="center"/>
    </w:pPr>
    <w:rPr>
      <w:rFonts w:cs="宋体"/>
      <w:szCs w:val="20"/>
    </w:rPr>
  </w:style>
  <w:style w:type="character" w:customStyle="1" w:styleId="357">
    <w:name w:val="样式 样式 样式 样式 样式 样式 四号 行距: 最小值 25 磅 + 首行缩进:  2 字符 + 首行缩进:  2 字符 + ... Char"/>
    <w:link w:val="358"/>
    <w:qFormat/>
    <w:uiPriority w:val="0"/>
    <w:rPr>
      <w:color w:val="000000"/>
      <w:sz w:val="28"/>
    </w:rPr>
  </w:style>
  <w:style w:type="paragraph" w:customStyle="1" w:styleId="358">
    <w:name w:val="样式 样式 样式 样式 样式 样式 四号 行距: 最小值 25 磅 + 首行缩进:  2 字符 + 首行缩进:  2 字符 + ..."/>
    <w:basedOn w:val="1"/>
    <w:link w:val="357"/>
    <w:qFormat/>
    <w:uiPriority w:val="0"/>
    <w:pPr>
      <w:spacing w:line="500" w:lineRule="atLeast"/>
      <w:ind w:firstLine="200" w:firstLineChars="200"/>
    </w:pPr>
    <w:rPr>
      <w:color w:val="000000"/>
      <w:kern w:val="0"/>
      <w:sz w:val="28"/>
      <w:szCs w:val="20"/>
    </w:rPr>
  </w:style>
  <w:style w:type="character" w:customStyle="1" w:styleId="359">
    <w:name w:val="样式 样式 样式 样式 样式 样式 四号 行距: 最小值 24 磅 + 灰色-80% 首行缩进:  2 字符 + 黑色 首行缩进...1 Char"/>
    <w:link w:val="360"/>
    <w:qFormat/>
    <w:uiPriority w:val="0"/>
    <w:rPr>
      <w:rFonts w:cs="宋体"/>
      <w:kern w:val="2"/>
      <w:sz w:val="24"/>
      <w:szCs w:val="28"/>
    </w:rPr>
  </w:style>
  <w:style w:type="paragraph" w:customStyle="1" w:styleId="360">
    <w:name w:val="样式 样式 样式 样式 样式 样式 四号 行距: 最小值 24 磅 + 灰色-80% 首行缩进:  2 字符 + 黑色 首行缩进...1"/>
    <w:basedOn w:val="1"/>
    <w:link w:val="359"/>
    <w:qFormat/>
    <w:uiPriority w:val="0"/>
    <w:pPr>
      <w:spacing w:line="600" w:lineRule="atLeast"/>
      <w:ind w:firstLine="200" w:firstLineChars="200"/>
    </w:pPr>
    <w:rPr>
      <w:rFonts w:cs="宋体"/>
      <w:sz w:val="24"/>
      <w:szCs w:val="28"/>
    </w:rPr>
  </w:style>
  <w:style w:type="character" w:customStyle="1" w:styleId="361">
    <w:name w:val="样式 样式 样式 四号 黑色 行距: 固定值 25 磅 + 首行缩进:  2 字符1 + 首行缩进:  2 字符1 Char1"/>
    <w:link w:val="362"/>
    <w:qFormat/>
    <w:uiPriority w:val="0"/>
    <w:rPr>
      <w:rFonts w:eastAsia="仿宋_GB2312"/>
      <w:color w:val="000000"/>
      <w:kern w:val="2"/>
      <w:sz w:val="28"/>
    </w:rPr>
  </w:style>
  <w:style w:type="paragraph" w:customStyle="1" w:styleId="362">
    <w:name w:val="样式 样式 样式 四号 黑色 行距: 固定值 25 磅 + 首行缩进:  2 字符1 + 首行缩进:  2 字符1"/>
    <w:basedOn w:val="1"/>
    <w:link w:val="361"/>
    <w:qFormat/>
    <w:uiPriority w:val="0"/>
    <w:pPr>
      <w:spacing w:line="500" w:lineRule="atLeast"/>
      <w:ind w:firstLine="200" w:firstLineChars="200"/>
    </w:pPr>
    <w:rPr>
      <w:rFonts w:eastAsia="仿宋_GB2312"/>
      <w:color w:val="000000"/>
      <w:sz w:val="28"/>
      <w:szCs w:val="20"/>
    </w:rPr>
  </w:style>
  <w:style w:type="character" w:customStyle="1" w:styleId="363">
    <w:name w:val="样式 标题 2标题 1.1节H2h2heading 2+ Indent: Left 0.25 in二级节名1.1... Char"/>
    <w:link w:val="364"/>
    <w:qFormat/>
    <w:uiPriority w:val="0"/>
    <w:rPr>
      <w:rFonts w:eastAsia="黑体" w:cs="宋体"/>
      <w:kern w:val="2"/>
      <w:sz w:val="30"/>
    </w:rPr>
  </w:style>
  <w:style w:type="paragraph" w:customStyle="1" w:styleId="364">
    <w:name w:val="样式 标题 2标题 1.1节H2h2heading 2+ Indent: Left 0.25 in二级节名1.1..."/>
    <w:basedOn w:val="3"/>
    <w:link w:val="363"/>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365">
    <w:name w:val="样式 四号 首行缩进:  0.99 厘米 行距: 最小值 25 磅 Char1"/>
    <w:link w:val="366"/>
    <w:qFormat/>
    <w:uiPriority w:val="0"/>
    <w:rPr>
      <w:rFonts w:cs="宋体"/>
      <w:kern w:val="2"/>
      <w:sz w:val="28"/>
    </w:rPr>
  </w:style>
  <w:style w:type="paragraph" w:customStyle="1" w:styleId="366">
    <w:name w:val="样式 四号 首行缩进:  0.99 厘米 行距: 最小值 25 磅"/>
    <w:basedOn w:val="1"/>
    <w:link w:val="365"/>
    <w:qFormat/>
    <w:uiPriority w:val="0"/>
    <w:pPr>
      <w:spacing w:line="500" w:lineRule="atLeast"/>
      <w:ind w:firstLine="561"/>
    </w:pPr>
    <w:rPr>
      <w:rFonts w:cs="宋体"/>
      <w:sz w:val="28"/>
      <w:szCs w:val="20"/>
    </w:rPr>
  </w:style>
  <w:style w:type="character" w:customStyle="1" w:styleId="367">
    <w:name w:val="样式 样式 样式 (西文) 宋体 + Times New Roman 首行缩进:  2 字符 + 首行缩进:  2 字符 Char"/>
    <w:link w:val="368"/>
    <w:qFormat/>
    <w:uiPriority w:val="0"/>
    <w:rPr>
      <w:kern w:val="2"/>
      <w:sz w:val="28"/>
    </w:rPr>
  </w:style>
  <w:style w:type="paragraph" w:customStyle="1" w:styleId="368">
    <w:name w:val="样式 样式 样式 (西文) 宋体 + Times New Roman 首行缩进:  2 字符 + 首行缩进:  2 字符"/>
    <w:basedOn w:val="1"/>
    <w:link w:val="367"/>
    <w:qFormat/>
    <w:uiPriority w:val="0"/>
    <w:pPr>
      <w:spacing w:line="500" w:lineRule="atLeast"/>
      <w:ind w:firstLine="200" w:firstLineChars="200"/>
    </w:pPr>
    <w:rPr>
      <w:sz w:val="28"/>
      <w:szCs w:val="20"/>
    </w:rPr>
  </w:style>
  <w:style w:type="character" w:customStyle="1" w:styleId="369">
    <w:name w:val="样式3 Char"/>
    <w:link w:val="370"/>
    <w:qFormat/>
    <w:uiPriority w:val="0"/>
    <w:rPr>
      <w:rFonts w:hAnsi="黑体" w:eastAsia="黑体"/>
      <w:kern w:val="2"/>
      <w:sz w:val="28"/>
      <w:szCs w:val="28"/>
    </w:rPr>
  </w:style>
  <w:style w:type="paragraph" w:customStyle="1" w:styleId="370">
    <w:name w:val="样式3"/>
    <w:basedOn w:val="1"/>
    <w:link w:val="369"/>
    <w:qFormat/>
    <w:uiPriority w:val="0"/>
    <w:pPr>
      <w:spacing w:before="120" w:after="120"/>
      <w:jc w:val="center"/>
    </w:pPr>
    <w:rPr>
      <w:rFonts w:hAnsi="黑体" w:eastAsia="黑体"/>
      <w:sz w:val="28"/>
      <w:szCs w:val="28"/>
    </w:rPr>
  </w:style>
  <w:style w:type="character" w:customStyle="1" w:styleId="371">
    <w:name w:val="样式 样式 样式 四号 行距: 1.5 倍行距 + 首行缩进:  2 字符 + (西文) 宋体 (中文) 仿宋_GB2312... Char"/>
    <w:link w:val="372"/>
    <w:qFormat/>
    <w:uiPriority w:val="0"/>
    <w:rPr>
      <w:kern w:val="2"/>
      <w:sz w:val="28"/>
      <w:lang w:val="zh-CN"/>
    </w:rPr>
  </w:style>
  <w:style w:type="paragraph" w:customStyle="1" w:styleId="372">
    <w:name w:val="样式 样式 样式 四号 行距: 1.5 倍行距 + 首行缩进:  2 字符 + (西文) 宋体 (中文) 仿宋_GB2312..."/>
    <w:basedOn w:val="1"/>
    <w:link w:val="371"/>
    <w:qFormat/>
    <w:uiPriority w:val="0"/>
    <w:pPr>
      <w:spacing w:line="500" w:lineRule="atLeast"/>
      <w:ind w:firstLine="560" w:firstLineChars="200"/>
    </w:pPr>
    <w:rPr>
      <w:sz w:val="28"/>
      <w:szCs w:val="20"/>
      <w:lang w:val="zh-CN"/>
    </w:rPr>
  </w:style>
  <w:style w:type="character" w:customStyle="1" w:styleId="373">
    <w:name w:val="样式 四号 首行缩进:  0.99 厘米 行距: 最小值 25 磅5 Char"/>
    <w:qFormat/>
    <w:uiPriority w:val="0"/>
    <w:rPr>
      <w:rFonts w:eastAsia="宋体" w:cs="宋体"/>
      <w:kern w:val="2"/>
      <w:sz w:val="28"/>
      <w:lang w:val="en-US" w:eastAsia="zh-CN" w:bidi="ar-SA"/>
    </w:rPr>
  </w:style>
  <w:style w:type="character" w:customStyle="1" w:styleId="374">
    <w:name w:val="样式 样式 四号 首行缩进:  0.99 厘米 行距: 最小值 25 磅3 + 黑色 Char"/>
    <w:link w:val="375"/>
    <w:qFormat/>
    <w:uiPriority w:val="0"/>
    <w:rPr>
      <w:color w:val="000000"/>
      <w:kern w:val="2"/>
      <w:sz w:val="28"/>
    </w:rPr>
  </w:style>
  <w:style w:type="paragraph" w:customStyle="1" w:styleId="375">
    <w:name w:val="样式 样式 四号 首行缩进:  0.99 厘米 行距: 最小值 25 磅3 + 黑色"/>
    <w:basedOn w:val="322"/>
    <w:link w:val="374"/>
    <w:qFormat/>
    <w:uiPriority w:val="0"/>
    <w:rPr>
      <w:rFonts w:cs="Times New Roman"/>
      <w:color w:val="000000"/>
    </w:rPr>
  </w:style>
  <w:style w:type="character" w:customStyle="1" w:styleId="376">
    <w:name w:val="样式 样式 样式 标题 2 + 首行缩进:  2 字符 + 左侧:  -0.97 厘米 + 段后: 0.5 行 Char"/>
    <w:link w:val="377"/>
    <w:qFormat/>
    <w:uiPriority w:val="0"/>
    <w:rPr>
      <w:rFonts w:eastAsia="黑体" w:cs="宋体"/>
      <w:color w:val="000000"/>
      <w:spacing w:val="-2"/>
      <w:sz w:val="30"/>
    </w:rPr>
  </w:style>
  <w:style w:type="paragraph" w:customStyle="1" w:styleId="377">
    <w:name w:val="样式 样式 样式 标题 2 + 首行缩进:  2 字符 + 左侧:  -0.97 厘米 + 段后: 0.5 行"/>
    <w:basedOn w:val="1"/>
    <w:link w:val="376"/>
    <w:qFormat/>
    <w:uiPriority w:val="0"/>
    <w:pPr>
      <w:keepNext/>
      <w:keepLines/>
      <w:spacing w:before="120" w:after="120" w:afterLines="50" w:line="500" w:lineRule="atLeast"/>
      <w:outlineLvl w:val="1"/>
    </w:pPr>
    <w:rPr>
      <w:rFonts w:eastAsia="黑体" w:cs="宋体"/>
      <w:color w:val="000000"/>
      <w:spacing w:val="-2"/>
      <w:kern w:val="0"/>
      <w:sz w:val="30"/>
      <w:szCs w:val="20"/>
    </w:rPr>
  </w:style>
  <w:style w:type="character" w:customStyle="1" w:styleId="378">
    <w:name w:val="样式 四号 首行缩进:  0.99 厘米 行距: 最小值 25 磅5 Char1"/>
    <w:link w:val="379"/>
    <w:qFormat/>
    <w:uiPriority w:val="0"/>
    <w:rPr>
      <w:rFonts w:cs="宋体"/>
      <w:kern w:val="2"/>
      <w:sz w:val="28"/>
    </w:rPr>
  </w:style>
  <w:style w:type="paragraph" w:customStyle="1" w:styleId="379">
    <w:name w:val="样式 四号 首行缩进:  0.99 厘米 行距: 最小值 25 磅5"/>
    <w:basedOn w:val="1"/>
    <w:link w:val="378"/>
    <w:qFormat/>
    <w:uiPriority w:val="0"/>
    <w:pPr>
      <w:spacing w:line="500" w:lineRule="atLeast"/>
      <w:ind w:firstLine="561"/>
    </w:pPr>
    <w:rPr>
      <w:rFonts w:cs="宋体"/>
      <w:sz w:val="28"/>
      <w:szCs w:val="20"/>
    </w:rPr>
  </w:style>
  <w:style w:type="character" w:customStyle="1" w:styleId="380">
    <w:name w:val="样式 样式 样式 样式 正文缩进 + 四号 黑色 首行缩进:  2 字符 行距: 最小值 25 磅 + 首行缩进:  2 字符 ... Char"/>
    <w:link w:val="381"/>
    <w:qFormat/>
    <w:uiPriority w:val="0"/>
    <w:rPr>
      <w:rFonts w:cs="宋体"/>
      <w:kern w:val="2"/>
      <w:sz w:val="28"/>
    </w:rPr>
  </w:style>
  <w:style w:type="paragraph" w:customStyle="1" w:styleId="381">
    <w:name w:val="样式 样式 样式 样式 正文缩进 + 四号 黑色 首行缩进:  2 字符 行距: 最小值 25 磅 + 首行缩进:  2 字符 ..."/>
    <w:basedOn w:val="1"/>
    <w:link w:val="380"/>
    <w:qFormat/>
    <w:uiPriority w:val="0"/>
    <w:pPr>
      <w:spacing w:line="500" w:lineRule="atLeast"/>
      <w:ind w:firstLine="560" w:firstLineChars="200"/>
    </w:pPr>
    <w:rPr>
      <w:rFonts w:cs="宋体"/>
      <w:sz w:val="28"/>
      <w:szCs w:val="20"/>
    </w:rPr>
  </w:style>
  <w:style w:type="character" w:customStyle="1" w:styleId="382">
    <w:name w:val="样式 四号 首行缩进:  0.99 厘米 行距: 最小值 25 磅2 Char"/>
    <w:link w:val="383"/>
    <w:qFormat/>
    <w:uiPriority w:val="0"/>
    <w:rPr>
      <w:rFonts w:cs="宋体"/>
      <w:kern w:val="2"/>
      <w:sz w:val="28"/>
    </w:rPr>
  </w:style>
  <w:style w:type="paragraph" w:customStyle="1" w:styleId="383">
    <w:name w:val="样式 四号 首行缩进:  0.99 厘米 行距: 最小值 25 磅2"/>
    <w:basedOn w:val="1"/>
    <w:link w:val="382"/>
    <w:qFormat/>
    <w:uiPriority w:val="0"/>
    <w:pPr>
      <w:spacing w:line="500" w:lineRule="atLeast"/>
      <w:ind w:firstLine="561"/>
    </w:pPr>
    <w:rPr>
      <w:rFonts w:cs="宋体"/>
      <w:sz w:val="28"/>
      <w:szCs w:val="20"/>
    </w:rPr>
  </w:style>
  <w:style w:type="character" w:customStyle="1" w:styleId="384">
    <w:name w:val="样式 样式 样式 样式 标题 2 + 首行缩进:  2 字符 + 左侧:  -0.97 厘米 + 段后: 0.5 行 + 自动设置 Char"/>
    <w:basedOn w:val="376"/>
    <w:link w:val="385"/>
    <w:qFormat/>
    <w:uiPriority w:val="0"/>
    <w:rPr>
      <w:rFonts w:eastAsia="黑体" w:cs="宋体"/>
      <w:color w:val="000000"/>
      <w:spacing w:val="-2"/>
      <w:sz w:val="30"/>
    </w:rPr>
  </w:style>
  <w:style w:type="paragraph" w:customStyle="1" w:styleId="385">
    <w:name w:val="样式 样式 样式 样式 标题 2 + 首行缩进:  2 字符 + 左侧:  -0.97 厘米 + 段后: 0.5 行 + 自动设置"/>
    <w:basedOn w:val="377"/>
    <w:link w:val="384"/>
    <w:qFormat/>
    <w:uiPriority w:val="0"/>
    <w:pPr>
      <w:spacing w:after="50"/>
    </w:pPr>
  </w:style>
  <w:style w:type="character" w:customStyle="1" w:styleId="386">
    <w:name w:val="样式 样式 样式 四号 首行缩进:  0.99 厘米 行距: 最小值 25 磅3 + 黑色1 + 宋体 自动设置 Char"/>
    <w:link w:val="387"/>
    <w:qFormat/>
    <w:uiPriority w:val="0"/>
    <w:rPr>
      <w:color w:val="000000"/>
      <w:kern w:val="2"/>
      <w:sz w:val="28"/>
    </w:rPr>
  </w:style>
  <w:style w:type="paragraph" w:customStyle="1" w:styleId="387">
    <w:name w:val="样式 样式 样式 四号 首行缩进:  0.99 厘米 行距: 最小值 25 磅3 + 黑色1 + 宋体 自动设置"/>
    <w:basedOn w:val="1"/>
    <w:link w:val="386"/>
    <w:qFormat/>
    <w:uiPriority w:val="0"/>
    <w:pPr>
      <w:spacing w:line="500" w:lineRule="atLeast"/>
      <w:ind w:firstLine="561"/>
    </w:pPr>
    <w:rPr>
      <w:color w:val="000000"/>
      <w:sz w:val="28"/>
      <w:szCs w:val="20"/>
    </w:rPr>
  </w:style>
  <w:style w:type="character" w:customStyle="1" w:styleId="388">
    <w:name w:val="样式 样式 首行缩进:  2 字符 + 首行缩进:  2 字符 Char"/>
    <w:link w:val="389"/>
    <w:qFormat/>
    <w:uiPriority w:val="0"/>
    <w:rPr>
      <w:rFonts w:cs="宋体"/>
      <w:kern w:val="2"/>
      <w:sz w:val="28"/>
      <w:szCs w:val="28"/>
    </w:rPr>
  </w:style>
  <w:style w:type="paragraph" w:customStyle="1" w:styleId="389">
    <w:name w:val="样式 样式 首行缩进:  2 字符 + 首行缩进:  2 字符"/>
    <w:basedOn w:val="1"/>
    <w:link w:val="388"/>
    <w:qFormat/>
    <w:uiPriority w:val="0"/>
    <w:pPr>
      <w:spacing w:line="500" w:lineRule="atLeast"/>
      <w:ind w:firstLine="576" w:firstLineChars="200"/>
    </w:pPr>
    <w:rPr>
      <w:rFonts w:cs="宋体"/>
      <w:sz w:val="28"/>
      <w:szCs w:val="28"/>
    </w:rPr>
  </w:style>
  <w:style w:type="character" w:customStyle="1" w:styleId="390">
    <w:name w:val="样式 四号 行距: 最小值 25 磅 Char"/>
    <w:link w:val="391"/>
    <w:qFormat/>
    <w:uiPriority w:val="0"/>
    <w:rPr>
      <w:kern w:val="2"/>
      <w:sz w:val="28"/>
    </w:rPr>
  </w:style>
  <w:style w:type="paragraph" w:customStyle="1" w:styleId="391">
    <w:name w:val="样式 四号 行距: 最小值 25 磅"/>
    <w:basedOn w:val="1"/>
    <w:link w:val="390"/>
    <w:qFormat/>
    <w:uiPriority w:val="0"/>
    <w:pPr>
      <w:spacing w:line="500" w:lineRule="atLeast"/>
      <w:ind w:firstLine="200" w:firstLineChars="200"/>
    </w:pPr>
    <w:rPr>
      <w:sz w:val="28"/>
      <w:szCs w:val="20"/>
    </w:rPr>
  </w:style>
  <w:style w:type="character" w:customStyle="1" w:styleId="392">
    <w:name w:val="样式 正文缩进 + Times New Roman 四号 黑色 段前: 0.5 行 行距: 1.5 倍行距 Char"/>
    <w:link w:val="393"/>
    <w:qFormat/>
    <w:uiPriority w:val="0"/>
    <w:rPr>
      <w:rFonts w:cs="宋体"/>
      <w:color w:val="000000"/>
      <w:kern w:val="2"/>
      <w:sz w:val="28"/>
    </w:rPr>
  </w:style>
  <w:style w:type="paragraph" w:customStyle="1" w:styleId="393">
    <w:name w:val="样式 正文缩进 + Times New Roman 四号 黑色 段前: 0.5 行 行距: 1.5 倍行距"/>
    <w:basedOn w:val="14"/>
    <w:link w:val="392"/>
    <w:qFormat/>
    <w:uiPriority w:val="0"/>
    <w:pPr>
      <w:autoSpaceDE/>
      <w:autoSpaceDN/>
      <w:snapToGrid w:val="0"/>
      <w:spacing w:line="500" w:lineRule="atLeast"/>
      <w:ind w:firstLine="200" w:firstLineChars="200"/>
      <w:jc w:val="both"/>
    </w:pPr>
    <w:rPr>
      <w:rFonts w:ascii="Times New Roman" w:cs="宋体"/>
      <w:color w:val="000000"/>
      <w:sz w:val="28"/>
      <w:szCs w:val="20"/>
    </w:rPr>
  </w:style>
  <w:style w:type="character" w:customStyle="1" w:styleId="394">
    <w:name w:val="样式 小三 行距: 最小值 25 磅 Char"/>
    <w:link w:val="395"/>
    <w:qFormat/>
    <w:uiPriority w:val="0"/>
    <w:rPr>
      <w:rFonts w:cs="宋体"/>
      <w:kern w:val="2"/>
      <w:sz w:val="28"/>
    </w:rPr>
  </w:style>
  <w:style w:type="paragraph" w:customStyle="1" w:styleId="395">
    <w:name w:val="样式 小三 行距: 最小值 25 磅"/>
    <w:basedOn w:val="1"/>
    <w:link w:val="394"/>
    <w:qFormat/>
    <w:uiPriority w:val="0"/>
    <w:pPr>
      <w:spacing w:line="500" w:lineRule="atLeast"/>
      <w:ind w:firstLine="200" w:firstLineChars="200"/>
    </w:pPr>
    <w:rPr>
      <w:rFonts w:cs="宋体"/>
      <w:sz w:val="28"/>
      <w:szCs w:val="20"/>
    </w:rPr>
  </w:style>
  <w:style w:type="character" w:customStyle="1" w:styleId="396">
    <w:name w:val="样式 样式 样式 样式 标题 2 + Times New Roman + (中文) 宋体 四号 行距: 固定值 25 磅 + +... Char"/>
    <w:link w:val="397"/>
    <w:qFormat/>
    <w:uiPriority w:val="0"/>
    <w:rPr>
      <w:rFonts w:eastAsia="黑体"/>
      <w:sz w:val="30"/>
      <w:szCs w:val="30"/>
    </w:rPr>
  </w:style>
  <w:style w:type="paragraph" w:customStyle="1" w:styleId="397">
    <w:name w:val="样式 样式 样式 样式 标题 2 + Times New Roman + (中文) 宋体 四号 行距: 固定值 25 磅 + +..."/>
    <w:basedOn w:val="1"/>
    <w:link w:val="396"/>
    <w:qFormat/>
    <w:uiPriority w:val="0"/>
    <w:pPr>
      <w:keepNext/>
      <w:keepLines/>
      <w:widowControl/>
      <w:adjustRightInd w:val="0"/>
      <w:snapToGrid w:val="0"/>
      <w:spacing w:line="500" w:lineRule="exact"/>
      <w:jc w:val="left"/>
      <w:outlineLvl w:val="1"/>
    </w:pPr>
    <w:rPr>
      <w:rFonts w:eastAsia="黑体"/>
      <w:kern w:val="0"/>
      <w:sz w:val="30"/>
      <w:szCs w:val="30"/>
    </w:rPr>
  </w:style>
  <w:style w:type="character" w:customStyle="1" w:styleId="398">
    <w:name w:val="样式 标题 3标题 3 Char Char Char标题 3 Char Char三级标题 + (中文) 宋体 Char"/>
    <w:qFormat/>
    <w:uiPriority w:val="0"/>
    <w:rPr>
      <w:rFonts w:eastAsia="黑体"/>
      <w:bCs/>
      <w:sz w:val="28"/>
      <w:szCs w:val="28"/>
      <w:lang w:val="en-US" w:eastAsia="zh-CN" w:bidi="ar-SA"/>
    </w:rPr>
  </w:style>
  <w:style w:type="character" w:customStyle="1" w:styleId="399">
    <w:name w:val="样式 四号 黑色 行距: 1.5 倍行距 Char"/>
    <w:link w:val="400"/>
    <w:qFormat/>
    <w:uiPriority w:val="0"/>
    <w:rPr>
      <w:rFonts w:cs="宋体"/>
      <w:color w:val="000000"/>
      <w:kern w:val="2"/>
      <w:sz w:val="28"/>
      <w:szCs w:val="24"/>
    </w:rPr>
  </w:style>
  <w:style w:type="paragraph" w:customStyle="1" w:styleId="400">
    <w:name w:val="样式 四号 黑色 行距: 1.5 倍行距"/>
    <w:basedOn w:val="1"/>
    <w:link w:val="399"/>
    <w:qFormat/>
    <w:uiPriority w:val="0"/>
    <w:pPr>
      <w:spacing w:line="500" w:lineRule="atLeast"/>
      <w:ind w:firstLine="200" w:firstLineChars="200"/>
    </w:pPr>
    <w:rPr>
      <w:rFonts w:cs="宋体"/>
      <w:color w:val="000000"/>
      <w:sz w:val="28"/>
    </w:rPr>
  </w:style>
  <w:style w:type="character" w:customStyle="1" w:styleId="401">
    <w:name w:val="样式 (中文) 仿宋_GB2312 四号 首行缩进:  0.99 厘米 行距: 最小值 25 磅 Char"/>
    <w:link w:val="402"/>
    <w:qFormat/>
    <w:uiPriority w:val="0"/>
    <w:rPr>
      <w:rFonts w:eastAsia="仿宋_GB2312" w:cs="宋体"/>
      <w:kern w:val="2"/>
      <w:sz w:val="28"/>
    </w:rPr>
  </w:style>
  <w:style w:type="paragraph" w:customStyle="1" w:styleId="402">
    <w:name w:val="样式 (中文) 仿宋_GB2312 四号 首行缩进:  0.99 厘米 行距: 最小值 25 磅"/>
    <w:basedOn w:val="1"/>
    <w:link w:val="401"/>
    <w:qFormat/>
    <w:uiPriority w:val="0"/>
    <w:pPr>
      <w:spacing w:line="500" w:lineRule="atLeast"/>
      <w:ind w:firstLine="561"/>
    </w:pPr>
    <w:rPr>
      <w:rFonts w:eastAsia="仿宋_GB2312" w:cs="宋体"/>
      <w:sz w:val="28"/>
      <w:szCs w:val="20"/>
    </w:rPr>
  </w:style>
  <w:style w:type="character" w:customStyle="1" w:styleId="403">
    <w:name w:val="样式 黑色 首行缩进:  1 厘米 Char"/>
    <w:link w:val="404"/>
    <w:qFormat/>
    <w:uiPriority w:val="0"/>
    <w:rPr>
      <w:rFonts w:cs="宋体"/>
      <w:color w:val="000000"/>
      <w:kern w:val="2"/>
      <w:sz w:val="28"/>
    </w:rPr>
  </w:style>
  <w:style w:type="paragraph" w:customStyle="1" w:styleId="404">
    <w:name w:val="样式 黑色 首行缩进:  1 厘米"/>
    <w:basedOn w:val="1"/>
    <w:link w:val="403"/>
    <w:qFormat/>
    <w:uiPriority w:val="0"/>
    <w:pPr>
      <w:spacing w:line="500" w:lineRule="atLeast"/>
      <w:ind w:firstLine="561"/>
    </w:pPr>
    <w:rPr>
      <w:rFonts w:cs="宋体"/>
      <w:color w:val="000000"/>
      <w:sz w:val="28"/>
      <w:szCs w:val="20"/>
    </w:rPr>
  </w:style>
  <w:style w:type="character" w:customStyle="1" w:styleId="405">
    <w:name w:val="样式 正文首行缩进正文+编号 + Char Char"/>
    <w:link w:val="406"/>
    <w:qFormat/>
    <w:uiPriority w:val="0"/>
    <w:rPr>
      <w:rFonts w:cs="宋体"/>
      <w:sz w:val="28"/>
    </w:rPr>
  </w:style>
  <w:style w:type="paragraph" w:customStyle="1" w:styleId="406">
    <w:name w:val="样式 正文首行缩进正文+编号 + Char"/>
    <w:basedOn w:val="51"/>
    <w:link w:val="405"/>
    <w:qFormat/>
    <w:uiPriority w:val="0"/>
    <w:pPr>
      <w:spacing w:after="0" w:line="480" w:lineRule="exact"/>
      <w:ind w:firstLine="200" w:firstLineChars="200"/>
      <w:textAlignment w:val="center"/>
    </w:pPr>
    <w:rPr>
      <w:rFonts w:cs="宋体"/>
      <w:kern w:val="0"/>
      <w:sz w:val="28"/>
      <w:szCs w:val="20"/>
    </w:rPr>
  </w:style>
  <w:style w:type="character" w:customStyle="1" w:styleId="407">
    <w:name w:val="样式 首行缩进:  1.01 厘米 行距: 最小值 24 磅 Char"/>
    <w:link w:val="408"/>
    <w:qFormat/>
    <w:uiPriority w:val="0"/>
    <w:rPr>
      <w:rFonts w:cs="宋体"/>
      <w:kern w:val="2"/>
      <w:sz w:val="28"/>
    </w:rPr>
  </w:style>
  <w:style w:type="paragraph" w:customStyle="1" w:styleId="408">
    <w:name w:val="样式 首行缩进:  1.01 厘米 行距: 最小值 24 磅"/>
    <w:basedOn w:val="1"/>
    <w:link w:val="407"/>
    <w:qFormat/>
    <w:uiPriority w:val="0"/>
    <w:pPr>
      <w:spacing w:line="500" w:lineRule="atLeast"/>
      <w:ind w:firstLine="561"/>
    </w:pPr>
    <w:rPr>
      <w:rFonts w:cs="宋体"/>
      <w:sz w:val="28"/>
      <w:szCs w:val="20"/>
    </w:rPr>
  </w:style>
  <w:style w:type="character" w:customStyle="1" w:styleId="409">
    <w:name w:val="样式 样式 首行缩进:  0.99 厘米 行距: 最小值 24 磅 + 行距: 最小值 24 磅 Char"/>
    <w:basedOn w:val="410"/>
    <w:link w:val="412"/>
    <w:qFormat/>
    <w:uiPriority w:val="0"/>
    <w:rPr>
      <w:rFonts w:cs="宋体"/>
      <w:kern w:val="2"/>
      <w:sz w:val="28"/>
    </w:rPr>
  </w:style>
  <w:style w:type="character" w:customStyle="1" w:styleId="410">
    <w:name w:val="样式 首行缩进:  0.99 厘米 行距: 最小值 24 磅 Char"/>
    <w:link w:val="411"/>
    <w:qFormat/>
    <w:uiPriority w:val="0"/>
    <w:rPr>
      <w:rFonts w:cs="宋体"/>
      <w:kern w:val="2"/>
      <w:sz w:val="28"/>
    </w:rPr>
  </w:style>
  <w:style w:type="paragraph" w:customStyle="1" w:styleId="411">
    <w:name w:val="样式 首行缩进:  0.99 厘米 行距: 最小值 24 磅"/>
    <w:basedOn w:val="1"/>
    <w:link w:val="410"/>
    <w:qFormat/>
    <w:uiPriority w:val="0"/>
    <w:pPr>
      <w:spacing w:line="500" w:lineRule="atLeast"/>
      <w:ind w:firstLine="561"/>
    </w:pPr>
    <w:rPr>
      <w:rFonts w:cs="宋体"/>
      <w:sz w:val="28"/>
      <w:szCs w:val="20"/>
    </w:rPr>
  </w:style>
  <w:style w:type="paragraph" w:customStyle="1" w:styleId="412">
    <w:name w:val="样式 样式 首行缩进:  0.99 厘米 行距: 最小值 24 磅 + 行距: 最小值 24 磅"/>
    <w:basedOn w:val="411"/>
    <w:link w:val="409"/>
    <w:qFormat/>
    <w:uiPriority w:val="0"/>
  </w:style>
  <w:style w:type="character" w:customStyle="1" w:styleId="413">
    <w:name w:val="font11"/>
    <w:basedOn w:val="56"/>
    <w:qFormat/>
    <w:uiPriority w:val="0"/>
    <w:rPr>
      <w:rFonts w:hint="eastAsia" w:ascii="宋体" w:hAnsi="宋体" w:eastAsia="宋体" w:cs="宋体"/>
      <w:color w:val="000000"/>
      <w:sz w:val="20"/>
      <w:szCs w:val="20"/>
      <w:u w:val="none"/>
    </w:rPr>
  </w:style>
  <w:style w:type="character" w:customStyle="1" w:styleId="414">
    <w:name w:val="样式 样式 样式 行距: 最小值 25 磅 + 首行缩进:  2 字符 + 黑色 首行缩进:  2 字符 Char"/>
    <w:link w:val="415"/>
    <w:qFormat/>
    <w:uiPriority w:val="0"/>
    <w:rPr>
      <w:rFonts w:cs="宋体"/>
      <w:color w:val="000000"/>
      <w:kern w:val="2"/>
      <w:sz w:val="28"/>
    </w:rPr>
  </w:style>
  <w:style w:type="paragraph" w:customStyle="1" w:styleId="415">
    <w:name w:val="样式 样式 样式 行距: 最小值 25 磅 + 首行缩进:  2 字符 + 黑色 首行缩进:  2 字符"/>
    <w:basedOn w:val="1"/>
    <w:link w:val="414"/>
    <w:qFormat/>
    <w:uiPriority w:val="0"/>
    <w:pPr>
      <w:spacing w:line="500" w:lineRule="atLeast"/>
      <w:ind w:firstLine="560" w:firstLineChars="200"/>
    </w:pPr>
    <w:rPr>
      <w:rFonts w:cs="宋体"/>
      <w:color w:val="000000"/>
      <w:sz w:val="28"/>
      <w:szCs w:val="20"/>
    </w:rPr>
  </w:style>
  <w:style w:type="character" w:customStyle="1" w:styleId="416">
    <w:name w:val="样式 四号 两端对齐 首行缩进:  0.99 厘米 行距: 最小值 25 磅 Char"/>
    <w:link w:val="417"/>
    <w:qFormat/>
    <w:uiPriority w:val="0"/>
    <w:rPr>
      <w:rFonts w:cs="宋体"/>
      <w:kern w:val="2"/>
      <w:sz w:val="24"/>
    </w:rPr>
  </w:style>
  <w:style w:type="paragraph" w:customStyle="1" w:styleId="417">
    <w:name w:val="样式 四号 两端对齐 首行缩进:  0.99 厘米 行距: 最小值 25 磅"/>
    <w:basedOn w:val="1"/>
    <w:link w:val="416"/>
    <w:qFormat/>
    <w:uiPriority w:val="0"/>
    <w:pPr>
      <w:adjustRightInd w:val="0"/>
      <w:spacing w:line="600" w:lineRule="atLeast"/>
      <w:ind w:firstLine="482"/>
      <w:textAlignment w:val="baseline"/>
    </w:pPr>
    <w:rPr>
      <w:rFonts w:cs="宋体"/>
      <w:sz w:val="24"/>
      <w:szCs w:val="20"/>
    </w:rPr>
  </w:style>
  <w:style w:type="character" w:customStyle="1" w:styleId="418">
    <w:name w:val="样式 样式 四号 行距: 1.5 倍行距 + (中文) 宋体 Char"/>
    <w:link w:val="419"/>
    <w:qFormat/>
    <w:uiPriority w:val="0"/>
    <w:rPr>
      <w:rFonts w:cs="宋体"/>
      <w:kern w:val="2"/>
      <w:sz w:val="28"/>
    </w:rPr>
  </w:style>
  <w:style w:type="paragraph" w:customStyle="1" w:styleId="419">
    <w:name w:val="样式 样式 四号 行距: 1.5 倍行距 + (中文) 宋体"/>
    <w:basedOn w:val="1"/>
    <w:link w:val="418"/>
    <w:qFormat/>
    <w:uiPriority w:val="0"/>
    <w:pPr>
      <w:spacing w:line="500" w:lineRule="atLeast"/>
      <w:ind w:firstLine="200" w:firstLineChars="200"/>
    </w:pPr>
    <w:rPr>
      <w:rFonts w:cs="宋体"/>
      <w:sz w:val="28"/>
      <w:szCs w:val="20"/>
    </w:rPr>
  </w:style>
  <w:style w:type="character" w:customStyle="1" w:styleId="420">
    <w:name w:val="font01"/>
    <w:basedOn w:val="56"/>
    <w:qFormat/>
    <w:uiPriority w:val="0"/>
    <w:rPr>
      <w:rFonts w:hint="eastAsia" w:ascii="宋体" w:hAnsi="宋体" w:eastAsia="宋体" w:cs="宋体"/>
      <w:color w:val="000000"/>
      <w:sz w:val="21"/>
      <w:szCs w:val="21"/>
      <w:u w:val="none"/>
    </w:rPr>
  </w:style>
  <w:style w:type="character" w:customStyle="1" w:styleId="421">
    <w:name w:val="l_text Char"/>
    <w:link w:val="422"/>
    <w:qFormat/>
    <w:uiPriority w:val="0"/>
    <w:rPr>
      <w:rFonts w:ascii="宋体" w:hAnsi="宋体"/>
      <w:sz w:val="21"/>
      <w:szCs w:val="21"/>
      <w:lang w:val="en-GB"/>
    </w:rPr>
  </w:style>
  <w:style w:type="paragraph" w:customStyle="1" w:styleId="422">
    <w:name w:val="l_text"/>
    <w:basedOn w:val="1"/>
    <w:link w:val="421"/>
    <w:qFormat/>
    <w:uiPriority w:val="0"/>
    <w:pPr>
      <w:widowControl/>
      <w:overflowPunct w:val="0"/>
      <w:autoSpaceDE w:val="0"/>
      <w:autoSpaceDN w:val="0"/>
      <w:adjustRightInd w:val="0"/>
      <w:spacing w:after="20"/>
      <w:jc w:val="center"/>
      <w:textAlignment w:val="baseline"/>
    </w:pPr>
    <w:rPr>
      <w:rFonts w:ascii="宋体" w:hAnsi="宋体"/>
      <w:kern w:val="0"/>
      <w:szCs w:val="21"/>
      <w:lang w:val="en-GB"/>
    </w:rPr>
  </w:style>
  <w:style w:type="character" w:customStyle="1" w:styleId="423">
    <w:name w:val="样式 样式 标题 2 + Times New Roman 小三 非加粗 段前: 6 磅 段后: 6 磅 行距: 最小值 25..... Char"/>
    <w:link w:val="424"/>
    <w:qFormat/>
    <w:uiPriority w:val="0"/>
    <w:rPr>
      <w:rFonts w:eastAsia="黑体" w:cs="宋体"/>
      <w:bCs/>
      <w:kern w:val="2"/>
      <w:sz w:val="30"/>
      <w:szCs w:val="30"/>
    </w:rPr>
  </w:style>
  <w:style w:type="paragraph" w:customStyle="1" w:styleId="424">
    <w:name w:val="样式 样式 标题 2 + Times New Roman 小三 非加粗 段前: 6 磅 段后: 6 磅 行距: 最小值 25....."/>
    <w:basedOn w:val="425"/>
    <w:link w:val="423"/>
    <w:qFormat/>
    <w:uiPriority w:val="0"/>
    <w:rPr>
      <w:bCs/>
      <w:szCs w:val="30"/>
    </w:rPr>
  </w:style>
  <w:style w:type="paragraph" w:customStyle="1" w:styleId="425">
    <w:name w:val="样式 标题 2 + Times New Roman 小三 非加粗 段前: 6 磅 段后: 6 磅 行距: 最小值 25..."/>
    <w:basedOn w:val="3"/>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426">
    <w:name w:val="样式 标题 2标题 41标题 1.1标题 2 Char节sect 1.2H2 Char CharHeading ...1 Char"/>
    <w:link w:val="427"/>
    <w:qFormat/>
    <w:uiPriority w:val="0"/>
    <w:rPr>
      <w:rFonts w:eastAsia="黑体" w:cs="宋体"/>
      <w:kern w:val="2"/>
      <w:sz w:val="30"/>
    </w:rPr>
  </w:style>
  <w:style w:type="paragraph" w:customStyle="1" w:styleId="427">
    <w:name w:val="样式 标题 2标题 41标题 1.1标题 2 Char节sect 1.2H2 Char CharHeading ...1"/>
    <w:basedOn w:val="3"/>
    <w:link w:val="426"/>
    <w:qFormat/>
    <w:uiPriority w:val="0"/>
    <w:pPr>
      <w:autoSpaceDE/>
      <w:autoSpaceDN/>
      <w:adjustRightInd/>
      <w:spacing w:after="120" w:line="500" w:lineRule="atLeast"/>
      <w:jc w:val="both"/>
    </w:pPr>
    <w:rPr>
      <w:rFonts w:ascii="Times New Roman" w:hAnsi="Times New Roman" w:cs="宋体"/>
      <w:b w:val="0"/>
      <w:kern w:val="2"/>
    </w:rPr>
  </w:style>
  <w:style w:type="character" w:customStyle="1" w:styleId="428">
    <w:name w:val="样式 正文文本 + 首行缩进:  2 字符 Char"/>
    <w:link w:val="429"/>
    <w:qFormat/>
    <w:uiPriority w:val="0"/>
    <w:rPr>
      <w:rFonts w:cs="宋体"/>
      <w:kern w:val="2"/>
      <w:sz w:val="28"/>
    </w:rPr>
  </w:style>
  <w:style w:type="paragraph" w:customStyle="1" w:styleId="429">
    <w:name w:val="样式 正文文本 + 首行缩进:  2 字符"/>
    <w:basedOn w:val="22"/>
    <w:link w:val="428"/>
    <w:qFormat/>
    <w:uiPriority w:val="0"/>
    <w:pPr>
      <w:tabs>
        <w:tab w:val="clear" w:pos="567"/>
      </w:tabs>
      <w:spacing w:before="0" w:line="500" w:lineRule="atLeast"/>
      <w:ind w:firstLine="200" w:firstLineChars="200"/>
    </w:pPr>
    <w:rPr>
      <w:rFonts w:ascii="Times New Roman" w:hAnsi="Times New Roman" w:cs="宋体"/>
      <w:sz w:val="28"/>
      <w:szCs w:val="20"/>
    </w:rPr>
  </w:style>
  <w:style w:type="character" w:customStyle="1" w:styleId="430">
    <w:name w:val="headline-content"/>
    <w:qFormat/>
    <w:uiPriority w:val="0"/>
  </w:style>
  <w:style w:type="character" w:customStyle="1" w:styleId="431">
    <w:name w:val="font21"/>
    <w:basedOn w:val="56"/>
    <w:qFormat/>
    <w:uiPriority w:val="0"/>
    <w:rPr>
      <w:rFonts w:hint="eastAsia" w:ascii="微软雅黑" w:hAnsi="微软雅黑" w:eastAsia="微软雅黑" w:cs="微软雅黑"/>
      <w:color w:val="000000"/>
      <w:sz w:val="20"/>
      <w:szCs w:val="20"/>
      <w:u w:val="none"/>
    </w:rPr>
  </w:style>
  <w:style w:type="character" w:customStyle="1" w:styleId="432">
    <w:name w:val="样式 标题 2节Heading 2ph2h21head 08标题 1.1Chapter Heading2nd l... Char"/>
    <w:link w:val="433"/>
    <w:qFormat/>
    <w:uiPriority w:val="0"/>
    <w:rPr>
      <w:rFonts w:eastAsia="黑体"/>
      <w:bCs/>
      <w:color w:val="000000"/>
      <w:kern w:val="2"/>
      <w:sz w:val="30"/>
      <w:szCs w:val="32"/>
    </w:rPr>
  </w:style>
  <w:style w:type="paragraph" w:customStyle="1" w:styleId="433">
    <w:name w:val="样式 标题 2节Heading 2ph2h21head 08标题 1.1Chapter Heading2nd l..."/>
    <w:basedOn w:val="3"/>
    <w:link w:val="432"/>
    <w:qFormat/>
    <w:uiPriority w:val="0"/>
    <w:pPr>
      <w:autoSpaceDE/>
      <w:autoSpaceDN/>
      <w:adjustRightInd/>
      <w:spacing w:after="120" w:line="500" w:lineRule="atLeast"/>
      <w:jc w:val="both"/>
    </w:pPr>
    <w:rPr>
      <w:rFonts w:ascii="Times New Roman" w:hAnsi="Times New Roman"/>
      <w:b w:val="0"/>
      <w:bCs/>
      <w:color w:val="000000"/>
      <w:kern w:val="2"/>
      <w:szCs w:val="32"/>
    </w:rPr>
  </w:style>
  <w:style w:type="character" w:customStyle="1" w:styleId="434">
    <w:name w:val="样式 四号 首行缩进:  0.99 厘米 行距: 最小值 25 磅4 Char"/>
    <w:link w:val="435"/>
    <w:qFormat/>
    <w:uiPriority w:val="0"/>
    <w:rPr>
      <w:rFonts w:cs="宋体"/>
      <w:kern w:val="2"/>
      <w:sz w:val="28"/>
    </w:rPr>
  </w:style>
  <w:style w:type="paragraph" w:customStyle="1" w:styleId="435">
    <w:name w:val="样式 四号 首行缩进:  0.99 厘米 行距: 最小值 25 磅4"/>
    <w:basedOn w:val="1"/>
    <w:link w:val="434"/>
    <w:qFormat/>
    <w:uiPriority w:val="0"/>
    <w:pPr>
      <w:spacing w:line="500" w:lineRule="atLeast"/>
      <w:ind w:firstLine="561"/>
    </w:pPr>
    <w:rPr>
      <w:rFonts w:cs="宋体"/>
      <w:sz w:val="28"/>
      <w:szCs w:val="20"/>
    </w:rPr>
  </w:style>
  <w:style w:type="character" w:customStyle="1" w:styleId="436">
    <w:name w:val="样式 首行缩进:  0.99 厘米 行距: 最小值 25 磅 Char"/>
    <w:link w:val="437"/>
    <w:qFormat/>
    <w:uiPriority w:val="0"/>
    <w:rPr>
      <w:rFonts w:cs="宋体"/>
      <w:kern w:val="2"/>
      <w:sz w:val="28"/>
    </w:rPr>
  </w:style>
  <w:style w:type="paragraph" w:customStyle="1" w:styleId="437">
    <w:name w:val="样式 首行缩进:  0.99 厘米 行距: 最小值 25 磅"/>
    <w:basedOn w:val="1"/>
    <w:link w:val="436"/>
    <w:qFormat/>
    <w:uiPriority w:val="0"/>
    <w:pPr>
      <w:spacing w:line="500" w:lineRule="atLeast"/>
      <w:ind w:firstLine="561"/>
    </w:pPr>
    <w:rPr>
      <w:rFonts w:cs="宋体"/>
      <w:sz w:val="28"/>
      <w:szCs w:val="20"/>
    </w:rPr>
  </w:style>
  <w:style w:type="character" w:customStyle="1" w:styleId="438">
    <w:name w:val="样式 正文文本缩进 + 首行缩进:  0.99 厘米 行距: 最小值 24 磅 Char"/>
    <w:link w:val="439"/>
    <w:qFormat/>
    <w:uiPriority w:val="0"/>
    <w:rPr>
      <w:rFonts w:cs="宋体"/>
      <w:kern w:val="2"/>
      <w:sz w:val="28"/>
    </w:rPr>
  </w:style>
  <w:style w:type="paragraph" w:customStyle="1" w:styleId="439">
    <w:name w:val="样式 正文文本缩进 + 首行缩进:  0.99 厘米 行距: 最小值 24 磅"/>
    <w:basedOn w:val="23"/>
    <w:link w:val="438"/>
    <w:qFormat/>
    <w:uiPriority w:val="0"/>
    <w:pPr>
      <w:spacing w:line="500" w:lineRule="atLeast"/>
      <w:ind w:firstLine="561"/>
    </w:pPr>
    <w:rPr>
      <w:rFonts w:cs="宋体"/>
      <w:sz w:val="28"/>
      <w:szCs w:val="20"/>
    </w:rPr>
  </w:style>
  <w:style w:type="character" w:customStyle="1" w:styleId="440">
    <w:name w:val="样式 样式 样式4 + (中文) 黑体 非加粗 黑色 居中 + (中文) 宋体 自动设置 Char"/>
    <w:qFormat/>
    <w:uiPriority w:val="0"/>
    <w:rPr>
      <w:rFonts w:eastAsia="黑体" w:cs="宋体"/>
      <w:b/>
      <w:color w:val="000000"/>
      <w:kern w:val="2"/>
      <w:sz w:val="28"/>
      <w:szCs w:val="28"/>
      <w:lang w:val="en-US" w:eastAsia="zh-CN" w:bidi="ar-SA"/>
    </w:rPr>
  </w:style>
  <w:style w:type="character" w:customStyle="1" w:styleId="441">
    <w:name w:val="样式 样式 正文文本缩进Body Text 2Body Text1HD正文1 + 四号 黑色 首行缩进:  0.97 厘米...... Char"/>
    <w:link w:val="442"/>
    <w:qFormat/>
    <w:uiPriority w:val="0"/>
    <w:rPr>
      <w:rFonts w:cs="宋体"/>
      <w:kern w:val="2"/>
      <w:sz w:val="28"/>
      <w:szCs w:val="28"/>
    </w:rPr>
  </w:style>
  <w:style w:type="paragraph" w:customStyle="1" w:styleId="442">
    <w:name w:val="样式 样式 正文文本缩进Body Text 2Body Text1HD正文1 + 四号 黑色 首行缩进:  0.97 厘米......"/>
    <w:basedOn w:val="1"/>
    <w:link w:val="441"/>
    <w:qFormat/>
    <w:uiPriority w:val="0"/>
    <w:pPr>
      <w:spacing w:line="500" w:lineRule="atLeast"/>
      <w:ind w:firstLine="561"/>
    </w:pPr>
    <w:rPr>
      <w:rFonts w:cs="宋体"/>
      <w:sz w:val="28"/>
      <w:szCs w:val="28"/>
    </w:rPr>
  </w:style>
  <w:style w:type="character" w:customStyle="1" w:styleId="443">
    <w:name w:val="样式 样式 样式 样式 样式 样式 样式 样式 样式 小四 行距: 最小值 24 磅 + 首行缩进:  2 字符 + 首行缩进:... Char"/>
    <w:link w:val="444"/>
    <w:qFormat/>
    <w:uiPriority w:val="0"/>
    <w:rPr>
      <w:rFonts w:cs="宋体"/>
      <w:kern w:val="2"/>
      <w:sz w:val="28"/>
    </w:rPr>
  </w:style>
  <w:style w:type="paragraph" w:customStyle="1" w:styleId="444">
    <w:name w:val="样式 样式 样式 样式 样式 样式 样式 样式 样式 小四 行距: 最小值 24 磅 + 首行缩进:  2 字符 + 首行缩进:..."/>
    <w:basedOn w:val="1"/>
    <w:link w:val="443"/>
    <w:qFormat/>
    <w:uiPriority w:val="0"/>
    <w:pPr>
      <w:spacing w:line="500" w:lineRule="atLeast"/>
      <w:ind w:firstLine="560" w:firstLineChars="200"/>
    </w:pPr>
    <w:rPr>
      <w:rFonts w:cs="宋体"/>
      <w:sz w:val="28"/>
      <w:szCs w:val="20"/>
    </w:rPr>
  </w:style>
  <w:style w:type="character" w:customStyle="1" w:styleId="445">
    <w:name w:val="样式 样式 样式 样式 样式 标题 3 + 黑色 + 自动设置 + 黑色 + 自动设置 + 字距调整四号 Char"/>
    <w:link w:val="446"/>
    <w:qFormat/>
    <w:uiPriority w:val="0"/>
    <w:rPr>
      <w:rFonts w:eastAsia="黑体"/>
      <w:kern w:val="28"/>
      <w:sz w:val="28"/>
      <w:szCs w:val="32"/>
    </w:rPr>
  </w:style>
  <w:style w:type="paragraph" w:customStyle="1" w:styleId="446">
    <w:name w:val="样式 样式 样式 样式 样式 标题 3 + 黑色 + 自动设置 + 黑色 + 自动设置 + 字距调整四号"/>
    <w:basedOn w:val="1"/>
    <w:link w:val="445"/>
    <w:qFormat/>
    <w:uiPriority w:val="0"/>
    <w:pPr>
      <w:keepNext/>
      <w:keepLines/>
      <w:spacing w:before="60" w:after="60" w:line="500" w:lineRule="atLeast"/>
      <w:outlineLvl w:val="2"/>
    </w:pPr>
    <w:rPr>
      <w:rFonts w:eastAsia="黑体"/>
      <w:kern w:val="28"/>
      <w:sz w:val="28"/>
      <w:szCs w:val="32"/>
    </w:rPr>
  </w:style>
  <w:style w:type="character" w:customStyle="1" w:styleId="447">
    <w:name w:val="正文+缩进 Char"/>
    <w:link w:val="448"/>
    <w:qFormat/>
    <w:uiPriority w:val="0"/>
    <w:rPr>
      <w:rFonts w:ascii="宋体" w:hAnsi="宋体"/>
      <w:sz w:val="28"/>
      <w:szCs w:val="28"/>
      <w:lang w:val="en-US" w:eastAsia="zh-CN"/>
    </w:rPr>
  </w:style>
  <w:style w:type="paragraph" w:customStyle="1" w:styleId="448">
    <w:name w:val="正文+缩进"/>
    <w:basedOn w:val="1"/>
    <w:link w:val="447"/>
    <w:qFormat/>
    <w:uiPriority w:val="0"/>
    <w:pPr>
      <w:spacing w:after="120" w:line="460" w:lineRule="atLeast"/>
      <w:ind w:firstLine="560" w:firstLineChars="200"/>
      <w:jc w:val="left"/>
    </w:pPr>
    <w:rPr>
      <w:rFonts w:ascii="宋体" w:hAnsi="宋体"/>
      <w:kern w:val="0"/>
      <w:sz w:val="28"/>
      <w:szCs w:val="28"/>
    </w:rPr>
  </w:style>
  <w:style w:type="character" w:customStyle="1" w:styleId="449">
    <w:name w:val="样式 标题 3三级标题标题 3 Char Char Char标题 3 Char Char标题 3 Char Char C... Char"/>
    <w:link w:val="450"/>
    <w:qFormat/>
    <w:uiPriority w:val="0"/>
    <w:rPr>
      <w:rFonts w:ascii="黑体" w:hAnsi="宋体" w:eastAsia="黑体"/>
      <w:kern w:val="2"/>
      <w:sz w:val="28"/>
      <w:szCs w:val="28"/>
    </w:rPr>
  </w:style>
  <w:style w:type="paragraph" w:customStyle="1" w:styleId="450">
    <w:name w:val="样式 标题 3三级标题标题 3 Char Char Char标题 3 Char Char标题 3 Char Char C..."/>
    <w:basedOn w:val="4"/>
    <w:link w:val="449"/>
    <w:qFormat/>
    <w:uiPriority w:val="0"/>
    <w:pPr>
      <w:autoSpaceDE/>
      <w:autoSpaceDN/>
      <w:adjustRightInd/>
      <w:spacing w:before="60" w:after="60" w:line="360" w:lineRule="auto"/>
      <w:jc w:val="both"/>
    </w:pPr>
    <w:rPr>
      <w:rFonts w:ascii="黑体" w:hAnsi="宋体" w:eastAsia="黑体"/>
      <w:b w:val="0"/>
      <w:kern w:val="2"/>
      <w:sz w:val="28"/>
      <w:szCs w:val="28"/>
      <w:u w:val="none"/>
    </w:rPr>
  </w:style>
  <w:style w:type="character" w:customStyle="1" w:styleId="451">
    <w:name w:val="样式 标题 1 + 黑色 Char"/>
    <w:link w:val="452"/>
    <w:qFormat/>
    <w:uiPriority w:val="0"/>
    <w:rPr>
      <w:rFonts w:eastAsia="黑体"/>
      <w:bCs/>
      <w:color w:val="000000"/>
      <w:kern w:val="44"/>
      <w:sz w:val="32"/>
      <w:szCs w:val="44"/>
    </w:rPr>
  </w:style>
  <w:style w:type="paragraph" w:customStyle="1" w:styleId="452">
    <w:name w:val="样式 标题 1 + 黑色"/>
    <w:basedOn w:val="2"/>
    <w:link w:val="451"/>
    <w:qFormat/>
    <w:uiPriority w:val="0"/>
    <w:pPr>
      <w:keepLines w:val="0"/>
      <w:autoSpaceDE/>
      <w:autoSpaceDN/>
      <w:adjustRightInd/>
      <w:spacing w:beforeLines="100" w:after="240" w:afterLines="100" w:line="500" w:lineRule="atLeast"/>
      <w:jc w:val="both"/>
    </w:pPr>
    <w:rPr>
      <w:rFonts w:ascii="Times New Roman" w:eastAsia="黑体"/>
      <w:b w:val="0"/>
      <w:bCs/>
      <w:color w:val="000000"/>
      <w:szCs w:val="44"/>
    </w:rPr>
  </w:style>
  <w:style w:type="character" w:customStyle="1" w:styleId="453">
    <w:name w:val="样式 (西文) Times New Roman 四号 行距: 最小值 25 磅 首行缩进:  2 字符 Char"/>
    <w:link w:val="454"/>
    <w:qFormat/>
    <w:uiPriority w:val="0"/>
    <w:rPr>
      <w:rFonts w:cs="宋体"/>
      <w:kern w:val="2"/>
      <w:sz w:val="28"/>
    </w:rPr>
  </w:style>
  <w:style w:type="paragraph" w:customStyle="1" w:styleId="454">
    <w:name w:val="样式 (西文) Times New Roman 四号 行距: 最小值 25 磅 首行缩进:  2 字符"/>
    <w:basedOn w:val="1"/>
    <w:link w:val="453"/>
    <w:qFormat/>
    <w:uiPriority w:val="0"/>
    <w:pPr>
      <w:spacing w:line="500" w:lineRule="atLeast"/>
      <w:ind w:firstLine="560" w:firstLineChars="200"/>
    </w:pPr>
    <w:rPr>
      <w:rFonts w:cs="宋体"/>
      <w:sz w:val="28"/>
      <w:szCs w:val="20"/>
    </w:rPr>
  </w:style>
  <w:style w:type="character" w:customStyle="1" w:styleId="455">
    <w:name w:val="样式 样式 首行缩进:  2 字符1 + 首行缩进:  2 字符 Char"/>
    <w:link w:val="456"/>
    <w:qFormat/>
    <w:uiPriority w:val="0"/>
    <w:rPr>
      <w:rFonts w:cs="宋体"/>
      <w:kern w:val="2"/>
      <w:sz w:val="28"/>
    </w:rPr>
  </w:style>
  <w:style w:type="paragraph" w:customStyle="1" w:styleId="456">
    <w:name w:val="样式 样式 首行缩进:  2 字符1 + 首行缩进:  2 字符"/>
    <w:basedOn w:val="1"/>
    <w:link w:val="455"/>
    <w:qFormat/>
    <w:uiPriority w:val="0"/>
    <w:pPr>
      <w:spacing w:line="500" w:lineRule="atLeast"/>
      <w:ind w:firstLine="200" w:firstLineChars="200"/>
    </w:pPr>
    <w:rPr>
      <w:rFonts w:cs="宋体"/>
      <w:sz w:val="28"/>
      <w:szCs w:val="20"/>
    </w:rPr>
  </w:style>
  <w:style w:type="character" w:customStyle="1" w:styleId="457">
    <w:name w:val="样式 四号 行距: 最小值 25 磅1 Char"/>
    <w:link w:val="458"/>
    <w:qFormat/>
    <w:uiPriority w:val="0"/>
    <w:rPr>
      <w:rFonts w:cs="宋体"/>
      <w:spacing w:val="-2"/>
      <w:kern w:val="2"/>
      <w:sz w:val="28"/>
    </w:rPr>
  </w:style>
  <w:style w:type="paragraph" w:customStyle="1" w:styleId="458">
    <w:name w:val="样式 四号 行距: 最小值 25 磅1"/>
    <w:basedOn w:val="1"/>
    <w:link w:val="457"/>
    <w:qFormat/>
    <w:uiPriority w:val="0"/>
    <w:pPr>
      <w:spacing w:line="500" w:lineRule="atLeast"/>
      <w:ind w:firstLine="200" w:firstLineChars="200"/>
    </w:pPr>
    <w:rPr>
      <w:rFonts w:cs="宋体"/>
      <w:spacing w:val="-2"/>
      <w:sz w:val="28"/>
      <w:szCs w:val="20"/>
    </w:rPr>
  </w:style>
  <w:style w:type="character" w:customStyle="1" w:styleId="459">
    <w:name w:val="样式6 Char"/>
    <w:link w:val="460"/>
    <w:qFormat/>
    <w:uiPriority w:val="0"/>
    <w:rPr>
      <w:rFonts w:cs="宋体"/>
      <w:kern w:val="2"/>
      <w:sz w:val="28"/>
      <w:szCs w:val="28"/>
    </w:rPr>
  </w:style>
  <w:style w:type="paragraph" w:customStyle="1" w:styleId="460">
    <w:name w:val="样式6"/>
    <w:basedOn w:val="1"/>
    <w:link w:val="459"/>
    <w:qFormat/>
    <w:uiPriority w:val="0"/>
    <w:pPr>
      <w:spacing w:line="500" w:lineRule="atLeast"/>
      <w:ind w:firstLine="561"/>
    </w:pPr>
    <w:rPr>
      <w:rFonts w:cs="宋体"/>
      <w:sz w:val="28"/>
      <w:szCs w:val="28"/>
    </w:rPr>
  </w:style>
  <w:style w:type="character" w:customStyle="1" w:styleId="461">
    <w:name w:val="样式 正文文本缩进 2 + 行距: 最小值 25 磅 Char"/>
    <w:link w:val="462"/>
    <w:qFormat/>
    <w:uiPriority w:val="0"/>
    <w:rPr>
      <w:rFonts w:cs="宋体"/>
      <w:kern w:val="28"/>
      <w:sz w:val="28"/>
    </w:rPr>
  </w:style>
  <w:style w:type="paragraph" w:customStyle="1" w:styleId="462">
    <w:name w:val="样式 正文文本缩进 2 + 行距: 最小值 25 磅"/>
    <w:basedOn w:val="32"/>
    <w:link w:val="461"/>
    <w:qFormat/>
    <w:uiPriority w:val="0"/>
    <w:pPr>
      <w:adjustRightInd w:val="0"/>
      <w:snapToGrid w:val="0"/>
      <w:spacing w:line="500" w:lineRule="atLeast"/>
      <w:ind w:firstLine="200"/>
    </w:pPr>
    <w:rPr>
      <w:rFonts w:ascii="Times New Roman" w:eastAsia="宋体" w:cs="宋体"/>
      <w:kern w:val="28"/>
      <w:sz w:val="28"/>
      <w:szCs w:val="20"/>
    </w:rPr>
  </w:style>
  <w:style w:type="character" w:customStyle="1" w:styleId="463">
    <w:name w:val="页脚 字符1"/>
    <w:basedOn w:val="56"/>
    <w:qFormat/>
    <w:uiPriority w:val="99"/>
    <w:rPr>
      <w:kern w:val="2"/>
      <w:sz w:val="18"/>
      <w:szCs w:val="18"/>
    </w:rPr>
  </w:style>
  <w:style w:type="character" w:customStyle="1" w:styleId="464">
    <w:name w:val="批注主题 字符1"/>
    <w:basedOn w:val="77"/>
    <w:qFormat/>
    <w:uiPriority w:val="99"/>
    <w:rPr>
      <w:b/>
      <w:bCs/>
      <w:kern w:val="2"/>
      <w:sz w:val="21"/>
      <w:szCs w:val="24"/>
    </w:rPr>
  </w:style>
  <w:style w:type="character" w:customStyle="1" w:styleId="465">
    <w:name w:val="日期 字符1"/>
    <w:basedOn w:val="56"/>
    <w:qFormat/>
    <w:uiPriority w:val="99"/>
    <w:rPr>
      <w:kern w:val="2"/>
      <w:sz w:val="21"/>
      <w:szCs w:val="24"/>
    </w:rPr>
  </w:style>
  <w:style w:type="paragraph" w:customStyle="1" w:styleId="466">
    <w:name w:val="样式 标题 3头标题 3 Char Char Char标题 3 Char Char + (中文) 黑体 四号 非加粗..."/>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467">
    <w:name w:val="样式 标题 2Heading 2ph2h21head 08节标题 1.1Title Header2标题 w2标..."/>
    <w:basedOn w:val="3"/>
    <w:qFormat/>
    <w:uiPriority w:val="0"/>
    <w:pPr>
      <w:autoSpaceDE/>
      <w:autoSpaceDN/>
      <w:adjustRightInd/>
      <w:spacing w:after="120" w:line="500" w:lineRule="atLeast"/>
      <w:jc w:val="both"/>
    </w:pPr>
    <w:rPr>
      <w:rFonts w:ascii="Times New Roman" w:hAnsi="Times New Roman"/>
      <w:b w:val="0"/>
      <w:kern w:val="2"/>
      <w:szCs w:val="32"/>
    </w:rPr>
  </w:style>
  <w:style w:type="paragraph" w:customStyle="1" w:styleId="468">
    <w:name w:val="样式 样式 样式 标题 2H2Heading 2 HiddenHeading 2 CCBSTitre3Level 2 Headh..."/>
    <w:basedOn w:val="1"/>
    <w:qFormat/>
    <w:uiPriority w:val="0"/>
    <w:pPr>
      <w:keepNext/>
      <w:keepLines/>
      <w:spacing w:before="120" w:after="120" w:line="500" w:lineRule="atLeast"/>
      <w:outlineLvl w:val="1"/>
    </w:pPr>
    <w:rPr>
      <w:rFonts w:eastAsia="黑体" w:cs="宋体"/>
      <w:sz w:val="30"/>
      <w:szCs w:val="20"/>
    </w:rPr>
  </w:style>
  <w:style w:type="paragraph" w:customStyle="1" w:styleId="469">
    <w:name w:val="xl7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70">
    <w:name w:val="样式 (中文) 黑体 黑色 居中 首行缩进:  0 厘米 段前: 6 磅 段后: 6 磅 行距: 单倍行距4"/>
    <w:basedOn w:val="1"/>
    <w:qFormat/>
    <w:uiPriority w:val="0"/>
    <w:pPr>
      <w:spacing w:before="120" w:after="120"/>
      <w:ind w:left="-3" w:leftChars="-1"/>
      <w:jc w:val="center"/>
    </w:pPr>
    <w:rPr>
      <w:rFonts w:eastAsia="黑体" w:cs="宋体"/>
      <w:color w:val="000000"/>
      <w:sz w:val="28"/>
      <w:szCs w:val="20"/>
    </w:rPr>
  </w:style>
  <w:style w:type="paragraph" w:customStyle="1" w:styleId="471">
    <w:name w:val="样式 (中文) 黑体 三号 居中 首行缩进:  0 厘米 段前: 6 磅 加宽量  0.7 磅"/>
    <w:basedOn w:val="1"/>
    <w:qFormat/>
    <w:uiPriority w:val="0"/>
    <w:pPr>
      <w:spacing w:before="120" w:line="500" w:lineRule="atLeast"/>
      <w:jc w:val="center"/>
    </w:pPr>
    <w:rPr>
      <w:rFonts w:eastAsia="黑体" w:cs="宋体"/>
      <w:spacing w:val="14"/>
      <w:sz w:val="32"/>
      <w:szCs w:val="20"/>
    </w:rPr>
  </w:style>
  <w:style w:type="paragraph" w:customStyle="1" w:styleId="472">
    <w:name w:val="xl65"/>
    <w:basedOn w:val="1"/>
    <w:qFormat/>
    <w:uiPriority w:val="0"/>
    <w:pPr>
      <w:widowControl/>
      <w:spacing w:before="100" w:beforeAutospacing="1" w:after="100" w:afterAutospacing="1"/>
      <w:jc w:val="left"/>
    </w:pPr>
    <w:rPr>
      <w:kern w:val="0"/>
      <w:sz w:val="24"/>
    </w:rPr>
  </w:style>
  <w:style w:type="paragraph" w:customStyle="1" w:styleId="473">
    <w:name w:val="样式 标题 2节H2UNDERRUBRIK 1-2h2l22nd level2Header 2标题 2my2..."/>
    <w:basedOn w:val="3"/>
    <w:qFormat/>
    <w:uiPriority w:val="0"/>
    <w:pPr>
      <w:autoSpaceDE/>
      <w:autoSpaceDN/>
      <w:adjustRightInd/>
      <w:spacing w:after="120" w:line="600" w:lineRule="atLeast"/>
      <w:jc w:val="both"/>
    </w:pPr>
    <w:rPr>
      <w:rFonts w:ascii="Times New Roman" w:hAnsi="Times New Roman" w:cs="宋体"/>
      <w:b w:val="0"/>
      <w:kern w:val="2"/>
      <w:sz w:val="28"/>
    </w:rPr>
  </w:style>
  <w:style w:type="paragraph" w:customStyle="1" w:styleId="474">
    <w:name w:val="样式 样式 (中文) 黑体 四号 居中 段前: 3 磅 段后: 3 磅 + 黑色 段前: 6 磅 段后: 6 磅"/>
    <w:basedOn w:val="1"/>
    <w:qFormat/>
    <w:uiPriority w:val="0"/>
    <w:pPr>
      <w:spacing w:before="120" w:after="120"/>
      <w:jc w:val="center"/>
    </w:pPr>
    <w:rPr>
      <w:rFonts w:eastAsia="黑体" w:cs="宋体"/>
      <w:color w:val="000000"/>
      <w:sz w:val="28"/>
      <w:szCs w:val="20"/>
    </w:rPr>
  </w:style>
  <w:style w:type="paragraph" w:customStyle="1" w:styleId="475">
    <w:name w:val="xl66"/>
    <w:basedOn w:val="1"/>
    <w:qFormat/>
    <w:uiPriority w:val="0"/>
    <w:pPr>
      <w:widowControl/>
      <w:spacing w:before="100" w:beforeAutospacing="1" w:after="100" w:afterAutospacing="1"/>
      <w:jc w:val="left"/>
      <w:textAlignment w:val="center"/>
    </w:pPr>
    <w:rPr>
      <w:rFonts w:ascii="宋体" w:hAnsi="宋体" w:cs="宋体"/>
      <w:kern w:val="0"/>
      <w:sz w:val="24"/>
    </w:rPr>
  </w:style>
  <w:style w:type="paragraph" w:customStyle="1" w:styleId="476">
    <w:name w:val="xl7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77">
    <w:name w:val="样式 样式 标题 1 + (中文) 黑体 三号 非加粗 + 段前: 12 磅 段后: 12 磅 行距: 最小值 25 磅"/>
    <w:basedOn w:val="1"/>
    <w:qFormat/>
    <w:uiPriority w:val="0"/>
    <w:pPr>
      <w:keepNext/>
      <w:keepLines/>
      <w:spacing w:before="240" w:after="240" w:line="500" w:lineRule="atLeast"/>
      <w:outlineLvl w:val="0"/>
    </w:pPr>
    <w:rPr>
      <w:rFonts w:eastAsia="黑体" w:cs="宋体"/>
      <w:kern w:val="44"/>
      <w:sz w:val="32"/>
      <w:szCs w:val="20"/>
    </w:rPr>
  </w:style>
  <w:style w:type="paragraph" w:customStyle="1" w:styleId="478">
    <w:name w:val="paragraph-1"/>
    <w:basedOn w:val="1"/>
    <w:qFormat/>
    <w:uiPriority w:val="0"/>
    <w:pPr>
      <w:spacing w:line="360" w:lineRule="auto"/>
      <w:ind w:firstLine="200" w:firstLineChars="200"/>
    </w:pPr>
    <w:rPr>
      <w:rFonts w:ascii="Calibri" w:hAnsi="Calibri" w:eastAsia="仿宋_GB2312"/>
      <w:sz w:val="28"/>
      <w:szCs w:val="28"/>
    </w:rPr>
  </w:style>
  <w:style w:type="paragraph" w:customStyle="1" w:styleId="479">
    <w:name w:val="样式 样式 首行缩进:  0 厘米 + 行距: 最小值 26 磅"/>
    <w:basedOn w:val="1"/>
    <w:qFormat/>
    <w:uiPriority w:val="0"/>
    <w:pPr>
      <w:spacing w:line="500" w:lineRule="atLeast"/>
      <w:ind w:firstLine="561"/>
    </w:pPr>
    <w:rPr>
      <w:rFonts w:cs="宋体"/>
      <w:sz w:val="28"/>
      <w:szCs w:val="20"/>
    </w:rPr>
  </w:style>
  <w:style w:type="paragraph" w:customStyle="1" w:styleId="480">
    <w:name w:val="xl61"/>
    <w:basedOn w:val="1"/>
    <w:qFormat/>
    <w:uiPriority w:val="0"/>
    <w:pPr>
      <w:widowControl/>
      <w:pBdr>
        <w:top w:val="single" w:color="auto" w:sz="8" w:space="0"/>
        <w:left w:val="single" w:color="auto" w:sz="8" w:space="0"/>
        <w:right w:val="single" w:color="auto" w:sz="4" w:space="0"/>
      </w:pBdr>
      <w:spacing w:before="100" w:beforeAutospacing="1" w:after="100" w:afterAutospacing="1" w:line="500" w:lineRule="atLeast"/>
      <w:ind w:firstLine="561"/>
      <w:jc w:val="center"/>
      <w:textAlignment w:val="center"/>
    </w:pPr>
    <w:rPr>
      <w:rFonts w:ascii="Arial Unicode MS" w:hAnsi="Arial Unicode MS" w:eastAsia="Arial Unicode MS" w:cs="Arial Unicode MS"/>
      <w:kern w:val="0"/>
      <w:sz w:val="20"/>
      <w:szCs w:val="28"/>
    </w:rPr>
  </w:style>
  <w:style w:type="paragraph" w:customStyle="1" w:styleId="481">
    <w:name w:val="Char Char Char Char"/>
    <w:basedOn w:val="1"/>
    <w:qFormat/>
    <w:uiPriority w:val="0"/>
    <w:pPr>
      <w:spacing w:before="120" w:after="120" w:line="500" w:lineRule="atLeast"/>
      <w:jc w:val="left"/>
    </w:pPr>
    <w:rPr>
      <w:sz w:val="30"/>
      <w:szCs w:val="30"/>
    </w:rPr>
  </w:style>
  <w:style w:type="paragraph" w:customStyle="1" w:styleId="482">
    <w:name w:val="样式 样式 标题 3头标题 3 Char Char Char标题 3 Char Char + (中文) 黑体 四号 非加粗......"/>
    <w:basedOn w:val="466"/>
    <w:qFormat/>
    <w:uiPriority w:val="0"/>
  </w:style>
  <w:style w:type="paragraph" w:customStyle="1" w:styleId="483">
    <w:name w:val="xl7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84">
    <w:name w:val="样式 正文缩进表正文正文非缩进标题4特点段1正文（首行缩进两字） Char Char特点 Char Char Ch...1"/>
    <w:basedOn w:val="14"/>
    <w:qFormat/>
    <w:uiPriority w:val="0"/>
    <w:pPr>
      <w:autoSpaceDE/>
      <w:autoSpaceDN/>
      <w:adjustRightInd/>
      <w:ind w:firstLine="0"/>
      <w:jc w:val="center"/>
    </w:pPr>
    <w:rPr>
      <w:rFonts w:ascii="Times New Roman" w:cs="宋体"/>
      <w:color w:val="000000"/>
      <w:sz w:val="21"/>
      <w:szCs w:val="20"/>
    </w:rPr>
  </w:style>
  <w:style w:type="paragraph" w:customStyle="1" w:styleId="485">
    <w:name w:val="样式 四号 黑色 首行缩进:  0.99 厘米 行距: 1.5 倍行距"/>
    <w:basedOn w:val="1"/>
    <w:qFormat/>
    <w:uiPriority w:val="0"/>
    <w:pPr>
      <w:spacing w:line="500" w:lineRule="atLeast"/>
      <w:ind w:firstLine="561"/>
    </w:pPr>
    <w:rPr>
      <w:rFonts w:cs="宋体"/>
      <w:color w:val="000000"/>
      <w:sz w:val="28"/>
      <w:szCs w:val="20"/>
    </w:rPr>
  </w:style>
  <w:style w:type="paragraph" w:customStyle="1" w:styleId="486">
    <w:name w:val="样式 四号 左侧:  0.99 厘米 悬挂缩进: 2.8 字符 行距: 最小值 25 磅"/>
    <w:basedOn w:val="1"/>
    <w:qFormat/>
    <w:uiPriority w:val="0"/>
    <w:pPr>
      <w:spacing w:line="500" w:lineRule="atLeast"/>
      <w:ind w:firstLine="561"/>
    </w:pPr>
    <w:rPr>
      <w:rFonts w:cs="宋体"/>
      <w:sz w:val="28"/>
      <w:szCs w:val="20"/>
    </w:rPr>
  </w:style>
  <w:style w:type="paragraph" w:customStyle="1" w:styleId="487">
    <w:name w:val="xl73"/>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88">
    <w:name w:val="xl7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89">
    <w:name w:val="样式 样式1 + 小四"/>
    <w:basedOn w:val="1"/>
    <w:qFormat/>
    <w:uiPriority w:val="0"/>
    <w:pPr>
      <w:spacing w:before="120" w:after="120"/>
      <w:jc w:val="center"/>
    </w:pPr>
    <w:rPr>
      <w:sz w:val="24"/>
      <w:szCs w:val="28"/>
    </w:rPr>
  </w:style>
  <w:style w:type="paragraph" w:customStyle="1" w:styleId="490">
    <w:name w:val="样式 样式 样式 样式 样式 样式 四号 行距: 最小值 24 磅 + 首行缩进:  2 字符 行距: 1.5 倍行距 + (符..."/>
    <w:basedOn w:val="1"/>
    <w:qFormat/>
    <w:uiPriority w:val="0"/>
    <w:pPr>
      <w:spacing w:before="50" w:beforeLines="50" w:after="50" w:afterLines="50"/>
      <w:jc w:val="center"/>
    </w:pPr>
    <w:rPr>
      <w:rFonts w:eastAsia="黑体" w:cs="宋体"/>
      <w:sz w:val="28"/>
      <w:szCs w:val="20"/>
    </w:rPr>
  </w:style>
  <w:style w:type="paragraph" w:customStyle="1" w:styleId="491">
    <w:name w:val="样式 正文首行缩进正文+编号 +"/>
    <w:basedOn w:val="51"/>
    <w:qFormat/>
    <w:uiPriority w:val="0"/>
    <w:pPr>
      <w:spacing w:after="0" w:line="480" w:lineRule="exact"/>
      <w:ind w:firstLine="200" w:firstLineChars="200"/>
      <w:textAlignment w:val="center"/>
    </w:pPr>
    <w:rPr>
      <w:rFonts w:cs="宋体"/>
      <w:kern w:val="0"/>
      <w:sz w:val="28"/>
      <w:szCs w:val="20"/>
    </w:rPr>
  </w:style>
  <w:style w:type="paragraph" w:customStyle="1" w:styleId="492">
    <w:name w:val="样式 样式 五号 居中 首行缩进:  0 厘米 行距: 单倍行距 + (符号) 宋体1"/>
    <w:basedOn w:val="493"/>
    <w:qFormat/>
    <w:uiPriority w:val="0"/>
  </w:style>
  <w:style w:type="paragraph" w:customStyle="1" w:styleId="493">
    <w:name w:val="样式 五号 居中 首行缩进:  0 厘米 行距: 单倍行距"/>
    <w:basedOn w:val="1"/>
    <w:qFormat/>
    <w:uiPriority w:val="0"/>
    <w:pPr>
      <w:jc w:val="center"/>
    </w:pPr>
    <w:rPr>
      <w:rFonts w:cs="宋体"/>
      <w:szCs w:val="20"/>
    </w:rPr>
  </w:style>
  <w:style w:type="paragraph" w:customStyle="1" w:styleId="494">
    <w:name w:val="xl7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495">
    <w:name w:val="样式 样式 样式 样式 五号 居中 首行缩进:  0 厘米 行距: 单倍行距 + (符号) 宋体 + + (符号) Times ...1"/>
    <w:basedOn w:val="1"/>
    <w:qFormat/>
    <w:uiPriority w:val="0"/>
    <w:pPr>
      <w:jc w:val="center"/>
    </w:pPr>
    <w:rPr>
      <w:rFonts w:hAnsi="宋体" w:cs="宋体"/>
      <w:szCs w:val="20"/>
    </w:rPr>
  </w:style>
  <w:style w:type="paragraph" w:customStyle="1" w:styleId="496">
    <w:name w:val="样式 样式 标题 1 + 行距: 最小值 25 磅2 + 左侧:  0 厘米 悬挂缩进: 4.2 字符"/>
    <w:basedOn w:val="332"/>
    <w:qFormat/>
    <w:uiPriority w:val="0"/>
    <w:pPr>
      <w:ind w:left="420" w:hanging="420"/>
    </w:pPr>
  </w:style>
  <w:style w:type="paragraph" w:customStyle="1" w:styleId="497">
    <w:name w:val="样式 图片标注 + 左侧:  -0.97 厘米"/>
    <w:basedOn w:val="1"/>
    <w:qFormat/>
    <w:uiPriority w:val="0"/>
    <w:pPr>
      <w:spacing w:before="120" w:after="50" w:afterLines="50"/>
      <w:jc w:val="center"/>
    </w:pPr>
    <w:rPr>
      <w:rFonts w:eastAsia="黑体" w:cs="宋体"/>
      <w:spacing w:val="-2"/>
      <w:kern w:val="0"/>
      <w:sz w:val="28"/>
      <w:szCs w:val="20"/>
    </w:rPr>
  </w:style>
  <w:style w:type="paragraph" w:customStyle="1" w:styleId="498">
    <w:name w:val="xl89"/>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499">
    <w:name w:val="样式 标题 3 + 四号 非加粗 段前: 0 磅 段后: 0 磅 行距: 最小值 24 磅"/>
    <w:basedOn w:val="4"/>
    <w:qFormat/>
    <w:uiPriority w:val="0"/>
    <w:pPr>
      <w:autoSpaceDE/>
      <w:autoSpaceDN/>
      <w:adjustRightInd/>
      <w:spacing w:before="60" w:after="60" w:line="500" w:lineRule="atLeast"/>
      <w:jc w:val="both"/>
    </w:pPr>
    <w:rPr>
      <w:rFonts w:ascii="Times New Roman" w:eastAsia="黑体"/>
      <w:b w:val="0"/>
      <w:kern w:val="2"/>
      <w:sz w:val="28"/>
      <w:u w:val="none"/>
    </w:rPr>
  </w:style>
  <w:style w:type="paragraph" w:customStyle="1" w:styleId="500">
    <w:name w:val="样式 标题 3头小节标题标题 3 Char Char Char标题 3 Char Charh33rd levelH...1"/>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501">
    <w:name w:val="样式 样式 图片标注 + 左侧:  -0.97 厘米 + 段后: 0.5 行"/>
    <w:basedOn w:val="497"/>
    <w:qFormat/>
    <w:uiPriority w:val="0"/>
  </w:style>
  <w:style w:type="paragraph" w:customStyle="1" w:styleId="502">
    <w:name w:val="样式 样式 四号 黑色 行距: 固定值 26 磅 + 首行缩进:  2 字符"/>
    <w:basedOn w:val="503"/>
    <w:qFormat/>
    <w:uiPriority w:val="0"/>
    <w:pPr>
      <w:ind w:firstLine="560"/>
    </w:pPr>
    <w:rPr>
      <w:rFonts w:cs="宋体"/>
    </w:rPr>
  </w:style>
  <w:style w:type="paragraph" w:customStyle="1" w:styleId="503">
    <w:name w:val="样式 四号 黑色 行距: 固定值 26 磅"/>
    <w:basedOn w:val="1"/>
    <w:qFormat/>
    <w:uiPriority w:val="0"/>
    <w:pPr>
      <w:spacing w:line="500" w:lineRule="atLeast"/>
      <w:ind w:firstLine="200" w:firstLineChars="200"/>
    </w:pPr>
    <w:rPr>
      <w:color w:val="000000"/>
      <w:sz w:val="28"/>
      <w:szCs w:val="20"/>
    </w:rPr>
  </w:style>
  <w:style w:type="paragraph" w:customStyle="1" w:styleId="504">
    <w:name w:val="样式 五号 黑色 居中"/>
    <w:basedOn w:val="1"/>
    <w:qFormat/>
    <w:uiPriority w:val="0"/>
    <w:pPr>
      <w:jc w:val="center"/>
    </w:pPr>
    <w:rPr>
      <w:rFonts w:cs="宋体"/>
      <w:color w:val="000000"/>
      <w:szCs w:val="28"/>
    </w:rPr>
  </w:style>
  <w:style w:type="paragraph" w:customStyle="1" w:styleId="505">
    <w:name w:val="+标题2"/>
    <w:basedOn w:val="3"/>
    <w:qFormat/>
    <w:uiPriority w:val="0"/>
    <w:pPr>
      <w:tabs>
        <w:tab w:val="left" w:pos="1276"/>
      </w:tabs>
      <w:autoSpaceDE/>
      <w:autoSpaceDN/>
      <w:spacing w:after="120" w:line="500" w:lineRule="atLeast"/>
      <w:jc w:val="left"/>
      <w:textAlignment w:val="center"/>
    </w:pPr>
    <w:rPr>
      <w:rFonts w:ascii="Times New Roman" w:hAnsi="Times New Roman"/>
      <w:b w:val="0"/>
      <w:bCs/>
      <w:kern w:val="2"/>
      <w:szCs w:val="28"/>
    </w:rPr>
  </w:style>
  <w:style w:type="paragraph" w:customStyle="1" w:styleId="506">
    <w:name w:val="样式 首行缩进:  0 厘米"/>
    <w:basedOn w:val="1"/>
    <w:qFormat/>
    <w:uiPriority w:val="0"/>
    <w:pPr>
      <w:spacing w:line="500" w:lineRule="atLeast"/>
      <w:ind w:firstLine="561"/>
    </w:pPr>
    <w:rPr>
      <w:rFonts w:cs="宋体"/>
      <w:sz w:val="28"/>
      <w:szCs w:val="20"/>
    </w:rPr>
  </w:style>
  <w:style w:type="paragraph" w:customStyle="1" w:styleId="507">
    <w:name w:val="xl99"/>
    <w:basedOn w:val="1"/>
    <w:qFormat/>
    <w:uiPriority w:val="0"/>
    <w:pPr>
      <w:widowControl/>
      <w:pBdr>
        <w:top w:val="single" w:color="auto" w:sz="4" w:space="0"/>
        <w:left w:val="single" w:color="auto" w:sz="4" w:space="0"/>
        <w:bottom w:val="single" w:color="auto" w:sz="8" w:space="0"/>
        <w:right w:val="single" w:color="auto" w:sz="8" w:space="0"/>
      </w:pBdr>
      <w:spacing w:before="100" w:beforeAutospacing="1" w:after="100" w:afterAutospacing="1"/>
      <w:jc w:val="left"/>
      <w:textAlignment w:val="center"/>
    </w:pPr>
    <w:rPr>
      <w:rFonts w:ascii="宋体" w:hAnsi="宋体" w:cs="宋体"/>
      <w:kern w:val="0"/>
      <w:sz w:val="24"/>
    </w:rPr>
  </w:style>
  <w:style w:type="paragraph" w:customStyle="1" w:styleId="508">
    <w:name w:val="xl6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09">
    <w:name w:val="标书正文"/>
    <w:basedOn w:val="51"/>
    <w:qFormat/>
    <w:uiPriority w:val="0"/>
    <w:pPr>
      <w:adjustRightInd w:val="0"/>
      <w:snapToGrid w:val="0"/>
      <w:spacing w:after="0" w:line="360" w:lineRule="auto"/>
      <w:ind w:firstLine="454" w:firstLineChars="0"/>
    </w:pPr>
    <w:rPr>
      <w:rFonts w:ascii="宋体" w:hAnsi="宋体"/>
      <w:snapToGrid w:val="0"/>
      <w:color w:val="333333"/>
      <w:kern w:val="0"/>
      <w:sz w:val="24"/>
    </w:rPr>
  </w:style>
  <w:style w:type="paragraph" w:customStyle="1" w:styleId="510">
    <w:name w:val="样式 样式1 + (中文) 黑体 四号 段前: 6 磅 段后: 6 磅1"/>
    <w:basedOn w:val="1"/>
    <w:qFormat/>
    <w:uiPriority w:val="0"/>
    <w:pPr>
      <w:spacing w:before="120" w:after="120"/>
      <w:jc w:val="center"/>
    </w:pPr>
    <w:rPr>
      <w:rFonts w:eastAsia="黑体" w:cs="宋体"/>
      <w:sz w:val="28"/>
      <w:szCs w:val="20"/>
    </w:rPr>
  </w:style>
  <w:style w:type="paragraph" w:customStyle="1" w:styleId="511">
    <w:name w:val="xl88"/>
    <w:basedOn w:val="1"/>
    <w:qFormat/>
    <w:uiPriority w:val="0"/>
    <w:pPr>
      <w:widowControl/>
      <w:pBdr>
        <w:top w:val="single" w:color="auto" w:sz="8"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2"/>
      <w:szCs w:val="22"/>
    </w:rPr>
  </w:style>
  <w:style w:type="paragraph" w:customStyle="1" w:styleId="512">
    <w:name w:val="xl92"/>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4"/>
    </w:rPr>
  </w:style>
  <w:style w:type="paragraph" w:customStyle="1" w:styleId="513">
    <w:name w:val="xl96"/>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14">
    <w:name w:val="样式 首行缩进:  0.99 厘米 行距: 最小值 25 磅1"/>
    <w:basedOn w:val="1"/>
    <w:qFormat/>
    <w:uiPriority w:val="0"/>
    <w:pPr>
      <w:spacing w:line="500" w:lineRule="atLeast"/>
      <w:ind w:firstLine="561"/>
    </w:pPr>
    <w:rPr>
      <w:rFonts w:cs="宋体"/>
      <w:sz w:val="28"/>
      <w:szCs w:val="20"/>
    </w:rPr>
  </w:style>
  <w:style w:type="paragraph" w:customStyle="1" w:styleId="515">
    <w:name w:val="正文2"/>
    <w:basedOn w:val="1"/>
    <w:qFormat/>
    <w:uiPriority w:val="0"/>
    <w:pPr>
      <w:spacing w:line="480" w:lineRule="auto"/>
      <w:ind w:firstLine="480" w:firstLineChars="200"/>
    </w:pPr>
    <w:rPr>
      <w:rFonts w:cs="宋体"/>
      <w:color w:val="000000"/>
      <w:sz w:val="24"/>
      <w:szCs w:val="20"/>
    </w:rPr>
  </w:style>
  <w:style w:type="paragraph" w:customStyle="1" w:styleId="516">
    <w:name w:val="样式 标题 3三级标题标题 3 Char Charh33rd level3H3l3CTLevel 3 Topi..."/>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517">
    <w:name w:val="Char Char Char Char Char Char"/>
    <w:basedOn w:val="1"/>
    <w:qFormat/>
    <w:uiPriority w:val="0"/>
    <w:pPr>
      <w:widowControl/>
      <w:spacing w:after="160" w:line="240" w:lineRule="exact"/>
      <w:jc w:val="left"/>
    </w:pPr>
    <w:rPr>
      <w:rFonts w:ascii="Arial" w:hAnsi="Arial" w:eastAsia="Times New Roman" w:cs="Verdana"/>
      <w:b/>
      <w:kern w:val="0"/>
      <w:sz w:val="24"/>
      <w:szCs w:val="20"/>
      <w:lang w:eastAsia="en-US"/>
    </w:rPr>
  </w:style>
  <w:style w:type="paragraph" w:customStyle="1" w:styleId="518">
    <w:name w:val="样式 样式 样式 标题 2 + 非加粗 黑色 + Times New Roman + 自动设置"/>
    <w:basedOn w:val="1"/>
    <w:qFormat/>
    <w:uiPriority w:val="0"/>
    <w:pPr>
      <w:keepNext/>
      <w:keepLines/>
      <w:spacing w:before="120" w:after="120" w:line="500" w:lineRule="atLeast"/>
      <w:outlineLvl w:val="1"/>
    </w:pPr>
    <w:rPr>
      <w:rFonts w:eastAsia="黑体"/>
      <w:sz w:val="30"/>
      <w:szCs w:val="32"/>
    </w:rPr>
  </w:style>
  <w:style w:type="paragraph" w:customStyle="1" w:styleId="519">
    <w:name w:val="样式 样式 四号 黑色 首行缩进:  0.99 厘米 行距: 最小值 24 磅 + 首行缩进:  0.99 厘米 行距: 最小...1"/>
    <w:basedOn w:val="1"/>
    <w:qFormat/>
    <w:uiPriority w:val="0"/>
    <w:pPr>
      <w:spacing w:line="500" w:lineRule="atLeast"/>
      <w:ind w:firstLine="561"/>
    </w:pPr>
    <w:rPr>
      <w:rFonts w:cs="宋体"/>
      <w:color w:val="000000"/>
      <w:sz w:val="28"/>
      <w:szCs w:val="20"/>
    </w:rPr>
  </w:style>
  <w:style w:type="paragraph" w:customStyle="1" w:styleId="520">
    <w:name w:val="样式 样式 样式 标题 2标题 1.1节标题 1.1例如：1.1 内容b2H21.1标题2条标题h2l22nd leve... ..."/>
    <w:basedOn w:val="1"/>
    <w:qFormat/>
    <w:uiPriority w:val="0"/>
    <w:pPr>
      <w:keepNext/>
      <w:keepLines/>
      <w:spacing w:before="120" w:after="120" w:line="500" w:lineRule="atLeast"/>
      <w:outlineLvl w:val="1"/>
    </w:pPr>
    <w:rPr>
      <w:rFonts w:eastAsia="黑体" w:cs="宋体"/>
      <w:sz w:val="30"/>
      <w:szCs w:val="20"/>
    </w:rPr>
  </w:style>
  <w:style w:type="paragraph" w:customStyle="1" w:styleId="521">
    <w:name w:val="xl64"/>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kern w:val="0"/>
      <w:szCs w:val="21"/>
    </w:rPr>
  </w:style>
  <w:style w:type="paragraph" w:customStyle="1" w:styleId="522">
    <w:name w:val="Char Char Char Char Char Char Char3"/>
    <w:basedOn w:val="1"/>
    <w:qFormat/>
    <w:uiPriority w:val="0"/>
    <w:rPr>
      <w:rFonts w:ascii="Tahoma" w:hAnsi="Tahoma"/>
      <w:kern w:val="0"/>
      <w:sz w:val="28"/>
      <w:szCs w:val="28"/>
    </w:rPr>
  </w:style>
  <w:style w:type="paragraph" w:customStyle="1" w:styleId="523">
    <w:name w:val="标题1"/>
    <w:basedOn w:val="2"/>
    <w:qFormat/>
    <w:uiPriority w:val="0"/>
    <w:pPr>
      <w:autoSpaceDE/>
      <w:autoSpaceDN/>
      <w:adjustRightInd/>
      <w:spacing w:before="340" w:after="330" w:line="500" w:lineRule="atLeast"/>
      <w:ind w:firstLine="561"/>
      <w:jc w:val="both"/>
    </w:pPr>
    <w:rPr>
      <w:rFonts w:ascii="Times New Roman" w:eastAsia="黑体"/>
      <w:b w:val="0"/>
      <w:bCs/>
      <w:szCs w:val="32"/>
    </w:rPr>
  </w:style>
  <w:style w:type="paragraph" w:customStyle="1" w:styleId="524">
    <w:name w:val="样式 样式 样式 样式 样式 四号 行距: 1.5 倍行距 + 首行缩进:  2 字符 + (西文) 宋体 (中文) 仿宋_GB...1"/>
    <w:basedOn w:val="311"/>
    <w:qFormat/>
    <w:uiPriority w:val="0"/>
    <w:pPr>
      <w:spacing w:before="120" w:after="120" w:line="240" w:lineRule="auto"/>
      <w:ind w:firstLine="0" w:firstLineChars="0"/>
      <w:jc w:val="center"/>
    </w:pPr>
    <w:rPr>
      <w:rFonts w:eastAsia="黑体"/>
    </w:rPr>
  </w:style>
  <w:style w:type="paragraph" w:customStyle="1" w:styleId="525">
    <w:name w:val="样式 样式 标题 1H1Heading 0Header1h1Heading 1 AppHeader 1Section H... ..."/>
    <w:basedOn w:val="1"/>
    <w:qFormat/>
    <w:uiPriority w:val="0"/>
    <w:pPr>
      <w:keepNext/>
      <w:keepLines/>
      <w:spacing w:before="240" w:line="500" w:lineRule="atLeast"/>
      <w:outlineLvl w:val="0"/>
    </w:pPr>
    <w:rPr>
      <w:rFonts w:eastAsia="黑体" w:cs="宋体"/>
      <w:kern w:val="44"/>
      <w:sz w:val="32"/>
      <w:szCs w:val="20"/>
    </w:rPr>
  </w:style>
  <w:style w:type="paragraph" w:customStyle="1" w:styleId="526">
    <w:name w:val="样式 样式1 + (西文) Times New Roman (中文) 黑体 四号 段前: 6 磅 段后: 6 磅"/>
    <w:basedOn w:val="1"/>
    <w:qFormat/>
    <w:uiPriority w:val="0"/>
    <w:pPr>
      <w:spacing w:before="120" w:after="120"/>
      <w:jc w:val="center"/>
    </w:pPr>
    <w:rPr>
      <w:rFonts w:eastAsia="黑体" w:cs="宋体"/>
      <w:sz w:val="28"/>
      <w:szCs w:val="20"/>
    </w:rPr>
  </w:style>
  <w:style w:type="paragraph" w:customStyle="1" w:styleId="527">
    <w:name w:val="样式 样式 五号 居中 首行缩进:  0 厘米 行距: 单倍行距 +"/>
    <w:basedOn w:val="493"/>
    <w:qFormat/>
    <w:uiPriority w:val="0"/>
  </w:style>
  <w:style w:type="paragraph" w:customStyle="1" w:styleId="528">
    <w:name w:val="样式 样式4 + (中文) 黑体 非加粗 黑色 居中"/>
    <w:basedOn w:val="1"/>
    <w:qFormat/>
    <w:uiPriority w:val="0"/>
    <w:pPr>
      <w:widowControl/>
      <w:spacing w:before="120" w:after="120"/>
      <w:ind w:firstLine="561"/>
      <w:jc w:val="center"/>
    </w:pPr>
    <w:rPr>
      <w:rFonts w:eastAsia="黑体" w:cs="宋体"/>
      <w:color w:val="000000"/>
      <w:sz w:val="28"/>
      <w:szCs w:val="28"/>
    </w:rPr>
  </w:style>
  <w:style w:type="paragraph" w:customStyle="1" w:styleId="529">
    <w:name w:val="xl85"/>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30">
    <w:name w:val="样式 标题 2Chapter Heading2nd levelh22Titre2l2H2标题 1.1标题 41...1"/>
    <w:basedOn w:val="3"/>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531">
    <w:name w:val="样式 样式 标题 1 + 行距: 最小值 25 磅2 + 左侧:  0 厘米 悬挂缩进: 4.2 字符1"/>
    <w:basedOn w:val="332"/>
    <w:qFormat/>
    <w:uiPriority w:val="0"/>
  </w:style>
  <w:style w:type="paragraph" w:customStyle="1" w:styleId="532">
    <w:name w:val="工程"/>
    <w:qFormat/>
    <w:uiPriority w:val="0"/>
    <w:pPr>
      <w:widowControl w:val="0"/>
      <w:jc w:val="center"/>
    </w:pPr>
    <w:rPr>
      <w:rFonts w:ascii="Times New Roman" w:hAnsi="Times New Roman" w:eastAsia="宋体" w:cs="Times New Roman"/>
      <w:color w:val="000000"/>
      <w:kern w:val="2"/>
      <w:sz w:val="21"/>
      <w:szCs w:val="21"/>
      <w:lang w:val="en-US" w:eastAsia="zh-CN" w:bidi="ar-SA"/>
    </w:rPr>
  </w:style>
  <w:style w:type="paragraph" w:customStyle="1" w:styleId="533">
    <w:name w:val="样式 样式 样式 样式 四号 黑色 行距: 最小值 24 磅1 + 首行缩进:  2 字符 + 灰色-80% 首行缩进:  2 ..."/>
    <w:basedOn w:val="1"/>
    <w:qFormat/>
    <w:uiPriority w:val="0"/>
    <w:pPr>
      <w:spacing w:line="500" w:lineRule="atLeast"/>
      <w:ind w:firstLine="200" w:firstLineChars="200"/>
    </w:pPr>
    <w:rPr>
      <w:rFonts w:cs="宋体"/>
      <w:sz w:val="28"/>
      <w:szCs w:val="20"/>
    </w:rPr>
  </w:style>
  <w:style w:type="paragraph" w:customStyle="1" w:styleId="534">
    <w:name w:val="样式 标题 4四 + (西文) Times New Roman (中文) 宋体 非加粗 段前: 0 磅 段后: 0 磅...1"/>
    <w:basedOn w:val="5"/>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535">
    <w:name w:val="样式 四号 行距: 最小值 25.5 磅"/>
    <w:basedOn w:val="1"/>
    <w:qFormat/>
    <w:uiPriority w:val="0"/>
    <w:pPr>
      <w:spacing w:line="500" w:lineRule="atLeast"/>
      <w:ind w:firstLine="200" w:firstLineChars="200"/>
    </w:pPr>
    <w:rPr>
      <w:sz w:val="28"/>
      <w:szCs w:val="20"/>
    </w:rPr>
  </w:style>
  <w:style w:type="paragraph" w:customStyle="1" w:styleId="536">
    <w:name w:val="font1"/>
    <w:basedOn w:val="1"/>
    <w:qFormat/>
    <w:uiPriority w:val="0"/>
    <w:pPr>
      <w:widowControl/>
      <w:spacing w:before="100" w:beforeAutospacing="1" w:after="100" w:afterAutospacing="1"/>
      <w:jc w:val="left"/>
    </w:pPr>
    <w:rPr>
      <w:rFonts w:ascii="宋体" w:hAnsi="宋体" w:cs="宋体"/>
      <w:color w:val="000000"/>
      <w:kern w:val="0"/>
      <w:sz w:val="22"/>
      <w:szCs w:val="22"/>
    </w:rPr>
  </w:style>
  <w:style w:type="paragraph" w:customStyle="1" w:styleId="537">
    <w:name w:val="样式 样式 标题 2H2Heading 2 HiddenHeading 2 CCBSTitre3Level 2 Headh......"/>
    <w:basedOn w:val="1"/>
    <w:qFormat/>
    <w:uiPriority w:val="0"/>
    <w:pPr>
      <w:keepNext/>
      <w:keepLines/>
      <w:spacing w:before="120" w:line="500" w:lineRule="atLeast"/>
      <w:outlineLvl w:val="1"/>
    </w:pPr>
    <w:rPr>
      <w:rFonts w:eastAsia="黑体" w:cs="宋体"/>
      <w:sz w:val="30"/>
      <w:szCs w:val="20"/>
    </w:rPr>
  </w:style>
  <w:style w:type="paragraph" w:customStyle="1" w:styleId="538">
    <w:name w:val="样式 样式 五号 居中 首行缩进:  0 厘米 行距: 单倍行距 + (符号) 宋体2"/>
    <w:basedOn w:val="1"/>
    <w:qFormat/>
    <w:uiPriority w:val="0"/>
    <w:pPr>
      <w:jc w:val="center"/>
    </w:pPr>
    <w:rPr>
      <w:rFonts w:cs="宋体"/>
      <w:szCs w:val="20"/>
    </w:rPr>
  </w:style>
  <w:style w:type="paragraph" w:customStyle="1" w:styleId="539">
    <w:name w:val="xl91"/>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0">
    <w:name w:val="xl8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41">
    <w:name w:val="5正文形式"/>
    <w:basedOn w:val="1"/>
    <w:qFormat/>
    <w:uiPriority w:val="0"/>
    <w:pPr>
      <w:spacing w:line="360" w:lineRule="auto"/>
      <w:ind w:firstLine="512" w:firstLineChars="183"/>
    </w:pPr>
    <w:rPr>
      <w:rFonts w:ascii="宋体" w:hAnsi="宋体"/>
      <w:sz w:val="28"/>
    </w:rPr>
  </w:style>
  <w:style w:type="paragraph" w:customStyle="1" w:styleId="542">
    <w:name w:val="样式 样式 样式 样式 样式 四号 行距: 1.5 倍行距 + 首行缩进:  2 字符 + (西文) 宋体 (中文) 仿宋_GB..."/>
    <w:basedOn w:val="311"/>
    <w:qFormat/>
    <w:uiPriority w:val="0"/>
    <w:pPr>
      <w:spacing w:before="50" w:beforeLines="50" w:after="50" w:afterLines="50" w:line="240" w:lineRule="auto"/>
      <w:ind w:firstLine="0" w:firstLineChars="0"/>
      <w:jc w:val="center"/>
    </w:pPr>
    <w:rPr>
      <w:rFonts w:eastAsia="黑体"/>
    </w:rPr>
  </w:style>
  <w:style w:type="paragraph" w:customStyle="1" w:styleId="543">
    <w:name w:val="样式 标题 3第二层条第三层h3H3l3CT目录标题 3BOD 0sect1.2.3l3+toc 3hea..."/>
    <w:basedOn w:val="4"/>
    <w:qFormat/>
    <w:uiPriority w:val="0"/>
    <w:pPr>
      <w:autoSpaceDE/>
      <w:autoSpaceDN/>
      <w:adjustRightInd/>
      <w:spacing w:before="60" w:after="60" w:line="500" w:lineRule="atLeast"/>
      <w:jc w:val="both"/>
    </w:pPr>
    <w:rPr>
      <w:rFonts w:ascii="Times New Roman" w:eastAsia="黑体"/>
      <w:b w:val="0"/>
      <w:kern w:val="2"/>
      <w:sz w:val="28"/>
      <w:szCs w:val="32"/>
      <w:u w:val="none"/>
    </w:rPr>
  </w:style>
  <w:style w:type="paragraph" w:customStyle="1" w:styleId="544">
    <w:name w:val="样式 样式 样式 五号 居中 首行缩进:  0 厘米 行距: 单倍行距 + (符号) 宋体 +"/>
    <w:basedOn w:val="1"/>
    <w:qFormat/>
    <w:uiPriority w:val="0"/>
    <w:pPr>
      <w:jc w:val="center"/>
    </w:pPr>
    <w:rPr>
      <w:rFonts w:hAnsi="宋体" w:cs="宋体"/>
      <w:szCs w:val="20"/>
    </w:rPr>
  </w:style>
  <w:style w:type="paragraph" w:customStyle="1" w:styleId="545">
    <w:name w:val="样式 Times New Roman 四号 首行缩进:  0.99 厘米 行距: 最小值 25 磅"/>
    <w:basedOn w:val="1"/>
    <w:qFormat/>
    <w:uiPriority w:val="0"/>
    <w:pPr>
      <w:spacing w:line="500" w:lineRule="atLeast"/>
      <w:ind w:firstLine="561"/>
    </w:pPr>
    <w:rPr>
      <w:rFonts w:cs="宋体"/>
      <w:sz w:val="28"/>
      <w:szCs w:val="20"/>
    </w:rPr>
  </w:style>
  <w:style w:type="paragraph" w:customStyle="1" w:styleId="546">
    <w:name w:val="样式 样式1 + (中文) 黑体 居中 段前: 6 磅 段后: 6 磅 行距: 单倍行距"/>
    <w:basedOn w:val="1"/>
    <w:qFormat/>
    <w:uiPriority w:val="0"/>
    <w:pPr>
      <w:keepNext/>
      <w:keepLines/>
      <w:adjustRightInd w:val="0"/>
      <w:spacing w:before="120" w:after="120"/>
      <w:jc w:val="center"/>
      <w:textAlignment w:val="baseline"/>
      <w:outlineLvl w:val="3"/>
    </w:pPr>
    <w:rPr>
      <w:rFonts w:eastAsia="黑体" w:cs="宋体"/>
      <w:sz w:val="28"/>
      <w:szCs w:val="20"/>
    </w:rPr>
  </w:style>
  <w:style w:type="paragraph" w:customStyle="1" w:styleId="547">
    <w:name w:val="样式 四号 首行缩进:  1.01 厘米 行距: 最小值 24 磅"/>
    <w:basedOn w:val="1"/>
    <w:qFormat/>
    <w:uiPriority w:val="0"/>
    <w:pPr>
      <w:spacing w:line="500" w:lineRule="atLeast"/>
      <w:ind w:firstLine="561"/>
    </w:pPr>
    <w:rPr>
      <w:rFonts w:cs="宋体"/>
      <w:sz w:val="28"/>
      <w:szCs w:val="20"/>
    </w:rPr>
  </w:style>
  <w:style w:type="paragraph" w:customStyle="1" w:styleId="548">
    <w:name w:val="xl70"/>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49">
    <w:name w:val="样式 样式 样式 四号 行距: 最小值 24 磅 + 首行缩进:  2 字符 + 黑色1"/>
    <w:basedOn w:val="342"/>
    <w:qFormat/>
    <w:uiPriority w:val="0"/>
    <w:pPr>
      <w:ind w:firstLine="560"/>
    </w:pPr>
    <w:rPr>
      <w:color w:val="000000"/>
    </w:rPr>
  </w:style>
  <w:style w:type="paragraph" w:customStyle="1" w:styleId="550">
    <w:name w:val="样式 四号 黑色"/>
    <w:basedOn w:val="1"/>
    <w:qFormat/>
    <w:uiPriority w:val="0"/>
    <w:pPr>
      <w:spacing w:line="500" w:lineRule="atLeast"/>
      <w:ind w:firstLine="200" w:firstLineChars="200"/>
    </w:pPr>
    <w:rPr>
      <w:color w:val="000000"/>
      <w:sz w:val="28"/>
      <w:szCs w:val="20"/>
    </w:rPr>
  </w:style>
  <w:style w:type="paragraph" w:customStyle="1" w:styleId="551">
    <w:name w:val="样式 标题 4 + (西文) Times New Roman (中文) 宋体 非加粗 左侧:  -0.97 厘米 首行缩..."/>
    <w:basedOn w:val="5"/>
    <w:qFormat/>
    <w:uiPriority w:val="0"/>
    <w:pPr>
      <w:spacing w:before="0" w:after="0" w:line="500" w:lineRule="atLeast"/>
      <w:textAlignment w:val="auto"/>
    </w:pPr>
    <w:rPr>
      <w:rFonts w:ascii="Times New Roman" w:hAnsi="Times New Roman" w:eastAsia="宋体" w:cs="宋体"/>
      <w:b w:val="0"/>
      <w:spacing w:val="-2"/>
      <w:kern w:val="2"/>
    </w:rPr>
  </w:style>
  <w:style w:type="paragraph" w:customStyle="1" w:styleId="552">
    <w:name w:val="样式 样式 样式 四号 行距: 固定值 30 磅 + 首行缩进:  2 字符 + 黑色 首行缩进:  2 字符"/>
    <w:basedOn w:val="1"/>
    <w:qFormat/>
    <w:uiPriority w:val="0"/>
    <w:pPr>
      <w:spacing w:line="500" w:lineRule="atLeast"/>
      <w:ind w:firstLine="200" w:firstLineChars="200"/>
    </w:pPr>
    <w:rPr>
      <w:rFonts w:cs="宋体"/>
      <w:color w:val="000000"/>
      <w:sz w:val="28"/>
      <w:szCs w:val="28"/>
    </w:rPr>
  </w:style>
  <w:style w:type="paragraph" w:customStyle="1" w:styleId="553">
    <w:name w:val="xl56"/>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right"/>
    </w:pPr>
    <w:rPr>
      <w:kern w:val="0"/>
      <w:sz w:val="20"/>
      <w:szCs w:val="20"/>
    </w:rPr>
  </w:style>
  <w:style w:type="paragraph" w:customStyle="1" w:styleId="554">
    <w:name w:val="样式 样式 标题 2 + 黑体 小三 非加粗 段前: 0.6 磅 段后: 0.6 磅 行距: 最小值 24 磅 + Times ..."/>
    <w:basedOn w:val="1"/>
    <w:qFormat/>
    <w:uiPriority w:val="0"/>
    <w:pPr>
      <w:keepNext/>
      <w:keepLines/>
      <w:spacing w:before="120" w:after="120" w:line="500" w:lineRule="atLeast"/>
      <w:outlineLvl w:val="1"/>
    </w:pPr>
    <w:rPr>
      <w:rFonts w:eastAsia="黑体" w:cs="宋体"/>
      <w:sz w:val="30"/>
      <w:szCs w:val="20"/>
    </w:rPr>
  </w:style>
  <w:style w:type="paragraph" w:customStyle="1" w:styleId="555">
    <w:name w:val="xl90"/>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kern w:val="0"/>
      <w:sz w:val="22"/>
      <w:szCs w:val="22"/>
    </w:rPr>
  </w:style>
  <w:style w:type="paragraph" w:customStyle="1" w:styleId="556">
    <w:name w:val="样式 样式 样式 样式 样式 (中文) 仿宋_GB2312 四号 黑色 首行缩进:  0.95 厘米 行距: 1.5 倍行距 +..."/>
    <w:basedOn w:val="1"/>
    <w:qFormat/>
    <w:uiPriority w:val="0"/>
    <w:pPr>
      <w:spacing w:line="480" w:lineRule="atLeast"/>
      <w:ind w:firstLine="482"/>
    </w:pPr>
    <w:rPr>
      <w:rFonts w:cs="黑体"/>
      <w:sz w:val="24"/>
      <w:szCs w:val="20"/>
    </w:rPr>
  </w:style>
  <w:style w:type="paragraph" w:customStyle="1" w:styleId="557">
    <w:name w:val="样式 首行缩进:  1.01 厘米 行距: 固定值 24 磅"/>
    <w:basedOn w:val="1"/>
    <w:qFormat/>
    <w:uiPriority w:val="0"/>
    <w:pPr>
      <w:spacing w:line="500" w:lineRule="atLeast"/>
      <w:ind w:firstLine="561"/>
    </w:pPr>
    <w:rPr>
      <w:rFonts w:eastAsia="仿宋_GB2312" w:cs="宋体"/>
      <w:sz w:val="28"/>
      <w:szCs w:val="20"/>
    </w:rPr>
  </w:style>
  <w:style w:type="paragraph" w:customStyle="1" w:styleId="558">
    <w:name w:val="样式 四号 黑色 首行缩进:  0.99 厘米 行距: 最小值 24 磅"/>
    <w:basedOn w:val="1"/>
    <w:qFormat/>
    <w:uiPriority w:val="0"/>
    <w:pPr>
      <w:spacing w:line="500" w:lineRule="atLeast"/>
      <w:ind w:firstLine="561"/>
    </w:pPr>
    <w:rPr>
      <w:rFonts w:cs="宋体"/>
      <w:color w:val="000000"/>
      <w:sz w:val="28"/>
      <w:szCs w:val="20"/>
    </w:rPr>
  </w:style>
  <w:style w:type="paragraph" w:customStyle="1" w:styleId="559">
    <w:name w:val="样式 标题 3Sectionh33rd levelSection SubHeadingRésumé DIAnnota..."/>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560">
    <w:name w:val="样式 标题 1标题 w1章 + (中文) 黑体 三号 非加粗 段前: 12 磅 段后: 12 磅 行距: 最小值 ..."/>
    <w:basedOn w:val="2"/>
    <w:qFormat/>
    <w:uiPriority w:val="0"/>
    <w:pPr>
      <w:autoSpaceDE/>
      <w:autoSpaceDN/>
      <w:adjustRightInd/>
      <w:spacing w:after="240" w:line="500" w:lineRule="atLeast"/>
      <w:jc w:val="both"/>
    </w:pPr>
    <w:rPr>
      <w:rFonts w:ascii="Times New Roman" w:eastAsia="黑体" w:cs="宋体"/>
      <w:b w:val="0"/>
    </w:rPr>
  </w:style>
  <w:style w:type="paragraph" w:customStyle="1" w:styleId="561">
    <w:name w:val="样式 (符号) 宋体 五号 居中 行距: 单倍行距1"/>
    <w:basedOn w:val="1"/>
    <w:qFormat/>
    <w:uiPriority w:val="0"/>
    <w:pPr>
      <w:jc w:val="center"/>
    </w:pPr>
    <w:rPr>
      <w:rFonts w:hAnsi="宋体" w:cs="宋体"/>
      <w:szCs w:val="20"/>
    </w:rPr>
  </w:style>
  <w:style w:type="paragraph" w:customStyle="1" w:styleId="562">
    <w:name w:val="样式 标题 3头标题 3 Char Char Char标题 3 Char Char + 两端对齐 行距: 最小值 25 磅"/>
    <w:basedOn w:val="4"/>
    <w:qFormat/>
    <w:uiPriority w:val="0"/>
    <w:pPr>
      <w:autoSpaceDE/>
      <w:autoSpaceDN/>
      <w:adjustRightInd/>
      <w:spacing w:before="60" w:after="60" w:line="500" w:lineRule="atLeast"/>
      <w:jc w:val="both"/>
    </w:pPr>
    <w:rPr>
      <w:rFonts w:ascii="Times New Roman" w:eastAsia="黑体" w:cs="宋体"/>
      <w:b w:val="0"/>
      <w:kern w:val="2"/>
      <w:sz w:val="28"/>
      <w:u w:val="none"/>
      <w:lang w:val="zh-CN"/>
    </w:rPr>
  </w:style>
  <w:style w:type="paragraph" w:customStyle="1" w:styleId="563">
    <w:name w:val="样式 标题 2标题 1.1标题 41标题 2 Char节Heading 2ph2h21head 08Chapt...6"/>
    <w:basedOn w:val="3"/>
    <w:qFormat/>
    <w:uiPriority w:val="0"/>
    <w:pPr>
      <w:keepNext w:val="0"/>
      <w:keepLines w:val="0"/>
      <w:autoSpaceDE/>
      <w:autoSpaceDN/>
      <w:adjustRightInd/>
      <w:spacing w:after="120" w:line="500" w:lineRule="atLeast"/>
      <w:jc w:val="both"/>
    </w:pPr>
    <w:rPr>
      <w:rFonts w:ascii="Times New Roman" w:hAnsi="Times New Roman" w:cs="宋体"/>
      <w:b w:val="0"/>
      <w:kern w:val="2"/>
    </w:rPr>
  </w:style>
  <w:style w:type="paragraph" w:customStyle="1" w:styleId="564">
    <w:name w:val="样式 (中文) 黑体 四号 黑色 居中 段前: 6 磅 段后: 6 磅"/>
    <w:basedOn w:val="1"/>
    <w:qFormat/>
    <w:uiPriority w:val="0"/>
    <w:pPr>
      <w:spacing w:before="120" w:after="120"/>
      <w:jc w:val="center"/>
    </w:pPr>
    <w:rPr>
      <w:rFonts w:eastAsia="黑体" w:cs="宋体"/>
      <w:color w:val="000000"/>
      <w:sz w:val="28"/>
      <w:szCs w:val="20"/>
    </w:rPr>
  </w:style>
  <w:style w:type="paragraph" w:customStyle="1" w:styleId="565">
    <w:name w:val="样式 标题 3标题 3 Char Char Char头Sectionh33rd levelSection SubHe..."/>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566">
    <w:name w:val="样式 (中文) 黑体 30 磅 居中 首行缩进:  0 厘米 段前: 6 磅 加宽量  0.7 磅"/>
    <w:basedOn w:val="1"/>
    <w:qFormat/>
    <w:uiPriority w:val="0"/>
    <w:pPr>
      <w:spacing w:before="120" w:line="500" w:lineRule="atLeast"/>
      <w:jc w:val="center"/>
    </w:pPr>
    <w:rPr>
      <w:rFonts w:eastAsia="黑体" w:cs="宋体"/>
      <w:spacing w:val="14"/>
      <w:sz w:val="60"/>
      <w:szCs w:val="20"/>
    </w:rPr>
  </w:style>
  <w:style w:type="paragraph" w:customStyle="1" w:styleId="567">
    <w:name w:val="样式 四号 黑色 首行缩进:  0.99 厘米 行距: 最小值 25 磅"/>
    <w:basedOn w:val="1"/>
    <w:qFormat/>
    <w:uiPriority w:val="0"/>
    <w:pPr>
      <w:spacing w:line="500" w:lineRule="atLeast"/>
      <w:ind w:firstLine="561"/>
    </w:pPr>
    <w:rPr>
      <w:rFonts w:cs="宋体"/>
      <w:color w:val="000000"/>
      <w:sz w:val="28"/>
      <w:szCs w:val="20"/>
    </w:rPr>
  </w:style>
  <w:style w:type="paragraph" w:customStyle="1" w:styleId="568">
    <w:name w:val="font0"/>
    <w:basedOn w:val="1"/>
    <w:qFormat/>
    <w:uiPriority w:val="0"/>
    <w:pPr>
      <w:widowControl/>
      <w:spacing w:before="100" w:beforeAutospacing="1" w:after="100" w:afterAutospacing="1"/>
      <w:jc w:val="left"/>
    </w:pPr>
    <w:rPr>
      <w:rFonts w:ascii="宋体" w:hAnsi="宋体" w:cs="宋体"/>
      <w:kern w:val="0"/>
      <w:sz w:val="24"/>
    </w:rPr>
  </w:style>
  <w:style w:type="paragraph" w:customStyle="1" w:styleId="569">
    <w:name w:val="xl98"/>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0">
    <w:name w:val="xl97"/>
    <w:basedOn w:val="1"/>
    <w:qFormat/>
    <w:uiPriority w:val="0"/>
    <w:pPr>
      <w:widowControl/>
      <w:pBdr>
        <w:top w:val="single" w:color="auto" w:sz="4" w:space="0"/>
        <w:left w:val="single" w:color="auto" w:sz="4"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571">
    <w:name w:val="Char Char Char Char Char Char Char Char Char Char3"/>
    <w:basedOn w:val="1"/>
    <w:qFormat/>
    <w:uiPriority w:val="0"/>
    <w:pPr>
      <w:spacing w:line="500" w:lineRule="atLeast"/>
      <w:ind w:firstLine="561"/>
    </w:pPr>
    <w:rPr>
      <w:rFonts w:ascii="Tahoma" w:hAnsi="Tahoma"/>
      <w:sz w:val="24"/>
      <w:szCs w:val="20"/>
    </w:rPr>
  </w:style>
  <w:style w:type="paragraph" w:customStyle="1" w:styleId="572">
    <w:name w:val="xl94"/>
    <w:basedOn w:val="1"/>
    <w:qFormat/>
    <w:uiPriority w:val="0"/>
    <w:pPr>
      <w:widowControl/>
      <w:pBdr>
        <w:top w:val="single" w:color="auto" w:sz="4" w:space="0"/>
        <w:left w:val="single" w:color="auto" w:sz="8"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573">
    <w:name w:val="Char Char Char Char Char Char Char Char Char Char Char Char"/>
    <w:basedOn w:val="1"/>
    <w:qFormat/>
    <w:uiPriority w:val="0"/>
    <w:rPr>
      <w:rFonts w:ascii="宋体" w:hAnsi="宋体" w:cs="Courier New"/>
      <w:sz w:val="32"/>
      <w:szCs w:val="32"/>
    </w:rPr>
  </w:style>
  <w:style w:type="paragraph" w:customStyle="1" w:styleId="574">
    <w:name w:val="xl87"/>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75">
    <w:name w:val="样式 标题 3标题 3 Char Char Char头 + (中文) 黑体 四号 非加粗 段前: 3 磅 段后: 3..."/>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576">
    <w:name w:val="样式 样式 样式 样式 样式 标题 2 + 首行缩进:  2 字符 + 左侧:  -0.97 厘米 + 段后: 0.5 行 + ..."/>
    <w:basedOn w:val="385"/>
    <w:qFormat/>
    <w:uiPriority w:val="0"/>
    <w:pPr>
      <w:spacing w:after="120"/>
    </w:pPr>
    <w:rPr>
      <w:spacing w:val="0"/>
    </w:rPr>
  </w:style>
  <w:style w:type="paragraph" w:customStyle="1" w:styleId="577">
    <w:name w:val="xl93"/>
    <w:basedOn w:val="1"/>
    <w:qFormat/>
    <w:uiPriority w:val="0"/>
    <w:pPr>
      <w:widowControl/>
      <w:pBdr>
        <w:top w:val="single" w:color="auto" w:sz="4" w:space="0"/>
        <w:left w:val="single" w:color="auto" w:sz="4" w:space="0"/>
        <w:bottom w:val="single" w:color="auto" w:sz="4" w:space="0"/>
        <w:right w:val="single" w:color="auto" w:sz="8" w:space="0"/>
      </w:pBdr>
      <w:spacing w:before="100" w:beforeAutospacing="1" w:after="100" w:afterAutospacing="1"/>
      <w:jc w:val="center"/>
      <w:textAlignment w:val="center"/>
    </w:pPr>
    <w:rPr>
      <w:rFonts w:ascii="宋体" w:hAnsi="宋体" w:cs="宋体"/>
      <w:kern w:val="0"/>
      <w:sz w:val="24"/>
    </w:rPr>
  </w:style>
  <w:style w:type="paragraph" w:customStyle="1" w:styleId="578">
    <w:name w:val="xl69"/>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79">
    <w:name w:val="样式 样式 样式 样式 样式 样式 (符号) 宋体 小四 行距: 1.5 倍行距 + (符号) Times New Roman ..."/>
    <w:basedOn w:val="1"/>
    <w:qFormat/>
    <w:uiPriority w:val="0"/>
    <w:pPr>
      <w:spacing w:line="500" w:lineRule="atLeast"/>
      <w:ind w:firstLine="560" w:firstLineChars="200"/>
    </w:pPr>
    <w:rPr>
      <w:rFonts w:cs="宋体"/>
      <w:color w:val="000000"/>
      <w:sz w:val="28"/>
      <w:szCs w:val="20"/>
    </w:rPr>
  </w:style>
  <w:style w:type="paragraph" w:customStyle="1" w:styleId="580">
    <w:name w:val="样式 (中文) 黑体 小一 居中 首行缩进:  0 厘米 段前: 6 磅 字符缩放: 90% 加宽量  0.7 磅"/>
    <w:basedOn w:val="1"/>
    <w:qFormat/>
    <w:uiPriority w:val="0"/>
    <w:pPr>
      <w:spacing w:before="120" w:line="500" w:lineRule="atLeast"/>
      <w:jc w:val="center"/>
    </w:pPr>
    <w:rPr>
      <w:rFonts w:eastAsia="黑体" w:cs="宋体"/>
      <w:spacing w:val="14"/>
      <w:w w:val="90"/>
      <w:sz w:val="48"/>
      <w:szCs w:val="20"/>
    </w:rPr>
  </w:style>
  <w:style w:type="paragraph" w:customStyle="1" w:styleId="581">
    <w:name w:val="样式 标题 1 + (中文) 黑体 小一 非加粗 居中 段前: 24 磅 段后: 24 磅 行距: 1.5 倍行距"/>
    <w:basedOn w:val="2"/>
    <w:qFormat/>
    <w:uiPriority w:val="0"/>
    <w:pPr>
      <w:autoSpaceDE/>
      <w:autoSpaceDN/>
      <w:adjustRightInd/>
      <w:spacing w:after="240" w:line="480" w:lineRule="atLeast"/>
      <w:jc w:val="both"/>
    </w:pPr>
    <w:rPr>
      <w:rFonts w:ascii="Times New Roman" w:eastAsia="黑体"/>
      <w:b w:val="0"/>
    </w:rPr>
  </w:style>
  <w:style w:type="paragraph" w:customStyle="1" w:styleId="582">
    <w:name w:val="Char Char Char3"/>
    <w:basedOn w:val="1"/>
    <w:qFormat/>
    <w:uiPriority w:val="0"/>
    <w:rPr>
      <w:rFonts w:ascii="Tahoma" w:hAnsi="Tahoma"/>
      <w:sz w:val="24"/>
      <w:szCs w:val="20"/>
    </w:rPr>
  </w:style>
  <w:style w:type="paragraph" w:customStyle="1" w:styleId="583">
    <w:name w:val="xl81"/>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color w:val="FF0000"/>
      <w:kern w:val="0"/>
      <w:sz w:val="24"/>
    </w:rPr>
  </w:style>
  <w:style w:type="paragraph" w:customStyle="1" w:styleId="584">
    <w:name w:val="样式 标题 3标题 3 Char Char Char标题 3 Char Char三级标题 +"/>
    <w:basedOn w:val="4"/>
    <w:qFormat/>
    <w:uiPriority w:val="0"/>
    <w:pPr>
      <w:keepNext w:val="0"/>
      <w:keepLines w:val="0"/>
      <w:autoSpaceDE/>
      <w:autoSpaceDN/>
      <w:adjustRightInd/>
      <w:spacing w:before="60" w:after="60" w:line="500" w:lineRule="atLeast"/>
      <w:jc w:val="both"/>
    </w:pPr>
    <w:rPr>
      <w:rFonts w:ascii="Times New Roman" w:eastAsia="黑体"/>
      <w:b w:val="0"/>
      <w:kern w:val="2"/>
      <w:sz w:val="28"/>
      <w:szCs w:val="28"/>
      <w:u w:val="none"/>
    </w:rPr>
  </w:style>
  <w:style w:type="paragraph" w:customStyle="1" w:styleId="585">
    <w:name w:val="样式 样式1 + (西文) Times New Roman"/>
    <w:basedOn w:val="1"/>
    <w:qFormat/>
    <w:uiPriority w:val="0"/>
    <w:pPr>
      <w:spacing w:before="120" w:after="120"/>
      <w:jc w:val="center"/>
    </w:pPr>
    <w:rPr>
      <w:rFonts w:eastAsia="黑体" w:cs="Arial"/>
      <w:sz w:val="28"/>
      <w:szCs w:val="20"/>
    </w:rPr>
  </w:style>
  <w:style w:type="paragraph" w:customStyle="1" w:styleId="586">
    <w:name w:val="样式 样式 标题 2节H2UNDERRUBRIK 1-2h2l22nd level2Header 2标题 2my2... + 行..."/>
    <w:basedOn w:val="473"/>
    <w:qFormat/>
    <w:uiPriority w:val="0"/>
    <w:pPr>
      <w:spacing w:line="500" w:lineRule="atLeast"/>
    </w:pPr>
  </w:style>
  <w:style w:type="paragraph" w:customStyle="1" w:styleId="587">
    <w:name w:val="xl84"/>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88">
    <w:name w:val="样式 标题 2节sect 1.2H2 Char Char标题 1.1 + Times New Roman"/>
    <w:basedOn w:val="3"/>
    <w:qFormat/>
    <w:uiPriority w:val="0"/>
    <w:pPr>
      <w:autoSpaceDE/>
      <w:autoSpaceDN/>
      <w:adjustRightInd/>
      <w:spacing w:after="120" w:line="500" w:lineRule="atLeast"/>
      <w:jc w:val="both"/>
    </w:pPr>
    <w:rPr>
      <w:rFonts w:ascii="Times New Roman" w:hAnsi="Times New Roman"/>
      <w:b w:val="0"/>
      <w:color w:val="000000"/>
      <w:kern w:val="44"/>
      <w:szCs w:val="44"/>
    </w:rPr>
  </w:style>
  <w:style w:type="paragraph" w:customStyle="1" w:styleId="589">
    <w:name w:val="xl6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90">
    <w:name w:val="样式 样式 标题 3 + 四号 非加粗 段前: 3 磅 段后: 3 磅 行距: 最小值 25 磅 + (中文) 黑体 小三"/>
    <w:basedOn w:val="1"/>
    <w:qFormat/>
    <w:uiPriority w:val="0"/>
    <w:pPr>
      <w:keepNext/>
      <w:keepLines/>
      <w:spacing w:before="60" w:after="60" w:line="500" w:lineRule="atLeast"/>
      <w:outlineLvl w:val="2"/>
    </w:pPr>
    <w:rPr>
      <w:rFonts w:eastAsia="黑体" w:cs="宋体"/>
      <w:sz w:val="28"/>
      <w:szCs w:val="20"/>
    </w:rPr>
  </w:style>
  <w:style w:type="paragraph" w:customStyle="1" w:styleId="591">
    <w:name w:val="xl83"/>
    <w:basedOn w:val="1"/>
    <w:qFormat/>
    <w:uiPriority w:val="0"/>
    <w:pPr>
      <w:widowControl/>
      <w:pBdr>
        <w:top w:val="single" w:color="auto" w:sz="8" w:space="0"/>
        <w:left w:val="single" w:color="auto" w:sz="8"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2"/>
      <w:szCs w:val="22"/>
    </w:rPr>
  </w:style>
  <w:style w:type="paragraph" w:customStyle="1" w:styleId="592">
    <w:name w:val="xl86"/>
    <w:basedOn w:val="1"/>
    <w:qFormat/>
    <w:uiPriority w:val="0"/>
    <w:pPr>
      <w:widowControl/>
      <w:pBdr>
        <w:top w:val="single" w:color="auto" w:sz="8" w:space="0"/>
        <w:left w:val="single" w:color="auto" w:sz="4" w:space="0"/>
        <w:bottom w:val="single" w:color="auto" w:sz="4" w:space="0"/>
        <w:right w:val="single" w:color="auto" w:sz="4" w:space="0"/>
      </w:pBdr>
      <w:spacing w:before="100" w:beforeAutospacing="1" w:after="100" w:afterAutospacing="1"/>
      <w:jc w:val="center"/>
      <w:textAlignment w:val="center"/>
    </w:pPr>
    <w:rPr>
      <w:kern w:val="0"/>
      <w:sz w:val="22"/>
      <w:szCs w:val="22"/>
    </w:rPr>
  </w:style>
  <w:style w:type="paragraph" w:customStyle="1" w:styleId="593">
    <w:name w:val="样式1"/>
    <w:basedOn w:val="1"/>
    <w:qFormat/>
    <w:uiPriority w:val="99"/>
    <w:pPr>
      <w:spacing w:before="120" w:after="120"/>
      <w:jc w:val="center"/>
    </w:pPr>
    <w:rPr>
      <w:rFonts w:eastAsia="黑体"/>
      <w:sz w:val="28"/>
      <w:szCs w:val="28"/>
    </w:rPr>
  </w:style>
  <w:style w:type="paragraph" w:customStyle="1" w:styleId="594">
    <w:name w:val="样式 样式1 + 非全部大写 居中 段前: 6 磅 段后: 6 磅 行距: 单倍行距"/>
    <w:basedOn w:val="1"/>
    <w:qFormat/>
    <w:uiPriority w:val="0"/>
    <w:pPr>
      <w:tabs>
        <w:tab w:val="right" w:leader="dot" w:pos="8296"/>
      </w:tabs>
      <w:spacing w:before="120" w:after="120"/>
      <w:jc w:val="center"/>
    </w:pPr>
    <w:rPr>
      <w:rFonts w:eastAsia="黑体" w:cs="宋体"/>
      <w:sz w:val="28"/>
      <w:szCs w:val="20"/>
    </w:rPr>
  </w:style>
  <w:style w:type="paragraph" w:customStyle="1" w:styleId="595">
    <w:name w:val="样式 样式 样式 样式 (符号) 宋体 小四 行距: 1.5 倍行距 + (符号) Times New Roman 首行缩进: ..."/>
    <w:basedOn w:val="1"/>
    <w:qFormat/>
    <w:uiPriority w:val="0"/>
    <w:pPr>
      <w:spacing w:line="500" w:lineRule="atLeast"/>
      <w:ind w:firstLine="560" w:firstLineChars="200"/>
    </w:pPr>
    <w:rPr>
      <w:rFonts w:cs="宋体"/>
      <w:sz w:val="28"/>
      <w:szCs w:val="20"/>
    </w:rPr>
  </w:style>
  <w:style w:type="paragraph" w:customStyle="1" w:styleId="596">
    <w:name w:val="样式 四号 行距: 固定值 25 磅"/>
    <w:basedOn w:val="1"/>
    <w:qFormat/>
    <w:uiPriority w:val="0"/>
    <w:pPr>
      <w:spacing w:line="500" w:lineRule="atLeast"/>
      <w:ind w:firstLine="200" w:firstLineChars="200"/>
    </w:pPr>
    <w:rPr>
      <w:rFonts w:cs="宋体"/>
      <w:sz w:val="28"/>
      <w:szCs w:val="20"/>
    </w:rPr>
  </w:style>
  <w:style w:type="paragraph" w:customStyle="1" w:styleId="597">
    <w:name w:val="样式 样式 标题 1龙网标题 1公司标题 1，宋体 小三龙网标题章白鹤滩标题 1白鹤滩1H1Normal + Font... +..."/>
    <w:basedOn w:val="350"/>
    <w:qFormat/>
    <w:uiPriority w:val="0"/>
    <w:pPr>
      <w:spacing w:before="240" w:after="240" w:line="500" w:lineRule="atLeast"/>
    </w:pPr>
    <w:rPr>
      <w:sz w:val="32"/>
    </w:rPr>
  </w:style>
  <w:style w:type="paragraph" w:customStyle="1" w:styleId="598">
    <w:name w:val="样式 样式 样式 标题 3 + 左侧:  0 厘米 首行缩进:  0 厘米 + + 黑色"/>
    <w:basedOn w:val="1"/>
    <w:qFormat/>
    <w:uiPriority w:val="0"/>
    <w:pPr>
      <w:keepNext/>
      <w:keepLines/>
      <w:tabs>
        <w:tab w:val="left" w:pos="624"/>
      </w:tabs>
      <w:spacing w:before="60" w:after="60" w:line="500" w:lineRule="atLeast"/>
      <w:ind w:left="624" w:hanging="624"/>
      <w:outlineLvl w:val="2"/>
    </w:pPr>
    <w:rPr>
      <w:rFonts w:eastAsia="黑体"/>
      <w:color w:val="000000"/>
      <w:kern w:val="0"/>
      <w:sz w:val="28"/>
      <w:szCs w:val="20"/>
    </w:rPr>
  </w:style>
  <w:style w:type="paragraph" w:customStyle="1" w:styleId="599">
    <w:name w:val="xl78"/>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textAlignment w:val="center"/>
    </w:pPr>
    <w:rPr>
      <w:rFonts w:ascii="宋体" w:hAnsi="宋体" w:cs="宋体"/>
      <w:kern w:val="0"/>
      <w:sz w:val="24"/>
    </w:rPr>
  </w:style>
  <w:style w:type="paragraph" w:customStyle="1" w:styleId="600">
    <w:name w:val="样式 标题 4四 + (西文) Times New Roman (中文) 宋体 非加粗 段前: 0 磅 段后: 0 磅..."/>
    <w:basedOn w:val="5"/>
    <w:qFormat/>
    <w:uiPriority w:val="0"/>
    <w:pPr>
      <w:adjustRightInd/>
      <w:spacing w:before="0" w:after="0" w:line="500" w:lineRule="atLeast"/>
      <w:textAlignment w:val="auto"/>
    </w:pPr>
    <w:rPr>
      <w:rFonts w:ascii="Times New Roman" w:hAnsi="Times New Roman" w:eastAsia="宋体" w:cs="宋体"/>
      <w:b w:val="0"/>
      <w:kern w:val="2"/>
    </w:rPr>
  </w:style>
  <w:style w:type="paragraph" w:customStyle="1" w:styleId="601">
    <w:name w:val="表头"/>
    <w:basedOn w:val="1"/>
    <w:qFormat/>
    <w:uiPriority w:val="0"/>
    <w:pPr>
      <w:spacing w:line="360" w:lineRule="auto"/>
      <w:jc w:val="center"/>
    </w:pPr>
    <w:rPr>
      <w:rFonts w:eastAsia="黑体"/>
    </w:rPr>
  </w:style>
  <w:style w:type="paragraph" w:customStyle="1" w:styleId="602">
    <w:name w:val="样式 样式 样式 样式 样式 样式 标题 1 + 段前: 0.5 行 段后: 0.5 行 + 段前: 0.5 行 段后: 0.5...1"/>
    <w:basedOn w:val="1"/>
    <w:qFormat/>
    <w:uiPriority w:val="0"/>
    <w:pPr>
      <w:keepNext/>
      <w:keepLines/>
      <w:adjustRightInd w:val="0"/>
      <w:spacing w:before="240" w:beforeLines="100" w:after="240" w:afterLines="100" w:line="480" w:lineRule="atLeast"/>
      <w:textAlignment w:val="baseline"/>
      <w:outlineLvl w:val="0"/>
    </w:pPr>
    <w:rPr>
      <w:rFonts w:eastAsia="黑体" w:cs="宋体"/>
      <w:color w:val="000000"/>
      <w:kern w:val="44"/>
      <w:sz w:val="32"/>
      <w:szCs w:val="20"/>
    </w:rPr>
  </w:style>
  <w:style w:type="paragraph" w:customStyle="1" w:styleId="603">
    <w:name w:val="样式 样式 样式 样式 五号 居中 首行缩进:  0 厘米 行距: 单倍行距 + (符号) 宋体 + + (符号) Times ..."/>
    <w:basedOn w:val="1"/>
    <w:qFormat/>
    <w:uiPriority w:val="0"/>
    <w:pPr>
      <w:jc w:val="center"/>
    </w:pPr>
    <w:rPr>
      <w:rFonts w:hAnsi="宋体" w:cs="宋体"/>
      <w:szCs w:val="20"/>
    </w:rPr>
  </w:style>
  <w:style w:type="paragraph" w:customStyle="1" w:styleId="604">
    <w:name w:val="样式 样式 样式 四号 黑色 行距: 最小值 24 磅 + 首行缩进:  2 字符 + (中文) 宋体 首行缩进:  2 字符"/>
    <w:basedOn w:val="1"/>
    <w:qFormat/>
    <w:uiPriority w:val="0"/>
    <w:pPr>
      <w:spacing w:line="500" w:lineRule="atLeast"/>
      <w:ind w:firstLine="560" w:firstLineChars="200"/>
    </w:pPr>
    <w:rPr>
      <w:rFonts w:cs="宋体"/>
      <w:color w:val="000000"/>
      <w:sz w:val="28"/>
      <w:szCs w:val="20"/>
    </w:rPr>
  </w:style>
  <w:style w:type="paragraph" w:customStyle="1" w:styleId="605">
    <w:name w:val="样式 样式 四号 首行缩进:  0.99 厘米 行距: 最小值 25 磅 + 紧缩量  0.1 磅"/>
    <w:basedOn w:val="366"/>
    <w:qFormat/>
    <w:uiPriority w:val="0"/>
    <w:rPr>
      <w:szCs w:val="28"/>
    </w:rPr>
  </w:style>
  <w:style w:type="paragraph" w:customStyle="1" w:styleId="606">
    <w:name w:val="Char4"/>
    <w:basedOn w:val="1"/>
    <w:qFormat/>
    <w:uiPriority w:val="0"/>
  </w:style>
  <w:style w:type="paragraph" w:customStyle="1" w:styleId="607">
    <w:name w:val="样式 样式 样式 标题 1H1Heading 0Header1h1Heading 1 AppHeader 1Section H...."/>
    <w:basedOn w:val="1"/>
    <w:qFormat/>
    <w:uiPriority w:val="0"/>
    <w:pPr>
      <w:keepNext/>
      <w:keepLines/>
      <w:spacing w:before="240" w:after="240" w:line="500" w:lineRule="atLeast"/>
      <w:jc w:val="left"/>
      <w:outlineLvl w:val="0"/>
    </w:pPr>
    <w:rPr>
      <w:rFonts w:eastAsia="黑体" w:cs="宋体"/>
      <w:kern w:val="44"/>
      <w:sz w:val="32"/>
      <w:szCs w:val="20"/>
    </w:rPr>
  </w:style>
  <w:style w:type="paragraph" w:customStyle="1" w:styleId="608">
    <w:name w:val="Char Char Char Char Char Char Char Char Char Char Char Char Char Char Char Char2"/>
    <w:basedOn w:val="1"/>
    <w:qFormat/>
    <w:uiPriority w:val="0"/>
    <w:pPr>
      <w:spacing w:line="500" w:lineRule="atLeast"/>
      <w:ind w:firstLine="561"/>
    </w:pPr>
    <w:rPr>
      <w:rFonts w:ascii="Tahoma" w:hAnsi="Tahoma"/>
      <w:sz w:val="24"/>
      <w:szCs w:val="20"/>
    </w:rPr>
  </w:style>
  <w:style w:type="paragraph" w:customStyle="1" w:styleId="609">
    <w:name w:val="样式 样式 样式 标题 2 + 段前: 0.5 行 段后: 0.5 行 + Times New Roman 两端对齐 段前: 0...1"/>
    <w:basedOn w:val="1"/>
    <w:qFormat/>
    <w:uiPriority w:val="0"/>
    <w:pPr>
      <w:keepNext/>
      <w:keepLines/>
      <w:adjustRightInd w:val="0"/>
      <w:spacing w:before="50" w:beforeLines="50" w:after="50" w:afterLines="50" w:line="500" w:lineRule="atLeast"/>
      <w:textAlignment w:val="baseline"/>
      <w:outlineLvl w:val="1"/>
    </w:pPr>
    <w:rPr>
      <w:rFonts w:eastAsia="黑体" w:cs="宋体"/>
      <w:color w:val="000000"/>
      <w:kern w:val="0"/>
      <w:sz w:val="30"/>
      <w:szCs w:val="20"/>
    </w:rPr>
  </w:style>
  <w:style w:type="paragraph" w:customStyle="1" w:styleId="610">
    <w:name w:val="样式 (西文) Times New Roman (中文) 黑体 (符号) 黑体 四号 居中 段前: 6 磅 段后: ..."/>
    <w:basedOn w:val="1"/>
    <w:qFormat/>
    <w:uiPriority w:val="0"/>
    <w:pPr>
      <w:spacing w:before="120" w:after="120"/>
      <w:jc w:val="center"/>
    </w:pPr>
    <w:rPr>
      <w:rFonts w:hAnsi="黑体" w:eastAsia="黑体" w:cs="宋体"/>
      <w:sz w:val="28"/>
      <w:szCs w:val="20"/>
    </w:rPr>
  </w:style>
  <w:style w:type="paragraph" w:customStyle="1" w:styleId="611">
    <w:name w:val="样式 标题 2标题 41标题 21章标题h2sect 1.2H2Chapter Number/Appendix L..."/>
    <w:basedOn w:val="3"/>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612">
    <w:name w:val="样式 样式 四号 黑色 行距: 最小值 24 磅 + 首行缩进:  2 字符"/>
    <w:basedOn w:val="1"/>
    <w:qFormat/>
    <w:uiPriority w:val="0"/>
    <w:pPr>
      <w:spacing w:line="500" w:lineRule="atLeast"/>
      <w:ind w:firstLine="200" w:firstLineChars="200"/>
    </w:pPr>
    <w:rPr>
      <w:rFonts w:eastAsia="仿宋_GB2312"/>
      <w:color w:val="000000"/>
      <w:sz w:val="28"/>
      <w:szCs w:val="20"/>
    </w:rPr>
  </w:style>
  <w:style w:type="paragraph" w:customStyle="1" w:styleId="613">
    <w:name w:val="样式 四号 首行缩进:  0.99 厘米 段前: 6 磅 段后: 6 磅 行距: 最小值 25 磅"/>
    <w:basedOn w:val="1"/>
    <w:qFormat/>
    <w:uiPriority w:val="0"/>
    <w:pPr>
      <w:spacing w:line="500" w:lineRule="atLeast"/>
      <w:ind w:firstLine="561"/>
    </w:pPr>
    <w:rPr>
      <w:rFonts w:cs="宋体"/>
      <w:sz w:val="28"/>
      <w:szCs w:val="20"/>
    </w:rPr>
  </w:style>
  <w:style w:type="paragraph" w:customStyle="1" w:styleId="614">
    <w:name w:val="样式 样式 标题 3H3h33rd levell3CTHeading 3 - oldlevel_3PIM 3Leve...2 +..."/>
    <w:basedOn w:val="1"/>
    <w:qFormat/>
    <w:uiPriority w:val="0"/>
    <w:pPr>
      <w:keepNext/>
      <w:keepLines/>
      <w:spacing w:before="60" w:after="60" w:line="500" w:lineRule="atLeast"/>
      <w:outlineLvl w:val="2"/>
    </w:pPr>
    <w:rPr>
      <w:rFonts w:eastAsia="黑体" w:cs="宋体"/>
      <w:color w:val="000000"/>
      <w:sz w:val="28"/>
      <w:szCs w:val="20"/>
    </w:rPr>
  </w:style>
  <w:style w:type="paragraph" w:customStyle="1" w:styleId="615">
    <w:name w:val="样式 样式 样式 标题 1 + (西文) Times New Roman (中文) 宋体 四号 行距: 固定值 25 磅 + 首..."/>
    <w:basedOn w:val="1"/>
    <w:qFormat/>
    <w:uiPriority w:val="0"/>
    <w:pPr>
      <w:keepNext/>
      <w:keepLines/>
      <w:widowControl/>
      <w:adjustRightInd w:val="0"/>
      <w:snapToGrid w:val="0"/>
      <w:spacing w:line="500" w:lineRule="exact"/>
      <w:jc w:val="left"/>
      <w:outlineLvl w:val="0"/>
    </w:pPr>
    <w:rPr>
      <w:rFonts w:hAnsi="黑体" w:eastAsia="黑体" w:cs="宋体"/>
      <w:kern w:val="44"/>
      <w:sz w:val="32"/>
      <w:szCs w:val="20"/>
    </w:rPr>
  </w:style>
  <w:style w:type="paragraph" w:customStyle="1" w:styleId="616">
    <w:name w:val="样式 标题 3三级标题标题 3 Char Char Char头 + (中文) 黑体 四号 非加粗 段前: 3 磅 ..."/>
    <w:basedOn w:val="4"/>
    <w:qFormat/>
    <w:uiPriority w:val="0"/>
    <w:pPr>
      <w:autoSpaceDE/>
      <w:autoSpaceDN/>
      <w:adjustRightInd/>
      <w:spacing w:before="60" w:after="60" w:line="500" w:lineRule="atLeast"/>
      <w:jc w:val="both"/>
    </w:pPr>
    <w:rPr>
      <w:rFonts w:ascii="Times New Roman" w:eastAsia="黑体" w:cs="宋体"/>
      <w:b w:val="0"/>
      <w:kern w:val="2"/>
      <w:sz w:val="28"/>
      <w:u w:val="none"/>
    </w:rPr>
  </w:style>
  <w:style w:type="paragraph" w:customStyle="1" w:styleId="617">
    <w:name w:val="样式 样式 样式 标题 3 + 黑色 + 首行缩进:  2 字符 + 紧缩量  0.1 磅"/>
    <w:basedOn w:val="1"/>
    <w:qFormat/>
    <w:uiPriority w:val="0"/>
    <w:pPr>
      <w:keepNext/>
      <w:keepLines/>
      <w:spacing w:before="60" w:after="60" w:line="500" w:lineRule="atLeast"/>
      <w:jc w:val="left"/>
      <w:outlineLvl w:val="2"/>
    </w:pPr>
    <w:rPr>
      <w:rFonts w:eastAsia="黑体" w:cs="宋体"/>
      <w:color w:val="000000"/>
      <w:spacing w:val="-2"/>
      <w:sz w:val="28"/>
      <w:szCs w:val="20"/>
      <w:lang w:val="zh-CN"/>
    </w:rPr>
  </w:style>
  <w:style w:type="paragraph" w:customStyle="1" w:styleId="618">
    <w:name w:val="xl95"/>
    <w:basedOn w:val="1"/>
    <w:qFormat/>
    <w:uiPriority w:val="0"/>
    <w:pPr>
      <w:widowControl/>
      <w:pBdr>
        <w:top w:val="single" w:color="auto" w:sz="4" w:space="0"/>
        <w:left w:val="single" w:color="auto" w:sz="8" w:space="0"/>
        <w:bottom w:val="single" w:color="auto" w:sz="8"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19">
    <w:name w:val="xl82"/>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20">
    <w:name w:val="Char1112"/>
    <w:basedOn w:val="1"/>
    <w:qFormat/>
    <w:uiPriority w:val="0"/>
    <w:pPr>
      <w:framePr w:hSpace="180" w:wrap="around" w:vAnchor="text" w:hAnchor="margin" w:y="-83"/>
      <w:spacing w:line="500" w:lineRule="atLeast"/>
      <w:ind w:left="-105" w:leftChars="-50" w:right="-65" w:rightChars="-31" w:firstLine="561"/>
      <w:jc w:val="center"/>
    </w:pPr>
    <w:rPr>
      <w:rFonts w:ascii="Tahoma" w:hAnsi="Tahoma"/>
      <w:sz w:val="24"/>
      <w:szCs w:val="20"/>
    </w:rPr>
  </w:style>
  <w:style w:type="paragraph" w:customStyle="1" w:styleId="621">
    <w:name w:val="Char Char Char Char112"/>
    <w:basedOn w:val="1"/>
    <w:qFormat/>
    <w:uiPriority w:val="0"/>
    <w:pPr>
      <w:spacing w:before="120" w:after="120" w:line="500" w:lineRule="atLeast"/>
    </w:pPr>
    <w:rPr>
      <w:szCs w:val="20"/>
    </w:rPr>
  </w:style>
  <w:style w:type="paragraph" w:customStyle="1" w:styleId="622">
    <w:name w:val="xl77"/>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textAlignment w:val="center"/>
    </w:pPr>
    <w:rPr>
      <w:rFonts w:ascii="宋体" w:hAnsi="宋体" w:cs="宋体"/>
      <w:kern w:val="0"/>
      <w:sz w:val="24"/>
    </w:rPr>
  </w:style>
  <w:style w:type="paragraph" w:customStyle="1" w:styleId="623">
    <w:name w:val="样式 标题 2节sect 1.2H2Char Char标题 1.1标题 21章标题h2Chapter Numb..."/>
    <w:basedOn w:val="3"/>
    <w:qFormat/>
    <w:uiPriority w:val="0"/>
    <w:pPr>
      <w:autoSpaceDE/>
      <w:autoSpaceDN/>
      <w:adjustRightInd/>
      <w:spacing w:after="120" w:line="500" w:lineRule="atLeast"/>
      <w:jc w:val="both"/>
    </w:pPr>
    <w:rPr>
      <w:rFonts w:ascii="Times New Roman" w:hAnsi="Times New Roman" w:cs="宋体"/>
      <w:b w:val="0"/>
      <w:kern w:val="2"/>
    </w:rPr>
  </w:style>
  <w:style w:type="paragraph" w:customStyle="1" w:styleId="624">
    <w:name w:val="xl75"/>
    <w:basedOn w:val="1"/>
    <w:qFormat/>
    <w:uiPriority w:val="0"/>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rPr>
  </w:style>
  <w:style w:type="paragraph" w:customStyle="1" w:styleId="625">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626">
    <w:name w:val="列表段落2"/>
    <w:basedOn w:val="1"/>
    <w:qFormat/>
    <w:uiPriority w:val="99"/>
    <w:pPr>
      <w:ind w:firstLine="420" w:firstLineChars="200"/>
    </w:pPr>
    <w:rPr>
      <w:szCs w:val="20"/>
    </w:rPr>
  </w:style>
  <w:style w:type="character" w:customStyle="1" w:styleId="627">
    <w:name w:val="纯文本 字符3"/>
    <w:basedOn w:val="56"/>
    <w:qFormat/>
    <w:uiPriority w:val="0"/>
    <w:rPr>
      <w:rFonts w:ascii="宋体" w:hAnsi="Courier New" w:eastAsia="宋体" w:cs="Times New Roman"/>
      <w:szCs w:val="20"/>
    </w:rPr>
  </w:style>
  <w:style w:type="character" w:customStyle="1" w:styleId="628">
    <w:name w:val="页脚 字符2"/>
    <w:basedOn w:val="56"/>
    <w:qFormat/>
    <w:uiPriority w:val="99"/>
    <w:rPr>
      <w:sz w:val="18"/>
      <w:szCs w:val="18"/>
    </w:rPr>
  </w:style>
  <w:style w:type="character" w:customStyle="1" w:styleId="629">
    <w:name w:val="其他_"/>
    <w:link w:val="264"/>
    <w:qFormat/>
    <w:uiPriority w:val="99"/>
    <w:rPr>
      <w:rFonts w:ascii="宋体" w:hAnsi="宋体" w:cs="宋体"/>
      <w:kern w:val="2"/>
      <w:sz w:val="21"/>
      <w:szCs w:val="24"/>
      <w:shd w:val="clear" w:color="auto" w:fill="FFFFFF"/>
      <w:lang w:val="zh-CN" w:bidi="zh-CN"/>
    </w:rPr>
  </w:style>
  <w:style w:type="character" w:customStyle="1" w:styleId="630">
    <w:name w:val="注释标题 字符"/>
    <w:basedOn w:val="56"/>
    <w:qFormat/>
    <w:uiPriority w:val="0"/>
    <w:rPr>
      <w:kern w:val="2"/>
      <w:sz w:val="21"/>
      <w:szCs w:val="24"/>
    </w:rPr>
  </w:style>
  <w:style w:type="character" w:customStyle="1" w:styleId="631">
    <w:name w:val="称呼 字符"/>
    <w:basedOn w:val="56"/>
    <w:qFormat/>
    <w:uiPriority w:val="0"/>
    <w:rPr>
      <w:kern w:val="2"/>
      <w:sz w:val="21"/>
      <w:szCs w:val="24"/>
    </w:rPr>
  </w:style>
  <w:style w:type="character" w:customStyle="1" w:styleId="632">
    <w:name w:val="正文文本 2 字符"/>
    <w:basedOn w:val="56"/>
    <w:qFormat/>
    <w:uiPriority w:val="99"/>
    <w:rPr>
      <w:kern w:val="2"/>
      <w:sz w:val="21"/>
      <w:szCs w:val="24"/>
    </w:rPr>
  </w:style>
  <w:style w:type="paragraph" w:customStyle="1" w:styleId="633">
    <w:name w:val="Preformatted"/>
    <w:basedOn w:val="1"/>
    <w:qFormat/>
    <w:uiPriority w:val="0"/>
    <w:pPr>
      <w:tabs>
        <w:tab w:val="left" w:pos="0"/>
        <w:tab w:val="left" w:pos="959"/>
        <w:tab w:val="left" w:pos="1918"/>
        <w:tab w:val="left" w:pos="2877"/>
        <w:tab w:val="left" w:pos="3836"/>
        <w:tab w:val="left" w:pos="4795"/>
        <w:tab w:val="left" w:pos="5754"/>
        <w:tab w:val="left" w:pos="6713"/>
        <w:tab w:val="left" w:pos="7672"/>
        <w:tab w:val="left" w:pos="8631"/>
        <w:tab w:val="left" w:pos="9590"/>
      </w:tabs>
      <w:autoSpaceDE w:val="0"/>
      <w:autoSpaceDN w:val="0"/>
      <w:adjustRightInd w:val="0"/>
      <w:jc w:val="left"/>
    </w:pPr>
    <w:rPr>
      <w:rFonts w:ascii="Courier New" w:hAnsi="Courier New"/>
      <w:kern w:val="0"/>
      <w:sz w:val="20"/>
      <w:szCs w:val="20"/>
    </w:rPr>
  </w:style>
  <w:style w:type="paragraph" w:customStyle="1" w:styleId="634">
    <w:name w:val="_Style 43"/>
    <w:basedOn w:val="1"/>
    <w:next w:val="297"/>
    <w:link w:val="673"/>
    <w:qFormat/>
    <w:uiPriority w:val="0"/>
    <w:pPr>
      <w:ind w:firstLine="420" w:firstLineChars="200"/>
    </w:pPr>
    <w:rPr>
      <w:rFonts w:asciiTheme="minorHAnsi" w:hAnsiTheme="minorHAnsi" w:eastAsiaTheme="minorEastAsia" w:cstheme="minorBidi"/>
    </w:rPr>
  </w:style>
  <w:style w:type="paragraph" w:customStyle="1" w:styleId="635">
    <w:name w:val="倪芳"/>
    <w:basedOn w:val="1"/>
    <w:qFormat/>
    <w:uiPriority w:val="0"/>
    <w:pPr>
      <w:spacing w:beforeLines="25" w:afterLines="15" w:line="400" w:lineRule="exact"/>
    </w:pPr>
    <w:rPr>
      <w:rFonts w:ascii="宋体" w:hAnsi="Courier New" w:cs="Courier New"/>
      <w:sz w:val="24"/>
      <w:szCs w:val="21"/>
    </w:rPr>
  </w:style>
  <w:style w:type="paragraph" w:customStyle="1" w:styleId="636">
    <w:name w:val="普通 (Web)"/>
    <w:basedOn w:val="1"/>
    <w:qFormat/>
    <w:uiPriority w:val="0"/>
    <w:pPr>
      <w:widowControl/>
      <w:spacing w:before="100" w:beforeAutospacing="1" w:after="100" w:afterAutospacing="1"/>
      <w:jc w:val="left"/>
    </w:pPr>
    <w:rPr>
      <w:rFonts w:ascii="宋体" w:hAnsi="宋体"/>
      <w:kern w:val="0"/>
      <w:sz w:val="24"/>
    </w:rPr>
  </w:style>
  <w:style w:type="paragraph" w:customStyle="1" w:styleId="637">
    <w:name w:val="样式 标题 2 + (符号) 宋体 小四"/>
    <w:basedOn w:val="3"/>
    <w:qFormat/>
    <w:uiPriority w:val="0"/>
    <w:pPr>
      <w:autoSpaceDE/>
      <w:autoSpaceDN/>
      <w:adjustRightInd/>
      <w:spacing w:before="260" w:after="260" w:line="416" w:lineRule="auto"/>
      <w:jc w:val="both"/>
    </w:pPr>
    <w:rPr>
      <w:rFonts w:eastAsia="宋体"/>
      <w:b w:val="0"/>
      <w:bCs/>
      <w:kern w:val="2"/>
      <w:sz w:val="24"/>
      <w:szCs w:val="32"/>
    </w:rPr>
  </w:style>
  <w:style w:type="character" w:customStyle="1" w:styleId="638">
    <w:name w:val="样式 标题 2 + (符号) 宋体 小四 Char"/>
    <w:qFormat/>
    <w:uiPriority w:val="0"/>
    <w:rPr>
      <w:rFonts w:ascii="Arial" w:hAnsi="Arial" w:eastAsia="宋体"/>
      <w:b/>
      <w:bCs/>
      <w:kern w:val="2"/>
      <w:sz w:val="24"/>
      <w:szCs w:val="32"/>
      <w:lang w:val="en-US" w:eastAsia="zh-CN" w:bidi="ar-SA"/>
    </w:rPr>
  </w:style>
  <w:style w:type="paragraph" w:customStyle="1" w:styleId="639">
    <w:name w:val="标题3"/>
    <w:basedOn w:val="1"/>
    <w:next w:val="4"/>
    <w:qFormat/>
    <w:uiPriority w:val="0"/>
    <w:pPr>
      <w:tabs>
        <w:tab w:val="left" w:pos="795"/>
      </w:tabs>
      <w:ind w:left="795" w:right="26" w:rightChars="100" w:hanging="375"/>
      <w:jc w:val="left"/>
    </w:pPr>
    <w:rPr>
      <w:rFonts w:ascii="黑体" w:hAnsi="黑体"/>
      <w:sz w:val="24"/>
      <w:szCs w:val="20"/>
    </w:rPr>
  </w:style>
  <w:style w:type="paragraph" w:customStyle="1" w:styleId="640">
    <w:name w:val="默认段落字体 Para Char Char Char Char Char Char Char Char Char Char"/>
    <w:basedOn w:val="17"/>
    <w:qFormat/>
    <w:uiPriority w:val="0"/>
    <w:rPr>
      <w:rFonts w:ascii="Tahoma" w:hAnsi="Tahoma"/>
      <w:sz w:val="24"/>
    </w:rPr>
  </w:style>
  <w:style w:type="character" w:customStyle="1" w:styleId="641">
    <w:name w:val="Char Char"/>
    <w:qFormat/>
    <w:uiPriority w:val="0"/>
    <w:rPr>
      <w:rFonts w:eastAsia="宋体"/>
      <w:kern w:val="2"/>
      <w:sz w:val="24"/>
      <w:lang w:val="en-US" w:eastAsia="zh-CN" w:bidi="ar-SA"/>
    </w:rPr>
  </w:style>
  <w:style w:type="paragraph" w:customStyle="1" w:styleId="642">
    <w:name w:val="TOC 标题1"/>
    <w:basedOn w:val="2"/>
    <w:next w:val="1"/>
    <w:qFormat/>
    <w:uiPriority w:val="99"/>
    <w:pPr>
      <w:tabs>
        <w:tab w:val="left" w:pos="432"/>
      </w:tabs>
      <w:autoSpaceDE/>
      <w:autoSpaceDN/>
      <w:adjustRightInd/>
      <w:spacing w:before="340" w:after="330" w:line="578" w:lineRule="auto"/>
      <w:jc w:val="both"/>
      <w:outlineLvl w:val="9"/>
    </w:pPr>
    <w:rPr>
      <w:rFonts w:ascii="Times New Roman"/>
      <w:bCs/>
      <w:sz w:val="44"/>
      <w:szCs w:val="44"/>
    </w:rPr>
  </w:style>
  <w:style w:type="character" w:customStyle="1" w:styleId="643">
    <w:name w:val="标题 1 字符1"/>
    <w:qFormat/>
    <w:uiPriority w:val="99"/>
    <w:rPr>
      <w:rFonts w:ascii="黑体" w:hAnsi="Times New Roman" w:eastAsia="黑体" w:cs="Times New Roman"/>
      <w:kern w:val="0"/>
      <w:sz w:val="52"/>
      <w:szCs w:val="20"/>
    </w:rPr>
  </w:style>
  <w:style w:type="character" w:customStyle="1" w:styleId="644">
    <w:name w:val="标题 2 字符1"/>
    <w:qFormat/>
    <w:uiPriority w:val="99"/>
    <w:rPr>
      <w:rFonts w:ascii="Times New Roman" w:hAnsi="Times New Roman" w:eastAsia="宋体" w:cs="Times New Roman"/>
      <w:b/>
      <w:kern w:val="0"/>
      <w:sz w:val="44"/>
      <w:szCs w:val="32"/>
    </w:rPr>
  </w:style>
  <w:style w:type="character" w:customStyle="1" w:styleId="645">
    <w:name w:val="标题 4 字符1"/>
    <w:qFormat/>
    <w:uiPriority w:val="99"/>
    <w:rPr>
      <w:rFonts w:ascii="Times New Roman" w:hAnsi="Times New Roman" w:eastAsia="宋体" w:cs="Times New Roman"/>
      <w:b/>
      <w:kern w:val="0"/>
      <w:sz w:val="28"/>
      <w:szCs w:val="20"/>
    </w:rPr>
  </w:style>
  <w:style w:type="character" w:customStyle="1" w:styleId="646">
    <w:name w:val="标题 5 字符1"/>
    <w:qFormat/>
    <w:uiPriority w:val="99"/>
    <w:rPr>
      <w:rFonts w:ascii="Times New Roman" w:hAnsi="Times New Roman" w:eastAsia="宋体" w:cs="Times New Roman"/>
      <w:b/>
      <w:bCs/>
      <w:sz w:val="28"/>
      <w:szCs w:val="28"/>
    </w:rPr>
  </w:style>
  <w:style w:type="character" w:customStyle="1" w:styleId="647">
    <w:name w:val="标题 6 字符1"/>
    <w:qFormat/>
    <w:uiPriority w:val="99"/>
    <w:rPr>
      <w:rFonts w:ascii="Arial" w:hAnsi="Arial" w:eastAsia="黑体" w:cs="Times New Roman"/>
      <w:b/>
      <w:bCs/>
      <w:kern w:val="0"/>
      <w:sz w:val="24"/>
      <w:szCs w:val="24"/>
    </w:rPr>
  </w:style>
  <w:style w:type="character" w:customStyle="1" w:styleId="648">
    <w:name w:val="标题 7 字符1"/>
    <w:qFormat/>
    <w:uiPriority w:val="99"/>
    <w:rPr>
      <w:rFonts w:ascii="Times New Roman" w:hAnsi="Times New Roman" w:eastAsia="宋体" w:cs="Times New Roman"/>
      <w:b/>
      <w:bCs/>
      <w:kern w:val="0"/>
      <w:sz w:val="24"/>
      <w:szCs w:val="24"/>
    </w:rPr>
  </w:style>
  <w:style w:type="character" w:customStyle="1" w:styleId="649">
    <w:name w:val="标题 8 字符1"/>
    <w:qFormat/>
    <w:uiPriority w:val="99"/>
    <w:rPr>
      <w:rFonts w:ascii="Arial" w:hAnsi="Arial" w:eastAsia="黑体" w:cs="Times New Roman"/>
      <w:kern w:val="0"/>
      <w:sz w:val="24"/>
      <w:szCs w:val="24"/>
    </w:rPr>
  </w:style>
  <w:style w:type="character" w:customStyle="1" w:styleId="650">
    <w:name w:val="标题 9 字符1"/>
    <w:qFormat/>
    <w:uiPriority w:val="99"/>
    <w:rPr>
      <w:rFonts w:ascii="Arial" w:hAnsi="Arial" w:eastAsia="黑体" w:cs="Times New Roman"/>
      <w:kern w:val="0"/>
      <w:szCs w:val="21"/>
    </w:rPr>
  </w:style>
  <w:style w:type="character" w:customStyle="1" w:styleId="651">
    <w:name w:val="正文文本 字符1"/>
    <w:qFormat/>
    <w:uiPriority w:val="99"/>
    <w:rPr>
      <w:rFonts w:ascii="宋体" w:hAnsi="Times New Roman" w:eastAsia="宋体" w:cs="Times New Roman"/>
      <w:color w:val="FF0000"/>
      <w:szCs w:val="20"/>
    </w:rPr>
  </w:style>
  <w:style w:type="character" w:customStyle="1" w:styleId="652">
    <w:name w:val="正文文本 2 字符1"/>
    <w:link w:val="45"/>
    <w:qFormat/>
    <w:uiPriority w:val="99"/>
    <w:rPr>
      <w:rFonts w:ascii="宋体"/>
      <w:kern w:val="2"/>
      <w:sz w:val="21"/>
    </w:rPr>
  </w:style>
  <w:style w:type="paragraph" w:customStyle="1" w:styleId="653">
    <w:name w:val="3"/>
    <w:basedOn w:val="1"/>
    <w:next w:val="21"/>
    <w:qFormat/>
    <w:uiPriority w:val="99"/>
    <w:rPr>
      <w:rFonts w:ascii="宋体"/>
      <w:sz w:val="24"/>
      <w:szCs w:val="20"/>
    </w:rPr>
  </w:style>
  <w:style w:type="character" w:customStyle="1" w:styleId="654">
    <w:name w:val="正文文本 3 字符1"/>
    <w:qFormat/>
    <w:uiPriority w:val="99"/>
    <w:rPr>
      <w:rFonts w:ascii="Times New Roman" w:hAnsi="Times New Roman" w:eastAsia="宋体" w:cs="Times New Roman"/>
      <w:sz w:val="16"/>
      <w:szCs w:val="16"/>
    </w:rPr>
  </w:style>
  <w:style w:type="paragraph" w:customStyle="1" w:styleId="655">
    <w:name w:val="2"/>
    <w:basedOn w:val="1"/>
    <w:next w:val="23"/>
    <w:qFormat/>
    <w:uiPriority w:val="99"/>
    <w:pPr>
      <w:ind w:left="432"/>
    </w:pPr>
    <w:rPr>
      <w:szCs w:val="20"/>
    </w:rPr>
  </w:style>
  <w:style w:type="character" w:customStyle="1" w:styleId="656">
    <w:name w:val="正文文本缩进 字符1"/>
    <w:qFormat/>
    <w:uiPriority w:val="99"/>
    <w:rPr>
      <w:rFonts w:ascii="Times New Roman" w:hAnsi="Times New Roman" w:eastAsia="宋体" w:cs="Times New Roman"/>
      <w:szCs w:val="24"/>
    </w:rPr>
  </w:style>
  <w:style w:type="character" w:customStyle="1" w:styleId="657">
    <w:name w:val="页眉 字符1"/>
    <w:qFormat/>
    <w:uiPriority w:val="99"/>
    <w:rPr>
      <w:rFonts w:ascii="Times New Roman" w:hAnsi="Times New Roman" w:eastAsia="宋体" w:cs="Times New Roman"/>
      <w:kern w:val="0"/>
      <w:sz w:val="18"/>
      <w:szCs w:val="20"/>
    </w:rPr>
  </w:style>
  <w:style w:type="character" w:customStyle="1" w:styleId="658">
    <w:name w:val="标题 字符1"/>
    <w:qFormat/>
    <w:uiPriority w:val="99"/>
    <w:rPr>
      <w:rFonts w:ascii="Arial" w:hAnsi="Arial" w:eastAsia="宋体" w:cs="Times New Roman"/>
      <w:b/>
      <w:kern w:val="0"/>
      <w:sz w:val="32"/>
      <w:szCs w:val="20"/>
    </w:rPr>
  </w:style>
  <w:style w:type="character" w:customStyle="1" w:styleId="659">
    <w:name w:val="正文文本缩进 2 字符1"/>
    <w:qFormat/>
    <w:uiPriority w:val="99"/>
    <w:rPr>
      <w:rFonts w:ascii="Times New Roman" w:hAnsi="Times New Roman" w:eastAsia="宋体" w:cs="Times New Roman"/>
      <w:sz w:val="24"/>
      <w:szCs w:val="30"/>
    </w:rPr>
  </w:style>
  <w:style w:type="character" w:customStyle="1" w:styleId="660">
    <w:name w:val="正文文本缩进 3 字符1"/>
    <w:qFormat/>
    <w:uiPriority w:val="99"/>
    <w:rPr>
      <w:rFonts w:ascii="Times New Roman" w:hAnsi="Times New Roman" w:eastAsia="宋体" w:cs="Times New Roman"/>
      <w:sz w:val="24"/>
      <w:szCs w:val="30"/>
    </w:rPr>
  </w:style>
  <w:style w:type="paragraph" w:customStyle="1" w:styleId="661">
    <w:name w:val="样式 标题 1 + 黑体 三号 非加粗 居中 段前: 6 磅 段后: 6 磅 行距: 固定值 20 磅"/>
    <w:basedOn w:val="2"/>
    <w:qFormat/>
    <w:uiPriority w:val="99"/>
    <w:pPr>
      <w:tabs>
        <w:tab w:val="left" w:pos="432"/>
      </w:tabs>
      <w:autoSpaceDE/>
      <w:autoSpaceDN/>
      <w:adjustRightInd/>
      <w:spacing w:before="120" w:line="400" w:lineRule="exact"/>
    </w:pPr>
    <w:rPr>
      <w:rFonts w:ascii="黑体" w:hAnsi="黑体" w:eastAsia="黑体" w:cs="宋体"/>
      <w:b w:val="0"/>
    </w:rPr>
  </w:style>
  <w:style w:type="paragraph" w:customStyle="1" w:styleId="662">
    <w:name w:val="Char1111"/>
    <w:basedOn w:val="1"/>
    <w:qFormat/>
    <w:uiPriority w:val="0"/>
    <w:rPr>
      <w:rFonts w:ascii="Tahoma" w:hAnsi="Tahoma"/>
      <w:sz w:val="24"/>
      <w:szCs w:val="20"/>
    </w:rPr>
  </w:style>
  <w:style w:type="character" w:customStyle="1" w:styleId="663">
    <w:name w:val="font161"/>
    <w:qFormat/>
    <w:uiPriority w:val="99"/>
    <w:rPr>
      <w:b/>
      <w:bCs/>
      <w:sz w:val="32"/>
      <w:szCs w:val="32"/>
    </w:rPr>
  </w:style>
  <w:style w:type="paragraph" w:customStyle="1" w:styleId="664">
    <w:name w:val="6'"/>
    <w:basedOn w:val="1"/>
    <w:qFormat/>
    <w:uiPriority w:val="99"/>
    <w:pPr>
      <w:autoSpaceDE w:val="0"/>
      <w:autoSpaceDN w:val="0"/>
      <w:adjustRightInd w:val="0"/>
      <w:snapToGrid w:val="0"/>
      <w:spacing w:line="320" w:lineRule="exact"/>
      <w:jc w:val="center"/>
      <w:textAlignment w:val="baseline"/>
    </w:pPr>
    <w:rPr>
      <w:spacing w:val="20"/>
      <w:kern w:val="28"/>
      <w:szCs w:val="20"/>
    </w:rPr>
  </w:style>
  <w:style w:type="paragraph" w:customStyle="1" w:styleId="665">
    <w:name w:val="表格"/>
    <w:basedOn w:val="1"/>
    <w:qFormat/>
    <w:uiPriority w:val="99"/>
    <w:pPr>
      <w:jc w:val="center"/>
      <w:textAlignment w:val="center"/>
    </w:pPr>
    <w:rPr>
      <w:rFonts w:ascii="华文细黑" w:hAnsi="华文细黑"/>
      <w:kern w:val="0"/>
      <w:szCs w:val="20"/>
    </w:rPr>
  </w:style>
  <w:style w:type="paragraph" w:customStyle="1" w:styleId="666">
    <w:name w:val="XW正文"/>
    <w:basedOn w:val="23"/>
    <w:qFormat/>
    <w:uiPriority w:val="99"/>
    <w:pPr>
      <w:adjustRightInd w:val="0"/>
      <w:snapToGrid w:val="0"/>
      <w:spacing w:line="300" w:lineRule="auto"/>
      <w:ind w:firstLine="520" w:firstLineChars="200"/>
      <w:jc w:val="left"/>
    </w:pPr>
    <w:rPr>
      <w:kern w:val="0"/>
      <w:sz w:val="21"/>
    </w:rPr>
  </w:style>
  <w:style w:type="paragraph" w:customStyle="1" w:styleId="667">
    <w:name w:val="金安桥正文"/>
    <w:basedOn w:val="23"/>
    <w:qFormat/>
    <w:uiPriority w:val="99"/>
    <w:pPr>
      <w:adjustRightInd w:val="0"/>
      <w:spacing w:line="300" w:lineRule="auto"/>
      <w:ind w:firstLine="200" w:firstLineChars="200"/>
      <w:jc w:val="left"/>
    </w:pPr>
    <w:rPr>
      <w:kern w:val="0"/>
      <w:szCs w:val="20"/>
    </w:rPr>
  </w:style>
  <w:style w:type="character" w:customStyle="1" w:styleId="668">
    <w:name w:val="样式 粉红"/>
    <w:qFormat/>
    <w:uiPriority w:val="99"/>
    <w:rPr>
      <w:color w:val="auto"/>
      <w:u w:val="none"/>
    </w:rPr>
  </w:style>
  <w:style w:type="character" w:customStyle="1" w:styleId="669">
    <w:name w:val="批注框文本 字符1"/>
    <w:qFormat/>
    <w:uiPriority w:val="0"/>
    <w:rPr>
      <w:rFonts w:ascii="Times New Roman" w:hAnsi="Times New Roman" w:eastAsia="宋体" w:cs="Times New Roman"/>
      <w:sz w:val="18"/>
      <w:szCs w:val="18"/>
    </w:rPr>
  </w:style>
  <w:style w:type="character" w:customStyle="1" w:styleId="670">
    <w:name w:val="文档结构图 字符1"/>
    <w:qFormat/>
    <w:uiPriority w:val="99"/>
    <w:rPr>
      <w:rFonts w:ascii="Times New Roman" w:hAnsi="Times New Roman" w:eastAsia="宋体" w:cs="Times New Roman"/>
      <w:szCs w:val="24"/>
      <w:shd w:val="clear" w:color="auto" w:fill="000080"/>
    </w:rPr>
  </w:style>
  <w:style w:type="paragraph" w:customStyle="1" w:styleId="671">
    <w:name w:val="p17"/>
    <w:basedOn w:val="1"/>
    <w:qFormat/>
    <w:uiPriority w:val="99"/>
    <w:pPr>
      <w:widowControl/>
    </w:pPr>
    <w:rPr>
      <w:kern w:val="0"/>
      <w:szCs w:val="21"/>
    </w:rPr>
  </w:style>
  <w:style w:type="character" w:customStyle="1" w:styleId="672">
    <w:name w:val="H4 Char"/>
    <w:qFormat/>
    <w:uiPriority w:val="0"/>
    <w:rPr>
      <w:b/>
      <w:sz w:val="28"/>
    </w:rPr>
  </w:style>
  <w:style w:type="character" w:customStyle="1" w:styleId="673">
    <w:name w:val="正文首行缩进 2 Char"/>
    <w:link w:val="634"/>
    <w:qFormat/>
    <w:uiPriority w:val="0"/>
    <w:rPr>
      <w:rFonts w:asciiTheme="minorHAnsi" w:hAnsiTheme="minorHAnsi" w:eastAsiaTheme="minorEastAsia" w:cstheme="minorBidi"/>
      <w:kern w:val="2"/>
      <w:sz w:val="21"/>
      <w:szCs w:val="24"/>
    </w:rPr>
  </w:style>
  <w:style w:type="character" w:customStyle="1" w:styleId="674">
    <w:name w:val="Char Char21"/>
    <w:qFormat/>
    <w:uiPriority w:val="0"/>
    <w:rPr>
      <w:rFonts w:eastAsia="宋体"/>
      <w:kern w:val="2"/>
      <w:sz w:val="24"/>
      <w:lang w:val="en-US" w:eastAsia="zh-CN" w:bidi="ar-SA"/>
    </w:rPr>
  </w:style>
  <w:style w:type="character" w:customStyle="1" w:styleId="675">
    <w:name w:val="称呼 字符1"/>
    <w:link w:val="20"/>
    <w:qFormat/>
    <w:uiPriority w:val="0"/>
    <w:rPr>
      <w:rFonts w:ascii="..ì." w:eastAsia="..ì."/>
      <w:sz w:val="24"/>
    </w:rPr>
  </w:style>
  <w:style w:type="character" w:customStyle="1" w:styleId="676">
    <w:name w:val="注释标题 字符1"/>
    <w:link w:val="12"/>
    <w:qFormat/>
    <w:uiPriority w:val="0"/>
    <w:rPr>
      <w:rFonts w:ascii="..ì." w:eastAsia="..ì."/>
      <w:sz w:val="24"/>
    </w:rPr>
  </w:style>
  <w:style w:type="paragraph" w:customStyle="1" w:styleId="677">
    <w:name w:val="Char121"/>
    <w:basedOn w:val="1"/>
    <w:qFormat/>
    <w:uiPriority w:val="0"/>
    <w:rPr>
      <w:rFonts w:ascii="Tahoma" w:hAnsi="Tahoma"/>
      <w:sz w:val="24"/>
      <w:szCs w:val="20"/>
    </w:rPr>
  </w:style>
  <w:style w:type="paragraph" w:customStyle="1" w:styleId="678">
    <w:name w:val="Char Char Char Char111"/>
    <w:basedOn w:val="1"/>
    <w:qFormat/>
    <w:uiPriority w:val="0"/>
    <w:pPr>
      <w:widowControl/>
      <w:spacing w:after="160" w:line="240" w:lineRule="exact"/>
      <w:jc w:val="left"/>
    </w:pPr>
    <w:rPr>
      <w:szCs w:val="20"/>
    </w:rPr>
  </w:style>
  <w:style w:type="paragraph" w:customStyle="1" w:styleId="679">
    <w:name w:val="前言、引言标题"/>
    <w:next w:val="1"/>
    <w:qFormat/>
    <w:uiPriority w:val="0"/>
    <w:pPr>
      <w:shd w:val="clear" w:color="FFFFFF" w:fill="FFFFFF"/>
      <w:spacing w:before="640" w:after="560"/>
      <w:jc w:val="center"/>
      <w:outlineLvl w:val="0"/>
    </w:pPr>
    <w:rPr>
      <w:rFonts w:ascii="黑体" w:hAnsi="Times New Roman" w:eastAsia="黑体" w:cs="Times New Roman"/>
      <w:sz w:val="32"/>
      <w:lang w:val="en-US" w:eastAsia="zh-CN" w:bidi="ar-SA"/>
    </w:rPr>
  </w:style>
  <w:style w:type="paragraph" w:customStyle="1" w:styleId="680">
    <w:name w:val="列项——"/>
    <w:qFormat/>
    <w:uiPriority w:val="0"/>
    <w:pPr>
      <w:widowControl w:val="0"/>
      <w:numPr>
        <w:ilvl w:val="0"/>
        <w:numId w:val="1"/>
      </w:numPr>
      <w:jc w:val="both"/>
    </w:pPr>
    <w:rPr>
      <w:rFonts w:ascii="宋体" w:hAnsi="Times New Roman" w:eastAsia="宋体" w:cs="Times New Roman"/>
      <w:sz w:val="21"/>
      <w:lang w:val="en-US" w:eastAsia="zh-CN" w:bidi="ar-SA"/>
    </w:rPr>
  </w:style>
  <w:style w:type="character" w:customStyle="1" w:styleId="681">
    <w:name w:val="章标题 Char"/>
    <w:link w:val="116"/>
    <w:qFormat/>
    <w:uiPriority w:val="0"/>
    <w:rPr>
      <w:rFonts w:ascii="黑体" w:eastAsia="黑体"/>
      <w:b/>
      <w:sz w:val="28"/>
    </w:rPr>
  </w:style>
  <w:style w:type="character" w:customStyle="1" w:styleId="682">
    <w:name w:val="一级条标题 Char"/>
    <w:link w:val="115"/>
    <w:qFormat/>
    <w:uiPriority w:val="0"/>
    <w:rPr>
      <w:rFonts w:ascii="黑体" w:eastAsia="黑体"/>
      <w:b/>
      <w:sz w:val="28"/>
    </w:rPr>
  </w:style>
  <w:style w:type="character" w:customStyle="1" w:styleId="683">
    <w:name w:val="二级条标题 Char"/>
    <w:link w:val="114"/>
    <w:qFormat/>
    <w:uiPriority w:val="0"/>
    <w:rPr>
      <w:rFonts w:ascii="宋体"/>
      <w:sz w:val="28"/>
    </w:rPr>
  </w:style>
  <w:style w:type="character" w:customStyle="1" w:styleId="684">
    <w:name w:val="Heading 1 Char"/>
    <w:qFormat/>
    <w:locked/>
    <w:uiPriority w:val="0"/>
    <w:rPr>
      <w:rFonts w:ascii="黑体" w:hAnsi="Times New Roman" w:eastAsia="黑体" w:cs="Times New Roman"/>
      <w:kern w:val="0"/>
      <w:sz w:val="20"/>
      <w:szCs w:val="20"/>
    </w:rPr>
  </w:style>
  <w:style w:type="character" w:customStyle="1" w:styleId="685">
    <w:name w:val="Heading 2 Char"/>
    <w:qFormat/>
    <w:locked/>
    <w:uiPriority w:val="0"/>
    <w:rPr>
      <w:rFonts w:ascii="Times New Roman" w:hAnsi="Times New Roman" w:eastAsia="宋体" w:cs="Times New Roman"/>
      <w:b/>
      <w:kern w:val="0"/>
      <w:sz w:val="32"/>
      <w:szCs w:val="32"/>
    </w:rPr>
  </w:style>
  <w:style w:type="character" w:customStyle="1" w:styleId="686">
    <w:name w:val="标题 3 字符1"/>
    <w:qFormat/>
    <w:locked/>
    <w:uiPriority w:val="99"/>
    <w:rPr>
      <w:rFonts w:ascii="Times New Roman" w:hAnsi="Times New Roman" w:eastAsia="宋体" w:cs="Times New Roman"/>
      <w:b/>
      <w:kern w:val="0"/>
      <w:sz w:val="32"/>
      <w:szCs w:val="20"/>
    </w:rPr>
  </w:style>
  <w:style w:type="character" w:customStyle="1" w:styleId="687">
    <w:name w:val="Heading 4 Char"/>
    <w:qFormat/>
    <w:locked/>
    <w:uiPriority w:val="0"/>
    <w:rPr>
      <w:rFonts w:ascii="Times New Roman" w:hAnsi="Times New Roman" w:eastAsia="宋体" w:cs="Times New Roman"/>
      <w:b/>
      <w:kern w:val="0"/>
      <w:sz w:val="20"/>
      <w:szCs w:val="20"/>
    </w:rPr>
  </w:style>
  <w:style w:type="character" w:customStyle="1" w:styleId="688">
    <w:name w:val="Heading 5 Char"/>
    <w:qFormat/>
    <w:locked/>
    <w:uiPriority w:val="0"/>
    <w:rPr>
      <w:rFonts w:ascii="Times New Roman" w:hAnsi="Times New Roman" w:eastAsia="宋体" w:cs="Times New Roman"/>
      <w:b/>
      <w:bCs/>
      <w:sz w:val="28"/>
      <w:szCs w:val="28"/>
    </w:rPr>
  </w:style>
  <w:style w:type="character" w:customStyle="1" w:styleId="689">
    <w:name w:val="Heading 6 Char"/>
    <w:qFormat/>
    <w:locked/>
    <w:uiPriority w:val="0"/>
    <w:rPr>
      <w:rFonts w:ascii="Arial" w:hAnsi="Arial" w:eastAsia="黑体" w:cs="Times New Roman"/>
      <w:b/>
      <w:bCs/>
      <w:kern w:val="0"/>
      <w:sz w:val="24"/>
      <w:szCs w:val="24"/>
    </w:rPr>
  </w:style>
  <w:style w:type="character" w:customStyle="1" w:styleId="690">
    <w:name w:val="Heading 7 Char"/>
    <w:qFormat/>
    <w:locked/>
    <w:uiPriority w:val="0"/>
    <w:rPr>
      <w:rFonts w:ascii="Times New Roman" w:hAnsi="Times New Roman" w:eastAsia="宋体" w:cs="Times New Roman"/>
      <w:b/>
      <w:bCs/>
      <w:kern w:val="0"/>
      <w:sz w:val="24"/>
      <w:szCs w:val="24"/>
    </w:rPr>
  </w:style>
  <w:style w:type="character" w:customStyle="1" w:styleId="691">
    <w:name w:val="Heading 8 Char"/>
    <w:qFormat/>
    <w:locked/>
    <w:uiPriority w:val="0"/>
    <w:rPr>
      <w:rFonts w:ascii="Arial" w:hAnsi="Arial" w:eastAsia="黑体" w:cs="Times New Roman"/>
      <w:kern w:val="0"/>
      <w:sz w:val="24"/>
      <w:szCs w:val="24"/>
    </w:rPr>
  </w:style>
  <w:style w:type="character" w:customStyle="1" w:styleId="692">
    <w:name w:val="Heading 9 Char"/>
    <w:qFormat/>
    <w:locked/>
    <w:uiPriority w:val="0"/>
    <w:rPr>
      <w:rFonts w:ascii="Arial" w:hAnsi="Arial" w:eastAsia="黑体" w:cs="Times New Roman"/>
      <w:kern w:val="0"/>
      <w:sz w:val="21"/>
      <w:szCs w:val="21"/>
    </w:rPr>
  </w:style>
  <w:style w:type="character" w:customStyle="1" w:styleId="693">
    <w:name w:val="Document Map Char"/>
    <w:qFormat/>
    <w:locked/>
    <w:uiPriority w:val="0"/>
    <w:rPr>
      <w:rFonts w:ascii="Times New Roman" w:hAnsi="Times New Roman" w:eastAsia="宋体" w:cs="Times New Roman"/>
      <w:sz w:val="24"/>
      <w:szCs w:val="24"/>
      <w:shd w:val="clear" w:color="auto" w:fill="000080"/>
    </w:rPr>
  </w:style>
  <w:style w:type="character" w:customStyle="1" w:styleId="694">
    <w:name w:val="Date Char"/>
    <w:qFormat/>
    <w:locked/>
    <w:uiPriority w:val="0"/>
    <w:rPr>
      <w:rFonts w:ascii="Times New Roman" w:hAnsi="Times New Roman" w:eastAsia="宋体" w:cs="Times New Roman"/>
      <w:sz w:val="20"/>
      <w:szCs w:val="20"/>
    </w:rPr>
  </w:style>
  <w:style w:type="character" w:customStyle="1" w:styleId="695">
    <w:name w:val="Header Char"/>
    <w:qFormat/>
    <w:locked/>
    <w:uiPriority w:val="0"/>
    <w:rPr>
      <w:rFonts w:ascii="Times New Roman" w:hAnsi="Times New Roman" w:eastAsia="宋体" w:cs="Times New Roman"/>
      <w:kern w:val="0"/>
      <w:sz w:val="20"/>
      <w:szCs w:val="20"/>
    </w:rPr>
  </w:style>
  <w:style w:type="character" w:customStyle="1" w:styleId="696">
    <w:name w:val="Footer Char"/>
    <w:qFormat/>
    <w:locked/>
    <w:uiPriority w:val="0"/>
    <w:rPr>
      <w:rFonts w:ascii="Times New Roman" w:hAnsi="Times New Roman" w:eastAsia="宋体" w:cs="Times New Roman"/>
      <w:kern w:val="0"/>
      <w:sz w:val="20"/>
      <w:szCs w:val="20"/>
    </w:rPr>
  </w:style>
  <w:style w:type="character" w:customStyle="1" w:styleId="697">
    <w:name w:val="Plain Text Char"/>
    <w:qFormat/>
    <w:locked/>
    <w:uiPriority w:val="0"/>
    <w:rPr>
      <w:rFonts w:ascii="宋体" w:hAnsi="Courier New" w:eastAsia="宋体" w:cs="Times New Roman"/>
      <w:sz w:val="20"/>
      <w:szCs w:val="20"/>
    </w:rPr>
  </w:style>
  <w:style w:type="character" w:customStyle="1" w:styleId="698">
    <w:name w:val="Body Text Indent 2 Char"/>
    <w:qFormat/>
    <w:locked/>
    <w:uiPriority w:val="0"/>
    <w:rPr>
      <w:rFonts w:ascii="Times New Roman" w:hAnsi="Times New Roman" w:eastAsia="宋体" w:cs="Times New Roman"/>
      <w:sz w:val="30"/>
      <w:szCs w:val="30"/>
    </w:rPr>
  </w:style>
  <w:style w:type="character" w:customStyle="1" w:styleId="699">
    <w:name w:val="Body Text Indent 3 Char"/>
    <w:qFormat/>
    <w:locked/>
    <w:uiPriority w:val="0"/>
    <w:rPr>
      <w:rFonts w:ascii="Times New Roman" w:hAnsi="Times New Roman" w:eastAsia="宋体" w:cs="Times New Roman"/>
      <w:sz w:val="30"/>
      <w:szCs w:val="30"/>
    </w:rPr>
  </w:style>
  <w:style w:type="character" w:customStyle="1" w:styleId="700">
    <w:name w:val="Body Text First Indent 2 Char"/>
    <w:qFormat/>
    <w:locked/>
    <w:uiPriority w:val="0"/>
    <w:rPr>
      <w:rFonts w:ascii="Times New Roman" w:hAnsi="Times New Roman" w:eastAsia="宋体" w:cs="Times New Roman"/>
      <w:kern w:val="2"/>
      <w:sz w:val="24"/>
      <w:szCs w:val="24"/>
    </w:rPr>
  </w:style>
  <w:style w:type="character" w:customStyle="1" w:styleId="701">
    <w:name w:val="Body Text 2 Char"/>
    <w:qFormat/>
    <w:locked/>
    <w:uiPriority w:val="0"/>
    <w:rPr>
      <w:rFonts w:ascii="宋体" w:hAnsi="Times New Roman" w:eastAsia="宋体" w:cs="Times New Roman"/>
      <w:sz w:val="20"/>
      <w:szCs w:val="20"/>
    </w:rPr>
  </w:style>
  <w:style w:type="character" w:customStyle="1" w:styleId="702">
    <w:name w:val="Balloon Text Char"/>
    <w:qFormat/>
    <w:locked/>
    <w:uiPriority w:val="0"/>
    <w:rPr>
      <w:rFonts w:ascii="Times New Roman" w:hAnsi="Times New Roman" w:eastAsia="宋体" w:cs="Times New Roman"/>
      <w:sz w:val="18"/>
      <w:szCs w:val="18"/>
    </w:rPr>
  </w:style>
  <w:style w:type="character" w:customStyle="1" w:styleId="703">
    <w:name w:val="Salutation Char"/>
    <w:qFormat/>
    <w:locked/>
    <w:uiPriority w:val="0"/>
    <w:rPr>
      <w:rFonts w:ascii="..ì." w:hAnsi="Times New Roman" w:eastAsia="..ì." w:cs="Times New Roman"/>
      <w:kern w:val="0"/>
      <w:sz w:val="20"/>
      <w:szCs w:val="20"/>
    </w:rPr>
  </w:style>
  <w:style w:type="character" w:customStyle="1" w:styleId="704">
    <w:name w:val="Note Heading Char"/>
    <w:qFormat/>
    <w:locked/>
    <w:uiPriority w:val="0"/>
    <w:rPr>
      <w:rFonts w:ascii="..ì." w:hAnsi="Times New Roman" w:eastAsia="..ì." w:cs="Times New Roman"/>
      <w:kern w:val="0"/>
      <w:sz w:val="20"/>
      <w:szCs w:val="20"/>
    </w:rPr>
  </w:style>
  <w:style w:type="character" w:customStyle="1" w:styleId="705">
    <w:name w:val="Body Text 3 Char"/>
    <w:qFormat/>
    <w:locked/>
    <w:uiPriority w:val="0"/>
    <w:rPr>
      <w:rFonts w:ascii="Times New Roman" w:hAnsi="Times New Roman" w:eastAsia="宋体" w:cs="Times New Roman"/>
      <w:sz w:val="16"/>
      <w:szCs w:val="16"/>
    </w:rPr>
  </w:style>
  <w:style w:type="character" w:customStyle="1" w:styleId="706">
    <w:name w:val="Title Char"/>
    <w:qFormat/>
    <w:locked/>
    <w:uiPriority w:val="0"/>
    <w:rPr>
      <w:rFonts w:ascii="Arial" w:hAnsi="Arial" w:eastAsia="宋体" w:cs="Times New Roman"/>
      <w:b/>
      <w:kern w:val="0"/>
      <w:sz w:val="20"/>
      <w:szCs w:val="20"/>
    </w:rPr>
  </w:style>
  <w:style w:type="character" w:customStyle="1" w:styleId="707">
    <w:name w:val="Comment Subject Char"/>
    <w:qFormat/>
    <w:locked/>
    <w:uiPriority w:val="0"/>
    <w:rPr>
      <w:rFonts w:ascii="Times New Roman" w:hAnsi="Times New Roman" w:eastAsia="宋体" w:cs="Times New Roman"/>
      <w:b/>
      <w:bCs/>
      <w:sz w:val="24"/>
      <w:szCs w:val="24"/>
    </w:rPr>
  </w:style>
  <w:style w:type="character" w:customStyle="1" w:styleId="708">
    <w:name w:val="Comment Text Char"/>
    <w:qFormat/>
    <w:locked/>
    <w:uiPriority w:val="0"/>
    <w:rPr>
      <w:rFonts w:ascii="Times New Roman" w:hAnsi="Times New Roman" w:eastAsia="宋体"/>
      <w:sz w:val="24"/>
    </w:rPr>
  </w:style>
  <w:style w:type="paragraph" w:customStyle="1" w:styleId="709">
    <w:name w:val="reader-word-layer reader-word-s2-5"/>
    <w:basedOn w:val="1"/>
    <w:qFormat/>
    <w:uiPriority w:val="0"/>
    <w:pPr>
      <w:widowControl/>
      <w:spacing w:before="100" w:beforeAutospacing="1" w:after="100" w:afterAutospacing="1"/>
      <w:jc w:val="left"/>
    </w:pPr>
    <w:rPr>
      <w:rFonts w:ascii="宋体" w:hAnsi="宋体" w:cs="宋体"/>
      <w:kern w:val="0"/>
      <w:sz w:val="24"/>
    </w:rPr>
  </w:style>
  <w:style w:type="character" w:customStyle="1" w:styleId="710">
    <w:name w:val="未处理的提及1"/>
    <w:unhideWhenUsed/>
    <w:qFormat/>
    <w:uiPriority w:val="99"/>
    <w:rPr>
      <w:color w:val="605E5C"/>
      <w:shd w:val="clear" w:color="auto" w:fill="E1DFDD"/>
    </w:rPr>
  </w:style>
  <w:style w:type="paragraph" w:customStyle="1" w:styleId="711">
    <w:name w:val="样式"/>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2">
    <w:name w:val="Char11"/>
    <w:basedOn w:val="1"/>
    <w:qFormat/>
    <w:uiPriority w:val="99"/>
    <w:rPr>
      <w:rFonts w:ascii="Tahoma" w:hAnsi="Tahoma"/>
      <w:sz w:val="24"/>
      <w:szCs w:val="20"/>
    </w:rPr>
  </w:style>
  <w:style w:type="paragraph" w:customStyle="1" w:styleId="713">
    <w:name w:val="Char Char Char Char1"/>
    <w:basedOn w:val="1"/>
    <w:qFormat/>
    <w:uiPriority w:val="99"/>
    <w:pPr>
      <w:widowControl/>
      <w:spacing w:after="160" w:line="240" w:lineRule="exact"/>
      <w:jc w:val="left"/>
    </w:pPr>
    <w:rPr>
      <w:szCs w:val="20"/>
    </w:rPr>
  </w:style>
  <w:style w:type="paragraph" w:customStyle="1" w:styleId="714">
    <w:name w:val="Normal_0"/>
    <w:qFormat/>
    <w:uiPriority w:val="99"/>
    <w:pPr>
      <w:spacing w:before="120" w:after="240"/>
      <w:jc w:val="both"/>
    </w:pPr>
    <w:rPr>
      <w:rFonts w:ascii="Calibri" w:hAnsi="Calibri" w:eastAsia="Calibri" w:cs="Times New Roman"/>
      <w:sz w:val="22"/>
      <w:szCs w:val="22"/>
      <w:lang w:val="ru-RU" w:eastAsia="en-US" w:bidi="ar-SA"/>
    </w:rPr>
  </w:style>
  <w:style w:type="paragraph" w:customStyle="1" w:styleId="715">
    <w:name w:val="_Style 29"/>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16">
    <w:name w:val="Char Char Char Char11"/>
    <w:basedOn w:val="1"/>
    <w:qFormat/>
    <w:uiPriority w:val="99"/>
    <w:pPr>
      <w:widowControl/>
      <w:spacing w:after="160" w:line="240" w:lineRule="exact"/>
      <w:jc w:val="left"/>
    </w:pPr>
    <w:rPr>
      <w:szCs w:val="20"/>
    </w:rPr>
  </w:style>
  <w:style w:type="paragraph" w:customStyle="1" w:styleId="717">
    <w:name w:val="Char12"/>
    <w:basedOn w:val="1"/>
    <w:qFormat/>
    <w:uiPriority w:val="99"/>
    <w:rPr>
      <w:rFonts w:ascii="Tahoma" w:hAnsi="Tahoma"/>
      <w:sz w:val="24"/>
      <w:szCs w:val="20"/>
    </w:rPr>
  </w:style>
  <w:style w:type="paragraph" w:customStyle="1" w:styleId="718">
    <w:name w:val="Char111"/>
    <w:basedOn w:val="1"/>
    <w:qFormat/>
    <w:uiPriority w:val="99"/>
    <w:rPr>
      <w:rFonts w:ascii="Tahoma" w:hAnsi="Tahoma"/>
      <w:sz w:val="24"/>
      <w:szCs w:val="20"/>
    </w:rPr>
  </w:style>
  <w:style w:type="paragraph" w:customStyle="1" w:styleId="719">
    <w:name w:val="访问过的超链接1"/>
    <w:qFormat/>
    <w:uiPriority w:val="99"/>
    <w:pPr>
      <w:widowControl w:val="0"/>
      <w:jc w:val="both"/>
    </w:pPr>
    <w:rPr>
      <w:rFonts w:ascii="Times New Roman" w:hAnsi="Times New Roman" w:eastAsia="宋体" w:cs="Times New Roman"/>
      <w:kern w:val="2"/>
      <w:sz w:val="21"/>
      <w:szCs w:val="24"/>
      <w:lang w:val="en-US" w:eastAsia="zh-CN" w:bidi="ar-SA"/>
    </w:rPr>
  </w:style>
  <w:style w:type="paragraph" w:customStyle="1" w:styleId="720">
    <w:name w:val="Char Char Char Char2"/>
    <w:basedOn w:val="1"/>
    <w:qFormat/>
    <w:uiPriority w:val="99"/>
    <w:pPr>
      <w:widowControl/>
      <w:spacing w:after="160" w:line="240" w:lineRule="exact"/>
      <w:jc w:val="left"/>
    </w:pPr>
    <w:rPr>
      <w:szCs w:val="20"/>
    </w:rPr>
  </w:style>
  <w:style w:type="character" w:customStyle="1" w:styleId="721">
    <w:name w:val="H4 Char2"/>
    <w:qFormat/>
    <w:uiPriority w:val="99"/>
    <w:rPr>
      <w:b/>
      <w:sz w:val="28"/>
    </w:rPr>
  </w:style>
  <w:style w:type="character" w:customStyle="1" w:styleId="722">
    <w:name w:val="Char Char2"/>
    <w:qFormat/>
    <w:uiPriority w:val="99"/>
    <w:rPr>
      <w:rFonts w:eastAsia="宋体"/>
      <w:kern w:val="2"/>
      <w:sz w:val="24"/>
      <w:lang w:val="en-US" w:eastAsia="zh-CN"/>
    </w:rPr>
  </w:style>
  <w:style w:type="paragraph" w:customStyle="1" w:styleId="723">
    <w:name w:val="Char13"/>
    <w:basedOn w:val="1"/>
    <w:qFormat/>
    <w:uiPriority w:val="99"/>
    <w:rPr>
      <w:rFonts w:ascii="Tahoma" w:hAnsi="Tahoma"/>
      <w:sz w:val="24"/>
      <w:szCs w:val="20"/>
    </w:rPr>
  </w:style>
  <w:style w:type="paragraph" w:customStyle="1" w:styleId="724">
    <w:name w:val="Char Char Char Char3"/>
    <w:basedOn w:val="1"/>
    <w:qFormat/>
    <w:uiPriority w:val="99"/>
    <w:pPr>
      <w:widowControl/>
      <w:spacing w:after="160" w:line="240" w:lineRule="exact"/>
      <w:jc w:val="left"/>
    </w:pPr>
    <w:rPr>
      <w:szCs w:val="20"/>
    </w:rPr>
  </w:style>
  <w:style w:type="paragraph" w:customStyle="1" w:styleId="725">
    <w:name w:val="TOC 标题2"/>
    <w:basedOn w:val="2"/>
    <w:next w:val="1"/>
    <w:qFormat/>
    <w:uiPriority w:val="0"/>
    <w:pPr>
      <w:tabs>
        <w:tab w:val="left" w:pos="432"/>
      </w:tabs>
      <w:autoSpaceDE/>
      <w:autoSpaceDN/>
      <w:adjustRightInd/>
      <w:spacing w:before="340" w:after="330" w:line="578" w:lineRule="auto"/>
      <w:jc w:val="both"/>
      <w:outlineLvl w:val="9"/>
    </w:pPr>
    <w:rPr>
      <w:rFonts w:ascii="Times New Roman"/>
      <w:bCs/>
      <w:sz w:val="44"/>
      <w:szCs w:val="44"/>
    </w:rPr>
  </w:style>
  <w:style w:type="paragraph" w:customStyle="1" w:styleId="726">
    <w:name w:val="列出段落3"/>
    <w:basedOn w:val="1"/>
    <w:qFormat/>
    <w:uiPriority w:val="0"/>
    <w:pPr>
      <w:ind w:firstLine="420" w:firstLineChars="200"/>
    </w:pPr>
  </w:style>
  <w:style w:type="character" w:customStyle="1" w:styleId="727">
    <w:name w:val="页脚 Char1"/>
    <w:semiHidden/>
    <w:qFormat/>
    <w:uiPriority w:val="99"/>
    <w:rPr>
      <w:rFonts w:hint="default" w:ascii="Times New Roman" w:hAnsi="Times New Roman" w:cs="Times New Roman"/>
      <w:kern w:val="2"/>
      <w:sz w:val="18"/>
      <w:szCs w:val="18"/>
    </w:rPr>
  </w:style>
  <w:style w:type="character" w:customStyle="1" w:styleId="728">
    <w:name w:val="正文文本 3 Char1"/>
    <w:semiHidden/>
    <w:qFormat/>
    <w:uiPriority w:val="99"/>
    <w:rPr>
      <w:rFonts w:hint="default" w:ascii="Times New Roman" w:hAnsi="Times New Roman" w:cs="Times New Roman"/>
      <w:kern w:val="2"/>
      <w:sz w:val="16"/>
      <w:szCs w:val="16"/>
    </w:rPr>
  </w:style>
  <w:style w:type="character" w:customStyle="1" w:styleId="729">
    <w:name w:val="正文文本缩进 Char2"/>
    <w:semiHidden/>
    <w:qFormat/>
    <w:uiPriority w:val="99"/>
    <w:rPr>
      <w:rFonts w:hint="default" w:ascii="Times New Roman" w:hAnsi="Times New Roman" w:cs="Times New Roman"/>
      <w:kern w:val="2"/>
      <w:sz w:val="21"/>
      <w:szCs w:val="24"/>
    </w:rPr>
  </w:style>
  <w:style w:type="character" w:customStyle="1" w:styleId="730">
    <w:name w:val="页眉 Char1"/>
    <w:semiHidden/>
    <w:qFormat/>
    <w:uiPriority w:val="99"/>
    <w:rPr>
      <w:rFonts w:hint="default" w:ascii="Times New Roman" w:hAnsi="Times New Roman" w:cs="Times New Roman"/>
      <w:kern w:val="2"/>
      <w:sz w:val="18"/>
      <w:szCs w:val="18"/>
    </w:rPr>
  </w:style>
  <w:style w:type="character" w:customStyle="1" w:styleId="731">
    <w:name w:val="标题 Char1"/>
    <w:qFormat/>
    <w:uiPriority w:val="10"/>
    <w:rPr>
      <w:rFonts w:hint="default" w:ascii="Cambria" w:hAnsi="Cambria" w:cs="Times New Roman"/>
      <w:b/>
      <w:bCs/>
      <w:kern w:val="2"/>
      <w:sz w:val="32"/>
      <w:szCs w:val="32"/>
    </w:rPr>
  </w:style>
  <w:style w:type="character" w:customStyle="1" w:styleId="732">
    <w:name w:val="正文文本缩进 3 Char1"/>
    <w:semiHidden/>
    <w:qFormat/>
    <w:uiPriority w:val="99"/>
    <w:rPr>
      <w:rFonts w:hint="default" w:ascii="Times New Roman" w:hAnsi="Times New Roman" w:cs="Times New Roman"/>
      <w:kern w:val="2"/>
      <w:sz w:val="16"/>
      <w:szCs w:val="16"/>
    </w:rPr>
  </w:style>
  <w:style w:type="character" w:customStyle="1" w:styleId="733">
    <w:name w:val="正文文本 2 Char1"/>
    <w:semiHidden/>
    <w:qFormat/>
    <w:uiPriority w:val="99"/>
    <w:rPr>
      <w:rFonts w:hint="default" w:ascii="Times New Roman" w:hAnsi="Times New Roman" w:cs="Times New Roman"/>
      <w:kern w:val="2"/>
      <w:sz w:val="21"/>
      <w:szCs w:val="24"/>
    </w:rPr>
  </w:style>
  <w:style w:type="character" w:customStyle="1" w:styleId="734">
    <w:name w:val="正文文本缩进 2 Char1"/>
    <w:semiHidden/>
    <w:qFormat/>
    <w:uiPriority w:val="99"/>
    <w:rPr>
      <w:rFonts w:hint="default" w:ascii="Times New Roman" w:hAnsi="Times New Roman" w:cs="Times New Roman"/>
      <w:kern w:val="2"/>
      <w:sz w:val="21"/>
      <w:szCs w:val="24"/>
    </w:rPr>
  </w:style>
  <w:style w:type="character" w:customStyle="1" w:styleId="735">
    <w:name w:val="正文文本 Char2"/>
    <w:semiHidden/>
    <w:qFormat/>
    <w:uiPriority w:val="99"/>
    <w:rPr>
      <w:rFonts w:hint="default" w:ascii="Times New Roman" w:hAnsi="Times New Roman" w:cs="Times New Roman"/>
      <w:kern w:val="2"/>
      <w:sz w:val="21"/>
      <w:szCs w:val="24"/>
    </w:rPr>
  </w:style>
  <w:style w:type="paragraph" w:customStyle="1" w:styleId="736">
    <w:name w:val="_Style 40"/>
    <w:basedOn w:val="2"/>
    <w:next w:val="1"/>
    <w:qFormat/>
    <w:uiPriority w:val="0"/>
    <w:pPr>
      <w:tabs>
        <w:tab w:val="left" w:pos="432"/>
      </w:tabs>
      <w:autoSpaceDE/>
      <w:autoSpaceDN/>
      <w:adjustRightInd/>
      <w:spacing w:before="340" w:after="330" w:line="576" w:lineRule="auto"/>
      <w:jc w:val="both"/>
      <w:outlineLvl w:val="9"/>
    </w:pPr>
    <w:rPr>
      <w:rFonts w:ascii="Times New Roman"/>
      <w:bCs/>
      <w:sz w:val="44"/>
      <w:szCs w:val="44"/>
    </w:rPr>
  </w:style>
  <w:style w:type="paragraph" w:customStyle="1" w:styleId="737">
    <w:name w:val="普通(网站) Char"/>
    <w:basedOn w:val="1"/>
    <w:qFormat/>
    <w:uiPriority w:val="0"/>
    <w:pPr>
      <w:spacing w:before="100" w:beforeAutospacing="1" w:after="100" w:afterAutospacing="1" w:line="360" w:lineRule="auto"/>
      <w:jc w:val="left"/>
    </w:pPr>
    <w:rPr>
      <w:rFonts w:hint="eastAsia" w:ascii="宋体" w:hAnsi="宋体"/>
      <w:kern w:val="0"/>
      <w:sz w:val="24"/>
    </w:rPr>
  </w:style>
  <w:style w:type="character" w:customStyle="1" w:styleId="738">
    <w:name w:val="引用 字符"/>
    <w:basedOn w:val="56"/>
    <w:qFormat/>
    <w:uiPriority w:val="0"/>
    <w:rPr>
      <w:rFonts w:ascii="Times New Roman" w:hAnsi="Times New Roman" w:eastAsia="宋体" w:cs="Times New Roman"/>
      <w:i/>
      <w:iCs/>
      <w:color w:val="000000"/>
    </w:rPr>
  </w:style>
  <w:style w:type="paragraph" w:customStyle="1" w:styleId="739">
    <w:name w:val="_Style 49"/>
    <w:qFormat/>
    <w:uiPriority w:val="0"/>
    <w:rPr>
      <w:rFonts w:ascii="Times New Roman" w:hAnsi="Times New Roman" w:eastAsia="宋体" w:cs="Times New Roman"/>
      <w:kern w:val="2"/>
      <w:sz w:val="21"/>
      <w:szCs w:val="24"/>
      <w:lang w:val="en-US" w:eastAsia="zh-CN" w:bidi="ar-SA"/>
    </w:rPr>
  </w:style>
  <w:style w:type="character" w:customStyle="1" w:styleId="740">
    <w:name w:val="明显引用 字符"/>
    <w:basedOn w:val="56"/>
    <w:qFormat/>
    <w:uiPriority w:val="0"/>
    <w:rPr>
      <w:rFonts w:ascii="Times New Roman" w:hAnsi="Times New Roman" w:eastAsia="宋体" w:cs="Times New Roman"/>
      <w:b/>
      <w:bCs/>
      <w:i/>
      <w:iCs/>
      <w:color w:val="4F81BD"/>
    </w:rPr>
  </w:style>
  <w:style w:type="character" w:customStyle="1" w:styleId="741">
    <w:name w:val="_Style 53"/>
    <w:qFormat/>
    <w:uiPriority w:val="0"/>
    <w:rPr>
      <w:b/>
      <w:bCs/>
      <w:smallCaps/>
      <w:color w:val="C0504D"/>
      <w:spacing w:val="5"/>
      <w:u w:val="single"/>
    </w:rPr>
  </w:style>
  <w:style w:type="character" w:customStyle="1" w:styleId="742">
    <w:name w:val="_Style 56"/>
    <w:qFormat/>
    <w:uiPriority w:val="0"/>
    <w:rPr>
      <w:i/>
      <w:iCs/>
      <w:color w:val="808080"/>
    </w:rPr>
  </w:style>
  <w:style w:type="character" w:customStyle="1" w:styleId="743">
    <w:name w:val="_Style 58"/>
    <w:qFormat/>
    <w:uiPriority w:val="0"/>
    <w:rPr>
      <w:b/>
      <w:bCs/>
      <w:smallCaps/>
      <w:spacing w:val="5"/>
    </w:rPr>
  </w:style>
  <w:style w:type="character" w:customStyle="1" w:styleId="744">
    <w:name w:val="_Style 62"/>
    <w:qFormat/>
    <w:uiPriority w:val="0"/>
    <w:rPr>
      <w:b/>
      <w:bCs/>
      <w:i/>
      <w:iCs/>
      <w:color w:val="4F81BD"/>
    </w:rPr>
  </w:style>
  <w:style w:type="character" w:customStyle="1" w:styleId="745">
    <w:name w:val="_Style 84"/>
    <w:qFormat/>
    <w:uiPriority w:val="0"/>
    <w:rPr>
      <w:smallCaps/>
      <w:color w:val="C0504D"/>
      <w:u w:val="single"/>
    </w:rPr>
  </w:style>
  <w:style w:type="paragraph" w:customStyle="1" w:styleId="746">
    <w:name w:val="段"/>
    <w:qFormat/>
    <w:uiPriority w:val="0"/>
    <w:pPr>
      <w:tabs>
        <w:tab w:val="left" w:pos="1389"/>
      </w:tabs>
      <w:autoSpaceDE w:val="0"/>
      <w:autoSpaceDN w:val="0"/>
      <w:ind w:firstLine="425"/>
      <w:jc w:val="both"/>
    </w:pPr>
    <w:rPr>
      <w:rFonts w:ascii="宋体" w:hAnsi="Times New Roman" w:eastAsia="宋体" w:cs="Times New Roman"/>
      <w:sz w:val="21"/>
      <w:lang w:val="en-US" w:eastAsia="zh-CN" w:bidi="ar-SA"/>
    </w:rPr>
  </w:style>
  <w:style w:type="paragraph" w:customStyle="1" w:styleId="747">
    <w:name w:val="Table Text"/>
    <w:basedOn w:val="1"/>
    <w:autoRedefine/>
    <w:semiHidden/>
    <w:qFormat/>
    <w:uiPriority w:val="0"/>
    <w:rPr>
      <w:rFonts w:ascii="宋体" w:hAnsi="宋体" w:eastAsia="宋体" w:cs="宋体"/>
      <w:sz w:val="24"/>
      <w:szCs w:val="24"/>
      <w:lang w:val="en-US" w:eastAsia="en-US" w:bidi="ar-SA"/>
    </w:rPr>
  </w:style>
  <w:style w:type="character" w:customStyle="1" w:styleId="748">
    <w:name w:val="redfilenumber"/>
    <w:basedOn w:val="56"/>
    <w:qFormat/>
    <w:uiPriority w:val="0"/>
    <w:rPr>
      <w:color w:val="BA2636"/>
      <w:sz w:val="9"/>
      <w:szCs w:val="9"/>
    </w:rPr>
  </w:style>
  <w:style w:type="character" w:customStyle="1" w:styleId="749">
    <w:name w:val="redfilefwwh"/>
    <w:basedOn w:val="56"/>
    <w:qFormat/>
    <w:uiPriority w:val="0"/>
    <w:rPr>
      <w:color w:val="BA2636"/>
      <w:sz w:val="9"/>
      <w:szCs w:val="9"/>
    </w:rPr>
  </w:style>
  <w:style w:type="character" w:customStyle="1" w:styleId="750">
    <w:name w:val="gjfg"/>
    <w:basedOn w:val="56"/>
    <w:qFormat/>
    <w:uiPriority w:val="0"/>
  </w:style>
  <w:style w:type="character" w:customStyle="1" w:styleId="751">
    <w:name w:val="displayarti"/>
    <w:basedOn w:val="56"/>
    <w:qFormat/>
    <w:uiPriority w:val="0"/>
    <w:rPr>
      <w:color w:val="FFFFFF"/>
      <w:shd w:val="clear" w:fill="A00000"/>
    </w:rPr>
  </w:style>
  <w:style w:type="character" w:customStyle="1" w:styleId="752">
    <w:name w:val="cfdate"/>
    <w:basedOn w:val="56"/>
    <w:qFormat/>
    <w:uiPriority w:val="0"/>
    <w:rPr>
      <w:color w:val="333333"/>
      <w:sz w:val="9"/>
      <w:szCs w:val="9"/>
    </w:rPr>
  </w:style>
  <w:style w:type="character" w:customStyle="1" w:styleId="753">
    <w:name w:val="next2"/>
    <w:basedOn w:val="56"/>
    <w:qFormat/>
    <w:uiPriority w:val="0"/>
    <w:rPr>
      <w:color w:val="888888"/>
    </w:rPr>
  </w:style>
  <w:style w:type="character" w:customStyle="1" w:styleId="754">
    <w:name w:val="prev"/>
    <w:basedOn w:val="56"/>
    <w:qFormat/>
    <w:uiPriority w:val="0"/>
    <w:rPr>
      <w:color w:val="888888"/>
    </w:rPr>
  </w:style>
  <w:style w:type="character" w:customStyle="1" w:styleId="755">
    <w:name w:val="prev1"/>
    <w:basedOn w:val="56"/>
    <w:qFormat/>
    <w:uiPriority w:val="0"/>
    <w:rPr>
      <w:rFonts w:ascii="微软雅黑" w:hAnsi="微软雅黑" w:eastAsia="微软雅黑" w:cs="微软雅黑"/>
      <w:sz w:val="10"/>
      <w:szCs w:val="10"/>
    </w:rPr>
  </w:style>
  <w:style w:type="character" w:customStyle="1" w:styleId="756">
    <w:name w:val="qxdate"/>
    <w:basedOn w:val="56"/>
    <w:qFormat/>
    <w:uiPriority w:val="0"/>
    <w:rPr>
      <w:color w:val="333333"/>
      <w:sz w:val="9"/>
      <w:szCs w:val="9"/>
    </w:rPr>
  </w:style>
  <w:style w:type="character" w:customStyle="1" w:styleId="757">
    <w:name w:val="next"/>
    <w:basedOn w:val="56"/>
    <w:qFormat/>
    <w:uiPriority w:val="0"/>
    <w:rPr>
      <w:rFonts w:ascii="微软雅黑" w:hAnsi="微软雅黑" w:eastAsia="微软雅黑" w:cs="微软雅黑"/>
      <w:sz w:val="10"/>
      <w:szCs w:val="10"/>
    </w:rPr>
  </w:style>
  <w:style w:type="character" w:customStyle="1" w:styleId="758">
    <w:name w:val="next1"/>
    <w:basedOn w:val="56"/>
    <w:qFormat/>
    <w:uiPriority w:val="0"/>
    <w:rPr>
      <w:color w:val="888888"/>
    </w:rPr>
  </w:style>
  <w:style w:type="character" w:customStyle="1" w:styleId="759">
    <w:name w:val="prev2"/>
    <w:basedOn w:val="56"/>
    <w:qFormat/>
    <w:uiPriority w:val="0"/>
    <w:rPr>
      <w:rFonts w:hint="eastAsia" w:ascii="微软雅黑" w:hAnsi="微软雅黑" w:eastAsia="微软雅黑" w:cs="微软雅黑"/>
      <w:sz w:val="10"/>
      <w:szCs w:val="10"/>
    </w:rPr>
  </w:style>
  <w:style w:type="character" w:customStyle="1" w:styleId="760">
    <w:name w:val="prev3"/>
    <w:basedOn w:val="56"/>
    <w:qFormat/>
    <w:uiPriority w:val="0"/>
    <w:rPr>
      <w:color w:val="888888"/>
    </w:rPr>
  </w:style>
  <w:style w:type="paragraph" w:customStyle="1" w:styleId="761">
    <w:name w:val="第二级次（节）格式"/>
    <w:qFormat/>
    <w:uiPriority w:val="0"/>
    <w:pPr>
      <w:numPr>
        <w:ilvl w:val="0"/>
        <w:numId w:val="2"/>
      </w:numPr>
      <w:outlineLvl w:val="1"/>
    </w:pPr>
    <w:rPr>
      <w:rFonts w:ascii="Cambria" w:hAnsi="Cambria" w:eastAsia="宋体" w:cs="宋体"/>
      <w:b/>
      <w:bCs/>
      <w:kern w:val="44"/>
      <w:sz w:val="24"/>
      <w:szCs w:val="24"/>
      <w:lang w:val="en-US" w:eastAsia="zh-CN" w:bidi="ar-SA"/>
    </w:rPr>
  </w:style>
  <w:style w:type="paragraph" w:customStyle="1" w:styleId="762">
    <w:name w:val="Body text|1"/>
    <w:basedOn w:val="1"/>
    <w:qFormat/>
    <w:uiPriority w:val="0"/>
    <w:pPr>
      <w:spacing w:line="480" w:lineRule="auto"/>
      <w:ind w:firstLine="360"/>
      <w:jc w:val="left"/>
    </w:pPr>
    <w:rPr>
      <w:rFonts w:ascii="宋体" w:hAnsi="宋体" w:cs="宋体"/>
      <w:color w:val="000000"/>
      <w:kern w:val="0"/>
      <w:sz w:val="20"/>
      <w:szCs w:val="20"/>
      <w:lang w:val="zh-TW" w:eastAsia="zh-TW" w:bidi="zh-TW"/>
    </w:r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0" Type="http://schemas.openxmlformats.org/officeDocument/2006/relationships/fontTable" Target="fontTable.xml"/><Relationship Id="rId2" Type="http://schemas.openxmlformats.org/officeDocument/2006/relationships/settings" Target="settings.xml"/><Relationship Id="rId19" Type="http://schemas.openxmlformats.org/officeDocument/2006/relationships/numbering" Target="numbering.xml"/><Relationship Id="rId18" Type="http://schemas.openxmlformats.org/officeDocument/2006/relationships/customXml" Target="../customXml/item1.xml"/><Relationship Id="rId17" Type="http://schemas.openxmlformats.org/officeDocument/2006/relationships/theme" Target="theme/theme1.xml"/><Relationship Id="rId16" Type="http://schemas.openxmlformats.org/officeDocument/2006/relationships/footer" Target="footer9.xml"/><Relationship Id="rId15" Type="http://schemas.openxmlformats.org/officeDocument/2006/relationships/footer" Target="footer8.xml"/><Relationship Id="rId14" Type="http://schemas.openxmlformats.org/officeDocument/2006/relationships/header" Target="header5.xml"/><Relationship Id="rId13" Type="http://schemas.openxmlformats.org/officeDocument/2006/relationships/header" Target="header4.xml"/><Relationship Id="rId12" Type="http://schemas.openxmlformats.org/officeDocument/2006/relationships/footer" Target="footer7.xml"/><Relationship Id="rId11" Type="http://schemas.openxmlformats.org/officeDocument/2006/relationships/footer" Target="footer6.xml"/><Relationship Id="rId10" Type="http://schemas.openxmlformats.org/officeDocument/2006/relationships/footer" Target="foot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China</Company>
  <Pages>141</Pages>
  <Words>14070</Words>
  <Characters>15006</Characters>
  <Lines>501</Lines>
  <Paragraphs>141</Paragraphs>
  <TotalTime>9</TotalTime>
  <ScaleCrop>false</ScaleCrop>
  <LinksUpToDate>false</LinksUpToDate>
  <CharactersWithSpaces>15169</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2023-10-12T18:12:00Z</dcterms:created>
  <dc:creator>Yin Hao</dc:creator>
  <cp:lastModifiedBy>倩～</cp:lastModifiedBy>
  <cp:lastPrinted>2024-08-07T11:14:00Z</cp:lastPrinted>
  <dcterms:modified xsi:type="dcterms:W3CDTF">2026-06-16T02:36:01Z</dcterms:modified>
  <dc:title>02年杜范本稿</dc:title>
  <cp:revision>117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82D612C6F2274446B1C8702ED83D71DB_13</vt:lpwstr>
  </property>
  <property fmtid="{D5CDD505-2E9C-101B-9397-08002B2CF9AE}" pid="4" name="KSOTemplateDocerSaveRecord">
    <vt:lpwstr>eyJoZGlkIjoiOGRiYzU1OTJhZjc2NDE3MzY2NjY5ZDYzYjNjYjhhNjEiLCJ1c2VySWQiOiI1OTkzMzQ3MTkifQ==</vt:lpwstr>
  </property>
</Properties>
</file>